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540A" w14:textId="5AFE5A76" w:rsidR="009A252E" w:rsidRPr="005A1AF9" w:rsidRDefault="00450BC0" w:rsidP="00F31694">
      <w:pPr>
        <w:pStyle w:val="Heading1"/>
        <w:spacing w:line="276" w:lineRule="auto"/>
        <w:ind w:left="567" w:right="1133" w:firstLine="0"/>
        <w:jc w:val="right"/>
        <w:rPr>
          <w:rFonts w:asciiTheme="minorHAnsi" w:hAnsiTheme="minorHAnsi" w:cstheme="minorHAnsi"/>
          <w:i/>
          <w:color w:val="auto"/>
          <w:sz w:val="20"/>
          <w:szCs w:val="20"/>
          <w:lang w:val="en-GB"/>
        </w:rPr>
      </w:pPr>
      <w:r>
        <w:rPr>
          <w:rFonts w:asciiTheme="minorHAnsi" w:hAnsiTheme="minorHAnsi" w:cstheme="minorHAnsi"/>
          <w:i/>
          <w:color w:val="auto"/>
          <w:sz w:val="20"/>
          <w:szCs w:val="20"/>
          <w:lang w:val="en-GB"/>
        </w:rPr>
        <w:t>Mongolia</w:t>
      </w:r>
      <w:r w:rsidR="00F31694" w:rsidRPr="005A1AF9">
        <w:rPr>
          <w:rFonts w:asciiTheme="minorHAnsi" w:hAnsiTheme="minorHAnsi" w:cstheme="minorHAnsi"/>
          <w:i/>
          <w:color w:val="auto"/>
          <w:sz w:val="20"/>
          <w:szCs w:val="20"/>
          <w:lang w:val="en-GB"/>
        </w:rPr>
        <w:t xml:space="preserve"> FRAX </w:t>
      </w:r>
      <w:r w:rsidR="00755286" w:rsidRPr="005A1AF9">
        <w:rPr>
          <w:rFonts w:asciiTheme="minorHAnsi" w:hAnsiTheme="minorHAnsi" w:cstheme="minorHAnsi"/>
          <w:i/>
          <w:color w:val="auto"/>
          <w:sz w:val="20"/>
          <w:szCs w:val="20"/>
          <w:lang w:val="en-GB"/>
        </w:rPr>
        <w:t>v</w:t>
      </w:r>
      <w:r w:rsidR="00802466">
        <w:rPr>
          <w:rFonts w:asciiTheme="minorHAnsi" w:hAnsiTheme="minorHAnsi" w:cstheme="minorHAnsi"/>
          <w:i/>
          <w:color w:val="auto"/>
          <w:sz w:val="20"/>
          <w:szCs w:val="20"/>
          <w:lang w:val="en-GB"/>
        </w:rPr>
        <w:t>3</w:t>
      </w:r>
    </w:p>
    <w:p w14:paraId="3365D20E" w14:textId="5E265CC5" w:rsidR="00D9601A" w:rsidRPr="00750055" w:rsidRDefault="001A4106" w:rsidP="00C11242">
      <w:pPr>
        <w:pStyle w:val="Heading1"/>
        <w:spacing w:line="276" w:lineRule="auto"/>
        <w:ind w:left="567" w:right="1133" w:firstLine="0"/>
        <w:rPr>
          <w:rFonts w:asciiTheme="minorHAnsi" w:hAnsiTheme="minorHAnsi" w:cstheme="minorHAnsi"/>
          <w:b/>
          <w:color w:val="auto"/>
          <w:sz w:val="36"/>
          <w:szCs w:val="36"/>
          <w:lang w:val="en-GB"/>
        </w:rPr>
      </w:pPr>
      <w:r w:rsidRPr="00750055">
        <w:rPr>
          <w:rFonts w:asciiTheme="minorHAnsi" w:hAnsiTheme="minorHAnsi" w:cstheme="minorHAnsi"/>
          <w:b/>
          <w:color w:val="auto"/>
          <w:sz w:val="36"/>
          <w:szCs w:val="36"/>
          <w:lang w:val="en-GB"/>
        </w:rPr>
        <w:t>A surrogate FRAX model</w:t>
      </w:r>
      <w:r w:rsidR="00FC0F3F" w:rsidRPr="00750055">
        <w:rPr>
          <w:rFonts w:asciiTheme="minorHAnsi" w:hAnsiTheme="minorHAnsi" w:cstheme="minorHAnsi"/>
          <w:b/>
          <w:color w:val="auto"/>
          <w:sz w:val="36"/>
          <w:szCs w:val="36"/>
          <w:lang w:val="en-GB"/>
        </w:rPr>
        <w:t xml:space="preserve"> for</w:t>
      </w:r>
      <w:r w:rsidR="00113E92" w:rsidRPr="00750055">
        <w:rPr>
          <w:rFonts w:asciiTheme="minorHAnsi" w:hAnsiTheme="minorHAnsi" w:cstheme="minorHAnsi"/>
          <w:b/>
          <w:color w:val="auto"/>
          <w:sz w:val="36"/>
          <w:szCs w:val="36"/>
          <w:lang w:val="en-GB"/>
        </w:rPr>
        <w:t xml:space="preserve"> </w:t>
      </w:r>
      <w:r w:rsidR="00971BEE">
        <w:rPr>
          <w:rFonts w:asciiTheme="minorHAnsi" w:hAnsiTheme="minorHAnsi" w:cstheme="minorHAnsi"/>
          <w:b/>
          <w:color w:val="auto"/>
          <w:sz w:val="36"/>
          <w:szCs w:val="36"/>
          <w:lang w:val="en-GB"/>
        </w:rPr>
        <w:t>Mongolia</w:t>
      </w:r>
    </w:p>
    <w:p w14:paraId="64383C8C" w14:textId="77777777" w:rsidR="00E372F1" w:rsidRPr="005A1AF9" w:rsidRDefault="00AC3AC7" w:rsidP="00C11242">
      <w:pPr>
        <w:spacing w:line="276" w:lineRule="auto"/>
        <w:ind w:left="567" w:right="1133"/>
        <w:rPr>
          <w:rFonts w:asciiTheme="minorHAnsi" w:hAnsiTheme="minorHAnsi" w:cstheme="minorHAnsi"/>
          <w:lang w:val="en-GB"/>
        </w:rPr>
      </w:pPr>
      <w:r w:rsidRPr="005A1AF9">
        <w:rPr>
          <w:rFonts w:asciiTheme="minorHAnsi" w:hAnsiTheme="minorHAnsi" w:cstheme="minorHAnsi"/>
          <w:lang w:val="en-GB"/>
        </w:rPr>
        <w:t xml:space="preserve"> </w:t>
      </w:r>
    </w:p>
    <w:p w14:paraId="324B7B07" w14:textId="77777777" w:rsidR="009B5AFD" w:rsidRPr="005A1AF9" w:rsidRDefault="009B5AFD" w:rsidP="00C11242">
      <w:pPr>
        <w:spacing w:line="276" w:lineRule="auto"/>
        <w:ind w:left="567" w:right="1133"/>
        <w:jc w:val="both"/>
        <w:rPr>
          <w:rFonts w:asciiTheme="minorHAnsi" w:hAnsiTheme="minorHAnsi" w:cstheme="minorHAnsi"/>
          <w:lang w:val="en-GB"/>
        </w:rPr>
      </w:pPr>
    </w:p>
    <w:p w14:paraId="29DC2D10" w14:textId="07E43F45" w:rsidR="00F120FB" w:rsidRPr="00FB025C" w:rsidRDefault="00FF0889" w:rsidP="009306BA">
      <w:pPr>
        <w:suppressAutoHyphens/>
        <w:spacing w:line="360" w:lineRule="auto"/>
        <w:ind w:left="567"/>
        <w:jc w:val="center"/>
        <w:rPr>
          <w:rFonts w:ascii="Calibri" w:eastAsia="Calibri" w:hAnsi="Calibri" w:cs="Calibri"/>
          <w:lang w:val="en-GB" w:eastAsia="en-US"/>
        </w:rPr>
      </w:pPr>
      <w:bookmarkStart w:id="0" w:name="_Hlk11400915"/>
      <w:r w:rsidRPr="00FB025C">
        <w:rPr>
          <w:rFonts w:ascii="Calibri" w:eastAsia="Calibri" w:hAnsi="Calibri" w:cs="Calibri"/>
          <w:lang w:val="en-GB" w:eastAsia="en-US"/>
        </w:rPr>
        <w:t xml:space="preserve">M Jaalkhorol </w:t>
      </w:r>
      <w:r w:rsidR="003D7A18" w:rsidRPr="00FB025C">
        <w:rPr>
          <w:rFonts w:ascii="Calibri" w:eastAsia="Calibri" w:hAnsi="Calibri" w:cs="Calibri"/>
          <w:vertAlign w:val="superscript"/>
          <w:lang w:val="en-GB" w:eastAsia="en-US"/>
        </w:rPr>
        <w:t>1</w:t>
      </w:r>
      <w:r w:rsidRPr="00FB025C">
        <w:rPr>
          <w:rFonts w:ascii="Calibri" w:eastAsia="Calibri" w:hAnsi="Calibri" w:cs="Calibri"/>
          <w:lang w:val="en-GB" w:eastAsia="en-US"/>
        </w:rPr>
        <w:t xml:space="preserve">∙ </w:t>
      </w:r>
      <w:r w:rsidR="00C840CA" w:rsidRPr="00FB025C">
        <w:rPr>
          <w:rFonts w:ascii="Calibri" w:eastAsia="Calibri" w:hAnsi="Calibri" w:cs="Calibri"/>
          <w:lang w:val="en-GB" w:eastAsia="en-US"/>
        </w:rPr>
        <w:t>H Johansson</w:t>
      </w:r>
      <w:r w:rsidR="003D7A18" w:rsidRPr="00FB025C">
        <w:rPr>
          <w:rFonts w:ascii="Calibri" w:eastAsia="Calibri" w:hAnsi="Calibri" w:cs="Calibri"/>
          <w:vertAlign w:val="superscript"/>
          <w:lang w:val="en-GB" w:eastAsia="en-US"/>
        </w:rPr>
        <w:t xml:space="preserve"> 2</w:t>
      </w:r>
      <w:r w:rsidR="00E45F41" w:rsidRPr="00FB025C">
        <w:rPr>
          <w:rFonts w:ascii="Calibri" w:eastAsia="Calibri" w:hAnsi="Calibri" w:cs="Calibri"/>
          <w:lang w:val="en-GB" w:eastAsia="en-US"/>
        </w:rPr>
        <w:t xml:space="preserve"> </w:t>
      </w:r>
      <w:r w:rsidR="001E0247" w:rsidRPr="00FB025C">
        <w:rPr>
          <w:rFonts w:ascii="Calibri" w:eastAsia="Calibri" w:hAnsi="Calibri" w:cs="Calibri"/>
          <w:lang w:val="en-GB" w:eastAsia="en-US"/>
        </w:rPr>
        <w:t xml:space="preserve">∙ </w:t>
      </w:r>
      <w:r w:rsidR="00E95E58" w:rsidRPr="00FB025C">
        <w:rPr>
          <w:rFonts w:ascii="Calibri" w:eastAsia="Calibri" w:hAnsi="Calibri" w:cs="Calibri"/>
          <w:lang w:val="en-GB" w:eastAsia="en-US"/>
        </w:rPr>
        <w:t xml:space="preserve">S Avirmed </w:t>
      </w:r>
      <w:r w:rsidR="004574D7">
        <w:rPr>
          <w:rFonts w:ascii="Calibri" w:eastAsia="Calibri" w:hAnsi="Calibri" w:cs="Calibri"/>
          <w:vertAlign w:val="superscript"/>
          <w:lang w:val="en-GB" w:eastAsia="en-US"/>
        </w:rPr>
        <w:t>3</w:t>
      </w:r>
      <w:r w:rsidR="000D61BC" w:rsidRPr="00FB025C">
        <w:rPr>
          <w:rFonts w:ascii="Calibri" w:eastAsia="Calibri" w:hAnsi="Calibri" w:cs="Calibri"/>
          <w:vertAlign w:val="superscript"/>
          <w:lang w:val="en-GB" w:eastAsia="en-US"/>
        </w:rPr>
        <w:t xml:space="preserve"> </w:t>
      </w:r>
      <w:r w:rsidR="000D61BC" w:rsidRPr="00FB025C">
        <w:rPr>
          <w:rFonts w:ascii="Calibri" w:eastAsia="Calibri" w:hAnsi="Calibri" w:cs="Calibri"/>
          <w:lang w:val="en-GB" w:eastAsia="en-US"/>
        </w:rPr>
        <w:t xml:space="preserve">∙ </w:t>
      </w:r>
      <w:r w:rsidR="00D90973" w:rsidRPr="00FB025C">
        <w:rPr>
          <w:rFonts w:ascii="Calibri" w:eastAsia="Calibri" w:hAnsi="Calibri" w:cs="Calibri"/>
          <w:lang w:val="en-GB" w:eastAsia="en-US"/>
        </w:rPr>
        <w:t>A Dashtseren</w:t>
      </w:r>
      <w:r w:rsidR="00FB025C" w:rsidRPr="00FB025C">
        <w:rPr>
          <w:rFonts w:ascii="Calibri" w:eastAsia="Calibri" w:hAnsi="Calibri" w:cs="Calibri"/>
          <w:lang w:val="en-GB" w:eastAsia="en-US"/>
        </w:rPr>
        <w:t xml:space="preserve"> </w:t>
      </w:r>
      <w:r w:rsidR="0048774F">
        <w:rPr>
          <w:rFonts w:ascii="Calibri" w:eastAsia="Calibri" w:hAnsi="Calibri" w:cs="Calibri"/>
          <w:vertAlign w:val="superscript"/>
          <w:lang w:val="en-GB" w:eastAsia="en-US"/>
        </w:rPr>
        <w:t>4</w:t>
      </w:r>
      <w:r w:rsidR="00D90973" w:rsidRPr="00FB025C">
        <w:rPr>
          <w:rFonts w:ascii="Calibri" w:eastAsia="Calibri" w:hAnsi="Calibri" w:cs="Calibri"/>
          <w:lang w:val="en-GB" w:eastAsia="en-US"/>
        </w:rPr>
        <w:t xml:space="preserve"> </w:t>
      </w:r>
      <w:r w:rsidR="00F21B62" w:rsidRPr="00FB025C">
        <w:rPr>
          <w:rFonts w:ascii="Calibri" w:eastAsia="Calibri" w:hAnsi="Calibri" w:cs="Calibri"/>
          <w:lang w:val="en-GB" w:eastAsia="en-US"/>
        </w:rPr>
        <w:t xml:space="preserve">O </w:t>
      </w:r>
      <w:r w:rsidR="00A44C2C" w:rsidRPr="00FB025C">
        <w:rPr>
          <w:rFonts w:ascii="Calibri" w:eastAsia="Calibri" w:hAnsi="Calibri" w:cs="Calibri"/>
          <w:lang w:val="en-GB" w:eastAsia="en-US"/>
        </w:rPr>
        <w:t>Bruyère</w:t>
      </w:r>
      <w:r w:rsidR="00FB025C" w:rsidRPr="00FB025C">
        <w:rPr>
          <w:rFonts w:ascii="Calibri" w:eastAsia="Calibri" w:hAnsi="Calibri" w:cs="Calibri"/>
          <w:lang w:val="en-GB" w:eastAsia="en-US"/>
        </w:rPr>
        <w:t xml:space="preserve"> </w:t>
      </w:r>
      <w:r w:rsidR="0048774F">
        <w:rPr>
          <w:rFonts w:ascii="Calibri" w:eastAsia="Calibri" w:hAnsi="Calibri" w:cs="Calibri"/>
          <w:vertAlign w:val="superscript"/>
          <w:lang w:val="en-GB" w:eastAsia="en-US"/>
        </w:rPr>
        <w:t>5</w:t>
      </w:r>
      <w:r w:rsidR="00A44C2C" w:rsidRPr="00FB025C">
        <w:rPr>
          <w:rFonts w:ascii="Calibri" w:eastAsia="Calibri" w:hAnsi="Calibri" w:cs="Calibri"/>
          <w:lang w:val="en-GB" w:eastAsia="en-US"/>
        </w:rPr>
        <w:t xml:space="preserve"> ∙</w:t>
      </w:r>
      <w:r w:rsidR="00DC350E" w:rsidRPr="00FB025C">
        <w:rPr>
          <w:rFonts w:ascii="Calibri" w:eastAsia="Calibri" w:hAnsi="Calibri" w:cs="Calibri"/>
          <w:lang w:val="en-GB" w:eastAsia="en-US"/>
        </w:rPr>
        <w:t xml:space="preserve"> </w:t>
      </w:r>
      <w:r w:rsidR="00F120FB" w:rsidRPr="00FB025C">
        <w:rPr>
          <w:rFonts w:ascii="Calibri" w:eastAsia="Calibri" w:hAnsi="Calibri" w:cs="Calibri"/>
          <w:lang w:val="en-GB" w:eastAsia="en-US"/>
        </w:rPr>
        <w:t>M</w:t>
      </w:r>
      <w:r w:rsidR="00DC350E" w:rsidRPr="00FB025C">
        <w:rPr>
          <w:rFonts w:ascii="Calibri" w:eastAsia="Calibri" w:hAnsi="Calibri" w:cs="Calibri"/>
          <w:lang w:val="en-GB" w:eastAsia="en-US"/>
        </w:rPr>
        <w:t xml:space="preserve"> </w:t>
      </w:r>
      <w:r w:rsidR="00F120FB" w:rsidRPr="00FB025C">
        <w:rPr>
          <w:rFonts w:ascii="Calibri" w:eastAsia="Calibri" w:hAnsi="Calibri" w:cs="Calibri"/>
          <w:lang w:val="en-GB" w:eastAsia="en-US"/>
        </w:rPr>
        <w:t>Lorentzon</w:t>
      </w:r>
      <w:bookmarkStart w:id="1" w:name="_Hlk170478762"/>
      <w:r w:rsidR="00BC0985" w:rsidRPr="00FB025C">
        <w:rPr>
          <w:rFonts w:ascii="Calibri" w:eastAsia="Calibri" w:hAnsi="Calibri" w:cs="Calibri"/>
          <w:vertAlign w:val="superscript"/>
          <w:lang w:val="en-GB" w:eastAsia="en-US"/>
        </w:rPr>
        <w:t>5</w:t>
      </w:r>
      <w:r w:rsidR="001E0247" w:rsidRPr="00FB025C">
        <w:rPr>
          <w:rFonts w:ascii="Calibri" w:eastAsia="Calibri" w:hAnsi="Calibri" w:cs="Calibri"/>
          <w:lang w:val="en-GB" w:eastAsia="en-US"/>
        </w:rPr>
        <w:t xml:space="preserve"> ∙ </w:t>
      </w:r>
      <w:bookmarkEnd w:id="1"/>
      <w:r w:rsidR="00F120FB" w:rsidRPr="00FB025C">
        <w:rPr>
          <w:rFonts w:ascii="Calibri" w:eastAsia="Calibri" w:hAnsi="Calibri" w:cs="Calibri"/>
          <w:lang w:val="en-GB" w:eastAsia="en-US"/>
        </w:rPr>
        <w:t>NC</w:t>
      </w:r>
      <w:r w:rsidR="008D109A" w:rsidRPr="00FB025C">
        <w:rPr>
          <w:rFonts w:ascii="Calibri" w:eastAsia="Calibri" w:hAnsi="Calibri" w:cs="Calibri"/>
          <w:lang w:val="en-GB" w:eastAsia="en-US"/>
        </w:rPr>
        <w:t xml:space="preserve"> </w:t>
      </w:r>
      <w:r w:rsidR="00F120FB" w:rsidRPr="00FB025C">
        <w:rPr>
          <w:rFonts w:ascii="Calibri" w:eastAsia="Calibri" w:hAnsi="Calibri" w:cs="Calibri"/>
          <w:lang w:val="en-GB" w:eastAsia="en-US"/>
        </w:rPr>
        <w:t>Harvey</w:t>
      </w:r>
      <w:r w:rsidR="00BC0985" w:rsidRPr="00FB025C">
        <w:rPr>
          <w:rFonts w:ascii="Calibri" w:eastAsia="Calibri" w:hAnsi="Calibri" w:cs="Calibri"/>
          <w:vertAlign w:val="superscript"/>
          <w:lang w:val="en-GB" w:eastAsia="en-US"/>
        </w:rPr>
        <w:t>6</w:t>
      </w:r>
      <w:r w:rsidR="00140639" w:rsidRPr="00FB025C">
        <w:rPr>
          <w:rFonts w:ascii="Calibri" w:eastAsia="Calibri" w:hAnsi="Calibri" w:cs="Calibri"/>
          <w:vertAlign w:val="superscript"/>
          <w:lang w:val="en-GB" w:eastAsia="en-US"/>
        </w:rPr>
        <w:t>,</w:t>
      </w:r>
      <w:r w:rsidR="00BC0985" w:rsidRPr="00FB025C">
        <w:rPr>
          <w:rFonts w:ascii="Calibri" w:eastAsia="Calibri" w:hAnsi="Calibri" w:cs="Calibri"/>
          <w:vertAlign w:val="superscript"/>
          <w:lang w:val="en-GB" w:eastAsia="en-US"/>
        </w:rPr>
        <w:t>7</w:t>
      </w:r>
      <w:r w:rsidR="001E0247" w:rsidRPr="00FB025C">
        <w:rPr>
          <w:rFonts w:ascii="Calibri" w:eastAsia="Calibri" w:hAnsi="Calibri" w:cs="Calibri"/>
          <w:lang w:val="en-GB" w:eastAsia="en-US"/>
        </w:rPr>
        <w:t xml:space="preserve"> ∙ </w:t>
      </w:r>
      <w:r w:rsidR="00F120FB" w:rsidRPr="00FB025C">
        <w:rPr>
          <w:rFonts w:ascii="Calibri" w:eastAsia="Calibri" w:hAnsi="Calibri" w:cs="Calibri"/>
          <w:lang w:val="en-GB" w:eastAsia="en-US"/>
        </w:rPr>
        <w:t>E</w:t>
      </w:r>
      <w:r w:rsidR="00781272" w:rsidRPr="00FB025C">
        <w:rPr>
          <w:rFonts w:ascii="Calibri" w:eastAsia="Calibri" w:hAnsi="Calibri" w:cs="Calibri"/>
          <w:lang w:val="en-GB" w:eastAsia="en-US"/>
        </w:rPr>
        <w:t>V</w:t>
      </w:r>
      <w:r w:rsidR="008D109A" w:rsidRPr="00FB025C">
        <w:rPr>
          <w:rFonts w:ascii="Calibri" w:eastAsia="Calibri" w:hAnsi="Calibri" w:cs="Calibri"/>
          <w:lang w:val="en-GB" w:eastAsia="en-US"/>
        </w:rPr>
        <w:t xml:space="preserve"> </w:t>
      </w:r>
      <w:r w:rsidR="00F120FB" w:rsidRPr="00FB025C">
        <w:rPr>
          <w:rFonts w:ascii="Calibri" w:eastAsia="Calibri" w:hAnsi="Calibri" w:cs="Calibri"/>
          <w:lang w:val="en-GB" w:eastAsia="en-US"/>
        </w:rPr>
        <w:t>McCloskey</w:t>
      </w:r>
      <w:r w:rsidR="00BC0985" w:rsidRPr="00FB025C">
        <w:rPr>
          <w:rFonts w:ascii="Calibri" w:eastAsia="Calibri" w:hAnsi="Calibri" w:cs="Calibri"/>
          <w:vertAlign w:val="superscript"/>
          <w:lang w:val="en-GB" w:eastAsia="en-US"/>
        </w:rPr>
        <w:t>8</w:t>
      </w:r>
      <w:r w:rsidR="001E0247" w:rsidRPr="00FB025C">
        <w:rPr>
          <w:rFonts w:ascii="Calibri" w:eastAsia="Calibri" w:hAnsi="Calibri" w:cs="Calibri"/>
          <w:lang w:val="en-GB" w:eastAsia="en-US"/>
        </w:rPr>
        <w:t xml:space="preserve"> ∙ </w:t>
      </w:r>
      <w:r w:rsidR="00F120FB" w:rsidRPr="00FB025C">
        <w:rPr>
          <w:rFonts w:ascii="Calibri" w:eastAsia="Calibri" w:hAnsi="Calibri" w:cs="Calibri"/>
          <w:lang w:val="en-GB" w:eastAsia="en-US"/>
        </w:rPr>
        <w:t>JA Kanis</w:t>
      </w:r>
      <w:r w:rsidR="00AE6584" w:rsidRPr="00FB025C">
        <w:rPr>
          <w:rFonts w:ascii="Calibri" w:eastAsia="Calibri" w:hAnsi="Calibri" w:cs="Calibri"/>
          <w:vertAlign w:val="superscript"/>
          <w:lang w:val="en-GB" w:eastAsia="en-US"/>
        </w:rPr>
        <w:t>1</w:t>
      </w:r>
    </w:p>
    <w:bookmarkEnd w:id="0"/>
    <w:p w14:paraId="78D228F0" w14:textId="249B932F" w:rsidR="003D7A18" w:rsidRPr="00FB025C" w:rsidRDefault="00FB025C" w:rsidP="00B66EBF">
      <w:pPr>
        <w:spacing w:after="240"/>
        <w:ind w:left="567" w:hanging="142"/>
        <w:rPr>
          <w:rFonts w:ascii="Calibri" w:eastAsia="MS Mincho" w:hAnsi="Calibri" w:cs="Calibri"/>
          <w:vertAlign w:val="superscript"/>
          <w:lang w:val="en-GB" w:eastAsia="ja-JP"/>
        </w:rPr>
      </w:pPr>
      <w:r w:rsidRPr="00FB025C">
        <w:rPr>
          <w:rFonts w:ascii="Calibri" w:eastAsia="MS Mincho" w:hAnsi="Calibri" w:cs="Calibri"/>
          <w:vertAlign w:val="superscript"/>
          <w:lang w:val="en-GB" w:eastAsia="ja-JP"/>
        </w:rPr>
        <w:t>1</w:t>
      </w:r>
      <w:r w:rsidRPr="00FB025C">
        <w:rPr>
          <w:rFonts w:ascii="Calibri" w:eastAsia="MS Mincho" w:hAnsi="Calibri" w:cs="Calibri"/>
          <w:lang w:val="en-GB" w:eastAsia="ja-JP"/>
        </w:rPr>
        <w:t xml:space="preserve"> </w:t>
      </w:r>
      <w:r w:rsidR="003D7A18" w:rsidRPr="00FB025C">
        <w:rPr>
          <w:rFonts w:ascii="Calibri" w:eastAsia="MS Mincho" w:hAnsi="Calibri" w:cs="Calibri"/>
          <w:lang w:val="en-GB" w:eastAsia="ja-JP"/>
        </w:rPr>
        <w:t>Department of Health Research, Graduate School, Mongolian National University of Medical Sciences, Ulaanbaatar, Mongolia</w:t>
      </w:r>
      <w:r w:rsidR="00E36D73">
        <w:rPr>
          <w:rFonts w:ascii="Calibri" w:eastAsia="MS Mincho" w:hAnsi="Calibri" w:cs="Calibri"/>
          <w:lang w:val="en-GB" w:eastAsia="ja-JP"/>
        </w:rPr>
        <w:t>.</w:t>
      </w:r>
    </w:p>
    <w:p w14:paraId="4A69D24D" w14:textId="17975B70" w:rsidR="00B66EBF" w:rsidRDefault="00FB025C"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2</w:t>
      </w:r>
      <w:r w:rsidR="00B66EBF" w:rsidRPr="00B66EBF">
        <w:rPr>
          <w:rFonts w:ascii="Calibri" w:eastAsia="MS Mincho" w:hAnsi="Calibri"/>
          <w:lang w:val="en-GB" w:eastAsia="ja-JP"/>
        </w:rPr>
        <w:t xml:space="preserve"> Centre for Metabolic Bone Diseases, University of Sheffield, Sheffield, UK</w:t>
      </w:r>
      <w:r w:rsidR="00E36D73">
        <w:rPr>
          <w:rFonts w:ascii="Calibri" w:eastAsia="MS Mincho" w:hAnsi="Calibri"/>
          <w:lang w:val="en-GB" w:eastAsia="ja-JP"/>
        </w:rPr>
        <w:t>.</w:t>
      </w:r>
    </w:p>
    <w:p w14:paraId="094F0429" w14:textId="1C69881C" w:rsidR="005F259A" w:rsidRDefault="005F259A"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3</w:t>
      </w:r>
      <w:r>
        <w:rPr>
          <w:rFonts w:ascii="Calibri" w:eastAsia="MS Mincho" w:hAnsi="Calibri"/>
          <w:lang w:val="en-GB" w:eastAsia="ja-JP"/>
        </w:rPr>
        <w:t xml:space="preserve"> </w:t>
      </w:r>
      <w:r w:rsidRPr="00DC0C8D">
        <w:rPr>
          <w:rFonts w:ascii="Calibri" w:eastAsia="MS Mincho" w:hAnsi="Calibri"/>
          <w:lang w:val="en-GB" w:eastAsia="ja-JP"/>
        </w:rPr>
        <w:t>Graduate School, Mongolian National University of Medical Sciences, Ulaanbaatar, Mongolia</w:t>
      </w:r>
      <w:r w:rsidR="00E36D73">
        <w:rPr>
          <w:rFonts w:ascii="Calibri" w:eastAsia="MS Mincho" w:hAnsi="Calibri"/>
          <w:lang w:val="en-GB" w:eastAsia="ja-JP"/>
        </w:rPr>
        <w:t>.</w:t>
      </w:r>
    </w:p>
    <w:p w14:paraId="5F19B0E6" w14:textId="7E945ABA" w:rsidR="00B207C8" w:rsidRDefault="00B207C8"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 xml:space="preserve">4 </w:t>
      </w:r>
      <w:r w:rsidRPr="00DC0C8D">
        <w:rPr>
          <w:rFonts w:ascii="Calibri" w:eastAsia="MS Mincho" w:hAnsi="Calibri"/>
          <w:lang w:val="en-GB" w:eastAsia="ja-JP"/>
        </w:rPr>
        <w:t>Department of Preventive Medicine, School of Public Health, Mongolian National University of Medical Sciences, Ulanbaatar, Mongolia</w:t>
      </w:r>
      <w:r w:rsidR="00E36D73">
        <w:rPr>
          <w:rFonts w:ascii="Calibri" w:eastAsia="MS Mincho" w:hAnsi="Calibri"/>
          <w:lang w:val="en-GB" w:eastAsia="ja-JP"/>
        </w:rPr>
        <w:t>.</w:t>
      </w:r>
    </w:p>
    <w:p w14:paraId="289C63CA" w14:textId="30105B89" w:rsidR="008F16F9" w:rsidRDefault="008F16F9"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5</w:t>
      </w:r>
      <w:r w:rsidRPr="008F16F9">
        <w:rPr>
          <w:rFonts w:ascii="Calibri" w:eastAsia="MS Mincho" w:hAnsi="Calibri"/>
          <w:lang w:val="en-GB" w:eastAsia="ja-JP"/>
        </w:rPr>
        <w:t xml:space="preserve"> Research Unit in Public Health, Epidemiology and Health Economics, University of Liege, Liege, Belgium</w:t>
      </w:r>
      <w:r w:rsidR="00E36D73">
        <w:rPr>
          <w:rFonts w:ascii="Calibri" w:eastAsia="MS Mincho" w:hAnsi="Calibri"/>
          <w:lang w:val="en-GB" w:eastAsia="ja-JP"/>
        </w:rPr>
        <w:t>.</w:t>
      </w:r>
    </w:p>
    <w:p w14:paraId="58B5BCDF" w14:textId="2B757BBA" w:rsidR="00B66EBF" w:rsidRPr="00B66EBF" w:rsidRDefault="00E36D73" w:rsidP="00B66EBF">
      <w:pPr>
        <w:spacing w:after="240"/>
        <w:ind w:left="567" w:hanging="142"/>
        <w:rPr>
          <w:rFonts w:ascii="Calibri" w:eastAsia="MS Mincho" w:hAnsi="Calibri"/>
          <w:lang w:val="en-US" w:eastAsia="ja-JP"/>
        </w:rPr>
      </w:pPr>
      <w:r>
        <w:rPr>
          <w:rFonts w:ascii="Calibri" w:eastAsia="MS Mincho" w:hAnsi="Calibri"/>
          <w:vertAlign w:val="superscript"/>
          <w:lang w:val="en-US" w:eastAsia="ja-JP"/>
        </w:rPr>
        <w:t>6</w:t>
      </w:r>
      <w:r w:rsidR="00B66EBF" w:rsidRPr="00B66EBF">
        <w:rPr>
          <w:rFonts w:ascii="Calibri" w:eastAsia="MS Mincho" w:hAnsi="Calibri"/>
          <w:vertAlign w:val="superscript"/>
          <w:lang w:val="en-US" w:eastAsia="ja-JP"/>
        </w:rPr>
        <w:t xml:space="preserve"> </w:t>
      </w:r>
      <w:r w:rsidR="00B66EBF" w:rsidRPr="00B66EBF">
        <w:rPr>
          <w:rFonts w:ascii="Calibri" w:eastAsia="MS Mincho" w:hAnsi="Calibri"/>
          <w:lang w:val="en-US" w:eastAsia="ja-JP"/>
        </w:rPr>
        <w:t>Sahlgrenska Osteoporosis Centre, Institute of Medicine, University of Gothenburg, Gothenburg, Sweden</w:t>
      </w:r>
    </w:p>
    <w:p w14:paraId="4F1B9C3D" w14:textId="485BFEFB" w:rsidR="00B66EBF" w:rsidRPr="00B66EBF" w:rsidRDefault="00575212"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6</w:t>
      </w:r>
      <w:r w:rsidR="00B66EBF" w:rsidRPr="00B66EBF">
        <w:rPr>
          <w:rFonts w:ascii="Calibri" w:eastAsia="MS Mincho" w:hAnsi="Calibri"/>
          <w:vertAlign w:val="superscript"/>
          <w:lang w:val="en-GB" w:eastAsia="ja-JP"/>
        </w:rPr>
        <w:t xml:space="preserve"> </w:t>
      </w:r>
      <w:r w:rsidR="00B66EBF" w:rsidRPr="00B66EBF">
        <w:rPr>
          <w:rFonts w:ascii="Calibri" w:eastAsia="MS Mincho" w:hAnsi="Calibri"/>
          <w:lang w:val="en-GB" w:eastAsia="ja-JP"/>
        </w:rPr>
        <w:t xml:space="preserve">MRC Lifecourse Epidemiology Centre, University of Southampton, Southampton, UK </w:t>
      </w:r>
    </w:p>
    <w:p w14:paraId="7145B935" w14:textId="3512B4C5" w:rsidR="00B66EBF" w:rsidRPr="00B66EBF" w:rsidRDefault="00575212" w:rsidP="00B66EBF">
      <w:pPr>
        <w:spacing w:after="240"/>
        <w:ind w:left="567" w:hanging="142"/>
        <w:rPr>
          <w:rFonts w:ascii="Calibri" w:eastAsia="MS Mincho" w:hAnsi="Calibri"/>
          <w:lang w:val="en-GB" w:eastAsia="ja-JP"/>
        </w:rPr>
      </w:pPr>
      <w:r>
        <w:rPr>
          <w:rFonts w:ascii="Calibri" w:eastAsia="MS Mincho" w:hAnsi="Calibri"/>
          <w:vertAlign w:val="superscript"/>
          <w:lang w:val="en-GB" w:eastAsia="ja-JP"/>
        </w:rPr>
        <w:t>7</w:t>
      </w:r>
      <w:r w:rsidR="00B66EBF" w:rsidRPr="00B66EBF">
        <w:rPr>
          <w:rFonts w:ascii="Calibri" w:eastAsia="MS Mincho" w:hAnsi="Calibri"/>
          <w:vertAlign w:val="superscript"/>
          <w:lang w:val="en-GB" w:eastAsia="ja-JP"/>
        </w:rPr>
        <w:t xml:space="preserve"> </w:t>
      </w:r>
      <w:r w:rsidR="00B66EBF" w:rsidRPr="00B66EBF">
        <w:rPr>
          <w:rFonts w:ascii="Calibri" w:eastAsia="MS Mincho" w:hAnsi="Calibri"/>
          <w:lang w:val="en-GB" w:eastAsia="ja-JP"/>
        </w:rPr>
        <w:t>NIHR Southampton Biomedical Research Centre, University of Southampton and University Hospital Southampton NHS Foundation Trust, Southampton, UK</w:t>
      </w:r>
    </w:p>
    <w:p w14:paraId="1ADF196C" w14:textId="077C5D7F" w:rsidR="00B66EBF" w:rsidRPr="00B66EBF" w:rsidRDefault="00575212" w:rsidP="00B66EBF">
      <w:pPr>
        <w:spacing w:after="240"/>
        <w:ind w:left="567" w:hanging="142"/>
        <w:rPr>
          <w:rFonts w:ascii="Calibri" w:eastAsia="MS Mincho" w:hAnsi="Calibri"/>
          <w:bCs/>
          <w:lang w:val="en-US" w:eastAsia="ja-JP"/>
        </w:rPr>
      </w:pPr>
      <w:r>
        <w:rPr>
          <w:rFonts w:ascii="Calibri" w:eastAsia="MS Mincho" w:hAnsi="Calibri"/>
          <w:bCs/>
          <w:vertAlign w:val="superscript"/>
          <w:lang w:val="en-US" w:eastAsia="ja-JP"/>
        </w:rPr>
        <w:t>8</w:t>
      </w:r>
      <w:r w:rsidR="00B66EBF" w:rsidRPr="00B66EBF">
        <w:rPr>
          <w:rFonts w:ascii="Calibri" w:eastAsia="MS Mincho" w:hAnsi="Calibri"/>
          <w:bCs/>
          <w:vertAlign w:val="superscript"/>
          <w:lang w:val="en-US" w:eastAsia="ja-JP"/>
        </w:rPr>
        <w:t xml:space="preserve"> </w:t>
      </w:r>
      <w:r w:rsidR="00B66EBF" w:rsidRPr="00B66EBF">
        <w:rPr>
          <w:rFonts w:ascii="Calibri" w:eastAsia="MS Mincho" w:hAnsi="Calibri"/>
          <w:bCs/>
          <w:lang w:val="en-US" w:eastAsia="ja-JP"/>
        </w:rPr>
        <w:t>Mellanby Centre for Musculoskeletal Research, Division of Clinical Medicine, School of Medicine and Population Health, University of Sheffield, Sheffield, UK</w:t>
      </w:r>
    </w:p>
    <w:p w14:paraId="7BDEFEC0" w14:textId="77777777" w:rsidR="00B66EBF" w:rsidRPr="00B66EBF" w:rsidRDefault="00B66EBF" w:rsidP="00B66EBF">
      <w:pPr>
        <w:ind w:left="567"/>
        <w:rPr>
          <w:rFonts w:ascii="Calibri" w:eastAsia="MS Mincho" w:hAnsi="Calibri"/>
          <w:lang w:val="en-US" w:eastAsia="ja-JP"/>
        </w:rPr>
      </w:pPr>
    </w:p>
    <w:p w14:paraId="5FD4DCC8" w14:textId="5A73385D" w:rsidR="00772C05" w:rsidRPr="005A1AF9" w:rsidRDefault="00772C05" w:rsidP="00C11242">
      <w:pPr>
        <w:spacing w:line="276" w:lineRule="auto"/>
        <w:ind w:left="567" w:right="1133"/>
        <w:jc w:val="both"/>
        <w:rPr>
          <w:rFonts w:asciiTheme="minorHAnsi" w:hAnsiTheme="minorHAnsi" w:cstheme="minorHAnsi"/>
          <w:lang w:val="en-GB"/>
        </w:rPr>
      </w:pPr>
      <w:r w:rsidRPr="005A1AF9">
        <w:rPr>
          <w:rFonts w:asciiTheme="minorHAnsi" w:hAnsiTheme="minorHAnsi" w:cstheme="minorHAnsi"/>
          <w:lang w:val="en-GB"/>
        </w:rPr>
        <w:t>Correspondence</w:t>
      </w:r>
      <w:r w:rsidR="00F21B62">
        <w:rPr>
          <w:rFonts w:asciiTheme="minorHAnsi" w:hAnsiTheme="minorHAnsi" w:cstheme="minorHAnsi"/>
          <w:lang w:val="en-GB"/>
        </w:rPr>
        <w:t xml:space="preserve"> before publication</w:t>
      </w:r>
      <w:r w:rsidRPr="005A1AF9">
        <w:rPr>
          <w:rFonts w:asciiTheme="minorHAnsi" w:hAnsiTheme="minorHAnsi" w:cstheme="minorHAnsi"/>
          <w:lang w:val="en-GB"/>
        </w:rPr>
        <w:t xml:space="preserve">: </w:t>
      </w:r>
    </w:p>
    <w:p w14:paraId="0426DE45" w14:textId="0B95D015" w:rsidR="00772C05" w:rsidRDefault="00772C05" w:rsidP="00C11242">
      <w:pPr>
        <w:spacing w:line="276" w:lineRule="auto"/>
        <w:ind w:left="567" w:right="1133"/>
        <w:jc w:val="both"/>
        <w:rPr>
          <w:rFonts w:asciiTheme="minorHAnsi" w:hAnsiTheme="minorHAnsi" w:cstheme="minorHAnsi"/>
          <w:lang w:val="en-GB"/>
        </w:rPr>
      </w:pPr>
      <w:r w:rsidRPr="005A1AF9">
        <w:rPr>
          <w:rFonts w:asciiTheme="minorHAnsi" w:hAnsiTheme="minorHAnsi" w:cstheme="minorHAnsi"/>
          <w:lang w:val="en-GB"/>
        </w:rPr>
        <w:t xml:space="preserve">John A Kanis </w:t>
      </w:r>
    </w:p>
    <w:p w14:paraId="0D5C703A" w14:textId="71B2FEE5" w:rsidR="00CC27AF" w:rsidRPr="005A1AF9" w:rsidRDefault="00CC27AF" w:rsidP="00CC27AF">
      <w:pPr>
        <w:spacing w:line="276" w:lineRule="auto"/>
        <w:ind w:left="567" w:right="1133"/>
        <w:jc w:val="both"/>
        <w:rPr>
          <w:rFonts w:asciiTheme="minorHAnsi" w:hAnsiTheme="minorHAnsi" w:cstheme="minorHAnsi"/>
          <w:lang w:val="en-GB"/>
        </w:rPr>
      </w:pPr>
      <w:r w:rsidRPr="00CC27AF">
        <w:rPr>
          <w:rFonts w:asciiTheme="minorHAnsi" w:hAnsiTheme="minorHAnsi" w:cstheme="minorHAnsi"/>
          <w:lang w:val="en-GB"/>
        </w:rPr>
        <w:t>Centre for Metabolic Bone Diseases, University of Sheffield, Sheffield, UK</w:t>
      </w:r>
    </w:p>
    <w:p w14:paraId="6229A8F9" w14:textId="65541F5D" w:rsidR="00772C05" w:rsidRDefault="00772C05" w:rsidP="00C11242">
      <w:pPr>
        <w:spacing w:line="276" w:lineRule="auto"/>
        <w:ind w:left="567" w:right="1133"/>
        <w:jc w:val="both"/>
        <w:rPr>
          <w:rFonts w:asciiTheme="minorHAnsi" w:hAnsiTheme="minorHAnsi" w:cstheme="minorHAnsi"/>
          <w:lang w:val="fr-FR"/>
        </w:rPr>
      </w:pPr>
      <w:bookmarkStart w:id="2" w:name="_Hlk179897722"/>
      <w:r w:rsidRPr="00C2068A">
        <w:rPr>
          <w:rFonts w:asciiTheme="minorHAnsi" w:hAnsiTheme="minorHAnsi" w:cstheme="minorHAnsi"/>
          <w:lang w:val="fr-FR"/>
        </w:rPr>
        <w:t xml:space="preserve">e-mail: </w:t>
      </w:r>
      <w:bookmarkEnd w:id="2"/>
      <w:r>
        <w:fldChar w:fldCharType="begin"/>
      </w:r>
      <w:r>
        <w:instrText>HYPERLINK "mailto:w.j.pontefract@sheffield.ac.uk"</w:instrText>
      </w:r>
      <w:r>
        <w:fldChar w:fldCharType="separate"/>
      </w:r>
      <w:r w:rsidRPr="00C2068A">
        <w:rPr>
          <w:rStyle w:val="Hyperlink"/>
          <w:rFonts w:asciiTheme="minorHAnsi" w:hAnsiTheme="minorHAnsi" w:cstheme="minorHAnsi"/>
          <w:color w:val="auto"/>
          <w:lang w:val="fr-FR"/>
        </w:rPr>
        <w:t>w.j.pontefract@sheffield.ac.uk</w:t>
      </w:r>
      <w:r>
        <w:rPr>
          <w:rStyle w:val="Hyperlink"/>
          <w:rFonts w:asciiTheme="minorHAnsi" w:hAnsiTheme="minorHAnsi" w:cstheme="minorHAnsi"/>
          <w:color w:val="auto"/>
          <w:lang w:val="fr-FR"/>
        </w:rPr>
        <w:fldChar w:fldCharType="end"/>
      </w:r>
      <w:r w:rsidRPr="00C2068A">
        <w:rPr>
          <w:rFonts w:asciiTheme="minorHAnsi" w:hAnsiTheme="minorHAnsi" w:cstheme="minorHAnsi"/>
          <w:lang w:val="fr-FR"/>
        </w:rPr>
        <w:t xml:space="preserve"> </w:t>
      </w:r>
    </w:p>
    <w:p w14:paraId="0B923F4C" w14:textId="77777777" w:rsidR="003146F2" w:rsidRDefault="003146F2" w:rsidP="00C11242">
      <w:pPr>
        <w:spacing w:line="276" w:lineRule="auto"/>
        <w:ind w:left="567" w:right="1133"/>
        <w:jc w:val="both"/>
        <w:rPr>
          <w:rFonts w:asciiTheme="minorHAnsi" w:hAnsiTheme="minorHAnsi" w:cstheme="minorHAnsi"/>
          <w:lang w:val="fr-FR"/>
        </w:rPr>
      </w:pPr>
    </w:p>
    <w:p w14:paraId="18540FDA" w14:textId="6FA5717C" w:rsidR="003146F2" w:rsidRPr="005F1C60" w:rsidRDefault="00682754" w:rsidP="00C11242">
      <w:pPr>
        <w:spacing w:line="276" w:lineRule="auto"/>
        <w:ind w:left="567" w:right="1133"/>
        <w:jc w:val="both"/>
        <w:rPr>
          <w:rFonts w:asciiTheme="minorHAnsi" w:hAnsiTheme="minorHAnsi" w:cstheme="minorHAnsi"/>
          <w:lang w:val="en-GB"/>
        </w:rPr>
      </w:pPr>
      <w:r w:rsidRPr="005F1C60">
        <w:rPr>
          <w:rFonts w:asciiTheme="minorHAnsi" w:hAnsiTheme="minorHAnsi" w:cstheme="minorHAnsi"/>
          <w:lang w:val="en-GB"/>
        </w:rPr>
        <w:t>Correspondance:</w:t>
      </w:r>
    </w:p>
    <w:p w14:paraId="6B1EC48C" w14:textId="63707181" w:rsidR="005B1F07" w:rsidRPr="005F1C60" w:rsidRDefault="005B1F07" w:rsidP="00C11242">
      <w:pPr>
        <w:spacing w:line="276" w:lineRule="auto"/>
        <w:ind w:left="567" w:right="1133"/>
        <w:jc w:val="both"/>
        <w:rPr>
          <w:rFonts w:asciiTheme="minorHAnsi" w:hAnsiTheme="minorHAnsi" w:cstheme="minorHAnsi"/>
          <w:lang w:val="en-GB"/>
        </w:rPr>
      </w:pPr>
      <w:r w:rsidRPr="005F1C60">
        <w:rPr>
          <w:rFonts w:asciiTheme="minorHAnsi" w:hAnsiTheme="minorHAnsi" w:cstheme="minorHAnsi"/>
          <w:lang w:val="en-GB"/>
        </w:rPr>
        <w:t>Myadagmaa Jaalkhorol</w:t>
      </w:r>
    </w:p>
    <w:p w14:paraId="7CEFC5DB" w14:textId="162F35FB" w:rsidR="005B1F07" w:rsidRDefault="005B1F07" w:rsidP="00C11242">
      <w:pPr>
        <w:spacing w:line="276" w:lineRule="auto"/>
        <w:ind w:left="567" w:right="1133"/>
        <w:jc w:val="both"/>
        <w:rPr>
          <w:rFonts w:asciiTheme="minorHAnsi" w:hAnsiTheme="minorHAnsi" w:cstheme="minorHAnsi"/>
          <w:lang w:val="en-GB"/>
        </w:rPr>
      </w:pPr>
      <w:r w:rsidRPr="005B1F07">
        <w:rPr>
          <w:rFonts w:asciiTheme="minorHAnsi" w:hAnsiTheme="minorHAnsi" w:cstheme="minorHAnsi"/>
          <w:lang w:val="en-GB"/>
        </w:rPr>
        <w:t>Department of Health Research, Graduate School, Mongolian National University of Medical Sciences, Ulaanbaatar, Mongolia</w:t>
      </w:r>
      <w:r w:rsidR="005D69B8">
        <w:rPr>
          <w:rFonts w:asciiTheme="minorHAnsi" w:hAnsiTheme="minorHAnsi" w:cstheme="minorHAnsi"/>
          <w:lang w:val="en-GB"/>
        </w:rPr>
        <w:t>.</w:t>
      </w:r>
    </w:p>
    <w:p w14:paraId="47D76B87" w14:textId="14F2E3C4" w:rsidR="005D69B8" w:rsidRDefault="005D69B8" w:rsidP="00C11242">
      <w:pPr>
        <w:spacing w:line="276" w:lineRule="auto"/>
        <w:ind w:left="567" w:right="1133"/>
        <w:jc w:val="both"/>
        <w:rPr>
          <w:rFonts w:asciiTheme="minorHAnsi" w:hAnsiTheme="minorHAnsi" w:cstheme="minorHAnsi"/>
          <w:lang w:val="en-GB"/>
        </w:rPr>
      </w:pPr>
      <w:r w:rsidRPr="005D69B8">
        <w:rPr>
          <w:rFonts w:asciiTheme="minorHAnsi" w:hAnsiTheme="minorHAnsi" w:cstheme="minorHAnsi"/>
          <w:lang w:val="en-GB"/>
        </w:rPr>
        <w:t>Tel: +976- 99950077</w:t>
      </w:r>
    </w:p>
    <w:p w14:paraId="2A7E1835" w14:textId="578E9F62" w:rsidR="00D544A3" w:rsidRPr="005D69B8" w:rsidRDefault="00D544A3" w:rsidP="00C11242">
      <w:pPr>
        <w:spacing w:line="276" w:lineRule="auto"/>
        <w:ind w:left="567" w:right="1133"/>
        <w:jc w:val="both"/>
        <w:rPr>
          <w:rFonts w:asciiTheme="minorHAnsi" w:hAnsiTheme="minorHAnsi" w:cstheme="minorHAnsi"/>
          <w:lang w:val="fr-FR"/>
        </w:rPr>
      </w:pPr>
      <w:r w:rsidRPr="005D69B8">
        <w:rPr>
          <w:rFonts w:asciiTheme="minorHAnsi" w:hAnsiTheme="minorHAnsi" w:cstheme="minorHAnsi"/>
          <w:lang w:val="fr-FR"/>
        </w:rPr>
        <w:t>e-mail: myadagmaa@mnums.edu.mn</w:t>
      </w:r>
    </w:p>
    <w:p w14:paraId="4B5F1676" w14:textId="77777777" w:rsidR="005B1F07" w:rsidRPr="005D69B8" w:rsidRDefault="005B1F07" w:rsidP="00C11242">
      <w:pPr>
        <w:spacing w:line="276" w:lineRule="auto"/>
        <w:ind w:left="567" w:right="1133"/>
        <w:jc w:val="both"/>
        <w:rPr>
          <w:rFonts w:asciiTheme="minorHAnsi" w:hAnsiTheme="minorHAnsi" w:cstheme="minorHAnsi"/>
          <w:lang w:val="fr-FR"/>
        </w:rPr>
      </w:pPr>
    </w:p>
    <w:p w14:paraId="674411DE" w14:textId="396E5EBF" w:rsidR="00874053" w:rsidRPr="005D69B8" w:rsidRDefault="00874053" w:rsidP="00C11242">
      <w:pPr>
        <w:spacing w:line="276" w:lineRule="auto"/>
        <w:ind w:left="567" w:right="1133"/>
        <w:jc w:val="both"/>
        <w:rPr>
          <w:rFonts w:asciiTheme="minorHAnsi" w:hAnsiTheme="minorHAnsi" w:cstheme="minorHAnsi"/>
          <w:lang w:val="fr-FR"/>
        </w:rPr>
      </w:pPr>
    </w:p>
    <w:tbl>
      <w:tblPr>
        <w:tblStyle w:val="TableGrid"/>
        <w:tblW w:w="0" w:type="auto"/>
        <w:tblInd w:w="567" w:type="dxa"/>
        <w:tblLook w:val="04A0" w:firstRow="1" w:lastRow="0" w:firstColumn="1" w:lastColumn="0" w:noHBand="0" w:noVBand="1"/>
      </w:tblPr>
      <w:tblGrid>
        <w:gridCol w:w="2972"/>
        <w:gridCol w:w="5948"/>
      </w:tblGrid>
      <w:tr w:rsidR="00515737" w:rsidRPr="00C125C9" w14:paraId="6024FEBC" w14:textId="77777777" w:rsidTr="00A07ADC">
        <w:tc>
          <w:tcPr>
            <w:tcW w:w="2972" w:type="dxa"/>
          </w:tcPr>
          <w:p w14:paraId="22282742" w14:textId="2DE53FF8" w:rsidR="00515737" w:rsidRPr="00C125C9" w:rsidRDefault="00C95F52" w:rsidP="00515737">
            <w:pPr>
              <w:spacing w:line="276" w:lineRule="auto"/>
              <w:ind w:right="1133"/>
              <w:jc w:val="both"/>
              <w:rPr>
                <w:rFonts w:asciiTheme="minorHAnsi" w:hAnsiTheme="minorHAnsi" w:cstheme="minorHAnsi"/>
              </w:rPr>
            </w:pPr>
            <w:r w:rsidRPr="00C125C9">
              <w:rPr>
                <w:rFonts w:asciiTheme="minorHAnsi" w:hAnsiTheme="minorHAnsi" w:cstheme="minorHAnsi"/>
                <w:lang w:val="en-GB"/>
              </w:rPr>
              <w:lastRenderedPageBreak/>
              <w:t xml:space="preserve">M </w:t>
            </w:r>
            <w:r w:rsidR="00515737" w:rsidRPr="00C125C9">
              <w:rPr>
                <w:rFonts w:asciiTheme="minorHAnsi" w:hAnsiTheme="minorHAnsi" w:cstheme="minorHAnsi"/>
              </w:rPr>
              <w:t xml:space="preserve">Jaalkhorol </w:t>
            </w:r>
          </w:p>
        </w:tc>
        <w:tc>
          <w:tcPr>
            <w:tcW w:w="5948" w:type="dxa"/>
          </w:tcPr>
          <w:p w14:paraId="7976DDB9" w14:textId="4D31597A" w:rsidR="00515737" w:rsidRPr="00C125C9" w:rsidRDefault="00515737" w:rsidP="00515737">
            <w:pPr>
              <w:spacing w:line="276" w:lineRule="auto"/>
              <w:ind w:right="1133"/>
              <w:jc w:val="both"/>
              <w:rPr>
                <w:rFonts w:asciiTheme="minorHAnsi" w:hAnsiTheme="minorHAnsi" w:cstheme="minorHAnsi"/>
                <w:lang w:val="en-GB"/>
              </w:rPr>
            </w:pPr>
            <w:r w:rsidRPr="00C125C9">
              <w:rPr>
                <w:rFonts w:asciiTheme="minorHAnsi" w:hAnsiTheme="minorHAnsi" w:cstheme="minorHAnsi"/>
                <w:lang w:val="fr-FR"/>
              </w:rPr>
              <w:t>myadagmaa@mnums.edu.mn</w:t>
            </w:r>
          </w:p>
        </w:tc>
      </w:tr>
      <w:tr w:rsidR="009077F8" w:rsidRPr="00C125C9" w14:paraId="6A17813B" w14:textId="77777777" w:rsidTr="00A07ADC">
        <w:tc>
          <w:tcPr>
            <w:tcW w:w="2972" w:type="dxa"/>
          </w:tcPr>
          <w:p w14:paraId="2CDF5893" w14:textId="3D7D17A6" w:rsidR="009077F8" w:rsidRPr="00C125C9" w:rsidRDefault="009077F8"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rPr>
              <w:t>H Johansson</w:t>
            </w:r>
          </w:p>
        </w:tc>
        <w:tc>
          <w:tcPr>
            <w:tcW w:w="5948" w:type="dxa"/>
          </w:tcPr>
          <w:p w14:paraId="0F55CFF4" w14:textId="77F04246" w:rsidR="009077F8" w:rsidRPr="00C125C9" w:rsidRDefault="00C30EDC" w:rsidP="009077F8">
            <w:pPr>
              <w:spacing w:line="276" w:lineRule="auto"/>
              <w:ind w:right="1133"/>
              <w:jc w:val="both"/>
              <w:rPr>
                <w:rFonts w:asciiTheme="minorHAnsi" w:hAnsiTheme="minorHAnsi" w:cstheme="minorHAnsi"/>
                <w:lang w:val="en-GB"/>
              </w:rPr>
            </w:pPr>
            <w:r w:rsidRPr="00C125C9">
              <w:rPr>
                <w:rFonts w:asciiTheme="minorHAnsi" w:hAnsiTheme="minorHAnsi" w:cstheme="minorHAnsi"/>
                <w:lang w:val="en-GB"/>
              </w:rPr>
              <w:t>helena@statiq.se</w:t>
            </w:r>
          </w:p>
        </w:tc>
      </w:tr>
      <w:tr w:rsidR="00BA3083" w:rsidRPr="00C125C9" w14:paraId="10AA4A90" w14:textId="77777777" w:rsidTr="00A07ADC">
        <w:tc>
          <w:tcPr>
            <w:tcW w:w="2972" w:type="dxa"/>
          </w:tcPr>
          <w:p w14:paraId="22C59A1D" w14:textId="12C6C94A" w:rsidR="00BA3083" w:rsidRPr="00C125C9" w:rsidRDefault="00BA3083"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rPr>
              <w:t>S Avirmed</w:t>
            </w:r>
          </w:p>
        </w:tc>
        <w:tc>
          <w:tcPr>
            <w:tcW w:w="5948" w:type="dxa"/>
          </w:tcPr>
          <w:p w14:paraId="11B610AC" w14:textId="6D844D20" w:rsidR="00BA3083" w:rsidRPr="00C125C9" w:rsidRDefault="00BA3083"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rPr>
              <w:t>shiirevnyamba@mnums.edu.mn</w:t>
            </w:r>
          </w:p>
        </w:tc>
      </w:tr>
      <w:tr w:rsidR="00BA3083" w:rsidRPr="00C125C9" w14:paraId="1D2FCC09" w14:textId="77777777" w:rsidTr="00A07ADC">
        <w:tc>
          <w:tcPr>
            <w:tcW w:w="2972" w:type="dxa"/>
          </w:tcPr>
          <w:p w14:paraId="5D689A7D" w14:textId="531CCBE4" w:rsidR="00BA3083" w:rsidRPr="00C125C9" w:rsidRDefault="00BA3083"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rPr>
              <w:t>A Dashtseren</w:t>
            </w:r>
          </w:p>
        </w:tc>
        <w:tc>
          <w:tcPr>
            <w:tcW w:w="5948" w:type="dxa"/>
          </w:tcPr>
          <w:p w14:paraId="10FB8BD3" w14:textId="31118FAE" w:rsidR="00BA3083" w:rsidRPr="00C125C9" w:rsidRDefault="00BA3083"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rPr>
              <w:t>amarsaikhan.d@mnums.edu.mn</w:t>
            </w:r>
          </w:p>
        </w:tc>
      </w:tr>
      <w:tr w:rsidR="00BA3083" w:rsidRPr="00C125C9" w14:paraId="6771C3FC" w14:textId="77777777" w:rsidTr="00A07ADC">
        <w:tc>
          <w:tcPr>
            <w:tcW w:w="2972" w:type="dxa"/>
          </w:tcPr>
          <w:p w14:paraId="03AC8D5E" w14:textId="5643282A" w:rsidR="00BA3083" w:rsidRPr="00C125C9" w:rsidRDefault="00C125C9"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lang w:val="en-GB"/>
              </w:rPr>
              <w:t xml:space="preserve">O </w:t>
            </w:r>
            <w:r w:rsidR="00BA3083" w:rsidRPr="00C125C9">
              <w:rPr>
                <w:rFonts w:asciiTheme="minorHAnsi" w:hAnsiTheme="minorHAnsi" w:cstheme="minorHAnsi"/>
              </w:rPr>
              <w:t xml:space="preserve">Bruyère </w:t>
            </w:r>
          </w:p>
        </w:tc>
        <w:tc>
          <w:tcPr>
            <w:tcW w:w="5948" w:type="dxa"/>
          </w:tcPr>
          <w:p w14:paraId="0DB803AD" w14:textId="697035ED" w:rsidR="00BA3083" w:rsidRPr="00C125C9" w:rsidRDefault="00BA3083" w:rsidP="00BA3083">
            <w:pPr>
              <w:spacing w:line="276" w:lineRule="auto"/>
              <w:ind w:right="1133"/>
              <w:jc w:val="both"/>
              <w:rPr>
                <w:rFonts w:asciiTheme="minorHAnsi" w:hAnsiTheme="minorHAnsi" w:cstheme="minorHAnsi"/>
                <w:lang w:val="fr-FR"/>
              </w:rPr>
            </w:pPr>
            <w:r w:rsidRPr="00C125C9">
              <w:rPr>
                <w:rFonts w:asciiTheme="minorHAnsi" w:hAnsiTheme="minorHAnsi" w:cstheme="minorHAnsi"/>
              </w:rPr>
              <w:t>Olivier.Bruyere@uliege.be</w:t>
            </w:r>
          </w:p>
        </w:tc>
      </w:tr>
      <w:tr w:rsidR="009077F8" w:rsidRPr="00C125C9" w14:paraId="4B6D5F1A" w14:textId="77777777" w:rsidTr="00A07ADC">
        <w:tc>
          <w:tcPr>
            <w:tcW w:w="2972" w:type="dxa"/>
          </w:tcPr>
          <w:p w14:paraId="6FFB3300" w14:textId="67E24A8F" w:rsidR="009077F8" w:rsidRPr="00C125C9" w:rsidRDefault="009077F8"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rPr>
              <w:t>M Lorentzon</w:t>
            </w:r>
          </w:p>
        </w:tc>
        <w:tc>
          <w:tcPr>
            <w:tcW w:w="5948" w:type="dxa"/>
          </w:tcPr>
          <w:p w14:paraId="12E08C27" w14:textId="7E3F719D" w:rsidR="009077F8" w:rsidRPr="00C125C9" w:rsidRDefault="00075283"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lang w:val="fr-FR"/>
              </w:rPr>
              <w:t>mattias.lorentzon@medic.gu.se</w:t>
            </w:r>
          </w:p>
        </w:tc>
      </w:tr>
      <w:tr w:rsidR="009077F8" w:rsidRPr="00C125C9" w14:paraId="794C72B4" w14:textId="77777777" w:rsidTr="00A07ADC">
        <w:tc>
          <w:tcPr>
            <w:tcW w:w="2972" w:type="dxa"/>
          </w:tcPr>
          <w:p w14:paraId="3DE6455B" w14:textId="440AEBC4" w:rsidR="009077F8" w:rsidRPr="00C125C9" w:rsidRDefault="009077F8" w:rsidP="009077F8">
            <w:pPr>
              <w:spacing w:line="276" w:lineRule="auto"/>
              <w:ind w:right="1133"/>
              <w:jc w:val="both"/>
              <w:rPr>
                <w:rFonts w:asciiTheme="minorHAnsi" w:hAnsiTheme="minorHAnsi" w:cstheme="minorHAnsi"/>
                <w:lang w:val="en-GB"/>
              </w:rPr>
            </w:pPr>
            <w:r w:rsidRPr="00C125C9">
              <w:rPr>
                <w:rFonts w:asciiTheme="minorHAnsi" w:hAnsiTheme="minorHAnsi" w:cstheme="minorHAnsi"/>
              </w:rPr>
              <w:t>NC</w:t>
            </w:r>
            <w:r w:rsidRPr="00C125C9">
              <w:rPr>
                <w:rFonts w:asciiTheme="minorHAnsi" w:hAnsiTheme="minorHAnsi" w:cstheme="minorHAnsi"/>
                <w:lang w:val="en-GB"/>
              </w:rPr>
              <w:t xml:space="preserve"> </w:t>
            </w:r>
            <w:r w:rsidRPr="00C125C9">
              <w:rPr>
                <w:rFonts w:asciiTheme="minorHAnsi" w:hAnsiTheme="minorHAnsi" w:cstheme="minorHAnsi"/>
              </w:rPr>
              <w:t>Harvey</w:t>
            </w:r>
          </w:p>
        </w:tc>
        <w:tc>
          <w:tcPr>
            <w:tcW w:w="5948" w:type="dxa"/>
          </w:tcPr>
          <w:p w14:paraId="45FF96E4" w14:textId="3FEFF6BE" w:rsidR="009077F8" w:rsidRPr="00C125C9" w:rsidRDefault="00C33310" w:rsidP="009077F8">
            <w:pPr>
              <w:spacing w:line="276" w:lineRule="auto"/>
              <w:ind w:right="1133"/>
              <w:jc w:val="both"/>
              <w:rPr>
                <w:rFonts w:asciiTheme="minorHAnsi" w:hAnsiTheme="minorHAnsi" w:cstheme="minorHAnsi"/>
                <w:lang w:val="en-GB"/>
              </w:rPr>
            </w:pPr>
            <w:r w:rsidRPr="00C125C9">
              <w:rPr>
                <w:rFonts w:asciiTheme="minorHAnsi" w:hAnsiTheme="minorHAnsi" w:cstheme="minorHAnsi"/>
                <w:lang w:val="en-GB"/>
              </w:rPr>
              <w:t>nch@mrc.soton.ac.uk</w:t>
            </w:r>
          </w:p>
        </w:tc>
      </w:tr>
      <w:tr w:rsidR="009077F8" w:rsidRPr="00C125C9" w14:paraId="7336859E" w14:textId="77777777" w:rsidTr="00A07ADC">
        <w:tc>
          <w:tcPr>
            <w:tcW w:w="2972" w:type="dxa"/>
          </w:tcPr>
          <w:p w14:paraId="04D96758" w14:textId="406B31DB" w:rsidR="009077F8" w:rsidRPr="00C125C9" w:rsidRDefault="009077F8"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rPr>
              <w:t>EV McCloskey</w:t>
            </w:r>
          </w:p>
        </w:tc>
        <w:tc>
          <w:tcPr>
            <w:tcW w:w="5948" w:type="dxa"/>
          </w:tcPr>
          <w:p w14:paraId="235E4980" w14:textId="0C50385A" w:rsidR="009077F8" w:rsidRPr="00C125C9" w:rsidRDefault="00F62B90"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lang w:val="fr-FR"/>
              </w:rPr>
              <w:t>e.v.mccloskey@sheffield.ac.uk</w:t>
            </w:r>
          </w:p>
        </w:tc>
      </w:tr>
      <w:tr w:rsidR="009077F8" w:rsidRPr="00C125C9" w14:paraId="73AD9148" w14:textId="77777777" w:rsidTr="00A07ADC">
        <w:tc>
          <w:tcPr>
            <w:tcW w:w="2972" w:type="dxa"/>
          </w:tcPr>
          <w:p w14:paraId="0DB1019A" w14:textId="06ED63EE" w:rsidR="009077F8" w:rsidRPr="00C125C9" w:rsidRDefault="009077F8"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rPr>
              <w:t>JA Kanis</w:t>
            </w:r>
          </w:p>
        </w:tc>
        <w:tc>
          <w:tcPr>
            <w:tcW w:w="5948" w:type="dxa"/>
          </w:tcPr>
          <w:p w14:paraId="5A972685" w14:textId="055EBEF8" w:rsidR="009077F8" w:rsidRPr="00C125C9" w:rsidRDefault="00FA46EA" w:rsidP="009077F8">
            <w:pPr>
              <w:spacing w:line="276" w:lineRule="auto"/>
              <w:ind w:right="1133"/>
              <w:jc w:val="both"/>
              <w:rPr>
                <w:rFonts w:asciiTheme="minorHAnsi" w:hAnsiTheme="minorHAnsi" w:cstheme="minorHAnsi"/>
                <w:lang w:val="fr-FR"/>
              </w:rPr>
            </w:pPr>
            <w:r w:rsidRPr="00C125C9">
              <w:rPr>
                <w:rFonts w:asciiTheme="minorHAnsi" w:hAnsiTheme="minorHAnsi" w:cstheme="minorHAnsi"/>
                <w:lang w:val="fr-FR"/>
              </w:rPr>
              <w:t>w.j.pontefract@sheffield.ac.uk</w:t>
            </w:r>
          </w:p>
        </w:tc>
      </w:tr>
    </w:tbl>
    <w:p w14:paraId="7344433A" w14:textId="77777777" w:rsidR="00D9601A" w:rsidRPr="00C2068A" w:rsidRDefault="00D9601A" w:rsidP="00C11242">
      <w:pPr>
        <w:spacing w:line="276" w:lineRule="auto"/>
        <w:ind w:left="567" w:right="1133"/>
        <w:jc w:val="both"/>
        <w:rPr>
          <w:rFonts w:asciiTheme="minorHAnsi" w:hAnsiTheme="minorHAnsi" w:cstheme="minorHAnsi"/>
          <w:lang w:val="fr-FR"/>
        </w:rPr>
      </w:pPr>
    </w:p>
    <w:p w14:paraId="1CD4020E" w14:textId="77777777" w:rsidR="003C4AA2" w:rsidRPr="00C2068A" w:rsidRDefault="003C4AA2" w:rsidP="00C11242">
      <w:pPr>
        <w:spacing w:line="276" w:lineRule="auto"/>
        <w:ind w:left="567" w:right="1133"/>
        <w:jc w:val="both"/>
        <w:rPr>
          <w:rFonts w:asciiTheme="minorHAnsi" w:hAnsiTheme="minorHAnsi" w:cstheme="minorHAnsi"/>
          <w:color w:val="FF0000"/>
          <w:lang w:val="fr-FR"/>
        </w:rPr>
      </w:pPr>
      <w:r w:rsidRPr="00C2068A">
        <w:rPr>
          <w:rFonts w:asciiTheme="minorHAnsi" w:hAnsiTheme="minorHAnsi" w:cstheme="minorHAnsi"/>
          <w:color w:val="FF0000"/>
          <w:lang w:val="fr-FR"/>
        </w:rPr>
        <w:br w:type="page"/>
      </w:r>
    </w:p>
    <w:p w14:paraId="75075515" w14:textId="775172CB" w:rsidR="00606BB7" w:rsidRPr="00DA6ACD" w:rsidRDefault="00606BB7" w:rsidP="00936AFC">
      <w:pPr>
        <w:keepNext/>
        <w:keepLines/>
        <w:spacing w:before="200" w:line="276" w:lineRule="auto"/>
        <w:ind w:left="567" w:right="142"/>
        <w:jc w:val="both"/>
        <w:outlineLvl w:val="1"/>
        <w:rPr>
          <w:rFonts w:asciiTheme="minorHAnsi" w:hAnsiTheme="minorHAnsi" w:cstheme="minorHAnsi"/>
          <w:b/>
          <w:bCs/>
          <w:lang w:val="en-GB"/>
        </w:rPr>
      </w:pPr>
      <w:r w:rsidRPr="00DA6ACD">
        <w:rPr>
          <w:rFonts w:asciiTheme="minorHAnsi" w:hAnsiTheme="minorHAnsi" w:cstheme="minorHAnsi"/>
          <w:b/>
          <w:bCs/>
          <w:lang w:val="en-GB"/>
        </w:rPr>
        <w:lastRenderedPageBreak/>
        <w:t>Abstract</w:t>
      </w:r>
    </w:p>
    <w:p w14:paraId="191A9425" w14:textId="4F8074C4" w:rsidR="00F6667E" w:rsidRPr="00DA6ACD" w:rsidRDefault="00F25992" w:rsidP="00936AFC">
      <w:pPr>
        <w:keepNext/>
        <w:keepLines/>
        <w:spacing w:before="200" w:after="240" w:line="276" w:lineRule="auto"/>
        <w:ind w:left="567" w:right="142"/>
        <w:jc w:val="both"/>
        <w:outlineLvl w:val="1"/>
        <w:rPr>
          <w:rFonts w:asciiTheme="minorHAnsi" w:hAnsiTheme="minorHAnsi" w:cstheme="minorHAnsi"/>
          <w:bCs/>
          <w:lang w:val="en-GB"/>
        </w:rPr>
      </w:pPr>
      <w:r w:rsidRPr="00DA6ACD">
        <w:rPr>
          <w:rFonts w:asciiTheme="minorHAnsi" w:hAnsiTheme="minorHAnsi" w:cstheme="minorHAnsi"/>
          <w:b/>
          <w:bCs/>
          <w:lang w:val="en-GB"/>
        </w:rPr>
        <w:t>Summary</w:t>
      </w:r>
      <w:r w:rsidRPr="00DA6ACD">
        <w:rPr>
          <w:rFonts w:asciiTheme="minorHAnsi" w:hAnsiTheme="minorHAnsi" w:cstheme="minorHAnsi"/>
          <w:bCs/>
          <w:lang w:val="en-GB"/>
        </w:rPr>
        <w:t xml:space="preserve"> A surrogate FRAX® model for </w:t>
      </w:r>
      <w:r w:rsidR="005C264C">
        <w:rPr>
          <w:rFonts w:asciiTheme="minorHAnsi" w:hAnsiTheme="minorHAnsi" w:cstheme="minorHAnsi"/>
          <w:bCs/>
          <w:lang w:val="en-GB"/>
        </w:rPr>
        <w:t>Mongolia</w:t>
      </w:r>
      <w:r w:rsidRPr="00DA6ACD">
        <w:rPr>
          <w:rFonts w:asciiTheme="minorHAnsi" w:hAnsiTheme="minorHAnsi" w:cstheme="minorHAnsi"/>
          <w:bCs/>
          <w:lang w:val="en-GB"/>
        </w:rPr>
        <w:t xml:space="preserve"> has been constructed using age-</w:t>
      </w:r>
      <w:r w:rsidR="002E10E7" w:rsidRPr="00DA6ACD">
        <w:rPr>
          <w:rFonts w:asciiTheme="minorHAnsi" w:hAnsiTheme="minorHAnsi" w:cstheme="minorHAnsi"/>
          <w:bCs/>
          <w:lang w:val="en-GB"/>
        </w:rPr>
        <w:t>and se</w:t>
      </w:r>
      <w:r w:rsidR="00052801" w:rsidRPr="00DA6ACD">
        <w:rPr>
          <w:rFonts w:asciiTheme="minorHAnsi" w:hAnsiTheme="minorHAnsi" w:cstheme="minorHAnsi"/>
          <w:bCs/>
          <w:lang w:val="en-GB"/>
        </w:rPr>
        <w:t>x-</w:t>
      </w:r>
      <w:r w:rsidRPr="00DA6ACD">
        <w:rPr>
          <w:rFonts w:asciiTheme="minorHAnsi" w:hAnsiTheme="minorHAnsi" w:cstheme="minorHAnsi"/>
          <w:bCs/>
          <w:lang w:val="en-GB"/>
        </w:rPr>
        <w:t xml:space="preserve">specific </w:t>
      </w:r>
      <w:r w:rsidR="003C085E" w:rsidRPr="00DA6ACD">
        <w:rPr>
          <w:rFonts w:asciiTheme="minorHAnsi" w:hAnsiTheme="minorHAnsi" w:cstheme="minorHAnsi"/>
          <w:bCs/>
          <w:lang w:val="en-GB"/>
        </w:rPr>
        <w:t xml:space="preserve">hip </w:t>
      </w:r>
      <w:r w:rsidR="00B32AA9" w:rsidRPr="00DA6ACD">
        <w:rPr>
          <w:rFonts w:asciiTheme="minorHAnsi" w:hAnsiTheme="minorHAnsi" w:cstheme="minorHAnsi"/>
          <w:bCs/>
          <w:lang w:val="en-GB"/>
        </w:rPr>
        <w:t xml:space="preserve">fracture rates </w:t>
      </w:r>
      <w:r w:rsidRPr="00DA6ACD">
        <w:rPr>
          <w:rFonts w:asciiTheme="minorHAnsi" w:hAnsiTheme="minorHAnsi" w:cstheme="minorHAnsi"/>
          <w:bCs/>
          <w:lang w:val="en-GB"/>
        </w:rPr>
        <w:t xml:space="preserve">for </w:t>
      </w:r>
      <w:r w:rsidR="00327B9C">
        <w:rPr>
          <w:rFonts w:asciiTheme="minorHAnsi" w:hAnsiTheme="minorHAnsi" w:cstheme="minorHAnsi"/>
          <w:bCs/>
          <w:lang w:val="en-GB"/>
        </w:rPr>
        <w:t>mainland China</w:t>
      </w:r>
      <w:r w:rsidRPr="00DA6ACD">
        <w:rPr>
          <w:rFonts w:asciiTheme="minorHAnsi" w:hAnsiTheme="minorHAnsi" w:cstheme="minorHAnsi"/>
          <w:bCs/>
          <w:lang w:val="en-GB"/>
        </w:rPr>
        <w:t xml:space="preserve"> and age-</w:t>
      </w:r>
      <w:r w:rsidR="00052801" w:rsidRPr="00DA6ACD">
        <w:rPr>
          <w:rFonts w:asciiTheme="minorHAnsi" w:hAnsiTheme="minorHAnsi" w:cstheme="minorHAnsi"/>
          <w:bCs/>
          <w:lang w:val="en-GB"/>
        </w:rPr>
        <w:t>and sex-</w:t>
      </w:r>
      <w:r w:rsidRPr="00DA6ACD">
        <w:rPr>
          <w:rFonts w:asciiTheme="minorHAnsi" w:hAnsiTheme="minorHAnsi" w:cstheme="minorHAnsi"/>
          <w:bCs/>
          <w:lang w:val="en-GB"/>
        </w:rPr>
        <w:t xml:space="preserve">specific mortality rates from </w:t>
      </w:r>
      <w:r w:rsidR="00327B9C">
        <w:rPr>
          <w:rFonts w:asciiTheme="minorHAnsi" w:hAnsiTheme="minorHAnsi" w:cstheme="minorHAnsi"/>
          <w:bCs/>
          <w:lang w:val="en-GB"/>
        </w:rPr>
        <w:t>Mongolia</w:t>
      </w:r>
      <w:r w:rsidR="00F6667E" w:rsidRPr="00DA6ACD">
        <w:rPr>
          <w:rFonts w:asciiTheme="minorHAnsi" w:hAnsiTheme="minorHAnsi" w:cstheme="minorHAnsi"/>
          <w:bCs/>
          <w:lang w:val="en-GB"/>
        </w:rPr>
        <w:t>.</w:t>
      </w:r>
    </w:p>
    <w:p w14:paraId="23C2E67F" w14:textId="214584C5" w:rsidR="00606BB7" w:rsidRPr="00BB7441" w:rsidRDefault="00A1284A" w:rsidP="00936AFC">
      <w:pPr>
        <w:keepNext/>
        <w:keepLines/>
        <w:spacing w:before="200" w:after="240" w:line="276" w:lineRule="auto"/>
        <w:ind w:left="567" w:right="142"/>
        <w:jc w:val="both"/>
        <w:outlineLvl w:val="1"/>
        <w:rPr>
          <w:rFonts w:asciiTheme="minorHAnsi" w:hAnsiTheme="minorHAnsi" w:cstheme="minorHAnsi"/>
          <w:bCs/>
          <w:lang w:val="en-GB"/>
        </w:rPr>
      </w:pPr>
      <w:r w:rsidRPr="00BB7441">
        <w:rPr>
          <w:rFonts w:asciiTheme="minorHAnsi" w:hAnsiTheme="minorHAnsi" w:cstheme="minorHAnsi"/>
          <w:b/>
          <w:lang w:val="en-GB"/>
        </w:rPr>
        <w:t>Introduction</w:t>
      </w:r>
      <w:r w:rsidRPr="00BB7441">
        <w:rPr>
          <w:rFonts w:asciiTheme="minorHAnsi" w:hAnsiTheme="minorHAnsi" w:cstheme="minorHAnsi"/>
          <w:bCs/>
          <w:lang w:val="en-GB"/>
        </w:rPr>
        <w:t xml:space="preserve"> </w:t>
      </w:r>
      <w:r w:rsidR="00F25992" w:rsidRPr="00BB7441">
        <w:rPr>
          <w:rFonts w:asciiTheme="minorHAnsi" w:hAnsiTheme="minorHAnsi" w:cstheme="minorHAnsi"/>
          <w:bCs/>
          <w:lang w:val="en-GB"/>
        </w:rPr>
        <w:t xml:space="preserve">FRAX models are frequently requested for countries with little or no data on the incidence of hip fracture. In such circumstances, </w:t>
      </w:r>
      <w:r w:rsidR="00192459" w:rsidRPr="00BB7441">
        <w:rPr>
          <w:rFonts w:asciiTheme="minorHAnsi" w:hAnsiTheme="minorHAnsi" w:cstheme="minorHAnsi"/>
          <w:bCs/>
          <w:lang w:val="en-GB"/>
        </w:rPr>
        <w:t xml:space="preserve">the development of a surrogate FRAX model </w:t>
      </w:r>
      <w:r w:rsidR="00CB79D2">
        <w:rPr>
          <w:rFonts w:asciiTheme="minorHAnsi" w:hAnsiTheme="minorHAnsi" w:cstheme="minorHAnsi"/>
          <w:bCs/>
          <w:lang w:val="en-GB"/>
        </w:rPr>
        <w:t>is</w:t>
      </w:r>
      <w:r w:rsidR="00F25992" w:rsidRPr="00BB7441">
        <w:rPr>
          <w:rFonts w:asciiTheme="minorHAnsi" w:hAnsiTheme="minorHAnsi" w:cstheme="minorHAnsi"/>
          <w:bCs/>
          <w:lang w:val="en-GB"/>
        </w:rPr>
        <w:t xml:space="preserve"> </w:t>
      </w:r>
      <w:r w:rsidR="00606BB7" w:rsidRPr="00BB7441">
        <w:rPr>
          <w:rFonts w:asciiTheme="minorHAnsi" w:hAnsiTheme="minorHAnsi" w:cstheme="minorHAnsi"/>
          <w:bCs/>
          <w:lang w:val="en-GB"/>
        </w:rPr>
        <w:t>recommend</w:t>
      </w:r>
      <w:r w:rsidR="00F25992" w:rsidRPr="00BB7441">
        <w:rPr>
          <w:rFonts w:asciiTheme="minorHAnsi" w:hAnsiTheme="minorHAnsi" w:cstheme="minorHAnsi"/>
          <w:bCs/>
          <w:lang w:val="en-GB"/>
        </w:rPr>
        <w:t>ed</w:t>
      </w:r>
      <w:r w:rsidR="00CB79D2">
        <w:rPr>
          <w:rFonts w:asciiTheme="minorHAnsi" w:hAnsiTheme="minorHAnsi" w:cstheme="minorHAnsi"/>
          <w:bCs/>
          <w:lang w:val="en-GB"/>
        </w:rPr>
        <w:t xml:space="preserve"> </w:t>
      </w:r>
      <w:r w:rsidR="00606BB7" w:rsidRPr="00BB7441">
        <w:rPr>
          <w:rFonts w:asciiTheme="minorHAnsi" w:hAnsiTheme="minorHAnsi" w:cstheme="minorHAnsi"/>
          <w:bCs/>
          <w:lang w:val="en-GB"/>
        </w:rPr>
        <w:t xml:space="preserve">based on country-specific </w:t>
      </w:r>
      <w:r w:rsidR="00F25992" w:rsidRPr="00BB7441">
        <w:rPr>
          <w:rFonts w:asciiTheme="minorHAnsi" w:hAnsiTheme="minorHAnsi" w:cstheme="minorHAnsi"/>
          <w:bCs/>
          <w:lang w:val="en-GB"/>
        </w:rPr>
        <w:t>mortality data</w:t>
      </w:r>
      <w:r w:rsidR="00606BB7" w:rsidRPr="00BB7441">
        <w:rPr>
          <w:rFonts w:asciiTheme="minorHAnsi" w:hAnsiTheme="minorHAnsi" w:cstheme="minorHAnsi"/>
          <w:bCs/>
          <w:lang w:val="en-GB"/>
        </w:rPr>
        <w:t xml:space="preserve"> </w:t>
      </w:r>
      <w:r w:rsidR="00F25992" w:rsidRPr="00BB7441">
        <w:rPr>
          <w:rFonts w:asciiTheme="minorHAnsi" w:hAnsiTheme="minorHAnsi" w:cstheme="minorHAnsi"/>
          <w:bCs/>
          <w:lang w:val="en-GB"/>
        </w:rPr>
        <w:t xml:space="preserve">but using </w:t>
      </w:r>
      <w:r w:rsidR="00606BB7" w:rsidRPr="00BB7441">
        <w:rPr>
          <w:rFonts w:asciiTheme="minorHAnsi" w:hAnsiTheme="minorHAnsi" w:cstheme="minorHAnsi"/>
          <w:bCs/>
          <w:lang w:val="en-GB"/>
        </w:rPr>
        <w:t xml:space="preserve">fracture data </w:t>
      </w:r>
      <w:r w:rsidR="00F25992" w:rsidRPr="00BB7441">
        <w:rPr>
          <w:rFonts w:asciiTheme="minorHAnsi" w:hAnsiTheme="minorHAnsi" w:cstheme="minorHAnsi"/>
          <w:bCs/>
          <w:lang w:val="en-GB"/>
        </w:rPr>
        <w:t>from a</w:t>
      </w:r>
      <w:r w:rsidR="00606BB7" w:rsidRPr="00BB7441">
        <w:rPr>
          <w:rFonts w:asciiTheme="minorHAnsi" w:hAnsiTheme="minorHAnsi" w:cstheme="minorHAnsi"/>
          <w:bCs/>
          <w:lang w:val="en-GB"/>
        </w:rPr>
        <w:t xml:space="preserve"> country</w:t>
      </w:r>
      <w:r w:rsidR="00F25992" w:rsidRPr="00BB7441">
        <w:rPr>
          <w:rFonts w:asciiTheme="minorHAnsi" w:hAnsiTheme="minorHAnsi" w:cstheme="minorHAnsi"/>
          <w:bCs/>
          <w:lang w:val="en-GB"/>
        </w:rPr>
        <w:t>, usually within the region,</w:t>
      </w:r>
      <w:r w:rsidR="00606BB7" w:rsidRPr="00BB7441">
        <w:rPr>
          <w:rFonts w:asciiTheme="minorHAnsi" w:hAnsiTheme="minorHAnsi" w:cstheme="minorHAnsi"/>
          <w:bCs/>
          <w:lang w:val="en-GB"/>
        </w:rPr>
        <w:t xml:space="preserve"> where fracture rates </w:t>
      </w:r>
      <w:r w:rsidR="0093729A" w:rsidRPr="00BB7441">
        <w:rPr>
          <w:rFonts w:asciiTheme="minorHAnsi" w:hAnsiTheme="minorHAnsi" w:cstheme="minorHAnsi"/>
          <w:bCs/>
          <w:lang w:val="en-GB"/>
        </w:rPr>
        <w:t xml:space="preserve">are </w:t>
      </w:r>
      <w:r w:rsidR="00606BB7" w:rsidRPr="00BB7441">
        <w:rPr>
          <w:rFonts w:asciiTheme="minorHAnsi" w:hAnsiTheme="minorHAnsi" w:cstheme="minorHAnsi"/>
          <w:bCs/>
          <w:lang w:val="en-GB"/>
        </w:rPr>
        <w:t>considered to be representative of the index country</w:t>
      </w:r>
      <w:r w:rsidR="00D74A1F" w:rsidRPr="00BB7441">
        <w:rPr>
          <w:rFonts w:asciiTheme="minorHAnsi" w:hAnsiTheme="minorHAnsi" w:cstheme="minorHAnsi"/>
          <w:bCs/>
          <w:lang w:val="en-GB"/>
        </w:rPr>
        <w:t>.</w:t>
      </w:r>
    </w:p>
    <w:p w14:paraId="216022F7" w14:textId="53DB8079" w:rsidR="00606BB7" w:rsidRPr="00D21C6E" w:rsidRDefault="00F6667E" w:rsidP="00936AFC">
      <w:pPr>
        <w:spacing w:after="200" w:line="276" w:lineRule="auto"/>
        <w:ind w:left="567" w:right="142"/>
        <w:rPr>
          <w:rFonts w:asciiTheme="minorHAnsi" w:hAnsiTheme="minorHAnsi" w:cstheme="minorHAnsi"/>
          <w:lang w:val="en-GB"/>
        </w:rPr>
      </w:pPr>
      <w:r w:rsidRPr="00D21C6E">
        <w:rPr>
          <w:rFonts w:asciiTheme="minorHAnsi" w:hAnsiTheme="minorHAnsi" w:cstheme="minorHAnsi"/>
          <w:b/>
          <w:bCs/>
          <w:iCs/>
          <w:lang w:val="en-GB"/>
        </w:rPr>
        <w:t>Objective</w:t>
      </w:r>
      <w:r w:rsidRPr="00D21C6E">
        <w:rPr>
          <w:rFonts w:asciiTheme="minorHAnsi" w:hAnsiTheme="minorHAnsi" w:cstheme="minorHAnsi"/>
          <w:lang w:val="en-GB"/>
        </w:rPr>
        <w:t xml:space="preserve"> This </w:t>
      </w:r>
      <w:r w:rsidR="002E10E7" w:rsidRPr="00D21C6E">
        <w:rPr>
          <w:rFonts w:asciiTheme="minorHAnsi" w:hAnsiTheme="minorHAnsi" w:cstheme="minorHAnsi"/>
          <w:lang w:val="en-GB"/>
        </w:rPr>
        <w:t>repo</w:t>
      </w:r>
      <w:r w:rsidRPr="00D21C6E">
        <w:rPr>
          <w:rFonts w:asciiTheme="minorHAnsi" w:hAnsiTheme="minorHAnsi" w:cstheme="minorHAnsi"/>
          <w:lang w:val="en-GB"/>
        </w:rPr>
        <w:t>r</w:t>
      </w:r>
      <w:r w:rsidR="002E10E7" w:rsidRPr="00D21C6E">
        <w:rPr>
          <w:rFonts w:asciiTheme="minorHAnsi" w:hAnsiTheme="minorHAnsi" w:cstheme="minorHAnsi"/>
          <w:lang w:val="en-GB"/>
        </w:rPr>
        <w:t>t</w:t>
      </w:r>
      <w:r w:rsidRPr="00D21C6E">
        <w:rPr>
          <w:rFonts w:asciiTheme="minorHAnsi" w:hAnsiTheme="minorHAnsi" w:cstheme="minorHAnsi"/>
          <w:lang w:val="en-GB"/>
        </w:rPr>
        <w:t xml:space="preserve"> describes </w:t>
      </w:r>
      <w:r w:rsidR="00D74A1F" w:rsidRPr="00D21C6E">
        <w:rPr>
          <w:rFonts w:asciiTheme="minorHAnsi" w:hAnsiTheme="minorHAnsi" w:cstheme="minorHAnsi"/>
          <w:lang w:val="en-GB"/>
        </w:rPr>
        <w:t xml:space="preserve">the development and characteristics of a </w:t>
      </w:r>
      <w:r w:rsidR="00606BB7" w:rsidRPr="00D21C6E">
        <w:rPr>
          <w:rFonts w:asciiTheme="minorHAnsi" w:hAnsiTheme="minorHAnsi" w:cstheme="minorHAnsi"/>
          <w:lang w:val="en-GB"/>
        </w:rPr>
        <w:t xml:space="preserve">surrogate FRAX model for </w:t>
      </w:r>
      <w:r w:rsidR="00327B9C">
        <w:rPr>
          <w:rFonts w:asciiTheme="minorHAnsi" w:hAnsiTheme="minorHAnsi" w:cstheme="minorHAnsi"/>
          <w:lang w:val="en-GB"/>
        </w:rPr>
        <w:t>Mongolia</w:t>
      </w:r>
      <w:r w:rsidR="00F25992" w:rsidRPr="00D21C6E">
        <w:rPr>
          <w:rFonts w:asciiTheme="minorHAnsi" w:hAnsiTheme="minorHAnsi" w:cstheme="minorHAnsi"/>
          <w:lang w:val="en-GB"/>
        </w:rPr>
        <w:t>.</w:t>
      </w:r>
    </w:p>
    <w:p w14:paraId="681B180C" w14:textId="6FA0EB1F" w:rsidR="00F6667E" w:rsidRPr="006267FE" w:rsidRDefault="00A1284A" w:rsidP="00936AFC">
      <w:pPr>
        <w:spacing w:after="200" w:line="276" w:lineRule="auto"/>
        <w:ind w:left="567" w:right="142"/>
        <w:rPr>
          <w:rFonts w:asciiTheme="minorHAnsi" w:hAnsiTheme="minorHAnsi" w:cstheme="minorHAnsi"/>
          <w:highlight w:val="yellow"/>
          <w:lang w:val="en-GB"/>
        </w:rPr>
      </w:pPr>
      <w:r w:rsidRPr="00D21C6E">
        <w:rPr>
          <w:rFonts w:asciiTheme="minorHAnsi" w:hAnsiTheme="minorHAnsi" w:cstheme="minorHAnsi"/>
          <w:b/>
          <w:bCs/>
          <w:lang w:val="en-GB"/>
        </w:rPr>
        <w:t>Methods</w:t>
      </w:r>
      <w:r w:rsidRPr="00D21C6E">
        <w:rPr>
          <w:rFonts w:asciiTheme="minorHAnsi" w:hAnsiTheme="minorHAnsi" w:cstheme="minorHAnsi"/>
          <w:lang w:val="en-GB"/>
        </w:rPr>
        <w:t xml:space="preserve"> </w:t>
      </w:r>
      <w:r w:rsidR="00606BB7" w:rsidRPr="00D21C6E">
        <w:rPr>
          <w:rFonts w:asciiTheme="minorHAnsi" w:hAnsiTheme="minorHAnsi" w:cstheme="minorHAnsi"/>
          <w:lang w:val="en-GB"/>
        </w:rPr>
        <w:t xml:space="preserve">The FRAX model used the </w:t>
      </w:r>
      <w:r w:rsidR="0053029C" w:rsidRPr="00D21C6E">
        <w:rPr>
          <w:rFonts w:asciiTheme="minorHAnsi" w:hAnsiTheme="minorHAnsi" w:cstheme="minorHAnsi"/>
          <w:lang w:val="en-GB"/>
        </w:rPr>
        <w:t xml:space="preserve">ethnic-specific </w:t>
      </w:r>
      <w:r w:rsidR="00606BB7" w:rsidRPr="00D21C6E">
        <w:rPr>
          <w:rFonts w:asciiTheme="minorHAnsi" w:hAnsiTheme="minorHAnsi" w:cstheme="minorHAnsi"/>
          <w:lang w:val="en-GB"/>
        </w:rPr>
        <w:t xml:space="preserve">incidence of hip fracture </w:t>
      </w:r>
      <w:r w:rsidR="00D21C6E">
        <w:rPr>
          <w:rFonts w:asciiTheme="minorHAnsi" w:hAnsiTheme="minorHAnsi" w:cstheme="minorHAnsi"/>
          <w:lang w:val="en-GB"/>
        </w:rPr>
        <w:t xml:space="preserve">of </w:t>
      </w:r>
      <w:r w:rsidR="006267FE">
        <w:rPr>
          <w:rFonts w:asciiTheme="minorHAnsi" w:hAnsiTheme="minorHAnsi" w:cstheme="minorHAnsi"/>
          <w:lang w:val="en-GB"/>
        </w:rPr>
        <w:t>mainland China</w:t>
      </w:r>
      <w:r w:rsidR="00F25992" w:rsidRPr="00A94701">
        <w:rPr>
          <w:rFonts w:asciiTheme="minorHAnsi" w:hAnsiTheme="minorHAnsi" w:cstheme="minorHAnsi"/>
          <w:lang w:val="en-GB"/>
        </w:rPr>
        <w:t>, combined with</w:t>
      </w:r>
      <w:r w:rsidR="009100A6" w:rsidRPr="00A94701">
        <w:rPr>
          <w:rFonts w:asciiTheme="minorHAnsi" w:hAnsiTheme="minorHAnsi" w:cstheme="minorHAnsi"/>
          <w:lang w:val="en-GB"/>
        </w:rPr>
        <w:t xml:space="preserve"> </w:t>
      </w:r>
      <w:r w:rsidRPr="00A94701">
        <w:rPr>
          <w:rFonts w:asciiTheme="minorHAnsi" w:hAnsiTheme="minorHAnsi" w:cstheme="minorHAnsi"/>
          <w:lang w:val="en-GB"/>
        </w:rPr>
        <w:t xml:space="preserve">the death risk for </w:t>
      </w:r>
      <w:r w:rsidR="006267FE">
        <w:rPr>
          <w:rFonts w:asciiTheme="minorHAnsi" w:hAnsiTheme="minorHAnsi" w:cstheme="minorHAnsi"/>
          <w:lang w:val="en-GB"/>
        </w:rPr>
        <w:t>Mongolia</w:t>
      </w:r>
      <w:r w:rsidR="00B24564" w:rsidRPr="00A94701">
        <w:t xml:space="preserve"> </w:t>
      </w:r>
      <w:r w:rsidR="00B24564" w:rsidRPr="00A94701">
        <w:rPr>
          <w:rFonts w:asciiTheme="minorHAnsi" w:hAnsiTheme="minorHAnsi" w:cstheme="minorHAnsi"/>
          <w:lang w:val="en-GB"/>
        </w:rPr>
        <w:t>in 2015-2019.</w:t>
      </w:r>
      <w:r w:rsidR="00A014D3">
        <w:rPr>
          <w:rFonts w:asciiTheme="minorHAnsi" w:hAnsiTheme="minorHAnsi" w:cstheme="minorHAnsi"/>
          <w:lang w:val="en-GB"/>
        </w:rPr>
        <w:t xml:space="preserve">  </w:t>
      </w:r>
      <w:r w:rsidR="00A60AAD">
        <w:rPr>
          <w:rFonts w:asciiTheme="minorHAnsi" w:hAnsiTheme="minorHAnsi" w:cstheme="minorHAnsi"/>
          <w:lang w:val="en-GB"/>
        </w:rPr>
        <w:t xml:space="preserve">Intervention thresholds were developed </w:t>
      </w:r>
      <w:r w:rsidR="0047271A">
        <w:rPr>
          <w:rFonts w:asciiTheme="minorHAnsi" w:hAnsiTheme="minorHAnsi" w:cstheme="minorHAnsi"/>
          <w:lang w:val="en-GB"/>
        </w:rPr>
        <w:t xml:space="preserve">based on </w:t>
      </w:r>
      <w:r w:rsidR="00650337">
        <w:rPr>
          <w:rFonts w:asciiTheme="minorHAnsi" w:hAnsiTheme="minorHAnsi" w:cstheme="minorHAnsi"/>
          <w:lang w:val="en-GB"/>
        </w:rPr>
        <w:t>fracture probabilities equivalent to women with a prior fragility fracture</w:t>
      </w:r>
      <w:r w:rsidR="00B6704B">
        <w:rPr>
          <w:rFonts w:asciiTheme="minorHAnsi" w:hAnsiTheme="minorHAnsi" w:cstheme="minorHAnsi"/>
          <w:lang w:val="en-GB"/>
        </w:rPr>
        <w:t xml:space="preserve"> and their impact assessed in a referral co</w:t>
      </w:r>
      <w:r w:rsidR="002D3682">
        <w:rPr>
          <w:rFonts w:asciiTheme="minorHAnsi" w:hAnsiTheme="minorHAnsi" w:cstheme="minorHAnsi"/>
          <w:lang w:val="en-GB"/>
        </w:rPr>
        <w:t>hort</w:t>
      </w:r>
      <w:r w:rsidR="00DD2CAB">
        <w:rPr>
          <w:rFonts w:asciiTheme="minorHAnsi" w:hAnsiTheme="minorHAnsi" w:cstheme="minorHAnsi"/>
          <w:lang w:val="en-GB"/>
        </w:rPr>
        <w:t xml:space="preserve"> comprising men at age 50 and above and postmenopausal</w:t>
      </w:r>
      <w:r w:rsidR="00553AEB">
        <w:rPr>
          <w:rFonts w:asciiTheme="minorHAnsi" w:hAnsiTheme="minorHAnsi" w:cstheme="minorHAnsi"/>
          <w:lang w:val="en-GB"/>
        </w:rPr>
        <w:t xml:space="preserve"> women</w:t>
      </w:r>
      <w:r w:rsidR="002D3682">
        <w:rPr>
          <w:rFonts w:asciiTheme="minorHAnsi" w:hAnsiTheme="minorHAnsi" w:cstheme="minorHAnsi"/>
          <w:lang w:val="en-GB"/>
        </w:rPr>
        <w:t>.</w:t>
      </w:r>
      <w:r w:rsidR="002C1593">
        <w:rPr>
          <w:rFonts w:asciiTheme="minorHAnsi" w:hAnsiTheme="minorHAnsi" w:cstheme="minorHAnsi"/>
          <w:lang w:val="en-GB"/>
        </w:rPr>
        <w:t xml:space="preserve">  </w:t>
      </w:r>
      <w:r w:rsidR="002D3682" w:rsidRPr="002D3682">
        <w:rPr>
          <w:rFonts w:asciiTheme="minorHAnsi" w:hAnsiTheme="minorHAnsi" w:cstheme="minorHAnsi"/>
          <w:lang w:val="en-GB"/>
        </w:rPr>
        <w:t>The number of hip fractures in 2015 and 2050 were estimated based on United Nations predicted changes in population demography.</w:t>
      </w:r>
    </w:p>
    <w:p w14:paraId="3EC757A1" w14:textId="5C42AEDB" w:rsidR="00A1284A" w:rsidRPr="008F03D8" w:rsidRDefault="00F6667E" w:rsidP="00936AFC">
      <w:pPr>
        <w:spacing w:after="200" w:line="276" w:lineRule="auto"/>
        <w:ind w:left="567" w:right="142"/>
        <w:rPr>
          <w:rFonts w:asciiTheme="minorHAnsi" w:hAnsiTheme="minorHAnsi" w:cstheme="minorHAnsi"/>
          <w:color w:val="FF0000"/>
          <w:lang w:val="en-GB"/>
        </w:rPr>
      </w:pPr>
      <w:r w:rsidRPr="00E83A8E">
        <w:rPr>
          <w:rFonts w:asciiTheme="minorHAnsi" w:hAnsiTheme="minorHAnsi" w:cstheme="minorHAnsi"/>
          <w:b/>
          <w:bCs/>
          <w:iCs/>
          <w:lang w:val="en-GB"/>
        </w:rPr>
        <w:t>Results</w:t>
      </w:r>
      <w:r w:rsidRPr="00E83A8E">
        <w:rPr>
          <w:rFonts w:asciiTheme="minorHAnsi" w:hAnsiTheme="minorHAnsi" w:cstheme="minorHAnsi"/>
          <w:lang w:val="en-GB"/>
        </w:rPr>
        <w:t xml:space="preserve"> </w:t>
      </w:r>
      <w:r w:rsidR="009D63BA" w:rsidRPr="00E83A8E">
        <w:rPr>
          <w:rFonts w:asciiTheme="minorHAnsi" w:hAnsiTheme="minorHAnsi" w:cstheme="minorHAnsi"/>
          <w:lang w:val="en-GB"/>
        </w:rPr>
        <w:t xml:space="preserve">The </w:t>
      </w:r>
      <w:r w:rsidR="00A1284A" w:rsidRPr="00E83A8E">
        <w:rPr>
          <w:rFonts w:asciiTheme="minorHAnsi" w:hAnsiTheme="minorHAnsi" w:cstheme="minorHAnsi"/>
          <w:lang w:val="en-GB"/>
        </w:rPr>
        <w:t xml:space="preserve">surrogate model gave </w:t>
      </w:r>
      <w:r w:rsidR="00A21D24" w:rsidRPr="00E83A8E">
        <w:rPr>
          <w:rFonts w:asciiTheme="minorHAnsi" w:hAnsiTheme="minorHAnsi" w:cstheme="minorHAnsi"/>
          <w:lang w:val="en-GB"/>
        </w:rPr>
        <w:t xml:space="preserve">similar hip fracture </w:t>
      </w:r>
      <w:r w:rsidR="00A94701" w:rsidRPr="00E83A8E">
        <w:rPr>
          <w:rFonts w:asciiTheme="minorHAnsi" w:hAnsiTheme="minorHAnsi" w:cstheme="minorHAnsi"/>
          <w:lang w:val="en-GB"/>
        </w:rPr>
        <w:t>probabilities</w:t>
      </w:r>
      <w:r w:rsidR="00A21D24" w:rsidRPr="00E83A8E">
        <w:rPr>
          <w:rFonts w:asciiTheme="minorHAnsi" w:hAnsiTheme="minorHAnsi" w:cstheme="minorHAnsi"/>
          <w:lang w:val="en-GB"/>
        </w:rPr>
        <w:t xml:space="preserve"> </w:t>
      </w:r>
      <w:r w:rsidR="0088072C" w:rsidRPr="00E83A8E">
        <w:rPr>
          <w:rFonts w:asciiTheme="minorHAnsi" w:hAnsiTheme="minorHAnsi" w:cstheme="minorHAnsi"/>
          <w:lang w:val="en-GB"/>
        </w:rPr>
        <w:t xml:space="preserve">to </w:t>
      </w:r>
      <w:r w:rsidR="00A94701" w:rsidRPr="00E83A8E">
        <w:rPr>
          <w:rFonts w:asciiTheme="minorHAnsi" w:hAnsiTheme="minorHAnsi" w:cstheme="minorHAnsi"/>
          <w:lang w:val="en-GB"/>
        </w:rPr>
        <w:t>estimates</w:t>
      </w:r>
      <w:r w:rsidR="0088072C" w:rsidRPr="00E83A8E">
        <w:rPr>
          <w:rFonts w:asciiTheme="minorHAnsi" w:hAnsiTheme="minorHAnsi" w:cstheme="minorHAnsi"/>
          <w:lang w:val="en-GB"/>
        </w:rPr>
        <w:t xml:space="preserve"> </w:t>
      </w:r>
      <w:r w:rsidR="00C8469D" w:rsidRPr="00E83A8E">
        <w:rPr>
          <w:rFonts w:asciiTheme="minorHAnsi" w:hAnsiTheme="minorHAnsi" w:cstheme="minorHAnsi"/>
          <w:lang w:val="en-GB"/>
        </w:rPr>
        <w:t>from</w:t>
      </w:r>
      <w:r w:rsidR="0088072C" w:rsidRPr="00E83A8E">
        <w:rPr>
          <w:rFonts w:asciiTheme="minorHAnsi" w:hAnsiTheme="minorHAnsi" w:cstheme="minorHAnsi"/>
          <w:lang w:val="en-GB"/>
        </w:rPr>
        <w:t xml:space="preserve"> </w:t>
      </w:r>
      <w:r w:rsidR="00BE4736" w:rsidRPr="00E83A8E">
        <w:rPr>
          <w:rFonts w:asciiTheme="minorHAnsi" w:hAnsiTheme="minorHAnsi" w:cstheme="minorHAnsi"/>
          <w:lang w:val="en-GB"/>
        </w:rPr>
        <w:t>China</w:t>
      </w:r>
      <w:r w:rsidR="00F91906">
        <w:rPr>
          <w:rFonts w:asciiTheme="minorHAnsi" w:hAnsiTheme="minorHAnsi" w:cstheme="minorHAnsi"/>
          <w:lang w:val="en-GB"/>
        </w:rPr>
        <w:t xml:space="preserve">.  </w:t>
      </w:r>
      <w:r w:rsidR="008767FB">
        <w:rPr>
          <w:rFonts w:asciiTheme="minorHAnsi" w:hAnsiTheme="minorHAnsi" w:cstheme="minorHAnsi"/>
          <w:lang w:val="en-GB"/>
        </w:rPr>
        <w:t>Age-dependent i</w:t>
      </w:r>
      <w:r w:rsidR="00F91906">
        <w:rPr>
          <w:rFonts w:asciiTheme="minorHAnsi" w:hAnsiTheme="minorHAnsi" w:cstheme="minorHAnsi"/>
          <w:lang w:val="en-GB"/>
        </w:rPr>
        <w:t xml:space="preserve">ntervention thresholds </w:t>
      </w:r>
      <w:r w:rsidR="008767FB">
        <w:rPr>
          <w:rFonts w:asciiTheme="minorHAnsi" w:hAnsiTheme="minorHAnsi" w:cstheme="minorHAnsi"/>
          <w:lang w:val="en-GB"/>
        </w:rPr>
        <w:t>for a ma</w:t>
      </w:r>
      <w:r w:rsidR="00E653A6">
        <w:rPr>
          <w:rFonts w:asciiTheme="minorHAnsi" w:hAnsiTheme="minorHAnsi" w:cstheme="minorHAnsi"/>
          <w:lang w:val="en-GB"/>
        </w:rPr>
        <w:t xml:space="preserve">jor osteoporotic </w:t>
      </w:r>
      <w:r w:rsidR="008C2448">
        <w:rPr>
          <w:rFonts w:asciiTheme="minorHAnsi" w:hAnsiTheme="minorHAnsi" w:cstheme="minorHAnsi"/>
          <w:lang w:val="en-GB"/>
        </w:rPr>
        <w:t>fracture</w:t>
      </w:r>
      <w:r w:rsidR="00E653A6">
        <w:rPr>
          <w:rFonts w:asciiTheme="minorHAnsi" w:hAnsiTheme="minorHAnsi" w:cstheme="minorHAnsi"/>
          <w:lang w:val="en-GB"/>
        </w:rPr>
        <w:t xml:space="preserve"> ranged</w:t>
      </w:r>
      <w:r w:rsidR="008C2448">
        <w:rPr>
          <w:rFonts w:asciiTheme="minorHAnsi" w:hAnsiTheme="minorHAnsi" w:cstheme="minorHAnsi"/>
          <w:lang w:val="en-GB"/>
        </w:rPr>
        <w:t xml:space="preserve"> from </w:t>
      </w:r>
      <w:r w:rsidR="00941E1F">
        <w:rPr>
          <w:rFonts w:asciiTheme="minorHAnsi" w:hAnsiTheme="minorHAnsi" w:cstheme="minorHAnsi"/>
          <w:lang w:val="en-GB"/>
        </w:rPr>
        <w:t xml:space="preserve">a 10-year probability of </w:t>
      </w:r>
      <w:r w:rsidR="008C2448">
        <w:rPr>
          <w:rFonts w:asciiTheme="minorHAnsi" w:hAnsiTheme="minorHAnsi" w:cstheme="minorHAnsi"/>
          <w:lang w:val="en-GB"/>
        </w:rPr>
        <w:t>2</w:t>
      </w:r>
      <w:r w:rsidR="00B61DB3">
        <w:rPr>
          <w:rFonts w:asciiTheme="minorHAnsi" w:hAnsiTheme="minorHAnsi" w:cstheme="minorHAnsi"/>
          <w:lang w:val="en-GB"/>
        </w:rPr>
        <w:t>.4% at the age of 40 yea</w:t>
      </w:r>
      <w:r w:rsidR="00580DED">
        <w:rPr>
          <w:rFonts w:asciiTheme="minorHAnsi" w:hAnsiTheme="minorHAnsi" w:cstheme="minorHAnsi"/>
          <w:lang w:val="en-GB"/>
        </w:rPr>
        <w:t>rs</w:t>
      </w:r>
      <w:r w:rsidR="00B61DB3">
        <w:rPr>
          <w:rFonts w:asciiTheme="minorHAnsi" w:hAnsiTheme="minorHAnsi" w:cstheme="minorHAnsi"/>
          <w:lang w:val="en-GB"/>
        </w:rPr>
        <w:t xml:space="preserve"> </w:t>
      </w:r>
      <w:r w:rsidR="00941E1F" w:rsidRPr="00941E1F">
        <w:rPr>
          <w:rFonts w:asciiTheme="minorHAnsi" w:hAnsiTheme="minorHAnsi" w:cstheme="minorHAnsi"/>
          <w:lang w:val="en-GB"/>
        </w:rPr>
        <w:t>to 13.7% at the age of 90 years.</w:t>
      </w:r>
      <w:r w:rsidR="00A1284A" w:rsidRPr="00941E1F">
        <w:rPr>
          <w:rFonts w:asciiTheme="minorHAnsi" w:hAnsiTheme="minorHAnsi" w:cstheme="minorHAnsi"/>
          <w:lang w:val="en-GB"/>
        </w:rPr>
        <w:t xml:space="preserve"> </w:t>
      </w:r>
      <w:r w:rsidR="007264A8">
        <w:rPr>
          <w:rFonts w:asciiTheme="minorHAnsi" w:hAnsiTheme="minorHAnsi" w:cstheme="minorHAnsi"/>
          <w:lang w:val="en-GB"/>
        </w:rPr>
        <w:t>In</w:t>
      </w:r>
      <w:r w:rsidR="00004BB8">
        <w:rPr>
          <w:rFonts w:asciiTheme="minorHAnsi" w:hAnsiTheme="minorHAnsi" w:cstheme="minorHAnsi"/>
          <w:lang w:val="en-GB"/>
        </w:rPr>
        <w:t xml:space="preserve"> the cohort </w:t>
      </w:r>
      <w:r w:rsidR="003F61B0">
        <w:rPr>
          <w:rFonts w:asciiTheme="minorHAnsi" w:hAnsiTheme="minorHAnsi" w:cstheme="minorHAnsi"/>
          <w:lang w:val="en-GB"/>
        </w:rPr>
        <w:t xml:space="preserve">of those </w:t>
      </w:r>
      <w:r w:rsidR="00004BB8">
        <w:rPr>
          <w:rFonts w:asciiTheme="minorHAnsi" w:hAnsiTheme="minorHAnsi" w:cstheme="minorHAnsi"/>
          <w:lang w:val="en-GB"/>
        </w:rPr>
        <w:t>eligible for assessment,</w:t>
      </w:r>
      <w:r w:rsidR="00F9450F">
        <w:rPr>
          <w:rFonts w:asciiTheme="minorHAnsi" w:hAnsiTheme="minorHAnsi" w:cstheme="minorHAnsi"/>
          <w:lang w:val="en-GB"/>
        </w:rPr>
        <w:t xml:space="preserve"> 46% of men and </w:t>
      </w:r>
      <w:r w:rsidR="00893071">
        <w:rPr>
          <w:rFonts w:asciiTheme="minorHAnsi" w:hAnsiTheme="minorHAnsi" w:cstheme="minorHAnsi"/>
          <w:lang w:val="en-GB"/>
        </w:rPr>
        <w:t xml:space="preserve">36% of women were eligible for treatment because of a prior </w:t>
      </w:r>
      <w:r w:rsidR="007D4495">
        <w:rPr>
          <w:rFonts w:asciiTheme="minorHAnsi" w:hAnsiTheme="minorHAnsi" w:cstheme="minorHAnsi"/>
          <w:lang w:val="en-GB"/>
        </w:rPr>
        <w:t>fracture</w:t>
      </w:r>
      <w:r w:rsidR="000A4449">
        <w:rPr>
          <w:rFonts w:asciiTheme="minorHAnsi" w:hAnsiTheme="minorHAnsi" w:cstheme="minorHAnsi"/>
          <w:lang w:val="en-GB"/>
        </w:rPr>
        <w:t xml:space="preserve">. </w:t>
      </w:r>
      <w:r w:rsidR="007D4495">
        <w:rPr>
          <w:rFonts w:asciiTheme="minorHAnsi" w:hAnsiTheme="minorHAnsi" w:cstheme="minorHAnsi"/>
          <w:lang w:val="en-GB"/>
        </w:rPr>
        <w:t xml:space="preserve"> </w:t>
      </w:r>
      <w:r w:rsidR="008D5191" w:rsidRPr="005109F1">
        <w:rPr>
          <w:rFonts w:asciiTheme="minorHAnsi" w:hAnsiTheme="minorHAnsi" w:cstheme="minorHAnsi"/>
          <w:lang w:val="en-GB"/>
        </w:rPr>
        <w:t xml:space="preserve">Based on intervention thresholds, a further 0.5% of men and 7.0% of women would be eligible for treatment.  </w:t>
      </w:r>
      <w:r w:rsidR="00A2230A" w:rsidRPr="005109F1">
        <w:rPr>
          <w:rFonts w:ascii="Calibri" w:hAnsi="Calibri" w:cs="Calibri"/>
          <w:lang w:val="en-GB"/>
        </w:rPr>
        <w:t>It</w:t>
      </w:r>
      <w:r w:rsidR="00A2230A">
        <w:rPr>
          <w:rFonts w:ascii="Calibri" w:hAnsi="Calibri" w:cs="Calibri"/>
          <w:lang w:val="en-GB"/>
        </w:rPr>
        <w:t xml:space="preserve"> was estimated that 440</w:t>
      </w:r>
      <w:r w:rsidR="00A2230A">
        <w:rPr>
          <w:rFonts w:ascii="Calibri" w:hAnsi="Calibri" w:cs="Calibri"/>
          <w:highlight w:val="yellow"/>
          <w:lang w:val="en-GB"/>
        </w:rPr>
        <w:t xml:space="preserve"> </w:t>
      </w:r>
      <w:r w:rsidR="00A2230A">
        <w:rPr>
          <w:rFonts w:ascii="Calibri" w:hAnsi="Calibri" w:cs="Calibri"/>
          <w:lang w:val="en-GB"/>
        </w:rPr>
        <w:t xml:space="preserve">hip fractures arose in 2015 in individuals </w:t>
      </w:r>
      <w:r w:rsidR="00A2230A" w:rsidRPr="00F07408">
        <w:rPr>
          <w:rFonts w:ascii="Calibri" w:hAnsi="Calibri" w:cs="Calibri"/>
          <w:lang w:val="en-GB"/>
        </w:rPr>
        <w:t>age 50 years and older in Mongolia, with a predicted 4.3-fold increase expected by 2050, when 1896 hip fractures are expected nationally.</w:t>
      </w:r>
      <w:r w:rsidR="00A2230A">
        <w:t xml:space="preserve"> </w:t>
      </w:r>
      <w:r w:rsidR="00F3107C" w:rsidRPr="008F03D8">
        <w:t xml:space="preserve"> </w:t>
      </w:r>
    </w:p>
    <w:p w14:paraId="7A1CBFFD" w14:textId="1FB0889D" w:rsidR="00F6667E" w:rsidRPr="008F03D8" w:rsidRDefault="00F6667E" w:rsidP="00936AFC">
      <w:pPr>
        <w:spacing w:after="200" w:line="276" w:lineRule="auto"/>
        <w:ind w:left="567" w:right="142"/>
        <w:rPr>
          <w:rFonts w:asciiTheme="minorHAnsi" w:hAnsiTheme="minorHAnsi" w:cstheme="minorHAnsi"/>
          <w:lang w:val="en-GB"/>
        </w:rPr>
      </w:pPr>
      <w:r w:rsidRPr="008F03D8">
        <w:rPr>
          <w:rFonts w:asciiTheme="minorHAnsi" w:hAnsiTheme="minorHAnsi" w:cstheme="minorHAnsi"/>
          <w:b/>
          <w:bCs/>
          <w:iCs/>
          <w:lang w:val="en-GB"/>
        </w:rPr>
        <w:t>Conclusion</w:t>
      </w:r>
      <w:r w:rsidRPr="008F03D8">
        <w:rPr>
          <w:rFonts w:asciiTheme="minorHAnsi" w:hAnsiTheme="minorHAnsi" w:cstheme="minorHAnsi"/>
          <w:lang w:val="en-GB"/>
        </w:rPr>
        <w:t xml:space="preserve"> The </w:t>
      </w:r>
      <w:r w:rsidR="0093729A" w:rsidRPr="008F03D8">
        <w:rPr>
          <w:rFonts w:asciiTheme="minorHAnsi" w:hAnsiTheme="minorHAnsi" w:cstheme="minorHAnsi"/>
          <w:lang w:val="en-GB"/>
        </w:rPr>
        <w:t xml:space="preserve">surrogate </w:t>
      </w:r>
      <w:r w:rsidRPr="008F03D8">
        <w:rPr>
          <w:rFonts w:asciiTheme="minorHAnsi" w:hAnsiTheme="minorHAnsi" w:cstheme="minorHAnsi"/>
          <w:lang w:val="en-GB"/>
        </w:rPr>
        <w:t xml:space="preserve">FRAX model </w:t>
      </w:r>
      <w:r w:rsidR="005107C0" w:rsidRPr="008F03D8">
        <w:rPr>
          <w:rFonts w:asciiTheme="minorHAnsi" w:hAnsiTheme="minorHAnsi" w:cstheme="minorHAnsi"/>
          <w:lang w:val="en-GB"/>
        </w:rPr>
        <w:t xml:space="preserve">for </w:t>
      </w:r>
      <w:r w:rsidR="00464C7B">
        <w:rPr>
          <w:rFonts w:asciiTheme="minorHAnsi" w:hAnsiTheme="minorHAnsi" w:cstheme="minorHAnsi"/>
          <w:lang w:val="en-GB"/>
        </w:rPr>
        <w:t>Mongolia</w:t>
      </w:r>
      <w:r w:rsidR="005107C0" w:rsidRPr="008F03D8">
        <w:rPr>
          <w:rFonts w:asciiTheme="minorHAnsi" w:hAnsiTheme="minorHAnsi" w:cstheme="minorHAnsi"/>
          <w:lang w:val="en-GB"/>
        </w:rPr>
        <w:t xml:space="preserve"> provides</w:t>
      </w:r>
      <w:r w:rsidRPr="008F03D8">
        <w:rPr>
          <w:rFonts w:asciiTheme="minorHAnsi" w:hAnsiTheme="minorHAnsi" w:cstheme="minorHAnsi"/>
          <w:lang w:val="en-GB"/>
        </w:rPr>
        <w:t xml:space="preserve"> </w:t>
      </w:r>
      <w:r w:rsidR="00F25992" w:rsidRPr="008F03D8">
        <w:rPr>
          <w:rFonts w:asciiTheme="minorHAnsi" w:hAnsiTheme="minorHAnsi" w:cstheme="minorHAnsi"/>
          <w:lang w:val="en-GB"/>
        </w:rPr>
        <w:t xml:space="preserve">an </w:t>
      </w:r>
      <w:r w:rsidR="005107C0" w:rsidRPr="008F03D8">
        <w:rPr>
          <w:rFonts w:asciiTheme="minorHAnsi" w:hAnsiTheme="minorHAnsi" w:cstheme="minorHAnsi"/>
          <w:lang w:val="en-GB"/>
        </w:rPr>
        <w:t xml:space="preserve">opportunity to </w:t>
      </w:r>
      <w:r w:rsidRPr="008F03D8">
        <w:rPr>
          <w:rFonts w:asciiTheme="minorHAnsi" w:hAnsiTheme="minorHAnsi" w:cstheme="minorHAnsi"/>
          <w:lang w:val="en-GB"/>
        </w:rPr>
        <w:t>determin</w:t>
      </w:r>
      <w:r w:rsidR="005107C0" w:rsidRPr="008F03D8">
        <w:rPr>
          <w:rFonts w:asciiTheme="minorHAnsi" w:hAnsiTheme="minorHAnsi" w:cstheme="minorHAnsi"/>
          <w:lang w:val="en-GB"/>
        </w:rPr>
        <w:t>e</w:t>
      </w:r>
      <w:r w:rsidRPr="008F03D8">
        <w:rPr>
          <w:rFonts w:asciiTheme="minorHAnsi" w:hAnsiTheme="minorHAnsi" w:cstheme="minorHAnsi"/>
          <w:lang w:val="en-GB"/>
        </w:rPr>
        <w:t xml:space="preserve"> fracture probability </w:t>
      </w:r>
      <w:r w:rsidR="00F25992" w:rsidRPr="008F03D8">
        <w:rPr>
          <w:rFonts w:asciiTheme="minorHAnsi" w:hAnsiTheme="minorHAnsi" w:cstheme="minorHAnsi"/>
          <w:lang w:val="en-GB"/>
        </w:rPr>
        <w:t xml:space="preserve">within </w:t>
      </w:r>
      <w:r w:rsidRPr="008F03D8">
        <w:rPr>
          <w:rFonts w:asciiTheme="minorHAnsi" w:hAnsiTheme="minorHAnsi" w:cstheme="minorHAnsi"/>
          <w:lang w:val="en-GB"/>
        </w:rPr>
        <w:t xml:space="preserve">the </w:t>
      </w:r>
      <w:r w:rsidR="009B70F8">
        <w:rPr>
          <w:rFonts w:asciiTheme="minorHAnsi" w:hAnsiTheme="minorHAnsi" w:cstheme="minorHAnsi"/>
          <w:lang w:val="en-GB"/>
        </w:rPr>
        <w:t>Mongolian</w:t>
      </w:r>
      <w:r w:rsidRPr="008F03D8">
        <w:rPr>
          <w:rFonts w:asciiTheme="minorHAnsi" w:hAnsiTheme="minorHAnsi" w:cstheme="minorHAnsi"/>
          <w:lang w:val="en-GB"/>
        </w:rPr>
        <w:t xml:space="preserve"> population and help guide decisions about treatment.</w:t>
      </w:r>
    </w:p>
    <w:p w14:paraId="01200CCA" w14:textId="77777777" w:rsidR="005107C0" w:rsidRPr="008F03D8" w:rsidRDefault="005107C0" w:rsidP="00936AFC">
      <w:pPr>
        <w:spacing w:after="200" w:line="276" w:lineRule="auto"/>
        <w:ind w:left="567" w:right="142"/>
        <w:jc w:val="both"/>
        <w:rPr>
          <w:rFonts w:asciiTheme="minorHAnsi" w:hAnsiTheme="minorHAnsi" w:cstheme="minorHAnsi"/>
          <w:b/>
          <w:bCs/>
          <w:lang w:val="en-GB"/>
        </w:rPr>
      </w:pPr>
    </w:p>
    <w:p w14:paraId="570ABC58" w14:textId="74A70656" w:rsidR="003C4AA2" w:rsidRPr="008F03D8" w:rsidRDefault="00FF246B" w:rsidP="00936AFC">
      <w:pPr>
        <w:spacing w:line="276" w:lineRule="auto"/>
        <w:ind w:left="567" w:right="142"/>
        <w:jc w:val="both"/>
        <w:rPr>
          <w:rFonts w:asciiTheme="minorHAnsi" w:hAnsiTheme="minorHAnsi" w:cstheme="minorHAnsi"/>
          <w:b/>
          <w:bCs/>
          <w:color w:val="FF0000"/>
          <w:lang w:val="en-GB"/>
        </w:rPr>
      </w:pPr>
      <w:r w:rsidRPr="008F03D8">
        <w:rPr>
          <w:rFonts w:asciiTheme="minorHAnsi" w:hAnsiTheme="minorHAnsi" w:cstheme="minorHAnsi"/>
          <w:b/>
          <w:bCs/>
          <w:lang w:val="en-GB"/>
        </w:rPr>
        <w:t xml:space="preserve">Key words </w:t>
      </w:r>
      <w:r w:rsidR="00EB09E4">
        <w:rPr>
          <w:rFonts w:asciiTheme="minorHAnsi" w:hAnsiTheme="minorHAnsi" w:cstheme="minorHAnsi"/>
          <w:lang w:val="en-GB"/>
        </w:rPr>
        <w:t>Mongolia</w:t>
      </w:r>
      <w:r w:rsidRPr="008F03D8">
        <w:rPr>
          <w:rFonts w:asciiTheme="minorHAnsi" w:hAnsiTheme="minorHAnsi" w:cstheme="minorHAnsi"/>
          <w:lang w:val="en-GB"/>
        </w:rPr>
        <w:t xml:space="preserve"> </w:t>
      </w:r>
      <w:bookmarkStart w:id="3" w:name="_Hlk172372035"/>
      <w:r w:rsidRPr="008F03D8">
        <w:rPr>
          <w:rFonts w:asciiTheme="minorHAnsi" w:hAnsiTheme="minorHAnsi" w:cstheme="minorHAnsi"/>
          <w:lang w:val="en-GB"/>
        </w:rPr>
        <w:t>∙</w:t>
      </w:r>
      <w:bookmarkEnd w:id="3"/>
      <w:r w:rsidRPr="008F03D8">
        <w:rPr>
          <w:rFonts w:asciiTheme="minorHAnsi" w:hAnsiTheme="minorHAnsi" w:cstheme="minorHAnsi"/>
          <w:lang w:val="en-GB"/>
        </w:rPr>
        <w:t xml:space="preserve"> Hip fracture ∙ FRAX ∙ Surrogate model</w:t>
      </w:r>
      <w:r w:rsidR="003C4AA2" w:rsidRPr="008F03D8">
        <w:rPr>
          <w:rFonts w:asciiTheme="minorHAnsi" w:hAnsiTheme="minorHAnsi" w:cstheme="minorHAnsi"/>
          <w:b/>
          <w:bCs/>
          <w:color w:val="FF0000"/>
          <w:lang w:val="en-GB"/>
        </w:rPr>
        <w:br w:type="page"/>
      </w:r>
    </w:p>
    <w:p w14:paraId="25B00C51" w14:textId="3FA38F3B" w:rsidR="00007904" w:rsidRPr="008F03D8" w:rsidRDefault="006E2F26" w:rsidP="00936AFC">
      <w:pPr>
        <w:keepNext/>
        <w:keepLines/>
        <w:spacing w:before="200" w:line="276" w:lineRule="auto"/>
        <w:ind w:left="567" w:right="142"/>
        <w:outlineLvl w:val="1"/>
        <w:rPr>
          <w:rFonts w:asciiTheme="minorHAnsi" w:hAnsiTheme="minorHAnsi" w:cstheme="minorHAnsi"/>
          <w:b/>
          <w:bCs/>
          <w:lang w:val="en-GB"/>
        </w:rPr>
      </w:pPr>
      <w:r w:rsidRPr="008F03D8">
        <w:rPr>
          <w:rFonts w:asciiTheme="minorHAnsi" w:hAnsiTheme="minorHAnsi" w:cstheme="minorHAnsi"/>
          <w:b/>
          <w:bCs/>
          <w:lang w:val="en-GB"/>
        </w:rPr>
        <w:lastRenderedPageBreak/>
        <w:t>Introductio</w:t>
      </w:r>
      <w:r w:rsidR="00AC5172" w:rsidRPr="008F03D8">
        <w:rPr>
          <w:rFonts w:asciiTheme="minorHAnsi" w:hAnsiTheme="minorHAnsi" w:cstheme="minorHAnsi"/>
          <w:b/>
          <w:bCs/>
          <w:lang w:val="en-GB"/>
        </w:rPr>
        <w:t>n</w:t>
      </w:r>
    </w:p>
    <w:p w14:paraId="33EC8E67" w14:textId="17D8C064" w:rsidR="00F26567" w:rsidRPr="0068193D" w:rsidRDefault="007C6ABB" w:rsidP="00BE79B0">
      <w:pPr>
        <w:keepNext/>
        <w:keepLines/>
        <w:spacing w:before="200" w:line="276" w:lineRule="auto"/>
        <w:ind w:left="567" w:right="142"/>
        <w:outlineLvl w:val="1"/>
        <w:rPr>
          <w:rFonts w:asciiTheme="minorHAnsi" w:hAnsiTheme="minorHAnsi" w:cstheme="minorHAnsi"/>
          <w:lang w:val="en-GB"/>
        </w:rPr>
      </w:pPr>
      <w:r w:rsidRPr="005419F6">
        <w:rPr>
          <w:rFonts w:asciiTheme="minorHAnsi" w:hAnsiTheme="minorHAnsi" w:cstheme="minorHAnsi"/>
          <w:lang w:val="en-GB"/>
        </w:rPr>
        <w:t xml:space="preserve">In </w:t>
      </w:r>
      <w:r w:rsidRPr="0068193D">
        <w:rPr>
          <w:rFonts w:asciiTheme="minorHAnsi" w:hAnsiTheme="minorHAnsi" w:cstheme="minorHAnsi"/>
          <w:lang w:val="en-GB"/>
        </w:rPr>
        <w:t xml:space="preserve">2008, the </w:t>
      </w:r>
      <w:r w:rsidR="00F25992" w:rsidRPr="0068193D">
        <w:rPr>
          <w:rFonts w:asciiTheme="minorHAnsi" w:hAnsiTheme="minorHAnsi" w:cstheme="minorHAnsi"/>
          <w:lang w:val="en-GB"/>
        </w:rPr>
        <w:t xml:space="preserve">then </w:t>
      </w:r>
      <w:r w:rsidRPr="0068193D">
        <w:rPr>
          <w:rFonts w:asciiTheme="minorHAnsi" w:hAnsiTheme="minorHAnsi" w:cstheme="minorHAnsi"/>
          <w:lang w:val="en-GB"/>
        </w:rPr>
        <w:t xml:space="preserve">WHO Collaborating Centre for Metabolic Bone Diseases at the University of Sheffield, UK </w:t>
      </w:r>
      <w:r w:rsidR="00F25992" w:rsidRPr="0068193D">
        <w:rPr>
          <w:rFonts w:asciiTheme="minorHAnsi" w:hAnsiTheme="minorHAnsi" w:cstheme="minorHAnsi"/>
          <w:lang w:val="en-GB"/>
        </w:rPr>
        <w:t>launched the FRAX® tool for the calculation of 10-year</w:t>
      </w:r>
      <w:r w:rsidRPr="0068193D">
        <w:rPr>
          <w:rFonts w:asciiTheme="minorHAnsi" w:hAnsiTheme="minorHAnsi" w:cstheme="minorHAnsi"/>
          <w:lang w:val="en-GB"/>
        </w:rPr>
        <w:t xml:space="preserve"> fracture probabilities in women and men from readily obtained clinical risk factors (CRFs) </w:t>
      </w:r>
      <w:r w:rsidR="00FF246B" w:rsidRPr="0068193D">
        <w:rPr>
          <w:rFonts w:asciiTheme="minorHAnsi" w:hAnsiTheme="minorHAnsi" w:cstheme="minorHAnsi"/>
          <w:lang w:val="en-GB"/>
        </w:rPr>
        <w:t>with or without</w:t>
      </w:r>
      <w:r w:rsidRPr="0068193D">
        <w:rPr>
          <w:rFonts w:asciiTheme="minorHAnsi" w:hAnsiTheme="minorHAnsi" w:cstheme="minorHAnsi"/>
          <w:lang w:val="en-GB"/>
        </w:rPr>
        <w:t xml:space="preserve"> </w:t>
      </w:r>
      <w:r w:rsidR="00861EB3" w:rsidRPr="0068193D">
        <w:rPr>
          <w:rFonts w:asciiTheme="minorHAnsi" w:hAnsiTheme="minorHAnsi" w:cstheme="minorHAnsi"/>
          <w:lang w:val="en-GB"/>
        </w:rPr>
        <w:t xml:space="preserve">bone mineral density </w:t>
      </w:r>
      <w:r w:rsidR="00130D68" w:rsidRPr="0068193D">
        <w:rPr>
          <w:rFonts w:asciiTheme="minorHAnsi" w:hAnsiTheme="minorHAnsi" w:cstheme="minorHAnsi"/>
          <w:lang w:val="en-GB"/>
        </w:rPr>
        <w:t>(</w:t>
      </w:r>
      <w:r w:rsidRPr="0068193D">
        <w:rPr>
          <w:rFonts w:asciiTheme="minorHAnsi" w:hAnsiTheme="minorHAnsi" w:cstheme="minorHAnsi"/>
          <w:lang w:val="en-GB"/>
        </w:rPr>
        <w:t>BMD</w:t>
      </w:r>
      <w:r w:rsidR="00130D68" w:rsidRPr="0068193D">
        <w:rPr>
          <w:rFonts w:asciiTheme="minorHAnsi" w:hAnsiTheme="minorHAnsi" w:cstheme="minorHAnsi"/>
          <w:lang w:val="en-GB"/>
        </w:rPr>
        <w:t>)</w:t>
      </w:r>
      <w:r w:rsidRPr="0068193D">
        <w:rPr>
          <w:rFonts w:asciiTheme="minorHAnsi" w:hAnsiTheme="minorHAnsi" w:cstheme="minorHAnsi"/>
          <w:lang w:val="en-GB"/>
        </w:rPr>
        <w:t xml:space="preserve"> measurements at the femoral neck (http://www.shef.ac.uk/FRAX). The algorithm (FRAX) was based on a series of meta-analyses using primary data from population-based cohorts that </w:t>
      </w:r>
      <w:r w:rsidR="00BE79B0" w:rsidRPr="0068193D">
        <w:rPr>
          <w:rFonts w:asciiTheme="minorHAnsi" w:hAnsiTheme="minorHAnsi" w:cstheme="minorHAnsi"/>
          <w:lang w:val="en-GB"/>
        </w:rPr>
        <w:t xml:space="preserve">examined a list of candidate </w:t>
      </w:r>
      <w:r w:rsidR="008F2B50" w:rsidRPr="0068193D">
        <w:rPr>
          <w:rFonts w:asciiTheme="minorHAnsi" w:hAnsiTheme="minorHAnsi" w:cstheme="minorHAnsi"/>
          <w:lang w:val="en-GB"/>
        </w:rPr>
        <w:t>clinical risk factors</w:t>
      </w:r>
      <w:r w:rsidRPr="0068193D">
        <w:rPr>
          <w:rFonts w:asciiTheme="minorHAnsi" w:hAnsiTheme="minorHAnsi" w:cstheme="minorHAnsi"/>
          <w:lang w:val="en-GB"/>
        </w:rPr>
        <w:t xml:space="preserve"> for fracture [</w:t>
      </w:r>
      <w:r w:rsidR="00745D56">
        <w:rPr>
          <w:rFonts w:asciiTheme="minorHAnsi" w:hAnsiTheme="minorHAnsi" w:cstheme="minorHAnsi"/>
          <w:lang w:val="en-GB"/>
        </w:rPr>
        <w:t>1, 2]</w:t>
      </w:r>
      <w:r w:rsidR="007532B2" w:rsidRPr="0068193D">
        <w:rPr>
          <w:rFonts w:asciiTheme="minorHAnsi" w:hAnsiTheme="minorHAnsi" w:cstheme="minorHAnsi"/>
          <w:lang w:val="en-GB"/>
        </w:rPr>
        <w:t>.</w:t>
      </w:r>
      <w:r w:rsidR="00D917B4" w:rsidRPr="0068193D">
        <w:rPr>
          <w:rFonts w:asciiTheme="minorHAnsi" w:hAnsiTheme="minorHAnsi" w:cstheme="minorHAnsi"/>
          <w:lang w:val="en-GB"/>
        </w:rPr>
        <w:t xml:space="preserve"> </w:t>
      </w:r>
      <w:r w:rsidR="007532B2" w:rsidRPr="0068193D">
        <w:rPr>
          <w:rFonts w:asciiTheme="minorHAnsi" w:hAnsiTheme="minorHAnsi" w:cstheme="minorHAnsi"/>
          <w:lang w:val="en-GB"/>
        </w:rPr>
        <w:t xml:space="preserve"> </w:t>
      </w:r>
      <w:r w:rsidR="00BE79B0" w:rsidRPr="0068193D">
        <w:rPr>
          <w:rFonts w:asciiTheme="minorHAnsi" w:hAnsiTheme="minorHAnsi" w:cstheme="minorHAnsi"/>
          <w:lang w:val="en-GB"/>
        </w:rPr>
        <w:t xml:space="preserve">The output of </w:t>
      </w:r>
      <w:r w:rsidRPr="0068193D">
        <w:rPr>
          <w:rFonts w:asciiTheme="minorHAnsi" w:hAnsiTheme="minorHAnsi" w:cstheme="minorHAnsi"/>
          <w:lang w:val="en-GB"/>
        </w:rPr>
        <w:t xml:space="preserve">FRAX </w:t>
      </w:r>
      <w:r w:rsidR="00BE79B0" w:rsidRPr="0068193D">
        <w:rPr>
          <w:rFonts w:asciiTheme="minorHAnsi" w:hAnsiTheme="minorHAnsi" w:cstheme="minorHAnsi"/>
          <w:lang w:val="en-GB"/>
        </w:rPr>
        <w:t xml:space="preserve">comprises </w:t>
      </w:r>
      <w:r w:rsidRPr="0068193D">
        <w:rPr>
          <w:rFonts w:asciiTheme="minorHAnsi" w:hAnsiTheme="minorHAnsi" w:cstheme="minorHAnsi"/>
          <w:lang w:val="en-GB"/>
        </w:rPr>
        <w:t>the probability of major osteoporotic fracture (hip, spine, distal forearm or proximal humerus) or hip fracture</w:t>
      </w:r>
      <w:r w:rsidR="00BE79B0" w:rsidRPr="0068193D">
        <w:rPr>
          <w:rFonts w:asciiTheme="minorHAnsi" w:hAnsiTheme="minorHAnsi" w:cstheme="minorHAnsi"/>
          <w:lang w:val="en-GB"/>
        </w:rPr>
        <w:t xml:space="preserve">.  This probability is in turn dependent upon the </w:t>
      </w:r>
      <w:r w:rsidRPr="0068193D">
        <w:rPr>
          <w:rFonts w:asciiTheme="minorHAnsi" w:hAnsiTheme="minorHAnsi" w:cstheme="minorHAnsi"/>
          <w:lang w:val="en-GB"/>
        </w:rPr>
        <w:t>risk of fracture and the competing risk of death, both of which vary from country to country [</w:t>
      </w:r>
      <w:r w:rsidR="00745D56">
        <w:rPr>
          <w:rFonts w:asciiTheme="minorHAnsi" w:hAnsiTheme="minorHAnsi" w:cstheme="minorHAnsi"/>
          <w:lang w:val="en-GB"/>
        </w:rPr>
        <w:t>3</w:t>
      </w:r>
      <w:r w:rsidR="00444AB6">
        <w:rPr>
          <w:rFonts w:asciiTheme="minorHAnsi" w:hAnsiTheme="minorHAnsi" w:cstheme="minorHAnsi"/>
          <w:lang w:val="en-GB"/>
        </w:rPr>
        <w:t>]</w:t>
      </w:r>
      <w:r w:rsidRPr="0068193D">
        <w:rPr>
          <w:rFonts w:asciiTheme="minorHAnsi" w:hAnsiTheme="minorHAnsi" w:cstheme="minorHAnsi"/>
          <w:lang w:val="en-GB"/>
        </w:rPr>
        <w:t xml:space="preserve">. </w:t>
      </w:r>
      <w:r w:rsidR="00BE79B0" w:rsidRPr="0068193D">
        <w:rPr>
          <w:rFonts w:asciiTheme="minorHAnsi" w:hAnsiTheme="minorHAnsi" w:cstheme="minorHAnsi"/>
          <w:lang w:val="en-GB"/>
        </w:rPr>
        <w:t xml:space="preserve"> Ideally, data for age-specific incidences of fracture and death should be available for the construction of country specific FRAX models, but information on fracture incidence is frequently poor or absent.  On a positive note, the availability of FRAX has stimulated studies of fracture incidence that can be used for the generation of new FRAX models; specific examples include Armenia, Belarus, Brazil, Kazakhstan, Mexico, </w:t>
      </w:r>
      <w:r w:rsidR="0024563F" w:rsidRPr="0068193D">
        <w:rPr>
          <w:rFonts w:asciiTheme="minorHAnsi" w:hAnsiTheme="minorHAnsi" w:cstheme="minorHAnsi"/>
          <w:lang w:val="en-GB"/>
        </w:rPr>
        <w:t>Mol</w:t>
      </w:r>
      <w:r w:rsidR="00D15610" w:rsidRPr="0068193D">
        <w:rPr>
          <w:rFonts w:asciiTheme="minorHAnsi" w:hAnsiTheme="minorHAnsi" w:cstheme="minorHAnsi"/>
          <w:lang w:val="en-GB"/>
        </w:rPr>
        <w:t xml:space="preserve">dova, </w:t>
      </w:r>
      <w:r w:rsidR="00BE79B0" w:rsidRPr="0068193D">
        <w:rPr>
          <w:rFonts w:asciiTheme="minorHAnsi" w:hAnsiTheme="minorHAnsi" w:cstheme="minorHAnsi"/>
          <w:lang w:val="en-GB"/>
        </w:rPr>
        <w:t>Russia</w:t>
      </w:r>
      <w:r w:rsidR="009D1F43" w:rsidRPr="0068193D">
        <w:rPr>
          <w:rFonts w:asciiTheme="minorHAnsi" w:hAnsiTheme="minorHAnsi" w:cstheme="minorHAnsi"/>
          <w:lang w:val="en-GB"/>
        </w:rPr>
        <w:t>,</w:t>
      </w:r>
      <w:r w:rsidR="00BE79B0" w:rsidRPr="0068193D">
        <w:rPr>
          <w:rFonts w:asciiTheme="minorHAnsi" w:hAnsiTheme="minorHAnsi" w:cstheme="minorHAnsi"/>
          <w:lang w:val="en-GB"/>
        </w:rPr>
        <w:t xml:space="preserve"> Turkey and </w:t>
      </w:r>
      <w:r w:rsidR="00421367" w:rsidRPr="0068193D">
        <w:rPr>
          <w:rFonts w:asciiTheme="minorHAnsi" w:hAnsiTheme="minorHAnsi" w:cstheme="minorHAnsi"/>
          <w:lang w:val="en-GB"/>
        </w:rPr>
        <w:t>Uzbekistan [</w:t>
      </w:r>
      <w:r w:rsidR="00444AB6">
        <w:rPr>
          <w:rFonts w:asciiTheme="minorHAnsi" w:hAnsiTheme="minorHAnsi" w:cstheme="minorHAnsi"/>
          <w:lang w:val="en-GB"/>
        </w:rPr>
        <w:t>4]</w:t>
      </w:r>
      <w:r w:rsidR="00BE79B0" w:rsidRPr="0068193D">
        <w:rPr>
          <w:rFonts w:asciiTheme="minorHAnsi" w:hAnsiTheme="minorHAnsi" w:cstheme="minorHAnsi"/>
          <w:lang w:val="en-GB"/>
        </w:rPr>
        <w:t xml:space="preserve">.  </w:t>
      </w:r>
    </w:p>
    <w:p w14:paraId="0DC5BB62" w14:textId="42EF4526" w:rsidR="00BE79B0" w:rsidRPr="0068193D" w:rsidRDefault="00E13BC5" w:rsidP="00BE79B0">
      <w:pPr>
        <w:keepNext/>
        <w:keepLines/>
        <w:spacing w:before="200" w:line="276" w:lineRule="auto"/>
        <w:ind w:left="567" w:right="142"/>
        <w:outlineLvl w:val="1"/>
        <w:rPr>
          <w:rFonts w:asciiTheme="minorHAnsi" w:hAnsiTheme="minorHAnsi" w:cstheme="minorHAnsi"/>
          <w:lang w:val="en-GB"/>
        </w:rPr>
      </w:pPr>
      <w:r w:rsidRPr="0068193D">
        <w:rPr>
          <w:rFonts w:asciiTheme="minorHAnsi" w:hAnsiTheme="minorHAnsi" w:cstheme="minorHAnsi"/>
          <w:lang w:val="en-GB"/>
        </w:rPr>
        <w:t>Where</w:t>
      </w:r>
      <w:r w:rsidR="00BE79B0" w:rsidRPr="0068193D">
        <w:rPr>
          <w:rFonts w:asciiTheme="minorHAnsi" w:hAnsiTheme="minorHAnsi" w:cstheme="minorHAnsi"/>
          <w:lang w:val="en-GB"/>
        </w:rPr>
        <w:t xml:space="preserve"> data on hip and other fractures are not available, the International Society for Clinical Densitometry and International Osteoporosis Foundation recommend the development of a surrogate FRAX model to be used until country-specific data are collected</w:t>
      </w:r>
      <w:r w:rsidR="002B71DD" w:rsidRPr="0068193D">
        <w:rPr>
          <w:rFonts w:asciiTheme="minorHAnsi" w:hAnsiTheme="minorHAnsi" w:cstheme="minorHAnsi"/>
          <w:lang w:val="en-GB"/>
        </w:rPr>
        <w:t xml:space="preserve"> and made available.  </w:t>
      </w:r>
      <w:r w:rsidR="00E153B4" w:rsidRPr="0068193D">
        <w:rPr>
          <w:rFonts w:asciiTheme="minorHAnsi" w:hAnsiTheme="minorHAnsi" w:cstheme="minorHAnsi"/>
          <w:lang w:val="en-GB"/>
        </w:rPr>
        <w:t>S</w:t>
      </w:r>
      <w:r w:rsidR="002B71DD" w:rsidRPr="0068193D">
        <w:rPr>
          <w:rFonts w:asciiTheme="minorHAnsi" w:hAnsiTheme="minorHAnsi" w:cstheme="minorHAnsi"/>
          <w:lang w:val="en-GB"/>
        </w:rPr>
        <w:t>urrogate models are</w:t>
      </w:r>
      <w:r w:rsidR="00BE79B0" w:rsidRPr="0068193D">
        <w:rPr>
          <w:rFonts w:asciiTheme="minorHAnsi" w:hAnsiTheme="minorHAnsi" w:cstheme="minorHAnsi"/>
          <w:lang w:val="en-GB"/>
        </w:rPr>
        <w:t xml:space="preserve"> </w:t>
      </w:r>
      <w:r w:rsidR="00E153B4" w:rsidRPr="0068193D">
        <w:rPr>
          <w:rFonts w:asciiTheme="minorHAnsi" w:hAnsiTheme="minorHAnsi" w:cstheme="minorHAnsi"/>
          <w:lang w:val="en-GB"/>
        </w:rPr>
        <w:t>constructed</w:t>
      </w:r>
      <w:r w:rsidR="00BE79B0" w:rsidRPr="0068193D">
        <w:rPr>
          <w:rFonts w:asciiTheme="minorHAnsi" w:hAnsiTheme="minorHAnsi" w:cstheme="minorHAnsi"/>
          <w:lang w:val="en-GB"/>
        </w:rPr>
        <w:t xml:space="preserve"> on </w:t>
      </w:r>
      <w:r w:rsidR="002B71DD" w:rsidRPr="0068193D">
        <w:rPr>
          <w:rFonts w:asciiTheme="minorHAnsi" w:hAnsiTheme="minorHAnsi" w:cstheme="minorHAnsi"/>
          <w:lang w:val="en-GB"/>
        </w:rPr>
        <w:t xml:space="preserve">age- and sex-specific mortality data from </w:t>
      </w:r>
      <w:r w:rsidR="00BE79B0" w:rsidRPr="0068193D">
        <w:rPr>
          <w:rFonts w:asciiTheme="minorHAnsi" w:hAnsiTheme="minorHAnsi" w:cstheme="minorHAnsi"/>
          <w:lang w:val="en-GB"/>
        </w:rPr>
        <w:t xml:space="preserve">the </w:t>
      </w:r>
      <w:r w:rsidR="002B71DD" w:rsidRPr="0068193D">
        <w:rPr>
          <w:rFonts w:asciiTheme="minorHAnsi" w:hAnsiTheme="minorHAnsi" w:cstheme="minorHAnsi"/>
          <w:lang w:val="en-GB"/>
        </w:rPr>
        <w:t xml:space="preserve">index </w:t>
      </w:r>
      <w:r w:rsidR="00BE79B0" w:rsidRPr="0068193D">
        <w:rPr>
          <w:rFonts w:asciiTheme="minorHAnsi" w:hAnsiTheme="minorHAnsi" w:cstheme="minorHAnsi"/>
          <w:lang w:val="en-GB"/>
        </w:rPr>
        <w:t>country</w:t>
      </w:r>
      <w:r w:rsidR="002B71DD" w:rsidRPr="0068193D">
        <w:rPr>
          <w:rFonts w:asciiTheme="minorHAnsi" w:hAnsiTheme="minorHAnsi" w:cstheme="minorHAnsi"/>
          <w:lang w:val="en-GB"/>
        </w:rPr>
        <w:t>, combined with age</w:t>
      </w:r>
      <w:r w:rsidR="00BE79B0" w:rsidRPr="0068193D">
        <w:rPr>
          <w:rFonts w:asciiTheme="minorHAnsi" w:hAnsiTheme="minorHAnsi" w:cstheme="minorHAnsi"/>
          <w:lang w:val="en-GB"/>
        </w:rPr>
        <w:t>-specific</w:t>
      </w:r>
      <w:r w:rsidR="002B71DD" w:rsidRPr="0068193D">
        <w:rPr>
          <w:rFonts w:asciiTheme="minorHAnsi" w:hAnsiTheme="minorHAnsi" w:cstheme="minorHAnsi"/>
          <w:lang w:val="en-GB"/>
        </w:rPr>
        <w:t>, sex-specific</w:t>
      </w:r>
      <w:r w:rsidR="00BE79B0" w:rsidRPr="0068193D">
        <w:rPr>
          <w:rFonts w:asciiTheme="minorHAnsi" w:hAnsiTheme="minorHAnsi" w:cstheme="minorHAnsi"/>
          <w:lang w:val="en-GB"/>
        </w:rPr>
        <w:t xml:space="preserve"> </w:t>
      </w:r>
      <w:r w:rsidR="002B71DD" w:rsidRPr="0068193D">
        <w:rPr>
          <w:rFonts w:asciiTheme="minorHAnsi" w:hAnsiTheme="minorHAnsi" w:cstheme="minorHAnsi"/>
          <w:lang w:val="en-GB"/>
        </w:rPr>
        <w:t xml:space="preserve">rates of </w:t>
      </w:r>
      <w:r w:rsidR="00BE79B0" w:rsidRPr="0068193D">
        <w:rPr>
          <w:rFonts w:asciiTheme="minorHAnsi" w:hAnsiTheme="minorHAnsi" w:cstheme="minorHAnsi"/>
          <w:lang w:val="en-GB"/>
        </w:rPr>
        <w:t xml:space="preserve">fracture </w:t>
      </w:r>
      <w:r w:rsidR="002B71DD" w:rsidRPr="0068193D">
        <w:rPr>
          <w:rFonts w:asciiTheme="minorHAnsi" w:hAnsiTheme="minorHAnsi" w:cstheme="minorHAnsi"/>
          <w:lang w:val="en-GB"/>
        </w:rPr>
        <w:t>derived from a</w:t>
      </w:r>
      <w:r w:rsidR="00BE79B0" w:rsidRPr="0068193D">
        <w:rPr>
          <w:rFonts w:asciiTheme="minorHAnsi" w:hAnsiTheme="minorHAnsi" w:cstheme="minorHAnsi"/>
          <w:lang w:val="en-GB"/>
        </w:rPr>
        <w:t xml:space="preserve"> country</w:t>
      </w:r>
      <w:r w:rsidR="002B71DD" w:rsidRPr="0068193D">
        <w:rPr>
          <w:rFonts w:asciiTheme="minorHAnsi" w:hAnsiTheme="minorHAnsi" w:cstheme="minorHAnsi"/>
          <w:lang w:val="en-GB"/>
        </w:rPr>
        <w:t>, usually nearby,</w:t>
      </w:r>
      <w:r w:rsidR="00BE79B0" w:rsidRPr="0068193D">
        <w:rPr>
          <w:rFonts w:asciiTheme="minorHAnsi" w:hAnsiTheme="minorHAnsi" w:cstheme="minorHAnsi"/>
          <w:lang w:val="en-GB"/>
        </w:rPr>
        <w:t xml:space="preserve"> where fracture rates are considered to be representative of the index country </w:t>
      </w:r>
      <w:r w:rsidR="008D6FD5" w:rsidRPr="0068193D">
        <w:rPr>
          <w:rFonts w:asciiTheme="minorHAnsi" w:hAnsiTheme="minorHAnsi" w:cstheme="minorHAnsi"/>
          <w:lang w:val="en-GB"/>
        </w:rPr>
        <w:t>[</w:t>
      </w:r>
      <w:r w:rsidR="00444AB6">
        <w:rPr>
          <w:rFonts w:asciiTheme="minorHAnsi" w:hAnsiTheme="minorHAnsi" w:cstheme="minorHAnsi"/>
          <w:lang w:val="en-GB"/>
        </w:rPr>
        <w:t>5]</w:t>
      </w:r>
      <w:r w:rsidR="00BE79B0" w:rsidRPr="0068193D">
        <w:rPr>
          <w:rFonts w:asciiTheme="minorHAnsi" w:hAnsiTheme="minorHAnsi" w:cstheme="minorHAnsi"/>
          <w:lang w:val="en-GB"/>
        </w:rPr>
        <w:t xml:space="preserve">. Of the </w:t>
      </w:r>
      <w:r w:rsidR="000413D9" w:rsidRPr="0068193D">
        <w:rPr>
          <w:rFonts w:asciiTheme="minorHAnsi" w:hAnsiTheme="minorHAnsi" w:cstheme="minorHAnsi"/>
          <w:lang w:val="en-GB"/>
        </w:rPr>
        <w:t>86</w:t>
      </w:r>
      <w:r w:rsidR="00BE79B0" w:rsidRPr="0068193D">
        <w:rPr>
          <w:rFonts w:asciiTheme="minorHAnsi" w:hAnsiTheme="minorHAnsi" w:cstheme="minorHAnsi"/>
          <w:lang w:val="en-GB"/>
        </w:rPr>
        <w:t xml:space="preserve"> countries for which a FRAX model is available, </w:t>
      </w:r>
      <w:r w:rsidR="005D16BB" w:rsidRPr="0068193D">
        <w:rPr>
          <w:rFonts w:asciiTheme="minorHAnsi" w:hAnsiTheme="minorHAnsi" w:cstheme="minorHAnsi"/>
          <w:lang w:val="en-GB"/>
        </w:rPr>
        <w:t>twelve</w:t>
      </w:r>
      <w:r w:rsidR="00BE79B0" w:rsidRPr="0068193D">
        <w:rPr>
          <w:rFonts w:asciiTheme="minorHAnsi" w:hAnsiTheme="minorHAnsi" w:cstheme="minorHAnsi"/>
          <w:lang w:val="en-GB"/>
        </w:rPr>
        <w:t xml:space="preserve"> FRAX country-specific models currently use surrogate data on fracture risk (</w:t>
      </w:r>
      <w:r w:rsidR="001F0489" w:rsidRPr="001F0489">
        <w:rPr>
          <w:rFonts w:asciiTheme="minorHAnsi" w:hAnsiTheme="minorHAnsi" w:cstheme="minorHAnsi"/>
          <w:lang w:val="en-GB"/>
        </w:rPr>
        <w:t>Bangladesh, Brunei, Ethiopia, Georgia, India, Kyrgyzstan, Myanmar, Nepal, Pakistan, Palestine, Sri Lanka, and Syria</w:t>
      </w:r>
      <w:r w:rsidR="00BE79B0" w:rsidRPr="0068193D">
        <w:rPr>
          <w:rFonts w:asciiTheme="minorHAnsi" w:hAnsiTheme="minorHAnsi" w:cstheme="minorHAnsi"/>
          <w:lang w:val="en-GB"/>
        </w:rPr>
        <w:t xml:space="preserve">).  </w:t>
      </w:r>
      <w:r w:rsidR="002B71DD" w:rsidRPr="0068193D">
        <w:rPr>
          <w:rFonts w:asciiTheme="minorHAnsi" w:hAnsiTheme="minorHAnsi" w:cstheme="minorHAnsi"/>
          <w:lang w:val="en-GB"/>
        </w:rPr>
        <w:t>In the absence of epidemiological data on fracture</w:t>
      </w:r>
      <w:r w:rsidR="00520346" w:rsidRPr="0068193D">
        <w:rPr>
          <w:rFonts w:asciiTheme="minorHAnsi" w:hAnsiTheme="minorHAnsi" w:cstheme="minorHAnsi"/>
          <w:lang w:val="en-GB"/>
        </w:rPr>
        <w:t xml:space="preserve"> </w:t>
      </w:r>
      <w:r w:rsidR="00B80882" w:rsidRPr="0068193D">
        <w:rPr>
          <w:rFonts w:asciiTheme="minorHAnsi" w:hAnsiTheme="minorHAnsi" w:cstheme="minorHAnsi"/>
          <w:lang w:val="en-GB"/>
        </w:rPr>
        <w:t>in Mongolia</w:t>
      </w:r>
      <w:r w:rsidR="002B71DD" w:rsidRPr="0068193D">
        <w:rPr>
          <w:rFonts w:asciiTheme="minorHAnsi" w:hAnsiTheme="minorHAnsi" w:cstheme="minorHAnsi"/>
          <w:lang w:val="en-GB"/>
        </w:rPr>
        <w:t>, t</w:t>
      </w:r>
      <w:r w:rsidR="00BE79B0" w:rsidRPr="0068193D">
        <w:rPr>
          <w:rFonts w:asciiTheme="minorHAnsi" w:hAnsiTheme="minorHAnsi" w:cstheme="minorHAnsi"/>
          <w:lang w:val="en-GB"/>
        </w:rPr>
        <w:t>he present report describes the development of a surrogate FRAX model.</w:t>
      </w:r>
    </w:p>
    <w:p w14:paraId="5207F0FE" w14:textId="77777777" w:rsidR="009566D4" w:rsidRPr="0068193D" w:rsidRDefault="009566D4" w:rsidP="00936AFC">
      <w:pPr>
        <w:keepNext/>
        <w:keepLines/>
        <w:spacing w:before="200" w:line="276" w:lineRule="auto"/>
        <w:ind w:left="567" w:right="142"/>
        <w:outlineLvl w:val="1"/>
        <w:rPr>
          <w:rFonts w:asciiTheme="minorHAnsi" w:hAnsiTheme="minorHAnsi" w:cstheme="minorHAnsi"/>
          <w:lang w:val="en-GB"/>
        </w:rPr>
      </w:pPr>
    </w:p>
    <w:p w14:paraId="266D1EFB" w14:textId="29759969" w:rsidR="006E2F26" w:rsidRPr="0068193D" w:rsidRDefault="006E2F26" w:rsidP="00936AFC">
      <w:pPr>
        <w:pStyle w:val="ListParagraph"/>
        <w:spacing w:after="0"/>
        <w:ind w:left="567" w:right="142" w:firstLine="0"/>
        <w:contextualSpacing/>
        <w:rPr>
          <w:rFonts w:asciiTheme="minorHAnsi" w:hAnsiTheme="minorHAnsi" w:cstheme="minorHAnsi"/>
          <w:b/>
          <w:bCs/>
          <w:sz w:val="24"/>
          <w:szCs w:val="24"/>
          <w:lang w:val="en-GB"/>
        </w:rPr>
      </w:pPr>
      <w:r w:rsidRPr="0068193D">
        <w:rPr>
          <w:rFonts w:asciiTheme="minorHAnsi" w:hAnsiTheme="minorHAnsi" w:cstheme="minorHAnsi"/>
          <w:b/>
          <w:bCs/>
          <w:sz w:val="24"/>
          <w:szCs w:val="24"/>
          <w:lang w:val="en-GB"/>
        </w:rPr>
        <w:t>Methods</w:t>
      </w:r>
    </w:p>
    <w:p w14:paraId="1F8B1E19" w14:textId="370E6D77" w:rsidR="00FA459F" w:rsidRPr="0068193D" w:rsidRDefault="00FA459F" w:rsidP="00936AFC">
      <w:pPr>
        <w:pStyle w:val="ListParagraph"/>
        <w:spacing w:after="0"/>
        <w:ind w:left="567" w:right="142" w:firstLine="0"/>
        <w:contextualSpacing/>
        <w:rPr>
          <w:rFonts w:asciiTheme="minorHAnsi" w:hAnsiTheme="minorHAnsi" w:cstheme="minorHAnsi"/>
          <w:b/>
          <w:bCs/>
          <w:sz w:val="24"/>
          <w:szCs w:val="24"/>
          <w:lang w:val="en-GB"/>
        </w:rPr>
      </w:pPr>
    </w:p>
    <w:p w14:paraId="4E60BF78" w14:textId="3397EE15" w:rsidR="00887CDA" w:rsidRPr="0068193D" w:rsidRDefault="00F87616" w:rsidP="00887CDA">
      <w:pPr>
        <w:pStyle w:val="ListParagraph"/>
        <w:spacing w:after="0"/>
        <w:ind w:left="567" w:right="142" w:firstLine="0"/>
        <w:contextualSpacing/>
        <w:rPr>
          <w:rFonts w:asciiTheme="minorHAnsi" w:hAnsiTheme="minorHAnsi" w:cstheme="minorHAnsi"/>
          <w:sz w:val="24"/>
          <w:szCs w:val="24"/>
          <w:lang w:val="en-GB"/>
        </w:rPr>
      </w:pPr>
      <w:r w:rsidRPr="0068193D">
        <w:rPr>
          <w:rFonts w:asciiTheme="minorHAnsi" w:hAnsiTheme="minorHAnsi" w:cstheme="minorHAnsi"/>
          <w:sz w:val="24"/>
          <w:szCs w:val="24"/>
          <w:lang w:val="en-GB"/>
        </w:rPr>
        <w:t>Mongolia</w:t>
      </w:r>
      <w:r w:rsidR="00CC3FCC" w:rsidRPr="0068193D">
        <w:rPr>
          <w:rFonts w:asciiTheme="minorHAnsi" w:hAnsiTheme="minorHAnsi" w:cstheme="minorHAnsi"/>
          <w:sz w:val="24"/>
          <w:szCs w:val="24"/>
          <w:lang w:val="en-GB"/>
        </w:rPr>
        <w:t xml:space="preserve"> </w:t>
      </w:r>
      <w:r w:rsidRPr="0068193D">
        <w:rPr>
          <w:rFonts w:asciiTheme="minorHAnsi" w:hAnsiTheme="minorHAnsi" w:cstheme="minorHAnsi"/>
          <w:sz w:val="24"/>
          <w:szCs w:val="24"/>
          <w:lang w:val="en-GB"/>
        </w:rPr>
        <w:t xml:space="preserve">is a landlocked country in East Asia, bordered by Russia to the north and China to the south. It covers an area of 1,564,116 square kilometres (603,909 square miles), with a population of 3.5 million, making it </w:t>
      </w:r>
      <w:r w:rsidR="00AE228B" w:rsidRPr="0068193D">
        <w:rPr>
          <w:rFonts w:asciiTheme="minorHAnsi" w:hAnsiTheme="minorHAnsi" w:cstheme="minorHAnsi"/>
          <w:sz w:val="24"/>
          <w:szCs w:val="24"/>
          <w:lang w:val="en-GB"/>
        </w:rPr>
        <w:t>the most</w:t>
      </w:r>
      <w:r w:rsidRPr="0068193D">
        <w:rPr>
          <w:rFonts w:asciiTheme="minorHAnsi" w:hAnsiTheme="minorHAnsi" w:cstheme="minorHAnsi"/>
          <w:sz w:val="24"/>
          <w:szCs w:val="24"/>
          <w:lang w:val="en-GB"/>
        </w:rPr>
        <w:t xml:space="preserve"> sparsely populated sovereign state.</w:t>
      </w:r>
      <w:r w:rsidR="00CC3FCC" w:rsidRPr="0068193D">
        <w:rPr>
          <w:rFonts w:asciiTheme="minorHAnsi" w:hAnsiTheme="minorHAnsi" w:cstheme="minorHAnsi"/>
          <w:sz w:val="24"/>
          <w:szCs w:val="24"/>
          <w:lang w:val="en-GB"/>
        </w:rPr>
        <w:t xml:space="preserve"> </w:t>
      </w:r>
      <w:r w:rsidR="00D03281" w:rsidRPr="0068193D">
        <w:rPr>
          <w:rFonts w:asciiTheme="minorHAnsi" w:hAnsiTheme="minorHAnsi" w:cstheme="minorHAnsi"/>
          <w:sz w:val="24"/>
          <w:szCs w:val="24"/>
          <w:lang w:val="en-GB"/>
        </w:rPr>
        <w:t>[</w:t>
      </w:r>
      <w:r w:rsidR="00207513">
        <w:rPr>
          <w:rFonts w:asciiTheme="minorHAnsi" w:hAnsiTheme="minorHAnsi" w:cstheme="minorHAnsi"/>
          <w:sz w:val="24"/>
          <w:szCs w:val="24"/>
          <w:lang w:val="en-GB"/>
        </w:rPr>
        <w:t>6]</w:t>
      </w:r>
      <w:r w:rsidR="00887CDA" w:rsidRPr="0068193D">
        <w:rPr>
          <w:rFonts w:asciiTheme="minorHAnsi" w:hAnsiTheme="minorHAnsi" w:cstheme="minorHAnsi"/>
          <w:sz w:val="24"/>
          <w:szCs w:val="24"/>
          <w:lang w:val="en-GB"/>
        </w:rPr>
        <w:t xml:space="preserve">. The population of </w:t>
      </w:r>
      <w:r w:rsidR="0029259A" w:rsidRPr="0068193D">
        <w:rPr>
          <w:rFonts w:asciiTheme="minorHAnsi" w:hAnsiTheme="minorHAnsi" w:cstheme="minorHAnsi"/>
          <w:sz w:val="24"/>
          <w:szCs w:val="24"/>
          <w:lang w:val="en-GB"/>
        </w:rPr>
        <w:t>Mongolia</w:t>
      </w:r>
      <w:r w:rsidR="00887CDA" w:rsidRPr="0068193D">
        <w:rPr>
          <w:rFonts w:asciiTheme="minorHAnsi" w:hAnsiTheme="minorHAnsi" w:cstheme="minorHAnsi"/>
          <w:sz w:val="24"/>
          <w:szCs w:val="24"/>
          <w:lang w:val="en-GB"/>
        </w:rPr>
        <w:t xml:space="preserve"> is young with a median age of </w:t>
      </w:r>
      <w:r w:rsidR="002E5E2C" w:rsidRPr="0068193D">
        <w:rPr>
          <w:rFonts w:asciiTheme="minorHAnsi" w:hAnsiTheme="minorHAnsi" w:cstheme="minorHAnsi"/>
          <w:sz w:val="24"/>
          <w:szCs w:val="24"/>
          <w:lang w:val="en-GB"/>
        </w:rPr>
        <w:t>2</w:t>
      </w:r>
      <w:r w:rsidR="0029259A" w:rsidRPr="0068193D">
        <w:rPr>
          <w:rFonts w:asciiTheme="minorHAnsi" w:hAnsiTheme="minorHAnsi" w:cstheme="minorHAnsi"/>
          <w:sz w:val="24"/>
          <w:szCs w:val="24"/>
          <w:lang w:val="en-GB"/>
        </w:rPr>
        <w:t>6</w:t>
      </w:r>
      <w:r w:rsidR="002E5E2C" w:rsidRPr="0068193D">
        <w:rPr>
          <w:rFonts w:asciiTheme="minorHAnsi" w:hAnsiTheme="minorHAnsi" w:cstheme="minorHAnsi"/>
          <w:sz w:val="24"/>
          <w:szCs w:val="24"/>
          <w:lang w:val="en-GB"/>
        </w:rPr>
        <w:t>.</w:t>
      </w:r>
      <w:r w:rsidR="0029259A" w:rsidRPr="0068193D">
        <w:rPr>
          <w:rFonts w:asciiTheme="minorHAnsi" w:hAnsiTheme="minorHAnsi" w:cstheme="minorHAnsi"/>
          <w:sz w:val="24"/>
          <w:szCs w:val="24"/>
          <w:lang w:val="en-GB"/>
        </w:rPr>
        <w:t>9</w:t>
      </w:r>
      <w:r w:rsidR="002E5E2C" w:rsidRPr="0068193D">
        <w:rPr>
          <w:rFonts w:asciiTheme="minorHAnsi" w:hAnsiTheme="minorHAnsi" w:cstheme="minorHAnsi"/>
          <w:sz w:val="24"/>
          <w:szCs w:val="24"/>
          <w:lang w:val="en-GB"/>
        </w:rPr>
        <w:t xml:space="preserve"> </w:t>
      </w:r>
      <w:r w:rsidR="00AF3152" w:rsidRPr="0068193D">
        <w:rPr>
          <w:rFonts w:asciiTheme="minorHAnsi" w:hAnsiTheme="minorHAnsi" w:cstheme="minorHAnsi"/>
          <w:sz w:val="24"/>
          <w:szCs w:val="24"/>
          <w:lang w:val="en-GB"/>
        </w:rPr>
        <w:t xml:space="preserve">years </w:t>
      </w:r>
      <w:r w:rsidR="002E5E2C" w:rsidRPr="0068193D">
        <w:rPr>
          <w:rFonts w:asciiTheme="minorHAnsi" w:hAnsiTheme="minorHAnsi" w:cstheme="minorHAnsi"/>
          <w:sz w:val="24"/>
          <w:szCs w:val="24"/>
          <w:lang w:val="en-GB"/>
        </w:rPr>
        <w:t>against a global value of 30.3 years</w:t>
      </w:r>
      <w:r w:rsidR="00887CDA" w:rsidRPr="0068193D">
        <w:rPr>
          <w:rFonts w:asciiTheme="minorHAnsi" w:hAnsiTheme="minorHAnsi" w:cstheme="minorHAnsi"/>
          <w:sz w:val="24"/>
          <w:szCs w:val="24"/>
          <w:lang w:val="en-GB"/>
        </w:rPr>
        <w:t xml:space="preserve"> </w:t>
      </w:r>
      <w:r w:rsidR="00AF3152" w:rsidRPr="0068193D">
        <w:rPr>
          <w:rFonts w:asciiTheme="minorHAnsi" w:hAnsiTheme="minorHAnsi" w:cstheme="minorHAnsi"/>
          <w:sz w:val="24"/>
          <w:szCs w:val="24"/>
          <w:lang w:val="en-GB"/>
        </w:rPr>
        <w:t xml:space="preserve">and </w:t>
      </w:r>
      <w:r w:rsidR="00887CDA" w:rsidRPr="0068193D">
        <w:rPr>
          <w:rFonts w:asciiTheme="minorHAnsi" w:hAnsiTheme="minorHAnsi" w:cstheme="minorHAnsi"/>
          <w:sz w:val="24"/>
          <w:szCs w:val="24"/>
          <w:lang w:val="en-GB"/>
        </w:rPr>
        <w:t>a median age of 40.3 years in the UK [</w:t>
      </w:r>
      <w:r w:rsidR="00207513">
        <w:rPr>
          <w:rFonts w:asciiTheme="minorHAnsi" w:hAnsiTheme="minorHAnsi" w:cstheme="minorHAnsi"/>
          <w:sz w:val="24"/>
          <w:szCs w:val="24"/>
          <w:lang w:val="en-GB"/>
        </w:rPr>
        <w:t>7]</w:t>
      </w:r>
      <w:r w:rsidR="00887CDA" w:rsidRPr="0068193D">
        <w:rPr>
          <w:rFonts w:asciiTheme="minorHAnsi" w:hAnsiTheme="minorHAnsi" w:cstheme="minorHAnsi"/>
          <w:sz w:val="24"/>
          <w:szCs w:val="24"/>
          <w:lang w:val="en-GB"/>
        </w:rPr>
        <w:t xml:space="preserve">. </w:t>
      </w:r>
    </w:p>
    <w:p w14:paraId="0F63CFA9" w14:textId="709E3B47" w:rsidR="00462496" w:rsidRPr="0068193D" w:rsidRDefault="00462496" w:rsidP="00936AFC">
      <w:pPr>
        <w:pStyle w:val="ListParagraph"/>
        <w:spacing w:after="0"/>
        <w:ind w:left="567" w:right="142" w:firstLine="0"/>
        <w:contextualSpacing/>
        <w:rPr>
          <w:rFonts w:asciiTheme="minorHAnsi" w:hAnsiTheme="minorHAnsi" w:cstheme="minorHAnsi"/>
          <w:sz w:val="24"/>
          <w:szCs w:val="24"/>
          <w:lang w:val="en-GB"/>
        </w:rPr>
      </w:pPr>
    </w:p>
    <w:p w14:paraId="4F9E89EE" w14:textId="0C7AD888" w:rsidR="00CE4548" w:rsidRPr="0068193D" w:rsidRDefault="00CE4548" w:rsidP="00936AFC">
      <w:pPr>
        <w:spacing w:line="276" w:lineRule="auto"/>
        <w:ind w:left="567" w:right="142" w:firstLine="567"/>
        <w:rPr>
          <w:rFonts w:asciiTheme="minorHAnsi" w:hAnsiTheme="minorHAnsi" w:cstheme="minorHAnsi"/>
          <w:lang w:val="en-GB"/>
        </w:rPr>
      </w:pPr>
    </w:p>
    <w:p w14:paraId="5C44FC49" w14:textId="79E9C201" w:rsidR="00446D9D" w:rsidRPr="0068193D" w:rsidRDefault="00446D9D" w:rsidP="00936AFC">
      <w:pPr>
        <w:spacing w:line="276" w:lineRule="auto"/>
        <w:ind w:left="567" w:right="142"/>
        <w:rPr>
          <w:rFonts w:asciiTheme="minorHAnsi" w:hAnsiTheme="minorHAnsi" w:cstheme="minorHAnsi"/>
          <w:i/>
          <w:lang w:val="en-GB"/>
        </w:rPr>
      </w:pPr>
      <w:r w:rsidRPr="0068193D">
        <w:rPr>
          <w:rFonts w:asciiTheme="minorHAnsi" w:hAnsiTheme="minorHAnsi" w:cstheme="minorHAnsi"/>
          <w:i/>
          <w:lang w:val="en-GB"/>
        </w:rPr>
        <w:t xml:space="preserve">Development of surrogate model </w:t>
      </w:r>
    </w:p>
    <w:p w14:paraId="557F410F" w14:textId="0C4D0ADA" w:rsidR="004A14F2" w:rsidRPr="0068193D" w:rsidRDefault="00FF246B" w:rsidP="00936AFC">
      <w:pPr>
        <w:spacing w:line="276" w:lineRule="auto"/>
        <w:ind w:left="567" w:right="142"/>
        <w:rPr>
          <w:rFonts w:asciiTheme="minorHAnsi" w:hAnsiTheme="minorHAnsi" w:cstheme="minorHAnsi"/>
          <w:lang w:val="en-GB"/>
        </w:rPr>
      </w:pPr>
      <w:r w:rsidRPr="0068193D">
        <w:rPr>
          <w:rFonts w:asciiTheme="minorHAnsi" w:hAnsiTheme="minorHAnsi" w:cstheme="minorHAnsi"/>
          <w:lang w:val="en-GB"/>
        </w:rPr>
        <w:t xml:space="preserve">Given its </w:t>
      </w:r>
      <w:r w:rsidR="00DE3F34" w:rsidRPr="0068193D">
        <w:rPr>
          <w:rFonts w:asciiTheme="minorHAnsi" w:hAnsiTheme="minorHAnsi" w:cstheme="minorHAnsi"/>
          <w:lang w:val="en-GB"/>
        </w:rPr>
        <w:t>border with China</w:t>
      </w:r>
      <w:r w:rsidRPr="0068193D">
        <w:rPr>
          <w:rFonts w:asciiTheme="minorHAnsi" w:hAnsiTheme="minorHAnsi" w:cstheme="minorHAnsi"/>
          <w:lang w:val="en-GB"/>
        </w:rPr>
        <w:t>, it</w:t>
      </w:r>
      <w:r w:rsidR="00001552" w:rsidRPr="0068193D">
        <w:rPr>
          <w:rFonts w:asciiTheme="minorHAnsi" w:hAnsiTheme="minorHAnsi" w:cstheme="minorHAnsi"/>
          <w:lang w:val="en-GB"/>
        </w:rPr>
        <w:t xml:space="preserve"> was decided to base the </w:t>
      </w:r>
      <w:r w:rsidR="00DE3F34" w:rsidRPr="0068193D">
        <w:rPr>
          <w:rFonts w:asciiTheme="minorHAnsi" w:hAnsiTheme="minorHAnsi" w:cstheme="minorHAnsi"/>
          <w:lang w:val="en-GB"/>
        </w:rPr>
        <w:t>Mongolian</w:t>
      </w:r>
      <w:r w:rsidRPr="0068193D">
        <w:rPr>
          <w:rFonts w:asciiTheme="minorHAnsi" w:hAnsiTheme="minorHAnsi" w:cstheme="minorHAnsi"/>
          <w:lang w:val="en-GB"/>
        </w:rPr>
        <w:t xml:space="preserve"> </w:t>
      </w:r>
      <w:r w:rsidR="00001552" w:rsidRPr="0068193D">
        <w:rPr>
          <w:rFonts w:asciiTheme="minorHAnsi" w:hAnsiTheme="minorHAnsi" w:cstheme="minorHAnsi"/>
          <w:lang w:val="en-GB"/>
        </w:rPr>
        <w:t>model o</w:t>
      </w:r>
      <w:r w:rsidR="00460D70" w:rsidRPr="0068193D">
        <w:rPr>
          <w:rFonts w:asciiTheme="minorHAnsi" w:hAnsiTheme="minorHAnsi" w:cstheme="minorHAnsi"/>
          <w:lang w:val="en-GB"/>
        </w:rPr>
        <w:t xml:space="preserve">n fracture rates of </w:t>
      </w:r>
      <w:r w:rsidR="0002146D" w:rsidRPr="0068193D">
        <w:rPr>
          <w:rFonts w:asciiTheme="minorHAnsi" w:hAnsiTheme="minorHAnsi" w:cstheme="minorHAnsi"/>
          <w:lang w:val="en-GB"/>
        </w:rPr>
        <w:t>mainland China</w:t>
      </w:r>
      <w:r w:rsidR="00C3290B" w:rsidRPr="0068193D">
        <w:rPr>
          <w:rFonts w:asciiTheme="minorHAnsi" w:hAnsiTheme="minorHAnsi" w:cstheme="minorHAnsi"/>
          <w:lang w:val="en-GB"/>
        </w:rPr>
        <w:t xml:space="preserve">.  </w:t>
      </w:r>
      <w:r w:rsidR="002130B8" w:rsidRPr="0068193D">
        <w:rPr>
          <w:rFonts w:asciiTheme="minorHAnsi" w:hAnsiTheme="minorHAnsi" w:cstheme="minorHAnsi"/>
          <w:color w:val="000000" w:themeColor="text1"/>
          <w:lang w:val="en-GB"/>
        </w:rPr>
        <w:t xml:space="preserve">As </w:t>
      </w:r>
      <w:r w:rsidR="002130B8" w:rsidRPr="0068193D">
        <w:rPr>
          <w:rFonts w:asciiTheme="minorHAnsi" w:hAnsiTheme="minorHAnsi" w:cstheme="minorHAnsi"/>
          <w:lang w:val="en-GB"/>
        </w:rPr>
        <w:t xml:space="preserve">described previously, in the absence of incidence data </w:t>
      </w:r>
      <w:r w:rsidR="00446D9D" w:rsidRPr="0068193D">
        <w:rPr>
          <w:rFonts w:asciiTheme="minorHAnsi" w:hAnsiTheme="minorHAnsi" w:cstheme="minorHAnsi"/>
          <w:lang w:val="en-GB"/>
        </w:rPr>
        <w:t>for</w:t>
      </w:r>
      <w:r w:rsidR="002130B8" w:rsidRPr="0068193D">
        <w:rPr>
          <w:rFonts w:asciiTheme="minorHAnsi" w:hAnsiTheme="minorHAnsi" w:cstheme="minorHAnsi"/>
          <w:lang w:val="en-GB"/>
        </w:rPr>
        <w:t xml:space="preserve"> other </w:t>
      </w:r>
      <w:r w:rsidR="002130B8" w:rsidRPr="0068193D">
        <w:rPr>
          <w:rFonts w:asciiTheme="minorHAnsi" w:hAnsiTheme="minorHAnsi" w:cstheme="minorHAnsi"/>
          <w:lang w:val="en-GB"/>
        </w:rPr>
        <w:lastRenderedPageBreak/>
        <w:t>sites of major osteoporotic fracture (</w:t>
      </w:r>
      <w:r w:rsidR="003828C0">
        <w:rPr>
          <w:rFonts w:asciiTheme="minorHAnsi" w:hAnsiTheme="minorHAnsi" w:cstheme="minorHAnsi"/>
          <w:lang w:val="en-GB"/>
        </w:rPr>
        <w:t>MO</w:t>
      </w:r>
      <w:r w:rsidR="00622282">
        <w:rPr>
          <w:rFonts w:asciiTheme="minorHAnsi" w:hAnsiTheme="minorHAnsi" w:cstheme="minorHAnsi"/>
          <w:lang w:val="en-GB"/>
        </w:rPr>
        <w:t xml:space="preserve">F; </w:t>
      </w:r>
      <w:r w:rsidR="002130B8" w:rsidRPr="0068193D">
        <w:rPr>
          <w:rFonts w:asciiTheme="minorHAnsi" w:hAnsiTheme="minorHAnsi" w:cstheme="minorHAnsi"/>
          <w:lang w:val="en-GB"/>
        </w:rPr>
        <w:t>clinical spine, distal forearm and proximal humerus), the</w:t>
      </w:r>
      <w:r w:rsidR="00E93600" w:rsidRPr="0068193D">
        <w:rPr>
          <w:rFonts w:asciiTheme="minorHAnsi" w:hAnsiTheme="minorHAnsi" w:cstheme="minorHAnsi"/>
        </w:rPr>
        <w:t xml:space="preserve"> hip fracture rates </w:t>
      </w:r>
      <w:r w:rsidR="002130B8" w:rsidRPr="0068193D">
        <w:rPr>
          <w:rFonts w:asciiTheme="minorHAnsi" w:hAnsiTheme="minorHAnsi" w:cstheme="minorHAnsi"/>
          <w:lang w:val="en-GB"/>
        </w:rPr>
        <w:t>were used</w:t>
      </w:r>
      <w:r w:rsidR="00E93600" w:rsidRPr="0068193D">
        <w:rPr>
          <w:rFonts w:asciiTheme="minorHAnsi" w:hAnsiTheme="minorHAnsi" w:cstheme="minorHAnsi"/>
        </w:rPr>
        <w:t xml:space="preserve"> </w:t>
      </w:r>
      <w:r w:rsidR="002130B8" w:rsidRPr="0068193D">
        <w:rPr>
          <w:rFonts w:asciiTheme="minorHAnsi" w:hAnsiTheme="minorHAnsi" w:cstheme="minorHAnsi"/>
          <w:lang w:val="en-GB"/>
        </w:rPr>
        <w:t xml:space="preserve">to </w:t>
      </w:r>
      <w:r w:rsidR="00E93600" w:rsidRPr="0068193D">
        <w:rPr>
          <w:rFonts w:asciiTheme="minorHAnsi" w:hAnsiTheme="minorHAnsi" w:cstheme="minorHAnsi"/>
        </w:rPr>
        <w:t>estimate the</w:t>
      </w:r>
      <w:r w:rsidR="002130B8" w:rsidRPr="0068193D">
        <w:rPr>
          <w:rFonts w:asciiTheme="minorHAnsi" w:hAnsiTheme="minorHAnsi" w:cstheme="minorHAnsi"/>
          <w:lang w:val="en-GB"/>
        </w:rPr>
        <w:t>se</w:t>
      </w:r>
      <w:r w:rsidR="00E93600" w:rsidRPr="0068193D">
        <w:rPr>
          <w:rFonts w:asciiTheme="minorHAnsi" w:hAnsiTheme="minorHAnsi" w:cstheme="minorHAnsi"/>
        </w:rPr>
        <w:t xml:space="preserve"> incidence</w:t>
      </w:r>
      <w:r w:rsidR="002130B8" w:rsidRPr="0068193D">
        <w:rPr>
          <w:rFonts w:asciiTheme="minorHAnsi" w:hAnsiTheme="minorHAnsi" w:cstheme="minorHAnsi"/>
          <w:lang w:val="en-GB"/>
        </w:rPr>
        <w:t xml:space="preserve">s on the assumption </w:t>
      </w:r>
      <w:r w:rsidR="00E93600" w:rsidRPr="0068193D">
        <w:rPr>
          <w:rFonts w:asciiTheme="minorHAnsi" w:hAnsiTheme="minorHAnsi" w:cstheme="minorHAnsi"/>
        </w:rPr>
        <w:t xml:space="preserve">that the ratio of hip fracture incidence to </w:t>
      </w:r>
      <w:r w:rsidR="002130B8" w:rsidRPr="0068193D">
        <w:rPr>
          <w:rFonts w:asciiTheme="minorHAnsi" w:hAnsiTheme="minorHAnsi" w:cstheme="minorHAnsi"/>
          <w:lang w:val="en-GB"/>
        </w:rPr>
        <w:t xml:space="preserve">these </w:t>
      </w:r>
      <w:r w:rsidR="00E93600" w:rsidRPr="0068193D">
        <w:rPr>
          <w:rFonts w:asciiTheme="minorHAnsi" w:hAnsiTheme="minorHAnsi" w:cstheme="minorHAnsi"/>
        </w:rPr>
        <w:t>other FRAX outcomes is the same in the index country as that documented in Sweden</w:t>
      </w:r>
      <w:r w:rsidR="00A23A6E" w:rsidRPr="0068193D">
        <w:rPr>
          <w:rFonts w:asciiTheme="minorHAnsi" w:hAnsiTheme="minorHAnsi" w:cstheme="minorHAnsi"/>
          <w:lang w:val="en-GB"/>
        </w:rPr>
        <w:t xml:space="preserve">, Iceland, </w:t>
      </w:r>
      <w:r w:rsidR="00D575E2" w:rsidRPr="0068193D">
        <w:rPr>
          <w:rFonts w:asciiTheme="minorHAnsi" w:hAnsiTheme="minorHAnsi" w:cstheme="minorHAnsi"/>
          <w:lang w:val="en-GB"/>
        </w:rPr>
        <w:t>Canada, Moldova and elsewhere</w:t>
      </w:r>
      <w:r w:rsidR="00446D9D" w:rsidRPr="0068193D">
        <w:rPr>
          <w:rFonts w:asciiTheme="minorHAnsi" w:hAnsiTheme="minorHAnsi" w:cstheme="minorHAnsi"/>
          <w:lang w:val="en-GB"/>
        </w:rPr>
        <w:t xml:space="preserve"> </w:t>
      </w:r>
      <w:r w:rsidR="00E93600" w:rsidRPr="0068193D">
        <w:rPr>
          <w:rFonts w:asciiTheme="minorHAnsi" w:hAnsiTheme="minorHAnsi" w:cstheme="minorHAnsi"/>
        </w:rPr>
        <w:t>[</w:t>
      </w:r>
      <w:r w:rsidR="00E81D24">
        <w:rPr>
          <w:rFonts w:asciiTheme="minorHAnsi" w:hAnsiTheme="minorHAnsi" w:cstheme="minorHAnsi"/>
          <w:lang w:val="en-GB"/>
        </w:rPr>
        <w:t xml:space="preserve">8, </w:t>
      </w:r>
      <w:r w:rsidR="00FB5725">
        <w:rPr>
          <w:rFonts w:asciiTheme="minorHAnsi" w:hAnsiTheme="minorHAnsi" w:cstheme="minorHAnsi"/>
          <w:lang w:val="en-GB"/>
        </w:rPr>
        <w:t>9, 10, 11]</w:t>
      </w:r>
      <w:r w:rsidR="00C82FAD" w:rsidRPr="0068193D">
        <w:rPr>
          <w:rFonts w:asciiTheme="minorHAnsi" w:hAnsiTheme="minorHAnsi" w:cstheme="minorHAnsi"/>
          <w:lang w:val="en-GB"/>
        </w:rPr>
        <w:t xml:space="preserve">. </w:t>
      </w:r>
      <w:r w:rsidR="002A4E2C" w:rsidRPr="0068193D">
        <w:rPr>
          <w:rFonts w:asciiTheme="minorHAnsi" w:hAnsiTheme="minorHAnsi" w:cstheme="minorHAnsi"/>
          <w:lang w:val="en-GB"/>
        </w:rPr>
        <w:t xml:space="preserve"> </w:t>
      </w:r>
      <w:r w:rsidR="00283073" w:rsidRPr="0068193D">
        <w:rPr>
          <w:rFonts w:asciiTheme="minorHAnsi" w:hAnsiTheme="minorHAnsi" w:cstheme="minorHAnsi"/>
          <w:lang w:val="en-GB"/>
        </w:rPr>
        <w:t xml:space="preserve">National mortality rates </w:t>
      </w:r>
      <w:r w:rsidR="006237FC" w:rsidRPr="0068193D">
        <w:rPr>
          <w:rFonts w:asciiTheme="minorHAnsi" w:hAnsiTheme="minorHAnsi" w:cstheme="minorHAnsi"/>
          <w:lang w:val="en-GB"/>
        </w:rPr>
        <w:t xml:space="preserve">for </w:t>
      </w:r>
      <w:r w:rsidR="007631B9" w:rsidRPr="0068193D">
        <w:rPr>
          <w:rFonts w:asciiTheme="minorHAnsi" w:hAnsiTheme="minorHAnsi" w:cstheme="minorHAnsi"/>
          <w:lang w:val="en-GB"/>
        </w:rPr>
        <w:t>Mongolia</w:t>
      </w:r>
      <w:r w:rsidR="006237FC" w:rsidRPr="0068193D">
        <w:rPr>
          <w:rFonts w:asciiTheme="minorHAnsi" w:hAnsiTheme="minorHAnsi" w:cstheme="minorHAnsi"/>
          <w:lang w:val="en-GB"/>
        </w:rPr>
        <w:t xml:space="preserve"> </w:t>
      </w:r>
      <w:r w:rsidR="00283073" w:rsidRPr="0068193D">
        <w:rPr>
          <w:rFonts w:asciiTheme="minorHAnsi" w:hAnsiTheme="minorHAnsi" w:cstheme="minorHAnsi"/>
          <w:lang w:val="en-GB"/>
        </w:rPr>
        <w:t xml:space="preserve">used data from the </w:t>
      </w:r>
      <w:r w:rsidR="00DA7882" w:rsidRPr="0068193D">
        <w:rPr>
          <w:rFonts w:asciiTheme="minorHAnsi" w:hAnsiTheme="minorHAnsi" w:cstheme="minorHAnsi"/>
          <w:lang w:val="en-GB"/>
        </w:rPr>
        <w:t>United Nations</w:t>
      </w:r>
      <w:r w:rsidR="00283073" w:rsidRPr="0068193D">
        <w:rPr>
          <w:rFonts w:asciiTheme="minorHAnsi" w:hAnsiTheme="minorHAnsi" w:cstheme="minorHAnsi"/>
          <w:lang w:val="en-GB"/>
        </w:rPr>
        <w:t xml:space="preserve"> for </w:t>
      </w:r>
      <w:r w:rsidR="00852062" w:rsidRPr="0068193D">
        <w:rPr>
          <w:rFonts w:asciiTheme="minorHAnsi" w:hAnsiTheme="minorHAnsi" w:cstheme="minorHAnsi"/>
          <w:lang w:val="en-GB"/>
        </w:rPr>
        <w:t>2015-2019</w:t>
      </w:r>
      <w:r w:rsidR="00283073" w:rsidRPr="0068193D">
        <w:rPr>
          <w:rFonts w:asciiTheme="minorHAnsi" w:hAnsiTheme="minorHAnsi" w:cstheme="minorHAnsi"/>
          <w:lang w:val="en-GB"/>
        </w:rPr>
        <w:t xml:space="preserve"> [</w:t>
      </w:r>
      <w:r w:rsidR="00FB5725">
        <w:rPr>
          <w:rFonts w:asciiTheme="minorHAnsi" w:hAnsiTheme="minorHAnsi" w:cstheme="minorHAnsi"/>
          <w:lang w:val="en-GB"/>
        </w:rPr>
        <w:t>12]</w:t>
      </w:r>
      <w:r w:rsidR="00962BD7" w:rsidRPr="0068193D">
        <w:rPr>
          <w:rFonts w:asciiTheme="minorHAnsi" w:hAnsiTheme="minorHAnsi" w:cstheme="minorHAnsi"/>
          <w:lang w:val="en-GB"/>
        </w:rPr>
        <w:t>.</w:t>
      </w:r>
    </w:p>
    <w:p w14:paraId="64FFE116" w14:textId="77777777" w:rsidR="0056532D" w:rsidRPr="0068193D" w:rsidRDefault="0056532D" w:rsidP="00936AFC">
      <w:pPr>
        <w:spacing w:line="276" w:lineRule="auto"/>
        <w:ind w:left="567" w:right="142"/>
        <w:rPr>
          <w:rFonts w:asciiTheme="minorHAnsi" w:hAnsiTheme="minorHAnsi" w:cstheme="minorHAnsi"/>
          <w:lang w:val="en-GB"/>
        </w:rPr>
      </w:pPr>
    </w:p>
    <w:p w14:paraId="6D5E5696" w14:textId="4B053907" w:rsidR="0056532D" w:rsidRPr="0068193D" w:rsidRDefault="00FD658D" w:rsidP="00936AFC">
      <w:pPr>
        <w:spacing w:line="276" w:lineRule="auto"/>
        <w:ind w:left="567" w:right="142"/>
        <w:rPr>
          <w:rFonts w:asciiTheme="minorHAnsi" w:hAnsiTheme="minorHAnsi" w:cstheme="minorHAnsi"/>
          <w:i/>
          <w:iCs/>
          <w:lang w:val="en-GB"/>
        </w:rPr>
      </w:pPr>
      <w:r w:rsidRPr="0068193D">
        <w:rPr>
          <w:rFonts w:asciiTheme="minorHAnsi" w:hAnsiTheme="minorHAnsi" w:cstheme="minorHAnsi"/>
          <w:i/>
          <w:iCs/>
          <w:lang w:val="en-GB"/>
        </w:rPr>
        <w:t>Patient sample</w:t>
      </w:r>
      <w:r w:rsidR="004C6519" w:rsidRPr="004C6519">
        <w:t xml:space="preserve"> </w:t>
      </w:r>
      <w:r w:rsidR="004C6519" w:rsidRPr="004C6519">
        <w:rPr>
          <w:rFonts w:asciiTheme="minorHAnsi" w:hAnsiTheme="minorHAnsi" w:cstheme="minorHAnsi"/>
          <w:i/>
          <w:iCs/>
          <w:lang w:val="en-GB"/>
        </w:rPr>
        <w:t>for assessment of model impact</w:t>
      </w:r>
    </w:p>
    <w:p w14:paraId="792F6520" w14:textId="1BEAF87B" w:rsidR="00B87358" w:rsidRPr="0068193D" w:rsidRDefault="00B87358" w:rsidP="00B87358">
      <w:pPr>
        <w:spacing w:line="276" w:lineRule="auto"/>
        <w:ind w:left="567" w:right="142"/>
        <w:rPr>
          <w:rFonts w:asciiTheme="minorHAnsi" w:hAnsiTheme="minorHAnsi" w:cstheme="minorHAnsi"/>
          <w:lang w:val="en-GB"/>
        </w:rPr>
      </w:pPr>
      <w:r>
        <w:rPr>
          <w:rFonts w:asciiTheme="minorHAnsi" w:hAnsiTheme="minorHAnsi" w:cstheme="minorHAnsi"/>
          <w:lang w:val="en-GB"/>
        </w:rPr>
        <w:t>P</w:t>
      </w:r>
      <w:r w:rsidRPr="0068193D">
        <w:rPr>
          <w:rFonts w:asciiTheme="minorHAnsi" w:hAnsiTheme="minorHAnsi" w:cstheme="minorHAnsi"/>
          <w:lang w:val="en-GB"/>
        </w:rPr>
        <w:t>atients at referral clinics in the Songinokhairkhan district of Ulaanbaatar (n=230),</w:t>
      </w:r>
      <w:r w:rsidRPr="0068193D">
        <w:t xml:space="preserve"> </w:t>
      </w:r>
      <w:r w:rsidRPr="0068193D">
        <w:rPr>
          <w:lang w:val="en-GB"/>
        </w:rPr>
        <w:t xml:space="preserve">the </w:t>
      </w:r>
      <w:r w:rsidRPr="0068193D">
        <w:rPr>
          <w:rFonts w:asciiTheme="minorHAnsi" w:hAnsiTheme="minorHAnsi" w:cstheme="minorHAnsi"/>
          <w:lang w:val="en-GB"/>
        </w:rPr>
        <w:t>Chingeltei district of Ulaanbaatar city (n=126),</w:t>
      </w:r>
      <w:r w:rsidRPr="0068193D">
        <w:t xml:space="preserve"> </w:t>
      </w:r>
      <w:r w:rsidRPr="0068193D">
        <w:rPr>
          <w:rFonts w:asciiTheme="minorHAnsi" w:hAnsiTheme="minorHAnsi" w:cstheme="minorHAnsi"/>
          <w:lang w:val="en-GB"/>
        </w:rPr>
        <w:t>Dornogovi province (n=79), the Khuvsgul province (n=153),</w:t>
      </w:r>
      <w:r w:rsidRPr="0068193D">
        <w:t xml:space="preserve"> </w:t>
      </w:r>
      <w:r w:rsidRPr="0068193D">
        <w:rPr>
          <w:lang w:val="en-GB"/>
        </w:rPr>
        <w:t xml:space="preserve">the </w:t>
      </w:r>
      <w:r w:rsidRPr="0068193D">
        <w:rPr>
          <w:rFonts w:asciiTheme="minorHAnsi" w:hAnsiTheme="minorHAnsi" w:cstheme="minorHAnsi"/>
          <w:lang w:val="en-GB"/>
        </w:rPr>
        <w:t>Tuv province (n=117), the</w:t>
      </w:r>
      <w:r w:rsidRPr="0068193D">
        <w:t xml:space="preserve"> </w:t>
      </w:r>
      <w:r w:rsidRPr="0068193D">
        <w:rPr>
          <w:rFonts w:asciiTheme="minorHAnsi" w:hAnsiTheme="minorHAnsi" w:cstheme="minorHAnsi"/>
          <w:lang w:val="en-GB"/>
        </w:rPr>
        <w:t xml:space="preserve">Khentii </w:t>
      </w:r>
      <w:bookmarkStart w:id="4" w:name="_Hlk175586370"/>
      <w:r w:rsidRPr="0068193D">
        <w:rPr>
          <w:rFonts w:asciiTheme="minorHAnsi" w:hAnsiTheme="minorHAnsi" w:cstheme="minorHAnsi"/>
          <w:lang w:val="en-GB"/>
        </w:rPr>
        <w:t>province</w:t>
      </w:r>
      <w:bookmarkEnd w:id="4"/>
      <w:r w:rsidRPr="0068193D">
        <w:rPr>
          <w:rFonts w:asciiTheme="minorHAnsi" w:hAnsiTheme="minorHAnsi" w:cstheme="minorHAnsi"/>
          <w:lang w:val="en-GB"/>
        </w:rPr>
        <w:t xml:space="preserve"> (n=84),</w:t>
      </w:r>
      <w:r w:rsidRPr="0068193D">
        <w:t xml:space="preserve"> </w:t>
      </w:r>
      <w:r w:rsidRPr="0068193D">
        <w:rPr>
          <w:rFonts w:asciiTheme="minorHAnsi" w:hAnsiTheme="minorHAnsi" w:cstheme="minorHAnsi"/>
          <w:lang w:val="en-GB"/>
        </w:rPr>
        <w:t>and the Gobi-Altai province (n=68)</w:t>
      </w:r>
      <w:r>
        <w:rPr>
          <w:rFonts w:asciiTheme="minorHAnsi" w:hAnsiTheme="minorHAnsi" w:cstheme="minorHAnsi"/>
          <w:lang w:val="en-GB"/>
        </w:rPr>
        <w:t xml:space="preserve"> were recruited for </w:t>
      </w:r>
      <w:r w:rsidR="00E818F2">
        <w:rPr>
          <w:rFonts w:asciiTheme="minorHAnsi" w:hAnsiTheme="minorHAnsi" w:cstheme="minorHAnsi"/>
          <w:lang w:val="en-GB"/>
        </w:rPr>
        <w:t>docomentation</w:t>
      </w:r>
      <w:r>
        <w:rPr>
          <w:rFonts w:asciiTheme="minorHAnsi" w:hAnsiTheme="minorHAnsi" w:cstheme="minorHAnsi"/>
          <w:lang w:val="en-GB"/>
        </w:rPr>
        <w:t xml:space="preserve"> of FRAX risk factors.</w:t>
      </w:r>
      <w:r w:rsidRPr="0068193D">
        <w:rPr>
          <w:rFonts w:asciiTheme="minorHAnsi" w:hAnsiTheme="minorHAnsi" w:cstheme="minorHAnsi"/>
          <w:lang w:val="en-GB"/>
        </w:rPr>
        <w:t xml:space="preserve">  The multiple sources were aimed to derive a referral population representative of the country.  Men and women age 40 years and older giving informed consent were included.  Exclusion criteria were inability to walk, not resident in the province or city, taking bone active medication, Parkinson’s disease, alcohol abuse or unwillingness to participate.   The study had the approval of the local Ethics Committee.</w:t>
      </w:r>
      <w:r>
        <w:rPr>
          <w:rFonts w:asciiTheme="minorHAnsi" w:hAnsiTheme="minorHAnsi" w:cstheme="minorHAnsi"/>
          <w:lang w:val="en-GB"/>
        </w:rPr>
        <w:t xml:space="preserve"> This cohort was used to evaluate the impact of the model and associated intervention and BMD measurement thresholds described below.</w:t>
      </w:r>
      <w:r w:rsidR="00A51F04" w:rsidRPr="00A51F04">
        <w:t xml:space="preserve"> </w:t>
      </w:r>
      <w:r w:rsidR="00A51F04" w:rsidRPr="00A51F04">
        <w:rPr>
          <w:rFonts w:asciiTheme="minorHAnsi" w:hAnsiTheme="minorHAnsi" w:cstheme="minorHAnsi"/>
          <w:lang w:val="en-GB"/>
        </w:rPr>
        <w:t>The study protocol was approved by the Ethics Committee of the Mongolian National University of Medical Sciences (MNUMS, No.: 2024/3–05).</w:t>
      </w:r>
    </w:p>
    <w:p w14:paraId="7CD75E60" w14:textId="77777777" w:rsidR="00C27FAD" w:rsidRPr="0068193D" w:rsidRDefault="00C27FAD" w:rsidP="00936AFC">
      <w:pPr>
        <w:spacing w:line="276" w:lineRule="auto"/>
        <w:ind w:left="567" w:right="142"/>
        <w:rPr>
          <w:rFonts w:asciiTheme="minorHAnsi" w:hAnsiTheme="minorHAnsi" w:cstheme="minorHAnsi"/>
          <w:lang w:val="en-GB"/>
        </w:rPr>
      </w:pPr>
    </w:p>
    <w:p w14:paraId="0DEA97A7" w14:textId="5CFE8999" w:rsidR="0095025E" w:rsidRPr="0068193D" w:rsidRDefault="004A14F2" w:rsidP="00936AFC">
      <w:pPr>
        <w:spacing w:line="276" w:lineRule="auto"/>
        <w:ind w:left="567" w:right="142"/>
        <w:rPr>
          <w:rFonts w:asciiTheme="minorHAnsi" w:hAnsiTheme="minorHAnsi" w:cstheme="minorHAnsi"/>
          <w:i/>
          <w:iCs/>
          <w:lang w:val="en-GB"/>
        </w:rPr>
      </w:pPr>
      <w:r w:rsidRPr="0068193D">
        <w:rPr>
          <w:rFonts w:asciiTheme="minorHAnsi" w:hAnsiTheme="minorHAnsi" w:cstheme="minorHAnsi"/>
          <w:i/>
          <w:iCs/>
          <w:lang w:val="en-GB"/>
        </w:rPr>
        <w:t>I</w:t>
      </w:r>
      <w:r w:rsidR="003F0662" w:rsidRPr="0068193D">
        <w:rPr>
          <w:rFonts w:asciiTheme="minorHAnsi" w:hAnsiTheme="minorHAnsi" w:cstheme="minorHAnsi"/>
          <w:i/>
          <w:iCs/>
          <w:lang w:val="en-GB"/>
        </w:rPr>
        <w:t>ntervention threshold</w:t>
      </w:r>
      <w:r w:rsidR="008362F3" w:rsidRPr="0068193D">
        <w:rPr>
          <w:rFonts w:asciiTheme="minorHAnsi" w:hAnsiTheme="minorHAnsi" w:cstheme="minorHAnsi"/>
          <w:i/>
          <w:iCs/>
          <w:lang w:val="en-GB"/>
        </w:rPr>
        <w:t xml:space="preserve"> </w:t>
      </w:r>
    </w:p>
    <w:p w14:paraId="5C97F560" w14:textId="33E50A22" w:rsidR="0095025E" w:rsidRPr="0068193D" w:rsidRDefault="0036783A" w:rsidP="00F656EE">
      <w:pPr>
        <w:spacing w:line="276" w:lineRule="auto"/>
        <w:ind w:left="567" w:right="142"/>
        <w:rPr>
          <w:rFonts w:asciiTheme="minorHAnsi" w:hAnsiTheme="minorHAnsi" w:cstheme="minorHAnsi"/>
          <w:lang w:val="en-GB"/>
        </w:rPr>
      </w:pPr>
      <w:r w:rsidRPr="0036783A">
        <w:rPr>
          <w:rFonts w:asciiTheme="minorHAnsi" w:hAnsiTheme="minorHAnsi" w:cstheme="minorHAnsi"/>
          <w:lang w:val="en-GB"/>
        </w:rPr>
        <w:t>In assessing the impact of the FRAX model in the referral cohort,</w:t>
      </w:r>
      <w:r>
        <w:rPr>
          <w:rFonts w:asciiTheme="minorHAnsi" w:hAnsiTheme="minorHAnsi" w:cstheme="minorHAnsi"/>
          <w:lang w:val="en-GB"/>
        </w:rPr>
        <w:t xml:space="preserve"> m</w:t>
      </w:r>
      <w:r w:rsidR="00A12B57" w:rsidRPr="0068193D">
        <w:rPr>
          <w:rFonts w:asciiTheme="minorHAnsi" w:hAnsiTheme="minorHAnsi" w:cstheme="minorHAnsi"/>
          <w:lang w:val="en-GB"/>
        </w:rPr>
        <w:t>en and women</w:t>
      </w:r>
      <w:r w:rsidR="00A015AE" w:rsidRPr="0068193D">
        <w:rPr>
          <w:rFonts w:asciiTheme="minorHAnsi" w:hAnsiTheme="minorHAnsi" w:cstheme="minorHAnsi"/>
          <w:lang w:val="en-GB"/>
        </w:rPr>
        <w:t xml:space="preserve"> with a prior fracture in adult life were assumed to be eligible for treatment</w:t>
      </w:r>
      <w:r w:rsidR="00517B90" w:rsidRPr="0068193D">
        <w:rPr>
          <w:rFonts w:asciiTheme="minorHAnsi" w:hAnsiTheme="minorHAnsi" w:cstheme="minorHAnsi"/>
          <w:lang w:val="en-GB"/>
        </w:rPr>
        <w:t xml:space="preserve"> in accordance with most assessment guidance [</w:t>
      </w:r>
      <w:r w:rsidR="00A83C69">
        <w:rPr>
          <w:rFonts w:asciiTheme="minorHAnsi" w:hAnsiTheme="minorHAnsi" w:cstheme="minorHAnsi"/>
          <w:lang w:val="en-GB"/>
        </w:rPr>
        <w:t>13]</w:t>
      </w:r>
      <w:r w:rsidR="007068E0" w:rsidRPr="0068193D">
        <w:rPr>
          <w:rFonts w:asciiTheme="minorHAnsi" w:hAnsiTheme="minorHAnsi" w:cstheme="minorHAnsi"/>
          <w:lang w:val="en-GB"/>
        </w:rPr>
        <w:t xml:space="preserve">.  </w:t>
      </w:r>
      <w:r w:rsidR="00F656EE" w:rsidRPr="0068193D">
        <w:rPr>
          <w:rFonts w:asciiTheme="minorHAnsi" w:hAnsiTheme="minorHAnsi" w:cstheme="minorHAnsi"/>
          <w:lang w:val="en-GB"/>
        </w:rPr>
        <w:t xml:space="preserve">An intervention threshold in </w:t>
      </w:r>
      <w:r w:rsidR="00653824" w:rsidRPr="0068193D">
        <w:rPr>
          <w:rFonts w:asciiTheme="minorHAnsi" w:hAnsiTheme="minorHAnsi" w:cstheme="minorHAnsi"/>
          <w:lang w:val="en-GB"/>
        </w:rPr>
        <w:t>individuals</w:t>
      </w:r>
      <w:r w:rsidR="00F656EE" w:rsidRPr="0068193D">
        <w:rPr>
          <w:rFonts w:asciiTheme="minorHAnsi" w:hAnsiTheme="minorHAnsi" w:cstheme="minorHAnsi"/>
          <w:lang w:val="en-GB"/>
        </w:rPr>
        <w:t xml:space="preserve"> without a prior fracture was set at the</w:t>
      </w:r>
      <w:r w:rsidR="00342453" w:rsidRPr="0068193D">
        <w:rPr>
          <w:rFonts w:asciiTheme="minorHAnsi" w:hAnsiTheme="minorHAnsi" w:cstheme="minorHAnsi"/>
          <w:lang w:val="en-GB"/>
        </w:rPr>
        <w:t xml:space="preserve"> </w:t>
      </w:r>
      <w:r w:rsidR="00F656EE" w:rsidRPr="0068193D">
        <w:rPr>
          <w:rFonts w:asciiTheme="minorHAnsi" w:hAnsiTheme="minorHAnsi" w:cstheme="minorHAnsi"/>
          <w:lang w:val="en-GB"/>
        </w:rPr>
        <w:t>age-specific 10-year probability of a major osteoporotic fracture</w:t>
      </w:r>
      <w:r w:rsidR="00342453" w:rsidRPr="0068193D">
        <w:rPr>
          <w:rFonts w:asciiTheme="minorHAnsi" w:hAnsiTheme="minorHAnsi" w:cstheme="minorHAnsi"/>
          <w:lang w:val="en-GB"/>
        </w:rPr>
        <w:t xml:space="preserve"> </w:t>
      </w:r>
      <w:r w:rsidR="00F656EE" w:rsidRPr="0068193D">
        <w:rPr>
          <w:rFonts w:asciiTheme="minorHAnsi" w:hAnsiTheme="minorHAnsi" w:cstheme="minorHAnsi"/>
          <w:lang w:val="en-GB"/>
        </w:rPr>
        <w:t>(hip, clinical spine, forearm, or humerus) equivalent to</w:t>
      </w:r>
      <w:r w:rsidR="00342453" w:rsidRPr="0068193D">
        <w:rPr>
          <w:rFonts w:asciiTheme="minorHAnsi" w:hAnsiTheme="minorHAnsi" w:cstheme="minorHAnsi"/>
          <w:lang w:val="en-GB"/>
        </w:rPr>
        <w:t xml:space="preserve"> </w:t>
      </w:r>
      <w:r w:rsidR="00F656EE" w:rsidRPr="0068193D">
        <w:rPr>
          <w:rFonts w:asciiTheme="minorHAnsi" w:hAnsiTheme="minorHAnsi" w:cstheme="minorHAnsi"/>
          <w:lang w:val="en-GB"/>
        </w:rPr>
        <w:t xml:space="preserve">women with a prior fragility fracture using the </w:t>
      </w:r>
      <w:r w:rsidR="00C22A38" w:rsidRPr="0068193D">
        <w:rPr>
          <w:rFonts w:asciiTheme="minorHAnsi" w:hAnsiTheme="minorHAnsi" w:cstheme="minorHAnsi"/>
          <w:lang w:val="en-GB"/>
        </w:rPr>
        <w:t xml:space="preserve">surrogate Mongolian </w:t>
      </w:r>
      <w:r w:rsidR="00F656EE" w:rsidRPr="0068193D">
        <w:rPr>
          <w:rFonts w:asciiTheme="minorHAnsi" w:hAnsiTheme="minorHAnsi" w:cstheme="minorHAnsi"/>
          <w:lang w:val="en-GB"/>
        </w:rPr>
        <w:t>FRAX</w:t>
      </w:r>
      <w:r w:rsidR="00C22A38" w:rsidRPr="0068193D">
        <w:rPr>
          <w:rFonts w:asciiTheme="minorHAnsi" w:hAnsiTheme="minorHAnsi" w:cstheme="minorHAnsi"/>
          <w:lang w:val="en-GB"/>
        </w:rPr>
        <w:t xml:space="preserve"> model</w:t>
      </w:r>
      <w:r w:rsidR="00D83299" w:rsidRPr="0068193D">
        <w:rPr>
          <w:rFonts w:asciiTheme="minorHAnsi" w:hAnsiTheme="minorHAnsi" w:cstheme="minorHAnsi"/>
          <w:lang w:val="en-GB"/>
        </w:rPr>
        <w:t>.</w:t>
      </w:r>
      <w:r w:rsidR="00F656EE" w:rsidRPr="0068193D">
        <w:rPr>
          <w:rFonts w:asciiTheme="minorHAnsi" w:hAnsiTheme="minorHAnsi" w:cstheme="minorHAnsi"/>
          <w:lang w:val="en-GB"/>
        </w:rPr>
        <w:t xml:space="preserve"> Body mass index was set at </w:t>
      </w:r>
      <w:r w:rsidR="00680E22" w:rsidRPr="0068193D">
        <w:rPr>
          <w:rFonts w:asciiTheme="minorHAnsi" w:hAnsiTheme="minorHAnsi" w:cstheme="minorHAnsi"/>
          <w:lang w:val="en-GB"/>
        </w:rPr>
        <w:t>27</w:t>
      </w:r>
      <w:r w:rsidR="00F656EE" w:rsidRPr="0068193D">
        <w:rPr>
          <w:rFonts w:asciiTheme="minorHAnsi" w:hAnsiTheme="minorHAnsi" w:cstheme="minorHAnsi"/>
          <w:lang w:val="en-GB"/>
        </w:rPr>
        <w:t xml:space="preserve"> kg/m</w:t>
      </w:r>
      <w:r w:rsidR="00F656EE" w:rsidRPr="0068193D">
        <w:rPr>
          <w:rFonts w:asciiTheme="minorHAnsi" w:hAnsiTheme="minorHAnsi" w:cstheme="minorHAnsi"/>
          <w:vertAlign w:val="superscript"/>
          <w:lang w:val="en-GB"/>
        </w:rPr>
        <w:t>2</w:t>
      </w:r>
      <w:r w:rsidR="00F656EE" w:rsidRPr="0068193D">
        <w:rPr>
          <w:rFonts w:asciiTheme="minorHAnsi" w:hAnsiTheme="minorHAnsi" w:cstheme="minorHAnsi"/>
          <w:lang w:val="en-GB"/>
        </w:rPr>
        <w:t xml:space="preserve"> (close to the</w:t>
      </w:r>
      <w:r w:rsidR="00342453" w:rsidRPr="0068193D">
        <w:rPr>
          <w:rFonts w:asciiTheme="minorHAnsi" w:hAnsiTheme="minorHAnsi" w:cstheme="minorHAnsi"/>
          <w:lang w:val="en-GB"/>
        </w:rPr>
        <w:t xml:space="preserve"> </w:t>
      </w:r>
      <w:r w:rsidR="00F656EE" w:rsidRPr="0068193D">
        <w:rPr>
          <w:rFonts w:asciiTheme="minorHAnsi" w:hAnsiTheme="minorHAnsi" w:cstheme="minorHAnsi"/>
          <w:lang w:val="en-GB"/>
        </w:rPr>
        <w:t>mean value of the patient sample).</w:t>
      </w:r>
      <w:r w:rsidR="006A65CE" w:rsidRPr="0068193D">
        <w:rPr>
          <w:rFonts w:asciiTheme="minorHAnsi" w:hAnsiTheme="minorHAnsi" w:cstheme="minorHAnsi"/>
          <w:lang w:val="en-GB"/>
        </w:rPr>
        <w:t xml:space="preserve">  </w:t>
      </w:r>
      <w:r w:rsidR="00C9229C" w:rsidRPr="0068193D">
        <w:rPr>
          <w:rFonts w:asciiTheme="minorHAnsi" w:hAnsiTheme="minorHAnsi" w:cstheme="minorHAnsi"/>
          <w:lang w:val="en-GB"/>
        </w:rPr>
        <w:t xml:space="preserve">Eligibility for treatment was determined in men </w:t>
      </w:r>
      <w:r w:rsidR="00953494" w:rsidRPr="0068193D">
        <w:rPr>
          <w:rFonts w:asciiTheme="minorHAnsi" w:hAnsiTheme="minorHAnsi" w:cstheme="minorHAnsi"/>
          <w:lang w:val="en-GB"/>
        </w:rPr>
        <w:t xml:space="preserve">of </w:t>
      </w:r>
      <w:r w:rsidR="004D6E66" w:rsidRPr="0068193D">
        <w:rPr>
          <w:rFonts w:asciiTheme="minorHAnsi" w:hAnsiTheme="minorHAnsi" w:cstheme="minorHAnsi"/>
          <w:lang w:val="en-GB"/>
        </w:rPr>
        <w:t xml:space="preserve">age </w:t>
      </w:r>
      <w:r w:rsidR="00411B0F" w:rsidRPr="0068193D">
        <w:rPr>
          <w:rFonts w:asciiTheme="minorHAnsi" w:hAnsiTheme="minorHAnsi" w:cstheme="minorHAnsi"/>
          <w:lang w:val="en-GB"/>
        </w:rPr>
        <w:t>5</w:t>
      </w:r>
      <w:r w:rsidR="004D6E66" w:rsidRPr="0068193D">
        <w:rPr>
          <w:rFonts w:asciiTheme="minorHAnsi" w:hAnsiTheme="minorHAnsi" w:cstheme="minorHAnsi"/>
          <w:lang w:val="en-GB"/>
        </w:rPr>
        <w:t>0 years or more and in postmenopausal women (</w:t>
      </w:r>
      <w:r w:rsidR="00793767" w:rsidRPr="0068193D">
        <w:rPr>
          <w:rFonts w:asciiTheme="minorHAnsi" w:hAnsiTheme="minorHAnsi" w:cstheme="minorHAnsi"/>
          <w:lang w:val="en-GB"/>
        </w:rPr>
        <w:t>491</w:t>
      </w:r>
      <w:r w:rsidR="004D6E66" w:rsidRPr="0068193D">
        <w:rPr>
          <w:rFonts w:asciiTheme="minorHAnsi" w:hAnsiTheme="minorHAnsi" w:cstheme="minorHAnsi"/>
          <w:lang w:val="en-GB"/>
        </w:rPr>
        <w:t xml:space="preserve"> </w:t>
      </w:r>
      <w:r w:rsidR="00411B0F" w:rsidRPr="0068193D">
        <w:rPr>
          <w:rFonts w:asciiTheme="minorHAnsi" w:hAnsiTheme="minorHAnsi" w:cstheme="minorHAnsi"/>
          <w:lang w:val="en-GB"/>
        </w:rPr>
        <w:t xml:space="preserve">of the total </w:t>
      </w:r>
      <w:r w:rsidR="00793767" w:rsidRPr="0068193D">
        <w:rPr>
          <w:rFonts w:asciiTheme="minorHAnsi" w:hAnsiTheme="minorHAnsi" w:cstheme="minorHAnsi"/>
          <w:lang w:val="en-GB"/>
        </w:rPr>
        <w:t>857</w:t>
      </w:r>
      <w:r w:rsidR="00411B0F" w:rsidRPr="0068193D">
        <w:rPr>
          <w:rFonts w:asciiTheme="minorHAnsi" w:hAnsiTheme="minorHAnsi" w:cstheme="minorHAnsi"/>
          <w:lang w:val="en-GB"/>
        </w:rPr>
        <w:t xml:space="preserve"> sample</w:t>
      </w:r>
      <w:r w:rsidR="00C94998" w:rsidRPr="00C94998">
        <w:rPr>
          <w:rFonts w:asciiTheme="minorHAnsi" w:hAnsiTheme="minorHAnsi" w:cstheme="minorHAnsi"/>
          <w:lang w:val="en-GB"/>
        </w:rPr>
        <w:t>, here</w:t>
      </w:r>
      <w:r w:rsidR="00C94998">
        <w:rPr>
          <w:rFonts w:asciiTheme="minorHAnsi" w:hAnsiTheme="minorHAnsi" w:cstheme="minorHAnsi"/>
          <w:lang w:val="en-GB"/>
        </w:rPr>
        <w:t>after</w:t>
      </w:r>
      <w:r w:rsidR="00C94998" w:rsidRPr="00C94998">
        <w:rPr>
          <w:rFonts w:asciiTheme="minorHAnsi" w:hAnsiTheme="minorHAnsi" w:cstheme="minorHAnsi"/>
          <w:lang w:val="en-GB"/>
        </w:rPr>
        <w:t xml:space="preserve"> termed the </w:t>
      </w:r>
      <w:r w:rsidR="0034103C">
        <w:rPr>
          <w:rFonts w:asciiTheme="minorHAnsi" w:hAnsiTheme="minorHAnsi" w:cstheme="minorHAnsi"/>
          <w:lang w:val="en-GB"/>
        </w:rPr>
        <w:t>impact</w:t>
      </w:r>
      <w:r w:rsidR="00C94998" w:rsidRPr="00C94998">
        <w:rPr>
          <w:rFonts w:asciiTheme="minorHAnsi" w:hAnsiTheme="minorHAnsi" w:cstheme="minorHAnsi"/>
          <w:lang w:val="en-GB"/>
        </w:rPr>
        <w:t xml:space="preserve"> sample</w:t>
      </w:r>
      <w:r w:rsidR="00411B0F" w:rsidRPr="0068193D">
        <w:rPr>
          <w:rFonts w:asciiTheme="minorHAnsi" w:hAnsiTheme="minorHAnsi" w:cstheme="minorHAnsi"/>
          <w:lang w:val="en-GB"/>
        </w:rPr>
        <w:t>)</w:t>
      </w:r>
      <w:r w:rsidR="0054073A" w:rsidRPr="0068193D">
        <w:rPr>
          <w:rFonts w:asciiTheme="minorHAnsi" w:hAnsiTheme="minorHAnsi" w:cstheme="minorHAnsi"/>
          <w:lang w:val="en-GB"/>
        </w:rPr>
        <w:t xml:space="preserve"> in accordance wi</w:t>
      </w:r>
      <w:r w:rsidR="005648DF" w:rsidRPr="0068193D">
        <w:rPr>
          <w:rFonts w:asciiTheme="minorHAnsi" w:hAnsiTheme="minorHAnsi" w:cstheme="minorHAnsi"/>
          <w:lang w:val="en-GB"/>
        </w:rPr>
        <w:t xml:space="preserve">th </w:t>
      </w:r>
      <w:r w:rsidR="00E13843">
        <w:rPr>
          <w:rFonts w:asciiTheme="minorHAnsi" w:hAnsiTheme="minorHAnsi" w:cstheme="minorHAnsi"/>
          <w:lang w:val="en-GB"/>
        </w:rPr>
        <w:t>established</w:t>
      </w:r>
      <w:r w:rsidR="005648DF" w:rsidRPr="0068193D">
        <w:rPr>
          <w:rFonts w:asciiTheme="minorHAnsi" w:hAnsiTheme="minorHAnsi" w:cstheme="minorHAnsi"/>
          <w:lang w:val="en-GB"/>
        </w:rPr>
        <w:t xml:space="preserve"> assessment guidelines [</w:t>
      </w:r>
      <w:r w:rsidR="00687CF3">
        <w:rPr>
          <w:rFonts w:asciiTheme="minorHAnsi" w:hAnsiTheme="minorHAnsi" w:cstheme="minorHAnsi"/>
          <w:lang w:val="en-GB"/>
        </w:rPr>
        <w:t xml:space="preserve">13, </w:t>
      </w:r>
      <w:r w:rsidR="005C4130">
        <w:rPr>
          <w:rFonts w:asciiTheme="minorHAnsi" w:hAnsiTheme="minorHAnsi" w:cstheme="minorHAnsi"/>
          <w:lang w:val="en-GB"/>
        </w:rPr>
        <w:t>14</w:t>
      </w:r>
      <w:r w:rsidR="00B459E1">
        <w:rPr>
          <w:rFonts w:asciiTheme="minorHAnsi" w:hAnsiTheme="minorHAnsi" w:cstheme="minorHAnsi"/>
          <w:lang w:val="en-GB"/>
        </w:rPr>
        <w:t>, 15]</w:t>
      </w:r>
      <w:r w:rsidR="00411B0F" w:rsidRPr="0068193D">
        <w:rPr>
          <w:rFonts w:asciiTheme="minorHAnsi" w:hAnsiTheme="minorHAnsi" w:cstheme="minorHAnsi"/>
          <w:lang w:val="en-GB"/>
        </w:rPr>
        <w:t>.</w:t>
      </w:r>
      <w:r w:rsidR="00740E83" w:rsidRPr="0068193D">
        <w:rPr>
          <w:rFonts w:asciiTheme="minorHAnsi" w:hAnsiTheme="minorHAnsi" w:cstheme="minorHAnsi"/>
          <w:lang w:val="en-GB"/>
        </w:rPr>
        <w:t xml:space="preserve">  </w:t>
      </w:r>
      <w:r w:rsidR="005648DF" w:rsidRPr="0068193D">
        <w:rPr>
          <w:rFonts w:asciiTheme="minorHAnsi" w:hAnsiTheme="minorHAnsi" w:cstheme="minorHAnsi"/>
          <w:lang w:val="en-GB"/>
        </w:rPr>
        <w:t xml:space="preserve">Thus, </w:t>
      </w:r>
      <w:r w:rsidR="00636917" w:rsidRPr="0068193D">
        <w:rPr>
          <w:rFonts w:asciiTheme="minorHAnsi" w:hAnsiTheme="minorHAnsi" w:cstheme="minorHAnsi"/>
          <w:lang w:val="en-GB"/>
        </w:rPr>
        <w:t>e</w:t>
      </w:r>
      <w:r w:rsidR="00740E83" w:rsidRPr="0068193D">
        <w:rPr>
          <w:rFonts w:asciiTheme="minorHAnsi" w:hAnsiTheme="minorHAnsi" w:cstheme="minorHAnsi"/>
          <w:lang w:val="en-GB"/>
        </w:rPr>
        <w:t xml:space="preserve">ligibility </w:t>
      </w:r>
      <w:r w:rsidR="004E29CB" w:rsidRPr="004E29CB">
        <w:rPr>
          <w:rFonts w:asciiTheme="minorHAnsi" w:hAnsiTheme="minorHAnsi" w:cstheme="minorHAnsi"/>
          <w:lang w:val="en-GB"/>
        </w:rPr>
        <w:t xml:space="preserve">for treatment </w:t>
      </w:r>
      <w:r w:rsidR="00740E83" w:rsidRPr="0068193D">
        <w:rPr>
          <w:rFonts w:asciiTheme="minorHAnsi" w:hAnsiTheme="minorHAnsi" w:cstheme="minorHAnsi"/>
          <w:lang w:val="en-GB"/>
        </w:rPr>
        <w:t xml:space="preserve">comprised those with a prior fracture and those in whom MOF fracture probabilities </w:t>
      </w:r>
      <w:r w:rsidR="008E6197" w:rsidRPr="0068193D">
        <w:rPr>
          <w:rFonts w:asciiTheme="minorHAnsi" w:hAnsiTheme="minorHAnsi" w:cstheme="minorHAnsi"/>
          <w:lang w:val="en-GB"/>
        </w:rPr>
        <w:t>equalled or exceeded the age-dependent intervention threshold</w:t>
      </w:r>
      <w:r w:rsidR="0001769B" w:rsidRPr="0068193D">
        <w:rPr>
          <w:rFonts w:asciiTheme="minorHAnsi" w:hAnsiTheme="minorHAnsi" w:cstheme="minorHAnsi"/>
          <w:lang w:val="en-GB"/>
        </w:rPr>
        <w:t>.</w:t>
      </w:r>
      <w:r w:rsidR="007A5BA2" w:rsidRPr="0068193D">
        <w:rPr>
          <w:rFonts w:asciiTheme="minorHAnsi" w:hAnsiTheme="minorHAnsi" w:cstheme="minorHAnsi"/>
          <w:lang w:val="en-GB"/>
        </w:rPr>
        <w:t xml:space="preserve"> </w:t>
      </w:r>
      <w:r w:rsidR="003D6EA2">
        <w:rPr>
          <w:rFonts w:asciiTheme="minorHAnsi" w:hAnsiTheme="minorHAnsi" w:cstheme="minorHAnsi"/>
          <w:lang w:val="en-GB"/>
        </w:rPr>
        <w:t>Importantly, in this cohort, b</w:t>
      </w:r>
      <w:r w:rsidR="003D6EA2" w:rsidRPr="0068193D">
        <w:rPr>
          <w:rFonts w:asciiTheme="minorHAnsi" w:hAnsiTheme="minorHAnsi" w:cstheme="minorHAnsi"/>
          <w:lang w:val="en-GB"/>
        </w:rPr>
        <w:t>one mineral density (BMD) was measured in the hand and not the femoral neck</w:t>
      </w:r>
      <w:r w:rsidR="003D6EA2">
        <w:rPr>
          <w:rFonts w:asciiTheme="minorHAnsi" w:hAnsiTheme="minorHAnsi" w:cstheme="minorHAnsi"/>
          <w:lang w:val="en-GB"/>
        </w:rPr>
        <w:t>,</w:t>
      </w:r>
      <w:r w:rsidR="003D6EA2" w:rsidRPr="0068193D">
        <w:rPr>
          <w:rFonts w:asciiTheme="minorHAnsi" w:hAnsiTheme="minorHAnsi" w:cstheme="minorHAnsi"/>
          <w:lang w:val="en-GB"/>
        </w:rPr>
        <w:t xml:space="preserve"> </w:t>
      </w:r>
      <w:r w:rsidR="003D6EA2">
        <w:rPr>
          <w:rFonts w:asciiTheme="minorHAnsi" w:hAnsiTheme="minorHAnsi" w:cstheme="minorHAnsi"/>
          <w:lang w:val="en-GB"/>
        </w:rPr>
        <w:t>so that</w:t>
      </w:r>
      <w:r w:rsidR="003D6EA2" w:rsidRPr="0068193D">
        <w:rPr>
          <w:rFonts w:asciiTheme="minorHAnsi" w:hAnsiTheme="minorHAnsi" w:cstheme="minorHAnsi"/>
          <w:lang w:val="en-GB"/>
        </w:rPr>
        <w:t xml:space="preserve"> FRAX-based fracture probabilities were calculated without the inclusion of BMD</w:t>
      </w:r>
    </w:p>
    <w:p w14:paraId="5F2CA05E" w14:textId="77777777" w:rsidR="00114D56" w:rsidRPr="0068193D" w:rsidRDefault="00114D56" w:rsidP="00F656EE">
      <w:pPr>
        <w:spacing w:line="276" w:lineRule="auto"/>
        <w:ind w:left="567" w:right="142"/>
        <w:rPr>
          <w:rFonts w:asciiTheme="minorHAnsi" w:hAnsiTheme="minorHAnsi" w:cstheme="minorHAnsi"/>
          <w:lang w:val="en-GB"/>
        </w:rPr>
      </w:pPr>
    </w:p>
    <w:p w14:paraId="7F267403" w14:textId="34A78C63" w:rsidR="00114D56" w:rsidRPr="0068193D" w:rsidRDefault="00114D56" w:rsidP="00F656EE">
      <w:pPr>
        <w:spacing w:line="276" w:lineRule="auto"/>
        <w:ind w:left="567" w:right="142"/>
        <w:rPr>
          <w:rFonts w:asciiTheme="minorHAnsi" w:hAnsiTheme="minorHAnsi" w:cstheme="minorHAnsi"/>
          <w:i/>
          <w:iCs/>
          <w:lang w:val="en-GB"/>
        </w:rPr>
      </w:pPr>
      <w:r w:rsidRPr="0068193D">
        <w:rPr>
          <w:rFonts w:asciiTheme="minorHAnsi" w:hAnsiTheme="minorHAnsi" w:cstheme="minorHAnsi"/>
          <w:i/>
          <w:iCs/>
          <w:lang w:val="en-GB"/>
        </w:rPr>
        <w:t>Assessment thresholds</w:t>
      </w:r>
      <w:r w:rsidR="0032649D" w:rsidRPr="0032649D">
        <w:t xml:space="preserve"> </w:t>
      </w:r>
      <w:r w:rsidR="0032649D" w:rsidRPr="0032649D">
        <w:rPr>
          <w:rFonts w:asciiTheme="minorHAnsi" w:hAnsiTheme="minorHAnsi" w:cstheme="minorHAnsi"/>
          <w:i/>
          <w:iCs/>
          <w:lang w:val="en-GB"/>
        </w:rPr>
        <w:t>guiding BMD measurement</w:t>
      </w:r>
    </w:p>
    <w:p w14:paraId="4494935F" w14:textId="74C2911E" w:rsidR="00114D56" w:rsidRPr="0068193D" w:rsidRDefault="00114D56" w:rsidP="0096452A">
      <w:pPr>
        <w:spacing w:line="276" w:lineRule="auto"/>
        <w:ind w:left="567" w:right="142"/>
        <w:rPr>
          <w:rFonts w:asciiTheme="minorHAnsi" w:hAnsiTheme="minorHAnsi" w:cstheme="minorHAnsi"/>
          <w:lang w:val="en-GB"/>
        </w:rPr>
      </w:pPr>
      <w:r w:rsidRPr="0068193D">
        <w:rPr>
          <w:rFonts w:asciiTheme="minorHAnsi" w:hAnsiTheme="minorHAnsi" w:cstheme="minorHAnsi"/>
          <w:lang w:val="en-GB"/>
        </w:rPr>
        <w:t>Assessment thresholds for making recommendations for the measurement of BMD were considered [</w:t>
      </w:r>
      <w:r w:rsidR="0014379E">
        <w:rPr>
          <w:rFonts w:asciiTheme="minorHAnsi" w:hAnsiTheme="minorHAnsi" w:cstheme="minorHAnsi"/>
          <w:lang w:val="en-GB"/>
        </w:rPr>
        <w:t>2]</w:t>
      </w:r>
      <w:r w:rsidRPr="0068193D">
        <w:rPr>
          <w:rFonts w:asciiTheme="minorHAnsi" w:hAnsiTheme="minorHAnsi" w:cstheme="minorHAnsi"/>
          <w:lang w:val="en-GB"/>
        </w:rPr>
        <w:t>:</w:t>
      </w:r>
    </w:p>
    <w:p w14:paraId="62B617F4" w14:textId="68B91928" w:rsidR="00114D56" w:rsidRPr="0068193D" w:rsidRDefault="00114D56" w:rsidP="00F30843">
      <w:pPr>
        <w:spacing w:line="276" w:lineRule="auto"/>
        <w:ind w:left="1134" w:right="142"/>
        <w:rPr>
          <w:rFonts w:asciiTheme="minorHAnsi" w:hAnsiTheme="minorHAnsi" w:cstheme="minorHAnsi"/>
          <w:lang w:val="en-GB"/>
        </w:rPr>
      </w:pPr>
      <w:r w:rsidRPr="0068193D">
        <w:rPr>
          <w:rFonts w:asciiTheme="minorHAnsi" w:hAnsiTheme="minorHAnsi" w:cstheme="minorHAnsi"/>
          <w:lang w:val="en-GB"/>
        </w:rPr>
        <w:t>A threshold probability below which neither treatment</w:t>
      </w:r>
      <w:r w:rsidR="007A3F31" w:rsidRPr="0068193D">
        <w:rPr>
          <w:rFonts w:asciiTheme="minorHAnsi" w:hAnsiTheme="minorHAnsi" w:cstheme="minorHAnsi"/>
          <w:lang w:val="en-GB"/>
        </w:rPr>
        <w:t xml:space="preserve"> </w:t>
      </w:r>
      <w:r w:rsidRPr="0068193D">
        <w:rPr>
          <w:rFonts w:asciiTheme="minorHAnsi" w:hAnsiTheme="minorHAnsi" w:cstheme="minorHAnsi"/>
          <w:lang w:val="en-GB"/>
        </w:rPr>
        <w:t>nor a BMD test should be considered (lower assessment</w:t>
      </w:r>
      <w:r w:rsidR="007A3F31" w:rsidRPr="0068193D">
        <w:rPr>
          <w:rFonts w:asciiTheme="minorHAnsi" w:hAnsiTheme="minorHAnsi" w:cstheme="minorHAnsi"/>
          <w:lang w:val="en-GB"/>
        </w:rPr>
        <w:t xml:space="preserve"> </w:t>
      </w:r>
      <w:r w:rsidRPr="0068193D">
        <w:rPr>
          <w:rFonts w:asciiTheme="minorHAnsi" w:hAnsiTheme="minorHAnsi" w:cstheme="minorHAnsi"/>
          <w:lang w:val="en-GB"/>
        </w:rPr>
        <w:t>threshold).</w:t>
      </w:r>
    </w:p>
    <w:p w14:paraId="27E2B1EC" w14:textId="77777777" w:rsidR="00314972" w:rsidRPr="0068193D" w:rsidRDefault="00314972" w:rsidP="00F30843">
      <w:pPr>
        <w:spacing w:line="276" w:lineRule="auto"/>
        <w:ind w:left="1134" w:right="142" w:firstLine="141"/>
        <w:rPr>
          <w:rFonts w:asciiTheme="minorHAnsi" w:hAnsiTheme="minorHAnsi" w:cstheme="minorHAnsi"/>
          <w:lang w:val="en-GB"/>
        </w:rPr>
      </w:pPr>
    </w:p>
    <w:p w14:paraId="4DA53FAB" w14:textId="2E97B05B" w:rsidR="00114D56" w:rsidRPr="0068193D" w:rsidRDefault="00114D56" w:rsidP="00F30843">
      <w:pPr>
        <w:spacing w:line="276" w:lineRule="auto"/>
        <w:ind w:left="1134" w:right="142"/>
        <w:rPr>
          <w:rFonts w:asciiTheme="minorHAnsi" w:hAnsiTheme="minorHAnsi" w:cstheme="minorHAnsi"/>
          <w:lang w:val="en-GB"/>
        </w:rPr>
      </w:pPr>
      <w:r w:rsidRPr="0068193D">
        <w:rPr>
          <w:rFonts w:asciiTheme="minorHAnsi" w:hAnsiTheme="minorHAnsi" w:cstheme="minorHAnsi"/>
          <w:lang w:val="en-GB"/>
        </w:rPr>
        <w:lastRenderedPageBreak/>
        <w:t>A threshold probability above which treatment may be</w:t>
      </w:r>
      <w:r w:rsidR="0096452A" w:rsidRPr="0068193D">
        <w:rPr>
          <w:rFonts w:asciiTheme="minorHAnsi" w:hAnsiTheme="minorHAnsi" w:cstheme="minorHAnsi"/>
          <w:lang w:val="en-GB"/>
        </w:rPr>
        <w:t xml:space="preserve"> </w:t>
      </w:r>
      <w:r w:rsidRPr="0068193D">
        <w:rPr>
          <w:rFonts w:asciiTheme="minorHAnsi" w:hAnsiTheme="minorHAnsi" w:cstheme="minorHAnsi"/>
          <w:lang w:val="en-GB"/>
        </w:rPr>
        <w:t>recommended irrespective of BMD (upper assessment</w:t>
      </w:r>
      <w:r w:rsidR="0096452A" w:rsidRPr="0068193D">
        <w:rPr>
          <w:rFonts w:asciiTheme="minorHAnsi" w:hAnsiTheme="minorHAnsi" w:cstheme="minorHAnsi"/>
          <w:lang w:val="en-GB"/>
        </w:rPr>
        <w:t xml:space="preserve"> </w:t>
      </w:r>
      <w:r w:rsidRPr="0068193D">
        <w:rPr>
          <w:rFonts w:asciiTheme="minorHAnsi" w:hAnsiTheme="minorHAnsi" w:cstheme="minorHAnsi"/>
          <w:lang w:val="en-GB"/>
        </w:rPr>
        <w:t>threshold).</w:t>
      </w:r>
    </w:p>
    <w:p w14:paraId="2FCDCBAE" w14:textId="77777777" w:rsidR="00F30843" w:rsidRPr="0068193D" w:rsidRDefault="00F30843" w:rsidP="00F30843">
      <w:pPr>
        <w:spacing w:line="276" w:lineRule="auto"/>
        <w:ind w:left="1134" w:right="142"/>
        <w:rPr>
          <w:rFonts w:asciiTheme="minorHAnsi" w:hAnsiTheme="minorHAnsi" w:cstheme="minorHAnsi"/>
          <w:lang w:val="en-GB"/>
        </w:rPr>
      </w:pPr>
    </w:p>
    <w:p w14:paraId="5C942B6D" w14:textId="09BD9721" w:rsidR="00114D56" w:rsidRPr="0068193D" w:rsidRDefault="00114D56" w:rsidP="00D8367A">
      <w:pPr>
        <w:spacing w:line="276" w:lineRule="auto"/>
        <w:ind w:left="567" w:right="142"/>
        <w:rPr>
          <w:rFonts w:asciiTheme="minorHAnsi" w:hAnsiTheme="minorHAnsi" w:cstheme="minorHAnsi"/>
          <w:lang w:val="en-GB"/>
        </w:rPr>
      </w:pPr>
      <w:r w:rsidRPr="0068193D">
        <w:rPr>
          <w:rFonts w:asciiTheme="minorHAnsi" w:hAnsiTheme="minorHAnsi" w:cstheme="minorHAnsi"/>
          <w:lang w:val="en-GB"/>
        </w:rPr>
        <w:t>The lower assessment threshold was set to exclude a</w:t>
      </w:r>
      <w:r w:rsidR="00F30843" w:rsidRPr="0068193D">
        <w:rPr>
          <w:rFonts w:asciiTheme="minorHAnsi" w:hAnsiTheme="minorHAnsi" w:cstheme="minorHAnsi"/>
          <w:lang w:val="en-GB"/>
        </w:rPr>
        <w:t xml:space="preserve"> </w:t>
      </w:r>
      <w:r w:rsidRPr="0068193D">
        <w:rPr>
          <w:rFonts w:asciiTheme="minorHAnsi" w:hAnsiTheme="minorHAnsi" w:cstheme="minorHAnsi"/>
          <w:lang w:val="en-GB"/>
        </w:rPr>
        <w:t>requirement for BMD testing in women without clinical risk</w:t>
      </w:r>
      <w:r w:rsidR="00F30843" w:rsidRPr="0068193D">
        <w:rPr>
          <w:rFonts w:asciiTheme="minorHAnsi" w:hAnsiTheme="minorHAnsi" w:cstheme="minorHAnsi"/>
          <w:lang w:val="en-GB"/>
        </w:rPr>
        <w:t xml:space="preserve"> </w:t>
      </w:r>
      <w:r w:rsidRPr="0068193D">
        <w:rPr>
          <w:rFonts w:asciiTheme="minorHAnsi" w:hAnsiTheme="minorHAnsi" w:cstheme="minorHAnsi"/>
          <w:lang w:val="en-GB"/>
        </w:rPr>
        <w:t>factors, as given in current European guidelines [</w:t>
      </w:r>
      <w:r w:rsidR="00163D2C">
        <w:rPr>
          <w:rFonts w:asciiTheme="minorHAnsi" w:hAnsiTheme="minorHAnsi" w:cstheme="minorHAnsi"/>
          <w:lang w:val="en-GB"/>
        </w:rPr>
        <w:t>14</w:t>
      </w:r>
      <w:r w:rsidR="00686368">
        <w:rPr>
          <w:rFonts w:asciiTheme="minorHAnsi" w:hAnsiTheme="minorHAnsi" w:cstheme="minorHAnsi"/>
          <w:lang w:val="en-GB"/>
        </w:rPr>
        <w:t>, 15</w:t>
      </w:r>
      <w:r w:rsidR="00163D2C">
        <w:rPr>
          <w:rFonts w:asciiTheme="minorHAnsi" w:hAnsiTheme="minorHAnsi" w:cstheme="minorHAnsi"/>
          <w:lang w:val="en-GB"/>
        </w:rPr>
        <w:t>]</w:t>
      </w:r>
      <w:r w:rsidRPr="0068193D">
        <w:rPr>
          <w:rFonts w:asciiTheme="minorHAnsi" w:hAnsiTheme="minorHAnsi" w:cstheme="minorHAnsi"/>
          <w:lang w:val="en-GB"/>
        </w:rPr>
        <w:t>.</w:t>
      </w:r>
      <w:r w:rsidR="00F52738" w:rsidRPr="0068193D">
        <w:rPr>
          <w:rFonts w:asciiTheme="minorHAnsi" w:hAnsiTheme="minorHAnsi" w:cstheme="minorHAnsi"/>
          <w:lang w:val="en-GB"/>
        </w:rPr>
        <w:t xml:space="preserve"> </w:t>
      </w:r>
      <w:r w:rsidRPr="0068193D">
        <w:rPr>
          <w:rFonts w:asciiTheme="minorHAnsi" w:hAnsiTheme="minorHAnsi" w:cstheme="minorHAnsi"/>
          <w:lang w:val="en-GB"/>
        </w:rPr>
        <w:t xml:space="preserve"> It</w:t>
      </w:r>
      <w:r w:rsidR="00E8560C" w:rsidRPr="0068193D">
        <w:rPr>
          <w:rFonts w:asciiTheme="minorHAnsi" w:hAnsiTheme="minorHAnsi" w:cstheme="minorHAnsi"/>
          <w:lang w:val="en-GB"/>
        </w:rPr>
        <w:t xml:space="preserve"> </w:t>
      </w:r>
      <w:r w:rsidRPr="0068193D">
        <w:rPr>
          <w:rFonts w:asciiTheme="minorHAnsi" w:hAnsiTheme="minorHAnsi" w:cstheme="minorHAnsi"/>
          <w:lang w:val="en-GB"/>
        </w:rPr>
        <w:t>was therefore set to the age-specific 10-year probability of a</w:t>
      </w:r>
      <w:r w:rsidR="00085F87" w:rsidRPr="0068193D">
        <w:rPr>
          <w:rFonts w:asciiTheme="minorHAnsi" w:hAnsiTheme="minorHAnsi" w:cstheme="minorHAnsi"/>
          <w:lang w:val="en-GB"/>
        </w:rPr>
        <w:t xml:space="preserve"> </w:t>
      </w:r>
      <w:r w:rsidRPr="0068193D">
        <w:rPr>
          <w:rFonts w:asciiTheme="minorHAnsi" w:hAnsiTheme="minorHAnsi" w:cstheme="minorHAnsi"/>
          <w:lang w:val="en-GB"/>
        </w:rPr>
        <w:t>major fracture equivalent to women with no clinical risk factors.</w:t>
      </w:r>
      <w:r w:rsidR="00085F87" w:rsidRPr="0068193D">
        <w:rPr>
          <w:rFonts w:asciiTheme="minorHAnsi" w:hAnsiTheme="minorHAnsi" w:cstheme="minorHAnsi"/>
          <w:lang w:val="en-GB"/>
        </w:rPr>
        <w:t xml:space="preserve">  </w:t>
      </w:r>
      <w:r w:rsidRPr="0068193D">
        <w:rPr>
          <w:rFonts w:asciiTheme="minorHAnsi" w:hAnsiTheme="minorHAnsi" w:cstheme="minorHAnsi"/>
          <w:lang w:val="en-GB"/>
        </w:rPr>
        <w:t>An upper threshold was chosen to minimise the probability</w:t>
      </w:r>
      <w:r w:rsidR="00085F87" w:rsidRPr="0068193D">
        <w:rPr>
          <w:rFonts w:asciiTheme="minorHAnsi" w:hAnsiTheme="minorHAnsi" w:cstheme="minorHAnsi"/>
          <w:lang w:val="en-GB"/>
        </w:rPr>
        <w:t xml:space="preserve"> </w:t>
      </w:r>
      <w:r w:rsidRPr="0068193D">
        <w:rPr>
          <w:rFonts w:asciiTheme="minorHAnsi" w:hAnsiTheme="minorHAnsi" w:cstheme="minorHAnsi"/>
          <w:lang w:val="en-GB"/>
        </w:rPr>
        <w:t>that a patient, characterised to be at high risk using</w:t>
      </w:r>
      <w:r w:rsidR="00085F87" w:rsidRPr="0068193D">
        <w:rPr>
          <w:rFonts w:asciiTheme="minorHAnsi" w:hAnsiTheme="minorHAnsi" w:cstheme="minorHAnsi"/>
          <w:lang w:val="en-GB"/>
        </w:rPr>
        <w:t xml:space="preserve"> </w:t>
      </w:r>
      <w:r w:rsidRPr="0068193D">
        <w:rPr>
          <w:rFonts w:asciiTheme="minorHAnsi" w:hAnsiTheme="minorHAnsi" w:cstheme="minorHAnsi"/>
          <w:lang w:val="en-GB"/>
        </w:rPr>
        <w:t>clinical risk factors alone, would be reclassified to be at low</w:t>
      </w:r>
      <w:r w:rsidR="00D8367A" w:rsidRPr="0068193D">
        <w:rPr>
          <w:rFonts w:asciiTheme="minorHAnsi" w:hAnsiTheme="minorHAnsi" w:cstheme="minorHAnsi"/>
          <w:lang w:val="en-GB"/>
        </w:rPr>
        <w:t xml:space="preserve"> risk with additional information on BMD and vice versa</w:t>
      </w:r>
      <w:r w:rsidR="006A10DB" w:rsidRPr="0068193D">
        <w:rPr>
          <w:rFonts w:asciiTheme="minorHAnsi" w:hAnsiTheme="minorHAnsi" w:cstheme="minorHAnsi"/>
          <w:lang w:val="en-GB"/>
        </w:rPr>
        <w:t xml:space="preserve"> </w:t>
      </w:r>
      <w:r w:rsidR="00D8367A" w:rsidRPr="0068193D">
        <w:rPr>
          <w:rFonts w:asciiTheme="minorHAnsi" w:hAnsiTheme="minorHAnsi" w:cstheme="minorHAnsi"/>
          <w:lang w:val="en-GB"/>
        </w:rPr>
        <w:t>[</w:t>
      </w:r>
      <w:r w:rsidR="00686368">
        <w:rPr>
          <w:rFonts w:asciiTheme="minorHAnsi" w:hAnsiTheme="minorHAnsi" w:cstheme="minorHAnsi"/>
          <w:lang w:val="en-GB"/>
        </w:rPr>
        <w:t>16]</w:t>
      </w:r>
      <w:r w:rsidR="00D8367A" w:rsidRPr="0068193D">
        <w:rPr>
          <w:rFonts w:asciiTheme="minorHAnsi" w:hAnsiTheme="minorHAnsi" w:cstheme="minorHAnsi"/>
          <w:lang w:val="en-GB"/>
        </w:rPr>
        <w:t>. The upper assessment threshold was set at 1.2 times</w:t>
      </w:r>
      <w:r w:rsidR="006A10DB" w:rsidRPr="0068193D">
        <w:rPr>
          <w:rFonts w:asciiTheme="minorHAnsi" w:hAnsiTheme="minorHAnsi" w:cstheme="minorHAnsi"/>
          <w:lang w:val="en-GB"/>
        </w:rPr>
        <w:t xml:space="preserve"> </w:t>
      </w:r>
      <w:r w:rsidR="00D8367A" w:rsidRPr="0068193D">
        <w:rPr>
          <w:rFonts w:asciiTheme="minorHAnsi" w:hAnsiTheme="minorHAnsi" w:cstheme="minorHAnsi"/>
          <w:lang w:val="en-GB"/>
        </w:rPr>
        <w:t>the intervention threshold.</w:t>
      </w:r>
    </w:p>
    <w:p w14:paraId="1B598BCE" w14:textId="77777777" w:rsidR="008E6435" w:rsidRPr="0068193D" w:rsidRDefault="008E6435" w:rsidP="00F656EE">
      <w:pPr>
        <w:spacing w:line="276" w:lineRule="auto"/>
        <w:ind w:left="567" w:right="142"/>
        <w:rPr>
          <w:rFonts w:asciiTheme="minorHAnsi" w:hAnsiTheme="minorHAnsi" w:cstheme="minorHAnsi"/>
          <w:lang w:val="en-GB"/>
        </w:rPr>
      </w:pPr>
    </w:p>
    <w:p w14:paraId="4C00348A" w14:textId="2107697D" w:rsidR="000D732F" w:rsidRPr="0068193D" w:rsidRDefault="000D732F" w:rsidP="00936AFC">
      <w:pPr>
        <w:spacing w:line="276" w:lineRule="auto"/>
        <w:ind w:left="567" w:right="142"/>
        <w:rPr>
          <w:rFonts w:asciiTheme="minorHAnsi" w:hAnsiTheme="minorHAnsi" w:cstheme="minorHAnsi"/>
          <w:i/>
          <w:iCs/>
          <w:lang w:val="en-GB"/>
        </w:rPr>
      </w:pPr>
      <w:r w:rsidRPr="0068193D">
        <w:rPr>
          <w:rFonts w:asciiTheme="minorHAnsi" w:hAnsiTheme="minorHAnsi" w:cstheme="minorHAnsi"/>
          <w:i/>
          <w:iCs/>
          <w:lang w:val="en-GB"/>
        </w:rPr>
        <w:t>Hip fracture</w:t>
      </w:r>
    </w:p>
    <w:p w14:paraId="7C3C9AD6" w14:textId="495B8CAD" w:rsidR="00084D6F" w:rsidRPr="008F03D8" w:rsidRDefault="00084D6F" w:rsidP="00936AFC">
      <w:pPr>
        <w:spacing w:line="276" w:lineRule="auto"/>
        <w:ind w:left="567" w:right="142"/>
        <w:rPr>
          <w:rFonts w:asciiTheme="minorHAnsi" w:hAnsiTheme="minorHAnsi" w:cstheme="minorHAnsi"/>
          <w:lang w:val="en-GB"/>
        </w:rPr>
      </w:pPr>
      <w:r w:rsidRPr="0068193D">
        <w:rPr>
          <w:rFonts w:asciiTheme="minorHAnsi" w:hAnsiTheme="minorHAnsi" w:cstheme="minorHAnsi"/>
          <w:lang w:val="en-GB"/>
        </w:rPr>
        <w:t xml:space="preserve">The age and sex-specific incidence </w:t>
      </w:r>
      <w:r w:rsidR="00FB5AEF" w:rsidRPr="0068193D">
        <w:rPr>
          <w:rFonts w:asciiTheme="minorHAnsi" w:hAnsiTheme="minorHAnsi" w:cstheme="minorHAnsi"/>
          <w:lang w:val="en-GB"/>
        </w:rPr>
        <w:t xml:space="preserve">of hip fracture </w:t>
      </w:r>
      <w:r w:rsidRPr="0068193D">
        <w:rPr>
          <w:rFonts w:asciiTheme="minorHAnsi" w:hAnsiTheme="minorHAnsi" w:cstheme="minorHAnsi"/>
          <w:lang w:val="en-GB"/>
        </w:rPr>
        <w:t xml:space="preserve">was applied to the population </w:t>
      </w:r>
      <w:r w:rsidR="00F54621" w:rsidRPr="0068193D">
        <w:rPr>
          <w:rFonts w:asciiTheme="minorHAnsi" w:hAnsiTheme="minorHAnsi" w:cstheme="minorHAnsi"/>
          <w:lang w:val="en-GB"/>
        </w:rPr>
        <w:t xml:space="preserve">of </w:t>
      </w:r>
      <w:r w:rsidR="00FB5AEF" w:rsidRPr="0068193D">
        <w:rPr>
          <w:rFonts w:asciiTheme="minorHAnsi" w:hAnsiTheme="minorHAnsi" w:cstheme="minorHAnsi"/>
          <w:lang w:val="en-GB"/>
        </w:rPr>
        <w:t>Mongolia</w:t>
      </w:r>
      <w:r w:rsidR="00F54621" w:rsidRPr="0068193D">
        <w:rPr>
          <w:rFonts w:asciiTheme="minorHAnsi" w:hAnsiTheme="minorHAnsi" w:cstheme="minorHAnsi"/>
          <w:lang w:val="en-GB"/>
        </w:rPr>
        <w:t xml:space="preserve"> </w:t>
      </w:r>
      <w:r w:rsidR="005E5EA4" w:rsidRPr="0068193D">
        <w:rPr>
          <w:rFonts w:asciiTheme="minorHAnsi" w:hAnsiTheme="minorHAnsi" w:cstheme="minorHAnsi"/>
          <w:lang w:val="en-GB"/>
        </w:rPr>
        <w:t>in</w:t>
      </w:r>
      <w:r w:rsidRPr="0068193D">
        <w:rPr>
          <w:rFonts w:asciiTheme="minorHAnsi" w:hAnsiTheme="minorHAnsi" w:cstheme="minorHAnsi"/>
          <w:lang w:val="en-GB"/>
        </w:rPr>
        <w:t xml:space="preserve"> </w:t>
      </w:r>
      <w:r w:rsidR="00BF74C8" w:rsidRPr="0068193D">
        <w:rPr>
          <w:rFonts w:asciiTheme="minorHAnsi" w:hAnsiTheme="minorHAnsi" w:cstheme="minorHAnsi"/>
          <w:lang w:val="en-GB"/>
        </w:rPr>
        <w:t xml:space="preserve">2015 </w:t>
      </w:r>
      <w:r w:rsidRPr="0068193D">
        <w:rPr>
          <w:rFonts w:asciiTheme="minorHAnsi" w:hAnsiTheme="minorHAnsi" w:cstheme="minorHAnsi"/>
          <w:lang w:val="en-GB"/>
        </w:rPr>
        <w:t>to estimate the number of hip fractures nationwide</w:t>
      </w:r>
      <w:r w:rsidR="00FF2CDF" w:rsidRPr="0068193D">
        <w:rPr>
          <w:rFonts w:asciiTheme="minorHAnsi" w:hAnsiTheme="minorHAnsi" w:cstheme="minorHAnsi"/>
          <w:lang w:val="en-GB"/>
        </w:rPr>
        <w:t xml:space="preserve"> in that year</w:t>
      </w:r>
      <w:r w:rsidRPr="0068193D">
        <w:rPr>
          <w:rFonts w:asciiTheme="minorHAnsi" w:hAnsiTheme="minorHAnsi" w:cstheme="minorHAnsi"/>
          <w:lang w:val="en-GB"/>
        </w:rPr>
        <w:t xml:space="preserve">.  Additionally, future projections were estimated </w:t>
      </w:r>
      <w:r w:rsidR="00372D33" w:rsidRPr="0068193D">
        <w:rPr>
          <w:rFonts w:asciiTheme="minorHAnsi" w:hAnsiTheme="minorHAnsi" w:cstheme="minorHAnsi"/>
          <w:lang w:val="en-GB"/>
        </w:rPr>
        <w:t xml:space="preserve">up to 2050 </w:t>
      </w:r>
      <w:r w:rsidRPr="0068193D">
        <w:rPr>
          <w:rFonts w:asciiTheme="minorHAnsi" w:hAnsiTheme="minorHAnsi" w:cstheme="minorHAnsi"/>
          <w:lang w:val="en-GB"/>
        </w:rPr>
        <w:t>assuming that the age- and sex-s</w:t>
      </w:r>
      <w:r w:rsidR="00372D33" w:rsidRPr="0068193D">
        <w:rPr>
          <w:rFonts w:asciiTheme="minorHAnsi" w:hAnsiTheme="minorHAnsi" w:cstheme="minorHAnsi"/>
          <w:lang w:val="en-GB"/>
        </w:rPr>
        <w:t>p</w:t>
      </w:r>
      <w:r w:rsidRPr="0068193D">
        <w:rPr>
          <w:rFonts w:asciiTheme="minorHAnsi" w:hAnsiTheme="minorHAnsi" w:cstheme="minorHAnsi"/>
          <w:lang w:val="en-GB"/>
        </w:rPr>
        <w:t>ecific incidence remained stable</w:t>
      </w:r>
      <w:r w:rsidR="00372D33" w:rsidRPr="0068193D">
        <w:rPr>
          <w:rFonts w:asciiTheme="minorHAnsi" w:hAnsiTheme="minorHAnsi" w:cstheme="minorHAnsi"/>
          <w:lang w:val="en-GB"/>
        </w:rPr>
        <w:t>.  Population demography was taken from the United Nations using the medium variant for fertility [</w:t>
      </w:r>
      <w:r w:rsidR="00632466">
        <w:rPr>
          <w:rFonts w:asciiTheme="minorHAnsi" w:hAnsiTheme="minorHAnsi" w:cstheme="minorHAnsi"/>
          <w:lang w:val="en-GB"/>
        </w:rPr>
        <w:t>6]</w:t>
      </w:r>
      <w:r w:rsidR="00372D33" w:rsidRPr="0068193D">
        <w:rPr>
          <w:rFonts w:asciiTheme="minorHAnsi" w:hAnsiTheme="minorHAnsi" w:cstheme="minorHAnsi"/>
          <w:lang w:val="en-GB"/>
        </w:rPr>
        <w:t>.</w:t>
      </w:r>
      <w:r w:rsidRPr="008F03D8">
        <w:rPr>
          <w:rFonts w:asciiTheme="minorHAnsi" w:hAnsiTheme="minorHAnsi" w:cstheme="minorHAnsi"/>
          <w:lang w:val="en-GB"/>
        </w:rPr>
        <w:t xml:space="preserve"> </w:t>
      </w:r>
    </w:p>
    <w:p w14:paraId="02FF318E" w14:textId="77777777" w:rsidR="00E254B2" w:rsidRPr="008F03D8" w:rsidRDefault="00E254B2" w:rsidP="00936AFC">
      <w:pPr>
        <w:spacing w:line="276" w:lineRule="auto"/>
        <w:ind w:left="567" w:right="142"/>
        <w:rPr>
          <w:rFonts w:asciiTheme="minorHAnsi" w:hAnsiTheme="minorHAnsi" w:cstheme="minorHAnsi"/>
          <w:lang w:val="en-GB"/>
        </w:rPr>
      </w:pPr>
    </w:p>
    <w:p w14:paraId="19A08ABB" w14:textId="0083734E" w:rsidR="00286D3C" w:rsidRPr="008F03D8" w:rsidRDefault="00147509" w:rsidP="00936AFC">
      <w:pPr>
        <w:spacing w:line="276" w:lineRule="auto"/>
        <w:ind w:left="567" w:right="142"/>
        <w:rPr>
          <w:rFonts w:asciiTheme="minorHAnsi" w:hAnsiTheme="minorHAnsi" w:cstheme="minorHAnsi"/>
          <w:b/>
          <w:lang w:val="en-GB"/>
        </w:rPr>
      </w:pPr>
      <w:r w:rsidRPr="008F03D8">
        <w:rPr>
          <w:rFonts w:asciiTheme="minorHAnsi" w:hAnsiTheme="minorHAnsi" w:cstheme="minorHAnsi"/>
          <w:b/>
          <w:lang w:val="en-GB"/>
        </w:rPr>
        <w:t>Results</w:t>
      </w:r>
      <w:r w:rsidR="00286D3C" w:rsidRPr="008F03D8">
        <w:rPr>
          <w:rFonts w:asciiTheme="minorHAnsi" w:hAnsiTheme="minorHAnsi" w:cstheme="minorHAnsi"/>
          <w:b/>
          <w:lang w:val="en-GB"/>
        </w:rPr>
        <w:t xml:space="preserve"> </w:t>
      </w:r>
    </w:p>
    <w:p w14:paraId="7B725E0C" w14:textId="77777777" w:rsidR="00C007CC" w:rsidRPr="008F03D8" w:rsidRDefault="00C007CC" w:rsidP="00936AFC">
      <w:pPr>
        <w:spacing w:line="276" w:lineRule="auto"/>
        <w:ind w:left="567" w:right="142"/>
        <w:rPr>
          <w:rFonts w:asciiTheme="minorHAnsi" w:hAnsiTheme="minorHAnsi" w:cstheme="minorHAnsi"/>
          <w:b/>
          <w:lang w:val="en-GB"/>
        </w:rPr>
      </w:pPr>
    </w:p>
    <w:p w14:paraId="0A75D3C4" w14:textId="12F16098" w:rsidR="00C007CC" w:rsidRPr="008F03D8" w:rsidRDefault="008C18B2" w:rsidP="00C007CC">
      <w:pPr>
        <w:spacing w:line="276" w:lineRule="auto"/>
        <w:ind w:left="567" w:right="142"/>
        <w:rPr>
          <w:rFonts w:asciiTheme="minorHAnsi" w:hAnsiTheme="minorHAnsi" w:cstheme="minorHAnsi"/>
          <w:bCs/>
          <w:lang w:val="en-GB"/>
        </w:rPr>
      </w:pPr>
      <w:r w:rsidRPr="0053761D">
        <w:rPr>
          <w:rFonts w:asciiTheme="minorHAnsi" w:hAnsiTheme="minorHAnsi" w:cstheme="minorHAnsi"/>
          <w:bCs/>
          <w:lang w:val="en-GB"/>
        </w:rPr>
        <w:t xml:space="preserve">The </w:t>
      </w:r>
      <w:r w:rsidR="002F3B98" w:rsidRPr="002F3B98">
        <w:rPr>
          <w:rFonts w:asciiTheme="minorHAnsi" w:hAnsiTheme="minorHAnsi" w:cstheme="minorHAnsi"/>
          <w:bCs/>
          <w:lang w:val="en-GB"/>
        </w:rPr>
        <w:t xml:space="preserve">10-year hip fracture </w:t>
      </w:r>
      <w:r w:rsidRPr="0053761D">
        <w:rPr>
          <w:rFonts w:asciiTheme="minorHAnsi" w:hAnsiTheme="minorHAnsi" w:cstheme="minorHAnsi"/>
          <w:bCs/>
          <w:lang w:val="en-GB"/>
        </w:rPr>
        <w:t xml:space="preserve">probabilities for </w:t>
      </w:r>
      <w:r w:rsidR="00920425" w:rsidRPr="0053761D">
        <w:rPr>
          <w:rFonts w:asciiTheme="minorHAnsi" w:hAnsiTheme="minorHAnsi" w:cstheme="minorHAnsi"/>
          <w:bCs/>
          <w:lang w:val="en-GB"/>
        </w:rPr>
        <w:t>Mongolia</w:t>
      </w:r>
      <w:r w:rsidRPr="0053761D">
        <w:rPr>
          <w:rFonts w:asciiTheme="minorHAnsi" w:hAnsiTheme="minorHAnsi" w:cstheme="minorHAnsi"/>
          <w:bCs/>
          <w:lang w:val="en-GB"/>
        </w:rPr>
        <w:t xml:space="preserve"> were similar to those for </w:t>
      </w:r>
      <w:r w:rsidR="00920425" w:rsidRPr="0053761D">
        <w:rPr>
          <w:rFonts w:asciiTheme="minorHAnsi" w:hAnsiTheme="minorHAnsi" w:cstheme="minorHAnsi"/>
          <w:bCs/>
          <w:lang w:val="en-GB"/>
        </w:rPr>
        <w:t>China</w:t>
      </w:r>
      <w:r w:rsidRPr="0053761D">
        <w:rPr>
          <w:rFonts w:asciiTheme="minorHAnsi" w:hAnsiTheme="minorHAnsi" w:cstheme="minorHAnsi"/>
          <w:bCs/>
          <w:lang w:val="en-GB"/>
        </w:rPr>
        <w:t xml:space="preserve"> at the age of 50 years, but with increasing age, the difference in </w:t>
      </w:r>
      <w:r w:rsidR="00D426CE">
        <w:rPr>
          <w:rFonts w:asciiTheme="minorHAnsi" w:hAnsiTheme="minorHAnsi" w:cstheme="minorHAnsi"/>
          <w:bCs/>
          <w:lang w:val="en-GB"/>
        </w:rPr>
        <w:t>mean</w:t>
      </w:r>
      <w:r w:rsidRPr="0053761D">
        <w:rPr>
          <w:rFonts w:asciiTheme="minorHAnsi" w:hAnsiTheme="minorHAnsi" w:cstheme="minorHAnsi"/>
          <w:bCs/>
          <w:lang w:val="en-GB"/>
        </w:rPr>
        <w:t xml:space="preserve"> values increased with age, an effect that was more </w:t>
      </w:r>
      <w:r w:rsidRPr="003537FB">
        <w:rPr>
          <w:rFonts w:asciiTheme="minorHAnsi" w:hAnsiTheme="minorHAnsi" w:cstheme="minorHAnsi"/>
          <w:bCs/>
          <w:lang w:val="en-GB"/>
        </w:rPr>
        <w:t>marked for men (</w:t>
      </w:r>
      <w:r w:rsidR="00D10F01" w:rsidRPr="003537FB">
        <w:rPr>
          <w:rFonts w:asciiTheme="minorHAnsi" w:hAnsiTheme="minorHAnsi" w:cstheme="minorHAnsi"/>
          <w:bCs/>
          <w:lang w:val="en-GB"/>
        </w:rPr>
        <w:t>Figure</w:t>
      </w:r>
      <w:r w:rsidRPr="003537FB">
        <w:rPr>
          <w:rFonts w:asciiTheme="minorHAnsi" w:hAnsiTheme="minorHAnsi" w:cstheme="minorHAnsi"/>
          <w:bCs/>
          <w:lang w:val="en-GB"/>
        </w:rPr>
        <w:t xml:space="preserve"> 1). </w:t>
      </w:r>
      <w:r w:rsidR="00C007CC" w:rsidRPr="003537FB">
        <w:rPr>
          <w:rFonts w:asciiTheme="minorHAnsi" w:hAnsiTheme="minorHAnsi" w:cstheme="minorHAnsi"/>
          <w:bCs/>
          <w:lang w:val="en-GB"/>
        </w:rPr>
        <w:t>With advancing age, the surrogate FRAX model gave lower 10-year fracture probabilities for men and</w:t>
      </w:r>
      <w:r w:rsidR="00456E9D" w:rsidRPr="003537FB">
        <w:rPr>
          <w:rFonts w:asciiTheme="minorHAnsi" w:hAnsiTheme="minorHAnsi" w:cstheme="minorHAnsi"/>
          <w:bCs/>
          <w:lang w:val="en-GB"/>
        </w:rPr>
        <w:t xml:space="preserve"> higher probabilities </w:t>
      </w:r>
      <w:r w:rsidR="003537FB" w:rsidRPr="003537FB">
        <w:rPr>
          <w:rFonts w:asciiTheme="minorHAnsi" w:hAnsiTheme="minorHAnsi" w:cstheme="minorHAnsi"/>
          <w:bCs/>
          <w:lang w:val="en-GB"/>
        </w:rPr>
        <w:t xml:space="preserve">for </w:t>
      </w:r>
      <w:r w:rsidR="00C007CC" w:rsidRPr="003537FB">
        <w:rPr>
          <w:rFonts w:asciiTheme="minorHAnsi" w:hAnsiTheme="minorHAnsi" w:cstheme="minorHAnsi"/>
          <w:bCs/>
          <w:lang w:val="en-GB"/>
        </w:rPr>
        <w:t xml:space="preserve">women at older ages, compared to the model for </w:t>
      </w:r>
      <w:r w:rsidR="003537FB" w:rsidRPr="003537FB">
        <w:rPr>
          <w:rFonts w:asciiTheme="minorHAnsi" w:hAnsiTheme="minorHAnsi" w:cstheme="minorHAnsi"/>
          <w:bCs/>
          <w:lang w:val="en-GB"/>
        </w:rPr>
        <w:t>China</w:t>
      </w:r>
      <w:r w:rsidR="00C007CC" w:rsidRPr="003537FB">
        <w:rPr>
          <w:rFonts w:asciiTheme="minorHAnsi" w:hAnsiTheme="minorHAnsi" w:cstheme="minorHAnsi"/>
          <w:bCs/>
          <w:lang w:val="en-GB"/>
        </w:rPr>
        <w:t xml:space="preserve">, reflecting </w:t>
      </w:r>
      <w:r w:rsidR="003537FB" w:rsidRPr="003537FB">
        <w:rPr>
          <w:rFonts w:asciiTheme="minorHAnsi" w:hAnsiTheme="minorHAnsi" w:cstheme="minorHAnsi"/>
          <w:bCs/>
          <w:lang w:val="en-GB"/>
        </w:rPr>
        <w:t>differences in</w:t>
      </w:r>
      <w:r w:rsidR="00C007CC" w:rsidRPr="003537FB">
        <w:rPr>
          <w:rFonts w:asciiTheme="minorHAnsi" w:hAnsiTheme="minorHAnsi" w:cstheme="minorHAnsi"/>
          <w:bCs/>
          <w:lang w:val="en-GB"/>
        </w:rPr>
        <w:t xml:space="preserve"> competing mortality risk.</w:t>
      </w:r>
      <w:r w:rsidR="00C007CC" w:rsidRPr="008F03D8">
        <w:rPr>
          <w:rFonts w:asciiTheme="minorHAnsi" w:hAnsiTheme="minorHAnsi" w:cstheme="minorHAnsi"/>
          <w:bCs/>
          <w:lang w:val="en-GB"/>
        </w:rPr>
        <w:t xml:space="preserve"> </w:t>
      </w:r>
      <w:r w:rsidR="003E713B" w:rsidRPr="003E713B">
        <w:rPr>
          <w:rFonts w:asciiTheme="minorHAnsi" w:hAnsiTheme="minorHAnsi" w:cstheme="minorHAnsi"/>
          <w:bCs/>
          <w:lang w:val="en-GB"/>
        </w:rPr>
        <w:t>A similar pattern was seen for MOF (data not shown).</w:t>
      </w:r>
    </w:p>
    <w:p w14:paraId="65FE4934" w14:textId="4F75F3D8" w:rsidR="0047636C" w:rsidRPr="008F03D8" w:rsidRDefault="00EA75CC" w:rsidP="00C007CC">
      <w:pPr>
        <w:spacing w:line="276" w:lineRule="auto"/>
        <w:ind w:left="567" w:right="142"/>
        <w:rPr>
          <w:rFonts w:asciiTheme="minorHAnsi" w:hAnsiTheme="minorHAnsi" w:cstheme="minorHAnsi"/>
          <w:bCs/>
          <w:lang w:val="en-GB"/>
        </w:rPr>
      </w:pPr>
      <w:r>
        <w:rPr>
          <w:noProof/>
        </w:rPr>
        <w:drawing>
          <wp:anchor distT="0" distB="0" distL="114300" distR="114300" simplePos="0" relativeHeight="251659264" behindDoc="0" locked="0" layoutInCell="1" allowOverlap="1" wp14:anchorId="537FF1F8" wp14:editId="7B187D35">
            <wp:simplePos x="0" y="0"/>
            <wp:positionH relativeFrom="page">
              <wp:align>center</wp:align>
            </wp:positionH>
            <wp:positionV relativeFrom="paragraph">
              <wp:posOffset>169545</wp:posOffset>
            </wp:positionV>
            <wp:extent cx="4067175" cy="2947670"/>
            <wp:effectExtent l="0" t="0" r="9525" b="5080"/>
            <wp:wrapTopAndBottom/>
            <wp:docPr id="16107843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84339" name=""/>
                    <pic:cNvPicPr/>
                  </pic:nvPicPr>
                  <pic:blipFill rotWithShape="1">
                    <a:blip r:embed="rId8">
                      <a:extLst>
                        <a:ext uri="{96DAC541-7B7A-43D3-8B79-37D633B846F1}">
                          <asvg:svgBlip xmlns:asvg="http://schemas.microsoft.com/office/drawing/2016/SVG/main" r:embed="rId9"/>
                        </a:ext>
                      </a:extLst>
                    </a:blip>
                    <a:srcRect l="-5371" t="4774" r="37922" b="8321"/>
                    <a:stretch/>
                  </pic:blipFill>
                  <pic:spPr bwMode="auto">
                    <a:xfrm>
                      <a:off x="0" y="0"/>
                      <a:ext cx="4067175" cy="29476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870D2F0" w14:textId="62A8346A" w:rsidR="00C007CC" w:rsidRPr="008F03D8" w:rsidRDefault="00DB4B86" w:rsidP="00580035">
      <w:pPr>
        <w:spacing w:line="276" w:lineRule="auto"/>
        <w:ind w:left="1418" w:right="1417"/>
        <w:rPr>
          <w:rFonts w:asciiTheme="minorHAnsi" w:hAnsiTheme="minorHAnsi" w:cstheme="minorHAnsi"/>
          <w:b/>
          <w:sz w:val="22"/>
          <w:szCs w:val="22"/>
          <w:lang w:val="en-GB"/>
        </w:rPr>
      </w:pPr>
      <w:r w:rsidRPr="0005694F">
        <w:rPr>
          <w:rFonts w:asciiTheme="minorHAnsi" w:hAnsiTheme="minorHAnsi" w:cstheme="minorHAnsi"/>
          <w:b/>
          <w:sz w:val="22"/>
          <w:szCs w:val="22"/>
          <w:lang w:val="en-GB"/>
        </w:rPr>
        <w:lastRenderedPageBreak/>
        <w:t xml:space="preserve"> </w:t>
      </w:r>
      <w:r w:rsidR="00C007CC" w:rsidRPr="0005694F">
        <w:rPr>
          <w:rFonts w:asciiTheme="minorHAnsi" w:hAnsiTheme="minorHAnsi" w:cstheme="minorHAnsi"/>
          <w:b/>
          <w:sz w:val="22"/>
          <w:szCs w:val="22"/>
          <w:lang w:val="en-GB"/>
        </w:rPr>
        <w:t>Fig</w:t>
      </w:r>
      <w:r w:rsidR="0047636C" w:rsidRPr="0005694F">
        <w:rPr>
          <w:rFonts w:asciiTheme="minorHAnsi" w:hAnsiTheme="minorHAnsi" w:cstheme="minorHAnsi"/>
          <w:b/>
          <w:sz w:val="22"/>
          <w:szCs w:val="22"/>
          <w:lang w:val="en-GB"/>
        </w:rPr>
        <w:t>.</w:t>
      </w:r>
      <w:r w:rsidR="00C007CC" w:rsidRPr="0005694F">
        <w:rPr>
          <w:rFonts w:asciiTheme="minorHAnsi" w:hAnsiTheme="minorHAnsi" w:cstheme="minorHAnsi"/>
          <w:b/>
          <w:sz w:val="22"/>
          <w:szCs w:val="22"/>
          <w:lang w:val="en-GB"/>
        </w:rPr>
        <w:t xml:space="preserve"> 1</w:t>
      </w:r>
      <w:r w:rsidR="0047636C" w:rsidRPr="0005694F">
        <w:rPr>
          <w:rFonts w:asciiTheme="minorHAnsi" w:hAnsiTheme="minorHAnsi" w:cstheme="minorHAnsi"/>
          <w:b/>
          <w:sz w:val="22"/>
          <w:szCs w:val="22"/>
          <w:lang w:val="en-GB"/>
        </w:rPr>
        <w:t xml:space="preserve"> </w:t>
      </w:r>
      <w:r w:rsidR="00C007CC" w:rsidRPr="0005694F">
        <w:rPr>
          <w:rFonts w:asciiTheme="minorHAnsi" w:hAnsiTheme="minorHAnsi" w:cstheme="minorHAnsi"/>
          <w:bCs/>
          <w:sz w:val="22"/>
          <w:szCs w:val="22"/>
          <w:lang w:val="en-GB"/>
        </w:rPr>
        <w:t>Age-specific</w:t>
      </w:r>
      <w:r w:rsidR="00C007CC" w:rsidRPr="00E92D0D">
        <w:rPr>
          <w:rFonts w:asciiTheme="minorHAnsi" w:hAnsiTheme="minorHAnsi" w:cstheme="minorHAnsi"/>
          <w:bCs/>
          <w:sz w:val="22"/>
          <w:szCs w:val="22"/>
          <w:lang w:val="en-GB"/>
        </w:rPr>
        <w:t xml:space="preserve"> 10-year probabilities (%) of a </w:t>
      </w:r>
      <w:r w:rsidR="00DB12F5" w:rsidRPr="00E92D0D">
        <w:rPr>
          <w:rFonts w:asciiTheme="minorHAnsi" w:hAnsiTheme="minorHAnsi" w:cstheme="minorHAnsi"/>
          <w:bCs/>
          <w:sz w:val="22"/>
          <w:szCs w:val="22"/>
          <w:lang w:val="en-GB"/>
        </w:rPr>
        <w:t>hip fracture (H</w:t>
      </w:r>
      <w:r w:rsidR="00DD6224" w:rsidRPr="00E92D0D">
        <w:rPr>
          <w:rFonts w:asciiTheme="minorHAnsi" w:hAnsiTheme="minorHAnsi" w:cstheme="minorHAnsi"/>
          <w:bCs/>
          <w:sz w:val="22"/>
          <w:szCs w:val="22"/>
          <w:lang w:val="en-GB"/>
        </w:rPr>
        <w:t xml:space="preserve">F) </w:t>
      </w:r>
      <w:r w:rsidR="00C007CC" w:rsidRPr="00E92D0D">
        <w:rPr>
          <w:rFonts w:asciiTheme="minorHAnsi" w:hAnsiTheme="minorHAnsi" w:cstheme="minorHAnsi"/>
          <w:bCs/>
          <w:sz w:val="22"/>
          <w:szCs w:val="22"/>
          <w:lang w:val="en-GB"/>
        </w:rPr>
        <w:t>for men or women without clinical risk factors and BMI of 25 kg/m</w:t>
      </w:r>
      <w:r w:rsidR="00C007CC" w:rsidRPr="00E92D0D">
        <w:rPr>
          <w:rFonts w:asciiTheme="minorHAnsi" w:hAnsiTheme="minorHAnsi" w:cstheme="minorHAnsi"/>
          <w:bCs/>
          <w:sz w:val="22"/>
          <w:szCs w:val="22"/>
          <w:vertAlign w:val="superscript"/>
          <w:lang w:val="en-GB"/>
        </w:rPr>
        <w:t>2</w:t>
      </w:r>
      <w:r w:rsidR="00C007CC" w:rsidRPr="00E92D0D">
        <w:rPr>
          <w:rFonts w:asciiTheme="minorHAnsi" w:hAnsiTheme="minorHAnsi" w:cstheme="minorHAnsi"/>
          <w:bCs/>
          <w:sz w:val="22"/>
          <w:szCs w:val="22"/>
          <w:lang w:val="en-GB"/>
        </w:rPr>
        <w:t xml:space="preserve"> with unknown BMD, using </w:t>
      </w:r>
      <w:r w:rsidR="00E92D0D" w:rsidRPr="00E92D0D">
        <w:rPr>
          <w:rFonts w:asciiTheme="minorHAnsi" w:hAnsiTheme="minorHAnsi" w:cstheme="minorHAnsi"/>
          <w:bCs/>
          <w:sz w:val="22"/>
          <w:szCs w:val="22"/>
          <w:lang w:val="en-GB"/>
        </w:rPr>
        <w:t>Mongolian</w:t>
      </w:r>
      <w:r w:rsidR="00C007CC" w:rsidRPr="00E92D0D">
        <w:rPr>
          <w:rFonts w:asciiTheme="minorHAnsi" w:hAnsiTheme="minorHAnsi" w:cstheme="minorHAnsi"/>
          <w:bCs/>
          <w:sz w:val="22"/>
          <w:szCs w:val="22"/>
          <w:lang w:val="en-GB"/>
        </w:rPr>
        <w:t xml:space="preserve"> and </w:t>
      </w:r>
      <w:r w:rsidR="00E92D0D" w:rsidRPr="00E92D0D">
        <w:rPr>
          <w:rFonts w:asciiTheme="minorHAnsi" w:hAnsiTheme="minorHAnsi" w:cstheme="minorHAnsi"/>
          <w:bCs/>
          <w:sz w:val="22"/>
          <w:szCs w:val="22"/>
          <w:lang w:val="en-GB"/>
        </w:rPr>
        <w:t>Chinese</w:t>
      </w:r>
      <w:r w:rsidR="00C007CC" w:rsidRPr="00E92D0D">
        <w:rPr>
          <w:rFonts w:asciiTheme="minorHAnsi" w:hAnsiTheme="minorHAnsi" w:cstheme="minorHAnsi"/>
          <w:bCs/>
          <w:sz w:val="22"/>
          <w:szCs w:val="22"/>
          <w:lang w:val="en-GB"/>
        </w:rPr>
        <w:t xml:space="preserve"> FRAX models.</w:t>
      </w:r>
    </w:p>
    <w:p w14:paraId="13C7F4B8" w14:textId="77777777" w:rsidR="00C007CC" w:rsidRPr="008F03D8" w:rsidRDefault="00C007CC" w:rsidP="00936AFC">
      <w:pPr>
        <w:spacing w:line="276" w:lineRule="auto"/>
        <w:ind w:left="567" w:right="142"/>
        <w:rPr>
          <w:rFonts w:asciiTheme="minorHAnsi" w:hAnsiTheme="minorHAnsi" w:cstheme="minorHAnsi"/>
          <w:b/>
          <w:lang w:val="en-GB"/>
        </w:rPr>
      </w:pPr>
    </w:p>
    <w:p w14:paraId="12BB1B84" w14:textId="327B8D77" w:rsidR="00FD6FAC" w:rsidRPr="0005694F" w:rsidRDefault="007037D7" w:rsidP="00FD6FAC">
      <w:pPr>
        <w:spacing w:line="276" w:lineRule="auto"/>
        <w:ind w:left="567" w:right="142"/>
        <w:rPr>
          <w:rFonts w:ascii="Calibri" w:eastAsia="Calibri" w:hAnsi="Calibri" w:cs="DokChampa"/>
          <w:lang w:val="en-GB" w:eastAsia="en-US" w:bidi="lo-LA"/>
        </w:rPr>
      </w:pPr>
      <w:r w:rsidRPr="0005694F">
        <w:rPr>
          <w:rFonts w:ascii="Calibri" w:eastAsia="Calibri" w:hAnsi="Calibri" w:cs="DokChampa"/>
          <w:lang w:val="en-GB" w:eastAsia="en-US" w:bidi="lo-LA"/>
        </w:rPr>
        <w:t>Characteristics</w:t>
      </w:r>
      <w:r w:rsidR="00A90409" w:rsidRPr="0005694F">
        <w:rPr>
          <w:rFonts w:ascii="Calibri" w:eastAsia="Calibri" w:hAnsi="Calibri" w:cs="DokChampa"/>
          <w:lang w:val="en-GB" w:eastAsia="en-US" w:bidi="lo-LA"/>
        </w:rPr>
        <w:t xml:space="preserve"> of the patients studied </w:t>
      </w:r>
      <w:r w:rsidR="00775CAA" w:rsidRPr="00775CAA">
        <w:rPr>
          <w:rFonts w:ascii="Calibri" w:eastAsia="Calibri" w:hAnsi="Calibri" w:cs="DokChampa"/>
          <w:lang w:val="en-GB" w:eastAsia="en-US" w:bidi="lo-LA"/>
        </w:rPr>
        <w:t xml:space="preserve">in the impact cohort </w:t>
      </w:r>
      <w:r w:rsidR="00A90409" w:rsidRPr="0005694F">
        <w:rPr>
          <w:rFonts w:ascii="Calibri" w:eastAsia="Calibri" w:hAnsi="Calibri" w:cs="DokChampa"/>
          <w:lang w:val="en-GB" w:eastAsia="en-US" w:bidi="lo-LA"/>
        </w:rPr>
        <w:t>are summarised in Table 1</w:t>
      </w:r>
      <w:r w:rsidRPr="0005694F">
        <w:rPr>
          <w:rFonts w:ascii="Calibri" w:eastAsia="Calibri" w:hAnsi="Calibri" w:cs="DokChampa"/>
          <w:lang w:val="en-GB" w:eastAsia="en-US" w:bidi="lo-LA"/>
        </w:rPr>
        <w:t>.</w:t>
      </w:r>
      <w:r w:rsidR="008A007A" w:rsidRPr="0005694F">
        <w:rPr>
          <w:rFonts w:ascii="Calibri" w:eastAsia="Calibri" w:hAnsi="Calibri" w:cs="DokChampa"/>
          <w:lang w:val="en-GB" w:eastAsia="en-US" w:bidi="lo-LA"/>
        </w:rPr>
        <w:t xml:space="preserve"> As might be </w:t>
      </w:r>
      <w:r w:rsidR="00434F68" w:rsidRPr="0005694F">
        <w:rPr>
          <w:rFonts w:ascii="Calibri" w:eastAsia="Calibri" w:hAnsi="Calibri" w:cs="DokChampa"/>
          <w:lang w:val="en-GB" w:eastAsia="en-US" w:bidi="lo-LA"/>
        </w:rPr>
        <w:t>expected</w:t>
      </w:r>
      <w:r w:rsidR="00144E17" w:rsidRPr="0005694F">
        <w:rPr>
          <w:rFonts w:ascii="Calibri" w:eastAsia="Calibri" w:hAnsi="Calibri" w:cs="DokChampa"/>
          <w:lang w:val="en-GB" w:eastAsia="en-US" w:bidi="lo-LA"/>
        </w:rPr>
        <w:t xml:space="preserve"> in a referral population, the</w:t>
      </w:r>
      <w:r w:rsidR="00434F68" w:rsidRPr="0005694F">
        <w:rPr>
          <w:rFonts w:ascii="Calibri" w:eastAsia="Calibri" w:hAnsi="Calibri" w:cs="DokChampa"/>
          <w:lang w:val="en-GB" w:eastAsia="en-US" w:bidi="lo-LA"/>
        </w:rPr>
        <w:t>re was a h</w:t>
      </w:r>
      <w:r w:rsidR="00FD6FAC" w:rsidRPr="0005694F">
        <w:rPr>
          <w:rFonts w:ascii="Calibri" w:eastAsia="Calibri" w:hAnsi="Calibri" w:cs="DokChampa"/>
          <w:lang w:val="en-GB" w:eastAsia="en-US" w:bidi="lo-LA"/>
        </w:rPr>
        <w:t>igh</w:t>
      </w:r>
      <w:r w:rsidR="00144E17" w:rsidRPr="0005694F">
        <w:rPr>
          <w:rFonts w:ascii="Calibri" w:eastAsia="Calibri" w:hAnsi="Calibri" w:cs="DokChampa"/>
          <w:lang w:val="en-GB" w:eastAsia="en-US" w:bidi="lo-LA"/>
        </w:rPr>
        <w:t xml:space="preserve"> prevalence of a fracture history</w:t>
      </w:r>
      <w:r w:rsidR="00E66647" w:rsidRPr="0005694F">
        <w:rPr>
          <w:rFonts w:ascii="Calibri" w:eastAsia="Calibri" w:hAnsi="Calibri" w:cs="DokChampa"/>
          <w:lang w:val="en-GB" w:eastAsia="en-US" w:bidi="lo-LA"/>
        </w:rPr>
        <w:t xml:space="preserve">, </w:t>
      </w:r>
      <w:r w:rsidR="00226892" w:rsidRPr="0005694F">
        <w:rPr>
          <w:rFonts w:ascii="Calibri" w:eastAsia="Calibri" w:hAnsi="Calibri" w:cs="DokChampa"/>
          <w:lang w:val="en-GB" w:eastAsia="en-US" w:bidi="lo-LA"/>
        </w:rPr>
        <w:t>p</w:t>
      </w:r>
      <w:r w:rsidR="00FD6FAC" w:rsidRPr="0005694F">
        <w:rPr>
          <w:rFonts w:ascii="Calibri" w:eastAsia="Calibri" w:hAnsi="Calibri" w:cs="DokChampa"/>
          <w:lang w:val="en-GB" w:eastAsia="en-US" w:bidi="lo-LA"/>
        </w:rPr>
        <w:t>arental history of hip fracture</w:t>
      </w:r>
      <w:r w:rsidR="00226892" w:rsidRPr="0005694F">
        <w:rPr>
          <w:rFonts w:ascii="Calibri" w:eastAsia="Calibri" w:hAnsi="Calibri" w:cs="DokChampa"/>
          <w:lang w:val="en-GB" w:eastAsia="en-US" w:bidi="lo-LA"/>
        </w:rPr>
        <w:t>,</w:t>
      </w:r>
      <w:r w:rsidR="00FD6FAC" w:rsidRPr="0005694F">
        <w:rPr>
          <w:rFonts w:ascii="Calibri" w:eastAsia="Calibri" w:hAnsi="Calibri" w:cs="DokChampa"/>
          <w:lang w:val="en-GB" w:eastAsia="en-US" w:bidi="lo-LA"/>
        </w:rPr>
        <w:t xml:space="preserve"> </w:t>
      </w:r>
      <w:r w:rsidR="000A087B" w:rsidRPr="0005694F">
        <w:rPr>
          <w:rFonts w:ascii="Calibri" w:eastAsia="Calibri" w:hAnsi="Calibri" w:cs="DokChampa"/>
          <w:lang w:val="en-GB" w:eastAsia="en-US" w:bidi="lo-LA"/>
        </w:rPr>
        <w:t xml:space="preserve">secondary osteoporosis and in men, </w:t>
      </w:r>
      <w:r w:rsidR="00B72180" w:rsidRPr="0005694F">
        <w:rPr>
          <w:rFonts w:ascii="Calibri" w:eastAsia="Calibri" w:hAnsi="Calibri" w:cs="DokChampa"/>
          <w:lang w:val="en-GB" w:eastAsia="en-US" w:bidi="lo-LA"/>
        </w:rPr>
        <w:t>c</w:t>
      </w:r>
      <w:r w:rsidR="00FD6FAC" w:rsidRPr="0005694F">
        <w:rPr>
          <w:rFonts w:ascii="Calibri" w:eastAsia="Calibri" w:hAnsi="Calibri" w:cs="DokChampa"/>
          <w:lang w:val="en-GB" w:eastAsia="en-US" w:bidi="lo-LA"/>
        </w:rPr>
        <w:t xml:space="preserve">urrent smoking </w:t>
      </w:r>
      <w:r w:rsidR="00B72180" w:rsidRPr="0005694F">
        <w:rPr>
          <w:rFonts w:ascii="Calibri" w:eastAsia="Calibri" w:hAnsi="Calibri" w:cs="DokChampa"/>
          <w:lang w:val="en-GB" w:eastAsia="en-US" w:bidi="lo-LA"/>
        </w:rPr>
        <w:t>and high intake of alcohol.</w:t>
      </w:r>
      <w:r w:rsidR="007F5769" w:rsidRPr="0005694F">
        <w:rPr>
          <w:rFonts w:ascii="Calibri" w:eastAsia="Calibri" w:hAnsi="Calibri" w:cs="DokChampa"/>
          <w:lang w:val="en-GB" w:eastAsia="en-US" w:bidi="lo-LA"/>
        </w:rPr>
        <w:t xml:space="preserve"> The distribution of clinical risk factors was similar in the </w:t>
      </w:r>
      <w:r w:rsidR="00AB34FF" w:rsidRPr="0005694F">
        <w:rPr>
          <w:rFonts w:ascii="Calibri" w:eastAsia="Calibri" w:hAnsi="Calibri" w:cs="DokChampa"/>
          <w:lang w:val="en-GB" w:eastAsia="en-US" w:bidi="lo-LA"/>
        </w:rPr>
        <w:t>sample of men and women</w:t>
      </w:r>
      <w:r w:rsidR="003818FC" w:rsidRPr="0005694F">
        <w:rPr>
          <w:rFonts w:ascii="Calibri" w:eastAsia="Calibri" w:hAnsi="Calibri" w:cs="DokChampa"/>
          <w:lang w:val="en-GB" w:eastAsia="en-US" w:bidi="lo-LA"/>
        </w:rPr>
        <w:t xml:space="preserve"> eligible for assessment</w:t>
      </w:r>
      <w:r w:rsidR="00D22015" w:rsidRPr="0005694F">
        <w:rPr>
          <w:rFonts w:ascii="Calibri" w:eastAsia="Calibri" w:hAnsi="Calibri" w:cs="DokChampa"/>
          <w:lang w:val="en-GB" w:eastAsia="en-US" w:bidi="lo-LA"/>
        </w:rPr>
        <w:t xml:space="preserve"> (</w:t>
      </w:r>
      <w:r w:rsidR="00642F0C" w:rsidRPr="00642F0C">
        <w:rPr>
          <w:rFonts w:ascii="Calibri" w:eastAsia="Calibri" w:hAnsi="Calibri" w:cs="DokChampa"/>
          <w:lang w:val="en-GB" w:eastAsia="en-US" w:bidi="lo-LA"/>
        </w:rPr>
        <w:t xml:space="preserve">in the impact </w:t>
      </w:r>
      <w:r w:rsidR="00D22015" w:rsidRPr="0005694F">
        <w:rPr>
          <w:rFonts w:ascii="Calibri" w:eastAsia="Calibri" w:hAnsi="Calibri" w:cs="DokChampa"/>
          <w:lang w:val="en-GB" w:eastAsia="en-US" w:bidi="lo-LA"/>
        </w:rPr>
        <w:t>sample, Table 1)</w:t>
      </w:r>
      <w:r w:rsidR="00D077B4" w:rsidRPr="0005694F">
        <w:rPr>
          <w:rFonts w:ascii="Calibri" w:eastAsia="Calibri" w:hAnsi="Calibri" w:cs="DokChampa"/>
          <w:lang w:val="en-GB" w:eastAsia="en-US" w:bidi="lo-LA"/>
        </w:rPr>
        <w:t xml:space="preserve"> though the mean age</w:t>
      </w:r>
      <w:r w:rsidR="00E8593B" w:rsidRPr="0005694F">
        <w:rPr>
          <w:rFonts w:ascii="Calibri" w:eastAsia="Calibri" w:hAnsi="Calibri" w:cs="DokChampa"/>
          <w:lang w:val="en-GB" w:eastAsia="en-US" w:bidi="lo-LA"/>
        </w:rPr>
        <w:t xml:space="preserve"> </w:t>
      </w:r>
      <w:r w:rsidR="005E1DB7" w:rsidRPr="0005694F">
        <w:rPr>
          <w:rFonts w:ascii="Calibri" w:eastAsia="Calibri" w:hAnsi="Calibri" w:cs="DokChampa"/>
          <w:lang w:val="en-GB" w:eastAsia="en-US" w:bidi="lo-LA"/>
        </w:rPr>
        <w:t xml:space="preserve">of men and women </w:t>
      </w:r>
      <w:r w:rsidR="00E8593B" w:rsidRPr="0005694F">
        <w:rPr>
          <w:rFonts w:ascii="Calibri" w:eastAsia="Calibri" w:hAnsi="Calibri" w:cs="DokChampa"/>
          <w:lang w:val="en-GB" w:eastAsia="en-US" w:bidi="lo-LA"/>
        </w:rPr>
        <w:t>was older by 8.5 and 5</w:t>
      </w:r>
      <w:r w:rsidR="005E1DB7" w:rsidRPr="0005694F">
        <w:rPr>
          <w:rFonts w:ascii="Calibri" w:eastAsia="Calibri" w:hAnsi="Calibri" w:cs="DokChampa"/>
          <w:lang w:val="en-GB" w:eastAsia="en-US" w:bidi="lo-LA"/>
        </w:rPr>
        <w:t>.</w:t>
      </w:r>
      <w:r w:rsidR="00E8593B" w:rsidRPr="0005694F">
        <w:rPr>
          <w:rFonts w:ascii="Calibri" w:eastAsia="Calibri" w:hAnsi="Calibri" w:cs="DokChampa"/>
          <w:lang w:val="en-GB" w:eastAsia="en-US" w:bidi="lo-LA"/>
        </w:rPr>
        <w:t>4 years</w:t>
      </w:r>
      <w:r w:rsidR="005E1DB7" w:rsidRPr="0005694F">
        <w:rPr>
          <w:rFonts w:ascii="Calibri" w:eastAsia="Calibri" w:hAnsi="Calibri" w:cs="DokChampa"/>
          <w:lang w:val="en-GB" w:eastAsia="en-US" w:bidi="lo-LA"/>
        </w:rPr>
        <w:t>, respectively.</w:t>
      </w:r>
    </w:p>
    <w:p w14:paraId="317B6CFA" w14:textId="167B771C" w:rsidR="007037D7" w:rsidRDefault="005E1DB7" w:rsidP="00FD6FAC">
      <w:pPr>
        <w:spacing w:line="276" w:lineRule="auto"/>
        <w:ind w:left="567" w:right="142"/>
        <w:rPr>
          <w:rFonts w:ascii="Calibri" w:eastAsia="Calibri" w:hAnsi="Calibri" w:cs="DokChampa"/>
          <w:sz w:val="22"/>
          <w:szCs w:val="20"/>
          <w:lang w:val="en-GB" w:eastAsia="en-US" w:bidi="lo-LA"/>
        </w:rPr>
      </w:pPr>
      <w:r>
        <w:rPr>
          <w:rFonts w:ascii="Calibri" w:eastAsia="Calibri" w:hAnsi="Calibri" w:cs="DokChampa"/>
          <w:sz w:val="22"/>
          <w:szCs w:val="20"/>
          <w:lang w:val="en-GB" w:eastAsia="en-US" w:bidi="lo-LA"/>
        </w:rPr>
        <w:t xml:space="preserve"> </w:t>
      </w:r>
    </w:p>
    <w:p w14:paraId="7CB831B1" w14:textId="7FFD119F" w:rsidR="007037D7" w:rsidRDefault="005E1DB7" w:rsidP="000042F3">
      <w:pPr>
        <w:spacing w:line="276" w:lineRule="auto"/>
        <w:ind w:left="567" w:right="142"/>
        <w:rPr>
          <w:rFonts w:ascii="Calibri" w:eastAsia="Calibri" w:hAnsi="Calibri" w:cs="DokChampa"/>
          <w:sz w:val="22"/>
          <w:szCs w:val="20"/>
          <w:lang w:val="en-GB" w:eastAsia="en-US" w:bidi="lo-LA"/>
        </w:rPr>
      </w:pPr>
      <w:r w:rsidRPr="00776634">
        <w:rPr>
          <w:rFonts w:ascii="Calibri" w:eastAsia="Calibri" w:hAnsi="Calibri" w:cs="DokChampa"/>
          <w:b/>
          <w:bCs/>
          <w:sz w:val="22"/>
          <w:szCs w:val="20"/>
          <w:lang w:val="en-GB" w:eastAsia="en-US" w:bidi="lo-LA"/>
        </w:rPr>
        <w:t>Table 1.</w:t>
      </w:r>
      <w:r>
        <w:rPr>
          <w:rFonts w:ascii="Calibri" w:eastAsia="Calibri" w:hAnsi="Calibri" w:cs="DokChampa"/>
          <w:sz w:val="22"/>
          <w:szCs w:val="20"/>
          <w:lang w:val="en-GB" w:eastAsia="en-US" w:bidi="lo-LA"/>
        </w:rPr>
        <w:t xml:space="preserve"> </w:t>
      </w:r>
      <w:r w:rsidRPr="005E1DB7">
        <w:rPr>
          <w:rFonts w:ascii="Calibri" w:eastAsia="Calibri" w:hAnsi="Calibri" w:cs="DokChampa"/>
          <w:sz w:val="22"/>
          <w:szCs w:val="20"/>
          <w:lang w:val="en-GB" w:eastAsia="en-US" w:bidi="lo-LA"/>
        </w:rPr>
        <w:t>Characteristics of the patients studied</w:t>
      </w:r>
      <w:r w:rsidR="00776634">
        <w:rPr>
          <w:rFonts w:ascii="Calibri" w:eastAsia="Calibri" w:hAnsi="Calibri" w:cs="DokChampa"/>
          <w:sz w:val="22"/>
          <w:szCs w:val="20"/>
          <w:lang w:val="en-GB" w:eastAsia="en-US" w:bidi="lo-LA"/>
        </w:rPr>
        <w:t>.</w:t>
      </w:r>
    </w:p>
    <w:tbl>
      <w:tblPr>
        <w:tblStyle w:val="TableGrid5"/>
        <w:tblW w:w="9073" w:type="dxa"/>
        <w:tblInd w:w="-5" w:type="dxa"/>
        <w:tblLayout w:type="fixed"/>
        <w:tblLook w:val="04A0" w:firstRow="1" w:lastRow="0" w:firstColumn="1" w:lastColumn="0" w:noHBand="0" w:noVBand="1"/>
      </w:tblPr>
      <w:tblGrid>
        <w:gridCol w:w="3544"/>
        <w:gridCol w:w="1276"/>
        <w:gridCol w:w="1276"/>
        <w:gridCol w:w="283"/>
        <w:gridCol w:w="1418"/>
        <w:gridCol w:w="1276"/>
      </w:tblGrid>
      <w:tr w:rsidR="00FA78CB" w:rsidRPr="00866347" w14:paraId="260C23B8" w14:textId="77777777" w:rsidTr="00302CAD">
        <w:tc>
          <w:tcPr>
            <w:tcW w:w="3544" w:type="dxa"/>
          </w:tcPr>
          <w:p w14:paraId="1B9CBFD4" w14:textId="77777777" w:rsidR="00FA78CB" w:rsidRPr="00DA1DB4" w:rsidRDefault="00FA78CB" w:rsidP="007A747C">
            <w:pPr>
              <w:rPr>
                <w:rFonts w:ascii="Calibri" w:eastAsia="Aptos" w:hAnsi="Calibri" w:cs="Calibri"/>
                <w:sz w:val="20"/>
                <w:szCs w:val="20"/>
                <w:lang w:eastAsia="en-US"/>
              </w:rPr>
            </w:pPr>
          </w:p>
        </w:tc>
        <w:tc>
          <w:tcPr>
            <w:tcW w:w="2552" w:type="dxa"/>
            <w:gridSpan w:val="2"/>
          </w:tcPr>
          <w:p w14:paraId="7F5F7D95" w14:textId="4E8028F2" w:rsidR="00FA78CB" w:rsidRDefault="00D0366A" w:rsidP="007A747C">
            <w:pPr>
              <w:rPr>
                <w:rFonts w:ascii="Calibri" w:hAnsi="Calibri" w:cs="Calibri"/>
                <w:sz w:val="20"/>
                <w:szCs w:val="20"/>
              </w:rPr>
            </w:pPr>
            <w:r>
              <w:rPr>
                <w:rFonts w:ascii="Calibri" w:hAnsi="Calibri" w:cs="Calibri"/>
                <w:sz w:val="20"/>
                <w:szCs w:val="20"/>
              </w:rPr>
              <w:t>Whole sample</w:t>
            </w:r>
          </w:p>
        </w:tc>
        <w:tc>
          <w:tcPr>
            <w:tcW w:w="283" w:type="dxa"/>
          </w:tcPr>
          <w:p w14:paraId="0D61CBA5" w14:textId="77777777" w:rsidR="00FA78CB" w:rsidRPr="00AE7523" w:rsidRDefault="00FA78CB" w:rsidP="007A747C">
            <w:pPr>
              <w:rPr>
                <w:rFonts w:ascii="Calibri" w:hAnsi="Calibri" w:cs="Calibri"/>
                <w:sz w:val="20"/>
                <w:szCs w:val="20"/>
              </w:rPr>
            </w:pPr>
          </w:p>
        </w:tc>
        <w:tc>
          <w:tcPr>
            <w:tcW w:w="2694" w:type="dxa"/>
            <w:gridSpan w:val="2"/>
          </w:tcPr>
          <w:p w14:paraId="508C00EB" w14:textId="1AF44464" w:rsidR="00FA78CB" w:rsidRDefault="00EE116B" w:rsidP="007A747C">
            <w:pPr>
              <w:rPr>
                <w:rFonts w:ascii="Calibri" w:hAnsi="Calibri" w:cs="Calibri"/>
                <w:sz w:val="20"/>
                <w:szCs w:val="20"/>
              </w:rPr>
            </w:pPr>
            <w:r>
              <w:rPr>
                <w:rFonts w:ascii="Calibri" w:hAnsi="Calibri" w:cs="Calibri"/>
                <w:sz w:val="20"/>
                <w:szCs w:val="20"/>
              </w:rPr>
              <w:t xml:space="preserve">Impact </w:t>
            </w:r>
            <w:r w:rsidR="00D0366A">
              <w:rPr>
                <w:rFonts w:ascii="Calibri" w:hAnsi="Calibri" w:cs="Calibri"/>
                <w:sz w:val="20"/>
                <w:szCs w:val="20"/>
              </w:rPr>
              <w:t>sample</w:t>
            </w:r>
          </w:p>
        </w:tc>
      </w:tr>
      <w:tr w:rsidR="000270E7" w:rsidRPr="00866347" w14:paraId="5A18A6F1" w14:textId="77777777" w:rsidTr="00302CAD">
        <w:tc>
          <w:tcPr>
            <w:tcW w:w="3544" w:type="dxa"/>
          </w:tcPr>
          <w:p w14:paraId="4BDC2B9B" w14:textId="77777777" w:rsidR="000270E7" w:rsidRPr="00DA1DB4" w:rsidRDefault="000270E7" w:rsidP="00FF0531">
            <w:pPr>
              <w:rPr>
                <w:rFonts w:ascii="Calibri" w:eastAsia="Aptos" w:hAnsi="Calibri" w:cs="Calibri"/>
                <w:sz w:val="20"/>
                <w:szCs w:val="20"/>
                <w:lang w:eastAsia="en-US"/>
              </w:rPr>
            </w:pPr>
          </w:p>
        </w:tc>
        <w:tc>
          <w:tcPr>
            <w:tcW w:w="1276" w:type="dxa"/>
          </w:tcPr>
          <w:p w14:paraId="5881B4DF" w14:textId="1E00C5C7" w:rsidR="000270E7" w:rsidRPr="00AE7523" w:rsidRDefault="000270E7" w:rsidP="00FF0531">
            <w:pPr>
              <w:rPr>
                <w:rFonts w:ascii="Calibri" w:hAnsi="Calibri" w:cs="Calibri"/>
                <w:sz w:val="20"/>
                <w:szCs w:val="20"/>
              </w:rPr>
            </w:pPr>
            <w:r>
              <w:rPr>
                <w:rFonts w:ascii="Calibri" w:hAnsi="Calibri" w:cs="Calibri"/>
                <w:sz w:val="20"/>
                <w:szCs w:val="20"/>
              </w:rPr>
              <w:t>Men</w:t>
            </w:r>
          </w:p>
        </w:tc>
        <w:tc>
          <w:tcPr>
            <w:tcW w:w="1276" w:type="dxa"/>
          </w:tcPr>
          <w:p w14:paraId="0304A782" w14:textId="2EDB513C" w:rsidR="000270E7" w:rsidRPr="00AE7523" w:rsidRDefault="000270E7" w:rsidP="00FF0531">
            <w:pPr>
              <w:rPr>
                <w:rFonts w:ascii="Calibri" w:hAnsi="Calibri" w:cs="Calibri"/>
                <w:sz w:val="20"/>
                <w:szCs w:val="20"/>
              </w:rPr>
            </w:pPr>
            <w:r>
              <w:rPr>
                <w:rFonts w:ascii="Calibri" w:hAnsi="Calibri" w:cs="Calibri"/>
                <w:sz w:val="20"/>
                <w:szCs w:val="20"/>
              </w:rPr>
              <w:t>Women</w:t>
            </w:r>
          </w:p>
        </w:tc>
        <w:tc>
          <w:tcPr>
            <w:tcW w:w="283" w:type="dxa"/>
          </w:tcPr>
          <w:p w14:paraId="649AC731" w14:textId="77777777" w:rsidR="000270E7" w:rsidRPr="00AE7523" w:rsidRDefault="000270E7" w:rsidP="00FF0531">
            <w:pPr>
              <w:rPr>
                <w:rFonts w:ascii="Calibri" w:hAnsi="Calibri" w:cs="Calibri"/>
                <w:sz w:val="20"/>
                <w:szCs w:val="20"/>
              </w:rPr>
            </w:pPr>
          </w:p>
        </w:tc>
        <w:tc>
          <w:tcPr>
            <w:tcW w:w="1418" w:type="dxa"/>
          </w:tcPr>
          <w:p w14:paraId="20D8A003" w14:textId="447DA5C7" w:rsidR="000270E7" w:rsidRPr="00AE7523" w:rsidRDefault="000270E7" w:rsidP="00FF0531">
            <w:pPr>
              <w:rPr>
                <w:rFonts w:ascii="Calibri" w:hAnsi="Calibri" w:cs="Calibri"/>
                <w:sz w:val="20"/>
                <w:szCs w:val="20"/>
              </w:rPr>
            </w:pPr>
            <w:r>
              <w:rPr>
                <w:rFonts w:ascii="Calibri" w:hAnsi="Calibri" w:cs="Calibri"/>
                <w:sz w:val="20"/>
                <w:szCs w:val="20"/>
              </w:rPr>
              <w:t>Men</w:t>
            </w:r>
          </w:p>
        </w:tc>
        <w:tc>
          <w:tcPr>
            <w:tcW w:w="1276" w:type="dxa"/>
          </w:tcPr>
          <w:p w14:paraId="7B753253" w14:textId="1FDC345D" w:rsidR="000270E7" w:rsidRPr="00AE7523" w:rsidRDefault="000270E7" w:rsidP="00FF0531">
            <w:pPr>
              <w:rPr>
                <w:rFonts w:ascii="Calibri" w:hAnsi="Calibri" w:cs="Calibri"/>
                <w:sz w:val="20"/>
                <w:szCs w:val="20"/>
              </w:rPr>
            </w:pPr>
            <w:r>
              <w:rPr>
                <w:rFonts w:ascii="Calibri" w:hAnsi="Calibri" w:cs="Calibri"/>
                <w:sz w:val="20"/>
                <w:szCs w:val="20"/>
              </w:rPr>
              <w:t>Women</w:t>
            </w:r>
          </w:p>
        </w:tc>
      </w:tr>
      <w:tr w:rsidR="000270E7" w:rsidRPr="00866347" w14:paraId="120266A4" w14:textId="77777777" w:rsidTr="00302CAD">
        <w:tc>
          <w:tcPr>
            <w:tcW w:w="3544" w:type="dxa"/>
          </w:tcPr>
          <w:p w14:paraId="1A5FB161" w14:textId="77777777" w:rsidR="000270E7" w:rsidRPr="00DA1DB4" w:rsidRDefault="000270E7" w:rsidP="00FF0531">
            <w:pPr>
              <w:rPr>
                <w:rFonts w:ascii="Calibri" w:eastAsia="Aptos" w:hAnsi="Calibri" w:cs="Calibri"/>
                <w:sz w:val="20"/>
                <w:szCs w:val="20"/>
                <w:lang w:eastAsia="en-US"/>
              </w:rPr>
            </w:pPr>
          </w:p>
        </w:tc>
        <w:tc>
          <w:tcPr>
            <w:tcW w:w="1276" w:type="dxa"/>
          </w:tcPr>
          <w:p w14:paraId="6424878A" w14:textId="45C30090" w:rsidR="000270E7" w:rsidRPr="00AE7523" w:rsidRDefault="000270E7" w:rsidP="00FF0531">
            <w:pPr>
              <w:rPr>
                <w:rFonts w:ascii="Calibri" w:eastAsia="Aptos" w:hAnsi="Calibri" w:cs="Calibri"/>
                <w:sz w:val="20"/>
                <w:szCs w:val="20"/>
                <w:lang w:eastAsia="en-US"/>
              </w:rPr>
            </w:pPr>
            <w:r>
              <w:rPr>
                <w:rFonts w:ascii="Calibri" w:hAnsi="Calibri" w:cs="Calibri"/>
                <w:sz w:val="20"/>
                <w:szCs w:val="20"/>
              </w:rPr>
              <w:t>403</w:t>
            </w:r>
          </w:p>
        </w:tc>
        <w:tc>
          <w:tcPr>
            <w:tcW w:w="1276" w:type="dxa"/>
          </w:tcPr>
          <w:p w14:paraId="6870A6E7" w14:textId="7DDBAE72" w:rsidR="000270E7" w:rsidRPr="00AE7523" w:rsidRDefault="000270E7" w:rsidP="00FF0531">
            <w:pPr>
              <w:rPr>
                <w:rFonts w:ascii="Calibri" w:eastAsia="Aptos" w:hAnsi="Calibri" w:cs="Calibri"/>
                <w:sz w:val="20"/>
                <w:szCs w:val="20"/>
                <w:lang w:eastAsia="en-US"/>
              </w:rPr>
            </w:pPr>
            <w:r>
              <w:rPr>
                <w:rFonts w:ascii="Calibri" w:eastAsia="Aptos" w:hAnsi="Calibri" w:cs="Calibri"/>
                <w:sz w:val="20"/>
                <w:szCs w:val="20"/>
                <w:lang w:eastAsia="en-US"/>
              </w:rPr>
              <w:t>454</w:t>
            </w:r>
          </w:p>
        </w:tc>
        <w:tc>
          <w:tcPr>
            <w:tcW w:w="283" w:type="dxa"/>
          </w:tcPr>
          <w:p w14:paraId="44BFC9BA" w14:textId="6AB012C9" w:rsidR="000270E7" w:rsidRPr="00AE7523" w:rsidRDefault="000270E7" w:rsidP="00FF0531">
            <w:pPr>
              <w:rPr>
                <w:rFonts w:ascii="Calibri" w:eastAsia="Aptos" w:hAnsi="Calibri" w:cs="Calibri"/>
                <w:sz w:val="20"/>
                <w:szCs w:val="20"/>
                <w:lang w:eastAsia="en-US"/>
              </w:rPr>
            </w:pPr>
          </w:p>
        </w:tc>
        <w:tc>
          <w:tcPr>
            <w:tcW w:w="1418" w:type="dxa"/>
          </w:tcPr>
          <w:p w14:paraId="0CAACE4C" w14:textId="1DCF2CBF" w:rsidR="000270E7" w:rsidRPr="00AE7523" w:rsidRDefault="000270E7" w:rsidP="00FF0531">
            <w:pPr>
              <w:rPr>
                <w:rFonts w:ascii="Calibri" w:eastAsia="Aptos" w:hAnsi="Calibri" w:cs="Calibri"/>
                <w:sz w:val="20"/>
                <w:szCs w:val="20"/>
                <w:lang w:eastAsia="en-US"/>
              </w:rPr>
            </w:pPr>
            <w:r>
              <w:rPr>
                <w:rFonts w:ascii="Calibri" w:eastAsia="Aptos" w:hAnsi="Calibri" w:cs="Calibri"/>
                <w:sz w:val="20"/>
                <w:szCs w:val="20"/>
                <w:lang w:eastAsia="en-US"/>
              </w:rPr>
              <w:t>204</w:t>
            </w:r>
          </w:p>
        </w:tc>
        <w:tc>
          <w:tcPr>
            <w:tcW w:w="1276" w:type="dxa"/>
          </w:tcPr>
          <w:p w14:paraId="461E4323" w14:textId="72C0C375" w:rsidR="000270E7" w:rsidRPr="00AE7523" w:rsidRDefault="000270E7" w:rsidP="00FF0531">
            <w:pPr>
              <w:rPr>
                <w:rFonts w:ascii="Calibri" w:eastAsia="Aptos" w:hAnsi="Calibri" w:cs="Calibri"/>
                <w:sz w:val="20"/>
                <w:szCs w:val="20"/>
                <w:lang w:eastAsia="en-US"/>
              </w:rPr>
            </w:pPr>
            <w:r>
              <w:rPr>
                <w:rFonts w:ascii="Calibri" w:hAnsi="Calibri" w:cs="Calibri"/>
                <w:sz w:val="20"/>
                <w:szCs w:val="20"/>
              </w:rPr>
              <w:t>287</w:t>
            </w:r>
          </w:p>
        </w:tc>
      </w:tr>
      <w:tr w:rsidR="000270E7" w:rsidRPr="00866347" w14:paraId="3E6DE660" w14:textId="77777777" w:rsidTr="00302CAD">
        <w:tc>
          <w:tcPr>
            <w:tcW w:w="3544" w:type="dxa"/>
          </w:tcPr>
          <w:p w14:paraId="01285BA7" w14:textId="768F5548" w:rsidR="000270E7" w:rsidRPr="00DA1DB4" w:rsidRDefault="000270E7" w:rsidP="001A7134">
            <w:pPr>
              <w:rPr>
                <w:rFonts w:ascii="Calibri" w:eastAsia="Aptos" w:hAnsi="Calibri" w:cs="Calibri"/>
                <w:sz w:val="20"/>
                <w:szCs w:val="20"/>
                <w:lang w:eastAsia="en-US"/>
              </w:rPr>
            </w:pPr>
            <w:r w:rsidRPr="00DA1DB4">
              <w:rPr>
                <w:rFonts w:ascii="Calibri" w:eastAsia="Aptos" w:hAnsi="Calibri" w:cs="Calibri"/>
                <w:sz w:val="20"/>
                <w:szCs w:val="20"/>
                <w:lang w:eastAsia="en-US"/>
              </w:rPr>
              <w:t>Age (years)</w:t>
            </w:r>
            <w:r>
              <w:rPr>
                <w:rFonts w:ascii="Calibri" w:eastAsia="Aptos" w:hAnsi="Calibri" w:cs="Calibri"/>
                <w:sz w:val="20"/>
                <w:szCs w:val="20"/>
                <w:lang w:eastAsia="en-US"/>
              </w:rPr>
              <w:t xml:space="preserve"> – mean (SD)</w:t>
            </w:r>
          </w:p>
        </w:tc>
        <w:tc>
          <w:tcPr>
            <w:tcW w:w="1276" w:type="dxa"/>
            <w:tcBorders>
              <w:top w:val="single" w:sz="4" w:space="0" w:color="auto"/>
              <w:left w:val="single" w:sz="4" w:space="0" w:color="auto"/>
              <w:bottom w:val="single" w:sz="4" w:space="0" w:color="auto"/>
              <w:right w:val="single" w:sz="4" w:space="0" w:color="auto"/>
            </w:tcBorders>
          </w:tcPr>
          <w:p w14:paraId="0450C062" w14:textId="51A8B04F" w:rsidR="000270E7" w:rsidRPr="00AE7523" w:rsidRDefault="000270E7" w:rsidP="001A7134">
            <w:pPr>
              <w:rPr>
                <w:rFonts w:ascii="Calibri" w:eastAsia="Aptos" w:hAnsi="Calibri" w:cs="Calibri"/>
                <w:sz w:val="20"/>
                <w:szCs w:val="20"/>
                <w:lang w:eastAsia="en-US"/>
              </w:rPr>
            </w:pPr>
            <w:r>
              <w:rPr>
                <w:rFonts w:ascii="Calibri" w:hAnsi="Calibri" w:cs="Calibri"/>
                <w:sz w:val="20"/>
                <w:szCs w:val="20"/>
              </w:rPr>
              <w:t>51.6 (10.4)</w:t>
            </w:r>
          </w:p>
        </w:tc>
        <w:tc>
          <w:tcPr>
            <w:tcW w:w="1276" w:type="dxa"/>
          </w:tcPr>
          <w:p w14:paraId="28F1113F" w14:textId="284A23E6" w:rsidR="000270E7" w:rsidRPr="00AE7523" w:rsidRDefault="000270E7" w:rsidP="001A7134">
            <w:pPr>
              <w:rPr>
                <w:rFonts w:ascii="Calibri" w:eastAsia="Aptos" w:hAnsi="Calibri" w:cs="Calibri"/>
                <w:sz w:val="20"/>
                <w:szCs w:val="20"/>
                <w:lang w:eastAsia="en-US"/>
              </w:rPr>
            </w:pPr>
            <w:r w:rsidRPr="00CA3A3D">
              <w:rPr>
                <w:rFonts w:ascii="Calibri" w:hAnsi="Calibri" w:cs="Calibri"/>
                <w:sz w:val="20"/>
                <w:szCs w:val="20"/>
              </w:rPr>
              <w:t>53.9</w:t>
            </w:r>
            <w:r>
              <w:rPr>
                <w:rFonts w:ascii="Calibri" w:hAnsi="Calibri" w:cs="Calibri"/>
                <w:sz w:val="20"/>
                <w:szCs w:val="20"/>
              </w:rPr>
              <w:t xml:space="preserve"> (10.0)</w:t>
            </w:r>
          </w:p>
        </w:tc>
        <w:tc>
          <w:tcPr>
            <w:tcW w:w="283" w:type="dxa"/>
          </w:tcPr>
          <w:p w14:paraId="432F7237" w14:textId="2B727A80" w:rsidR="000270E7" w:rsidRPr="00AE7523" w:rsidRDefault="000270E7" w:rsidP="001A7134">
            <w:pPr>
              <w:rPr>
                <w:rFonts w:ascii="Calibri" w:eastAsia="Aptos" w:hAnsi="Calibri" w:cs="Calibri"/>
                <w:sz w:val="20"/>
                <w:szCs w:val="20"/>
                <w:lang w:eastAsia="en-US"/>
              </w:rPr>
            </w:pPr>
          </w:p>
        </w:tc>
        <w:tc>
          <w:tcPr>
            <w:tcW w:w="1418" w:type="dxa"/>
          </w:tcPr>
          <w:p w14:paraId="0E3D77BF" w14:textId="39AA1786"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60.1</w:t>
            </w:r>
            <w:r>
              <w:rPr>
                <w:rFonts w:ascii="Calibri" w:hAnsi="Calibri" w:cs="Calibri"/>
                <w:sz w:val="20"/>
                <w:szCs w:val="20"/>
              </w:rPr>
              <w:t xml:space="preserve"> (7.5)</w:t>
            </w:r>
          </w:p>
        </w:tc>
        <w:tc>
          <w:tcPr>
            <w:tcW w:w="1276" w:type="dxa"/>
          </w:tcPr>
          <w:p w14:paraId="72A85265" w14:textId="79A11D00"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59.3</w:t>
            </w:r>
            <w:r>
              <w:rPr>
                <w:rFonts w:ascii="Calibri" w:hAnsi="Calibri" w:cs="Calibri"/>
                <w:sz w:val="20"/>
                <w:szCs w:val="20"/>
              </w:rPr>
              <w:t xml:space="preserve"> (7.8)</w:t>
            </w:r>
          </w:p>
        </w:tc>
      </w:tr>
      <w:tr w:rsidR="000270E7" w:rsidRPr="00866347" w14:paraId="401E9FC6" w14:textId="77777777" w:rsidTr="00302CAD">
        <w:tc>
          <w:tcPr>
            <w:tcW w:w="3544" w:type="dxa"/>
          </w:tcPr>
          <w:p w14:paraId="192BCA1E" w14:textId="11FB9B20" w:rsidR="000270E7" w:rsidRPr="00DA1DB4" w:rsidRDefault="000270E7" w:rsidP="001A7134">
            <w:pPr>
              <w:rPr>
                <w:rFonts w:ascii="Calibri" w:eastAsia="Aptos" w:hAnsi="Calibri" w:cs="Calibri"/>
                <w:sz w:val="20"/>
                <w:szCs w:val="20"/>
                <w:lang w:eastAsia="en-US"/>
              </w:rPr>
            </w:pPr>
            <w:r w:rsidRPr="00DA1DB4">
              <w:rPr>
                <w:rFonts w:ascii="Calibri" w:eastAsia="Aptos" w:hAnsi="Calibri" w:cs="Calibri"/>
                <w:sz w:val="20"/>
                <w:szCs w:val="20"/>
                <w:lang w:eastAsia="en-US"/>
              </w:rPr>
              <w:t>BMI (kg/m</w:t>
            </w:r>
            <w:r w:rsidRPr="00DA1DB4">
              <w:rPr>
                <w:rFonts w:ascii="Calibri" w:eastAsia="Aptos" w:hAnsi="Calibri" w:cs="Calibri"/>
                <w:sz w:val="20"/>
                <w:szCs w:val="20"/>
                <w:vertAlign w:val="superscript"/>
                <w:lang w:eastAsia="en-US"/>
              </w:rPr>
              <w:t>2</w:t>
            </w:r>
            <w:r w:rsidRPr="00DA1DB4">
              <w:rPr>
                <w:rFonts w:ascii="Calibri" w:eastAsia="Aptos" w:hAnsi="Calibri" w:cs="Calibri"/>
                <w:sz w:val="20"/>
                <w:szCs w:val="20"/>
                <w:lang w:eastAsia="en-US"/>
              </w:rPr>
              <w:t>)</w:t>
            </w:r>
            <w:r>
              <w:rPr>
                <w:rFonts w:ascii="Calibri" w:eastAsia="Aptos" w:hAnsi="Calibri" w:cs="Calibri"/>
                <w:sz w:val="20"/>
                <w:szCs w:val="20"/>
                <w:lang w:eastAsia="en-US"/>
              </w:rPr>
              <w:t xml:space="preserve"> – mean (SD)</w:t>
            </w:r>
          </w:p>
        </w:tc>
        <w:tc>
          <w:tcPr>
            <w:tcW w:w="1276" w:type="dxa"/>
            <w:tcBorders>
              <w:top w:val="single" w:sz="4" w:space="0" w:color="auto"/>
              <w:left w:val="single" w:sz="4" w:space="0" w:color="auto"/>
              <w:bottom w:val="single" w:sz="4" w:space="0" w:color="auto"/>
              <w:right w:val="single" w:sz="4" w:space="0" w:color="auto"/>
            </w:tcBorders>
          </w:tcPr>
          <w:p w14:paraId="3FF5A130" w14:textId="382A42D0" w:rsidR="000270E7" w:rsidRPr="00AE7523" w:rsidRDefault="000270E7" w:rsidP="001A7134">
            <w:pPr>
              <w:rPr>
                <w:rFonts w:ascii="Calibri" w:eastAsia="Aptos" w:hAnsi="Calibri" w:cs="Calibri"/>
                <w:sz w:val="20"/>
                <w:szCs w:val="20"/>
                <w:lang w:eastAsia="en-US"/>
              </w:rPr>
            </w:pPr>
            <w:r>
              <w:rPr>
                <w:rFonts w:ascii="Calibri" w:hAnsi="Calibri" w:cs="Calibri"/>
                <w:sz w:val="20"/>
                <w:szCs w:val="20"/>
              </w:rPr>
              <w:t>26.8 (4.6)</w:t>
            </w:r>
          </w:p>
        </w:tc>
        <w:tc>
          <w:tcPr>
            <w:tcW w:w="1276" w:type="dxa"/>
          </w:tcPr>
          <w:p w14:paraId="4D35826E" w14:textId="697DA868" w:rsidR="000270E7" w:rsidRPr="00AE7523" w:rsidRDefault="000270E7" w:rsidP="001A7134">
            <w:pPr>
              <w:rPr>
                <w:rFonts w:ascii="Calibri" w:eastAsia="Aptos" w:hAnsi="Calibri" w:cs="Calibri"/>
                <w:sz w:val="20"/>
                <w:szCs w:val="20"/>
                <w:lang w:eastAsia="en-US"/>
              </w:rPr>
            </w:pPr>
            <w:r w:rsidRPr="00CA3A3D">
              <w:rPr>
                <w:rFonts w:ascii="Calibri" w:hAnsi="Calibri" w:cs="Calibri"/>
                <w:sz w:val="20"/>
                <w:szCs w:val="20"/>
              </w:rPr>
              <w:t>27.3</w:t>
            </w:r>
            <w:r>
              <w:rPr>
                <w:rFonts w:ascii="Calibri" w:hAnsi="Calibri" w:cs="Calibri"/>
                <w:sz w:val="20"/>
                <w:szCs w:val="20"/>
              </w:rPr>
              <w:t xml:space="preserve"> (4.9)</w:t>
            </w:r>
          </w:p>
        </w:tc>
        <w:tc>
          <w:tcPr>
            <w:tcW w:w="283" w:type="dxa"/>
          </w:tcPr>
          <w:p w14:paraId="18D9A78E" w14:textId="61D24834" w:rsidR="000270E7" w:rsidRPr="00AE7523" w:rsidRDefault="000270E7" w:rsidP="001A7134">
            <w:pPr>
              <w:rPr>
                <w:rFonts w:ascii="Calibri" w:eastAsia="Aptos" w:hAnsi="Calibri" w:cs="Calibri"/>
                <w:sz w:val="20"/>
                <w:szCs w:val="20"/>
                <w:lang w:eastAsia="en-US"/>
              </w:rPr>
            </w:pPr>
          </w:p>
        </w:tc>
        <w:tc>
          <w:tcPr>
            <w:tcW w:w="1418" w:type="dxa"/>
          </w:tcPr>
          <w:p w14:paraId="70FDB425" w14:textId="35078AF1"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26.5</w:t>
            </w:r>
            <w:r>
              <w:rPr>
                <w:rFonts w:ascii="Calibri" w:hAnsi="Calibri" w:cs="Calibri"/>
                <w:sz w:val="20"/>
                <w:szCs w:val="20"/>
              </w:rPr>
              <w:t xml:space="preserve"> (4.4)</w:t>
            </w:r>
          </w:p>
        </w:tc>
        <w:tc>
          <w:tcPr>
            <w:tcW w:w="1276" w:type="dxa"/>
          </w:tcPr>
          <w:p w14:paraId="023B8309" w14:textId="73430FCA"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27.5</w:t>
            </w:r>
            <w:r>
              <w:rPr>
                <w:rFonts w:ascii="Calibri" w:hAnsi="Calibri" w:cs="Calibri"/>
                <w:sz w:val="20"/>
                <w:szCs w:val="20"/>
              </w:rPr>
              <w:t xml:space="preserve"> (5.0)</w:t>
            </w:r>
          </w:p>
        </w:tc>
      </w:tr>
      <w:tr w:rsidR="000270E7" w:rsidRPr="00866347" w14:paraId="6F337079" w14:textId="77777777" w:rsidTr="00302CAD">
        <w:tc>
          <w:tcPr>
            <w:tcW w:w="3544" w:type="dxa"/>
          </w:tcPr>
          <w:p w14:paraId="71E44EEA" w14:textId="03DBDDBD" w:rsidR="000270E7" w:rsidRPr="00DA1DB4" w:rsidRDefault="008A007A" w:rsidP="001A7134">
            <w:pPr>
              <w:rPr>
                <w:rFonts w:ascii="Calibri" w:eastAsia="Aptos" w:hAnsi="Calibri" w:cs="Calibri"/>
                <w:sz w:val="20"/>
                <w:szCs w:val="20"/>
                <w:lang w:eastAsia="en-US"/>
              </w:rPr>
            </w:pPr>
            <w:r>
              <w:rPr>
                <w:rFonts w:ascii="Calibri" w:eastAsia="Aptos" w:hAnsi="Calibri" w:cs="Calibri"/>
                <w:sz w:val="20"/>
                <w:szCs w:val="20"/>
                <w:lang w:eastAsia="en-US"/>
              </w:rPr>
              <w:t xml:space="preserve">Hand </w:t>
            </w:r>
            <w:r w:rsidRPr="00DA1DB4">
              <w:rPr>
                <w:rFonts w:ascii="Calibri" w:eastAsia="Aptos" w:hAnsi="Calibri" w:cs="Calibri"/>
                <w:sz w:val="20"/>
                <w:szCs w:val="20"/>
                <w:lang w:eastAsia="en-US"/>
              </w:rPr>
              <w:t>BMD</w:t>
            </w:r>
            <w:r w:rsidR="000270E7" w:rsidRPr="00DA1DB4">
              <w:rPr>
                <w:rFonts w:ascii="Calibri" w:eastAsia="Aptos" w:hAnsi="Calibri" w:cs="Calibri"/>
                <w:sz w:val="20"/>
                <w:szCs w:val="20"/>
                <w:lang w:eastAsia="en-US"/>
              </w:rPr>
              <w:t xml:space="preserve"> </w:t>
            </w:r>
            <w:r w:rsidR="000270E7">
              <w:rPr>
                <w:rFonts w:ascii="Calibri" w:eastAsia="Aptos" w:hAnsi="Calibri" w:cs="Calibri"/>
                <w:sz w:val="20"/>
                <w:szCs w:val="20"/>
                <w:lang w:eastAsia="en-US"/>
              </w:rPr>
              <w:t>T</w:t>
            </w:r>
            <w:r w:rsidR="000270E7" w:rsidRPr="00DA1DB4">
              <w:rPr>
                <w:rFonts w:ascii="Calibri" w:eastAsia="Aptos" w:hAnsi="Calibri" w:cs="Calibri"/>
                <w:sz w:val="20"/>
                <w:szCs w:val="20"/>
                <w:lang w:eastAsia="en-US"/>
              </w:rPr>
              <w:t>-score</w:t>
            </w:r>
            <w:r w:rsidR="000270E7">
              <w:rPr>
                <w:rFonts w:ascii="Calibri" w:eastAsia="Aptos" w:hAnsi="Calibri" w:cs="Calibri"/>
                <w:sz w:val="20"/>
                <w:szCs w:val="20"/>
                <w:lang w:eastAsia="en-US"/>
              </w:rPr>
              <w:t xml:space="preserve"> </w:t>
            </w:r>
            <w:r w:rsidR="000270E7" w:rsidRPr="00412E7F">
              <w:rPr>
                <w:rFonts w:ascii="Calibri" w:eastAsia="Aptos" w:hAnsi="Calibri" w:cs="Calibri"/>
                <w:sz w:val="20"/>
                <w:szCs w:val="20"/>
                <w:lang w:eastAsia="en-US"/>
              </w:rPr>
              <w:t>– mean (SD)</w:t>
            </w:r>
          </w:p>
        </w:tc>
        <w:tc>
          <w:tcPr>
            <w:tcW w:w="1276" w:type="dxa"/>
            <w:tcBorders>
              <w:top w:val="single" w:sz="4" w:space="0" w:color="auto"/>
              <w:left w:val="single" w:sz="4" w:space="0" w:color="auto"/>
              <w:bottom w:val="single" w:sz="4" w:space="0" w:color="auto"/>
              <w:right w:val="single" w:sz="4" w:space="0" w:color="auto"/>
            </w:tcBorders>
          </w:tcPr>
          <w:p w14:paraId="5EB44BA3" w14:textId="1095AE10" w:rsidR="000270E7" w:rsidRPr="00AE7523" w:rsidRDefault="000270E7" w:rsidP="001A7134">
            <w:pPr>
              <w:rPr>
                <w:rFonts w:ascii="Calibri" w:eastAsia="Aptos" w:hAnsi="Calibri" w:cs="Calibri"/>
                <w:sz w:val="20"/>
                <w:szCs w:val="20"/>
                <w:lang w:eastAsia="en-US"/>
              </w:rPr>
            </w:pPr>
            <w:r>
              <w:rPr>
                <w:rFonts w:ascii="Calibri" w:hAnsi="Calibri" w:cs="Calibri"/>
                <w:sz w:val="20"/>
                <w:szCs w:val="20"/>
              </w:rPr>
              <w:t>-1.81 (1.66)</w:t>
            </w:r>
          </w:p>
        </w:tc>
        <w:tc>
          <w:tcPr>
            <w:tcW w:w="1276" w:type="dxa"/>
          </w:tcPr>
          <w:p w14:paraId="45C683F5" w14:textId="2C4D92C7" w:rsidR="000270E7" w:rsidRPr="00AE7523" w:rsidRDefault="000270E7" w:rsidP="001A7134">
            <w:pPr>
              <w:rPr>
                <w:rFonts w:ascii="Calibri" w:eastAsia="Aptos" w:hAnsi="Calibri" w:cs="Calibri"/>
                <w:sz w:val="20"/>
                <w:szCs w:val="20"/>
                <w:lang w:eastAsia="en-US"/>
              </w:rPr>
            </w:pPr>
            <w:r>
              <w:rPr>
                <w:rFonts w:ascii="Calibri" w:hAnsi="Calibri" w:cs="Calibri"/>
                <w:sz w:val="20"/>
                <w:szCs w:val="20"/>
              </w:rPr>
              <w:t>-1.92 (1.55)</w:t>
            </w:r>
          </w:p>
        </w:tc>
        <w:tc>
          <w:tcPr>
            <w:tcW w:w="283" w:type="dxa"/>
          </w:tcPr>
          <w:p w14:paraId="6BC11C60" w14:textId="5B28EC93" w:rsidR="000270E7" w:rsidRPr="00AE7523" w:rsidRDefault="000270E7" w:rsidP="001A7134">
            <w:pPr>
              <w:rPr>
                <w:rFonts w:ascii="Calibri" w:eastAsia="Aptos" w:hAnsi="Calibri" w:cs="Calibri"/>
                <w:sz w:val="20"/>
                <w:szCs w:val="20"/>
                <w:lang w:eastAsia="en-US"/>
              </w:rPr>
            </w:pPr>
          </w:p>
        </w:tc>
        <w:tc>
          <w:tcPr>
            <w:tcW w:w="1418" w:type="dxa"/>
          </w:tcPr>
          <w:p w14:paraId="6A6A8EED" w14:textId="5B3BDFC9"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-2.28</w:t>
            </w:r>
            <w:r>
              <w:rPr>
                <w:rFonts w:ascii="Calibri" w:hAnsi="Calibri" w:cs="Calibri"/>
                <w:sz w:val="20"/>
                <w:szCs w:val="20"/>
              </w:rPr>
              <w:t xml:space="preserve"> (1.66)</w:t>
            </w:r>
          </w:p>
        </w:tc>
        <w:tc>
          <w:tcPr>
            <w:tcW w:w="1276" w:type="dxa"/>
          </w:tcPr>
          <w:p w14:paraId="5682B3AA" w14:textId="15102F7E" w:rsidR="000270E7" w:rsidRPr="00AE7523" w:rsidRDefault="000270E7" w:rsidP="001A7134">
            <w:pPr>
              <w:rPr>
                <w:rFonts w:ascii="Calibri" w:eastAsia="Aptos" w:hAnsi="Calibri" w:cs="Calibri"/>
                <w:sz w:val="20"/>
                <w:szCs w:val="20"/>
                <w:lang w:eastAsia="en-US"/>
              </w:rPr>
            </w:pPr>
            <w:r w:rsidRPr="00136552">
              <w:rPr>
                <w:rFonts w:ascii="Calibri" w:hAnsi="Calibri" w:cs="Calibri"/>
                <w:sz w:val="20"/>
                <w:szCs w:val="20"/>
              </w:rPr>
              <w:t>-2.39</w:t>
            </w:r>
            <w:r>
              <w:rPr>
                <w:rFonts w:ascii="Calibri" w:hAnsi="Calibri" w:cs="Calibri"/>
                <w:sz w:val="20"/>
                <w:szCs w:val="20"/>
              </w:rPr>
              <w:t xml:space="preserve"> (1.41)</w:t>
            </w:r>
          </w:p>
        </w:tc>
      </w:tr>
      <w:tr w:rsidR="000270E7" w:rsidRPr="00866347" w14:paraId="61E6F670" w14:textId="77777777" w:rsidTr="00302CAD">
        <w:tc>
          <w:tcPr>
            <w:tcW w:w="3544" w:type="dxa"/>
          </w:tcPr>
          <w:p w14:paraId="236ECB7E" w14:textId="54892B4F"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Previous fractur</w:t>
            </w:r>
            <w:r>
              <w:rPr>
                <w:rFonts w:ascii="Calibri" w:eastAsia="Aptos" w:hAnsi="Calibri" w:cs="Calibri"/>
                <w:sz w:val="20"/>
                <w:szCs w:val="20"/>
                <w:lang w:eastAsia="en-US"/>
              </w:rPr>
              <w:t>e – n (%)</w:t>
            </w:r>
          </w:p>
        </w:tc>
        <w:tc>
          <w:tcPr>
            <w:tcW w:w="1276" w:type="dxa"/>
          </w:tcPr>
          <w:p w14:paraId="6C816C39" w14:textId="00C5FED6"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158</w:t>
            </w:r>
            <w:r>
              <w:rPr>
                <w:rFonts w:ascii="Calibri" w:hAnsi="Calibri" w:cs="Calibri"/>
                <w:sz w:val="20"/>
                <w:szCs w:val="20"/>
              </w:rPr>
              <w:t xml:space="preserve"> (39)</w:t>
            </w:r>
          </w:p>
        </w:tc>
        <w:tc>
          <w:tcPr>
            <w:tcW w:w="1276" w:type="dxa"/>
            <w:tcBorders>
              <w:top w:val="single" w:sz="4" w:space="0" w:color="auto"/>
              <w:left w:val="single" w:sz="4" w:space="0" w:color="auto"/>
              <w:bottom w:val="single" w:sz="4" w:space="0" w:color="auto"/>
              <w:right w:val="single" w:sz="4" w:space="0" w:color="auto"/>
            </w:tcBorders>
          </w:tcPr>
          <w:p w14:paraId="3C21C38A" w14:textId="37DBEDF7" w:rsidR="000270E7" w:rsidRPr="00AE7523" w:rsidRDefault="000270E7" w:rsidP="00BB7601">
            <w:pPr>
              <w:rPr>
                <w:rFonts w:ascii="Calibri" w:eastAsia="Aptos" w:hAnsi="Calibri" w:cs="Calibri"/>
                <w:sz w:val="20"/>
                <w:szCs w:val="20"/>
                <w:lang w:eastAsia="en-US"/>
              </w:rPr>
            </w:pPr>
            <w:r>
              <w:rPr>
                <w:rFonts w:ascii="Calibri" w:hAnsi="Calibri" w:cs="Calibri"/>
                <w:sz w:val="20"/>
                <w:szCs w:val="20"/>
              </w:rPr>
              <w:t>140 (31)</w:t>
            </w:r>
          </w:p>
        </w:tc>
        <w:tc>
          <w:tcPr>
            <w:tcW w:w="283" w:type="dxa"/>
            <w:tcBorders>
              <w:top w:val="single" w:sz="4" w:space="0" w:color="auto"/>
              <w:left w:val="single" w:sz="4" w:space="0" w:color="auto"/>
              <w:bottom w:val="single" w:sz="4" w:space="0" w:color="auto"/>
              <w:right w:val="single" w:sz="4" w:space="0" w:color="auto"/>
            </w:tcBorders>
          </w:tcPr>
          <w:p w14:paraId="76575048" w14:textId="4C089CA4" w:rsidR="000270E7" w:rsidRPr="00AE7523" w:rsidRDefault="000270E7" w:rsidP="00BB7601">
            <w:pPr>
              <w:rPr>
                <w:rFonts w:ascii="Calibri" w:eastAsia="Aptos" w:hAnsi="Calibri" w:cs="Calibri"/>
                <w:sz w:val="20"/>
                <w:szCs w:val="20"/>
                <w:lang w:eastAsia="en-US"/>
              </w:rPr>
            </w:pPr>
          </w:p>
        </w:tc>
        <w:tc>
          <w:tcPr>
            <w:tcW w:w="1418" w:type="dxa"/>
          </w:tcPr>
          <w:p w14:paraId="0EAFE17B" w14:textId="4F3176EB" w:rsidR="000270E7" w:rsidRPr="00AE7523" w:rsidRDefault="000270E7" w:rsidP="00BB7601">
            <w:pPr>
              <w:rPr>
                <w:rFonts w:ascii="Calibri" w:eastAsia="Aptos" w:hAnsi="Calibri" w:cs="Calibri"/>
                <w:sz w:val="20"/>
                <w:szCs w:val="20"/>
                <w:lang w:eastAsia="en-US"/>
              </w:rPr>
            </w:pPr>
            <w:r w:rsidRPr="006466DF">
              <w:rPr>
                <w:rFonts w:ascii="Calibri" w:hAnsi="Calibri" w:cs="Calibri"/>
                <w:sz w:val="20"/>
                <w:szCs w:val="20"/>
              </w:rPr>
              <w:t>95</w:t>
            </w:r>
            <w:r>
              <w:rPr>
                <w:rFonts w:ascii="Calibri" w:hAnsi="Calibri" w:cs="Calibri"/>
                <w:sz w:val="20"/>
                <w:szCs w:val="20"/>
              </w:rPr>
              <w:t xml:space="preserve"> (47)</w:t>
            </w:r>
          </w:p>
        </w:tc>
        <w:tc>
          <w:tcPr>
            <w:tcW w:w="1276" w:type="dxa"/>
          </w:tcPr>
          <w:p w14:paraId="54E7F676" w14:textId="643EFD73"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102</w:t>
            </w:r>
            <w:r>
              <w:rPr>
                <w:rFonts w:ascii="Calibri" w:hAnsi="Calibri" w:cs="Calibri"/>
                <w:sz w:val="20"/>
                <w:szCs w:val="20"/>
              </w:rPr>
              <w:t xml:space="preserve"> (36)</w:t>
            </w:r>
          </w:p>
        </w:tc>
      </w:tr>
      <w:tr w:rsidR="000270E7" w:rsidRPr="00866347" w14:paraId="3E0AF91D" w14:textId="77777777" w:rsidTr="00302CAD">
        <w:tc>
          <w:tcPr>
            <w:tcW w:w="3544" w:type="dxa"/>
          </w:tcPr>
          <w:p w14:paraId="74892444" w14:textId="3CBE0FB3" w:rsidR="000270E7" w:rsidRPr="00DA1DB4" w:rsidRDefault="000270E7" w:rsidP="00BB7601">
            <w:pPr>
              <w:rPr>
                <w:rFonts w:ascii="Calibri" w:eastAsia="Aptos" w:hAnsi="Calibri" w:cs="Calibri"/>
                <w:sz w:val="20"/>
                <w:szCs w:val="20"/>
                <w:lang w:eastAsia="en-US"/>
              </w:rPr>
            </w:pPr>
            <w:bookmarkStart w:id="5" w:name="_Hlk175737460"/>
            <w:r w:rsidRPr="00DA1DB4">
              <w:rPr>
                <w:rFonts w:ascii="Calibri" w:eastAsia="Aptos" w:hAnsi="Calibri" w:cs="Calibri"/>
                <w:sz w:val="20"/>
                <w:szCs w:val="20"/>
                <w:lang w:eastAsia="en-US"/>
              </w:rPr>
              <w:t>Parental history of hip fracture</w:t>
            </w:r>
            <w:r>
              <w:rPr>
                <w:rFonts w:ascii="Calibri" w:eastAsia="Aptos" w:hAnsi="Calibri" w:cs="Calibri"/>
                <w:sz w:val="20"/>
                <w:szCs w:val="20"/>
                <w:lang w:eastAsia="en-US"/>
              </w:rPr>
              <w:t xml:space="preserve"> </w:t>
            </w:r>
            <w:r w:rsidRPr="00F73706">
              <w:rPr>
                <w:rFonts w:ascii="Calibri" w:eastAsia="Aptos" w:hAnsi="Calibri" w:cs="Calibri"/>
                <w:sz w:val="20"/>
                <w:szCs w:val="20"/>
                <w:lang w:eastAsia="en-US"/>
              </w:rPr>
              <w:t>– n (%)</w:t>
            </w:r>
          </w:p>
        </w:tc>
        <w:tc>
          <w:tcPr>
            <w:tcW w:w="1276" w:type="dxa"/>
          </w:tcPr>
          <w:p w14:paraId="4C412F07" w14:textId="4F783AD7"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106</w:t>
            </w:r>
            <w:r>
              <w:rPr>
                <w:rFonts w:ascii="Calibri" w:hAnsi="Calibri" w:cs="Calibri"/>
                <w:sz w:val="20"/>
                <w:szCs w:val="20"/>
              </w:rPr>
              <w:t xml:space="preserve"> (26)</w:t>
            </w:r>
          </w:p>
        </w:tc>
        <w:tc>
          <w:tcPr>
            <w:tcW w:w="1276" w:type="dxa"/>
            <w:tcBorders>
              <w:top w:val="single" w:sz="4" w:space="0" w:color="auto"/>
              <w:left w:val="single" w:sz="4" w:space="0" w:color="auto"/>
              <w:bottom w:val="single" w:sz="4" w:space="0" w:color="auto"/>
              <w:right w:val="single" w:sz="4" w:space="0" w:color="auto"/>
            </w:tcBorders>
          </w:tcPr>
          <w:p w14:paraId="7BB5EFCA" w14:textId="1ABA69CD" w:rsidR="000270E7" w:rsidRPr="00292CB8" w:rsidRDefault="000270E7" w:rsidP="00BB7601">
            <w:pPr>
              <w:rPr>
                <w:rFonts w:ascii="Calibri" w:eastAsia="Aptos" w:hAnsi="Calibri" w:cs="Calibri"/>
                <w:sz w:val="20"/>
                <w:szCs w:val="20"/>
                <w:lang w:eastAsia="en-US"/>
              </w:rPr>
            </w:pPr>
            <w:r w:rsidRPr="00292CB8">
              <w:rPr>
                <w:rFonts w:ascii="Calibri" w:hAnsi="Calibri" w:cs="Calibri"/>
                <w:sz w:val="20"/>
                <w:szCs w:val="20"/>
              </w:rPr>
              <w:t>115 (25)</w:t>
            </w:r>
          </w:p>
        </w:tc>
        <w:tc>
          <w:tcPr>
            <w:tcW w:w="283" w:type="dxa"/>
            <w:tcBorders>
              <w:top w:val="single" w:sz="4" w:space="0" w:color="auto"/>
              <w:left w:val="single" w:sz="4" w:space="0" w:color="auto"/>
              <w:bottom w:val="single" w:sz="4" w:space="0" w:color="auto"/>
              <w:right w:val="single" w:sz="4" w:space="0" w:color="auto"/>
            </w:tcBorders>
          </w:tcPr>
          <w:p w14:paraId="0DBD06D5" w14:textId="016E263C" w:rsidR="000270E7" w:rsidRPr="00AE7523" w:rsidRDefault="000270E7" w:rsidP="00BB7601">
            <w:pPr>
              <w:rPr>
                <w:rFonts w:ascii="Calibri" w:eastAsia="Aptos" w:hAnsi="Calibri" w:cs="Calibri"/>
                <w:sz w:val="20"/>
                <w:szCs w:val="20"/>
                <w:lang w:eastAsia="en-US"/>
              </w:rPr>
            </w:pPr>
          </w:p>
        </w:tc>
        <w:tc>
          <w:tcPr>
            <w:tcW w:w="1418" w:type="dxa"/>
          </w:tcPr>
          <w:p w14:paraId="27BBC2F7" w14:textId="231D0304" w:rsidR="000270E7" w:rsidRPr="00AE7523" w:rsidRDefault="000270E7" w:rsidP="00BB7601">
            <w:pPr>
              <w:rPr>
                <w:rFonts w:ascii="Calibri" w:eastAsia="Aptos" w:hAnsi="Calibri" w:cs="Calibri"/>
                <w:sz w:val="20"/>
                <w:szCs w:val="20"/>
                <w:lang w:eastAsia="en-US"/>
              </w:rPr>
            </w:pPr>
            <w:r w:rsidRPr="006466DF">
              <w:rPr>
                <w:rFonts w:ascii="Calibri" w:hAnsi="Calibri" w:cs="Calibri"/>
                <w:sz w:val="20"/>
                <w:szCs w:val="20"/>
              </w:rPr>
              <w:t>50</w:t>
            </w:r>
            <w:r>
              <w:rPr>
                <w:rFonts w:ascii="Calibri" w:hAnsi="Calibri" w:cs="Calibri"/>
                <w:sz w:val="20"/>
                <w:szCs w:val="20"/>
              </w:rPr>
              <w:t xml:space="preserve"> (25)</w:t>
            </w:r>
          </w:p>
        </w:tc>
        <w:tc>
          <w:tcPr>
            <w:tcW w:w="1276" w:type="dxa"/>
          </w:tcPr>
          <w:p w14:paraId="709C7A41" w14:textId="68D4BDE2"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64</w:t>
            </w:r>
            <w:r>
              <w:rPr>
                <w:rFonts w:ascii="Calibri" w:hAnsi="Calibri" w:cs="Calibri"/>
                <w:sz w:val="20"/>
                <w:szCs w:val="20"/>
              </w:rPr>
              <w:t xml:space="preserve"> (22)</w:t>
            </w:r>
          </w:p>
        </w:tc>
      </w:tr>
      <w:tr w:rsidR="000270E7" w:rsidRPr="00866347" w14:paraId="410D1220" w14:textId="77777777" w:rsidTr="00302CAD">
        <w:tc>
          <w:tcPr>
            <w:tcW w:w="3544" w:type="dxa"/>
          </w:tcPr>
          <w:p w14:paraId="46039DC9" w14:textId="70FA89E0"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Current smoking</w:t>
            </w:r>
            <w:r>
              <w:rPr>
                <w:rFonts w:ascii="Calibri" w:eastAsia="Aptos" w:hAnsi="Calibri" w:cs="Calibri"/>
                <w:sz w:val="20"/>
                <w:szCs w:val="20"/>
                <w:lang w:eastAsia="en-US"/>
              </w:rPr>
              <w:t xml:space="preserve"> </w:t>
            </w:r>
            <w:r w:rsidRPr="00F73706">
              <w:rPr>
                <w:rFonts w:ascii="Calibri" w:eastAsia="Aptos" w:hAnsi="Calibri" w:cs="Calibri"/>
                <w:sz w:val="20"/>
                <w:szCs w:val="20"/>
                <w:lang w:eastAsia="en-US"/>
              </w:rPr>
              <w:t>– n (%)</w:t>
            </w:r>
          </w:p>
        </w:tc>
        <w:tc>
          <w:tcPr>
            <w:tcW w:w="1276" w:type="dxa"/>
          </w:tcPr>
          <w:p w14:paraId="13C8F01B" w14:textId="0EBF742F"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169</w:t>
            </w:r>
            <w:r>
              <w:rPr>
                <w:rFonts w:ascii="Calibri" w:hAnsi="Calibri" w:cs="Calibri"/>
                <w:sz w:val="20"/>
                <w:szCs w:val="20"/>
              </w:rPr>
              <w:t xml:space="preserve"> (42)</w:t>
            </w:r>
          </w:p>
        </w:tc>
        <w:tc>
          <w:tcPr>
            <w:tcW w:w="1276" w:type="dxa"/>
            <w:tcBorders>
              <w:top w:val="single" w:sz="4" w:space="0" w:color="auto"/>
              <w:left w:val="single" w:sz="4" w:space="0" w:color="auto"/>
              <w:bottom w:val="single" w:sz="4" w:space="0" w:color="auto"/>
              <w:right w:val="single" w:sz="4" w:space="0" w:color="auto"/>
            </w:tcBorders>
          </w:tcPr>
          <w:p w14:paraId="1EAFE53F" w14:textId="6669DBFE" w:rsidR="000270E7" w:rsidRPr="00292CB8" w:rsidRDefault="000270E7" w:rsidP="00BB7601">
            <w:pPr>
              <w:rPr>
                <w:rFonts w:ascii="Calibri" w:eastAsia="Aptos" w:hAnsi="Calibri" w:cs="Calibri"/>
                <w:sz w:val="20"/>
                <w:szCs w:val="20"/>
                <w:lang w:eastAsia="en-US"/>
              </w:rPr>
            </w:pPr>
            <w:r w:rsidRPr="00292CB8">
              <w:rPr>
                <w:rFonts w:ascii="Calibri" w:hAnsi="Calibri" w:cs="Calibri"/>
                <w:sz w:val="20"/>
                <w:szCs w:val="20"/>
              </w:rPr>
              <w:t>36 (8)</w:t>
            </w:r>
          </w:p>
        </w:tc>
        <w:tc>
          <w:tcPr>
            <w:tcW w:w="283" w:type="dxa"/>
            <w:tcBorders>
              <w:top w:val="single" w:sz="4" w:space="0" w:color="auto"/>
              <w:left w:val="single" w:sz="4" w:space="0" w:color="auto"/>
              <w:bottom w:val="single" w:sz="4" w:space="0" w:color="auto"/>
              <w:right w:val="single" w:sz="4" w:space="0" w:color="auto"/>
            </w:tcBorders>
          </w:tcPr>
          <w:p w14:paraId="5CFA6685" w14:textId="79BD796D" w:rsidR="000270E7" w:rsidRPr="00AE7523" w:rsidRDefault="000270E7" w:rsidP="00BB7601">
            <w:pPr>
              <w:rPr>
                <w:rFonts w:ascii="Calibri" w:eastAsia="Aptos" w:hAnsi="Calibri" w:cs="Calibri"/>
                <w:sz w:val="20"/>
                <w:szCs w:val="20"/>
                <w:lang w:eastAsia="en-US"/>
              </w:rPr>
            </w:pPr>
          </w:p>
        </w:tc>
        <w:tc>
          <w:tcPr>
            <w:tcW w:w="1418" w:type="dxa"/>
          </w:tcPr>
          <w:p w14:paraId="0D3BE4D8" w14:textId="16D26EE6" w:rsidR="000270E7" w:rsidRPr="00AE7523" w:rsidRDefault="000270E7" w:rsidP="00BB7601">
            <w:pPr>
              <w:rPr>
                <w:rFonts w:ascii="Calibri" w:eastAsia="Aptos" w:hAnsi="Calibri" w:cs="Calibri"/>
                <w:sz w:val="20"/>
                <w:szCs w:val="20"/>
                <w:lang w:eastAsia="en-US"/>
              </w:rPr>
            </w:pPr>
            <w:r w:rsidRPr="006466DF">
              <w:rPr>
                <w:rFonts w:ascii="Calibri" w:hAnsi="Calibri" w:cs="Calibri"/>
                <w:sz w:val="20"/>
                <w:szCs w:val="20"/>
              </w:rPr>
              <w:t>85</w:t>
            </w:r>
            <w:r>
              <w:rPr>
                <w:rFonts w:ascii="Calibri" w:hAnsi="Calibri" w:cs="Calibri"/>
                <w:sz w:val="20"/>
                <w:szCs w:val="20"/>
              </w:rPr>
              <w:t xml:space="preserve"> (42)</w:t>
            </w:r>
          </w:p>
        </w:tc>
        <w:tc>
          <w:tcPr>
            <w:tcW w:w="1276" w:type="dxa"/>
          </w:tcPr>
          <w:p w14:paraId="64AC4CD9" w14:textId="4E6B9220"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16</w:t>
            </w:r>
            <w:r>
              <w:rPr>
                <w:rFonts w:ascii="Calibri" w:hAnsi="Calibri" w:cs="Calibri"/>
                <w:sz w:val="20"/>
                <w:szCs w:val="20"/>
              </w:rPr>
              <w:t xml:space="preserve"> (6)</w:t>
            </w:r>
          </w:p>
        </w:tc>
      </w:tr>
      <w:tr w:rsidR="000270E7" w:rsidRPr="00866347" w14:paraId="0E168152" w14:textId="77777777" w:rsidTr="00302CAD">
        <w:tc>
          <w:tcPr>
            <w:tcW w:w="3544" w:type="dxa"/>
          </w:tcPr>
          <w:p w14:paraId="2D7D21AE" w14:textId="3547FC4D"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Glucocorticoid exposure</w:t>
            </w:r>
            <w:r>
              <w:rPr>
                <w:rFonts w:ascii="Calibri" w:eastAsia="Aptos" w:hAnsi="Calibri" w:cs="Calibri"/>
                <w:sz w:val="20"/>
                <w:szCs w:val="20"/>
                <w:lang w:eastAsia="en-US"/>
              </w:rPr>
              <w:t xml:space="preserve"> </w:t>
            </w:r>
            <w:r w:rsidRPr="00F73706">
              <w:rPr>
                <w:rFonts w:ascii="Calibri" w:eastAsia="Aptos" w:hAnsi="Calibri" w:cs="Calibri"/>
                <w:sz w:val="20"/>
                <w:szCs w:val="20"/>
                <w:lang w:eastAsia="en-US"/>
              </w:rPr>
              <w:t>– n (%)</w:t>
            </w:r>
          </w:p>
        </w:tc>
        <w:tc>
          <w:tcPr>
            <w:tcW w:w="1276" w:type="dxa"/>
          </w:tcPr>
          <w:p w14:paraId="3481D1B3" w14:textId="64D83DC1"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20</w:t>
            </w:r>
            <w:r>
              <w:rPr>
                <w:rFonts w:ascii="Calibri" w:hAnsi="Calibri" w:cs="Calibri"/>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tcPr>
          <w:p w14:paraId="7356906C" w14:textId="1F3620E0" w:rsidR="000270E7" w:rsidRPr="00292CB8" w:rsidRDefault="000270E7" w:rsidP="00BB7601">
            <w:pPr>
              <w:rPr>
                <w:rFonts w:ascii="Calibri" w:eastAsia="Aptos" w:hAnsi="Calibri" w:cs="Calibri"/>
                <w:sz w:val="20"/>
                <w:szCs w:val="20"/>
                <w:lang w:eastAsia="en-US"/>
              </w:rPr>
            </w:pPr>
            <w:r w:rsidRPr="00292CB8">
              <w:rPr>
                <w:rFonts w:ascii="Calibri" w:hAnsi="Calibri" w:cs="Calibri"/>
                <w:sz w:val="20"/>
                <w:szCs w:val="20"/>
              </w:rPr>
              <w:t>27 (6)</w:t>
            </w:r>
          </w:p>
        </w:tc>
        <w:tc>
          <w:tcPr>
            <w:tcW w:w="283" w:type="dxa"/>
            <w:tcBorders>
              <w:top w:val="single" w:sz="4" w:space="0" w:color="auto"/>
              <w:left w:val="single" w:sz="4" w:space="0" w:color="auto"/>
              <w:bottom w:val="single" w:sz="4" w:space="0" w:color="auto"/>
              <w:right w:val="single" w:sz="4" w:space="0" w:color="auto"/>
            </w:tcBorders>
          </w:tcPr>
          <w:p w14:paraId="5AEF7B9D" w14:textId="74E83C30" w:rsidR="000270E7" w:rsidRPr="00AE7523" w:rsidRDefault="000270E7" w:rsidP="00BB7601">
            <w:pPr>
              <w:rPr>
                <w:rFonts w:ascii="Calibri" w:eastAsia="Aptos" w:hAnsi="Calibri" w:cs="Calibri"/>
                <w:sz w:val="20"/>
                <w:szCs w:val="20"/>
                <w:lang w:eastAsia="en-US"/>
              </w:rPr>
            </w:pPr>
          </w:p>
        </w:tc>
        <w:tc>
          <w:tcPr>
            <w:tcW w:w="1418" w:type="dxa"/>
          </w:tcPr>
          <w:p w14:paraId="306623F5" w14:textId="481DDB1E" w:rsidR="000270E7" w:rsidRPr="00AE7523" w:rsidRDefault="000270E7" w:rsidP="00BB7601">
            <w:pPr>
              <w:rPr>
                <w:rFonts w:ascii="Calibri" w:eastAsia="Aptos" w:hAnsi="Calibri" w:cs="Calibri"/>
                <w:sz w:val="20"/>
                <w:szCs w:val="20"/>
                <w:lang w:eastAsia="en-US"/>
              </w:rPr>
            </w:pPr>
            <w:r w:rsidRPr="006466DF">
              <w:rPr>
                <w:rFonts w:ascii="Calibri" w:hAnsi="Calibri" w:cs="Calibri"/>
                <w:sz w:val="20"/>
                <w:szCs w:val="20"/>
              </w:rPr>
              <w:t>11</w:t>
            </w:r>
            <w:r>
              <w:rPr>
                <w:rFonts w:ascii="Calibri" w:hAnsi="Calibri" w:cs="Calibri"/>
                <w:sz w:val="20"/>
                <w:szCs w:val="20"/>
              </w:rPr>
              <w:t xml:space="preserve"> (5)</w:t>
            </w:r>
          </w:p>
        </w:tc>
        <w:tc>
          <w:tcPr>
            <w:tcW w:w="1276" w:type="dxa"/>
          </w:tcPr>
          <w:p w14:paraId="59863E72" w14:textId="7939E5ED"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13</w:t>
            </w:r>
            <w:r>
              <w:rPr>
                <w:rFonts w:ascii="Calibri" w:hAnsi="Calibri" w:cs="Calibri"/>
                <w:sz w:val="20"/>
                <w:szCs w:val="20"/>
              </w:rPr>
              <w:t xml:space="preserve"> (5)</w:t>
            </w:r>
          </w:p>
        </w:tc>
      </w:tr>
      <w:tr w:rsidR="000270E7" w:rsidRPr="00866347" w14:paraId="321EDFC1" w14:textId="77777777" w:rsidTr="00302CAD">
        <w:tc>
          <w:tcPr>
            <w:tcW w:w="3544" w:type="dxa"/>
          </w:tcPr>
          <w:p w14:paraId="106BDB78" w14:textId="5E7F0DFB"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Rheumatoid arthritis</w:t>
            </w:r>
            <w:r>
              <w:rPr>
                <w:rFonts w:ascii="Calibri" w:eastAsia="Aptos" w:hAnsi="Calibri" w:cs="Calibri"/>
                <w:sz w:val="20"/>
                <w:szCs w:val="20"/>
                <w:lang w:eastAsia="en-US"/>
              </w:rPr>
              <w:t xml:space="preserve"> </w:t>
            </w:r>
            <w:r w:rsidRPr="00F73706">
              <w:rPr>
                <w:rFonts w:ascii="Calibri" w:eastAsia="Aptos" w:hAnsi="Calibri" w:cs="Calibri"/>
                <w:sz w:val="20"/>
                <w:szCs w:val="20"/>
                <w:lang w:eastAsia="en-US"/>
              </w:rPr>
              <w:t>– n (%)</w:t>
            </w:r>
          </w:p>
        </w:tc>
        <w:tc>
          <w:tcPr>
            <w:tcW w:w="1276" w:type="dxa"/>
          </w:tcPr>
          <w:p w14:paraId="14CF324F" w14:textId="6ACAD2EE" w:rsidR="000270E7" w:rsidRPr="00315F07" w:rsidRDefault="00730F4A" w:rsidP="00BB7601">
            <w:pPr>
              <w:rPr>
                <w:rFonts w:ascii="Calibri" w:eastAsia="Aptos" w:hAnsi="Calibri" w:cs="Calibri"/>
                <w:sz w:val="20"/>
                <w:szCs w:val="20"/>
                <w:highlight w:val="yellow"/>
                <w:lang w:eastAsia="en-US"/>
              </w:rPr>
            </w:pPr>
            <w:r w:rsidRPr="000370CB">
              <w:rPr>
                <w:rFonts w:ascii="Calibri" w:hAnsi="Calibri" w:cs="Calibri"/>
                <w:sz w:val="20"/>
                <w:szCs w:val="20"/>
              </w:rPr>
              <w:t>33</w:t>
            </w:r>
            <w:r w:rsidR="000270E7" w:rsidRPr="000370CB">
              <w:rPr>
                <w:rFonts w:ascii="Calibri" w:hAnsi="Calibri" w:cs="Calibri"/>
                <w:sz w:val="20"/>
                <w:szCs w:val="20"/>
              </w:rPr>
              <w:t xml:space="preserve"> (</w:t>
            </w:r>
            <w:r w:rsidR="000370CB" w:rsidRPr="000370CB">
              <w:rPr>
                <w:rFonts w:ascii="Calibri" w:hAnsi="Calibri" w:cs="Calibri"/>
                <w:sz w:val="20"/>
                <w:szCs w:val="20"/>
              </w:rPr>
              <w:t>8</w:t>
            </w:r>
            <w:r w:rsidR="000270E7" w:rsidRPr="000370CB">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BC9BE83" w14:textId="274D14C9" w:rsidR="000270E7" w:rsidRPr="00292CB8" w:rsidRDefault="00292CB8" w:rsidP="00BB7601">
            <w:pPr>
              <w:rPr>
                <w:rFonts w:ascii="Calibri" w:eastAsia="Aptos" w:hAnsi="Calibri" w:cs="Calibri"/>
                <w:sz w:val="20"/>
                <w:szCs w:val="20"/>
                <w:lang w:eastAsia="en-US"/>
              </w:rPr>
            </w:pPr>
            <w:r w:rsidRPr="00292CB8">
              <w:rPr>
                <w:rFonts w:ascii="Calibri" w:hAnsi="Calibri" w:cs="Calibri"/>
                <w:sz w:val="20"/>
                <w:szCs w:val="20"/>
              </w:rPr>
              <w:t>45</w:t>
            </w:r>
            <w:r w:rsidR="000270E7" w:rsidRPr="00292CB8">
              <w:rPr>
                <w:rFonts w:ascii="Calibri" w:hAnsi="Calibri" w:cs="Calibri"/>
                <w:sz w:val="20"/>
                <w:szCs w:val="20"/>
              </w:rPr>
              <w:t xml:space="preserve"> (</w:t>
            </w:r>
            <w:r w:rsidRPr="00292CB8">
              <w:rPr>
                <w:rFonts w:ascii="Calibri" w:hAnsi="Calibri" w:cs="Calibri"/>
                <w:sz w:val="20"/>
                <w:szCs w:val="20"/>
              </w:rPr>
              <w:t>10</w:t>
            </w:r>
            <w:r w:rsidR="000270E7" w:rsidRPr="00292CB8">
              <w:rPr>
                <w:rFonts w:ascii="Calibri" w:hAnsi="Calibri" w:cs="Calibri"/>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359EA22C" w14:textId="0C59F0E8" w:rsidR="000270E7" w:rsidRPr="00AE7523" w:rsidRDefault="000270E7" w:rsidP="00BB7601">
            <w:pPr>
              <w:rPr>
                <w:rFonts w:ascii="Calibri" w:eastAsia="Aptos" w:hAnsi="Calibri" w:cs="Calibri"/>
                <w:sz w:val="20"/>
                <w:szCs w:val="20"/>
                <w:lang w:eastAsia="en-US"/>
              </w:rPr>
            </w:pPr>
          </w:p>
        </w:tc>
        <w:tc>
          <w:tcPr>
            <w:tcW w:w="1418" w:type="dxa"/>
          </w:tcPr>
          <w:p w14:paraId="21C0521F" w14:textId="479982B6" w:rsidR="000270E7" w:rsidRPr="00AE7523" w:rsidRDefault="000270E7" w:rsidP="00BB7601">
            <w:pPr>
              <w:rPr>
                <w:rFonts w:ascii="Calibri" w:eastAsia="Aptos" w:hAnsi="Calibri" w:cs="Calibri"/>
                <w:sz w:val="20"/>
                <w:szCs w:val="20"/>
                <w:lang w:eastAsia="en-US"/>
              </w:rPr>
            </w:pPr>
            <w:r w:rsidRPr="00281D7B">
              <w:rPr>
                <w:rFonts w:ascii="Calibri" w:hAnsi="Calibri" w:cs="Calibri"/>
                <w:sz w:val="20"/>
                <w:szCs w:val="20"/>
              </w:rPr>
              <w:t>17</w:t>
            </w:r>
            <w:r>
              <w:rPr>
                <w:rFonts w:ascii="Calibri" w:hAnsi="Calibri" w:cs="Calibri"/>
                <w:sz w:val="20"/>
                <w:szCs w:val="20"/>
              </w:rPr>
              <w:t xml:space="preserve"> (8)</w:t>
            </w:r>
          </w:p>
        </w:tc>
        <w:tc>
          <w:tcPr>
            <w:tcW w:w="1276" w:type="dxa"/>
          </w:tcPr>
          <w:p w14:paraId="2E529B5C" w14:textId="76B67E10"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38</w:t>
            </w:r>
            <w:r>
              <w:rPr>
                <w:rFonts w:ascii="Calibri" w:hAnsi="Calibri" w:cs="Calibri"/>
                <w:sz w:val="20"/>
                <w:szCs w:val="20"/>
              </w:rPr>
              <w:t xml:space="preserve"> (13)</w:t>
            </w:r>
          </w:p>
        </w:tc>
      </w:tr>
      <w:tr w:rsidR="000270E7" w:rsidRPr="00866347" w14:paraId="6492F07F" w14:textId="77777777" w:rsidTr="00302CAD">
        <w:tc>
          <w:tcPr>
            <w:tcW w:w="3544" w:type="dxa"/>
          </w:tcPr>
          <w:p w14:paraId="657AC5F4" w14:textId="6E2F1D2D"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Secondary osteoporosis</w:t>
            </w:r>
            <w:r>
              <w:rPr>
                <w:rFonts w:ascii="Calibri" w:eastAsia="Aptos" w:hAnsi="Calibri" w:cs="Calibri"/>
                <w:sz w:val="20"/>
                <w:szCs w:val="20"/>
                <w:lang w:eastAsia="en-US"/>
              </w:rPr>
              <w:t xml:space="preserve"> </w:t>
            </w:r>
            <w:r w:rsidRPr="00F73706">
              <w:rPr>
                <w:rFonts w:ascii="Calibri" w:eastAsia="Aptos" w:hAnsi="Calibri" w:cs="Calibri"/>
                <w:sz w:val="20"/>
                <w:szCs w:val="20"/>
                <w:lang w:eastAsia="en-US"/>
              </w:rPr>
              <w:t>– n (%)</w:t>
            </w:r>
          </w:p>
        </w:tc>
        <w:tc>
          <w:tcPr>
            <w:tcW w:w="1276" w:type="dxa"/>
          </w:tcPr>
          <w:p w14:paraId="32090F7D" w14:textId="090F9831"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102</w:t>
            </w:r>
            <w:r>
              <w:rPr>
                <w:rFonts w:ascii="Calibri" w:hAnsi="Calibri" w:cs="Calibri"/>
                <w:sz w:val="20"/>
                <w:szCs w:val="20"/>
              </w:rPr>
              <w:t xml:space="preserve"> (26)</w:t>
            </w:r>
          </w:p>
        </w:tc>
        <w:tc>
          <w:tcPr>
            <w:tcW w:w="1276" w:type="dxa"/>
            <w:tcBorders>
              <w:top w:val="single" w:sz="4" w:space="0" w:color="auto"/>
              <w:left w:val="single" w:sz="4" w:space="0" w:color="auto"/>
              <w:bottom w:val="single" w:sz="4" w:space="0" w:color="auto"/>
              <w:right w:val="single" w:sz="4" w:space="0" w:color="auto"/>
            </w:tcBorders>
          </w:tcPr>
          <w:p w14:paraId="20A3ECD4" w14:textId="2C2B66D6" w:rsidR="000270E7" w:rsidRPr="00292CB8" w:rsidRDefault="000270E7" w:rsidP="00BB7601">
            <w:pPr>
              <w:rPr>
                <w:rFonts w:ascii="Calibri" w:eastAsia="Aptos" w:hAnsi="Calibri" w:cs="Calibri"/>
                <w:sz w:val="20"/>
                <w:szCs w:val="20"/>
                <w:lang w:eastAsia="en-US"/>
              </w:rPr>
            </w:pPr>
            <w:r w:rsidRPr="00292CB8">
              <w:rPr>
                <w:rFonts w:ascii="Calibri" w:hAnsi="Calibri" w:cs="Calibri"/>
                <w:sz w:val="20"/>
                <w:szCs w:val="20"/>
              </w:rPr>
              <w:t>108 (24)</w:t>
            </w:r>
          </w:p>
        </w:tc>
        <w:tc>
          <w:tcPr>
            <w:tcW w:w="283" w:type="dxa"/>
            <w:tcBorders>
              <w:top w:val="single" w:sz="4" w:space="0" w:color="auto"/>
              <w:left w:val="single" w:sz="4" w:space="0" w:color="auto"/>
              <w:bottom w:val="single" w:sz="4" w:space="0" w:color="auto"/>
              <w:right w:val="single" w:sz="4" w:space="0" w:color="auto"/>
            </w:tcBorders>
          </w:tcPr>
          <w:p w14:paraId="4BC14041" w14:textId="717BA44F" w:rsidR="000270E7" w:rsidRPr="00AE7523" w:rsidRDefault="000270E7" w:rsidP="00BB7601">
            <w:pPr>
              <w:rPr>
                <w:rFonts w:ascii="Calibri" w:eastAsia="Aptos" w:hAnsi="Calibri" w:cs="Calibri"/>
                <w:sz w:val="20"/>
                <w:szCs w:val="20"/>
                <w:lang w:eastAsia="en-US"/>
              </w:rPr>
            </w:pPr>
          </w:p>
        </w:tc>
        <w:tc>
          <w:tcPr>
            <w:tcW w:w="1418" w:type="dxa"/>
          </w:tcPr>
          <w:p w14:paraId="4FCAE324" w14:textId="29C32DE8" w:rsidR="000270E7" w:rsidRPr="00AE7523" w:rsidRDefault="000270E7" w:rsidP="00BB7601">
            <w:pPr>
              <w:rPr>
                <w:rFonts w:ascii="Calibri" w:eastAsia="Aptos" w:hAnsi="Calibri" w:cs="Calibri"/>
                <w:sz w:val="20"/>
                <w:szCs w:val="20"/>
                <w:lang w:eastAsia="en-US"/>
              </w:rPr>
            </w:pPr>
            <w:r w:rsidRPr="004B5DE9">
              <w:rPr>
                <w:rFonts w:ascii="Calibri" w:hAnsi="Calibri" w:cs="Calibri"/>
                <w:sz w:val="20"/>
                <w:szCs w:val="20"/>
              </w:rPr>
              <w:t>60</w:t>
            </w:r>
            <w:r>
              <w:rPr>
                <w:rFonts w:ascii="Calibri" w:hAnsi="Calibri" w:cs="Calibri"/>
                <w:sz w:val="20"/>
                <w:szCs w:val="20"/>
              </w:rPr>
              <w:t xml:space="preserve"> (30)</w:t>
            </w:r>
          </w:p>
        </w:tc>
        <w:tc>
          <w:tcPr>
            <w:tcW w:w="1276" w:type="dxa"/>
          </w:tcPr>
          <w:p w14:paraId="739CE1E5" w14:textId="2C127C06"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77</w:t>
            </w:r>
            <w:r>
              <w:rPr>
                <w:rFonts w:ascii="Calibri" w:hAnsi="Calibri" w:cs="Calibri"/>
                <w:sz w:val="20"/>
                <w:szCs w:val="20"/>
              </w:rPr>
              <w:t xml:space="preserve"> (27)</w:t>
            </w:r>
          </w:p>
        </w:tc>
      </w:tr>
      <w:tr w:rsidR="000270E7" w:rsidRPr="00866347" w14:paraId="16CB666D" w14:textId="77777777" w:rsidTr="00302CAD">
        <w:tc>
          <w:tcPr>
            <w:tcW w:w="3544" w:type="dxa"/>
          </w:tcPr>
          <w:p w14:paraId="74211DF6" w14:textId="78942290" w:rsidR="000270E7" w:rsidRPr="00DA1DB4" w:rsidRDefault="000270E7" w:rsidP="00BB7601">
            <w:pPr>
              <w:rPr>
                <w:rFonts w:ascii="Calibri" w:eastAsia="Aptos" w:hAnsi="Calibri" w:cs="Calibri"/>
                <w:sz w:val="20"/>
                <w:szCs w:val="20"/>
                <w:lang w:eastAsia="en-US"/>
              </w:rPr>
            </w:pPr>
            <w:r w:rsidRPr="00DA1DB4">
              <w:rPr>
                <w:rFonts w:ascii="Calibri" w:eastAsia="Aptos" w:hAnsi="Calibri" w:cs="Calibri"/>
                <w:sz w:val="20"/>
                <w:szCs w:val="20"/>
                <w:lang w:eastAsia="en-US"/>
              </w:rPr>
              <w:t xml:space="preserve">Alcohol 3 or more units </w:t>
            </w:r>
            <w:r>
              <w:rPr>
                <w:rFonts w:ascii="Calibri" w:eastAsia="Aptos" w:hAnsi="Calibri" w:cs="Calibri"/>
                <w:sz w:val="20"/>
                <w:szCs w:val="20"/>
                <w:lang w:eastAsia="en-US"/>
              </w:rPr>
              <w:t xml:space="preserve">daily </w:t>
            </w:r>
            <w:r w:rsidRPr="00F73706">
              <w:rPr>
                <w:rFonts w:ascii="Calibri" w:eastAsia="Aptos" w:hAnsi="Calibri" w:cs="Calibri"/>
                <w:sz w:val="20"/>
                <w:szCs w:val="20"/>
                <w:lang w:eastAsia="en-US"/>
              </w:rPr>
              <w:t>– n (%)</w:t>
            </w:r>
          </w:p>
        </w:tc>
        <w:tc>
          <w:tcPr>
            <w:tcW w:w="1276" w:type="dxa"/>
          </w:tcPr>
          <w:p w14:paraId="358760CD" w14:textId="4CEF097C" w:rsidR="000270E7" w:rsidRPr="00AE7523" w:rsidRDefault="000270E7" w:rsidP="00BB7601">
            <w:pPr>
              <w:rPr>
                <w:rFonts w:ascii="Calibri" w:eastAsia="Aptos" w:hAnsi="Calibri" w:cs="Calibri"/>
                <w:sz w:val="20"/>
                <w:szCs w:val="20"/>
                <w:lang w:eastAsia="en-US"/>
              </w:rPr>
            </w:pPr>
            <w:r w:rsidRPr="00CA3A3D">
              <w:rPr>
                <w:rFonts w:ascii="Calibri" w:hAnsi="Calibri" w:cs="Calibri"/>
                <w:sz w:val="20"/>
                <w:szCs w:val="20"/>
              </w:rPr>
              <w:t>155</w:t>
            </w:r>
            <w:r>
              <w:rPr>
                <w:rFonts w:ascii="Calibri" w:hAnsi="Calibri" w:cs="Calibri"/>
                <w:sz w:val="20"/>
                <w:szCs w:val="20"/>
              </w:rPr>
              <w:t xml:space="preserve"> (39)</w:t>
            </w:r>
          </w:p>
        </w:tc>
        <w:tc>
          <w:tcPr>
            <w:tcW w:w="1276" w:type="dxa"/>
            <w:tcBorders>
              <w:top w:val="single" w:sz="4" w:space="0" w:color="auto"/>
              <w:left w:val="single" w:sz="4" w:space="0" w:color="auto"/>
              <w:bottom w:val="single" w:sz="4" w:space="0" w:color="auto"/>
              <w:right w:val="single" w:sz="4" w:space="0" w:color="auto"/>
            </w:tcBorders>
          </w:tcPr>
          <w:p w14:paraId="25996AD2" w14:textId="27B37A95" w:rsidR="000270E7" w:rsidRPr="00AE7523" w:rsidRDefault="000270E7" w:rsidP="00BB7601">
            <w:pPr>
              <w:rPr>
                <w:rFonts w:ascii="Calibri" w:eastAsia="Aptos" w:hAnsi="Calibri" w:cs="Calibri"/>
                <w:sz w:val="20"/>
                <w:szCs w:val="20"/>
                <w:lang w:eastAsia="en-US"/>
              </w:rPr>
            </w:pPr>
            <w:r>
              <w:rPr>
                <w:rFonts w:ascii="Calibri" w:hAnsi="Calibri" w:cs="Calibri"/>
                <w:sz w:val="20"/>
                <w:szCs w:val="20"/>
              </w:rPr>
              <w:t>37 (8)</w:t>
            </w:r>
          </w:p>
        </w:tc>
        <w:tc>
          <w:tcPr>
            <w:tcW w:w="283" w:type="dxa"/>
            <w:tcBorders>
              <w:top w:val="single" w:sz="4" w:space="0" w:color="auto"/>
              <w:left w:val="single" w:sz="4" w:space="0" w:color="auto"/>
              <w:bottom w:val="single" w:sz="4" w:space="0" w:color="auto"/>
              <w:right w:val="single" w:sz="4" w:space="0" w:color="auto"/>
            </w:tcBorders>
          </w:tcPr>
          <w:p w14:paraId="09A3C5AC" w14:textId="2F5B5519" w:rsidR="000270E7" w:rsidRPr="00AE7523" w:rsidRDefault="000270E7" w:rsidP="00BB7601">
            <w:pPr>
              <w:rPr>
                <w:rFonts w:ascii="Calibri" w:eastAsia="Aptos" w:hAnsi="Calibri" w:cs="Calibri"/>
                <w:sz w:val="20"/>
                <w:szCs w:val="20"/>
                <w:lang w:eastAsia="en-US"/>
              </w:rPr>
            </w:pPr>
          </w:p>
        </w:tc>
        <w:tc>
          <w:tcPr>
            <w:tcW w:w="1418" w:type="dxa"/>
          </w:tcPr>
          <w:p w14:paraId="6AE3009E" w14:textId="62D100F1" w:rsidR="000270E7" w:rsidRPr="00AE7523" w:rsidRDefault="000270E7" w:rsidP="00BB7601">
            <w:pPr>
              <w:rPr>
                <w:rFonts w:ascii="Calibri" w:eastAsia="Aptos" w:hAnsi="Calibri" w:cs="Calibri"/>
                <w:sz w:val="20"/>
                <w:szCs w:val="20"/>
                <w:lang w:eastAsia="en-US"/>
              </w:rPr>
            </w:pPr>
            <w:r w:rsidRPr="0093103C">
              <w:rPr>
                <w:rFonts w:ascii="Calibri" w:hAnsi="Calibri" w:cs="Calibri"/>
                <w:sz w:val="20"/>
                <w:szCs w:val="20"/>
              </w:rPr>
              <w:t>87</w:t>
            </w:r>
            <w:r>
              <w:rPr>
                <w:rFonts w:ascii="Calibri" w:hAnsi="Calibri" w:cs="Calibri"/>
                <w:sz w:val="20"/>
                <w:szCs w:val="20"/>
              </w:rPr>
              <w:t xml:space="preserve"> (43)</w:t>
            </w:r>
          </w:p>
        </w:tc>
        <w:tc>
          <w:tcPr>
            <w:tcW w:w="1276" w:type="dxa"/>
          </w:tcPr>
          <w:p w14:paraId="6AC4B11C" w14:textId="3DA44D1A" w:rsidR="000270E7" w:rsidRPr="00AE7523" w:rsidRDefault="000270E7" w:rsidP="00BB7601">
            <w:pPr>
              <w:rPr>
                <w:rFonts w:ascii="Calibri" w:eastAsia="Aptos" w:hAnsi="Calibri" w:cs="Calibri"/>
                <w:sz w:val="20"/>
                <w:szCs w:val="20"/>
                <w:lang w:eastAsia="en-US"/>
              </w:rPr>
            </w:pPr>
            <w:r w:rsidRPr="00AE7523">
              <w:rPr>
                <w:rFonts w:ascii="Calibri" w:hAnsi="Calibri" w:cs="Calibri"/>
                <w:sz w:val="20"/>
                <w:szCs w:val="20"/>
              </w:rPr>
              <w:t>18</w:t>
            </w:r>
            <w:r>
              <w:rPr>
                <w:rFonts w:ascii="Calibri" w:hAnsi="Calibri" w:cs="Calibri"/>
                <w:sz w:val="20"/>
                <w:szCs w:val="20"/>
              </w:rPr>
              <w:t xml:space="preserve"> (6)</w:t>
            </w:r>
          </w:p>
        </w:tc>
      </w:tr>
      <w:bookmarkEnd w:id="5"/>
      <w:tr w:rsidR="00216A09" w:rsidRPr="008053E7" w14:paraId="38F51CB2" w14:textId="77777777" w:rsidTr="00A27ECB">
        <w:tc>
          <w:tcPr>
            <w:tcW w:w="3544" w:type="dxa"/>
            <w:tcBorders>
              <w:top w:val="single" w:sz="4" w:space="0" w:color="auto"/>
              <w:left w:val="single" w:sz="4" w:space="0" w:color="auto"/>
              <w:bottom w:val="single" w:sz="4" w:space="0" w:color="auto"/>
              <w:right w:val="single" w:sz="4" w:space="0" w:color="auto"/>
            </w:tcBorders>
          </w:tcPr>
          <w:p w14:paraId="1425229E" w14:textId="4BD09F3C" w:rsidR="00216A09" w:rsidRPr="008053E7" w:rsidRDefault="00216A09" w:rsidP="00216A09">
            <w:pPr>
              <w:rPr>
                <w:rFonts w:ascii="Calibri" w:eastAsia="Aptos" w:hAnsi="Calibri" w:cs="Calibri"/>
                <w:sz w:val="20"/>
                <w:szCs w:val="20"/>
                <w:lang w:eastAsia="en-US"/>
              </w:rPr>
            </w:pPr>
            <w:r w:rsidRPr="008053E7">
              <w:rPr>
                <w:rFonts w:ascii="Calibri" w:eastAsia="Aptos" w:hAnsi="Calibri" w:cs="Calibri"/>
                <w:sz w:val="20"/>
                <w:szCs w:val="20"/>
                <w:lang w:eastAsia="en-US"/>
              </w:rPr>
              <w:t>10-year probability MOF (%) – mean (SD)</w:t>
            </w:r>
          </w:p>
        </w:tc>
        <w:tc>
          <w:tcPr>
            <w:tcW w:w="1276" w:type="dxa"/>
            <w:tcBorders>
              <w:top w:val="single" w:sz="4" w:space="0" w:color="auto"/>
              <w:left w:val="single" w:sz="4" w:space="0" w:color="auto"/>
              <w:bottom w:val="single" w:sz="4" w:space="0" w:color="auto"/>
              <w:right w:val="single" w:sz="4" w:space="0" w:color="auto"/>
            </w:tcBorders>
          </w:tcPr>
          <w:p w14:paraId="5FEE7133" w14:textId="77777777" w:rsidR="00216A09" w:rsidRPr="008053E7" w:rsidRDefault="00216A09" w:rsidP="00216A09">
            <w:pPr>
              <w:rPr>
                <w:rFonts w:ascii="Calibri" w:eastAsia="Aptos" w:hAnsi="Calibri" w:cs="Calibri"/>
                <w:sz w:val="20"/>
                <w:szCs w:val="20"/>
                <w:lang w:val="sv-SE"/>
              </w:rPr>
            </w:pPr>
            <w:r w:rsidRPr="008053E7">
              <w:rPr>
                <w:rFonts w:ascii="Calibri" w:eastAsia="Aptos" w:hAnsi="Calibri" w:cs="Calibri"/>
                <w:sz w:val="20"/>
                <w:szCs w:val="20"/>
                <w:lang w:val="sv-SE"/>
              </w:rPr>
              <w:t xml:space="preserve">N=400, </w:t>
            </w:r>
          </w:p>
          <w:p w14:paraId="6FADB1A8" w14:textId="5979A511" w:rsidR="00216A09" w:rsidRPr="008053E7" w:rsidRDefault="00216A09" w:rsidP="00216A09">
            <w:pPr>
              <w:rPr>
                <w:rFonts w:ascii="Calibri" w:hAnsi="Calibri" w:cs="Calibri"/>
                <w:sz w:val="20"/>
                <w:szCs w:val="20"/>
              </w:rPr>
            </w:pPr>
            <w:r w:rsidRPr="008053E7">
              <w:rPr>
                <w:rFonts w:ascii="Calibri" w:eastAsia="Aptos" w:hAnsi="Calibri" w:cs="Calibri"/>
                <w:sz w:val="20"/>
                <w:szCs w:val="20"/>
                <w:lang w:val="sv-SE"/>
              </w:rPr>
              <w:t>3.1 (2.5)</w:t>
            </w:r>
          </w:p>
        </w:tc>
        <w:tc>
          <w:tcPr>
            <w:tcW w:w="1276" w:type="dxa"/>
            <w:tcBorders>
              <w:top w:val="single" w:sz="4" w:space="0" w:color="auto"/>
              <w:left w:val="single" w:sz="4" w:space="0" w:color="auto"/>
              <w:bottom w:val="single" w:sz="4" w:space="0" w:color="auto"/>
              <w:right w:val="single" w:sz="4" w:space="0" w:color="auto"/>
            </w:tcBorders>
          </w:tcPr>
          <w:p w14:paraId="63A1402D" w14:textId="77777777" w:rsidR="00216A09" w:rsidRPr="008053E7" w:rsidRDefault="00216A09" w:rsidP="00216A09">
            <w:pPr>
              <w:rPr>
                <w:rFonts w:ascii="Calibri" w:hAnsi="Calibri" w:cs="Calibri"/>
                <w:sz w:val="20"/>
                <w:szCs w:val="20"/>
                <w:lang w:val="sv-SE"/>
              </w:rPr>
            </w:pPr>
            <w:r w:rsidRPr="008053E7">
              <w:rPr>
                <w:rFonts w:ascii="Calibri" w:hAnsi="Calibri" w:cs="Calibri"/>
                <w:sz w:val="20"/>
                <w:szCs w:val="20"/>
                <w:lang w:val="sv-SE"/>
              </w:rPr>
              <w:t>N=453,</w:t>
            </w:r>
          </w:p>
          <w:p w14:paraId="758564F3" w14:textId="3C27D9FC" w:rsidR="00216A09" w:rsidRPr="008053E7" w:rsidRDefault="00216A09" w:rsidP="00216A09">
            <w:pPr>
              <w:rPr>
                <w:rFonts w:ascii="Calibri" w:eastAsia="Aptos" w:hAnsi="Calibri" w:cs="Calibri"/>
                <w:sz w:val="20"/>
                <w:szCs w:val="20"/>
                <w:lang w:eastAsia="en-US"/>
              </w:rPr>
            </w:pPr>
            <w:r w:rsidRPr="008053E7">
              <w:rPr>
                <w:rFonts w:ascii="Calibri" w:hAnsi="Calibri" w:cs="Calibri"/>
                <w:sz w:val="20"/>
                <w:szCs w:val="20"/>
                <w:lang w:val="sv-SE"/>
              </w:rPr>
              <w:t>4.6 (3.8)</w:t>
            </w:r>
          </w:p>
        </w:tc>
        <w:tc>
          <w:tcPr>
            <w:tcW w:w="283" w:type="dxa"/>
            <w:tcBorders>
              <w:top w:val="single" w:sz="4" w:space="0" w:color="auto"/>
              <w:left w:val="single" w:sz="4" w:space="0" w:color="auto"/>
              <w:bottom w:val="single" w:sz="4" w:space="0" w:color="auto"/>
              <w:right w:val="single" w:sz="4" w:space="0" w:color="auto"/>
            </w:tcBorders>
          </w:tcPr>
          <w:p w14:paraId="197EC646" w14:textId="77777777" w:rsidR="00216A09" w:rsidRPr="008053E7" w:rsidRDefault="00216A09" w:rsidP="00216A09">
            <w:pPr>
              <w:rPr>
                <w:rFonts w:ascii="Calibri" w:eastAsia="Aptos" w:hAnsi="Calibri" w:cs="Calibr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E22A7F1" w14:textId="77777777" w:rsidR="00216A09" w:rsidRPr="008053E7" w:rsidRDefault="00216A09" w:rsidP="00216A09">
            <w:pPr>
              <w:rPr>
                <w:rFonts w:ascii="Calibri" w:eastAsia="Aptos" w:hAnsi="Calibri" w:cs="Calibri"/>
                <w:sz w:val="20"/>
                <w:szCs w:val="20"/>
                <w:lang w:val="sv-SE"/>
              </w:rPr>
            </w:pPr>
            <w:r w:rsidRPr="008053E7">
              <w:rPr>
                <w:rFonts w:ascii="Calibri" w:eastAsia="Aptos" w:hAnsi="Calibri" w:cs="Calibri"/>
                <w:sz w:val="20"/>
                <w:szCs w:val="20"/>
                <w:lang w:val="sv-SE"/>
              </w:rPr>
              <w:t xml:space="preserve">N=202, </w:t>
            </w:r>
          </w:p>
          <w:p w14:paraId="2F8938FB" w14:textId="62917967" w:rsidR="00216A09" w:rsidRPr="008053E7" w:rsidRDefault="00216A09" w:rsidP="00216A09">
            <w:pPr>
              <w:rPr>
                <w:rFonts w:ascii="Calibri" w:eastAsia="Aptos" w:hAnsi="Calibri" w:cs="Calibri"/>
                <w:sz w:val="20"/>
                <w:szCs w:val="20"/>
                <w:lang w:eastAsia="en-US"/>
              </w:rPr>
            </w:pPr>
            <w:r w:rsidRPr="008053E7">
              <w:rPr>
                <w:rFonts w:ascii="Calibri" w:eastAsia="Aptos" w:hAnsi="Calibri" w:cs="Calibri"/>
                <w:sz w:val="20"/>
                <w:szCs w:val="20"/>
                <w:lang w:val="sv-SE"/>
              </w:rPr>
              <w:t>4.0 (2.8)</w:t>
            </w:r>
          </w:p>
        </w:tc>
        <w:tc>
          <w:tcPr>
            <w:tcW w:w="1276" w:type="dxa"/>
            <w:tcBorders>
              <w:top w:val="single" w:sz="4" w:space="0" w:color="auto"/>
              <w:left w:val="single" w:sz="4" w:space="0" w:color="auto"/>
              <w:bottom w:val="single" w:sz="4" w:space="0" w:color="auto"/>
              <w:right w:val="single" w:sz="4" w:space="0" w:color="auto"/>
            </w:tcBorders>
          </w:tcPr>
          <w:p w14:paraId="03370136" w14:textId="36787A36" w:rsidR="00D34776" w:rsidRDefault="003622FF" w:rsidP="00216A09">
            <w:pPr>
              <w:rPr>
                <w:rFonts w:ascii="Calibri" w:hAnsi="Calibri" w:cs="Calibri"/>
                <w:sz w:val="20"/>
                <w:szCs w:val="20"/>
                <w:lang w:val="sv-SE"/>
              </w:rPr>
            </w:pPr>
            <w:r w:rsidRPr="003622FF">
              <w:rPr>
                <w:rFonts w:ascii="Calibri" w:hAnsi="Calibri" w:cs="Calibri"/>
                <w:sz w:val="20"/>
                <w:szCs w:val="20"/>
                <w:lang w:val="sv-SE"/>
              </w:rPr>
              <w:t>N=287</w:t>
            </w:r>
          </w:p>
          <w:p w14:paraId="631F0AFB" w14:textId="2EB8D102" w:rsidR="00216A09" w:rsidRPr="008053E7" w:rsidRDefault="00216A09" w:rsidP="00216A09">
            <w:pPr>
              <w:rPr>
                <w:rFonts w:ascii="Calibri" w:hAnsi="Calibri" w:cs="Calibri"/>
                <w:sz w:val="20"/>
                <w:szCs w:val="20"/>
              </w:rPr>
            </w:pPr>
            <w:r w:rsidRPr="008053E7">
              <w:rPr>
                <w:rFonts w:ascii="Calibri" w:hAnsi="Calibri" w:cs="Calibri"/>
                <w:sz w:val="20"/>
                <w:szCs w:val="20"/>
                <w:lang w:val="sv-SE"/>
              </w:rPr>
              <w:t>5.6 (4.0)</w:t>
            </w:r>
          </w:p>
        </w:tc>
      </w:tr>
      <w:tr w:rsidR="00216A09" w:rsidRPr="00866347" w14:paraId="24304D09" w14:textId="77777777" w:rsidTr="00A27ECB">
        <w:tc>
          <w:tcPr>
            <w:tcW w:w="3544" w:type="dxa"/>
            <w:tcBorders>
              <w:top w:val="single" w:sz="4" w:space="0" w:color="auto"/>
              <w:left w:val="single" w:sz="4" w:space="0" w:color="auto"/>
              <w:bottom w:val="single" w:sz="4" w:space="0" w:color="auto"/>
              <w:right w:val="single" w:sz="4" w:space="0" w:color="auto"/>
            </w:tcBorders>
          </w:tcPr>
          <w:p w14:paraId="2E5AA684" w14:textId="66640680" w:rsidR="00216A09" w:rsidRPr="008053E7" w:rsidRDefault="00216A09" w:rsidP="00216A09">
            <w:pPr>
              <w:rPr>
                <w:rFonts w:ascii="Calibri" w:eastAsia="Aptos" w:hAnsi="Calibri" w:cs="Calibri"/>
                <w:sz w:val="20"/>
                <w:szCs w:val="20"/>
                <w:lang w:eastAsia="en-US"/>
              </w:rPr>
            </w:pPr>
            <w:r w:rsidRPr="008053E7">
              <w:rPr>
                <w:rFonts w:ascii="Calibri" w:eastAsia="Aptos" w:hAnsi="Calibri" w:cs="Calibri"/>
                <w:sz w:val="20"/>
                <w:szCs w:val="20"/>
                <w:lang w:eastAsia="en-US"/>
              </w:rPr>
              <w:t>10-year probability HF (%) – mean (SD)</w:t>
            </w:r>
          </w:p>
        </w:tc>
        <w:tc>
          <w:tcPr>
            <w:tcW w:w="1276" w:type="dxa"/>
            <w:tcBorders>
              <w:top w:val="single" w:sz="4" w:space="0" w:color="auto"/>
              <w:left w:val="single" w:sz="4" w:space="0" w:color="auto"/>
              <w:bottom w:val="single" w:sz="4" w:space="0" w:color="auto"/>
              <w:right w:val="single" w:sz="4" w:space="0" w:color="auto"/>
            </w:tcBorders>
          </w:tcPr>
          <w:p w14:paraId="6F0B8BF4" w14:textId="77777777" w:rsidR="00216A09" w:rsidRPr="008053E7" w:rsidRDefault="00216A09" w:rsidP="00216A09">
            <w:pPr>
              <w:rPr>
                <w:rFonts w:ascii="Calibri" w:eastAsia="Aptos" w:hAnsi="Calibri" w:cs="Calibri"/>
                <w:sz w:val="20"/>
                <w:szCs w:val="20"/>
                <w:lang w:val="sv-SE"/>
              </w:rPr>
            </w:pPr>
            <w:r w:rsidRPr="008053E7">
              <w:rPr>
                <w:rFonts w:ascii="Calibri" w:eastAsia="Aptos" w:hAnsi="Calibri" w:cs="Calibri"/>
                <w:sz w:val="20"/>
                <w:szCs w:val="20"/>
                <w:lang w:val="sv-SE"/>
              </w:rPr>
              <w:t xml:space="preserve">N=400, </w:t>
            </w:r>
          </w:p>
          <w:p w14:paraId="66B2E53A" w14:textId="29050CEC" w:rsidR="00216A09" w:rsidRPr="008053E7" w:rsidRDefault="00216A09" w:rsidP="00216A09">
            <w:pPr>
              <w:rPr>
                <w:rFonts w:ascii="Calibri" w:hAnsi="Calibri" w:cs="Calibri"/>
                <w:sz w:val="20"/>
                <w:szCs w:val="20"/>
              </w:rPr>
            </w:pPr>
            <w:r w:rsidRPr="008053E7">
              <w:rPr>
                <w:rFonts w:ascii="Calibri" w:eastAsia="Aptos" w:hAnsi="Calibri" w:cs="Calibri"/>
                <w:sz w:val="20"/>
                <w:szCs w:val="20"/>
                <w:lang w:val="sv-SE"/>
              </w:rPr>
              <w:t>0.8 (1.4)</w:t>
            </w:r>
          </w:p>
        </w:tc>
        <w:tc>
          <w:tcPr>
            <w:tcW w:w="1276" w:type="dxa"/>
            <w:tcBorders>
              <w:top w:val="single" w:sz="4" w:space="0" w:color="auto"/>
              <w:left w:val="single" w:sz="4" w:space="0" w:color="auto"/>
              <w:bottom w:val="single" w:sz="4" w:space="0" w:color="auto"/>
              <w:right w:val="single" w:sz="4" w:space="0" w:color="auto"/>
            </w:tcBorders>
          </w:tcPr>
          <w:p w14:paraId="04EE53BC" w14:textId="77777777" w:rsidR="00216A09" w:rsidRPr="008053E7" w:rsidRDefault="00216A09" w:rsidP="00216A09">
            <w:pPr>
              <w:rPr>
                <w:rFonts w:ascii="Calibri" w:hAnsi="Calibri" w:cs="Calibri"/>
                <w:sz w:val="20"/>
                <w:szCs w:val="20"/>
                <w:lang w:val="sv-SE"/>
              </w:rPr>
            </w:pPr>
            <w:r w:rsidRPr="008053E7">
              <w:rPr>
                <w:rFonts w:ascii="Calibri" w:hAnsi="Calibri" w:cs="Calibri"/>
                <w:sz w:val="20"/>
                <w:szCs w:val="20"/>
                <w:lang w:val="sv-SE"/>
              </w:rPr>
              <w:t>N=453,</w:t>
            </w:r>
          </w:p>
          <w:p w14:paraId="7810C2A6" w14:textId="460F12E9" w:rsidR="00216A09" w:rsidRPr="008053E7" w:rsidRDefault="00216A09" w:rsidP="00216A09">
            <w:pPr>
              <w:rPr>
                <w:rFonts w:ascii="Calibri" w:eastAsia="Aptos" w:hAnsi="Calibri" w:cs="Calibri"/>
                <w:sz w:val="20"/>
                <w:szCs w:val="20"/>
                <w:lang w:eastAsia="en-US"/>
              </w:rPr>
            </w:pPr>
            <w:r w:rsidRPr="008053E7">
              <w:rPr>
                <w:rFonts w:ascii="Calibri" w:hAnsi="Calibri" w:cs="Calibri"/>
                <w:sz w:val="20"/>
                <w:szCs w:val="20"/>
                <w:lang w:val="sv-SE"/>
              </w:rPr>
              <w:t>1.1 (1.9)</w:t>
            </w:r>
          </w:p>
        </w:tc>
        <w:tc>
          <w:tcPr>
            <w:tcW w:w="283" w:type="dxa"/>
            <w:tcBorders>
              <w:top w:val="single" w:sz="4" w:space="0" w:color="auto"/>
              <w:left w:val="single" w:sz="4" w:space="0" w:color="auto"/>
              <w:bottom w:val="single" w:sz="4" w:space="0" w:color="auto"/>
              <w:right w:val="single" w:sz="4" w:space="0" w:color="auto"/>
            </w:tcBorders>
          </w:tcPr>
          <w:p w14:paraId="36085FAE" w14:textId="77777777" w:rsidR="00216A09" w:rsidRPr="008053E7" w:rsidRDefault="00216A09" w:rsidP="00216A09">
            <w:pPr>
              <w:rPr>
                <w:rFonts w:ascii="Calibri" w:eastAsia="Aptos" w:hAnsi="Calibri" w:cs="Calibr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3EA0EA0" w14:textId="77777777" w:rsidR="00216A09" w:rsidRPr="008053E7" w:rsidRDefault="00216A09" w:rsidP="00216A09">
            <w:pPr>
              <w:rPr>
                <w:rFonts w:ascii="Calibri" w:eastAsia="Aptos" w:hAnsi="Calibri" w:cs="Calibri"/>
                <w:sz w:val="20"/>
                <w:szCs w:val="20"/>
                <w:lang w:val="sv-SE"/>
              </w:rPr>
            </w:pPr>
            <w:r w:rsidRPr="008053E7">
              <w:rPr>
                <w:rFonts w:ascii="Calibri" w:eastAsia="Aptos" w:hAnsi="Calibri" w:cs="Calibri"/>
                <w:sz w:val="20"/>
                <w:szCs w:val="20"/>
                <w:lang w:val="sv-SE"/>
              </w:rPr>
              <w:t xml:space="preserve">N=202, </w:t>
            </w:r>
          </w:p>
          <w:p w14:paraId="7A4B55F9" w14:textId="653FCE50" w:rsidR="00216A09" w:rsidRPr="008053E7" w:rsidRDefault="00216A09" w:rsidP="00216A09">
            <w:pPr>
              <w:rPr>
                <w:rFonts w:ascii="Calibri" w:eastAsia="Aptos" w:hAnsi="Calibri" w:cs="Calibri"/>
                <w:sz w:val="20"/>
                <w:szCs w:val="20"/>
                <w:lang w:eastAsia="en-US"/>
              </w:rPr>
            </w:pPr>
            <w:r w:rsidRPr="008053E7">
              <w:rPr>
                <w:rFonts w:ascii="Calibri" w:eastAsia="Aptos" w:hAnsi="Calibri" w:cs="Calibri"/>
                <w:sz w:val="20"/>
                <w:szCs w:val="20"/>
                <w:lang w:val="sv-SE"/>
              </w:rPr>
              <w:t>1.3 (1.7)</w:t>
            </w:r>
          </w:p>
        </w:tc>
        <w:tc>
          <w:tcPr>
            <w:tcW w:w="1276" w:type="dxa"/>
            <w:tcBorders>
              <w:top w:val="single" w:sz="4" w:space="0" w:color="auto"/>
              <w:left w:val="single" w:sz="4" w:space="0" w:color="auto"/>
              <w:bottom w:val="single" w:sz="4" w:space="0" w:color="auto"/>
              <w:right w:val="single" w:sz="4" w:space="0" w:color="auto"/>
            </w:tcBorders>
          </w:tcPr>
          <w:p w14:paraId="33FAE203" w14:textId="568821CA" w:rsidR="00B50366" w:rsidRDefault="00B50366" w:rsidP="00216A09">
            <w:pPr>
              <w:rPr>
                <w:rFonts w:ascii="Calibri" w:hAnsi="Calibri" w:cs="Calibri"/>
                <w:sz w:val="20"/>
                <w:szCs w:val="20"/>
                <w:lang w:val="sv-SE"/>
              </w:rPr>
            </w:pPr>
            <w:r w:rsidRPr="00B50366">
              <w:rPr>
                <w:rFonts w:ascii="Calibri" w:hAnsi="Calibri" w:cs="Calibri"/>
                <w:sz w:val="20"/>
                <w:szCs w:val="20"/>
                <w:lang w:val="sv-SE"/>
              </w:rPr>
              <w:t>N=287</w:t>
            </w:r>
          </w:p>
          <w:p w14:paraId="7FC42E47" w14:textId="541E9304" w:rsidR="00216A09" w:rsidRPr="008053E7" w:rsidRDefault="00216A09" w:rsidP="00216A09">
            <w:pPr>
              <w:rPr>
                <w:rFonts w:ascii="Calibri" w:hAnsi="Calibri" w:cs="Calibri"/>
                <w:sz w:val="20"/>
                <w:szCs w:val="20"/>
              </w:rPr>
            </w:pPr>
            <w:r w:rsidRPr="008053E7">
              <w:rPr>
                <w:rFonts w:ascii="Calibri" w:hAnsi="Calibri" w:cs="Calibri"/>
                <w:sz w:val="20"/>
                <w:szCs w:val="20"/>
                <w:lang w:val="sv-SE"/>
              </w:rPr>
              <w:t>1.5 (2.2)</w:t>
            </w:r>
          </w:p>
        </w:tc>
      </w:tr>
    </w:tbl>
    <w:p w14:paraId="0AEC6E89" w14:textId="77777777" w:rsidR="007037D7" w:rsidRDefault="007037D7" w:rsidP="000042F3">
      <w:pPr>
        <w:spacing w:line="276" w:lineRule="auto"/>
        <w:ind w:left="567" w:right="142"/>
        <w:rPr>
          <w:rFonts w:ascii="Calibri" w:eastAsia="Calibri" w:hAnsi="Calibri" w:cs="DokChampa"/>
          <w:sz w:val="22"/>
          <w:szCs w:val="20"/>
          <w:lang w:val="en-GB" w:eastAsia="en-US" w:bidi="lo-LA"/>
        </w:rPr>
      </w:pPr>
    </w:p>
    <w:p w14:paraId="1176B8F1" w14:textId="3E6F5C76" w:rsidR="00DE4B81" w:rsidRPr="00A9082A" w:rsidRDefault="00DB374D" w:rsidP="008A2937">
      <w:pPr>
        <w:spacing w:line="276" w:lineRule="auto"/>
        <w:ind w:left="567" w:right="142"/>
        <w:rPr>
          <w:rFonts w:ascii="Calibri" w:eastAsia="Calibri" w:hAnsi="Calibri" w:cs="DokChampa"/>
          <w:lang w:val="en-GB" w:eastAsia="en-US" w:bidi="lo-LA"/>
        </w:rPr>
      </w:pPr>
      <w:r w:rsidRPr="00A9082A">
        <w:rPr>
          <w:rFonts w:ascii="Calibri" w:eastAsia="Calibri" w:hAnsi="Calibri" w:cs="DokChampa"/>
          <w:lang w:val="en-GB" w:eastAsia="en-US" w:bidi="lo-LA"/>
        </w:rPr>
        <w:t>The intervention threshold in women (set at the age specific</w:t>
      </w:r>
      <w:r w:rsidR="001D0C56" w:rsidRPr="00A9082A">
        <w:rPr>
          <w:rFonts w:ascii="Calibri" w:eastAsia="Calibri" w:hAnsi="Calibri" w:cs="DokChampa"/>
          <w:lang w:val="en-GB" w:eastAsia="en-US" w:bidi="lo-LA"/>
        </w:rPr>
        <w:t xml:space="preserve"> </w:t>
      </w:r>
      <w:r w:rsidRPr="00A9082A">
        <w:rPr>
          <w:rFonts w:ascii="Calibri" w:eastAsia="Calibri" w:hAnsi="Calibri" w:cs="DokChampa"/>
          <w:lang w:val="en-GB" w:eastAsia="en-US" w:bidi="lo-LA"/>
        </w:rPr>
        <w:t>probability of a major osteoporotic fracture equivalent to</w:t>
      </w:r>
      <w:r w:rsidR="001D0C56" w:rsidRPr="00A9082A">
        <w:rPr>
          <w:rFonts w:ascii="Calibri" w:eastAsia="Calibri" w:hAnsi="Calibri" w:cs="DokChampa"/>
          <w:lang w:val="en-GB" w:eastAsia="en-US" w:bidi="lo-LA"/>
        </w:rPr>
        <w:t xml:space="preserve"> </w:t>
      </w:r>
      <w:r w:rsidRPr="00A9082A">
        <w:rPr>
          <w:rFonts w:ascii="Calibri" w:eastAsia="Calibri" w:hAnsi="Calibri" w:cs="DokChampa"/>
          <w:lang w:val="en-GB" w:eastAsia="en-US" w:bidi="lo-LA"/>
        </w:rPr>
        <w:t>women with a prior fragility fracture</w:t>
      </w:r>
      <w:r w:rsidR="005F63C3" w:rsidRPr="00A9082A">
        <w:rPr>
          <w:rFonts w:ascii="Calibri" w:eastAsia="Calibri" w:hAnsi="Calibri" w:cs="DokChampa"/>
          <w:lang w:val="en-GB" w:eastAsia="en-US" w:bidi="lo-LA"/>
        </w:rPr>
        <w:t xml:space="preserve"> and a </w:t>
      </w:r>
      <w:r w:rsidR="003E04BE" w:rsidRPr="00A9082A">
        <w:rPr>
          <w:rFonts w:ascii="Calibri" w:eastAsia="Calibri" w:hAnsi="Calibri" w:cs="DokChampa"/>
          <w:lang w:val="en-GB" w:eastAsia="en-US" w:bidi="lo-LA"/>
        </w:rPr>
        <w:t>BMI of 27</w:t>
      </w:r>
      <w:r w:rsidR="003E04BE" w:rsidRPr="00A9082A">
        <w:t xml:space="preserve"> </w:t>
      </w:r>
      <w:r w:rsidR="003E04BE" w:rsidRPr="00A9082A">
        <w:rPr>
          <w:rFonts w:ascii="Calibri" w:eastAsia="Calibri" w:hAnsi="Calibri" w:cs="DokChampa"/>
          <w:lang w:val="en-GB" w:eastAsia="en-US" w:bidi="lo-LA"/>
        </w:rPr>
        <w:t>kg/m</w:t>
      </w:r>
      <w:r w:rsidR="003E04BE" w:rsidRPr="00A9082A">
        <w:rPr>
          <w:rFonts w:ascii="Calibri" w:eastAsia="Calibri" w:hAnsi="Calibri" w:cs="DokChampa"/>
          <w:vertAlign w:val="superscript"/>
          <w:lang w:val="en-GB" w:eastAsia="en-US" w:bidi="lo-LA"/>
        </w:rPr>
        <w:t>2</w:t>
      </w:r>
      <w:r w:rsidRPr="00A9082A">
        <w:rPr>
          <w:rFonts w:ascii="Calibri" w:eastAsia="Calibri" w:hAnsi="Calibri" w:cs="DokChampa"/>
          <w:lang w:val="en-GB" w:eastAsia="en-US" w:bidi="lo-LA"/>
        </w:rPr>
        <w:t>) rose with age from a</w:t>
      </w:r>
      <w:r w:rsidR="001D0C56" w:rsidRPr="00A9082A">
        <w:rPr>
          <w:rFonts w:ascii="Calibri" w:eastAsia="Calibri" w:hAnsi="Calibri" w:cs="DokChampa"/>
          <w:lang w:val="en-GB" w:eastAsia="en-US" w:bidi="lo-LA"/>
        </w:rPr>
        <w:t xml:space="preserve"> </w:t>
      </w:r>
      <w:r w:rsidRPr="00A9082A">
        <w:rPr>
          <w:rFonts w:ascii="Calibri" w:eastAsia="Calibri" w:hAnsi="Calibri" w:cs="DokChampa"/>
          <w:lang w:val="en-GB" w:eastAsia="en-US" w:bidi="lo-LA"/>
        </w:rPr>
        <w:t xml:space="preserve">10-year probability of </w:t>
      </w:r>
      <w:r w:rsidR="00534699" w:rsidRPr="00A9082A">
        <w:rPr>
          <w:rFonts w:ascii="Calibri" w:eastAsia="Calibri" w:hAnsi="Calibri" w:cs="DokChampa"/>
          <w:lang w:val="en-GB" w:eastAsia="en-US" w:bidi="lo-LA"/>
        </w:rPr>
        <w:t>3.6</w:t>
      </w:r>
      <w:r w:rsidRPr="00A9082A">
        <w:rPr>
          <w:rFonts w:ascii="Calibri" w:eastAsia="Calibri" w:hAnsi="Calibri" w:cs="DokChampa"/>
          <w:lang w:val="en-GB" w:eastAsia="en-US" w:bidi="lo-LA"/>
        </w:rPr>
        <w:t xml:space="preserve">% at the age of 50 years to </w:t>
      </w:r>
      <w:r w:rsidR="00800198" w:rsidRPr="00A9082A">
        <w:rPr>
          <w:rFonts w:ascii="Calibri" w:eastAsia="Calibri" w:hAnsi="Calibri" w:cs="DokChampa"/>
          <w:lang w:val="en-GB" w:eastAsia="en-US" w:bidi="lo-LA"/>
        </w:rPr>
        <w:t>13.7</w:t>
      </w:r>
      <w:r w:rsidRPr="00A9082A">
        <w:rPr>
          <w:rFonts w:ascii="Calibri" w:eastAsia="Calibri" w:hAnsi="Calibri" w:cs="DokChampa"/>
          <w:lang w:val="en-GB" w:eastAsia="en-US" w:bidi="lo-LA"/>
        </w:rPr>
        <w:t>%</w:t>
      </w:r>
      <w:r w:rsidR="001D0C56" w:rsidRPr="00A9082A">
        <w:rPr>
          <w:rFonts w:ascii="Calibri" w:eastAsia="Calibri" w:hAnsi="Calibri" w:cs="DokChampa"/>
          <w:lang w:val="en-GB" w:eastAsia="en-US" w:bidi="lo-LA"/>
        </w:rPr>
        <w:t xml:space="preserve"> </w:t>
      </w:r>
      <w:r w:rsidRPr="00A9082A">
        <w:rPr>
          <w:rFonts w:ascii="Calibri" w:eastAsia="Calibri" w:hAnsi="Calibri" w:cs="DokChampa"/>
          <w:lang w:val="en-GB" w:eastAsia="en-US" w:bidi="lo-LA"/>
        </w:rPr>
        <w:t xml:space="preserve">at the age of </w:t>
      </w:r>
      <w:r w:rsidR="00800198" w:rsidRPr="00A9082A">
        <w:rPr>
          <w:rFonts w:ascii="Calibri" w:eastAsia="Calibri" w:hAnsi="Calibri" w:cs="DokChampa"/>
          <w:lang w:val="en-GB" w:eastAsia="en-US" w:bidi="lo-LA"/>
        </w:rPr>
        <w:t>9</w:t>
      </w:r>
      <w:r w:rsidRPr="00A9082A">
        <w:rPr>
          <w:rFonts w:ascii="Calibri" w:eastAsia="Calibri" w:hAnsi="Calibri" w:cs="DokChampa"/>
          <w:lang w:val="en-GB" w:eastAsia="en-US" w:bidi="lo-LA"/>
        </w:rPr>
        <w:t xml:space="preserve">0 years (Table 2 and Fig. </w:t>
      </w:r>
      <w:r w:rsidR="00531C2D" w:rsidRPr="00A9082A">
        <w:rPr>
          <w:rFonts w:ascii="Calibri" w:eastAsia="Calibri" w:hAnsi="Calibri" w:cs="DokChampa"/>
          <w:lang w:val="en-GB" w:eastAsia="en-US" w:bidi="lo-LA"/>
        </w:rPr>
        <w:t>2</w:t>
      </w:r>
      <w:r w:rsidRPr="00A9082A">
        <w:rPr>
          <w:rFonts w:ascii="Calibri" w:eastAsia="Calibri" w:hAnsi="Calibri" w:cs="DokChampa"/>
          <w:lang w:val="en-GB" w:eastAsia="en-US" w:bidi="lo-LA"/>
        </w:rPr>
        <w:t xml:space="preserve">). Table 2 and Fig. </w:t>
      </w:r>
      <w:r w:rsidR="00531C2D" w:rsidRPr="00A9082A">
        <w:rPr>
          <w:rFonts w:ascii="Calibri" w:eastAsia="Calibri" w:hAnsi="Calibri" w:cs="DokChampa"/>
          <w:lang w:val="en-GB" w:eastAsia="en-US" w:bidi="lo-LA"/>
        </w:rPr>
        <w:t>2</w:t>
      </w:r>
      <w:r w:rsidRPr="00A9082A">
        <w:rPr>
          <w:rFonts w:ascii="Calibri" w:eastAsia="Calibri" w:hAnsi="Calibri" w:cs="DokChampa"/>
          <w:lang w:val="en-GB" w:eastAsia="en-US" w:bidi="lo-LA"/>
        </w:rPr>
        <w:t xml:space="preserve"> also give</w:t>
      </w:r>
      <w:r w:rsidR="001D0C56" w:rsidRPr="00A9082A">
        <w:rPr>
          <w:rFonts w:ascii="Calibri" w:eastAsia="Calibri" w:hAnsi="Calibri" w:cs="DokChampa"/>
          <w:lang w:val="en-GB" w:eastAsia="en-US" w:bidi="lo-LA"/>
        </w:rPr>
        <w:t xml:space="preserve"> </w:t>
      </w:r>
      <w:r w:rsidRPr="00A9082A">
        <w:rPr>
          <w:rFonts w:ascii="Calibri" w:eastAsia="Calibri" w:hAnsi="Calibri" w:cs="DokChampa"/>
          <w:lang w:val="en-GB" w:eastAsia="en-US" w:bidi="lo-LA"/>
        </w:rPr>
        <w:t>the age-specific upper and lower assessment thresholds for</w:t>
      </w:r>
      <w:r w:rsidR="008A2937" w:rsidRPr="00A9082A">
        <w:t xml:space="preserve"> </w:t>
      </w:r>
      <w:r w:rsidR="008A2937" w:rsidRPr="00A9082A">
        <w:rPr>
          <w:rFonts w:ascii="Calibri" w:eastAsia="Calibri" w:hAnsi="Calibri" w:cs="DokChampa"/>
          <w:lang w:val="en-GB" w:eastAsia="en-US" w:bidi="lo-LA"/>
        </w:rPr>
        <w:t>recommending the measurement of BMD in the assessment</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of fracture probability. At the age of 65 years, for example,</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a BMD test would not be recommended in an individual</w:t>
      </w:r>
      <w:r w:rsidR="00C6240B">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with a fracture probability below 3.5%. At the same age,</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a BMD test would be recommended with a fracture probability</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that lay between 3.5 and 8.</w:t>
      </w:r>
      <w:r w:rsidR="00BE271A" w:rsidRPr="00A9082A">
        <w:rPr>
          <w:rFonts w:ascii="Calibri" w:eastAsia="Calibri" w:hAnsi="Calibri" w:cs="DokChampa"/>
          <w:lang w:val="en-GB" w:eastAsia="en-US" w:bidi="lo-LA"/>
        </w:rPr>
        <w:t>5</w:t>
      </w:r>
      <w:r w:rsidR="008A2937" w:rsidRPr="00A9082A">
        <w:rPr>
          <w:rFonts w:ascii="Calibri" w:eastAsia="Calibri" w:hAnsi="Calibri" w:cs="DokChampa"/>
          <w:lang w:val="en-GB" w:eastAsia="en-US" w:bidi="lo-LA"/>
        </w:rPr>
        <w:t>%. Treatment would be</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recommended without the requirement of a BMD test (for</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fracture risk assessment, though possibly for monitoring</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of treatment) in individuals with a fracture probability that</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exceeded 8.</w:t>
      </w:r>
      <w:r w:rsidR="00BE271A" w:rsidRPr="00A9082A">
        <w:rPr>
          <w:rFonts w:ascii="Calibri" w:eastAsia="Calibri" w:hAnsi="Calibri" w:cs="DokChampa"/>
          <w:lang w:val="en-GB" w:eastAsia="en-US" w:bidi="lo-LA"/>
        </w:rPr>
        <w:t>5</w:t>
      </w:r>
      <w:r w:rsidR="008A2937" w:rsidRPr="00A9082A">
        <w:rPr>
          <w:rFonts w:ascii="Calibri" w:eastAsia="Calibri" w:hAnsi="Calibri" w:cs="DokChampa"/>
          <w:lang w:val="en-GB" w:eastAsia="en-US" w:bidi="lo-LA"/>
        </w:rPr>
        <w:t xml:space="preserve">%. </w:t>
      </w:r>
      <w:r w:rsidR="008969AE"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In individuals in whom a BMD test was</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undertaken, treatment would be recommended in those with</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a fracture probability that was 7.</w:t>
      </w:r>
      <w:r w:rsidR="00B543A7" w:rsidRPr="00A9082A">
        <w:rPr>
          <w:rFonts w:ascii="Calibri" w:eastAsia="Calibri" w:hAnsi="Calibri" w:cs="DokChampa"/>
          <w:lang w:val="en-GB" w:eastAsia="en-US" w:bidi="lo-LA"/>
        </w:rPr>
        <w:t>1</w:t>
      </w:r>
      <w:r w:rsidR="008A2937" w:rsidRPr="00A9082A">
        <w:rPr>
          <w:rFonts w:ascii="Calibri" w:eastAsia="Calibri" w:hAnsi="Calibri" w:cs="DokChampa"/>
          <w:lang w:val="en-GB" w:eastAsia="en-US" w:bidi="lo-LA"/>
        </w:rPr>
        <w:t>% or greater for MOF or</w:t>
      </w:r>
      <w:r w:rsidR="0088271F" w:rsidRPr="00A9082A">
        <w:rPr>
          <w:rFonts w:ascii="Calibri" w:eastAsia="Calibri" w:hAnsi="Calibri" w:cs="DokChampa"/>
          <w:lang w:val="en-GB" w:eastAsia="en-US" w:bidi="lo-LA"/>
        </w:rPr>
        <w:t xml:space="preserve"> </w:t>
      </w:r>
      <w:r w:rsidR="008A2937" w:rsidRPr="00A9082A">
        <w:rPr>
          <w:rFonts w:ascii="Calibri" w:eastAsia="Calibri" w:hAnsi="Calibri" w:cs="DokChampa"/>
          <w:lang w:val="en-GB" w:eastAsia="en-US" w:bidi="lo-LA"/>
        </w:rPr>
        <w:t>1.</w:t>
      </w:r>
      <w:r w:rsidR="00B543A7" w:rsidRPr="00A9082A">
        <w:rPr>
          <w:rFonts w:ascii="Calibri" w:eastAsia="Calibri" w:hAnsi="Calibri" w:cs="DokChampa"/>
          <w:lang w:val="en-GB" w:eastAsia="en-US" w:bidi="lo-LA"/>
        </w:rPr>
        <w:t>8</w:t>
      </w:r>
      <w:r w:rsidR="008A2937" w:rsidRPr="00A9082A">
        <w:rPr>
          <w:rFonts w:ascii="Calibri" w:eastAsia="Calibri" w:hAnsi="Calibri" w:cs="DokChampa"/>
          <w:lang w:val="en-GB" w:eastAsia="en-US" w:bidi="lo-LA"/>
        </w:rPr>
        <w:t>% for hip fracture probability.</w:t>
      </w:r>
    </w:p>
    <w:p w14:paraId="5E54496C" w14:textId="77777777" w:rsidR="00DE4B81" w:rsidRPr="00A9082A" w:rsidRDefault="00DE4B81" w:rsidP="00BF597D">
      <w:pPr>
        <w:spacing w:line="276" w:lineRule="auto"/>
        <w:ind w:left="567" w:right="142"/>
        <w:rPr>
          <w:rFonts w:ascii="Calibri" w:eastAsia="Calibri" w:hAnsi="Calibri" w:cs="DokChampa"/>
          <w:b/>
          <w:bCs/>
          <w:lang w:val="en-GB" w:eastAsia="en-US" w:bidi="lo-LA"/>
        </w:rPr>
      </w:pPr>
    </w:p>
    <w:p w14:paraId="05D8F702" w14:textId="77777777" w:rsidR="00DE4B81" w:rsidRDefault="00DE4B81" w:rsidP="00BF597D">
      <w:pPr>
        <w:spacing w:line="276" w:lineRule="auto"/>
        <w:ind w:left="567" w:right="142"/>
        <w:rPr>
          <w:rFonts w:ascii="Calibri" w:eastAsia="Calibri" w:hAnsi="Calibri" w:cs="DokChampa"/>
          <w:b/>
          <w:bCs/>
          <w:sz w:val="22"/>
          <w:szCs w:val="20"/>
          <w:lang w:val="en-GB" w:eastAsia="en-US" w:bidi="lo-LA"/>
        </w:rPr>
      </w:pPr>
    </w:p>
    <w:p w14:paraId="6A60BEF9" w14:textId="6291939E" w:rsidR="00BF597D" w:rsidRPr="00BF597D" w:rsidRDefault="00BF597D" w:rsidP="00BF597D">
      <w:pPr>
        <w:spacing w:line="276" w:lineRule="auto"/>
        <w:ind w:left="567" w:right="142"/>
        <w:rPr>
          <w:rFonts w:ascii="Calibri" w:eastAsia="Calibri" w:hAnsi="Calibri" w:cs="DokChampa"/>
          <w:sz w:val="22"/>
          <w:szCs w:val="20"/>
          <w:lang w:val="en-GB" w:eastAsia="en-US" w:bidi="lo-LA"/>
        </w:rPr>
      </w:pPr>
      <w:r w:rsidRPr="00BF597D">
        <w:rPr>
          <w:rFonts w:ascii="Calibri" w:eastAsia="Calibri" w:hAnsi="Calibri" w:cs="DokChampa"/>
          <w:b/>
          <w:bCs/>
          <w:sz w:val="22"/>
          <w:szCs w:val="20"/>
          <w:lang w:val="en-GB" w:eastAsia="en-US" w:bidi="lo-LA"/>
        </w:rPr>
        <w:t>Table 2</w:t>
      </w:r>
      <w:r w:rsidRPr="00BF597D">
        <w:rPr>
          <w:rFonts w:ascii="Calibri" w:eastAsia="Calibri" w:hAnsi="Calibri" w:cs="DokChampa"/>
          <w:sz w:val="22"/>
          <w:szCs w:val="20"/>
          <w:lang w:val="en-GB" w:eastAsia="en-US" w:bidi="lo-LA"/>
        </w:rPr>
        <w:t xml:space="preserve"> Ten-year probability</w:t>
      </w:r>
      <w:r w:rsidR="00E218F0">
        <w:rPr>
          <w:rFonts w:ascii="Calibri" w:eastAsia="Calibri" w:hAnsi="Calibri" w:cs="DokChampa"/>
          <w:sz w:val="22"/>
          <w:szCs w:val="20"/>
          <w:lang w:val="en-GB" w:eastAsia="en-US" w:bidi="lo-LA"/>
        </w:rPr>
        <w:t xml:space="preserve"> </w:t>
      </w:r>
      <w:r w:rsidRPr="00BF597D">
        <w:rPr>
          <w:rFonts w:ascii="Calibri" w:eastAsia="Calibri" w:hAnsi="Calibri" w:cs="DokChampa"/>
          <w:sz w:val="22"/>
          <w:szCs w:val="20"/>
          <w:lang w:val="en-GB" w:eastAsia="en-US" w:bidi="lo-LA"/>
        </w:rPr>
        <w:t>of a major osteoporotic fracture</w:t>
      </w:r>
      <w:r w:rsidR="00E218F0">
        <w:rPr>
          <w:rFonts w:ascii="Calibri" w:eastAsia="Calibri" w:hAnsi="Calibri" w:cs="DokChampa"/>
          <w:sz w:val="22"/>
          <w:szCs w:val="20"/>
          <w:lang w:val="en-GB" w:eastAsia="en-US" w:bidi="lo-LA"/>
        </w:rPr>
        <w:t xml:space="preserve"> </w:t>
      </w:r>
      <w:r w:rsidRPr="00BF597D">
        <w:rPr>
          <w:rFonts w:ascii="Calibri" w:eastAsia="Calibri" w:hAnsi="Calibri" w:cs="DokChampa"/>
          <w:sz w:val="22"/>
          <w:szCs w:val="20"/>
          <w:lang w:val="en-GB" w:eastAsia="en-US" w:bidi="lo-LA"/>
        </w:rPr>
        <w:t>(MOF) and hip fracture (HF)</w:t>
      </w:r>
    </w:p>
    <w:p w14:paraId="16D19A6D" w14:textId="21A3E761" w:rsidR="007037D7" w:rsidRDefault="00BF597D" w:rsidP="002A3280">
      <w:pPr>
        <w:spacing w:line="276" w:lineRule="auto"/>
        <w:ind w:left="567" w:right="142"/>
        <w:rPr>
          <w:rFonts w:ascii="Calibri" w:eastAsia="Calibri" w:hAnsi="Calibri" w:cs="DokChampa"/>
          <w:sz w:val="22"/>
          <w:szCs w:val="20"/>
          <w:lang w:val="en-GB" w:eastAsia="en-US" w:bidi="lo-LA"/>
        </w:rPr>
      </w:pPr>
      <w:r w:rsidRPr="00BF597D">
        <w:rPr>
          <w:rFonts w:ascii="Calibri" w:eastAsia="Calibri" w:hAnsi="Calibri" w:cs="DokChampa"/>
          <w:sz w:val="22"/>
          <w:szCs w:val="20"/>
          <w:lang w:val="en-GB" w:eastAsia="en-US" w:bidi="lo-LA"/>
        </w:rPr>
        <w:t>by age at the intervention</w:t>
      </w:r>
      <w:r w:rsidR="00E218F0">
        <w:rPr>
          <w:rFonts w:ascii="Calibri" w:eastAsia="Calibri" w:hAnsi="Calibri" w:cs="DokChampa"/>
          <w:sz w:val="22"/>
          <w:szCs w:val="20"/>
          <w:lang w:val="en-GB" w:eastAsia="en-US" w:bidi="lo-LA"/>
        </w:rPr>
        <w:t xml:space="preserve"> </w:t>
      </w:r>
      <w:r w:rsidRPr="00BF597D">
        <w:rPr>
          <w:rFonts w:ascii="Calibri" w:eastAsia="Calibri" w:hAnsi="Calibri" w:cs="DokChampa"/>
          <w:sz w:val="22"/>
          <w:szCs w:val="20"/>
          <w:lang w:val="en-GB" w:eastAsia="en-US" w:bidi="lo-LA"/>
        </w:rPr>
        <w:t>threshold</w:t>
      </w:r>
      <w:r w:rsidR="000842B4">
        <w:rPr>
          <w:rFonts w:ascii="Calibri" w:eastAsia="Calibri" w:hAnsi="Calibri" w:cs="DokChampa"/>
          <w:sz w:val="22"/>
          <w:szCs w:val="20"/>
          <w:lang w:val="en-GB" w:eastAsia="en-US" w:bidi="lo-LA"/>
        </w:rPr>
        <w:t xml:space="preserve"> </w:t>
      </w:r>
      <w:r w:rsidR="00B84054">
        <w:rPr>
          <w:rFonts w:ascii="Calibri" w:eastAsia="Calibri" w:hAnsi="Calibri" w:cs="DokChampa"/>
          <w:sz w:val="22"/>
          <w:szCs w:val="20"/>
          <w:lang w:val="en-GB" w:eastAsia="en-US" w:bidi="lo-LA"/>
        </w:rPr>
        <w:t>(IT</w:t>
      </w:r>
      <w:r w:rsidR="00377FF0">
        <w:rPr>
          <w:rFonts w:ascii="Calibri" w:eastAsia="Calibri" w:hAnsi="Calibri" w:cs="DokChampa"/>
          <w:sz w:val="22"/>
          <w:szCs w:val="20"/>
          <w:lang w:val="en-GB" w:eastAsia="en-US" w:bidi="lo-LA"/>
        </w:rPr>
        <w:t>), lower</w:t>
      </w:r>
      <w:r w:rsidR="002A3280" w:rsidRPr="002A3280">
        <w:rPr>
          <w:rFonts w:ascii="Calibri" w:eastAsia="Calibri" w:hAnsi="Calibri" w:cs="DokChampa"/>
          <w:sz w:val="22"/>
          <w:szCs w:val="20"/>
          <w:lang w:val="en-GB" w:eastAsia="en-US" w:bidi="lo-LA"/>
        </w:rPr>
        <w:t xml:space="preserve"> and upper</w:t>
      </w:r>
      <w:r w:rsidR="000842B4">
        <w:rPr>
          <w:rFonts w:ascii="Calibri" w:eastAsia="Calibri" w:hAnsi="Calibri" w:cs="DokChampa"/>
          <w:sz w:val="22"/>
          <w:szCs w:val="20"/>
          <w:lang w:val="en-GB" w:eastAsia="en-US" w:bidi="lo-LA"/>
        </w:rPr>
        <w:t xml:space="preserve"> </w:t>
      </w:r>
      <w:r w:rsidR="002A3280" w:rsidRPr="002A3280">
        <w:rPr>
          <w:rFonts w:ascii="Calibri" w:eastAsia="Calibri" w:hAnsi="Calibri" w:cs="DokChampa"/>
          <w:sz w:val="22"/>
          <w:szCs w:val="20"/>
          <w:lang w:val="en-GB" w:eastAsia="en-US" w:bidi="lo-LA"/>
        </w:rPr>
        <w:t>assessment thresholds</w:t>
      </w:r>
      <w:r w:rsidR="00B84054">
        <w:rPr>
          <w:rFonts w:ascii="Calibri" w:eastAsia="Calibri" w:hAnsi="Calibri" w:cs="DokChampa"/>
          <w:sz w:val="22"/>
          <w:szCs w:val="20"/>
          <w:lang w:val="en-GB" w:eastAsia="en-US" w:bidi="lo-LA"/>
        </w:rPr>
        <w:t xml:space="preserve"> (LAT and UAT)</w:t>
      </w:r>
      <w:r w:rsidR="000842B4">
        <w:rPr>
          <w:rFonts w:ascii="Calibri" w:eastAsia="Calibri" w:hAnsi="Calibri" w:cs="DokChampa"/>
          <w:sz w:val="22"/>
          <w:szCs w:val="20"/>
          <w:lang w:val="en-GB" w:eastAsia="en-US" w:bidi="lo-LA"/>
        </w:rPr>
        <w:t xml:space="preserve"> </w:t>
      </w:r>
      <w:r w:rsidRPr="00BF597D">
        <w:rPr>
          <w:rFonts w:ascii="Calibri" w:eastAsia="Calibri" w:hAnsi="Calibri" w:cs="DokChampa"/>
          <w:sz w:val="22"/>
          <w:szCs w:val="20"/>
          <w:lang w:val="en-GB" w:eastAsia="en-US" w:bidi="lo-LA"/>
        </w:rPr>
        <w:t xml:space="preserve">calculated with </w:t>
      </w:r>
      <w:r w:rsidR="00E218F0">
        <w:rPr>
          <w:rFonts w:ascii="Calibri" w:eastAsia="Calibri" w:hAnsi="Calibri" w:cs="DokChampa"/>
          <w:sz w:val="22"/>
          <w:szCs w:val="20"/>
          <w:lang w:val="en-GB" w:eastAsia="en-US" w:bidi="lo-LA"/>
        </w:rPr>
        <w:t xml:space="preserve">the </w:t>
      </w:r>
      <w:r w:rsidR="00B436DA">
        <w:rPr>
          <w:rFonts w:ascii="Calibri" w:eastAsia="Calibri" w:hAnsi="Calibri" w:cs="DokChampa"/>
          <w:sz w:val="22"/>
          <w:szCs w:val="20"/>
          <w:lang w:val="en-GB" w:eastAsia="en-US" w:bidi="lo-LA"/>
        </w:rPr>
        <w:t xml:space="preserve">Mongolian </w:t>
      </w:r>
      <w:r w:rsidRPr="00BF597D">
        <w:rPr>
          <w:rFonts w:ascii="Calibri" w:eastAsia="Calibri" w:hAnsi="Calibri" w:cs="DokChampa"/>
          <w:sz w:val="22"/>
          <w:szCs w:val="20"/>
          <w:lang w:val="en-GB" w:eastAsia="en-US" w:bidi="lo-LA"/>
        </w:rPr>
        <w:t xml:space="preserve">FRAX </w:t>
      </w:r>
      <w:r w:rsidR="00B436DA">
        <w:rPr>
          <w:rFonts w:ascii="Calibri" w:eastAsia="Calibri" w:hAnsi="Calibri" w:cs="DokChampa"/>
          <w:sz w:val="22"/>
          <w:szCs w:val="20"/>
          <w:lang w:val="en-GB" w:eastAsia="en-US" w:bidi="lo-LA"/>
        </w:rPr>
        <w:t>model.</w:t>
      </w:r>
      <w:r w:rsidR="00807677">
        <w:rPr>
          <w:rFonts w:ascii="Calibri" w:eastAsia="Calibri" w:hAnsi="Calibri" w:cs="DokChampa"/>
          <w:sz w:val="22"/>
          <w:szCs w:val="20"/>
          <w:lang w:val="en-GB" w:eastAsia="en-US" w:bidi="lo-LA"/>
        </w:rPr>
        <w:t xml:space="preserve"> BMI set to 27kg/m</w:t>
      </w:r>
      <w:r w:rsidR="00AC377C" w:rsidRPr="00AC377C">
        <w:rPr>
          <w:rFonts w:ascii="Calibri" w:eastAsia="Calibri" w:hAnsi="Calibri" w:cs="DokChampa"/>
          <w:sz w:val="22"/>
          <w:szCs w:val="20"/>
          <w:vertAlign w:val="superscript"/>
          <w:lang w:val="en-GB" w:eastAsia="en-US" w:bidi="lo-LA"/>
        </w:rPr>
        <w:t>2</w:t>
      </w:r>
      <w:r w:rsidR="00AC377C">
        <w:rPr>
          <w:rFonts w:ascii="Calibri" w:eastAsia="Calibri" w:hAnsi="Calibri" w:cs="DokChampa"/>
          <w:sz w:val="22"/>
          <w:szCs w:val="20"/>
          <w:lang w:val="en-GB" w:eastAsia="en-US" w:bidi="lo-LA"/>
        </w:rPr>
        <w:t>.</w:t>
      </w:r>
    </w:p>
    <w:p w14:paraId="4A9936BC" w14:textId="4EE02D85" w:rsidR="007037D7" w:rsidRDefault="007037D7" w:rsidP="000042F3">
      <w:pPr>
        <w:spacing w:line="276" w:lineRule="auto"/>
        <w:ind w:left="567" w:right="142"/>
        <w:rPr>
          <w:rFonts w:ascii="Calibri" w:eastAsia="Calibri" w:hAnsi="Calibri" w:cs="DokChampa"/>
          <w:sz w:val="22"/>
          <w:szCs w:val="20"/>
          <w:lang w:val="en-GB" w:eastAsia="en-US" w:bidi="lo-LA"/>
        </w:rPr>
      </w:pPr>
    </w:p>
    <w:tbl>
      <w:tblPr>
        <w:tblW w:w="0" w:type="auto"/>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697"/>
        <w:gridCol w:w="697"/>
        <w:gridCol w:w="712"/>
        <w:gridCol w:w="697"/>
        <w:gridCol w:w="698"/>
        <w:gridCol w:w="697"/>
        <w:gridCol w:w="698"/>
      </w:tblGrid>
      <w:tr w:rsidR="007A3A7E" w:rsidRPr="00572966" w14:paraId="140038B0" w14:textId="77777777" w:rsidTr="00C566F4">
        <w:trPr>
          <w:trHeight w:val="315"/>
        </w:trPr>
        <w:tc>
          <w:tcPr>
            <w:tcW w:w="1217" w:type="dxa"/>
            <w:shd w:val="clear" w:color="auto" w:fill="auto"/>
            <w:noWrap/>
            <w:vAlign w:val="bottom"/>
          </w:tcPr>
          <w:p w14:paraId="058C56D2" w14:textId="77777777" w:rsidR="007A3A7E" w:rsidRPr="00572966" w:rsidRDefault="007A3A7E" w:rsidP="00572966">
            <w:pPr>
              <w:rPr>
                <w:rFonts w:ascii="Calibri" w:hAnsi="Calibri" w:cs="Calibri"/>
                <w:sz w:val="22"/>
                <w:szCs w:val="22"/>
                <w:lang w:val="en-GB" w:eastAsia="en-GB"/>
              </w:rPr>
            </w:pPr>
          </w:p>
        </w:tc>
        <w:tc>
          <w:tcPr>
            <w:tcW w:w="2106" w:type="dxa"/>
            <w:gridSpan w:val="3"/>
            <w:shd w:val="clear" w:color="auto" w:fill="auto"/>
            <w:noWrap/>
          </w:tcPr>
          <w:p w14:paraId="7A001E80" w14:textId="173458F8" w:rsidR="007A3A7E" w:rsidRPr="00572966" w:rsidRDefault="007A3A7E" w:rsidP="00A87AEA">
            <w:pPr>
              <w:jc w:val="center"/>
              <w:rPr>
                <w:rFonts w:ascii="Calibri" w:hAnsi="Calibri" w:cs="Calibri"/>
                <w:color w:val="000000"/>
                <w:sz w:val="22"/>
                <w:szCs w:val="22"/>
                <w:lang w:val="en-GB" w:eastAsia="en-GB"/>
              </w:rPr>
            </w:pPr>
            <w:r w:rsidRPr="007A3A7E">
              <w:rPr>
                <w:rFonts w:ascii="Calibri" w:hAnsi="Calibri" w:cs="Calibri"/>
                <w:color w:val="000000"/>
                <w:sz w:val="22"/>
                <w:szCs w:val="22"/>
                <w:lang w:val="en-GB" w:eastAsia="en-GB"/>
              </w:rPr>
              <w:t>MOF</w:t>
            </w:r>
          </w:p>
        </w:tc>
        <w:tc>
          <w:tcPr>
            <w:tcW w:w="697" w:type="dxa"/>
          </w:tcPr>
          <w:p w14:paraId="719F15F9" w14:textId="77777777" w:rsidR="007A3A7E" w:rsidRPr="00572966" w:rsidRDefault="007A3A7E" w:rsidP="00A87AEA">
            <w:pPr>
              <w:jc w:val="center"/>
              <w:rPr>
                <w:rFonts w:ascii="Calibri" w:hAnsi="Calibri" w:cs="Calibri"/>
                <w:color w:val="000000"/>
                <w:sz w:val="22"/>
                <w:szCs w:val="22"/>
                <w:lang w:val="en-GB" w:eastAsia="en-GB"/>
              </w:rPr>
            </w:pPr>
          </w:p>
        </w:tc>
        <w:tc>
          <w:tcPr>
            <w:tcW w:w="2093" w:type="dxa"/>
            <w:gridSpan w:val="3"/>
            <w:shd w:val="clear" w:color="auto" w:fill="auto"/>
            <w:noWrap/>
          </w:tcPr>
          <w:p w14:paraId="0EE57683" w14:textId="36865856" w:rsidR="007A3A7E" w:rsidRPr="00572966" w:rsidRDefault="007A3A7E" w:rsidP="00A87AEA">
            <w:pPr>
              <w:jc w:val="center"/>
              <w:rPr>
                <w:rFonts w:ascii="Calibri" w:hAnsi="Calibri" w:cs="Calibri"/>
                <w:color w:val="000000"/>
                <w:sz w:val="22"/>
                <w:szCs w:val="22"/>
                <w:lang w:val="en-GB" w:eastAsia="en-GB"/>
              </w:rPr>
            </w:pPr>
            <w:r w:rsidRPr="007A3A7E">
              <w:rPr>
                <w:rFonts w:ascii="Calibri" w:hAnsi="Calibri" w:cs="Calibri"/>
                <w:color w:val="000000"/>
                <w:sz w:val="22"/>
                <w:szCs w:val="22"/>
                <w:lang w:val="en-GB" w:eastAsia="en-GB"/>
              </w:rPr>
              <w:t>HIP</w:t>
            </w:r>
          </w:p>
        </w:tc>
      </w:tr>
      <w:tr w:rsidR="00572966" w:rsidRPr="00572966" w14:paraId="7AEF9E9E" w14:textId="77777777" w:rsidTr="007A3A7E">
        <w:trPr>
          <w:trHeight w:val="315"/>
        </w:trPr>
        <w:tc>
          <w:tcPr>
            <w:tcW w:w="1217" w:type="dxa"/>
            <w:shd w:val="clear" w:color="auto" w:fill="auto"/>
            <w:noWrap/>
            <w:vAlign w:val="bottom"/>
            <w:hideMark/>
          </w:tcPr>
          <w:p w14:paraId="7F3550B8" w14:textId="16834B21" w:rsidR="00572966" w:rsidRPr="00572966" w:rsidRDefault="00572966" w:rsidP="00572966">
            <w:pPr>
              <w:rPr>
                <w:rFonts w:ascii="Calibri" w:hAnsi="Calibri" w:cs="Calibri"/>
                <w:sz w:val="22"/>
                <w:szCs w:val="22"/>
                <w:lang w:val="en-GB" w:eastAsia="en-GB"/>
              </w:rPr>
            </w:pPr>
            <w:r w:rsidRPr="00572966">
              <w:rPr>
                <w:rFonts w:ascii="Calibri" w:hAnsi="Calibri" w:cs="Calibri"/>
                <w:sz w:val="22"/>
                <w:szCs w:val="22"/>
                <w:lang w:val="en-GB" w:eastAsia="en-GB"/>
              </w:rPr>
              <w:t>Age</w:t>
            </w:r>
            <w:r w:rsidR="0078147C">
              <w:rPr>
                <w:rFonts w:ascii="Calibri" w:hAnsi="Calibri" w:cs="Calibri"/>
                <w:sz w:val="22"/>
                <w:szCs w:val="22"/>
                <w:lang w:val="en-GB" w:eastAsia="en-GB"/>
              </w:rPr>
              <w:t xml:space="preserve"> (years)</w:t>
            </w:r>
          </w:p>
        </w:tc>
        <w:tc>
          <w:tcPr>
            <w:tcW w:w="697" w:type="dxa"/>
            <w:shd w:val="clear" w:color="auto" w:fill="auto"/>
            <w:noWrap/>
            <w:hideMark/>
          </w:tcPr>
          <w:p w14:paraId="3B669962"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LAT</w:t>
            </w:r>
          </w:p>
        </w:tc>
        <w:tc>
          <w:tcPr>
            <w:tcW w:w="697" w:type="dxa"/>
          </w:tcPr>
          <w:p w14:paraId="6A1705D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IT</w:t>
            </w:r>
          </w:p>
        </w:tc>
        <w:tc>
          <w:tcPr>
            <w:tcW w:w="712" w:type="dxa"/>
          </w:tcPr>
          <w:p w14:paraId="1048D125"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UAT</w:t>
            </w:r>
          </w:p>
        </w:tc>
        <w:tc>
          <w:tcPr>
            <w:tcW w:w="697" w:type="dxa"/>
          </w:tcPr>
          <w:p w14:paraId="548C3475"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noWrap/>
            <w:hideMark/>
          </w:tcPr>
          <w:p w14:paraId="21C5594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LAT</w:t>
            </w:r>
          </w:p>
        </w:tc>
        <w:tc>
          <w:tcPr>
            <w:tcW w:w="697" w:type="dxa"/>
            <w:noWrap/>
            <w:hideMark/>
          </w:tcPr>
          <w:p w14:paraId="2AFFAEEC"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IT</w:t>
            </w:r>
          </w:p>
        </w:tc>
        <w:tc>
          <w:tcPr>
            <w:tcW w:w="698" w:type="dxa"/>
            <w:noWrap/>
            <w:hideMark/>
          </w:tcPr>
          <w:p w14:paraId="2DE6664F" w14:textId="77777777" w:rsidR="00572966" w:rsidRPr="00572966" w:rsidRDefault="00572966" w:rsidP="00A87AEA">
            <w:pPr>
              <w:jc w:val="center"/>
              <w:rPr>
                <w:rFonts w:ascii="Calibri" w:hAnsi="Calibri" w:cs="Calibri"/>
                <w:sz w:val="22"/>
                <w:szCs w:val="22"/>
                <w:lang w:val="en-GB" w:eastAsia="en-GB"/>
              </w:rPr>
            </w:pPr>
            <w:r w:rsidRPr="00572966">
              <w:rPr>
                <w:rFonts w:ascii="Calibri" w:hAnsi="Calibri" w:cs="Calibri"/>
                <w:color w:val="000000"/>
                <w:sz w:val="22"/>
                <w:szCs w:val="22"/>
                <w:lang w:val="en-GB" w:eastAsia="en-GB"/>
              </w:rPr>
              <w:t>UAT</w:t>
            </w:r>
          </w:p>
        </w:tc>
      </w:tr>
      <w:tr w:rsidR="00572966" w:rsidRPr="00572966" w14:paraId="33FC0B89" w14:textId="77777777" w:rsidTr="007A3A7E">
        <w:trPr>
          <w:trHeight w:val="315"/>
        </w:trPr>
        <w:tc>
          <w:tcPr>
            <w:tcW w:w="1217" w:type="dxa"/>
            <w:shd w:val="clear" w:color="auto" w:fill="auto"/>
            <w:hideMark/>
          </w:tcPr>
          <w:p w14:paraId="55A4FCE5"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40</w:t>
            </w:r>
          </w:p>
        </w:tc>
        <w:tc>
          <w:tcPr>
            <w:tcW w:w="697" w:type="dxa"/>
            <w:shd w:val="clear" w:color="auto" w:fill="auto"/>
            <w:hideMark/>
          </w:tcPr>
          <w:p w14:paraId="3586D3CE"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1.0</w:t>
            </w:r>
          </w:p>
        </w:tc>
        <w:tc>
          <w:tcPr>
            <w:tcW w:w="697" w:type="dxa"/>
          </w:tcPr>
          <w:p w14:paraId="10784DEC"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2.4</w:t>
            </w:r>
          </w:p>
        </w:tc>
        <w:tc>
          <w:tcPr>
            <w:tcW w:w="712" w:type="dxa"/>
          </w:tcPr>
          <w:p w14:paraId="7252002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2.8</w:t>
            </w:r>
          </w:p>
        </w:tc>
        <w:tc>
          <w:tcPr>
            <w:tcW w:w="697" w:type="dxa"/>
          </w:tcPr>
          <w:p w14:paraId="4EDD5C9E"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1D3701E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0.1</w:t>
            </w:r>
          </w:p>
        </w:tc>
        <w:tc>
          <w:tcPr>
            <w:tcW w:w="697" w:type="dxa"/>
            <w:shd w:val="clear" w:color="auto" w:fill="auto"/>
            <w:hideMark/>
          </w:tcPr>
          <w:p w14:paraId="6251A37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0.3</w:t>
            </w:r>
          </w:p>
        </w:tc>
        <w:tc>
          <w:tcPr>
            <w:tcW w:w="698" w:type="dxa"/>
            <w:shd w:val="clear" w:color="auto" w:fill="auto"/>
            <w:noWrap/>
            <w:hideMark/>
          </w:tcPr>
          <w:p w14:paraId="70F9A356"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0.3</w:t>
            </w:r>
          </w:p>
        </w:tc>
      </w:tr>
      <w:tr w:rsidR="00572966" w:rsidRPr="00572966" w14:paraId="2D574D7B" w14:textId="77777777" w:rsidTr="007A3A7E">
        <w:trPr>
          <w:trHeight w:val="315"/>
        </w:trPr>
        <w:tc>
          <w:tcPr>
            <w:tcW w:w="1217" w:type="dxa"/>
            <w:shd w:val="clear" w:color="auto" w:fill="auto"/>
            <w:hideMark/>
          </w:tcPr>
          <w:p w14:paraId="675352D2"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45</w:t>
            </w:r>
          </w:p>
        </w:tc>
        <w:tc>
          <w:tcPr>
            <w:tcW w:w="697" w:type="dxa"/>
            <w:shd w:val="clear" w:color="auto" w:fill="auto"/>
            <w:hideMark/>
          </w:tcPr>
          <w:p w14:paraId="029D2A25"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1.3</w:t>
            </w:r>
          </w:p>
        </w:tc>
        <w:tc>
          <w:tcPr>
            <w:tcW w:w="697" w:type="dxa"/>
          </w:tcPr>
          <w:p w14:paraId="62667779"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2.9</w:t>
            </w:r>
          </w:p>
        </w:tc>
        <w:tc>
          <w:tcPr>
            <w:tcW w:w="712" w:type="dxa"/>
          </w:tcPr>
          <w:p w14:paraId="10025958"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3.5</w:t>
            </w:r>
          </w:p>
        </w:tc>
        <w:tc>
          <w:tcPr>
            <w:tcW w:w="697" w:type="dxa"/>
          </w:tcPr>
          <w:p w14:paraId="452A3D2A"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007956F1"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0.1</w:t>
            </w:r>
          </w:p>
        </w:tc>
        <w:tc>
          <w:tcPr>
            <w:tcW w:w="697" w:type="dxa"/>
            <w:shd w:val="clear" w:color="auto" w:fill="auto"/>
            <w:hideMark/>
          </w:tcPr>
          <w:p w14:paraId="4A09177E"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0.4</w:t>
            </w:r>
          </w:p>
        </w:tc>
        <w:tc>
          <w:tcPr>
            <w:tcW w:w="698" w:type="dxa"/>
            <w:shd w:val="clear" w:color="auto" w:fill="auto"/>
            <w:noWrap/>
            <w:hideMark/>
          </w:tcPr>
          <w:p w14:paraId="59D7229A"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0.4</w:t>
            </w:r>
          </w:p>
        </w:tc>
      </w:tr>
      <w:tr w:rsidR="00572966" w:rsidRPr="00572966" w14:paraId="00EC9587" w14:textId="77777777" w:rsidTr="007A3A7E">
        <w:trPr>
          <w:trHeight w:val="315"/>
        </w:trPr>
        <w:tc>
          <w:tcPr>
            <w:tcW w:w="1217" w:type="dxa"/>
            <w:shd w:val="clear" w:color="auto" w:fill="auto"/>
            <w:hideMark/>
          </w:tcPr>
          <w:p w14:paraId="094431DE"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50</w:t>
            </w:r>
          </w:p>
        </w:tc>
        <w:tc>
          <w:tcPr>
            <w:tcW w:w="697" w:type="dxa"/>
            <w:shd w:val="clear" w:color="auto" w:fill="auto"/>
            <w:hideMark/>
          </w:tcPr>
          <w:p w14:paraId="1839BE62"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1.7</w:t>
            </w:r>
          </w:p>
        </w:tc>
        <w:tc>
          <w:tcPr>
            <w:tcW w:w="697" w:type="dxa"/>
          </w:tcPr>
          <w:p w14:paraId="7A4979EF"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3.6</w:t>
            </w:r>
          </w:p>
        </w:tc>
        <w:tc>
          <w:tcPr>
            <w:tcW w:w="712" w:type="dxa"/>
          </w:tcPr>
          <w:p w14:paraId="6FD7B8D6"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4.3</w:t>
            </w:r>
          </w:p>
        </w:tc>
        <w:tc>
          <w:tcPr>
            <w:tcW w:w="697" w:type="dxa"/>
          </w:tcPr>
          <w:p w14:paraId="41DAE30D"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0545469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0.1</w:t>
            </w:r>
          </w:p>
        </w:tc>
        <w:tc>
          <w:tcPr>
            <w:tcW w:w="697" w:type="dxa"/>
            <w:shd w:val="clear" w:color="auto" w:fill="auto"/>
            <w:hideMark/>
          </w:tcPr>
          <w:p w14:paraId="4DB0B7D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0.5</w:t>
            </w:r>
          </w:p>
        </w:tc>
        <w:tc>
          <w:tcPr>
            <w:tcW w:w="698" w:type="dxa"/>
            <w:shd w:val="clear" w:color="auto" w:fill="auto"/>
            <w:noWrap/>
            <w:hideMark/>
          </w:tcPr>
          <w:p w14:paraId="0F887491"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0.6</w:t>
            </w:r>
          </w:p>
        </w:tc>
      </w:tr>
      <w:tr w:rsidR="00572966" w:rsidRPr="00572966" w14:paraId="6B1D2446" w14:textId="77777777" w:rsidTr="007A3A7E">
        <w:trPr>
          <w:trHeight w:val="315"/>
        </w:trPr>
        <w:tc>
          <w:tcPr>
            <w:tcW w:w="1217" w:type="dxa"/>
            <w:shd w:val="clear" w:color="auto" w:fill="auto"/>
            <w:hideMark/>
          </w:tcPr>
          <w:p w14:paraId="0F310E06"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55</w:t>
            </w:r>
          </w:p>
        </w:tc>
        <w:tc>
          <w:tcPr>
            <w:tcW w:w="697" w:type="dxa"/>
            <w:shd w:val="clear" w:color="auto" w:fill="auto"/>
            <w:hideMark/>
          </w:tcPr>
          <w:p w14:paraId="67F3B593"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2.2</w:t>
            </w:r>
          </w:p>
        </w:tc>
        <w:tc>
          <w:tcPr>
            <w:tcW w:w="697" w:type="dxa"/>
          </w:tcPr>
          <w:p w14:paraId="0B89B2FE"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4.6</w:t>
            </w:r>
          </w:p>
        </w:tc>
        <w:tc>
          <w:tcPr>
            <w:tcW w:w="712" w:type="dxa"/>
          </w:tcPr>
          <w:p w14:paraId="3CA46954"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5.5</w:t>
            </w:r>
          </w:p>
        </w:tc>
        <w:tc>
          <w:tcPr>
            <w:tcW w:w="697" w:type="dxa"/>
          </w:tcPr>
          <w:p w14:paraId="0A69980E"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0FFB1114"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0.2</w:t>
            </w:r>
          </w:p>
        </w:tc>
        <w:tc>
          <w:tcPr>
            <w:tcW w:w="697" w:type="dxa"/>
            <w:shd w:val="clear" w:color="auto" w:fill="auto"/>
            <w:hideMark/>
          </w:tcPr>
          <w:p w14:paraId="2DCAE463"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0.7</w:t>
            </w:r>
          </w:p>
        </w:tc>
        <w:tc>
          <w:tcPr>
            <w:tcW w:w="698" w:type="dxa"/>
            <w:shd w:val="clear" w:color="auto" w:fill="auto"/>
            <w:noWrap/>
            <w:hideMark/>
          </w:tcPr>
          <w:p w14:paraId="5BA885A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0.9</w:t>
            </w:r>
          </w:p>
        </w:tc>
      </w:tr>
      <w:tr w:rsidR="00572966" w:rsidRPr="00572966" w14:paraId="5850EF67" w14:textId="77777777" w:rsidTr="007A3A7E">
        <w:trPr>
          <w:trHeight w:val="315"/>
        </w:trPr>
        <w:tc>
          <w:tcPr>
            <w:tcW w:w="1217" w:type="dxa"/>
            <w:shd w:val="clear" w:color="auto" w:fill="auto"/>
            <w:hideMark/>
          </w:tcPr>
          <w:p w14:paraId="580576E2"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60</w:t>
            </w:r>
          </w:p>
        </w:tc>
        <w:tc>
          <w:tcPr>
            <w:tcW w:w="697" w:type="dxa"/>
            <w:shd w:val="clear" w:color="auto" w:fill="auto"/>
            <w:hideMark/>
          </w:tcPr>
          <w:p w14:paraId="64AE93D7"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2.8</w:t>
            </w:r>
          </w:p>
        </w:tc>
        <w:tc>
          <w:tcPr>
            <w:tcW w:w="697" w:type="dxa"/>
          </w:tcPr>
          <w:p w14:paraId="186A93D9"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5.9</w:t>
            </w:r>
          </w:p>
        </w:tc>
        <w:tc>
          <w:tcPr>
            <w:tcW w:w="712" w:type="dxa"/>
          </w:tcPr>
          <w:p w14:paraId="4BB69F28"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7.0</w:t>
            </w:r>
          </w:p>
        </w:tc>
        <w:tc>
          <w:tcPr>
            <w:tcW w:w="697" w:type="dxa"/>
          </w:tcPr>
          <w:p w14:paraId="3804ABA1"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2639211F"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0.4</w:t>
            </w:r>
          </w:p>
        </w:tc>
        <w:tc>
          <w:tcPr>
            <w:tcW w:w="697" w:type="dxa"/>
            <w:shd w:val="clear" w:color="auto" w:fill="auto"/>
            <w:hideMark/>
          </w:tcPr>
          <w:p w14:paraId="78B86FBC"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1.2</w:t>
            </w:r>
          </w:p>
        </w:tc>
        <w:tc>
          <w:tcPr>
            <w:tcW w:w="698" w:type="dxa"/>
            <w:shd w:val="clear" w:color="auto" w:fill="auto"/>
            <w:noWrap/>
            <w:hideMark/>
          </w:tcPr>
          <w:p w14:paraId="56A37874"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1.4</w:t>
            </w:r>
          </w:p>
        </w:tc>
      </w:tr>
      <w:tr w:rsidR="00572966" w:rsidRPr="00572966" w14:paraId="0ABA343D" w14:textId="77777777" w:rsidTr="007A3A7E">
        <w:trPr>
          <w:trHeight w:val="315"/>
        </w:trPr>
        <w:tc>
          <w:tcPr>
            <w:tcW w:w="1217" w:type="dxa"/>
            <w:shd w:val="clear" w:color="auto" w:fill="auto"/>
            <w:hideMark/>
          </w:tcPr>
          <w:p w14:paraId="33FD2686"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65</w:t>
            </w:r>
          </w:p>
        </w:tc>
        <w:tc>
          <w:tcPr>
            <w:tcW w:w="697" w:type="dxa"/>
            <w:shd w:val="clear" w:color="auto" w:fill="auto"/>
            <w:hideMark/>
          </w:tcPr>
          <w:p w14:paraId="11BBAFEF"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3.5</w:t>
            </w:r>
          </w:p>
        </w:tc>
        <w:tc>
          <w:tcPr>
            <w:tcW w:w="697" w:type="dxa"/>
          </w:tcPr>
          <w:p w14:paraId="685921B6"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7.1</w:t>
            </w:r>
          </w:p>
        </w:tc>
        <w:tc>
          <w:tcPr>
            <w:tcW w:w="712" w:type="dxa"/>
          </w:tcPr>
          <w:p w14:paraId="3E6F44A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8.5</w:t>
            </w:r>
          </w:p>
        </w:tc>
        <w:tc>
          <w:tcPr>
            <w:tcW w:w="697" w:type="dxa"/>
          </w:tcPr>
          <w:p w14:paraId="4DAA3022"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1505644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0.7</w:t>
            </w:r>
          </w:p>
        </w:tc>
        <w:tc>
          <w:tcPr>
            <w:tcW w:w="697" w:type="dxa"/>
            <w:shd w:val="clear" w:color="auto" w:fill="auto"/>
            <w:hideMark/>
          </w:tcPr>
          <w:p w14:paraId="0AE53FD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1.8</w:t>
            </w:r>
          </w:p>
        </w:tc>
        <w:tc>
          <w:tcPr>
            <w:tcW w:w="698" w:type="dxa"/>
            <w:shd w:val="clear" w:color="auto" w:fill="auto"/>
            <w:noWrap/>
            <w:hideMark/>
          </w:tcPr>
          <w:p w14:paraId="17CF674A"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2.2</w:t>
            </w:r>
          </w:p>
        </w:tc>
      </w:tr>
      <w:tr w:rsidR="00572966" w:rsidRPr="00572966" w14:paraId="0958DB40" w14:textId="77777777" w:rsidTr="007A3A7E">
        <w:trPr>
          <w:trHeight w:val="315"/>
        </w:trPr>
        <w:tc>
          <w:tcPr>
            <w:tcW w:w="1217" w:type="dxa"/>
            <w:shd w:val="clear" w:color="auto" w:fill="auto"/>
            <w:hideMark/>
          </w:tcPr>
          <w:p w14:paraId="2472BE09"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70</w:t>
            </w:r>
          </w:p>
        </w:tc>
        <w:tc>
          <w:tcPr>
            <w:tcW w:w="697" w:type="dxa"/>
            <w:shd w:val="clear" w:color="auto" w:fill="auto"/>
            <w:hideMark/>
          </w:tcPr>
          <w:p w14:paraId="60F129BF"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4.3</w:t>
            </w:r>
          </w:p>
        </w:tc>
        <w:tc>
          <w:tcPr>
            <w:tcW w:w="697" w:type="dxa"/>
          </w:tcPr>
          <w:p w14:paraId="1EDB735C"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8.3</w:t>
            </w:r>
          </w:p>
        </w:tc>
        <w:tc>
          <w:tcPr>
            <w:tcW w:w="712" w:type="dxa"/>
          </w:tcPr>
          <w:p w14:paraId="63E54445"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10.0</w:t>
            </w:r>
          </w:p>
        </w:tc>
        <w:tc>
          <w:tcPr>
            <w:tcW w:w="697" w:type="dxa"/>
          </w:tcPr>
          <w:p w14:paraId="6D78FF94"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55F1BBE9"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1.3</w:t>
            </w:r>
          </w:p>
        </w:tc>
        <w:tc>
          <w:tcPr>
            <w:tcW w:w="697" w:type="dxa"/>
            <w:shd w:val="clear" w:color="auto" w:fill="auto"/>
            <w:hideMark/>
          </w:tcPr>
          <w:p w14:paraId="35C2D042"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2.8</w:t>
            </w:r>
          </w:p>
        </w:tc>
        <w:tc>
          <w:tcPr>
            <w:tcW w:w="698" w:type="dxa"/>
            <w:shd w:val="clear" w:color="auto" w:fill="auto"/>
            <w:noWrap/>
            <w:hideMark/>
          </w:tcPr>
          <w:p w14:paraId="0DBC3C1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3.3</w:t>
            </w:r>
          </w:p>
        </w:tc>
      </w:tr>
      <w:tr w:rsidR="00572966" w:rsidRPr="00572966" w14:paraId="0D50F1D9" w14:textId="77777777" w:rsidTr="007A3A7E">
        <w:trPr>
          <w:trHeight w:val="315"/>
        </w:trPr>
        <w:tc>
          <w:tcPr>
            <w:tcW w:w="1217" w:type="dxa"/>
            <w:shd w:val="clear" w:color="auto" w:fill="auto"/>
            <w:hideMark/>
          </w:tcPr>
          <w:p w14:paraId="30DFEAE3"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75</w:t>
            </w:r>
          </w:p>
        </w:tc>
        <w:tc>
          <w:tcPr>
            <w:tcW w:w="697" w:type="dxa"/>
            <w:shd w:val="clear" w:color="auto" w:fill="auto"/>
            <w:hideMark/>
          </w:tcPr>
          <w:p w14:paraId="1942C8A1"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5.4</w:t>
            </w:r>
          </w:p>
        </w:tc>
        <w:tc>
          <w:tcPr>
            <w:tcW w:w="697" w:type="dxa"/>
          </w:tcPr>
          <w:p w14:paraId="32178AE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9.7</w:t>
            </w:r>
          </w:p>
        </w:tc>
        <w:tc>
          <w:tcPr>
            <w:tcW w:w="712" w:type="dxa"/>
          </w:tcPr>
          <w:p w14:paraId="4C378AA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11.6</w:t>
            </w:r>
          </w:p>
        </w:tc>
        <w:tc>
          <w:tcPr>
            <w:tcW w:w="697" w:type="dxa"/>
          </w:tcPr>
          <w:p w14:paraId="09CF8D0E"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7A62F7C6"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2.1</w:t>
            </w:r>
          </w:p>
        </w:tc>
        <w:tc>
          <w:tcPr>
            <w:tcW w:w="697" w:type="dxa"/>
            <w:shd w:val="clear" w:color="auto" w:fill="auto"/>
            <w:hideMark/>
          </w:tcPr>
          <w:p w14:paraId="41C84EC8"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3.9</w:t>
            </w:r>
          </w:p>
        </w:tc>
        <w:tc>
          <w:tcPr>
            <w:tcW w:w="698" w:type="dxa"/>
            <w:shd w:val="clear" w:color="auto" w:fill="auto"/>
            <w:noWrap/>
            <w:hideMark/>
          </w:tcPr>
          <w:p w14:paraId="3C831F34"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4.6</w:t>
            </w:r>
          </w:p>
        </w:tc>
      </w:tr>
      <w:tr w:rsidR="00572966" w:rsidRPr="00572966" w14:paraId="0568572B" w14:textId="77777777" w:rsidTr="007A3A7E">
        <w:trPr>
          <w:trHeight w:val="315"/>
        </w:trPr>
        <w:tc>
          <w:tcPr>
            <w:tcW w:w="1217" w:type="dxa"/>
            <w:shd w:val="clear" w:color="auto" w:fill="auto"/>
            <w:hideMark/>
          </w:tcPr>
          <w:p w14:paraId="755AD125"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80</w:t>
            </w:r>
          </w:p>
        </w:tc>
        <w:tc>
          <w:tcPr>
            <w:tcW w:w="697" w:type="dxa"/>
            <w:shd w:val="clear" w:color="auto" w:fill="auto"/>
            <w:hideMark/>
          </w:tcPr>
          <w:p w14:paraId="381664F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6.6</w:t>
            </w:r>
          </w:p>
        </w:tc>
        <w:tc>
          <w:tcPr>
            <w:tcW w:w="697" w:type="dxa"/>
          </w:tcPr>
          <w:p w14:paraId="4E2B25A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10.9</w:t>
            </w:r>
          </w:p>
        </w:tc>
        <w:tc>
          <w:tcPr>
            <w:tcW w:w="712" w:type="dxa"/>
          </w:tcPr>
          <w:p w14:paraId="684F4E2E"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13.1</w:t>
            </w:r>
          </w:p>
        </w:tc>
        <w:tc>
          <w:tcPr>
            <w:tcW w:w="697" w:type="dxa"/>
          </w:tcPr>
          <w:p w14:paraId="4577197F"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0519EE5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2.8</w:t>
            </w:r>
          </w:p>
        </w:tc>
        <w:tc>
          <w:tcPr>
            <w:tcW w:w="697" w:type="dxa"/>
            <w:shd w:val="clear" w:color="auto" w:fill="auto"/>
            <w:hideMark/>
          </w:tcPr>
          <w:p w14:paraId="4EDA155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4.3</w:t>
            </w:r>
          </w:p>
        </w:tc>
        <w:tc>
          <w:tcPr>
            <w:tcW w:w="698" w:type="dxa"/>
            <w:shd w:val="clear" w:color="auto" w:fill="auto"/>
            <w:noWrap/>
            <w:hideMark/>
          </w:tcPr>
          <w:p w14:paraId="1F7277BD"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5.2</w:t>
            </w:r>
          </w:p>
        </w:tc>
      </w:tr>
      <w:tr w:rsidR="00572966" w:rsidRPr="00572966" w14:paraId="5B12906B" w14:textId="77777777" w:rsidTr="007A3A7E">
        <w:trPr>
          <w:trHeight w:val="315"/>
        </w:trPr>
        <w:tc>
          <w:tcPr>
            <w:tcW w:w="1217" w:type="dxa"/>
            <w:shd w:val="clear" w:color="auto" w:fill="auto"/>
            <w:hideMark/>
          </w:tcPr>
          <w:p w14:paraId="0EE4C75E"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85</w:t>
            </w:r>
          </w:p>
        </w:tc>
        <w:tc>
          <w:tcPr>
            <w:tcW w:w="697" w:type="dxa"/>
            <w:shd w:val="clear" w:color="auto" w:fill="auto"/>
            <w:hideMark/>
          </w:tcPr>
          <w:p w14:paraId="79C12435"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7.7</w:t>
            </w:r>
          </w:p>
        </w:tc>
        <w:tc>
          <w:tcPr>
            <w:tcW w:w="697" w:type="dxa"/>
          </w:tcPr>
          <w:p w14:paraId="0196F4E7"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12.6</w:t>
            </w:r>
          </w:p>
        </w:tc>
        <w:tc>
          <w:tcPr>
            <w:tcW w:w="712" w:type="dxa"/>
          </w:tcPr>
          <w:p w14:paraId="173DE7E9"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15.2</w:t>
            </w:r>
          </w:p>
        </w:tc>
        <w:tc>
          <w:tcPr>
            <w:tcW w:w="697" w:type="dxa"/>
          </w:tcPr>
          <w:p w14:paraId="3CF68CA5"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597E615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3.1</w:t>
            </w:r>
          </w:p>
        </w:tc>
        <w:tc>
          <w:tcPr>
            <w:tcW w:w="697" w:type="dxa"/>
            <w:shd w:val="clear" w:color="auto" w:fill="auto"/>
            <w:hideMark/>
          </w:tcPr>
          <w:p w14:paraId="6069C642"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4.8</w:t>
            </w:r>
          </w:p>
        </w:tc>
        <w:tc>
          <w:tcPr>
            <w:tcW w:w="698" w:type="dxa"/>
            <w:shd w:val="clear" w:color="auto" w:fill="auto"/>
            <w:noWrap/>
            <w:hideMark/>
          </w:tcPr>
          <w:p w14:paraId="54E7C8E3"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5.8</w:t>
            </w:r>
          </w:p>
        </w:tc>
      </w:tr>
      <w:tr w:rsidR="00572966" w:rsidRPr="00572966" w14:paraId="6CADECCF" w14:textId="77777777" w:rsidTr="007A3A7E">
        <w:trPr>
          <w:trHeight w:val="315"/>
        </w:trPr>
        <w:tc>
          <w:tcPr>
            <w:tcW w:w="1217" w:type="dxa"/>
            <w:shd w:val="clear" w:color="auto" w:fill="auto"/>
            <w:hideMark/>
          </w:tcPr>
          <w:p w14:paraId="723B3E8C" w14:textId="77777777" w:rsidR="00572966" w:rsidRPr="00572966" w:rsidRDefault="00572966" w:rsidP="00A87AEA">
            <w:pP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90</w:t>
            </w:r>
          </w:p>
        </w:tc>
        <w:tc>
          <w:tcPr>
            <w:tcW w:w="697" w:type="dxa"/>
            <w:shd w:val="clear" w:color="auto" w:fill="auto"/>
            <w:hideMark/>
          </w:tcPr>
          <w:p w14:paraId="65DB6D5B"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8.4</w:t>
            </w:r>
          </w:p>
        </w:tc>
        <w:tc>
          <w:tcPr>
            <w:tcW w:w="697" w:type="dxa"/>
          </w:tcPr>
          <w:p w14:paraId="2DFF1680"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13.7</w:t>
            </w:r>
          </w:p>
        </w:tc>
        <w:tc>
          <w:tcPr>
            <w:tcW w:w="712" w:type="dxa"/>
          </w:tcPr>
          <w:p w14:paraId="2E0EE931"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16.4</w:t>
            </w:r>
          </w:p>
        </w:tc>
        <w:tc>
          <w:tcPr>
            <w:tcW w:w="697" w:type="dxa"/>
          </w:tcPr>
          <w:p w14:paraId="0D14DB97" w14:textId="77777777" w:rsidR="00572966" w:rsidRPr="00572966" w:rsidRDefault="00572966" w:rsidP="00A87AEA">
            <w:pPr>
              <w:jc w:val="center"/>
              <w:rPr>
                <w:rFonts w:ascii="Calibri" w:hAnsi="Calibri" w:cs="Calibri"/>
                <w:color w:val="000000"/>
                <w:sz w:val="22"/>
                <w:szCs w:val="22"/>
                <w:lang w:val="en-GB" w:eastAsia="en-GB"/>
              </w:rPr>
            </w:pPr>
          </w:p>
        </w:tc>
        <w:tc>
          <w:tcPr>
            <w:tcW w:w="698" w:type="dxa"/>
            <w:shd w:val="clear" w:color="auto" w:fill="auto"/>
            <w:hideMark/>
          </w:tcPr>
          <w:p w14:paraId="7438DAB6"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3.3</w:t>
            </w:r>
          </w:p>
        </w:tc>
        <w:tc>
          <w:tcPr>
            <w:tcW w:w="697" w:type="dxa"/>
            <w:shd w:val="clear" w:color="auto" w:fill="auto"/>
            <w:hideMark/>
          </w:tcPr>
          <w:p w14:paraId="442B746C"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5.0</w:t>
            </w:r>
          </w:p>
        </w:tc>
        <w:tc>
          <w:tcPr>
            <w:tcW w:w="698" w:type="dxa"/>
            <w:shd w:val="clear" w:color="auto" w:fill="auto"/>
            <w:noWrap/>
            <w:hideMark/>
          </w:tcPr>
          <w:p w14:paraId="521E3A43" w14:textId="77777777" w:rsidR="00572966" w:rsidRPr="00572966" w:rsidRDefault="00572966" w:rsidP="00A87AEA">
            <w:pPr>
              <w:jc w:val="center"/>
              <w:rPr>
                <w:rFonts w:ascii="Calibri" w:hAnsi="Calibri" w:cs="Calibri"/>
                <w:color w:val="000000"/>
                <w:sz w:val="22"/>
                <w:szCs w:val="22"/>
                <w:lang w:val="en-GB" w:eastAsia="en-GB"/>
              </w:rPr>
            </w:pPr>
            <w:r w:rsidRPr="00572966">
              <w:rPr>
                <w:rFonts w:ascii="Calibri" w:hAnsi="Calibri" w:cs="Calibri"/>
                <w:color w:val="000000"/>
                <w:sz w:val="22"/>
                <w:szCs w:val="22"/>
                <w:lang w:val="en-GB" w:eastAsia="en-GB"/>
              </w:rPr>
              <w:t>6.1</w:t>
            </w:r>
          </w:p>
        </w:tc>
      </w:tr>
    </w:tbl>
    <w:p w14:paraId="4D54D0A9" w14:textId="783C351A" w:rsidR="00572966" w:rsidRDefault="00AC377C" w:rsidP="000042F3">
      <w:pPr>
        <w:spacing w:line="276" w:lineRule="auto"/>
        <w:ind w:left="567" w:right="142"/>
        <w:rPr>
          <w:rFonts w:ascii="Calibri" w:eastAsia="Calibri" w:hAnsi="Calibri" w:cs="DokChampa"/>
          <w:sz w:val="22"/>
          <w:szCs w:val="20"/>
          <w:lang w:val="en-GB" w:eastAsia="en-US" w:bidi="lo-LA"/>
        </w:rPr>
      </w:pPr>
      <w:r>
        <w:rPr>
          <w:noProof/>
        </w:rPr>
        <w:drawing>
          <wp:anchor distT="0" distB="0" distL="114300" distR="114300" simplePos="0" relativeHeight="251658240" behindDoc="0" locked="0" layoutInCell="1" allowOverlap="1" wp14:anchorId="18874299" wp14:editId="7DA876DA">
            <wp:simplePos x="0" y="0"/>
            <wp:positionH relativeFrom="column">
              <wp:posOffset>85090</wp:posOffset>
            </wp:positionH>
            <wp:positionV relativeFrom="paragraph">
              <wp:posOffset>284797</wp:posOffset>
            </wp:positionV>
            <wp:extent cx="6030595" cy="3392170"/>
            <wp:effectExtent l="0" t="0" r="8255" b="0"/>
            <wp:wrapTopAndBottom/>
            <wp:docPr id="6968466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46650"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030595" cy="3392170"/>
                    </a:xfrm>
                    <a:prstGeom prst="rect">
                      <a:avLst/>
                    </a:prstGeom>
                  </pic:spPr>
                </pic:pic>
              </a:graphicData>
            </a:graphic>
          </wp:anchor>
        </w:drawing>
      </w:r>
    </w:p>
    <w:p w14:paraId="00C6CC14" w14:textId="5423B0A3" w:rsidR="00A062DD" w:rsidRPr="008F03D8" w:rsidRDefault="00A062DD" w:rsidP="000042F3">
      <w:pPr>
        <w:spacing w:line="276" w:lineRule="auto"/>
        <w:ind w:left="567" w:right="142"/>
        <w:rPr>
          <w:rFonts w:ascii="Calibri" w:eastAsia="Calibri" w:hAnsi="Calibri" w:cs="DokChampa"/>
          <w:sz w:val="22"/>
          <w:szCs w:val="20"/>
          <w:lang w:val="en-GB" w:eastAsia="en-US" w:bidi="lo-LA"/>
        </w:rPr>
      </w:pPr>
    </w:p>
    <w:p w14:paraId="7E9D731F" w14:textId="12A2607B" w:rsidR="00DC0CCB" w:rsidRDefault="00DC0CCB" w:rsidP="00DC0CCB">
      <w:pPr>
        <w:spacing w:line="276" w:lineRule="auto"/>
        <w:ind w:left="567" w:right="708"/>
        <w:jc w:val="both"/>
        <w:rPr>
          <w:rFonts w:ascii="Calibri" w:eastAsia="Calibri" w:hAnsi="Calibri" w:cs="DokChampa"/>
          <w:color w:val="000000" w:themeColor="text1"/>
          <w:sz w:val="22"/>
          <w:szCs w:val="20"/>
          <w:lang w:val="en-GB" w:eastAsia="en-US" w:bidi="lo-LA"/>
        </w:rPr>
      </w:pPr>
      <w:r w:rsidRPr="00800B17">
        <w:rPr>
          <w:rFonts w:ascii="Calibri" w:eastAsia="Calibri" w:hAnsi="Calibri" w:cs="DokChampa"/>
          <w:b/>
          <w:bCs/>
          <w:color w:val="000000" w:themeColor="text1"/>
          <w:sz w:val="22"/>
          <w:szCs w:val="20"/>
          <w:lang w:val="en-GB" w:eastAsia="en-US" w:bidi="lo-LA"/>
        </w:rPr>
        <w:t>Fig. 2</w:t>
      </w:r>
      <w:r w:rsidRPr="00800B17">
        <w:rPr>
          <w:rFonts w:ascii="Calibri" w:eastAsia="Calibri" w:hAnsi="Calibri" w:cs="DokChampa"/>
          <w:color w:val="000000" w:themeColor="text1"/>
          <w:sz w:val="22"/>
          <w:szCs w:val="20"/>
          <w:lang w:val="en-GB" w:eastAsia="en-US" w:bidi="lo-LA"/>
        </w:rPr>
        <w:t xml:space="preserve"> Graph</w:t>
      </w:r>
      <w:r w:rsidR="005914F8" w:rsidRPr="00800B17">
        <w:rPr>
          <w:rFonts w:ascii="Calibri" w:eastAsia="Calibri" w:hAnsi="Calibri" w:cs="DokChampa"/>
          <w:color w:val="000000" w:themeColor="text1"/>
          <w:sz w:val="22"/>
          <w:szCs w:val="20"/>
          <w:lang w:val="en-GB" w:eastAsia="en-US" w:bidi="lo-LA"/>
        </w:rPr>
        <w:t>s</w:t>
      </w:r>
      <w:r w:rsidRPr="00800B17">
        <w:rPr>
          <w:rFonts w:ascii="Calibri" w:eastAsia="Calibri" w:hAnsi="Calibri" w:cs="DokChampa"/>
          <w:color w:val="000000" w:themeColor="text1"/>
          <w:sz w:val="22"/>
          <w:szCs w:val="20"/>
          <w:lang w:val="en-GB" w:eastAsia="en-US" w:bidi="lo-LA"/>
        </w:rPr>
        <w:t xml:space="preserve"> showing assessment and intervention</w:t>
      </w:r>
      <w:r w:rsidR="005914F8" w:rsidRPr="00800B17">
        <w:rPr>
          <w:rFonts w:ascii="Calibri" w:eastAsia="Calibri" w:hAnsi="Calibri" w:cs="DokChampa"/>
          <w:color w:val="000000" w:themeColor="text1"/>
          <w:sz w:val="22"/>
          <w:szCs w:val="20"/>
          <w:lang w:val="en-GB" w:eastAsia="en-US" w:bidi="lo-LA"/>
        </w:rPr>
        <w:t xml:space="preserve"> </w:t>
      </w:r>
      <w:r w:rsidRPr="00800B17">
        <w:rPr>
          <w:rFonts w:ascii="Calibri" w:eastAsia="Calibri" w:hAnsi="Calibri" w:cs="DokChampa"/>
          <w:color w:val="000000" w:themeColor="text1"/>
          <w:sz w:val="22"/>
          <w:szCs w:val="20"/>
          <w:lang w:val="en-GB" w:eastAsia="en-US" w:bidi="lo-LA"/>
        </w:rPr>
        <w:t xml:space="preserve">thresholds in </w:t>
      </w:r>
      <w:r w:rsidR="005914F8" w:rsidRPr="00800B17">
        <w:rPr>
          <w:rFonts w:ascii="Calibri" w:eastAsia="Calibri" w:hAnsi="Calibri" w:cs="DokChampa"/>
          <w:color w:val="000000" w:themeColor="text1"/>
          <w:sz w:val="22"/>
          <w:szCs w:val="20"/>
          <w:lang w:val="en-GB" w:eastAsia="en-US" w:bidi="lo-LA"/>
        </w:rPr>
        <w:t>Mongolia</w:t>
      </w:r>
      <w:r w:rsidRPr="00800B17">
        <w:rPr>
          <w:rFonts w:ascii="Calibri" w:eastAsia="Calibri" w:hAnsi="Calibri" w:cs="DokChampa"/>
          <w:color w:val="000000" w:themeColor="text1"/>
          <w:sz w:val="22"/>
          <w:szCs w:val="20"/>
          <w:lang w:val="en-GB" w:eastAsia="en-US" w:bidi="lo-LA"/>
        </w:rPr>
        <w:t xml:space="preserve"> for major</w:t>
      </w:r>
      <w:r w:rsidR="00C01293" w:rsidRPr="00C01293">
        <w:t xml:space="preserve"> </w:t>
      </w:r>
      <w:r w:rsidR="00C01293" w:rsidRPr="00C01293">
        <w:rPr>
          <w:rFonts w:ascii="Calibri" w:eastAsia="Calibri" w:hAnsi="Calibri" w:cs="DokChampa"/>
          <w:color w:val="000000" w:themeColor="text1"/>
          <w:sz w:val="22"/>
          <w:szCs w:val="20"/>
          <w:lang w:val="en-GB" w:eastAsia="en-US" w:bidi="lo-LA"/>
        </w:rPr>
        <w:t xml:space="preserve">osteoporotic fracture probability (MOF) and hip fracture probability </w:t>
      </w:r>
      <w:r w:rsidR="008E4DCC">
        <w:rPr>
          <w:rFonts w:ascii="Calibri" w:eastAsia="Calibri" w:hAnsi="Calibri" w:cs="DokChampa"/>
          <w:color w:val="000000" w:themeColor="text1"/>
          <w:sz w:val="22"/>
          <w:szCs w:val="20"/>
          <w:lang w:val="en-GB" w:eastAsia="en-US" w:bidi="lo-LA"/>
        </w:rPr>
        <w:t>(</w:t>
      </w:r>
      <w:r w:rsidR="00C01293" w:rsidRPr="00C01293">
        <w:rPr>
          <w:rFonts w:ascii="Calibri" w:eastAsia="Calibri" w:hAnsi="Calibri" w:cs="DokChampa"/>
          <w:color w:val="000000" w:themeColor="text1"/>
          <w:sz w:val="22"/>
          <w:szCs w:val="20"/>
          <w:lang w:val="en-GB" w:eastAsia="en-US" w:bidi="lo-LA"/>
        </w:rPr>
        <w:t>HF). The line through the amber area represents the intervention threshold (IT) while the BMD assessment thresholds are shown at the borders of the amber area</w:t>
      </w:r>
      <w:r w:rsidR="002029CD">
        <w:rPr>
          <w:rFonts w:ascii="Calibri" w:eastAsia="Calibri" w:hAnsi="Calibri" w:cs="DokChampa"/>
          <w:color w:val="000000" w:themeColor="text1"/>
          <w:sz w:val="22"/>
          <w:szCs w:val="20"/>
          <w:lang w:val="en-GB" w:eastAsia="en-US" w:bidi="lo-LA"/>
        </w:rPr>
        <w:t xml:space="preserve"> (upper and lower assessment thresholds</w:t>
      </w:r>
      <w:r w:rsidR="00F40673">
        <w:rPr>
          <w:rFonts w:ascii="Calibri" w:eastAsia="Calibri" w:hAnsi="Calibri" w:cs="DokChampa"/>
          <w:color w:val="000000" w:themeColor="text1"/>
          <w:sz w:val="22"/>
          <w:szCs w:val="20"/>
          <w:lang w:val="en-GB" w:eastAsia="en-US" w:bidi="lo-LA"/>
        </w:rPr>
        <w:t>; UAT and LAT, respectively)</w:t>
      </w:r>
      <w:r w:rsidR="00C01293" w:rsidRPr="00C01293">
        <w:rPr>
          <w:rFonts w:ascii="Calibri" w:eastAsia="Calibri" w:hAnsi="Calibri" w:cs="DokChampa"/>
          <w:color w:val="000000" w:themeColor="text1"/>
          <w:sz w:val="22"/>
          <w:szCs w:val="20"/>
          <w:lang w:val="en-GB" w:eastAsia="en-US" w:bidi="lo-LA"/>
        </w:rPr>
        <w:t>.</w:t>
      </w:r>
    </w:p>
    <w:p w14:paraId="28157C83" w14:textId="77777777" w:rsidR="000308CF" w:rsidRDefault="000308CF" w:rsidP="00DC0CCB">
      <w:pPr>
        <w:spacing w:line="276" w:lineRule="auto"/>
        <w:ind w:left="567" w:right="708"/>
        <w:jc w:val="both"/>
        <w:rPr>
          <w:rFonts w:ascii="Calibri" w:eastAsia="Calibri" w:hAnsi="Calibri" w:cs="DokChampa"/>
          <w:color w:val="000000" w:themeColor="text1"/>
          <w:sz w:val="22"/>
          <w:szCs w:val="20"/>
          <w:lang w:val="en-GB" w:eastAsia="en-US" w:bidi="lo-LA"/>
        </w:rPr>
      </w:pPr>
    </w:p>
    <w:p w14:paraId="1C1B97BF" w14:textId="77777777" w:rsidR="000308CF" w:rsidRDefault="000308CF" w:rsidP="00DC0CCB">
      <w:pPr>
        <w:spacing w:line="276" w:lineRule="auto"/>
        <w:ind w:left="567" w:right="708"/>
        <w:jc w:val="both"/>
        <w:rPr>
          <w:rFonts w:ascii="Calibri" w:eastAsia="Calibri" w:hAnsi="Calibri" w:cs="DokChampa"/>
          <w:color w:val="000000" w:themeColor="text1"/>
          <w:sz w:val="22"/>
          <w:szCs w:val="20"/>
          <w:lang w:val="en-GB" w:eastAsia="en-US" w:bidi="lo-LA"/>
        </w:rPr>
      </w:pPr>
    </w:p>
    <w:p w14:paraId="36DCEDCD" w14:textId="31A60864" w:rsidR="000308CF" w:rsidRPr="00A9082A" w:rsidRDefault="00643F29" w:rsidP="00DC0CCB">
      <w:pPr>
        <w:spacing w:line="276" w:lineRule="auto"/>
        <w:ind w:left="567" w:right="708"/>
        <w:jc w:val="both"/>
        <w:rPr>
          <w:rFonts w:ascii="Calibri" w:eastAsia="Calibri" w:hAnsi="Calibri" w:cs="DokChampa"/>
          <w:color w:val="000000" w:themeColor="text1"/>
          <w:lang w:val="en-GB" w:eastAsia="en-US" w:bidi="lo-LA"/>
        </w:rPr>
      </w:pPr>
      <w:r w:rsidRPr="00A9082A">
        <w:rPr>
          <w:rFonts w:ascii="Calibri" w:eastAsia="Calibri" w:hAnsi="Calibri" w:cs="DokChampa"/>
          <w:color w:val="000000" w:themeColor="text1"/>
          <w:lang w:val="en-GB" w:eastAsia="en-US" w:bidi="lo-LA"/>
        </w:rPr>
        <w:t xml:space="preserve">The disposition of patients in the eligibility sample is shown in </w:t>
      </w:r>
      <w:r w:rsidR="00D52155">
        <w:rPr>
          <w:rFonts w:ascii="Calibri" w:eastAsia="Calibri" w:hAnsi="Calibri" w:cs="DokChampa"/>
          <w:color w:val="000000" w:themeColor="text1"/>
          <w:lang w:val="en-GB" w:eastAsia="en-US" w:bidi="lo-LA"/>
        </w:rPr>
        <w:t>T</w:t>
      </w:r>
      <w:r w:rsidRPr="00A9082A">
        <w:rPr>
          <w:rFonts w:ascii="Calibri" w:eastAsia="Calibri" w:hAnsi="Calibri" w:cs="DokChampa"/>
          <w:color w:val="000000" w:themeColor="text1"/>
          <w:lang w:val="en-GB" w:eastAsia="en-US" w:bidi="lo-LA"/>
        </w:rPr>
        <w:t>able 3</w:t>
      </w:r>
      <w:r w:rsidR="008670B1" w:rsidRPr="00A9082A">
        <w:rPr>
          <w:rFonts w:ascii="Calibri" w:eastAsia="Calibri" w:hAnsi="Calibri" w:cs="DokChampa"/>
          <w:color w:val="000000" w:themeColor="text1"/>
          <w:lang w:val="en-GB" w:eastAsia="en-US" w:bidi="lo-LA"/>
        </w:rPr>
        <w:t xml:space="preserve">.  </w:t>
      </w:r>
      <w:r w:rsidR="0050353E" w:rsidRPr="00A9082A">
        <w:rPr>
          <w:rFonts w:ascii="Calibri" w:eastAsia="Calibri" w:hAnsi="Calibri" w:cs="DokChampa"/>
          <w:color w:val="000000" w:themeColor="text1"/>
          <w:lang w:val="en-GB" w:eastAsia="en-US" w:bidi="lo-LA"/>
        </w:rPr>
        <w:t>Of the 202 men</w:t>
      </w:r>
      <w:r w:rsidR="0051120C" w:rsidRPr="00A9082A">
        <w:rPr>
          <w:rFonts w:ascii="Calibri" w:eastAsia="Calibri" w:hAnsi="Calibri" w:cs="DokChampa"/>
          <w:color w:val="000000" w:themeColor="text1"/>
          <w:lang w:val="en-GB" w:eastAsia="en-US" w:bidi="lo-LA"/>
        </w:rPr>
        <w:t xml:space="preserve">, </w:t>
      </w:r>
      <w:r w:rsidR="00240FA2">
        <w:rPr>
          <w:rFonts w:ascii="Calibri" w:eastAsia="Calibri" w:hAnsi="Calibri" w:cs="DokChampa"/>
          <w:color w:val="000000" w:themeColor="text1"/>
          <w:lang w:val="en-GB" w:eastAsia="en-US" w:bidi="lo-LA"/>
        </w:rPr>
        <w:t>46.5</w:t>
      </w:r>
      <w:r w:rsidR="008E2B93" w:rsidRPr="00A9082A">
        <w:rPr>
          <w:rFonts w:ascii="Calibri" w:eastAsia="Calibri" w:hAnsi="Calibri" w:cs="DokChampa"/>
          <w:color w:val="000000" w:themeColor="text1"/>
          <w:lang w:val="en-GB" w:eastAsia="en-US" w:bidi="lo-LA"/>
        </w:rPr>
        <w:t>% were eligible for treatment</w:t>
      </w:r>
      <w:r w:rsidR="00A210E6" w:rsidRPr="00A9082A">
        <w:rPr>
          <w:rFonts w:ascii="Calibri" w:eastAsia="Calibri" w:hAnsi="Calibri" w:cs="DokChampa"/>
          <w:color w:val="000000" w:themeColor="text1"/>
          <w:lang w:val="en-GB" w:eastAsia="en-US" w:bidi="lo-LA"/>
        </w:rPr>
        <w:t>, the majority of whom were eligible because of a prior fracture</w:t>
      </w:r>
      <w:r w:rsidR="003A7156" w:rsidRPr="00A9082A">
        <w:rPr>
          <w:rFonts w:ascii="Calibri" w:eastAsia="Calibri" w:hAnsi="Calibri" w:cs="DokChampa"/>
          <w:color w:val="000000" w:themeColor="text1"/>
          <w:lang w:val="en-GB" w:eastAsia="en-US" w:bidi="lo-LA"/>
        </w:rPr>
        <w:t xml:space="preserve"> </w:t>
      </w:r>
      <w:r w:rsidR="00567E5B">
        <w:rPr>
          <w:rFonts w:ascii="Calibri" w:eastAsia="Calibri" w:hAnsi="Calibri" w:cs="DokChampa"/>
          <w:color w:val="000000" w:themeColor="text1"/>
          <w:lang w:val="en-GB" w:eastAsia="en-US" w:bidi="lo-LA"/>
        </w:rPr>
        <w:t>(</w:t>
      </w:r>
      <w:r w:rsidR="00E938AB" w:rsidRPr="00A9082A">
        <w:rPr>
          <w:rFonts w:ascii="Calibri" w:eastAsia="Calibri" w:hAnsi="Calibri" w:cs="DokChampa"/>
          <w:color w:val="000000" w:themeColor="text1"/>
          <w:lang w:val="en-GB" w:eastAsia="en-US" w:bidi="lo-LA"/>
        </w:rPr>
        <w:t>93 of</w:t>
      </w:r>
      <w:r w:rsidR="003A7156" w:rsidRPr="00A9082A">
        <w:rPr>
          <w:rFonts w:ascii="Calibri" w:eastAsia="Calibri" w:hAnsi="Calibri" w:cs="DokChampa"/>
          <w:color w:val="000000" w:themeColor="text1"/>
          <w:lang w:val="en-GB" w:eastAsia="en-US" w:bidi="lo-LA"/>
        </w:rPr>
        <w:t xml:space="preserve"> </w:t>
      </w:r>
      <w:r w:rsidR="00AF381A">
        <w:rPr>
          <w:rFonts w:ascii="Calibri" w:eastAsia="Calibri" w:hAnsi="Calibri" w:cs="DokChampa"/>
          <w:color w:val="000000" w:themeColor="text1"/>
          <w:lang w:val="en-GB" w:eastAsia="en-US" w:bidi="lo-LA"/>
        </w:rPr>
        <w:t>9</w:t>
      </w:r>
      <w:r w:rsidR="003A7156" w:rsidRPr="00A9082A">
        <w:rPr>
          <w:rFonts w:ascii="Calibri" w:eastAsia="Calibri" w:hAnsi="Calibri" w:cs="DokChampa"/>
          <w:color w:val="000000" w:themeColor="text1"/>
          <w:lang w:val="en-GB" w:eastAsia="en-US" w:bidi="lo-LA"/>
        </w:rPr>
        <w:t>4</w:t>
      </w:r>
      <w:r w:rsidR="00E938AB" w:rsidRPr="00A9082A">
        <w:rPr>
          <w:rFonts w:ascii="Calibri" w:eastAsia="Calibri" w:hAnsi="Calibri" w:cs="DokChampa"/>
          <w:color w:val="000000" w:themeColor="text1"/>
          <w:lang w:val="en-GB" w:eastAsia="en-US" w:bidi="lo-LA"/>
        </w:rPr>
        <w:t xml:space="preserve"> patients</w:t>
      </w:r>
      <w:r w:rsidR="00567E5B">
        <w:rPr>
          <w:rFonts w:ascii="Calibri" w:eastAsia="Calibri" w:hAnsi="Calibri" w:cs="DokChampa"/>
          <w:color w:val="000000" w:themeColor="text1"/>
          <w:lang w:val="en-GB" w:eastAsia="en-US" w:bidi="lo-LA"/>
        </w:rPr>
        <w:t>)</w:t>
      </w:r>
      <w:r w:rsidR="00E938AB" w:rsidRPr="00A9082A">
        <w:rPr>
          <w:rFonts w:ascii="Calibri" w:eastAsia="Calibri" w:hAnsi="Calibri" w:cs="DokChampa"/>
          <w:color w:val="000000" w:themeColor="text1"/>
          <w:lang w:val="en-GB" w:eastAsia="en-US" w:bidi="lo-LA"/>
        </w:rPr>
        <w:t>.</w:t>
      </w:r>
      <w:r w:rsidR="00034C3F" w:rsidRPr="00A9082A">
        <w:rPr>
          <w:rFonts w:ascii="Calibri" w:eastAsia="Calibri" w:hAnsi="Calibri" w:cs="DokChampa"/>
          <w:color w:val="000000" w:themeColor="text1"/>
          <w:lang w:val="en-GB" w:eastAsia="en-US" w:bidi="lo-LA"/>
        </w:rPr>
        <w:t xml:space="preserve">  Had femoral neck BMD facilities b</w:t>
      </w:r>
      <w:r w:rsidR="00305FEE" w:rsidRPr="00A9082A">
        <w:rPr>
          <w:rFonts w:ascii="Calibri" w:eastAsia="Calibri" w:hAnsi="Calibri" w:cs="DokChampa"/>
          <w:color w:val="000000" w:themeColor="text1"/>
          <w:lang w:val="en-GB" w:eastAsia="en-US" w:bidi="lo-LA"/>
        </w:rPr>
        <w:t xml:space="preserve">een available, </w:t>
      </w:r>
      <w:r w:rsidR="00301757" w:rsidRPr="00A9082A">
        <w:rPr>
          <w:rFonts w:ascii="Calibri" w:eastAsia="Calibri" w:hAnsi="Calibri" w:cs="DokChampa"/>
          <w:color w:val="000000" w:themeColor="text1"/>
          <w:lang w:val="en-GB" w:eastAsia="en-US" w:bidi="lo-LA"/>
        </w:rPr>
        <w:t xml:space="preserve">densitometry would have been recommended in 21 patients. </w:t>
      </w:r>
      <w:r w:rsidR="005F78ED" w:rsidRPr="00A9082A">
        <w:rPr>
          <w:rFonts w:ascii="Calibri" w:eastAsia="Calibri" w:hAnsi="Calibri" w:cs="DokChampa"/>
          <w:color w:val="000000" w:themeColor="text1"/>
          <w:lang w:val="en-GB" w:eastAsia="en-US" w:bidi="lo-LA"/>
        </w:rPr>
        <w:t xml:space="preserve"> In the case of women</w:t>
      </w:r>
      <w:r w:rsidR="006B3E78" w:rsidRPr="00A9082A">
        <w:rPr>
          <w:rFonts w:ascii="Calibri" w:eastAsia="Calibri" w:hAnsi="Calibri" w:cs="DokChampa"/>
          <w:color w:val="000000" w:themeColor="text1"/>
          <w:lang w:val="en-GB" w:eastAsia="en-US" w:bidi="lo-LA"/>
        </w:rPr>
        <w:t>,</w:t>
      </w:r>
      <w:r w:rsidR="00D15575" w:rsidRPr="00A9082A">
        <w:rPr>
          <w:rFonts w:ascii="Calibri" w:eastAsia="Calibri" w:hAnsi="Calibri" w:cs="DokChampa"/>
          <w:color w:val="000000" w:themeColor="text1"/>
          <w:lang w:val="en-GB" w:eastAsia="en-US" w:bidi="lo-LA"/>
        </w:rPr>
        <w:t xml:space="preserve"> </w:t>
      </w:r>
      <w:r w:rsidR="00C53905">
        <w:rPr>
          <w:rFonts w:ascii="Calibri" w:eastAsia="Calibri" w:hAnsi="Calibri" w:cs="DokChampa"/>
          <w:color w:val="000000" w:themeColor="text1"/>
          <w:lang w:val="en-GB" w:eastAsia="en-US" w:bidi="lo-LA"/>
        </w:rPr>
        <w:lastRenderedPageBreak/>
        <w:t>42.5</w:t>
      </w:r>
      <w:r w:rsidR="00D15575" w:rsidRPr="00A9082A">
        <w:rPr>
          <w:rFonts w:ascii="Calibri" w:eastAsia="Calibri" w:hAnsi="Calibri" w:cs="DokChampa"/>
          <w:color w:val="000000" w:themeColor="text1"/>
          <w:lang w:val="en-GB" w:eastAsia="en-US" w:bidi="lo-LA"/>
        </w:rPr>
        <w:t>% were eligible for treatment</w:t>
      </w:r>
      <w:r w:rsidR="004419A4" w:rsidRPr="00A9082A">
        <w:rPr>
          <w:rFonts w:ascii="Calibri" w:eastAsia="Calibri" w:hAnsi="Calibri" w:cs="DokChampa"/>
          <w:color w:val="000000" w:themeColor="text1"/>
          <w:lang w:val="en-GB" w:eastAsia="en-US" w:bidi="lo-LA"/>
        </w:rPr>
        <w:t>.</w:t>
      </w:r>
      <w:r w:rsidR="00D15575" w:rsidRPr="00A9082A">
        <w:rPr>
          <w:rFonts w:ascii="Calibri" w:eastAsia="Calibri" w:hAnsi="Calibri" w:cs="DokChampa"/>
          <w:color w:val="000000" w:themeColor="text1"/>
          <w:lang w:val="en-GB" w:eastAsia="en-US" w:bidi="lo-LA"/>
        </w:rPr>
        <w:t xml:space="preserve"> </w:t>
      </w:r>
      <w:r w:rsidR="001B09A9">
        <w:rPr>
          <w:rFonts w:ascii="Calibri" w:eastAsia="Calibri" w:hAnsi="Calibri" w:cs="DokChampa"/>
          <w:color w:val="000000" w:themeColor="text1"/>
          <w:lang w:val="en-GB" w:eastAsia="en-US" w:bidi="lo-LA"/>
        </w:rPr>
        <w:t xml:space="preserve"> </w:t>
      </w:r>
      <w:r w:rsidR="004419A4" w:rsidRPr="00A9082A">
        <w:rPr>
          <w:rFonts w:ascii="Calibri" w:eastAsia="Calibri" w:hAnsi="Calibri" w:cs="DokChampa"/>
          <w:color w:val="000000" w:themeColor="text1"/>
          <w:lang w:val="en-GB" w:eastAsia="en-US" w:bidi="lo-LA"/>
        </w:rPr>
        <w:t xml:space="preserve">As was the case in men, </w:t>
      </w:r>
      <w:r w:rsidR="004560D8" w:rsidRPr="00A9082A">
        <w:rPr>
          <w:rFonts w:ascii="Calibri" w:eastAsia="Calibri" w:hAnsi="Calibri" w:cs="DokChampa"/>
          <w:color w:val="000000" w:themeColor="text1"/>
          <w:lang w:val="en-GB" w:eastAsia="en-US" w:bidi="lo-LA"/>
        </w:rPr>
        <w:t>most</w:t>
      </w:r>
      <w:r w:rsidR="00D15575" w:rsidRPr="00A9082A">
        <w:rPr>
          <w:rFonts w:ascii="Calibri" w:eastAsia="Calibri" w:hAnsi="Calibri" w:cs="DokChampa"/>
          <w:color w:val="000000" w:themeColor="text1"/>
          <w:lang w:val="en-GB" w:eastAsia="en-US" w:bidi="lo-LA"/>
        </w:rPr>
        <w:t xml:space="preserve"> </w:t>
      </w:r>
      <w:r w:rsidR="004419A4" w:rsidRPr="00A9082A">
        <w:rPr>
          <w:rFonts w:ascii="Calibri" w:eastAsia="Calibri" w:hAnsi="Calibri" w:cs="DokChampa"/>
          <w:color w:val="000000" w:themeColor="text1"/>
          <w:lang w:val="en-GB" w:eastAsia="en-US" w:bidi="lo-LA"/>
        </w:rPr>
        <w:t>women</w:t>
      </w:r>
      <w:r w:rsidR="00D15575" w:rsidRPr="00A9082A">
        <w:rPr>
          <w:rFonts w:ascii="Calibri" w:eastAsia="Calibri" w:hAnsi="Calibri" w:cs="DokChampa"/>
          <w:color w:val="000000" w:themeColor="text1"/>
          <w:lang w:val="en-GB" w:eastAsia="en-US" w:bidi="lo-LA"/>
        </w:rPr>
        <w:t xml:space="preserve"> were eligible because of a prior fracture </w:t>
      </w:r>
      <w:r w:rsidR="008566E1" w:rsidRPr="00A9082A">
        <w:rPr>
          <w:rFonts w:ascii="Calibri" w:eastAsia="Calibri" w:hAnsi="Calibri" w:cs="DokChampa"/>
          <w:color w:val="000000" w:themeColor="text1"/>
          <w:lang w:val="en-GB" w:eastAsia="en-US" w:bidi="lo-LA"/>
        </w:rPr>
        <w:t>(</w:t>
      </w:r>
      <w:r w:rsidR="001B09A9">
        <w:rPr>
          <w:rFonts w:ascii="Calibri" w:eastAsia="Calibri" w:hAnsi="Calibri" w:cs="DokChampa"/>
          <w:color w:val="000000" w:themeColor="text1"/>
          <w:lang w:val="en-GB" w:eastAsia="en-US" w:bidi="lo-LA"/>
        </w:rPr>
        <w:t>102 of 122 patients</w:t>
      </w:r>
      <w:r w:rsidR="00144276" w:rsidRPr="00A9082A">
        <w:rPr>
          <w:rFonts w:ascii="Calibri" w:eastAsia="Calibri" w:hAnsi="Calibri" w:cs="DokChampa"/>
          <w:color w:val="000000" w:themeColor="text1"/>
          <w:lang w:val="en-GB" w:eastAsia="en-US" w:bidi="lo-LA"/>
        </w:rPr>
        <w:t>)</w:t>
      </w:r>
      <w:r w:rsidR="00D15575" w:rsidRPr="00A9082A">
        <w:rPr>
          <w:rFonts w:ascii="Calibri" w:eastAsia="Calibri" w:hAnsi="Calibri" w:cs="DokChampa"/>
          <w:color w:val="000000" w:themeColor="text1"/>
          <w:lang w:val="en-GB" w:eastAsia="en-US" w:bidi="lo-LA"/>
        </w:rPr>
        <w:t xml:space="preserve">.  Had femoral neck BMD facilities been available, densitometry would have been recommended in </w:t>
      </w:r>
      <w:r w:rsidR="00144276" w:rsidRPr="00A9082A">
        <w:rPr>
          <w:rFonts w:ascii="Calibri" w:eastAsia="Calibri" w:hAnsi="Calibri" w:cs="DokChampa"/>
          <w:color w:val="000000" w:themeColor="text1"/>
          <w:lang w:val="en-GB" w:eastAsia="en-US" w:bidi="lo-LA"/>
        </w:rPr>
        <w:t>1</w:t>
      </w:r>
      <w:r w:rsidR="00E90A2F" w:rsidRPr="00A9082A">
        <w:rPr>
          <w:rFonts w:ascii="Calibri" w:eastAsia="Calibri" w:hAnsi="Calibri" w:cs="DokChampa"/>
          <w:color w:val="000000" w:themeColor="text1"/>
          <w:lang w:val="en-GB" w:eastAsia="en-US" w:bidi="lo-LA"/>
        </w:rPr>
        <w:t>1</w:t>
      </w:r>
      <w:r w:rsidR="00D02954">
        <w:rPr>
          <w:rFonts w:ascii="Calibri" w:eastAsia="Calibri" w:hAnsi="Calibri" w:cs="DokChampa"/>
          <w:color w:val="000000" w:themeColor="text1"/>
          <w:lang w:val="en-GB" w:eastAsia="en-US" w:bidi="lo-LA"/>
        </w:rPr>
        <w:t>6</w:t>
      </w:r>
      <w:r w:rsidR="00D15575" w:rsidRPr="00A9082A">
        <w:rPr>
          <w:rFonts w:ascii="Calibri" w:eastAsia="Calibri" w:hAnsi="Calibri" w:cs="DokChampa"/>
          <w:color w:val="000000" w:themeColor="text1"/>
          <w:lang w:val="en-GB" w:eastAsia="en-US" w:bidi="lo-LA"/>
        </w:rPr>
        <w:t xml:space="preserve"> </w:t>
      </w:r>
      <w:r w:rsidR="00E90A2F" w:rsidRPr="00A9082A">
        <w:rPr>
          <w:rFonts w:ascii="Calibri" w:eastAsia="Calibri" w:hAnsi="Calibri" w:cs="DokChampa"/>
          <w:color w:val="000000" w:themeColor="text1"/>
          <w:lang w:val="en-GB" w:eastAsia="en-US" w:bidi="lo-LA"/>
        </w:rPr>
        <w:t>women</w:t>
      </w:r>
      <w:r w:rsidR="00D15575" w:rsidRPr="00A9082A">
        <w:rPr>
          <w:rFonts w:ascii="Calibri" w:eastAsia="Calibri" w:hAnsi="Calibri" w:cs="DokChampa"/>
          <w:color w:val="000000" w:themeColor="text1"/>
          <w:lang w:val="en-GB" w:eastAsia="en-US" w:bidi="lo-LA"/>
        </w:rPr>
        <w:t>.</w:t>
      </w:r>
      <w:r w:rsidR="00E90A2F" w:rsidRPr="00A9082A">
        <w:rPr>
          <w:rFonts w:ascii="Calibri" w:eastAsia="Calibri" w:hAnsi="Calibri" w:cs="DokChampa"/>
          <w:color w:val="000000" w:themeColor="text1"/>
          <w:lang w:val="en-GB" w:eastAsia="en-US" w:bidi="lo-LA"/>
        </w:rPr>
        <w:t xml:space="preserve">  As </w:t>
      </w:r>
      <w:r w:rsidR="00103859" w:rsidRPr="00A9082A">
        <w:rPr>
          <w:rFonts w:ascii="Calibri" w:eastAsia="Calibri" w:hAnsi="Calibri" w:cs="DokChampa"/>
          <w:color w:val="000000" w:themeColor="text1"/>
          <w:lang w:val="en-GB" w:eastAsia="en-US" w:bidi="lo-LA"/>
        </w:rPr>
        <w:t>expected,</w:t>
      </w:r>
      <w:r w:rsidR="00E90A2F" w:rsidRPr="00A9082A">
        <w:rPr>
          <w:rFonts w:ascii="Calibri" w:eastAsia="Calibri" w:hAnsi="Calibri" w:cs="DokChampa"/>
          <w:color w:val="000000" w:themeColor="text1"/>
          <w:lang w:val="en-GB" w:eastAsia="en-US" w:bidi="lo-LA"/>
        </w:rPr>
        <w:t xml:space="preserve"> 10-year probabilities o</w:t>
      </w:r>
      <w:r w:rsidR="00AE10DD" w:rsidRPr="00A9082A">
        <w:rPr>
          <w:rFonts w:ascii="Calibri" w:eastAsia="Calibri" w:hAnsi="Calibri" w:cs="DokChampa"/>
          <w:color w:val="000000" w:themeColor="text1"/>
          <w:lang w:val="en-GB" w:eastAsia="en-US" w:bidi="lo-LA"/>
        </w:rPr>
        <w:t xml:space="preserve">f a MOF were lower in men </w:t>
      </w:r>
      <w:r w:rsidR="004560D8" w:rsidRPr="00A9082A">
        <w:rPr>
          <w:rFonts w:ascii="Calibri" w:eastAsia="Calibri" w:hAnsi="Calibri" w:cs="DokChampa"/>
          <w:color w:val="000000" w:themeColor="text1"/>
          <w:lang w:val="en-GB" w:eastAsia="en-US" w:bidi="lo-LA"/>
        </w:rPr>
        <w:t>than in women for all categories.</w:t>
      </w:r>
    </w:p>
    <w:p w14:paraId="03CA413D" w14:textId="77777777" w:rsidR="00C01293" w:rsidRPr="00A9082A" w:rsidRDefault="00C01293" w:rsidP="00DC0CCB">
      <w:pPr>
        <w:spacing w:line="276" w:lineRule="auto"/>
        <w:ind w:left="567" w:right="708"/>
        <w:jc w:val="both"/>
        <w:rPr>
          <w:rFonts w:ascii="Calibri" w:eastAsia="Calibri" w:hAnsi="Calibri" w:cs="DokChampa"/>
          <w:color w:val="000000" w:themeColor="text1"/>
          <w:lang w:val="en-GB" w:eastAsia="en-US" w:bidi="lo-LA"/>
        </w:rPr>
      </w:pPr>
    </w:p>
    <w:p w14:paraId="7BA2D90E" w14:textId="63749E95" w:rsidR="00C01293" w:rsidRDefault="00103859" w:rsidP="00DC0CCB">
      <w:pPr>
        <w:spacing w:line="276" w:lineRule="auto"/>
        <w:ind w:left="567" w:right="708"/>
        <w:jc w:val="both"/>
        <w:rPr>
          <w:rFonts w:ascii="Calibri" w:eastAsia="Calibri" w:hAnsi="Calibri" w:cs="DokChampa"/>
          <w:color w:val="000000" w:themeColor="text1"/>
          <w:sz w:val="22"/>
          <w:szCs w:val="20"/>
          <w:lang w:val="en-GB" w:eastAsia="en-US" w:bidi="lo-LA"/>
        </w:rPr>
      </w:pPr>
      <w:r w:rsidRPr="00103859">
        <w:rPr>
          <w:rFonts w:ascii="Calibri" w:eastAsia="Calibri" w:hAnsi="Calibri" w:cs="DokChampa"/>
          <w:b/>
          <w:bCs/>
          <w:color w:val="000000" w:themeColor="text1"/>
          <w:sz w:val="22"/>
          <w:szCs w:val="20"/>
          <w:lang w:val="en-GB" w:eastAsia="en-US" w:bidi="lo-LA"/>
        </w:rPr>
        <w:t>Table 3</w:t>
      </w:r>
      <w:r w:rsidRPr="00103859">
        <w:rPr>
          <w:rFonts w:ascii="Calibri" w:eastAsia="Calibri" w:hAnsi="Calibri" w:cs="DokChampa"/>
          <w:color w:val="000000" w:themeColor="text1"/>
          <w:sz w:val="22"/>
          <w:szCs w:val="20"/>
          <w:lang w:val="en-GB" w:eastAsia="en-US" w:bidi="lo-LA"/>
        </w:rPr>
        <w:t>.</w:t>
      </w:r>
      <w:r>
        <w:rPr>
          <w:rFonts w:ascii="Calibri" w:eastAsia="Calibri" w:hAnsi="Calibri" w:cs="DokChampa"/>
          <w:color w:val="000000" w:themeColor="text1"/>
          <w:sz w:val="22"/>
          <w:szCs w:val="20"/>
          <w:lang w:val="en-GB" w:eastAsia="en-US" w:bidi="lo-LA"/>
        </w:rPr>
        <w:t xml:space="preserve"> </w:t>
      </w:r>
      <w:r w:rsidR="009D44B9">
        <w:rPr>
          <w:rFonts w:ascii="Calibri" w:eastAsia="Calibri" w:hAnsi="Calibri" w:cs="DokChampa"/>
          <w:color w:val="000000" w:themeColor="text1"/>
          <w:sz w:val="22"/>
          <w:szCs w:val="20"/>
          <w:lang w:val="en-GB" w:eastAsia="en-US" w:bidi="lo-LA"/>
        </w:rPr>
        <w:t>Disposition</w:t>
      </w:r>
      <w:r>
        <w:rPr>
          <w:rFonts w:ascii="Calibri" w:eastAsia="Calibri" w:hAnsi="Calibri" w:cs="DokChampa"/>
          <w:color w:val="000000" w:themeColor="text1"/>
          <w:sz w:val="22"/>
          <w:szCs w:val="20"/>
          <w:lang w:val="en-GB" w:eastAsia="en-US" w:bidi="lo-LA"/>
        </w:rPr>
        <w:t xml:space="preserve"> o</w:t>
      </w:r>
      <w:r w:rsidR="009D44B9">
        <w:rPr>
          <w:rFonts w:ascii="Calibri" w:eastAsia="Calibri" w:hAnsi="Calibri" w:cs="DokChampa"/>
          <w:color w:val="000000" w:themeColor="text1"/>
          <w:sz w:val="22"/>
          <w:szCs w:val="20"/>
          <w:lang w:val="en-GB" w:eastAsia="en-US" w:bidi="lo-LA"/>
        </w:rPr>
        <w:t>f the eligibility cohort</w:t>
      </w:r>
      <w:r w:rsidR="00A53D95">
        <w:rPr>
          <w:rFonts w:ascii="Calibri" w:eastAsia="Calibri" w:hAnsi="Calibri" w:cs="DokChampa"/>
          <w:color w:val="000000" w:themeColor="text1"/>
          <w:sz w:val="22"/>
          <w:szCs w:val="20"/>
          <w:lang w:val="en-GB" w:eastAsia="en-US" w:bidi="lo-LA"/>
        </w:rPr>
        <w:t xml:space="preserve"> accordin</w:t>
      </w:r>
      <w:r w:rsidR="00836082">
        <w:rPr>
          <w:rFonts w:ascii="Calibri" w:eastAsia="Calibri" w:hAnsi="Calibri" w:cs="DokChampa"/>
          <w:color w:val="000000" w:themeColor="text1"/>
          <w:sz w:val="22"/>
          <w:szCs w:val="20"/>
          <w:lang w:val="en-GB" w:eastAsia="en-US" w:bidi="lo-LA"/>
        </w:rPr>
        <w:t xml:space="preserve">g to 10-year probabilities of </w:t>
      </w:r>
      <w:r w:rsidR="00311CF6">
        <w:rPr>
          <w:rFonts w:ascii="Calibri" w:eastAsia="Calibri" w:hAnsi="Calibri" w:cs="DokChampa"/>
          <w:color w:val="000000" w:themeColor="text1"/>
          <w:sz w:val="22"/>
          <w:szCs w:val="20"/>
          <w:lang w:val="en-GB" w:eastAsia="en-US" w:bidi="lo-LA"/>
        </w:rPr>
        <w:t>a MOF with regard to assessment and intervention thresholds</w:t>
      </w:r>
      <w:r w:rsidR="00781FE6">
        <w:rPr>
          <w:rFonts w:ascii="Calibri" w:eastAsia="Calibri" w:hAnsi="Calibri" w:cs="DokChampa"/>
          <w:color w:val="000000" w:themeColor="text1"/>
          <w:sz w:val="22"/>
          <w:szCs w:val="20"/>
          <w:lang w:val="en-GB" w:eastAsia="en-US" w:bidi="lo-LA"/>
        </w:rPr>
        <w:t>.</w:t>
      </w:r>
    </w:p>
    <w:p w14:paraId="6058B5CE" w14:textId="77777777" w:rsidR="00C01293" w:rsidRDefault="00C01293" w:rsidP="00DC0CCB">
      <w:pPr>
        <w:spacing w:line="276" w:lineRule="auto"/>
        <w:ind w:left="567" w:right="708"/>
        <w:jc w:val="both"/>
        <w:rPr>
          <w:rFonts w:ascii="Calibri" w:eastAsia="Calibri" w:hAnsi="Calibri" w:cs="DokChampa"/>
          <w:color w:val="000000" w:themeColor="text1"/>
          <w:sz w:val="22"/>
          <w:szCs w:val="20"/>
          <w:lang w:val="en-GB" w:eastAsia="en-US" w:bidi="lo-LA"/>
        </w:rPr>
      </w:pPr>
    </w:p>
    <w:p w14:paraId="3B3C5520" w14:textId="77777777" w:rsidR="004572B3" w:rsidRDefault="004572B3" w:rsidP="00DC0CCB">
      <w:pPr>
        <w:spacing w:line="276" w:lineRule="auto"/>
        <w:ind w:left="567" w:right="708"/>
        <w:jc w:val="both"/>
        <w:rPr>
          <w:rFonts w:ascii="Calibri" w:eastAsia="Calibri" w:hAnsi="Calibri" w:cs="DokChampa"/>
          <w:color w:val="000000" w:themeColor="text1"/>
          <w:sz w:val="22"/>
          <w:szCs w:val="20"/>
          <w:lang w:val="en-GB" w:eastAsia="en-US" w:bidi="lo-LA"/>
        </w:rPr>
      </w:pPr>
    </w:p>
    <w:tbl>
      <w:tblPr>
        <w:tblStyle w:val="TableGrid6"/>
        <w:tblpPr w:leftFromText="180" w:rightFromText="180" w:vertAnchor="text" w:horzAnchor="margin" w:tblpXSpec="center" w:tblpY="-37"/>
        <w:tblW w:w="0" w:type="auto"/>
        <w:tblLook w:val="04A0" w:firstRow="1" w:lastRow="0" w:firstColumn="1" w:lastColumn="0" w:noHBand="0" w:noVBand="1"/>
      </w:tblPr>
      <w:tblGrid>
        <w:gridCol w:w="2830"/>
        <w:gridCol w:w="709"/>
        <w:gridCol w:w="657"/>
        <w:gridCol w:w="1186"/>
        <w:gridCol w:w="709"/>
        <w:gridCol w:w="850"/>
        <w:gridCol w:w="1272"/>
      </w:tblGrid>
      <w:tr w:rsidR="0088470C" w:rsidRPr="007546A5" w14:paraId="33035E46" w14:textId="77777777" w:rsidTr="0088470C">
        <w:tc>
          <w:tcPr>
            <w:tcW w:w="2830" w:type="dxa"/>
          </w:tcPr>
          <w:p w14:paraId="24256B5C"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p>
        </w:tc>
        <w:tc>
          <w:tcPr>
            <w:tcW w:w="2552" w:type="dxa"/>
            <w:gridSpan w:val="3"/>
          </w:tcPr>
          <w:p w14:paraId="4A947E4A"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Men</w:t>
            </w:r>
          </w:p>
        </w:tc>
        <w:tc>
          <w:tcPr>
            <w:tcW w:w="2831" w:type="dxa"/>
            <w:gridSpan w:val="3"/>
          </w:tcPr>
          <w:p w14:paraId="3DBDBCDE"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Women</w:t>
            </w:r>
          </w:p>
        </w:tc>
      </w:tr>
      <w:tr w:rsidR="0088470C" w:rsidRPr="007546A5" w14:paraId="0A58E412" w14:textId="77777777" w:rsidTr="0088470C">
        <w:tc>
          <w:tcPr>
            <w:tcW w:w="2830" w:type="dxa"/>
          </w:tcPr>
          <w:p w14:paraId="2344842A"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p>
        </w:tc>
        <w:tc>
          <w:tcPr>
            <w:tcW w:w="709" w:type="dxa"/>
          </w:tcPr>
          <w:p w14:paraId="168F05D8"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n</w:t>
            </w:r>
          </w:p>
        </w:tc>
        <w:tc>
          <w:tcPr>
            <w:tcW w:w="657" w:type="dxa"/>
          </w:tcPr>
          <w:p w14:paraId="07DFE6FF"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w:t>
            </w:r>
          </w:p>
        </w:tc>
        <w:tc>
          <w:tcPr>
            <w:tcW w:w="1186" w:type="dxa"/>
          </w:tcPr>
          <w:p w14:paraId="33AD689A" w14:textId="77777777" w:rsidR="0088470C" w:rsidRPr="007546A5" w:rsidRDefault="0088470C" w:rsidP="0088470C">
            <w:pPr>
              <w:spacing w:after="160" w:line="278" w:lineRule="auto"/>
              <w:rPr>
                <w:rFonts w:asciiTheme="minorHAnsi" w:hAnsiTheme="minorHAnsi" w:cstheme="minorHAnsi"/>
              </w:rPr>
            </w:pPr>
            <w:r w:rsidRPr="007546A5">
              <w:rPr>
                <w:rFonts w:asciiTheme="minorHAnsi" w:eastAsia="Aptos" w:hAnsiTheme="minorHAnsi" w:cstheme="minorHAnsi"/>
                <w:sz w:val="22"/>
                <w:szCs w:val="22"/>
                <w:lang w:eastAsia="en-US"/>
              </w:rPr>
              <w:t>Probability</w:t>
            </w:r>
            <w:r w:rsidRPr="007546A5">
              <w:rPr>
                <w:rFonts w:asciiTheme="minorHAnsi" w:eastAsia="Aptos" w:hAnsiTheme="minorHAnsi" w:cstheme="minorHAnsi"/>
                <w:sz w:val="22"/>
                <w:szCs w:val="22"/>
                <w:lang w:eastAsia="en-US"/>
              </w:rPr>
              <w:br/>
              <w:t>MOF (%)</w:t>
            </w:r>
          </w:p>
        </w:tc>
        <w:tc>
          <w:tcPr>
            <w:tcW w:w="709" w:type="dxa"/>
          </w:tcPr>
          <w:p w14:paraId="1E92BCFB"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rPr>
              <w:t>n</w:t>
            </w:r>
          </w:p>
        </w:tc>
        <w:tc>
          <w:tcPr>
            <w:tcW w:w="850" w:type="dxa"/>
          </w:tcPr>
          <w:p w14:paraId="7E68A546" w14:textId="77777777" w:rsidR="0088470C" w:rsidRPr="007546A5" w:rsidRDefault="0088470C" w:rsidP="0088470C">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rPr>
              <w:t>%</w:t>
            </w:r>
          </w:p>
        </w:tc>
        <w:tc>
          <w:tcPr>
            <w:tcW w:w="1272" w:type="dxa"/>
          </w:tcPr>
          <w:p w14:paraId="0F996232" w14:textId="77777777" w:rsidR="0088470C" w:rsidRPr="007546A5" w:rsidRDefault="0088470C" w:rsidP="0088470C">
            <w:pPr>
              <w:spacing w:after="160" w:line="278" w:lineRule="auto"/>
              <w:rPr>
                <w:rFonts w:asciiTheme="minorHAnsi" w:hAnsiTheme="minorHAnsi" w:cstheme="minorHAnsi"/>
              </w:rPr>
            </w:pPr>
            <w:r w:rsidRPr="007546A5">
              <w:rPr>
                <w:rFonts w:asciiTheme="minorHAnsi" w:eastAsia="Aptos" w:hAnsiTheme="minorHAnsi" w:cstheme="minorHAnsi"/>
                <w:sz w:val="22"/>
                <w:szCs w:val="22"/>
                <w:lang w:eastAsia="en-US"/>
              </w:rPr>
              <w:t>Probability</w:t>
            </w:r>
            <w:r w:rsidRPr="007546A5">
              <w:rPr>
                <w:rFonts w:asciiTheme="minorHAnsi" w:eastAsia="Aptos" w:hAnsiTheme="minorHAnsi" w:cstheme="minorHAnsi"/>
                <w:sz w:val="22"/>
                <w:szCs w:val="22"/>
                <w:lang w:eastAsia="en-US"/>
              </w:rPr>
              <w:br/>
              <w:t>MOF (%)</w:t>
            </w:r>
          </w:p>
        </w:tc>
      </w:tr>
      <w:tr w:rsidR="00FC6008" w:rsidRPr="007546A5" w14:paraId="0A05D8A9" w14:textId="77777777" w:rsidTr="001A49E0">
        <w:tc>
          <w:tcPr>
            <w:tcW w:w="2830" w:type="dxa"/>
          </w:tcPr>
          <w:p w14:paraId="0F323A18" w14:textId="5361C0C9"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 xml:space="preserve">All </w:t>
            </w:r>
          </w:p>
        </w:tc>
        <w:tc>
          <w:tcPr>
            <w:tcW w:w="709" w:type="dxa"/>
            <w:tcBorders>
              <w:top w:val="single" w:sz="4" w:space="0" w:color="auto"/>
              <w:left w:val="single" w:sz="4" w:space="0" w:color="auto"/>
              <w:bottom w:val="single" w:sz="4" w:space="0" w:color="auto"/>
              <w:right w:val="single" w:sz="4" w:space="0" w:color="auto"/>
            </w:tcBorders>
          </w:tcPr>
          <w:p w14:paraId="14EB5D00" w14:textId="3C814873"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202</w:t>
            </w:r>
          </w:p>
        </w:tc>
        <w:tc>
          <w:tcPr>
            <w:tcW w:w="657" w:type="dxa"/>
          </w:tcPr>
          <w:p w14:paraId="245B77E8" w14:textId="16051D27"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rPr>
              <w:t>100</w:t>
            </w:r>
          </w:p>
        </w:tc>
        <w:tc>
          <w:tcPr>
            <w:tcW w:w="1186" w:type="dxa"/>
            <w:tcBorders>
              <w:top w:val="single" w:sz="4" w:space="0" w:color="auto"/>
              <w:left w:val="single" w:sz="4" w:space="0" w:color="auto"/>
              <w:bottom w:val="single" w:sz="4" w:space="0" w:color="auto"/>
              <w:right w:val="single" w:sz="4" w:space="0" w:color="auto"/>
            </w:tcBorders>
          </w:tcPr>
          <w:p w14:paraId="6413CDE1" w14:textId="67CDCEA2" w:rsidR="00FC6008" w:rsidRPr="007546A5" w:rsidRDefault="00FC6008" w:rsidP="00FC6008">
            <w:pPr>
              <w:spacing w:after="160" w:line="278" w:lineRule="auto"/>
              <w:rPr>
                <w:rFonts w:asciiTheme="minorHAnsi" w:eastAsia="Aptos" w:hAnsiTheme="minorHAnsi" w:cstheme="minorHAnsi"/>
                <w:sz w:val="22"/>
                <w:szCs w:val="22"/>
                <w:lang w:eastAsia="en-US"/>
              </w:rPr>
            </w:pPr>
            <w:r>
              <w:rPr>
                <w:rFonts w:asciiTheme="minorHAnsi" w:eastAsia="Aptos" w:hAnsiTheme="minorHAnsi" w:cstheme="minorHAnsi"/>
                <w:sz w:val="22"/>
                <w:szCs w:val="22"/>
                <w:lang w:eastAsia="en-US"/>
              </w:rPr>
              <w:t>4.0</w:t>
            </w:r>
          </w:p>
        </w:tc>
        <w:tc>
          <w:tcPr>
            <w:tcW w:w="709" w:type="dxa"/>
          </w:tcPr>
          <w:p w14:paraId="66CE1F55" w14:textId="217D6E88"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287</w:t>
            </w:r>
          </w:p>
        </w:tc>
        <w:tc>
          <w:tcPr>
            <w:tcW w:w="850" w:type="dxa"/>
            <w:tcBorders>
              <w:top w:val="single" w:sz="4" w:space="0" w:color="auto"/>
              <w:left w:val="single" w:sz="4" w:space="0" w:color="auto"/>
              <w:bottom w:val="single" w:sz="4" w:space="0" w:color="auto"/>
              <w:right w:val="single" w:sz="4" w:space="0" w:color="auto"/>
            </w:tcBorders>
          </w:tcPr>
          <w:p w14:paraId="0C94DD9E" w14:textId="5826E2E6"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100</w:t>
            </w:r>
          </w:p>
        </w:tc>
        <w:tc>
          <w:tcPr>
            <w:tcW w:w="1272" w:type="dxa"/>
            <w:tcBorders>
              <w:top w:val="single" w:sz="4" w:space="0" w:color="auto"/>
              <w:left w:val="single" w:sz="4" w:space="0" w:color="auto"/>
              <w:bottom w:val="single" w:sz="4" w:space="0" w:color="auto"/>
              <w:right w:val="single" w:sz="4" w:space="0" w:color="auto"/>
            </w:tcBorders>
          </w:tcPr>
          <w:p w14:paraId="4606B2CA" w14:textId="66DB83BE" w:rsidR="00FC6008" w:rsidRPr="007546A5" w:rsidRDefault="00FC6008" w:rsidP="00FC6008">
            <w:pPr>
              <w:spacing w:after="160" w:line="278" w:lineRule="auto"/>
              <w:rPr>
                <w:rFonts w:asciiTheme="minorHAnsi" w:hAnsiTheme="minorHAnsi" w:cstheme="minorHAnsi"/>
                <w:sz w:val="22"/>
                <w:szCs w:val="22"/>
              </w:rPr>
            </w:pPr>
            <w:r>
              <w:rPr>
                <w:rFonts w:asciiTheme="minorHAnsi" w:hAnsiTheme="minorHAnsi" w:cstheme="minorHAnsi"/>
                <w:sz w:val="22"/>
                <w:szCs w:val="22"/>
              </w:rPr>
              <w:t>5.6</w:t>
            </w:r>
          </w:p>
        </w:tc>
      </w:tr>
      <w:tr w:rsidR="00FC6008" w:rsidRPr="007546A5" w14:paraId="214A025D" w14:textId="77777777" w:rsidTr="001A49E0">
        <w:tc>
          <w:tcPr>
            <w:tcW w:w="2830" w:type="dxa"/>
          </w:tcPr>
          <w:p w14:paraId="1D5586BD" w14:textId="2F24DEA4"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Prior fracture</w:t>
            </w:r>
          </w:p>
        </w:tc>
        <w:tc>
          <w:tcPr>
            <w:tcW w:w="709" w:type="dxa"/>
            <w:tcBorders>
              <w:top w:val="single" w:sz="4" w:space="0" w:color="auto"/>
              <w:left w:val="single" w:sz="4" w:space="0" w:color="auto"/>
              <w:bottom w:val="single" w:sz="4" w:space="0" w:color="auto"/>
              <w:right w:val="single" w:sz="4" w:space="0" w:color="auto"/>
            </w:tcBorders>
          </w:tcPr>
          <w:p w14:paraId="751ED51A" w14:textId="62FE0A14"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93</w:t>
            </w:r>
          </w:p>
        </w:tc>
        <w:tc>
          <w:tcPr>
            <w:tcW w:w="657" w:type="dxa"/>
          </w:tcPr>
          <w:p w14:paraId="3AE23B7C" w14:textId="07538750"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rPr>
              <w:t>46.0</w:t>
            </w:r>
          </w:p>
        </w:tc>
        <w:tc>
          <w:tcPr>
            <w:tcW w:w="1186" w:type="dxa"/>
            <w:tcBorders>
              <w:top w:val="single" w:sz="4" w:space="0" w:color="auto"/>
              <w:left w:val="single" w:sz="4" w:space="0" w:color="auto"/>
              <w:bottom w:val="single" w:sz="4" w:space="0" w:color="auto"/>
              <w:right w:val="single" w:sz="4" w:space="0" w:color="auto"/>
            </w:tcBorders>
          </w:tcPr>
          <w:p w14:paraId="1410D366" w14:textId="3FB3433D" w:rsidR="00FC6008" w:rsidRPr="007546A5" w:rsidRDefault="00FC6008" w:rsidP="00FC6008">
            <w:pPr>
              <w:spacing w:after="160" w:line="278" w:lineRule="auto"/>
              <w:rPr>
                <w:rFonts w:asciiTheme="minorHAnsi" w:eastAsia="Aptos" w:hAnsiTheme="minorHAnsi" w:cstheme="minorHAnsi"/>
                <w:sz w:val="22"/>
                <w:szCs w:val="22"/>
                <w:lang w:eastAsia="en-US"/>
              </w:rPr>
            </w:pPr>
            <w:r>
              <w:rPr>
                <w:rFonts w:asciiTheme="minorHAnsi" w:eastAsia="Aptos" w:hAnsiTheme="minorHAnsi" w:cstheme="minorHAnsi"/>
                <w:sz w:val="22"/>
                <w:szCs w:val="22"/>
                <w:lang w:eastAsia="en-US"/>
              </w:rPr>
              <w:t>6.1</w:t>
            </w:r>
          </w:p>
        </w:tc>
        <w:tc>
          <w:tcPr>
            <w:tcW w:w="709" w:type="dxa"/>
          </w:tcPr>
          <w:p w14:paraId="648AB13E" w14:textId="0EBB3543"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102</w:t>
            </w:r>
          </w:p>
        </w:tc>
        <w:tc>
          <w:tcPr>
            <w:tcW w:w="850" w:type="dxa"/>
            <w:tcBorders>
              <w:top w:val="single" w:sz="4" w:space="0" w:color="auto"/>
              <w:left w:val="single" w:sz="4" w:space="0" w:color="auto"/>
              <w:bottom w:val="single" w:sz="4" w:space="0" w:color="auto"/>
              <w:right w:val="single" w:sz="4" w:space="0" w:color="auto"/>
            </w:tcBorders>
          </w:tcPr>
          <w:p w14:paraId="37BE726A" w14:textId="2563A08C"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35.5</w:t>
            </w:r>
          </w:p>
        </w:tc>
        <w:tc>
          <w:tcPr>
            <w:tcW w:w="1272" w:type="dxa"/>
            <w:tcBorders>
              <w:top w:val="single" w:sz="4" w:space="0" w:color="auto"/>
              <w:left w:val="single" w:sz="4" w:space="0" w:color="auto"/>
              <w:bottom w:val="single" w:sz="4" w:space="0" w:color="auto"/>
              <w:right w:val="single" w:sz="4" w:space="0" w:color="auto"/>
            </w:tcBorders>
          </w:tcPr>
          <w:p w14:paraId="20380CA6" w14:textId="7A12E051" w:rsidR="00FC6008" w:rsidRPr="007546A5" w:rsidRDefault="00FC6008" w:rsidP="00FC6008">
            <w:pPr>
              <w:spacing w:after="160" w:line="278" w:lineRule="auto"/>
              <w:rPr>
                <w:rFonts w:asciiTheme="minorHAnsi" w:hAnsiTheme="minorHAnsi" w:cstheme="minorHAnsi"/>
                <w:sz w:val="22"/>
                <w:szCs w:val="22"/>
              </w:rPr>
            </w:pPr>
            <w:r>
              <w:rPr>
                <w:rFonts w:asciiTheme="minorHAnsi" w:hAnsiTheme="minorHAnsi" w:cstheme="minorHAnsi"/>
                <w:sz w:val="22"/>
                <w:szCs w:val="22"/>
              </w:rPr>
              <w:t>9.0</w:t>
            </w:r>
          </w:p>
        </w:tc>
      </w:tr>
      <w:tr w:rsidR="00FC6008" w:rsidRPr="007546A5" w14:paraId="71AE3F44" w14:textId="77777777" w:rsidTr="001A49E0">
        <w:tc>
          <w:tcPr>
            <w:tcW w:w="2830" w:type="dxa"/>
          </w:tcPr>
          <w:p w14:paraId="2F497D42" w14:textId="131B524F"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i/>
                <w:iCs/>
                <w:sz w:val="22"/>
                <w:szCs w:val="22"/>
                <w:lang w:eastAsia="en-US"/>
              </w:rPr>
              <w:t>Without prior fracture</w:t>
            </w:r>
          </w:p>
        </w:tc>
        <w:tc>
          <w:tcPr>
            <w:tcW w:w="709" w:type="dxa"/>
          </w:tcPr>
          <w:p w14:paraId="31570DCA"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c>
          <w:tcPr>
            <w:tcW w:w="657" w:type="dxa"/>
          </w:tcPr>
          <w:p w14:paraId="73B8DCCA"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c>
          <w:tcPr>
            <w:tcW w:w="1186" w:type="dxa"/>
            <w:tcBorders>
              <w:top w:val="single" w:sz="4" w:space="0" w:color="auto"/>
              <w:left w:val="single" w:sz="4" w:space="0" w:color="auto"/>
              <w:bottom w:val="single" w:sz="4" w:space="0" w:color="auto"/>
              <w:right w:val="single" w:sz="4" w:space="0" w:color="auto"/>
            </w:tcBorders>
          </w:tcPr>
          <w:p w14:paraId="15FB2C7E"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c>
          <w:tcPr>
            <w:tcW w:w="709" w:type="dxa"/>
          </w:tcPr>
          <w:p w14:paraId="5FE6A208"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c>
          <w:tcPr>
            <w:tcW w:w="850" w:type="dxa"/>
          </w:tcPr>
          <w:p w14:paraId="2DE2F8F4"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c>
          <w:tcPr>
            <w:tcW w:w="1272" w:type="dxa"/>
          </w:tcPr>
          <w:p w14:paraId="77757FA1" w14:textId="77777777" w:rsidR="00FC6008" w:rsidRPr="007546A5" w:rsidRDefault="00FC6008" w:rsidP="00FC6008">
            <w:pPr>
              <w:spacing w:after="160" w:line="278" w:lineRule="auto"/>
              <w:rPr>
                <w:rFonts w:asciiTheme="minorHAnsi" w:eastAsia="Aptos" w:hAnsiTheme="minorHAnsi" w:cstheme="minorHAnsi"/>
                <w:sz w:val="22"/>
                <w:szCs w:val="22"/>
                <w:lang w:eastAsia="en-US"/>
              </w:rPr>
            </w:pPr>
          </w:p>
        </w:tc>
      </w:tr>
      <w:tr w:rsidR="00FC6008" w:rsidRPr="007546A5" w14:paraId="4AF578D3" w14:textId="77777777" w:rsidTr="001A49E0">
        <w:tc>
          <w:tcPr>
            <w:tcW w:w="2830" w:type="dxa"/>
          </w:tcPr>
          <w:p w14:paraId="44BE169A" w14:textId="73CA193F"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 xml:space="preserve"> Low risk (&lt; LAT)</w:t>
            </w:r>
          </w:p>
        </w:tc>
        <w:tc>
          <w:tcPr>
            <w:tcW w:w="709" w:type="dxa"/>
            <w:tcBorders>
              <w:top w:val="single" w:sz="4" w:space="0" w:color="auto"/>
              <w:left w:val="single" w:sz="4" w:space="0" w:color="auto"/>
              <w:bottom w:val="single" w:sz="4" w:space="0" w:color="auto"/>
              <w:right w:val="single" w:sz="4" w:space="0" w:color="auto"/>
            </w:tcBorders>
          </w:tcPr>
          <w:p w14:paraId="4B75F85F" w14:textId="0AB2E275"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87</w:t>
            </w:r>
          </w:p>
        </w:tc>
        <w:tc>
          <w:tcPr>
            <w:tcW w:w="657" w:type="dxa"/>
            <w:tcBorders>
              <w:top w:val="single" w:sz="4" w:space="0" w:color="auto"/>
              <w:left w:val="single" w:sz="4" w:space="0" w:color="auto"/>
              <w:bottom w:val="single" w:sz="4" w:space="0" w:color="auto"/>
              <w:right w:val="single" w:sz="4" w:space="0" w:color="auto"/>
            </w:tcBorders>
          </w:tcPr>
          <w:p w14:paraId="07C639F8" w14:textId="051E084D"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43.1</w:t>
            </w:r>
          </w:p>
        </w:tc>
        <w:tc>
          <w:tcPr>
            <w:tcW w:w="1186" w:type="dxa"/>
            <w:tcBorders>
              <w:top w:val="single" w:sz="4" w:space="0" w:color="auto"/>
              <w:left w:val="single" w:sz="4" w:space="0" w:color="auto"/>
              <w:bottom w:val="single" w:sz="4" w:space="0" w:color="auto"/>
              <w:right w:val="single" w:sz="4" w:space="0" w:color="auto"/>
            </w:tcBorders>
          </w:tcPr>
          <w:p w14:paraId="5AAA9052" w14:textId="3622CB2E" w:rsidR="00FC6008" w:rsidRPr="007546A5" w:rsidRDefault="00FC6008" w:rsidP="00FC6008">
            <w:pPr>
              <w:spacing w:after="160" w:line="278" w:lineRule="auto"/>
              <w:rPr>
                <w:rFonts w:asciiTheme="minorHAnsi" w:eastAsia="Aptos" w:hAnsiTheme="minorHAnsi" w:cstheme="minorHAnsi"/>
                <w:sz w:val="22"/>
                <w:szCs w:val="22"/>
                <w:lang w:eastAsia="en-US"/>
              </w:rPr>
            </w:pPr>
            <w:r>
              <w:rPr>
                <w:rFonts w:asciiTheme="minorHAnsi" w:eastAsia="Aptos" w:hAnsiTheme="minorHAnsi" w:cstheme="minorHAnsi"/>
                <w:sz w:val="22"/>
                <w:szCs w:val="22"/>
                <w:lang w:eastAsia="en-US"/>
              </w:rPr>
              <w:t>1.9</w:t>
            </w:r>
          </w:p>
        </w:tc>
        <w:tc>
          <w:tcPr>
            <w:tcW w:w="709" w:type="dxa"/>
          </w:tcPr>
          <w:p w14:paraId="5C6F8097" w14:textId="059B5CEF"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57</w:t>
            </w:r>
          </w:p>
        </w:tc>
        <w:tc>
          <w:tcPr>
            <w:tcW w:w="850" w:type="dxa"/>
            <w:tcBorders>
              <w:top w:val="single" w:sz="4" w:space="0" w:color="auto"/>
              <w:left w:val="single" w:sz="4" w:space="0" w:color="auto"/>
              <w:bottom w:val="single" w:sz="4" w:space="0" w:color="auto"/>
              <w:right w:val="single" w:sz="4" w:space="0" w:color="auto"/>
            </w:tcBorders>
          </w:tcPr>
          <w:p w14:paraId="3CA502CA" w14:textId="6C5D1579"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19.9</w:t>
            </w:r>
          </w:p>
        </w:tc>
        <w:tc>
          <w:tcPr>
            <w:tcW w:w="1272" w:type="dxa"/>
            <w:tcBorders>
              <w:top w:val="single" w:sz="4" w:space="0" w:color="auto"/>
              <w:left w:val="single" w:sz="4" w:space="0" w:color="auto"/>
              <w:bottom w:val="single" w:sz="4" w:space="0" w:color="auto"/>
              <w:right w:val="single" w:sz="4" w:space="0" w:color="auto"/>
            </w:tcBorders>
          </w:tcPr>
          <w:p w14:paraId="2168C25F" w14:textId="4A0DA2A4" w:rsidR="00FC6008" w:rsidRPr="007546A5" w:rsidRDefault="00FC6008" w:rsidP="00FC6008">
            <w:pPr>
              <w:spacing w:after="160" w:line="278" w:lineRule="auto"/>
              <w:rPr>
                <w:rFonts w:asciiTheme="minorHAnsi" w:hAnsiTheme="minorHAnsi" w:cstheme="minorHAnsi"/>
                <w:sz w:val="22"/>
                <w:szCs w:val="22"/>
              </w:rPr>
            </w:pPr>
            <w:r>
              <w:rPr>
                <w:rFonts w:asciiTheme="minorHAnsi" w:hAnsiTheme="minorHAnsi" w:cstheme="minorHAnsi"/>
                <w:sz w:val="22"/>
                <w:szCs w:val="22"/>
              </w:rPr>
              <w:t>2.4</w:t>
            </w:r>
          </w:p>
        </w:tc>
      </w:tr>
      <w:tr w:rsidR="00FC6008" w:rsidRPr="007546A5" w14:paraId="779EA081" w14:textId="77777777" w:rsidTr="001A49E0">
        <w:tc>
          <w:tcPr>
            <w:tcW w:w="2830" w:type="dxa"/>
          </w:tcPr>
          <w:p w14:paraId="462906FA" w14:textId="18F26864"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BMD tests</w:t>
            </w:r>
          </w:p>
        </w:tc>
        <w:tc>
          <w:tcPr>
            <w:tcW w:w="709" w:type="dxa"/>
            <w:tcBorders>
              <w:top w:val="single" w:sz="4" w:space="0" w:color="auto"/>
              <w:left w:val="single" w:sz="4" w:space="0" w:color="auto"/>
              <w:bottom w:val="single" w:sz="4" w:space="0" w:color="auto"/>
              <w:right w:val="single" w:sz="4" w:space="0" w:color="auto"/>
            </w:tcBorders>
          </w:tcPr>
          <w:p w14:paraId="2EFD73DF" w14:textId="3755543B"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21</w:t>
            </w:r>
          </w:p>
        </w:tc>
        <w:tc>
          <w:tcPr>
            <w:tcW w:w="657" w:type="dxa"/>
            <w:tcBorders>
              <w:top w:val="single" w:sz="4" w:space="0" w:color="auto"/>
              <w:left w:val="single" w:sz="4" w:space="0" w:color="auto"/>
              <w:bottom w:val="single" w:sz="4" w:space="0" w:color="auto"/>
              <w:right w:val="single" w:sz="4" w:space="0" w:color="auto"/>
            </w:tcBorders>
          </w:tcPr>
          <w:p w14:paraId="4C52FDB0" w14:textId="4541E71F"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10.4</w:t>
            </w:r>
          </w:p>
        </w:tc>
        <w:tc>
          <w:tcPr>
            <w:tcW w:w="1186" w:type="dxa"/>
            <w:tcBorders>
              <w:top w:val="single" w:sz="4" w:space="0" w:color="auto"/>
              <w:left w:val="single" w:sz="4" w:space="0" w:color="auto"/>
              <w:bottom w:val="single" w:sz="4" w:space="0" w:color="auto"/>
              <w:right w:val="single" w:sz="4" w:space="0" w:color="auto"/>
            </w:tcBorders>
          </w:tcPr>
          <w:p w14:paraId="26DB3450" w14:textId="6B3031DF" w:rsidR="00FC6008" w:rsidRPr="007546A5" w:rsidRDefault="00FC6008" w:rsidP="00FC6008">
            <w:pPr>
              <w:spacing w:after="160" w:line="278" w:lineRule="auto"/>
              <w:rPr>
                <w:rFonts w:asciiTheme="minorHAnsi" w:eastAsia="Aptos" w:hAnsiTheme="minorHAnsi" w:cstheme="minorHAnsi"/>
                <w:sz w:val="22"/>
                <w:szCs w:val="22"/>
                <w:lang w:eastAsia="en-US"/>
              </w:rPr>
            </w:pPr>
            <w:r>
              <w:rPr>
                <w:rFonts w:asciiTheme="minorHAnsi" w:eastAsia="Aptos" w:hAnsiTheme="minorHAnsi" w:cstheme="minorHAnsi"/>
                <w:sz w:val="22"/>
                <w:szCs w:val="22"/>
                <w:lang w:eastAsia="en-US"/>
              </w:rPr>
              <w:t>3.6</w:t>
            </w:r>
          </w:p>
        </w:tc>
        <w:tc>
          <w:tcPr>
            <w:tcW w:w="709" w:type="dxa"/>
          </w:tcPr>
          <w:p w14:paraId="42729FB4" w14:textId="2AAF298A"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11</w:t>
            </w:r>
            <w:r>
              <w:rPr>
                <w:rFonts w:asciiTheme="minorHAnsi" w:eastAsia="Aptos" w:hAnsiTheme="minorHAnsi" w:cstheme="minorHAnsi"/>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14:paraId="42659089" w14:textId="5A5653BA"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40.4</w:t>
            </w:r>
          </w:p>
        </w:tc>
        <w:tc>
          <w:tcPr>
            <w:tcW w:w="1272" w:type="dxa"/>
            <w:tcBorders>
              <w:top w:val="single" w:sz="4" w:space="0" w:color="auto"/>
              <w:left w:val="single" w:sz="4" w:space="0" w:color="auto"/>
              <w:bottom w:val="single" w:sz="4" w:space="0" w:color="auto"/>
              <w:right w:val="single" w:sz="4" w:space="0" w:color="auto"/>
            </w:tcBorders>
          </w:tcPr>
          <w:p w14:paraId="4D66B0EF" w14:textId="3CD6DDA3" w:rsidR="00FC6008" w:rsidRPr="007546A5" w:rsidRDefault="00FC6008" w:rsidP="00FC6008">
            <w:pPr>
              <w:spacing w:after="160" w:line="278" w:lineRule="auto"/>
              <w:rPr>
                <w:rFonts w:asciiTheme="minorHAnsi" w:hAnsiTheme="minorHAnsi" w:cstheme="minorHAnsi"/>
                <w:sz w:val="22"/>
                <w:szCs w:val="22"/>
              </w:rPr>
            </w:pPr>
            <w:r>
              <w:rPr>
                <w:rFonts w:asciiTheme="minorHAnsi" w:hAnsiTheme="minorHAnsi" w:cstheme="minorHAnsi"/>
                <w:sz w:val="22"/>
                <w:szCs w:val="22"/>
              </w:rPr>
              <w:t>3.9</w:t>
            </w:r>
          </w:p>
        </w:tc>
      </w:tr>
      <w:tr w:rsidR="00FC6008" w:rsidRPr="007546A5" w14:paraId="42B45D71" w14:textId="77777777" w:rsidTr="001A49E0">
        <w:tc>
          <w:tcPr>
            <w:tcW w:w="2830" w:type="dxa"/>
          </w:tcPr>
          <w:p w14:paraId="1B807358" w14:textId="4961F65C"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High risk (&gt; UAT)</w:t>
            </w:r>
          </w:p>
        </w:tc>
        <w:tc>
          <w:tcPr>
            <w:tcW w:w="709" w:type="dxa"/>
            <w:tcBorders>
              <w:top w:val="single" w:sz="4" w:space="0" w:color="auto"/>
              <w:left w:val="single" w:sz="4" w:space="0" w:color="auto"/>
              <w:bottom w:val="single" w:sz="4" w:space="0" w:color="auto"/>
              <w:right w:val="single" w:sz="4" w:space="0" w:color="auto"/>
            </w:tcBorders>
          </w:tcPr>
          <w:p w14:paraId="29D5C1D3" w14:textId="646CA2C4"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1</w:t>
            </w:r>
          </w:p>
        </w:tc>
        <w:tc>
          <w:tcPr>
            <w:tcW w:w="657" w:type="dxa"/>
            <w:tcBorders>
              <w:top w:val="single" w:sz="4" w:space="0" w:color="auto"/>
              <w:left w:val="single" w:sz="4" w:space="0" w:color="auto"/>
              <w:bottom w:val="single" w:sz="4" w:space="0" w:color="auto"/>
              <w:right w:val="single" w:sz="4" w:space="0" w:color="auto"/>
            </w:tcBorders>
          </w:tcPr>
          <w:p w14:paraId="087980BD" w14:textId="2BB17CC9"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0.5</w:t>
            </w:r>
          </w:p>
        </w:tc>
        <w:tc>
          <w:tcPr>
            <w:tcW w:w="1186" w:type="dxa"/>
            <w:tcBorders>
              <w:top w:val="single" w:sz="4" w:space="0" w:color="auto"/>
              <w:left w:val="single" w:sz="4" w:space="0" w:color="auto"/>
              <w:bottom w:val="single" w:sz="4" w:space="0" w:color="auto"/>
              <w:right w:val="single" w:sz="4" w:space="0" w:color="auto"/>
            </w:tcBorders>
          </w:tcPr>
          <w:p w14:paraId="384C9845" w14:textId="349A47F1" w:rsidR="00FC6008" w:rsidRPr="007546A5" w:rsidRDefault="00FC6008" w:rsidP="00FC6008">
            <w:pPr>
              <w:spacing w:after="160" w:line="278" w:lineRule="auto"/>
              <w:rPr>
                <w:rFonts w:asciiTheme="minorHAnsi" w:eastAsia="Aptos" w:hAnsiTheme="minorHAnsi" w:cstheme="minorHAnsi"/>
                <w:sz w:val="22"/>
                <w:szCs w:val="22"/>
                <w:lang w:eastAsia="en-US"/>
              </w:rPr>
            </w:pPr>
            <w:r>
              <w:rPr>
                <w:rFonts w:asciiTheme="minorHAnsi" w:eastAsia="Aptos" w:hAnsiTheme="minorHAnsi" w:cstheme="minorHAnsi"/>
                <w:sz w:val="22"/>
                <w:szCs w:val="22"/>
                <w:lang w:eastAsia="en-US"/>
              </w:rPr>
              <w:t>7.2</w:t>
            </w:r>
          </w:p>
        </w:tc>
        <w:tc>
          <w:tcPr>
            <w:tcW w:w="709" w:type="dxa"/>
          </w:tcPr>
          <w:p w14:paraId="6D7A5F16" w14:textId="6AB523AC"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tcPr>
          <w:p w14:paraId="0A9ECEE6" w14:textId="598E1C29"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hAnsiTheme="minorHAnsi" w:cstheme="minorHAnsi"/>
                <w:sz w:val="22"/>
                <w:szCs w:val="22"/>
              </w:rPr>
              <w:t>4.2</w:t>
            </w:r>
          </w:p>
        </w:tc>
        <w:tc>
          <w:tcPr>
            <w:tcW w:w="1272" w:type="dxa"/>
            <w:tcBorders>
              <w:top w:val="single" w:sz="4" w:space="0" w:color="auto"/>
              <w:left w:val="single" w:sz="4" w:space="0" w:color="auto"/>
              <w:bottom w:val="single" w:sz="4" w:space="0" w:color="auto"/>
              <w:right w:val="single" w:sz="4" w:space="0" w:color="auto"/>
            </w:tcBorders>
          </w:tcPr>
          <w:p w14:paraId="0974036F" w14:textId="3BDB3560" w:rsidR="00FC6008" w:rsidRPr="007546A5" w:rsidRDefault="00FC6008" w:rsidP="00FC6008">
            <w:pPr>
              <w:spacing w:after="160" w:line="278" w:lineRule="auto"/>
              <w:rPr>
                <w:rFonts w:asciiTheme="minorHAnsi" w:hAnsiTheme="minorHAnsi" w:cstheme="minorHAnsi"/>
                <w:sz w:val="22"/>
                <w:szCs w:val="22"/>
              </w:rPr>
            </w:pPr>
            <w:r>
              <w:rPr>
                <w:rFonts w:asciiTheme="minorHAnsi" w:hAnsiTheme="minorHAnsi" w:cstheme="minorHAnsi"/>
                <w:sz w:val="22"/>
                <w:szCs w:val="22"/>
              </w:rPr>
              <w:t>7.7</w:t>
            </w:r>
          </w:p>
        </w:tc>
      </w:tr>
      <w:tr w:rsidR="00FC6008" w:rsidRPr="007546A5" w14:paraId="413124CC" w14:textId="77777777" w:rsidTr="0088470C">
        <w:tc>
          <w:tcPr>
            <w:tcW w:w="2830" w:type="dxa"/>
          </w:tcPr>
          <w:p w14:paraId="1C7180A9" w14:textId="5CC8A2F5"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&lt;</w:t>
            </w:r>
            <w:r>
              <w:rPr>
                <w:rFonts w:asciiTheme="minorHAnsi" w:eastAsia="Aptos" w:hAnsiTheme="minorHAnsi" w:cstheme="minorHAnsi"/>
                <w:sz w:val="22"/>
                <w:szCs w:val="22"/>
                <w:lang w:eastAsia="en-US"/>
              </w:rPr>
              <w:t xml:space="preserve"> IT but &gt;LAT </w:t>
            </w:r>
          </w:p>
        </w:tc>
        <w:tc>
          <w:tcPr>
            <w:tcW w:w="709" w:type="dxa"/>
            <w:tcBorders>
              <w:top w:val="single" w:sz="4" w:space="0" w:color="auto"/>
              <w:left w:val="single" w:sz="4" w:space="0" w:color="auto"/>
              <w:bottom w:val="single" w:sz="4" w:space="0" w:color="auto"/>
              <w:right w:val="single" w:sz="4" w:space="0" w:color="auto"/>
            </w:tcBorders>
          </w:tcPr>
          <w:p w14:paraId="4961873F" w14:textId="2F2B4C95"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hAnsiTheme="minorHAnsi" w:cstheme="minorHAnsi"/>
                <w:sz w:val="22"/>
                <w:szCs w:val="22"/>
              </w:rPr>
              <w:t>21</w:t>
            </w:r>
          </w:p>
        </w:tc>
        <w:tc>
          <w:tcPr>
            <w:tcW w:w="657" w:type="dxa"/>
            <w:tcBorders>
              <w:top w:val="single" w:sz="4" w:space="0" w:color="auto"/>
              <w:left w:val="single" w:sz="4" w:space="0" w:color="auto"/>
              <w:bottom w:val="single" w:sz="4" w:space="0" w:color="auto"/>
              <w:right w:val="single" w:sz="4" w:space="0" w:color="auto"/>
            </w:tcBorders>
          </w:tcPr>
          <w:p w14:paraId="3D8E4A0A" w14:textId="60218A89"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hAnsiTheme="minorHAnsi" w:cstheme="minorHAnsi"/>
                <w:sz w:val="22"/>
                <w:szCs w:val="22"/>
              </w:rPr>
              <w:t>10.4</w:t>
            </w:r>
          </w:p>
        </w:tc>
        <w:tc>
          <w:tcPr>
            <w:tcW w:w="1186" w:type="dxa"/>
          </w:tcPr>
          <w:p w14:paraId="16BB266B" w14:textId="01CC9DEA"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eastAsia="Aptos" w:hAnsiTheme="minorHAnsi" w:cstheme="minorHAnsi"/>
                <w:sz w:val="22"/>
                <w:szCs w:val="22"/>
                <w:lang w:eastAsia="en-US"/>
              </w:rPr>
              <w:t>3.6</w:t>
            </w:r>
          </w:p>
        </w:tc>
        <w:tc>
          <w:tcPr>
            <w:tcW w:w="709" w:type="dxa"/>
          </w:tcPr>
          <w:p w14:paraId="24BDA6F9" w14:textId="2C813DFC"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eastAsia="Aptos" w:hAnsiTheme="minorHAnsi" w:cstheme="minorHAnsi"/>
                <w:sz w:val="22"/>
                <w:szCs w:val="22"/>
                <w:lang w:eastAsia="en-US"/>
              </w:rPr>
              <w:t>108</w:t>
            </w:r>
          </w:p>
        </w:tc>
        <w:tc>
          <w:tcPr>
            <w:tcW w:w="850" w:type="dxa"/>
            <w:tcBorders>
              <w:top w:val="single" w:sz="4" w:space="0" w:color="auto"/>
              <w:left w:val="single" w:sz="4" w:space="0" w:color="auto"/>
              <w:bottom w:val="single" w:sz="4" w:space="0" w:color="auto"/>
              <w:right w:val="single" w:sz="4" w:space="0" w:color="auto"/>
            </w:tcBorders>
          </w:tcPr>
          <w:p w14:paraId="1ABB589B" w14:textId="5CB947DF"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hAnsiTheme="minorHAnsi" w:cstheme="minorHAnsi"/>
                <w:sz w:val="22"/>
                <w:szCs w:val="22"/>
              </w:rPr>
              <w:t>37.6</w:t>
            </w:r>
          </w:p>
        </w:tc>
        <w:tc>
          <w:tcPr>
            <w:tcW w:w="1272" w:type="dxa"/>
            <w:tcBorders>
              <w:top w:val="single" w:sz="4" w:space="0" w:color="auto"/>
              <w:left w:val="single" w:sz="4" w:space="0" w:color="auto"/>
              <w:bottom w:val="single" w:sz="4" w:space="0" w:color="auto"/>
              <w:right w:val="single" w:sz="4" w:space="0" w:color="auto"/>
            </w:tcBorders>
          </w:tcPr>
          <w:p w14:paraId="2042E3FD" w14:textId="4B071518" w:rsidR="00FC6008" w:rsidRPr="0076027F" w:rsidRDefault="00FC6008" w:rsidP="00FC6008">
            <w:pPr>
              <w:spacing w:after="160" w:line="278" w:lineRule="auto"/>
              <w:rPr>
                <w:rFonts w:asciiTheme="minorHAnsi" w:hAnsiTheme="minorHAnsi" w:cstheme="minorHAnsi"/>
                <w:sz w:val="22"/>
                <w:szCs w:val="22"/>
              </w:rPr>
            </w:pPr>
            <w:r w:rsidRPr="0076027F">
              <w:rPr>
                <w:rFonts w:asciiTheme="minorHAnsi" w:hAnsiTheme="minorHAnsi" w:cstheme="minorHAnsi"/>
                <w:sz w:val="22"/>
                <w:szCs w:val="22"/>
              </w:rPr>
              <w:t>3.7</w:t>
            </w:r>
          </w:p>
        </w:tc>
      </w:tr>
      <w:tr w:rsidR="00FC6008" w:rsidRPr="007546A5" w14:paraId="41FFB469" w14:textId="77777777" w:rsidTr="0088470C">
        <w:tc>
          <w:tcPr>
            <w:tcW w:w="2830" w:type="dxa"/>
          </w:tcPr>
          <w:p w14:paraId="155D6F51" w14:textId="31FAE563" w:rsidR="00FC6008" w:rsidRPr="007546A5" w:rsidRDefault="00FC6008" w:rsidP="00FC6008">
            <w:pPr>
              <w:spacing w:after="160" w:line="278" w:lineRule="auto"/>
              <w:rPr>
                <w:rFonts w:asciiTheme="minorHAnsi" w:eastAsia="Aptos" w:hAnsiTheme="minorHAnsi" w:cstheme="minorHAnsi"/>
                <w:sz w:val="22"/>
                <w:szCs w:val="22"/>
                <w:lang w:eastAsia="en-US"/>
              </w:rPr>
            </w:pPr>
            <w:r w:rsidRPr="007546A5">
              <w:rPr>
                <w:rFonts w:asciiTheme="minorHAnsi" w:eastAsia="Aptos" w:hAnsiTheme="minorHAnsi" w:cstheme="minorHAnsi"/>
                <w:sz w:val="22"/>
                <w:szCs w:val="22"/>
                <w:lang w:eastAsia="en-US"/>
              </w:rPr>
              <w:t>≥IT</w:t>
            </w:r>
            <w:r>
              <w:rPr>
                <w:rFonts w:asciiTheme="minorHAnsi" w:eastAsia="Aptos" w:hAnsiTheme="minorHAnsi" w:cstheme="minorHAnsi"/>
                <w:sz w:val="22"/>
                <w:szCs w:val="22"/>
                <w:lang w:eastAsia="en-US"/>
              </w:rPr>
              <w:t xml:space="preserve"> but &lt;UAT</w:t>
            </w:r>
          </w:p>
        </w:tc>
        <w:tc>
          <w:tcPr>
            <w:tcW w:w="709" w:type="dxa"/>
            <w:tcBorders>
              <w:top w:val="single" w:sz="4" w:space="0" w:color="auto"/>
              <w:left w:val="single" w:sz="4" w:space="0" w:color="auto"/>
              <w:bottom w:val="single" w:sz="4" w:space="0" w:color="auto"/>
              <w:right w:val="single" w:sz="4" w:space="0" w:color="auto"/>
            </w:tcBorders>
          </w:tcPr>
          <w:p w14:paraId="3C843BA9" w14:textId="60B3D981"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hAnsiTheme="minorHAnsi" w:cstheme="minorHAnsi"/>
                <w:sz w:val="22"/>
                <w:szCs w:val="22"/>
              </w:rPr>
              <w:t>0</w:t>
            </w:r>
          </w:p>
        </w:tc>
        <w:tc>
          <w:tcPr>
            <w:tcW w:w="657" w:type="dxa"/>
            <w:tcBorders>
              <w:top w:val="single" w:sz="4" w:space="0" w:color="auto"/>
              <w:left w:val="single" w:sz="4" w:space="0" w:color="auto"/>
              <w:bottom w:val="single" w:sz="4" w:space="0" w:color="auto"/>
              <w:right w:val="single" w:sz="4" w:space="0" w:color="auto"/>
            </w:tcBorders>
          </w:tcPr>
          <w:p w14:paraId="37F195F1" w14:textId="0F2B4722" w:rsidR="00FC6008" w:rsidRPr="0076027F" w:rsidRDefault="00D90251" w:rsidP="00FC6008">
            <w:pPr>
              <w:spacing w:after="160" w:line="278" w:lineRule="auto"/>
              <w:rPr>
                <w:rFonts w:asciiTheme="minorHAnsi" w:eastAsia="Aptos" w:hAnsiTheme="minorHAnsi" w:cstheme="minorHAnsi"/>
                <w:sz w:val="22"/>
                <w:szCs w:val="22"/>
                <w:lang w:eastAsia="en-US"/>
              </w:rPr>
            </w:pPr>
            <w:r>
              <w:rPr>
                <w:rFonts w:asciiTheme="minorHAnsi" w:hAnsiTheme="minorHAnsi" w:cstheme="minorHAnsi"/>
                <w:sz w:val="22"/>
                <w:szCs w:val="22"/>
              </w:rPr>
              <w:t>0</w:t>
            </w:r>
          </w:p>
        </w:tc>
        <w:tc>
          <w:tcPr>
            <w:tcW w:w="1186" w:type="dxa"/>
          </w:tcPr>
          <w:p w14:paraId="4A120655" w14:textId="0E69D51F"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eastAsia="Aptos" w:hAnsiTheme="minorHAnsi" w:cstheme="minorHAnsi"/>
                <w:sz w:val="22"/>
                <w:szCs w:val="22"/>
                <w:lang w:eastAsia="en-US"/>
              </w:rPr>
              <w:t>-</w:t>
            </w:r>
          </w:p>
        </w:tc>
        <w:tc>
          <w:tcPr>
            <w:tcW w:w="709" w:type="dxa"/>
          </w:tcPr>
          <w:p w14:paraId="3089C52B" w14:textId="648E5A6C"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eastAsia="Aptos" w:hAnsiTheme="minorHAnsi" w:cstheme="minorHAnsi"/>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14:paraId="305DD7BE" w14:textId="77F764C0" w:rsidR="00FC6008" w:rsidRPr="0076027F" w:rsidRDefault="00FC6008" w:rsidP="00FC6008">
            <w:pPr>
              <w:spacing w:after="160" w:line="278" w:lineRule="auto"/>
              <w:rPr>
                <w:rFonts w:asciiTheme="minorHAnsi" w:eastAsia="Aptos" w:hAnsiTheme="minorHAnsi" w:cstheme="minorHAnsi"/>
                <w:sz w:val="22"/>
                <w:szCs w:val="22"/>
                <w:lang w:eastAsia="en-US"/>
              </w:rPr>
            </w:pPr>
            <w:r w:rsidRPr="0076027F">
              <w:rPr>
                <w:rFonts w:asciiTheme="minorHAnsi" w:hAnsiTheme="minorHAnsi" w:cstheme="minorHAnsi"/>
                <w:sz w:val="22"/>
                <w:szCs w:val="22"/>
              </w:rPr>
              <w:t>2.8</w:t>
            </w:r>
          </w:p>
        </w:tc>
        <w:tc>
          <w:tcPr>
            <w:tcW w:w="1272" w:type="dxa"/>
            <w:tcBorders>
              <w:top w:val="single" w:sz="4" w:space="0" w:color="auto"/>
              <w:left w:val="single" w:sz="4" w:space="0" w:color="auto"/>
              <w:bottom w:val="single" w:sz="4" w:space="0" w:color="auto"/>
              <w:right w:val="single" w:sz="4" w:space="0" w:color="auto"/>
            </w:tcBorders>
          </w:tcPr>
          <w:p w14:paraId="1B2A54B0" w14:textId="68E10E30" w:rsidR="00FC6008" w:rsidRPr="0076027F" w:rsidRDefault="00FC6008" w:rsidP="00FC6008">
            <w:pPr>
              <w:spacing w:after="160" w:line="278" w:lineRule="auto"/>
              <w:rPr>
                <w:rFonts w:asciiTheme="minorHAnsi" w:hAnsiTheme="minorHAnsi" w:cstheme="minorHAnsi"/>
                <w:sz w:val="22"/>
                <w:szCs w:val="22"/>
              </w:rPr>
            </w:pPr>
            <w:r w:rsidRPr="0076027F">
              <w:rPr>
                <w:rFonts w:asciiTheme="minorHAnsi" w:hAnsiTheme="minorHAnsi" w:cstheme="minorHAnsi"/>
                <w:sz w:val="22"/>
                <w:szCs w:val="22"/>
              </w:rPr>
              <w:t>6.2</w:t>
            </w:r>
          </w:p>
        </w:tc>
      </w:tr>
      <w:tr w:rsidR="00690448" w:rsidRPr="007546A5" w14:paraId="18D3C4CA" w14:textId="77777777" w:rsidTr="0088470C">
        <w:tc>
          <w:tcPr>
            <w:tcW w:w="8213" w:type="dxa"/>
            <w:gridSpan w:val="7"/>
            <w:tcBorders>
              <w:right w:val="single" w:sz="4" w:space="0" w:color="auto"/>
            </w:tcBorders>
          </w:tcPr>
          <w:p w14:paraId="09B8FD22" w14:textId="77777777" w:rsidR="00690448" w:rsidRPr="007546A5" w:rsidRDefault="00690448" w:rsidP="00690448">
            <w:pPr>
              <w:spacing w:after="160" w:line="278" w:lineRule="auto"/>
              <w:rPr>
                <w:rFonts w:asciiTheme="minorHAnsi" w:hAnsiTheme="minorHAnsi" w:cstheme="minorHAnsi"/>
                <w:sz w:val="22"/>
                <w:szCs w:val="22"/>
                <w:highlight w:val="yellow"/>
              </w:rPr>
            </w:pPr>
            <w:r>
              <w:rPr>
                <w:rFonts w:asciiTheme="minorHAnsi" w:hAnsiTheme="minorHAnsi" w:cstheme="minorHAnsi"/>
                <w:sz w:val="22"/>
                <w:szCs w:val="22"/>
              </w:rPr>
              <w:t xml:space="preserve">IT, </w:t>
            </w:r>
            <w:r w:rsidRPr="0065733E">
              <w:rPr>
                <w:rFonts w:asciiTheme="minorHAnsi" w:hAnsiTheme="minorHAnsi" w:cstheme="minorHAnsi"/>
                <w:sz w:val="22"/>
                <w:szCs w:val="22"/>
              </w:rPr>
              <w:t>intervention threshold</w:t>
            </w:r>
            <w:r>
              <w:rPr>
                <w:rFonts w:asciiTheme="minorHAnsi" w:hAnsiTheme="minorHAnsi" w:cstheme="minorHAnsi"/>
                <w:sz w:val="22"/>
                <w:szCs w:val="22"/>
              </w:rPr>
              <w:t>; UAT, upper assessment threshold; LAT, lower assessment threshold</w:t>
            </w:r>
          </w:p>
        </w:tc>
      </w:tr>
    </w:tbl>
    <w:p w14:paraId="070B7612" w14:textId="77777777" w:rsidR="004572B3" w:rsidRDefault="004572B3" w:rsidP="00DC0CCB">
      <w:pPr>
        <w:spacing w:line="276" w:lineRule="auto"/>
        <w:ind w:left="567" w:right="708"/>
        <w:jc w:val="both"/>
        <w:rPr>
          <w:rFonts w:ascii="Calibri" w:eastAsia="Calibri" w:hAnsi="Calibri" w:cs="DokChampa"/>
          <w:color w:val="000000" w:themeColor="text1"/>
          <w:sz w:val="22"/>
          <w:szCs w:val="20"/>
          <w:lang w:val="en-GB" w:eastAsia="en-US" w:bidi="lo-LA"/>
        </w:rPr>
      </w:pPr>
    </w:p>
    <w:p w14:paraId="1330D373" w14:textId="38197D82" w:rsidR="00E34B38" w:rsidRPr="002740C0" w:rsidRDefault="001A3C47" w:rsidP="00306030">
      <w:pPr>
        <w:ind w:left="567" w:right="142"/>
        <w:jc w:val="both"/>
        <w:rPr>
          <w:rFonts w:asciiTheme="minorHAnsi" w:hAnsiTheme="minorHAnsi" w:cstheme="minorHAnsi"/>
          <w:i/>
          <w:lang w:val="en-GB"/>
        </w:rPr>
      </w:pPr>
      <w:r w:rsidRPr="002740C0">
        <w:rPr>
          <w:rFonts w:asciiTheme="minorHAnsi" w:hAnsiTheme="minorHAnsi" w:cstheme="minorHAnsi"/>
          <w:i/>
          <w:lang w:val="en-GB"/>
        </w:rPr>
        <w:t>F</w:t>
      </w:r>
      <w:r w:rsidR="006F0FF8" w:rsidRPr="002740C0">
        <w:rPr>
          <w:rFonts w:asciiTheme="minorHAnsi" w:hAnsiTheme="minorHAnsi" w:cstheme="minorHAnsi"/>
          <w:i/>
          <w:lang w:val="en-GB"/>
        </w:rPr>
        <w:t>racture</w:t>
      </w:r>
      <w:r w:rsidRPr="002740C0">
        <w:rPr>
          <w:rFonts w:asciiTheme="minorHAnsi" w:hAnsiTheme="minorHAnsi" w:cstheme="minorHAnsi"/>
          <w:i/>
          <w:lang w:val="en-GB"/>
        </w:rPr>
        <w:t xml:space="preserve"> projections</w:t>
      </w:r>
    </w:p>
    <w:p w14:paraId="5F448D22" w14:textId="154DFE34" w:rsidR="00E7143D" w:rsidRPr="008F03D8" w:rsidRDefault="00285B32" w:rsidP="00306030">
      <w:pPr>
        <w:spacing w:line="276" w:lineRule="auto"/>
        <w:ind w:left="567" w:right="142"/>
        <w:rPr>
          <w:rFonts w:asciiTheme="minorHAnsi" w:eastAsia="Calibri" w:hAnsiTheme="minorHAnsi" w:cstheme="minorHAnsi"/>
          <w:color w:val="FF0000"/>
          <w:lang w:val="en-GB" w:bidi="lo-LA"/>
        </w:rPr>
      </w:pPr>
      <w:r w:rsidRPr="004C4452">
        <w:rPr>
          <w:rFonts w:asciiTheme="minorHAnsi" w:eastAsia="Calibri" w:hAnsiTheme="minorHAnsi" w:cstheme="minorHAnsi"/>
          <w:lang w:val="en-GB" w:bidi="lo-LA"/>
        </w:rPr>
        <w:t xml:space="preserve">Assuming that the fracture rates </w:t>
      </w:r>
      <w:r w:rsidR="00B1310F" w:rsidRPr="004C4452">
        <w:rPr>
          <w:rFonts w:asciiTheme="minorHAnsi" w:eastAsia="Calibri" w:hAnsiTheme="minorHAnsi" w:cstheme="minorHAnsi"/>
          <w:lang w:val="en-GB" w:bidi="lo-LA"/>
        </w:rPr>
        <w:t>derived from</w:t>
      </w:r>
      <w:r w:rsidR="008B31F5" w:rsidRPr="004C4452">
        <w:rPr>
          <w:rFonts w:asciiTheme="minorHAnsi" w:eastAsia="Calibri" w:hAnsiTheme="minorHAnsi" w:cstheme="minorHAnsi"/>
          <w:lang w:val="en-GB" w:bidi="lo-LA"/>
        </w:rPr>
        <w:t xml:space="preserve"> </w:t>
      </w:r>
      <w:r w:rsidR="007E68F3" w:rsidRPr="004C4452">
        <w:rPr>
          <w:rFonts w:asciiTheme="minorHAnsi" w:eastAsia="Calibri" w:hAnsiTheme="minorHAnsi" w:cstheme="minorHAnsi"/>
          <w:lang w:val="en-GB" w:bidi="lo-LA"/>
        </w:rPr>
        <w:t>China</w:t>
      </w:r>
      <w:r w:rsidR="00A5361D" w:rsidRPr="004C4452">
        <w:rPr>
          <w:rFonts w:asciiTheme="minorHAnsi" w:eastAsia="Calibri" w:hAnsiTheme="minorHAnsi" w:cstheme="minorHAnsi"/>
          <w:lang w:val="en-GB" w:bidi="lo-LA"/>
        </w:rPr>
        <w:t xml:space="preserve"> were</w:t>
      </w:r>
      <w:r w:rsidRPr="004C4452">
        <w:rPr>
          <w:rFonts w:asciiTheme="minorHAnsi" w:eastAsia="Calibri" w:hAnsiTheme="minorHAnsi" w:cstheme="minorHAnsi"/>
          <w:lang w:val="en-GB" w:bidi="lo-LA"/>
        </w:rPr>
        <w:t xml:space="preserve"> representative for </w:t>
      </w:r>
      <w:r w:rsidR="007E68F3" w:rsidRPr="004C4452">
        <w:rPr>
          <w:rFonts w:asciiTheme="minorHAnsi" w:eastAsia="Calibri" w:hAnsiTheme="minorHAnsi" w:cstheme="minorHAnsi"/>
          <w:lang w:val="en-GB" w:bidi="lo-LA"/>
        </w:rPr>
        <w:t>Mongolia</w:t>
      </w:r>
      <w:r w:rsidRPr="004C4452">
        <w:rPr>
          <w:rFonts w:asciiTheme="minorHAnsi" w:eastAsia="Calibri" w:hAnsiTheme="minorHAnsi" w:cstheme="minorHAnsi"/>
          <w:lang w:val="en-GB" w:bidi="lo-LA"/>
        </w:rPr>
        <w:t xml:space="preserve">, and based on the </w:t>
      </w:r>
      <w:r w:rsidR="005B4CCD" w:rsidRPr="004C4452">
        <w:rPr>
          <w:rFonts w:asciiTheme="minorHAnsi" w:eastAsia="Calibri" w:hAnsiTheme="minorHAnsi" w:cstheme="minorHAnsi"/>
          <w:lang w:val="en-GB" w:bidi="lo-LA"/>
        </w:rPr>
        <w:t>United Nations</w:t>
      </w:r>
      <w:r w:rsidRPr="004C4452">
        <w:rPr>
          <w:rFonts w:asciiTheme="minorHAnsi" w:eastAsia="Calibri" w:hAnsiTheme="minorHAnsi" w:cstheme="minorHAnsi"/>
          <w:lang w:val="en-GB" w:bidi="lo-LA"/>
        </w:rPr>
        <w:t xml:space="preserve"> estimates of </w:t>
      </w:r>
      <w:r w:rsidR="009C61B9" w:rsidRPr="004C4452">
        <w:rPr>
          <w:rFonts w:asciiTheme="minorHAnsi" w:eastAsia="Calibri" w:hAnsiTheme="minorHAnsi" w:cstheme="minorHAnsi"/>
          <w:lang w:val="en-GB" w:bidi="lo-LA"/>
        </w:rPr>
        <w:t xml:space="preserve">the </w:t>
      </w:r>
      <w:r w:rsidR="007E68F3" w:rsidRPr="004C4452">
        <w:rPr>
          <w:rFonts w:asciiTheme="minorHAnsi" w:eastAsia="Calibri" w:hAnsiTheme="minorHAnsi" w:cstheme="minorHAnsi"/>
          <w:lang w:val="en-GB" w:bidi="lo-LA"/>
        </w:rPr>
        <w:t>Mongol</w:t>
      </w:r>
      <w:r w:rsidRPr="004C4452">
        <w:rPr>
          <w:rFonts w:asciiTheme="minorHAnsi" w:eastAsia="Calibri" w:hAnsiTheme="minorHAnsi" w:cstheme="minorHAnsi"/>
          <w:lang w:val="en-GB" w:bidi="lo-LA"/>
        </w:rPr>
        <w:t xml:space="preserve"> population for 2015, we estimated that the annual number of hip fractures in men and women age 50 years </w:t>
      </w:r>
      <w:r w:rsidR="006D5635" w:rsidRPr="004C4452">
        <w:rPr>
          <w:rFonts w:asciiTheme="minorHAnsi" w:eastAsia="Calibri" w:hAnsiTheme="minorHAnsi" w:cstheme="minorHAnsi"/>
          <w:lang w:val="en-GB" w:bidi="lo-LA"/>
        </w:rPr>
        <w:t>or</w:t>
      </w:r>
      <w:r w:rsidRPr="004C4452">
        <w:rPr>
          <w:rFonts w:asciiTheme="minorHAnsi" w:eastAsia="Calibri" w:hAnsiTheme="minorHAnsi" w:cstheme="minorHAnsi"/>
          <w:lang w:val="en-GB" w:bidi="lo-LA"/>
        </w:rPr>
        <w:t xml:space="preserve"> older in </w:t>
      </w:r>
      <w:r w:rsidR="007E68F3" w:rsidRPr="004C4452">
        <w:rPr>
          <w:rFonts w:asciiTheme="minorHAnsi" w:eastAsia="Calibri" w:hAnsiTheme="minorHAnsi" w:cstheme="minorHAnsi"/>
          <w:lang w:val="en-GB" w:bidi="lo-LA"/>
        </w:rPr>
        <w:t>Mongolia</w:t>
      </w:r>
      <w:r w:rsidRPr="004C4452">
        <w:rPr>
          <w:rFonts w:asciiTheme="minorHAnsi" w:eastAsia="Calibri" w:hAnsiTheme="minorHAnsi" w:cstheme="minorHAnsi"/>
          <w:lang w:val="en-GB" w:bidi="lo-LA"/>
        </w:rPr>
        <w:t xml:space="preserve"> in 2015 </w:t>
      </w:r>
      <w:r w:rsidR="003023B7" w:rsidRPr="00D16656">
        <w:rPr>
          <w:rFonts w:ascii="Calibri" w:eastAsia="Calibri" w:hAnsi="Calibri" w:cs="Calibri"/>
          <w:lang w:val="en-GB" w:bidi="lo-LA"/>
        </w:rPr>
        <w:t>totalled 440, comprising 146 in men and 294 fractures in women. The number of hip fractures is estimated to increase progressively by calendar year with a 4.3-fold increase to 1896 by 2050 (Table 4).</w:t>
      </w:r>
      <w:r w:rsidR="003023B7">
        <w:rPr>
          <w:rFonts w:ascii="Calibri" w:eastAsia="Calibri" w:hAnsi="Calibri" w:cs="Calibri"/>
          <w:lang w:val="en-GB" w:bidi="lo-LA"/>
        </w:rPr>
        <w:t xml:space="preserve">  </w:t>
      </w:r>
    </w:p>
    <w:p w14:paraId="6D02B9AB" w14:textId="77777777" w:rsidR="00710E1B" w:rsidRPr="008F03D8" w:rsidRDefault="00710E1B" w:rsidP="0030661D">
      <w:pPr>
        <w:spacing w:line="276" w:lineRule="auto"/>
        <w:ind w:left="567" w:right="1275"/>
        <w:rPr>
          <w:rFonts w:asciiTheme="minorHAnsi" w:eastAsia="Calibri" w:hAnsiTheme="minorHAnsi" w:cstheme="minorHAnsi"/>
          <w:color w:val="FF0000"/>
          <w:lang w:val="en-GB" w:bidi="lo-LA"/>
        </w:rPr>
      </w:pPr>
    </w:p>
    <w:p w14:paraId="76B09F08" w14:textId="31EEECC7" w:rsidR="004B1B30" w:rsidRPr="00A9082A" w:rsidRDefault="004B1B30" w:rsidP="007A247A">
      <w:pPr>
        <w:ind w:left="567" w:right="1700"/>
        <w:rPr>
          <w:rFonts w:ascii="Calibri" w:eastAsia="Calibri" w:hAnsi="Calibri"/>
          <w:b/>
          <w:sz w:val="22"/>
          <w:szCs w:val="22"/>
          <w:lang w:val="en-GB" w:eastAsia="en-US"/>
        </w:rPr>
      </w:pPr>
      <w:r w:rsidRPr="00A9082A">
        <w:rPr>
          <w:rFonts w:ascii="Calibri" w:eastAsia="Calibri" w:hAnsi="Calibri"/>
          <w:b/>
          <w:sz w:val="22"/>
          <w:szCs w:val="22"/>
          <w:lang w:val="en-GB" w:eastAsia="en-US"/>
        </w:rPr>
        <w:t xml:space="preserve">Table </w:t>
      </w:r>
      <w:r w:rsidR="004027AC" w:rsidRPr="00A9082A">
        <w:rPr>
          <w:rFonts w:ascii="Calibri" w:eastAsia="Calibri" w:hAnsi="Calibri"/>
          <w:b/>
          <w:sz w:val="22"/>
          <w:szCs w:val="22"/>
          <w:lang w:val="en-GB" w:eastAsia="en-US"/>
        </w:rPr>
        <w:t>4</w:t>
      </w:r>
      <w:r w:rsidRPr="00A9082A">
        <w:rPr>
          <w:rFonts w:ascii="Calibri" w:eastAsia="Calibri" w:hAnsi="Calibri"/>
          <w:b/>
          <w:sz w:val="22"/>
          <w:szCs w:val="22"/>
          <w:lang w:val="en-GB" w:eastAsia="en-US"/>
        </w:rPr>
        <w:t xml:space="preserve"> </w:t>
      </w:r>
      <w:r w:rsidRPr="00A9082A">
        <w:rPr>
          <w:rFonts w:ascii="Calibri" w:eastAsia="Calibri" w:hAnsi="Calibri"/>
          <w:bCs/>
          <w:sz w:val="22"/>
          <w:szCs w:val="22"/>
          <w:lang w:val="en-GB" w:eastAsia="en-US"/>
        </w:rPr>
        <w:t xml:space="preserve">Estimated total number of hip fractures (ICD-10 codes S72.0, S72.1, S72.2) in men and in women </w:t>
      </w:r>
      <w:r w:rsidR="00A9082A">
        <w:rPr>
          <w:rFonts w:ascii="Calibri" w:eastAsia="Calibri" w:hAnsi="Calibri"/>
          <w:bCs/>
          <w:sz w:val="22"/>
          <w:szCs w:val="22"/>
          <w:lang w:val="en-GB" w:eastAsia="en-US"/>
        </w:rPr>
        <w:t xml:space="preserve">at </w:t>
      </w:r>
      <w:r w:rsidRPr="00A9082A">
        <w:rPr>
          <w:rFonts w:ascii="Calibri" w:eastAsia="Calibri" w:hAnsi="Calibri"/>
          <w:bCs/>
          <w:sz w:val="22"/>
          <w:szCs w:val="22"/>
          <w:lang w:val="en-GB" w:eastAsia="en-US"/>
        </w:rPr>
        <w:t xml:space="preserve">age 50 years and older in 2015 projected up to 2050 in </w:t>
      </w:r>
      <w:r w:rsidR="002740C0" w:rsidRPr="00A9082A">
        <w:rPr>
          <w:rFonts w:ascii="Calibri" w:eastAsia="Calibri" w:hAnsi="Calibri"/>
          <w:bCs/>
          <w:sz w:val="22"/>
          <w:szCs w:val="22"/>
          <w:lang w:val="en-GB" w:eastAsia="en-US"/>
        </w:rPr>
        <w:t>Mongolia</w:t>
      </w:r>
      <w:r w:rsidRPr="00A9082A">
        <w:rPr>
          <w:rFonts w:ascii="Calibri" w:eastAsia="Calibri" w:hAnsi="Calibri"/>
          <w:b/>
          <w:sz w:val="22"/>
          <w:szCs w:val="22"/>
          <w:lang w:val="en-GB" w:eastAsia="en-US"/>
        </w:rPr>
        <w:t>.</w:t>
      </w:r>
    </w:p>
    <w:p w14:paraId="31673AEB" w14:textId="604C07EF" w:rsidR="005D2943" w:rsidRPr="00A9082A" w:rsidRDefault="005D2943" w:rsidP="007A247A">
      <w:pPr>
        <w:ind w:left="567" w:right="1700"/>
        <w:rPr>
          <w:rFonts w:ascii="Calibri" w:eastAsia="Calibri" w:hAnsi="Calibri"/>
          <w:b/>
          <w:sz w:val="22"/>
          <w:szCs w:val="22"/>
          <w:lang w:val="en-GB" w:eastAsia="en-US"/>
        </w:rPr>
      </w:pPr>
    </w:p>
    <w:tbl>
      <w:tblPr>
        <w:tblStyle w:val="TableGrid2"/>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48"/>
        <w:gridCol w:w="1191"/>
        <w:gridCol w:w="1191"/>
        <w:gridCol w:w="1191"/>
        <w:gridCol w:w="1191"/>
      </w:tblGrid>
      <w:tr w:rsidR="005D2943" w:rsidRPr="008F03D8" w14:paraId="4FFBBA44" w14:textId="77777777" w:rsidTr="007155AE">
        <w:tc>
          <w:tcPr>
            <w:tcW w:w="1980" w:type="dxa"/>
          </w:tcPr>
          <w:p w14:paraId="64AA51C1" w14:textId="77777777" w:rsidR="005D2943" w:rsidRPr="008F03D8" w:rsidRDefault="005D2943" w:rsidP="007155AE">
            <w:pPr>
              <w:spacing w:line="360" w:lineRule="auto"/>
              <w:rPr>
                <w:rFonts w:ascii="Calibri" w:eastAsia="Calibri" w:hAnsi="Calibri"/>
                <w:sz w:val="22"/>
                <w:szCs w:val="22"/>
                <w:lang w:eastAsia="en-US"/>
              </w:rPr>
            </w:pPr>
          </w:p>
        </w:tc>
        <w:tc>
          <w:tcPr>
            <w:tcW w:w="1048" w:type="dxa"/>
            <w:tcBorders>
              <w:top w:val="single" w:sz="4" w:space="0" w:color="auto"/>
              <w:bottom w:val="single" w:sz="4" w:space="0" w:color="auto"/>
            </w:tcBorders>
            <w:hideMark/>
          </w:tcPr>
          <w:p w14:paraId="750F4FA6" w14:textId="77777777" w:rsidR="005D2943" w:rsidRPr="008F03D8" w:rsidRDefault="005D2943" w:rsidP="000D7AD0">
            <w:pPr>
              <w:spacing w:line="360" w:lineRule="auto"/>
              <w:jc w:val="right"/>
              <w:rPr>
                <w:rFonts w:ascii="Calibri" w:eastAsia="Calibri" w:hAnsi="Calibri" w:cs="Calibri"/>
                <w:sz w:val="22"/>
                <w:szCs w:val="22"/>
                <w:lang w:eastAsia="en-US"/>
              </w:rPr>
            </w:pPr>
            <w:r w:rsidRPr="008F03D8">
              <w:rPr>
                <w:rFonts w:ascii="Calibri" w:eastAsia="Calibri" w:hAnsi="Calibri" w:cs="Calibri"/>
                <w:sz w:val="22"/>
                <w:szCs w:val="22"/>
                <w:lang w:eastAsia="en-US"/>
              </w:rPr>
              <w:t>2015</w:t>
            </w:r>
          </w:p>
        </w:tc>
        <w:tc>
          <w:tcPr>
            <w:tcW w:w="1191" w:type="dxa"/>
            <w:tcBorders>
              <w:top w:val="single" w:sz="4" w:space="0" w:color="auto"/>
              <w:bottom w:val="single" w:sz="4" w:space="0" w:color="auto"/>
            </w:tcBorders>
            <w:hideMark/>
          </w:tcPr>
          <w:p w14:paraId="676F7AC7" w14:textId="77777777" w:rsidR="005D2943" w:rsidRPr="008F03D8" w:rsidRDefault="005D2943" w:rsidP="000D7AD0">
            <w:pPr>
              <w:spacing w:line="360" w:lineRule="auto"/>
              <w:jc w:val="right"/>
              <w:rPr>
                <w:rFonts w:ascii="Calibri" w:eastAsia="Calibri" w:hAnsi="Calibri" w:cs="Calibri"/>
                <w:sz w:val="22"/>
                <w:szCs w:val="22"/>
                <w:lang w:eastAsia="en-US"/>
              </w:rPr>
            </w:pPr>
            <w:r w:rsidRPr="008F03D8">
              <w:rPr>
                <w:rFonts w:ascii="Calibri" w:eastAsia="Calibri" w:hAnsi="Calibri" w:cs="Calibri"/>
                <w:sz w:val="22"/>
                <w:szCs w:val="22"/>
                <w:lang w:eastAsia="en-US"/>
              </w:rPr>
              <w:t>2020</w:t>
            </w:r>
          </w:p>
        </w:tc>
        <w:tc>
          <w:tcPr>
            <w:tcW w:w="1191" w:type="dxa"/>
            <w:tcBorders>
              <w:top w:val="single" w:sz="4" w:space="0" w:color="auto"/>
              <w:bottom w:val="single" w:sz="4" w:space="0" w:color="auto"/>
            </w:tcBorders>
            <w:hideMark/>
          </w:tcPr>
          <w:p w14:paraId="3AC61EA7" w14:textId="77777777" w:rsidR="005D2943" w:rsidRPr="008F03D8" w:rsidRDefault="005D2943" w:rsidP="000D7AD0">
            <w:pPr>
              <w:spacing w:line="360" w:lineRule="auto"/>
              <w:jc w:val="right"/>
              <w:rPr>
                <w:rFonts w:ascii="Calibri" w:eastAsia="Calibri" w:hAnsi="Calibri" w:cs="Calibri"/>
                <w:sz w:val="22"/>
                <w:szCs w:val="22"/>
                <w:lang w:eastAsia="en-US"/>
              </w:rPr>
            </w:pPr>
            <w:r w:rsidRPr="008F03D8">
              <w:rPr>
                <w:rFonts w:ascii="Calibri" w:eastAsia="Calibri" w:hAnsi="Calibri" w:cs="Calibri"/>
                <w:sz w:val="22"/>
                <w:szCs w:val="22"/>
                <w:lang w:eastAsia="en-US"/>
              </w:rPr>
              <w:t>2030</w:t>
            </w:r>
          </w:p>
        </w:tc>
        <w:tc>
          <w:tcPr>
            <w:tcW w:w="1191" w:type="dxa"/>
            <w:tcBorders>
              <w:top w:val="single" w:sz="4" w:space="0" w:color="auto"/>
              <w:bottom w:val="single" w:sz="4" w:space="0" w:color="auto"/>
            </w:tcBorders>
            <w:hideMark/>
          </w:tcPr>
          <w:p w14:paraId="5D92B7E5" w14:textId="77777777" w:rsidR="005D2943" w:rsidRPr="008F03D8" w:rsidRDefault="005D2943" w:rsidP="000D7AD0">
            <w:pPr>
              <w:spacing w:line="360" w:lineRule="auto"/>
              <w:jc w:val="right"/>
              <w:rPr>
                <w:rFonts w:ascii="Calibri" w:eastAsia="Calibri" w:hAnsi="Calibri" w:cs="Calibri"/>
                <w:sz w:val="22"/>
                <w:szCs w:val="22"/>
                <w:lang w:eastAsia="en-US"/>
              </w:rPr>
            </w:pPr>
            <w:r w:rsidRPr="008F03D8">
              <w:rPr>
                <w:rFonts w:ascii="Calibri" w:eastAsia="Calibri" w:hAnsi="Calibri" w:cs="Calibri"/>
                <w:sz w:val="22"/>
                <w:szCs w:val="22"/>
                <w:lang w:eastAsia="en-US"/>
              </w:rPr>
              <w:t>2040</w:t>
            </w:r>
          </w:p>
        </w:tc>
        <w:tc>
          <w:tcPr>
            <w:tcW w:w="1191" w:type="dxa"/>
            <w:tcBorders>
              <w:top w:val="single" w:sz="4" w:space="0" w:color="auto"/>
              <w:bottom w:val="single" w:sz="4" w:space="0" w:color="auto"/>
            </w:tcBorders>
            <w:hideMark/>
          </w:tcPr>
          <w:p w14:paraId="60A5B41E" w14:textId="77777777" w:rsidR="005D2943" w:rsidRPr="008F03D8" w:rsidRDefault="005D2943" w:rsidP="000D7AD0">
            <w:pPr>
              <w:spacing w:line="360" w:lineRule="auto"/>
              <w:jc w:val="right"/>
              <w:rPr>
                <w:rFonts w:ascii="Calibri" w:eastAsia="Calibri" w:hAnsi="Calibri" w:cs="Calibri"/>
                <w:sz w:val="22"/>
                <w:szCs w:val="22"/>
                <w:lang w:eastAsia="en-US"/>
              </w:rPr>
            </w:pPr>
            <w:r w:rsidRPr="008F03D8">
              <w:rPr>
                <w:rFonts w:ascii="Calibri" w:eastAsia="Calibri" w:hAnsi="Calibri" w:cs="Calibri"/>
                <w:sz w:val="22"/>
                <w:szCs w:val="22"/>
                <w:lang w:eastAsia="en-US"/>
              </w:rPr>
              <w:t>2050</w:t>
            </w:r>
          </w:p>
        </w:tc>
      </w:tr>
      <w:tr w:rsidR="00650A78" w:rsidRPr="008F03D8" w14:paraId="0F4FB173" w14:textId="77777777" w:rsidTr="002550EC">
        <w:tc>
          <w:tcPr>
            <w:tcW w:w="1980" w:type="dxa"/>
            <w:hideMark/>
          </w:tcPr>
          <w:p w14:paraId="0725949B" w14:textId="77777777" w:rsidR="00650A78" w:rsidRPr="008F03D8" w:rsidRDefault="00650A78" w:rsidP="00650A78">
            <w:pPr>
              <w:spacing w:line="360" w:lineRule="auto"/>
              <w:rPr>
                <w:rFonts w:ascii="Calibri" w:eastAsia="Calibri" w:hAnsi="Calibri"/>
                <w:sz w:val="22"/>
                <w:szCs w:val="22"/>
                <w:lang w:eastAsia="en-US"/>
              </w:rPr>
            </w:pPr>
            <w:r w:rsidRPr="008F03D8">
              <w:rPr>
                <w:rFonts w:ascii="Calibri" w:eastAsia="Calibri" w:hAnsi="Calibri"/>
                <w:sz w:val="22"/>
                <w:szCs w:val="22"/>
                <w:lang w:eastAsia="en-US"/>
              </w:rPr>
              <w:t>Men</w:t>
            </w:r>
          </w:p>
        </w:tc>
        <w:tc>
          <w:tcPr>
            <w:tcW w:w="1048" w:type="dxa"/>
            <w:tcBorders>
              <w:top w:val="single" w:sz="4" w:space="0" w:color="auto"/>
              <w:left w:val="nil"/>
              <w:bottom w:val="nil"/>
              <w:right w:val="nil"/>
            </w:tcBorders>
            <w:hideMark/>
          </w:tcPr>
          <w:p w14:paraId="47C29FE0" w14:textId="7EABD1F0" w:rsidR="00650A78" w:rsidRPr="008F03D8" w:rsidRDefault="00650A78" w:rsidP="00650A78">
            <w:pPr>
              <w:spacing w:line="360" w:lineRule="auto"/>
              <w:jc w:val="right"/>
              <w:rPr>
                <w:rFonts w:ascii="Calibri" w:eastAsia="Calibri" w:hAnsi="Calibri" w:cs="Calibri"/>
                <w:sz w:val="22"/>
                <w:szCs w:val="22"/>
                <w:lang w:eastAsia="en-US"/>
              </w:rPr>
            </w:pPr>
            <w:r>
              <w:t>146</w:t>
            </w:r>
          </w:p>
        </w:tc>
        <w:tc>
          <w:tcPr>
            <w:tcW w:w="1191" w:type="dxa"/>
            <w:tcBorders>
              <w:top w:val="single" w:sz="4" w:space="0" w:color="auto"/>
              <w:left w:val="nil"/>
              <w:bottom w:val="nil"/>
              <w:right w:val="nil"/>
            </w:tcBorders>
            <w:hideMark/>
          </w:tcPr>
          <w:p w14:paraId="107C3C9A" w14:textId="7B3CDF3F" w:rsidR="00650A78" w:rsidRPr="008F03D8" w:rsidRDefault="00650A78" w:rsidP="00650A78">
            <w:pPr>
              <w:spacing w:line="360" w:lineRule="auto"/>
              <w:jc w:val="right"/>
              <w:rPr>
                <w:rFonts w:ascii="Calibri" w:eastAsia="Calibri" w:hAnsi="Calibri" w:cs="Calibri"/>
                <w:color w:val="FF0000"/>
                <w:sz w:val="22"/>
                <w:szCs w:val="22"/>
                <w:lang w:eastAsia="en-US"/>
              </w:rPr>
            </w:pPr>
            <w:r>
              <w:t>180</w:t>
            </w:r>
          </w:p>
        </w:tc>
        <w:tc>
          <w:tcPr>
            <w:tcW w:w="1191" w:type="dxa"/>
            <w:tcBorders>
              <w:top w:val="single" w:sz="4" w:space="0" w:color="auto"/>
              <w:left w:val="nil"/>
              <w:bottom w:val="nil"/>
              <w:right w:val="nil"/>
            </w:tcBorders>
            <w:hideMark/>
          </w:tcPr>
          <w:p w14:paraId="092DACD3" w14:textId="58AB27DC" w:rsidR="00650A78" w:rsidRPr="008F03D8" w:rsidRDefault="00650A78" w:rsidP="00650A78">
            <w:pPr>
              <w:spacing w:line="360" w:lineRule="auto"/>
              <w:jc w:val="right"/>
              <w:rPr>
                <w:rFonts w:ascii="Calibri" w:eastAsia="Calibri" w:hAnsi="Calibri" w:cs="Calibri"/>
                <w:color w:val="FF0000"/>
                <w:sz w:val="22"/>
                <w:szCs w:val="22"/>
                <w:lang w:eastAsia="en-US"/>
              </w:rPr>
            </w:pPr>
            <w:r>
              <w:t>264</w:t>
            </w:r>
          </w:p>
        </w:tc>
        <w:tc>
          <w:tcPr>
            <w:tcW w:w="1191" w:type="dxa"/>
            <w:tcBorders>
              <w:top w:val="single" w:sz="4" w:space="0" w:color="auto"/>
              <w:left w:val="nil"/>
              <w:bottom w:val="nil"/>
              <w:right w:val="nil"/>
            </w:tcBorders>
            <w:hideMark/>
          </w:tcPr>
          <w:p w14:paraId="384BDC11" w14:textId="5EDB8A27" w:rsidR="00650A78" w:rsidRPr="008F03D8" w:rsidRDefault="00650A78" w:rsidP="00650A78">
            <w:pPr>
              <w:spacing w:line="360" w:lineRule="auto"/>
              <w:jc w:val="right"/>
              <w:rPr>
                <w:rFonts w:ascii="Calibri" w:eastAsia="Calibri" w:hAnsi="Calibri" w:cs="Calibri"/>
                <w:color w:val="FF0000"/>
                <w:sz w:val="22"/>
                <w:szCs w:val="22"/>
                <w:lang w:eastAsia="en-US"/>
              </w:rPr>
            </w:pPr>
            <w:r>
              <w:t>400</w:t>
            </w:r>
          </w:p>
        </w:tc>
        <w:tc>
          <w:tcPr>
            <w:tcW w:w="1191" w:type="dxa"/>
            <w:tcBorders>
              <w:top w:val="single" w:sz="4" w:space="0" w:color="auto"/>
              <w:left w:val="nil"/>
              <w:bottom w:val="nil"/>
              <w:right w:val="nil"/>
            </w:tcBorders>
            <w:hideMark/>
          </w:tcPr>
          <w:p w14:paraId="5146419B" w14:textId="3D56F8F5" w:rsidR="00650A78" w:rsidRPr="008F03D8" w:rsidRDefault="00650A78" w:rsidP="00650A78">
            <w:pPr>
              <w:spacing w:line="360" w:lineRule="auto"/>
              <w:jc w:val="right"/>
              <w:rPr>
                <w:rFonts w:ascii="Calibri" w:eastAsia="Calibri" w:hAnsi="Calibri" w:cs="Calibri"/>
                <w:color w:val="FF0000"/>
                <w:sz w:val="22"/>
                <w:szCs w:val="22"/>
                <w:lang w:eastAsia="en-US"/>
              </w:rPr>
            </w:pPr>
            <w:r>
              <w:t>539</w:t>
            </w:r>
          </w:p>
        </w:tc>
      </w:tr>
      <w:tr w:rsidR="00650A78" w:rsidRPr="008F03D8" w14:paraId="0F03FA96" w14:textId="77777777" w:rsidTr="002550EC">
        <w:tc>
          <w:tcPr>
            <w:tcW w:w="1980" w:type="dxa"/>
            <w:hideMark/>
          </w:tcPr>
          <w:p w14:paraId="7F574FF5" w14:textId="77777777" w:rsidR="00650A78" w:rsidRPr="008F03D8" w:rsidRDefault="00650A78" w:rsidP="00650A78">
            <w:pPr>
              <w:spacing w:line="360" w:lineRule="auto"/>
              <w:rPr>
                <w:rFonts w:ascii="Calibri" w:eastAsia="Calibri" w:hAnsi="Calibri"/>
                <w:sz w:val="22"/>
                <w:szCs w:val="22"/>
                <w:lang w:eastAsia="en-US"/>
              </w:rPr>
            </w:pPr>
            <w:r w:rsidRPr="008F03D8">
              <w:rPr>
                <w:rFonts w:ascii="Calibri" w:eastAsia="Calibri" w:hAnsi="Calibri"/>
                <w:sz w:val="22"/>
                <w:szCs w:val="22"/>
                <w:lang w:eastAsia="en-US"/>
              </w:rPr>
              <w:lastRenderedPageBreak/>
              <w:t>Women</w:t>
            </w:r>
          </w:p>
        </w:tc>
        <w:tc>
          <w:tcPr>
            <w:tcW w:w="1048" w:type="dxa"/>
            <w:tcBorders>
              <w:top w:val="nil"/>
              <w:left w:val="nil"/>
              <w:bottom w:val="single" w:sz="4" w:space="0" w:color="auto"/>
              <w:right w:val="nil"/>
            </w:tcBorders>
            <w:hideMark/>
          </w:tcPr>
          <w:p w14:paraId="53A35946" w14:textId="3EC6CE71" w:rsidR="00650A78" w:rsidRPr="008F03D8" w:rsidRDefault="00650A78" w:rsidP="00650A78">
            <w:pPr>
              <w:spacing w:line="360" w:lineRule="auto"/>
              <w:jc w:val="right"/>
              <w:rPr>
                <w:rFonts w:ascii="Calibri" w:eastAsia="Calibri" w:hAnsi="Calibri" w:cs="Calibri"/>
                <w:sz w:val="22"/>
                <w:szCs w:val="22"/>
                <w:lang w:eastAsia="en-US"/>
              </w:rPr>
            </w:pPr>
            <w:r>
              <w:t>294</w:t>
            </w:r>
          </w:p>
        </w:tc>
        <w:tc>
          <w:tcPr>
            <w:tcW w:w="1191" w:type="dxa"/>
            <w:tcBorders>
              <w:top w:val="nil"/>
              <w:left w:val="nil"/>
              <w:bottom w:val="single" w:sz="4" w:space="0" w:color="auto"/>
              <w:right w:val="nil"/>
            </w:tcBorders>
            <w:hideMark/>
          </w:tcPr>
          <w:p w14:paraId="3CA4A23B" w14:textId="2279C707" w:rsidR="00650A78" w:rsidRPr="008F03D8" w:rsidRDefault="00650A78" w:rsidP="00650A78">
            <w:pPr>
              <w:spacing w:line="360" w:lineRule="auto"/>
              <w:jc w:val="right"/>
              <w:rPr>
                <w:rFonts w:ascii="Calibri" w:eastAsia="Calibri" w:hAnsi="Calibri" w:cs="Calibri"/>
                <w:color w:val="FF0000"/>
                <w:sz w:val="22"/>
                <w:szCs w:val="22"/>
                <w:lang w:eastAsia="en-US"/>
              </w:rPr>
            </w:pPr>
            <w:r>
              <w:t>350</w:t>
            </w:r>
          </w:p>
        </w:tc>
        <w:tc>
          <w:tcPr>
            <w:tcW w:w="1191" w:type="dxa"/>
            <w:tcBorders>
              <w:top w:val="nil"/>
              <w:left w:val="nil"/>
              <w:bottom w:val="single" w:sz="4" w:space="0" w:color="auto"/>
              <w:right w:val="nil"/>
            </w:tcBorders>
            <w:hideMark/>
          </w:tcPr>
          <w:p w14:paraId="12F07612" w14:textId="70645ED3" w:rsidR="00650A78" w:rsidRPr="008F03D8" w:rsidRDefault="00650A78" w:rsidP="00650A78">
            <w:pPr>
              <w:spacing w:line="360" w:lineRule="auto"/>
              <w:jc w:val="right"/>
              <w:rPr>
                <w:rFonts w:ascii="Calibri" w:eastAsia="Calibri" w:hAnsi="Calibri" w:cs="Calibri"/>
                <w:color w:val="FF0000"/>
                <w:sz w:val="22"/>
                <w:szCs w:val="22"/>
                <w:lang w:eastAsia="en-US"/>
              </w:rPr>
            </w:pPr>
            <w:r>
              <w:t>553</w:t>
            </w:r>
          </w:p>
        </w:tc>
        <w:tc>
          <w:tcPr>
            <w:tcW w:w="1191" w:type="dxa"/>
            <w:tcBorders>
              <w:top w:val="nil"/>
              <w:left w:val="nil"/>
              <w:bottom w:val="single" w:sz="4" w:space="0" w:color="auto"/>
              <w:right w:val="nil"/>
            </w:tcBorders>
            <w:hideMark/>
          </w:tcPr>
          <w:p w14:paraId="2DEE52B4" w14:textId="1289A8A3" w:rsidR="00650A78" w:rsidRPr="008F03D8" w:rsidRDefault="00650A78" w:rsidP="00650A78">
            <w:pPr>
              <w:spacing w:line="360" w:lineRule="auto"/>
              <w:jc w:val="right"/>
              <w:rPr>
                <w:rFonts w:ascii="Calibri" w:eastAsia="Calibri" w:hAnsi="Calibri" w:cs="Calibri"/>
                <w:color w:val="FF0000"/>
                <w:sz w:val="22"/>
                <w:szCs w:val="22"/>
                <w:lang w:eastAsia="en-US"/>
              </w:rPr>
            </w:pPr>
            <w:r>
              <w:t>933</w:t>
            </w:r>
          </w:p>
        </w:tc>
        <w:tc>
          <w:tcPr>
            <w:tcW w:w="1191" w:type="dxa"/>
            <w:tcBorders>
              <w:top w:val="nil"/>
              <w:left w:val="nil"/>
              <w:bottom w:val="single" w:sz="4" w:space="0" w:color="auto"/>
              <w:right w:val="nil"/>
            </w:tcBorders>
            <w:hideMark/>
          </w:tcPr>
          <w:p w14:paraId="2AE785C7" w14:textId="04BF9A9A" w:rsidR="00650A78" w:rsidRPr="008F03D8" w:rsidRDefault="00650A78" w:rsidP="00650A78">
            <w:pPr>
              <w:spacing w:line="360" w:lineRule="auto"/>
              <w:jc w:val="right"/>
              <w:rPr>
                <w:rFonts w:ascii="Calibri" w:eastAsia="Calibri" w:hAnsi="Calibri" w:cs="Calibri"/>
                <w:color w:val="FF0000"/>
                <w:sz w:val="22"/>
                <w:szCs w:val="22"/>
                <w:lang w:eastAsia="en-US"/>
              </w:rPr>
            </w:pPr>
            <w:r>
              <w:t>1357</w:t>
            </w:r>
          </w:p>
        </w:tc>
      </w:tr>
      <w:tr w:rsidR="00CF4D07" w:rsidRPr="008F03D8" w14:paraId="61E523AD" w14:textId="77777777" w:rsidTr="002550EC">
        <w:tc>
          <w:tcPr>
            <w:tcW w:w="1980" w:type="dxa"/>
          </w:tcPr>
          <w:p w14:paraId="26B1176C" w14:textId="77777777" w:rsidR="00CF4D07" w:rsidRPr="008F03D8" w:rsidRDefault="00CF4D07" w:rsidP="00CF4D07">
            <w:pPr>
              <w:spacing w:line="360" w:lineRule="auto"/>
              <w:rPr>
                <w:rFonts w:ascii="Calibri" w:eastAsia="Calibri" w:hAnsi="Calibri"/>
                <w:sz w:val="22"/>
                <w:szCs w:val="22"/>
                <w:lang w:eastAsia="en-US"/>
              </w:rPr>
            </w:pPr>
            <w:r w:rsidRPr="008F03D8">
              <w:rPr>
                <w:rFonts w:ascii="Calibri" w:eastAsia="Calibri" w:hAnsi="Calibri"/>
                <w:sz w:val="22"/>
                <w:szCs w:val="22"/>
                <w:lang w:eastAsia="en-US"/>
              </w:rPr>
              <w:t>Total</w:t>
            </w:r>
          </w:p>
        </w:tc>
        <w:tc>
          <w:tcPr>
            <w:tcW w:w="1048" w:type="dxa"/>
            <w:tcBorders>
              <w:top w:val="single" w:sz="4" w:space="0" w:color="auto"/>
              <w:left w:val="nil"/>
              <w:bottom w:val="nil"/>
              <w:right w:val="nil"/>
            </w:tcBorders>
          </w:tcPr>
          <w:p w14:paraId="72DC5649" w14:textId="0F3334AC" w:rsidR="00CF4D07" w:rsidRPr="008F03D8" w:rsidRDefault="00CF4D07" w:rsidP="00CF4D07">
            <w:pPr>
              <w:spacing w:line="360" w:lineRule="auto"/>
              <w:jc w:val="right"/>
              <w:rPr>
                <w:rFonts w:ascii="Calibri" w:eastAsia="Calibri" w:hAnsi="Calibri" w:cs="Calibri"/>
                <w:sz w:val="22"/>
                <w:szCs w:val="22"/>
                <w:lang w:eastAsia="en-US"/>
              </w:rPr>
            </w:pPr>
            <w:r>
              <w:t>440</w:t>
            </w:r>
          </w:p>
        </w:tc>
        <w:tc>
          <w:tcPr>
            <w:tcW w:w="1191" w:type="dxa"/>
            <w:tcBorders>
              <w:top w:val="single" w:sz="4" w:space="0" w:color="auto"/>
              <w:left w:val="nil"/>
              <w:bottom w:val="nil"/>
              <w:right w:val="nil"/>
            </w:tcBorders>
          </w:tcPr>
          <w:p w14:paraId="09E71660" w14:textId="374C1172" w:rsidR="00CF4D07" w:rsidRPr="008F03D8" w:rsidRDefault="00CF4D07" w:rsidP="00CF4D07">
            <w:pPr>
              <w:spacing w:line="360" w:lineRule="auto"/>
              <w:jc w:val="right"/>
              <w:rPr>
                <w:rFonts w:ascii="Calibri" w:eastAsia="Calibri" w:hAnsi="Calibri" w:cs="Calibri"/>
                <w:sz w:val="22"/>
                <w:szCs w:val="22"/>
                <w:lang w:eastAsia="en-US"/>
              </w:rPr>
            </w:pPr>
            <w:r>
              <w:t>530</w:t>
            </w:r>
          </w:p>
        </w:tc>
        <w:tc>
          <w:tcPr>
            <w:tcW w:w="1191" w:type="dxa"/>
            <w:tcBorders>
              <w:top w:val="single" w:sz="4" w:space="0" w:color="auto"/>
              <w:left w:val="nil"/>
              <w:bottom w:val="nil"/>
              <w:right w:val="nil"/>
            </w:tcBorders>
          </w:tcPr>
          <w:p w14:paraId="01520B10" w14:textId="25E53BBF" w:rsidR="00CF4D07" w:rsidRPr="008F03D8" w:rsidRDefault="00CF4D07" w:rsidP="00CF4D07">
            <w:pPr>
              <w:spacing w:line="360" w:lineRule="auto"/>
              <w:jc w:val="right"/>
              <w:rPr>
                <w:rFonts w:ascii="Calibri" w:eastAsia="Calibri" w:hAnsi="Calibri" w:cs="Calibri"/>
                <w:sz w:val="22"/>
                <w:szCs w:val="22"/>
                <w:lang w:eastAsia="en-US"/>
              </w:rPr>
            </w:pPr>
            <w:r>
              <w:t>817</w:t>
            </w:r>
          </w:p>
        </w:tc>
        <w:tc>
          <w:tcPr>
            <w:tcW w:w="1191" w:type="dxa"/>
            <w:tcBorders>
              <w:top w:val="single" w:sz="4" w:space="0" w:color="auto"/>
              <w:left w:val="nil"/>
              <w:bottom w:val="nil"/>
              <w:right w:val="nil"/>
            </w:tcBorders>
          </w:tcPr>
          <w:p w14:paraId="437F2267" w14:textId="2361CDD9" w:rsidR="00CF4D07" w:rsidRPr="008F03D8" w:rsidRDefault="00CF4D07" w:rsidP="00CF4D07">
            <w:pPr>
              <w:spacing w:line="360" w:lineRule="auto"/>
              <w:jc w:val="right"/>
              <w:rPr>
                <w:rFonts w:ascii="Calibri" w:eastAsia="Calibri" w:hAnsi="Calibri" w:cs="Calibri"/>
                <w:sz w:val="22"/>
                <w:szCs w:val="22"/>
                <w:lang w:eastAsia="en-US"/>
              </w:rPr>
            </w:pPr>
            <w:r>
              <w:t>1333</w:t>
            </w:r>
          </w:p>
        </w:tc>
        <w:tc>
          <w:tcPr>
            <w:tcW w:w="1191" w:type="dxa"/>
            <w:tcBorders>
              <w:top w:val="single" w:sz="4" w:space="0" w:color="auto"/>
              <w:left w:val="nil"/>
              <w:bottom w:val="nil"/>
              <w:right w:val="nil"/>
            </w:tcBorders>
          </w:tcPr>
          <w:p w14:paraId="7F57AF18" w14:textId="233A8FDE" w:rsidR="00CF4D07" w:rsidRPr="008F03D8" w:rsidRDefault="00CF4D07" w:rsidP="00CF4D07">
            <w:pPr>
              <w:spacing w:line="360" w:lineRule="auto"/>
              <w:jc w:val="right"/>
              <w:rPr>
                <w:rFonts w:ascii="Calibri" w:eastAsia="Calibri" w:hAnsi="Calibri" w:cs="Calibri"/>
                <w:sz w:val="22"/>
                <w:szCs w:val="22"/>
                <w:lang w:eastAsia="en-US"/>
              </w:rPr>
            </w:pPr>
            <w:r>
              <w:t>1896</w:t>
            </w:r>
          </w:p>
        </w:tc>
      </w:tr>
      <w:tr w:rsidR="00CF4D07" w:rsidRPr="008F03D8" w14:paraId="16A5EE54" w14:textId="77777777" w:rsidTr="002550EC">
        <w:tc>
          <w:tcPr>
            <w:tcW w:w="1980" w:type="dxa"/>
          </w:tcPr>
          <w:p w14:paraId="2E969CB5" w14:textId="77777777" w:rsidR="00CF4D07" w:rsidRPr="008F03D8" w:rsidRDefault="00CF4D07" w:rsidP="00CF4D07">
            <w:pPr>
              <w:spacing w:line="360" w:lineRule="auto"/>
              <w:rPr>
                <w:rFonts w:ascii="Calibri" w:eastAsia="Calibri" w:hAnsi="Calibri"/>
                <w:sz w:val="22"/>
                <w:szCs w:val="22"/>
                <w:lang w:eastAsia="en-US"/>
              </w:rPr>
            </w:pPr>
            <w:r w:rsidRPr="008F03D8">
              <w:rPr>
                <w:rFonts w:ascii="Calibri" w:eastAsia="Calibri" w:hAnsi="Calibri"/>
                <w:sz w:val="22"/>
                <w:szCs w:val="22"/>
                <w:lang w:eastAsia="en-US"/>
              </w:rPr>
              <w:t>Increase (%)</w:t>
            </w:r>
          </w:p>
        </w:tc>
        <w:tc>
          <w:tcPr>
            <w:tcW w:w="1048" w:type="dxa"/>
            <w:tcBorders>
              <w:top w:val="nil"/>
              <w:left w:val="nil"/>
              <w:bottom w:val="single" w:sz="4" w:space="0" w:color="auto"/>
              <w:right w:val="nil"/>
            </w:tcBorders>
          </w:tcPr>
          <w:p w14:paraId="6306A511" w14:textId="67F044F1" w:rsidR="00CF4D07" w:rsidRPr="008F03D8" w:rsidRDefault="00CF4D07" w:rsidP="00CF4D07">
            <w:pPr>
              <w:spacing w:line="360" w:lineRule="auto"/>
              <w:jc w:val="right"/>
              <w:rPr>
                <w:rFonts w:ascii="Calibri" w:eastAsia="Calibri" w:hAnsi="Calibri" w:cs="Calibri"/>
                <w:sz w:val="22"/>
                <w:szCs w:val="22"/>
                <w:lang w:eastAsia="en-US"/>
              </w:rPr>
            </w:pPr>
            <w:r>
              <w:rPr>
                <w:rFonts w:ascii="Calibri" w:eastAsia="Calibri" w:hAnsi="Calibri" w:cs="Calibri"/>
                <w:sz w:val="22"/>
                <w:szCs w:val="22"/>
                <w:lang w:eastAsia="en-US"/>
              </w:rPr>
              <w:t>-</w:t>
            </w:r>
          </w:p>
        </w:tc>
        <w:tc>
          <w:tcPr>
            <w:tcW w:w="1191" w:type="dxa"/>
            <w:tcBorders>
              <w:top w:val="nil"/>
              <w:left w:val="nil"/>
              <w:bottom w:val="single" w:sz="4" w:space="0" w:color="auto"/>
              <w:right w:val="nil"/>
            </w:tcBorders>
          </w:tcPr>
          <w:p w14:paraId="10F76ACD" w14:textId="0039EA03" w:rsidR="00CF4D07" w:rsidRPr="008F03D8" w:rsidRDefault="00CF4D07" w:rsidP="00CF4D07">
            <w:pPr>
              <w:tabs>
                <w:tab w:val="left" w:pos="345"/>
                <w:tab w:val="center" w:pos="502"/>
              </w:tabs>
              <w:spacing w:line="360" w:lineRule="auto"/>
              <w:jc w:val="right"/>
              <w:rPr>
                <w:rFonts w:ascii="Calibri" w:eastAsia="Calibri" w:hAnsi="Calibri" w:cs="Calibri"/>
                <w:sz w:val="22"/>
                <w:szCs w:val="22"/>
                <w:lang w:eastAsia="en-US"/>
              </w:rPr>
            </w:pPr>
            <w:r>
              <w:rPr>
                <w:rFonts w:ascii="Calibri" w:hAnsi="Calibri" w:cs="Calibri"/>
                <w:sz w:val="22"/>
                <w:szCs w:val="22"/>
              </w:rPr>
              <w:t>120</w:t>
            </w:r>
          </w:p>
        </w:tc>
        <w:tc>
          <w:tcPr>
            <w:tcW w:w="1191" w:type="dxa"/>
            <w:tcBorders>
              <w:top w:val="nil"/>
              <w:left w:val="nil"/>
              <w:bottom w:val="single" w:sz="4" w:space="0" w:color="auto"/>
              <w:right w:val="nil"/>
            </w:tcBorders>
          </w:tcPr>
          <w:p w14:paraId="7EC8E3FB" w14:textId="69C1FD96" w:rsidR="00CF4D07" w:rsidRPr="008F03D8" w:rsidRDefault="00CF4D07" w:rsidP="00CF4D07">
            <w:pPr>
              <w:spacing w:line="360" w:lineRule="auto"/>
              <w:jc w:val="right"/>
              <w:rPr>
                <w:rFonts w:ascii="Calibri" w:eastAsia="Calibri" w:hAnsi="Calibri" w:cs="Calibri"/>
                <w:sz w:val="22"/>
                <w:szCs w:val="22"/>
                <w:lang w:eastAsia="en-US"/>
              </w:rPr>
            </w:pPr>
            <w:r>
              <w:rPr>
                <w:rFonts w:ascii="Calibri" w:hAnsi="Calibri" w:cs="Calibri"/>
                <w:sz w:val="22"/>
                <w:szCs w:val="22"/>
              </w:rPr>
              <w:t>186</w:t>
            </w:r>
          </w:p>
        </w:tc>
        <w:tc>
          <w:tcPr>
            <w:tcW w:w="1191" w:type="dxa"/>
            <w:tcBorders>
              <w:top w:val="nil"/>
              <w:left w:val="nil"/>
              <w:bottom w:val="single" w:sz="4" w:space="0" w:color="auto"/>
              <w:right w:val="nil"/>
            </w:tcBorders>
          </w:tcPr>
          <w:p w14:paraId="7BDF0625" w14:textId="3C20594A" w:rsidR="00CF4D07" w:rsidRPr="008F03D8" w:rsidRDefault="00CF4D07" w:rsidP="00CF4D07">
            <w:pPr>
              <w:spacing w:line="360" w:lineRule="auto"/>
              <w:jc w:val="right"/>
              <w:rPr>
                <w:rFonts w:ascii="Calibri" w:eastAsia="Calibri" w:hAnsi="Calibri" w:cs="Calibri"/>
                <w:sz w:val="22"/>
                <w:szCs w:val="22"/>
                <w:lang w:eastAsia="en-US"/>
              </w:rPr>
            </w:pPr>
            <w:r>
              <w:rPr>
                <w:rFonts w:ascii="Calibri" w:hAnsi="Calibri" w:cs="Calibri"/>
                <w:sz w:val="22"/>
                <w:szCs w:val="22"/>
              </w:rPr>
              <w:t>303</w:t>
            </w:r>
          </w:p>
        </w:tc>
        <w:tc>
          <w:tcPr>
            <w:tcW w:w="1191" w:type="dxa"/>
            <w:tcBorders>
              <w:top w:val="nil"/>
              <w:left w:val="nil"/>
              <w:bottom w:val="single" w:sz="4" w:space="0" w:color="auto"/>
              <w:right w:val="nil"/>
            </w:tcBorders>
          </w:tcPr>
          <w:p w14:paraId="35FBC449" w14:textId="7DBB25B4" w:rsidR="00CF4D07" w:rsidRPr="008F03D8" w:rsidRDefault="00CF4D07" w:rsidP="00CF4D07">
            <w:pPr>
              <w:spacing w:line="360" w:lineRule="auto"/>
              <w:jc w:val="right"/>
              <w:rPr>
                <w:rFonts w:ascii="Calibri" w:eastAsia="Calibri" w:hAnsi="Calibri" w:cs="Calibri"/>
                <w:sz w:val="22"/>
                <w:szCs w:val="22"/>
                <w:lang w:eastAsia="en-US"/>
              </w:rPr>
            </w:pPr>
            <w:r>
              <w:rPr>
                <w:rFonts w:ascii="Calibri" w:hAnsi="Calibri" w:cs="Calibri"/>
                <w:sz w:val="22"/>
                <w:szCs w:val="22"/>
              </w:rPr>
              <w:t>431</w:t>
            </w:r>
          </w:p>
        </w:tc>
      </w:tr>
    </w:tbl>
    <w:p w14:paraId="5FD94F5D" w14:textId="77777777" w:rsidR="005D2943" w:rsidRPr="008F03D8" w:rsidRDefault="005D2943" w:rsidP="007A247A">
      <w:pPr>
        <w:ind w:left="567" w:right="1700"/>
        <w:rPr>
          <w:rFonts w:ascii="Calibri" w:eastAsia="Calibri" w:hAnsi="Calibri"/>
          <w:sz w:val="20"/>
          <w:szCs w:val="20"/>
          <w:lang w:val="en-GB" w:eastAsia="en-US"/>
        </w:rPr>
      </w:pPr>
    </w:p>
    <w:p w14:paraId="1DC1F0D8" w14:textId="19052D89" w:rsidR="00A61146" w:rsidRPr="008F03D8" w:rsidRDefault="00A61146" w:rsidP="007A247A">
      <w:pPr>
        <w:ind w:left="567" w:right="1700"/>
        <w:rPr>
          <w:rFonts w:ascii="Calibri" w:eastAsia="Calibri" w:hAnsi="Calibri"/>
          <w:sz w:val="20"/>
          <w:szCs w:val="20"/>
          <w:lang w:val="en-GB" w:eastAsia="en-US"/>
        </w:rPr>
      </w:pPr>
      <w:r w:rsidRPr="008F03D8">
        <w:rPr>
          <w:rFonts w:ascii="Calibri" w:eastAsia="Calibri" w:hAnsi="Calibri"/>
          <w:sz w:val="20"/>
          <w:szCs w:val="20"/>
          <w:lang w:val="en-GB" w:eastAsia="en-US"/>
        </w:rPr>
        <w:t xml:space="preserve"> </w:t>
      </w:r>
    </w:p>
    <w:p w14:paraId="4A8473A0" w14:textId="6BA905CA" w:rsidR="00BD6A1A" w:rsidRPr="008F03D8" w:rsidRDefault="00BD6A1A" w:rsidP="009B7358">
      <w:pPr>
        <w:pStyle w:val="Heading1"/>
        <w:spacing w:line="276" w:lineRule="auto"/>
        <w:ind w:left="567" w:right="567" w:firstLine="0"/>
        <w:jc w:val="left"/>
        <w:rPr>
          <w:rFonts w:asciiTheme="minorHAnsi" w:hAnsiTheme="minorHAnsi" w:cstheme="minorHAnsi"/>
          <w:b/>
          <w:color w:val="auto"/>
          <w:sz w:val="24"/>
          <w:szCs w:val="24"/>
          <w:lang w:val="en-GB"/>
        </w:rPr>
      </w:pPr>
      <w:r w:rsidRPr="008F03D8">
        <w:rPr>
          <w:rFonts w:asciiTheme="minorHAnsi" w:hAnsiTheme="minorHAnsi" w:cstheme="minorHAnsi"/>
          <w:b/>
          <w:color w:val="auto"/>
          <w:sz w:val="24"/>
          <w:szCs w:val="24"/>
          <w:lang w:val="en-GB"/>
        </w:rPr>
        <w:t xml:space="preserve">Discussion </w:t>
      </w:r>
    </w:p>
    <w:p w14:paraId="4E500FFE" w14:textId="77777777" w:rsidR="00D1174C" w:rsidRPr="008F03D8" w:rsidRDefault="00D1174C" w:rsidP="009B7358">
      <w:pPr>
        <w:spacing w:line="276" w:lineRule="auto"/>
        <w:ind w:left="567" w:right="567"/>
        <w:rPr>
          <w:rFonts w:eastAsia="Calibri"/>
          <w:lang w:val="en-GB" w:eastAsia="en-US"/>
        </w:rPr>
      </w:pPr>
    </w:p>
    <w:p w14:paraId="3A113CEF" w14:textId="5830B1D2" w:rsidR="009A792E" w:rsidRPr="0068193D" w:rsidRDefault="009A792E" w:rsidP="009B7358">
      <w:pPr>
        <w:spacing w:line="276" w:lineRule="auto"/>
        <w:ind w:left="567" w:right="567"/>
        <w:rPr>
          <w:rFonts w:asciiTheme="minorHAnsi" w:hAnsiTheme="minorHAnsi" w:cstheme="minorHAnsi"/>
          <w:lang w:val="en-GB"/>
        </w:rPr>
      </w:pPr>
      <w:r w:rsidRPr="00EC23EE">
        <w:rPr>
          <w:rFonts w:asciiTheme="minorHAnsi" w:hAnsiTheme="minorHAnsi" w:cstheme="minorHAnsi"/>
          <w:lang w:val="en-GB"/>
        </w:rPr>
        <w:t>Th</w:t>
      </w:r>
      <w:r w:rsidR="00BF74C8" w:rsidRPr="00EC23EE">
        <w:rPr>
          <w:rFonts w:asciiTheme="minorHAnsi" w:hAnsiTheme="minorHAnsi" w:cstheme="minorHAnsi"/>
          <w:lang w:val="en-GB"/>
        </w:rPr>
        <w:t xml:space="preserve">is paper describes the development of a surrogate FRAX model for </w:t>
      </w:r>
      <w:bookmarkStart w:id="6" w:name="_Hlk175331323"/>
      <w:r w:rsidR="000A541E" w:rsidRPr="00EC23EE">
        <w:rPr>
          <w:rFonts w:asciiTheme="minorHAnsi" w:hAnsiTheme="minorHAnsi" w:cstheme="minorHAnsi"/>
          <w:lang w:val="en-GB"/>
        </w:rPr>
        <w:t>Mongolia</w:t>
      </w:r>
      <w:bookmarkEnd w:id="6"/>
      <w:r w:rsidR="00BF74C8" w:rsidRPr="00EC23EE">
        <w:rPr>
          <w:rFonts w:asciiTheme="minorHAnsi" w:hAnsiTheme="minorHAnsi" w:cstheme="minorHAnsi"/>
          <w:lang w:val="en-GB"/>
        </w:rPr>
        <w:t xml:space="preserve">, utilising hip fracture rates </w:t>
      </w:r>
      <w:r w:rsidR="00F808CF" w:rsidRPr="00EC23EE">
        <w:rPr>
          <w:rFonts w:asciiTheme="minorHAnsi" w:hAnsiTheme="minorHAnsi" w:cstheme="minorHAnsi"/>
          <w:lang w:val="en-GB"/>
        </w:rPr>
        <w:t>in</w:t>
      </w:r>
      <w:r w:rsidR="000A541E" w:rsidRPr="00EC23EE">
        <w:rPr>
          <w:rFonts w:asciiTheme="minorHAnsi" w:hAnsiTheme="minorHAnsi" w:cstheme="minorHAnsi"/>
          <w:lang w:val="en-GB"/>
        </w:rPr>
        <w:t xml:space="preserve"> mainland China</w:t>
      </w:r>
      <w:r w:rsidR="00FA106D" w:rsidRPr="00EC23EE">
        <w:rPr>
          <w:rFonts w:asciiTheme="minorHAnsi" w:hAnsiTheme="minorHAnsi" w:cstheme="minorHAnsi"/>
          <w:lang w:val="en-GB"/>
        </w:rPr>
        <w:t xml:space="preserve"> and</w:t>
      </w:r>
      <w:r w:rsidR="00BF74C8" w:rsidRPr="00EC23EE">
        <w:rPr>
          <w:rFonts w:asciiTheme="minorHAnsi" w:hAnsiTheme="minorHAnsi" w:cstheme="minorHAnsi"/>
          <w:lang w:val="en-GB"/>
        </w:rPr>
        <w:t xml:space="preserve"> mortality data from </w:t>
      </w:r>
      <w:r w:rsidR="000A541E" w:rsidRPr="00EC23EE">
        <w:rPr>
          <w:rFonts w:asciiTheme="minorHAnsi" w:hAnsiTheme="minorHAnsi" w:cstheme="minorHAnsi"/>
          <w:lang w:val="en-GB"/>
        </w:rPr>
        <w:t>Mongolia</w:t>
      </w:r>
      <w:r w:rsidR="00BF74C8" w:rsidRPr="00EC23EE">
        <w:rPr>
          <w:rFonts w:asciiTheme="minorHAnsi" w:hAnsiTheme="minorHAnsi" w:cstheme="minorHAnsi"/>
          <w:lang w:val="en-GB"/>
        </w:rPr>
        <w:t xml:space="preserve">.  </w:t>
      </w:r>
      <w:r w:rsidR="0042287A" w:rsidRPr="00EC23EE">
        <w:rPr>
          <w:rFonts w:asciiTheme="minorHAnsi" w:hAnsiTheme="minorHAnsi" w:cstheme="minorHAnsi"/>
          <w:lang w:val="en-GB"/>
        </w:rPr>
        <w:t>With advancing age, t</w:t>
      </w:r>
      <w:r w:rsidRPr="00EC23EE">
        <w:rPr>
          <w:rFonts w:asciiTheme="minorHAnsi" w:hAnsiTheme="minorHAnsi" w:cstheme="minorHAnsi"/>
          <w:lang w:val="en-GB"/>
        </w:rPr>
        <w:t xml:space="preserve">he </w:t>
      </w:r>
      <w:r w:rsidR="00146845" w:rsidRPr="00EC23EE">
        <w:rPr>
          <w:rFonts w:asciiTheme="minorHAnsi" w:hAnsiTheme="minorHAnsi" w:cstheme="minorHAnsi"/>
          <w:lang w:val="en-GB"/>
        </w:rPr>
        <w:t>surrogate</w:t>
      </w:r>
      <w:r w:rsidRPr="00EC23EE">
        <w:rPr>
          <w:rFonts w:asciiTheme="minorHAnsi" w:hAnsiTheme="minorHAnsi" w:cstheme="minorHAnsi"/>
          <w:lang w:val="en-GB"/>
        </w:rPr>
        <w:t xml:space="preserve"> </w:t>
      </w:r>
      <w:r w:rsidR="00BF74C8" w:rsidRPr="00EC23EE">
        <w:rPr>
          <w:rFonts w:asciiTheme="minorHAnsi" w:hAnsiTheme="minorHAnsi" w:cstheme="minorHAnsi"/>
          <w:lang w:val="en-GB"/>
        </w:rPr>
        <w:t xml:space="preserve">model </w:t>
      </w:r>
      <w:r w:rsidRPr="00EC23EE">
        <w:rPr>
          <w:rFonts w:asciiTheme="minorHAnsi" w:hAnsiTheme="minorHAnsi" w:cstheme="minorHAnsi"/>
          <w:lang w:val="en-GB"/>
        </w:rPr>
        <w:t xml:space="preserve">provided </w:t>
      </w:r>
      <w:r w:rsidR="00C97654">
        <w:rPr>
          <w:rFonts w:asciiTheme="minorHAnsi" w:hAnsiTheme="minorHAnsi" w:cstheme="minorHAnsi"/>
          <w:lang w:val="en-GB"/>
        </w:rPr>
        <w:t>marginally</w:t>
      </w:r>
      <w:r w:rsidR="00871C5C" w:rsidRPr="00EC23EE">
        <w:rPr>
          <w:rFonts w:asciiTheme="minorHAnsi" w:hAnsiTheme="minorHAnsi" w:cstheme="minorHAnsi"/>
          <w:lang w:val="en-GB"/>
        </w:rPr>
        <w:t xml:space="preserve"> </w:t>
      </w:r>
      <w:r w:rsidR="00914F92" w:rsidRPr="00EC23EE">
        <w:rPr>
          <w:rFonts w:asciiTheme="minorHAnsi" w:hAnsiTheme="minorHAnsi" w:cstheme="minorHAnsi"/>
          <w:lang w:val="en-GB"/>
        </w:rPr>
        <w:t>different</w:t>
      </w:r>
      <w:r w:rsidRPr="00EC23EE">
        <w:rPr>
          <w:rFonts w:asciiTheme="minorHAnsi" w:hAnsiTheme="minorHAnsi" w:cstheme="minorHAnsi"/>
          <w:lang w:val="en-GB"/>
        </w:rPr>
        <w:t xml:space="preserve"> estimates of fracture probability</w:t>
      </w:r>
      <w:r w:rsidR="00BF74C8" w:rsidRPr="00EC23EE">
        <w:rPr>
          <w:rFonts w:asciiTheme="minorHAnsi" w:hAnsiTheme="minorHAnsi" w:cstheme="minorHAnsi"/>
          <w:lang w:val="en-GB"/>
        </w:rPr>
        <w:t xml:space="preserve"> for hip fractures </w:t>
      </w:r>
      <w:r w:rsidR="00B75057" w:rsidRPr="00EC23EE">
        <w:rPr>
          <w:rFonts w:asciiTheme="minorHAnsi" w:hAnsiTheme="minorHAnsi" w:cstheme="minorHAnsi"/>
          <w:lang w:val="en-GB"/>
        </w:rPr>
        <w:t>in men</w:t>
      </w:r>
      <w:r w:rsidRPr="00EC23EE">
        <w:rPr>
          <w:rFonts w:asciiTheme="minorHAnsi" w:hAnsiTheme="minorHAnsi" w:cstheme="minorHAnsi"/>
          <w:lang w:val="en-GB"/>
        </w:rPr>
        <w:t xml:space="preserve"> and </w:t>
      </w:r>
      <w:r w:rsidR="00A32260" w:rsidRPr="00EC23EE">
        <w:rPr>
          <w:rFonts w:asciiTheme="minorHAnsi" w:hAnsiTheme="minorHAnsi" w:cstheme="minorHAnsi"/>
          <w:lang w:val="en-GB"/>
        </w:rPr>
        <w:t>women</w:t>
      </w:r>
      <w:r w:rsidRPr="00EC23EE">
        <w:rPr>
          <w:rFonts w:asciiTheme="minorHAnsi" w:hAnsiTheme="minorHAnsi" w:cstheme="minorHAnsi"/>
          <w:lang w:val="en-GB"/>
        </w:rPr>
        <w:t xml:space="preserve"> </w:t>
      </w:r>
      <w:r w:rsidR="00BF74C8" w:rsidRPr="00EC23EE">
        <w:rPr>
          <w:rFonts w:asciiTheme="minorHAnsi" w:hAnsiTheme="minorHAnsi" w:cstheme="minorHAnsi"/>
          <w:lang w:val="en-GB"/>
        </w:rPr>
        <w:t xml:space="preserve">in </w:t>
      </w:r>
      <w:r w:rsidR="00871C5C" w:rsidRPr="00EC23EE">
        <w:rPr>
          <w:rFonts w:asciiTheme="minorHAnsi" w:hAnsiTheme="minorHAnsi" w:cstheme="minorHAnsi"/>
          <w:lang w:val="en-GB"/>
        </w:rPr>
        <w:t>Mongolia</w:t>
      </w:r>
      <w:r w:rsidR="00BF74C8" w:rsidRPr="00EC23EE">
        <w:rPr>
          <w:rFonts w:asciiTheme="minorHAnsi" w:hAnsiTheme="minorHAnsi" w:cstheme="minorHAnsi"/>
          <w:lang w:val="en-GB"/>
        </w:rPr>
        <w:t xml:space="preserve"> </w:t>
      </w:r>
      <w:r w:rsidR="00B54CB9" w:rsidRPr="00EC23EE">
        <w:rPr>
          <w:rFonts w:asciiTheme="minorHAnsi" w:hAnsiTheme="minorHAnsi" w:cstheme="minorHAnsi"/>
          <w:lang w:val="en-GB"/>
        </w:rPr>
        <w:t xml:space="preserve">compared with the </w:t>
      </w:r>
      <w:r w:rsidR="00871C5C" w:rsidRPr="00EC23EE">
        <w:rPr>
          <w:rFonts w:asciiTheme="minorHAnsi" w:hAnsiTheme="minorHAnsi" w:cstheme="minorHAnsi"/>
          <w:lang w:val="en-GB"/>
        </w:rPr>
        <w:t>Chinese</w:t>
      </w:r>
      <w:r w:rsidR="00F01990" w:rsidRPr="00EC23EE">
        <w:rPr>
          <w:rFonts w:asciiTheme="minorHAnsi" w:hAnsiTheme="minorHAnsi" w:cstheme="minorHAnsi"/>
          <w:lang w:val="en-GB"/>
        </w:rPr>
        <w:t xml:space="preserve"> </w:t>
      </w:r>
      <w:r w:rsidR="00F5246F" w:rsidRPr="00EC23EE">
        <w:rPr>
          <w:rFonts w:asciiTheme="minorHAnsi" w:hAnsiTheme="minorHAnsi" w:cstheme="minorHAnsi"/>
          <w:lang w:val="en-GB"/>
        </w:rPr>
        <w:t>model</w:t>
      </w:r>
      <w:r w:rsidRPr="00EC23EE">
        <w:rPr>
          <w:rFonts w:asciiTheme="minorHAnsi" w:hAnsiTheme="minorHAnsi" w:cstheme="minorHAnsi"/>
          <w:lang w:val="en-GB"/>
        </w:rPr>
        <w:t xml:space="preserve">. </w:t>
      </w:r>
      <w:r w:rsidR="00E37AB7" w:rsidRPr="00EC23EE">
        <w:rPr>
          <w:rFonts w:asciiTheme="minorHAnsi" w:hAnsiTheme="minorHAnsi" w:cstheme="minorHAnsi"/>
          <w:lang w:val="en-GB"/>
        </w:rPr>
        <w:t>The</w:t>
      </w:r>
      <w:r w:rsidR="00BF74C8" w:rsidRPr="00EC23EE">
        <w:rPr>
          <w:rFonts w:asciiTheme="minorHAnsi" w:hAnsiTheme="minorHAnsi" w:cstheme="minorHAnsi"/>
          <w:lang w:val="en-GB"/>
        </w:rPr>
        <w:t xml:space="preserve"> </w:t>
      </w:r>
      <w:r w:rsidR="00871C5C" w:rsidRPr="00EC23EE">
        <w:rPr>
          <w:rFonts w:asciiTheme="minorHAnsi" w:hAnsiTheme="minorHAnsi" w:cstheme="minorHAnsi"/>
          <w:lang w:val="en-GB"/>
        </w:rPr>
        <w:t>differing</w:t>
      </w:r>
      <w:r w:rsidR="00BF74C8" w:rsidRPr="00EC23EE">
        <w:rPr>
          <w:rFonts w:asciiTheme="minorHAnsi" w:hAnsiTheme="minorHAnsi" w:cstheme="minorHAnsi"/>
          <w:lang w:val="en-GB"/>
        </w:rPr>
        <w:t xml:space="preserve"> probabilities </w:t>
      </w:r>
      <w:r w:rsidR="005D3ED6" w:rsidRPr="00EC23EE">
        <w:rPr>
          <w:rFonts w:asciiTheme="minorHAnsi" w:hAnsiTheme="minorHAnsi" w:cstheme="minorHAnsi"/>
          <w:lang w:val="en-GB"/>
        </w:rPr>
        <w:t xml:space="preserve">in </w:t>
      </w:r>
      <w:r w:rsidR="00871C5C" w:rsidRPr="00EC23EE">
        <w:rPr>
          <w:rFonts w:asciiTheme="minorHAnsi" w:hAnsiTheme="minorHAnsi" w:cstheme="minorHAnsi"/>
          <w:lang w:val="en-GB"/>
        </w:rPr>
        <w:t>Mongolia</w:t>
      </w:r>
      <w:r w:rsidR="00D8588F" w:rsidRPr="00EC23EE">
        <w:rPr>
          <w:rFonts w:asciiTheme="minorHAnsi" w:hAnsiTheme="minorHAnsi" w:cstheme="minorHAnsi"/>
          <w:lang w:val="en-GB"/>
        </w:rPr>
        <w:t xml:space="preserve"> </w:t>
      </w:r>
      <w:r w:rsidR="00910989" w:rsidRPr="00EC23EE">
        <w:rPr>
          <w:rFonts w:asciiTheme="minorHAnsi" w:hAnsiTheme="minorHAnsi" w:cstheme="minorHAnsi"/>
          <w:lang w:val="en-GB"/>
        </w:rPr>
        <w:t xml:space="preserve">reflect </w:t>
      </w:r>
      <w:r w:rsidR="00A32260" w:rsidRPr="00EC23EE">
        <w:rPr>
          <w:rFonts w:asciiTheme="minorHAnsi" w:hAnsiTheme="minorHAnsi" w:cstheme="minorHAnsi"/>
          <w:lang w:val="en-GB"/>
        </w:rPr>
        <w:t>difference</w:t>
      </w:r>
      <w:r w:rsidR="00BF74C8" w:rsidRPr="00EC23EE">
        <w:rPr>
          <w:rFonts w:asciiTheme="minorHAnsi" w:hAnsiTheme="minorHAnsi" w:cstheme="minorHAnsi"/>
          <w:lang w:val="en-GB"/>
        </w:rPr>
        <w:t>s</w:t>
      </w:r>
      <w:r w:rsidR="00B63D2B" w:rsidRPr="00EC23EE">
        <w:rPr>
          <w:rFonts w:asciiTheme="minorHAnsi" w:hAnsiTheme="minorHAnsi" w:cstheme="minorHAnsi"/>
          <w:lang w:val="en-GB"/>
        </w:rPr>
        <w:t xml:space="preserve"> in </w:t>
      </w:r>
      <w:r w:rsidR="00BF74C8" w:rsidRPr="00EC23EE">
        <w:rPr>
          <w:rFonts w:asciiTheme="minorHAnsi" w:hAnsiTheme="minorHAnsi" w:cstheme="minorHAnsi"/>
          <w:lang w:val="en-GB"/>
        </w:rPr>
        <w:t xml:space="preserve">age-specific </w:t>
      </w:r>
      <w:r w:rsidR="00B63D2B" w:rsidRPr="00EC23EE">
        <w:rPr>
          <w:rFonts w:asciiTheme="minorHAnsi" w:hAnsiTheme="minorHAnsi" w:cstheme="minorHAnsi"/>
          <w:lang w:val="en-GB"/>
        </w:rPr>
        <w:t>mortality be</w:t>
      </w:r>
      <w:r w:rsidR="000E3BFE" w:rsidRPr="00EC23EE">
        <w:rPr>
          <w:rFonts w:asciiTheme="minorHAnsi" w:hAnsiTheme="minorHAnsi" w:cstheme="minorHAnsi"/>
          <w:lang w:val="en-GB"/>
        </w:rPr>
        <w:t>t</w:t>
      </w:r>
      <w:r w:rsidR="00B63D2B" w:rsidRPr="00EC23EE">
        <w:rPr>
          <w:rFonts w:asciiTheme="minorHAnsi" w:hAnsiTheme="minorHAnsi" w:cstheme="minorHAnsi"/>
          <w:lang w:val="en-GB"/>
        </w:rPr>
        <w:t>wee</w:t>
      </w:r>
      <w:r w:rsidR="000E3BFE" w:rsidRPr="00EC23EE">
        <w:rPr>
          <w:rFonts w:asciiTheme="minorHAnsi" w:hAnsiTheme="minorHAnsi" w:cstheme="minorHAnsi"/>
          <w:lang w:val="en-GB"/>
        </w:rPr>
        <w:t>n</w:t>
      </w:r>
      <w:r w:rsidR="00B63D2B" w:rsidRPr="00EC23EE">
        <w:rPr>
          <w:rFonts w:asciiTheme="minorHAnsi" w:hAnsiTheme="minorHAnsi" w:cstheme="minorHAnsi"/>
          <w:lang w:val="en-GB"/>
        </w:rPr>
        <w:t xml:space="preserve"> the two countries.</w:t>
      </w:r>
      <w:r w:rsidR="001E38AD" w:rsidRPr="00EC23EE">
        <w:rPr>
          <w:rFonts w:asciiTheme="minorHAnsi" w:hAnsiTheme="minorHAnsi" w:cstheme="minorHAnsi"/>
          <w:lang w:val="en-GB"/>
        </w:rPr>
        <w:t xml:space="preserve">  </w:t>
      </w:r>
      <w:r w:rsidRPr="00B5370C">
        <w:rPr>
          <w:rFonts w:asciiTheme="minorHAnsi" w:hAnsiTheme="minorHAnsi" w:cstheme="minorHAnsi"/>
          <w:lang w:val="en-GB"/>
        </w:rPr>
        <w:t xml:space="preserve">Importantly, the </w:t>
      </w:r>
      <w:r w:rsidR="00D72E48" w:rsidRPr="00B5370C">
        <w:rPr>
          <w:rFonts w:asciiTheme="minorHAnsi" w:hAnsiTheme="minorHAnsi" w:cstheme="minorHAnsi"/>
          <w:lang w:val="en-GB"/>
        </w:rPr>
        <w:t>differences</w:t>
      </w:r>
      <w:r w:rsidRPr="00B5370C">
        <w:rPr>
          <w:rFonts w:asciiTheme="minorHAnsi" w:hAnsiTheme="minorHAnsi" w:cstheme="minorHAnsi"/>
          <w:lang w:val="en-GB"/>
        </w:rPr>
        <w:t xml:space="preserve"> </w:t>
      </w:r>
      <w:r w:rsidR="00225637" w:rsidRPr="00B5370C">
        <w:rPr>
          <w:rFonts w:asciiTheme="minorHAnsi" w:hAnsiTheme="minorHAnsi" w:cstheme="minorHAnsi"/>
          <w:lang w:val="en-GB"/>
        </w:rPr>
        <w:t xml:space="preserve">will </w:t>
      </w:r>
      <w:r w:rsidR="00B5370C" w:rsidRPr="00B5370C">
        <w:rPr>
          <w:rFonts w:asciiTheme="minorHAnsi" w:hAnsiTheme="minorHAnsi" w:cstheme="minorHAnsi"/>
          <w:lang w:val="en-GB"/>
        </w:rPr>
        <w:t>have</w:t>
      </w:r>
      <w:r w:rsidRPr="00B5370C">
        <w:rPr>
          <w:rFonts w:asciiTheme="minorHAnsi" w:hAnsiTheme="minorHAnsi" w:cstheme="minorHAnsi"/>
          <w:lang w:val="en-GB"/>
        </w:rPr>
        <w:t xml:space="preserve"> little impact on the </w:t>
      </w:r>
      <w:r w:rsidR="00BF74C8" w:rsidRPr="00B5370C">
        <w:rPr>
          <w:rFonts w:asciiTheme="minorHAnsi" w:hAnsiTheme="minorHAnsi" w:cstheme="minorHAnsi"/>
          <w:lang w:val="en-GB"/>
        </w:rPr>
        <w:t xml:space="preserve">stratification </w:t>
      </w:r>
      <w:r w:rsidRPr="00B5370C">
        <w:rPr>
          <w:rFonts w:asciiTheme="minorHAnsi" w:hAnsiTheme="minorHAnsi" w:cstheme="minorHAnsi"/>
          <w:lang w:val="en-GB"/>
        </w:rPr>
        <w:t>of risk</w:t>
      </w:r>
      <w:r w:rsidRPr="003E08B5">
        <w:rPr>
          <w:rFonts w:asciiTheme="minorHAnsi" w:hAnsiTheme="minorHAnsi" w:cstheme="minorHAnsi"/>
          <w:lang w:val="en-GB"/>
        </w:rPr>
        <w:t xml:space="preserve">, since </w:t>
      </w:r>
      <w:r w:rsidR="00214FE5">
        <w:rPr>
          <w:rFonts w:asciiTheme="minorHAnsi" w:hAnsiTheme="minorHAnsi" w:cstheme="minorHAnsi"/>
          <w:lang w:val="en-GB"/>
        </w:rPr>
        <w:t>little</w:t>
      </w:r>
      <w:r w:rsidRPr="003E08B5">
        <w:rPr>
          <w:rFonts w:asciiTheme="minorHAnsi" w:hAnsiTheme="minorHAnsi" w:cstheme="minorHAnsi"/>
          <w:lang w:val="en-GB"/>
        </w:rPr>
        <w:t xml:space="preserve"> change </w:t>
      </w:r>
      <w:r w:rsidR="00BF74C8" w:rsidRPr="003E08B5">
        <w:rPr>
          <w:rFonts w:asciiTheme="minorHAnsi" w:hAnsiTheme="minorHAnsi" w:cstheme="minorHAnsi"/>
          <w:lang w:val="en-GB"/>
        </w:rPr>
        <w:t xml:space="preserve">in </w:t>
      </w:r>
      <w:r w:rsidRPr="003E08B5">
        <w:rPr>
          <w:rFonts w:asciiTheme="minorHAnsi" w:hAnsiTheme="minorHAnsi" w:cstheme="minorHAnsi"/>
          <w:lang w:val="en-GB"/>
        </w:rPr>
        <w:t>the rank order of fracture probability</w:t>
      </w:r>
      <w:r w:rsidR="00A542A5">
        <w:rPr>
          <w:rFonts w:asciiTheme="minorHAnsi" w:hAnsiTheme="minorHAnsi" w:cstheme="minorHAnsi"/>
          <w:lang w:val="en-GB"/>
        </w:rPr>
        <w:t xml:space="preserve"> has been shown in other</w:t>
      </w:r>
      <w:r w:rsidR="002B6528">
        <w:rPr>
          <w:rFonts w:asciiTheme="minorHAnsi" w:hAnsiTheme="minorHAnsi" w:cstheme="minorHAnsi"/>
          <w:lang w:val="en-GB"/>
        </w:rPr>
        <w:t xml:space="preserve"> surrogate </w:t>
      </w:r>
      <w:r w:rsidR="002B6528" w:rsidRPr="0068193D">
        <w:rPr>
          <w:rFonts w:asciiTheme="minorHAnsi" w:hAnsiTheme="minorHAnsi" w:cstheme="minorHAnsi"/>
          <w:lang w:val="en-GB"/>
        </w:rPr>
        <w:t>models</w:t>
      </w:r>
      <w:r w:rsidR="005D3ED6" w:rsidRPr="0068193D">
        <w:rPr>
          <w:rFonts w:asciiTheme="minorHAnsi" w:hAnsiTheme="minorHAnsi" w:cstheme="minorHAnsi"/>
          <w:lang w:val="en-GB"/>
        </w:rPr>
        <w:t xml:space="preserve"> </w:t>
      </w:r>
      <w:r w:rsidR="00681FBD" w:rsidRPr="0068193D">
        <w:rPr>
          <w:rFonts w:asciiTheme="minorHAnsi" w:hAnsiTheme="minorHAnsi" w:cstheme="minorHAnsi"/>
          <w:lang w:val="en-GB"/>
        </w:rPr>
        <w:t>[</w:t>
      </w:r>
      <w:r w:rsidR="00A16C67">
        <w:rPr>
          <w:rFonts w:asciiTheme="minorHAnsi" w:hAnsiTheme="minorHAnsi" w:cstheme="minorHAnsi"/>
          <w:lang w:val="en-GB"/>
        </w:rPr>
        <w:t>17, 18, 19, 20, 21, 22</w:t>
      </w:r>
      <w:r w:rsidR="00007C81">
        <w:rPr>
          <w:rFonts w:asciiTheme="minorHAnsi" w:hAnsiTheme="minorHAnsi" w:cstheme="minorHAnsi"/>
          <w:lang w:val="en-GB"/>
        </w:rPr>
        <w:t>]</w:t>
      </w:r>
      <w:r w:rsidR="00D03C83" w:rsidRPr="0068193D">
        <w:rPr>
          <w:rFonts w:asciiTheme="minorHAnsi" w:hAnsiTheme="minorHAnsi" w:cstheme="minorHAnsi"/>
          <w:lang w:val="en-GB"/>
        </w:rPr>
        <w:t>.</w:t>
      </w:r>
      <w:r w:rsidR="00DD5A96" w:rsidRPr="0068193D">
        <w:rPr>
          <w:rFonts w:asciiTheme="minorHAnsi" w:hAnsiTheme="minorHAnsi" w:cstheme="minorHAnsi"/>
          <w:lang w:val="en-GB"/>
        </w:rPr>
        <w:t xml:space="preserve"> </w:t>
      </w:r>
    </w:p>
    <w:p w14:paraId="28EE7E30" w14:textId="77777777" w:rsidR="00D03C83" w:rsidRPr="0068193D" w:rsidRDefault="00D03C83" w:rsidP="009B7358">
      <w:pPr>
        <w:spacing w:line="276" w:lineRule="auto"/>
        <w:ind w:left="567" w:right="567"/>
        <w:rPr>
          <w:rFonts w:asciiTheme="minorHAnsi" w:hAnsiTheme="minorHAnsi" w:cstheme="minorHAnsi"/>
          <w:lang w:val="en-GB"/>
        </w:rPr>
      </w:pPr>
    </w:p>
    <w:p w14:paraId="6885481E" w14:textId="398FA512" w:rsidR="003118DA" w:rsidRPr="008F03D8" w:rsidRDefault="00DD5A96" w:rsidP="00C6687F">
      <w:pPr>
        <w:spacing w:line="276" w:lineRule="auto"/>
        <w:ind w:left="567" w:right="567"/>
        <w:rPr>
          <w:rFonts w:asciiTheme="minorHAnsi" w:hAnsiTheme="minorHAnsi" w:cstheme="minorHAnsi"/>
          <w:lang w:val="en-GB"/>
        </w:rPr>
      </w:pPr>
      <w:r w:rsidRPr="0068193D">
        <w:rPr>
          <w:rFonts w:asciiTheme="minorHAnsi" w:hAnsiTheme="minorHAnsi" w:cstheme="minorHAnsi"/>
          <w:lang w:val="en-GB"/>
        </w:rPr>
        <w:t>An</w:t>
      </w:r>
      <w:r w:rsidR="00306030" w:rsidRPr="0068193D">
        <w:rPr>
          <w:rFonts w:asciiTheme="minorHAnsi" w:hAnsiTheme="minorHAnsi" w:cstheme="minorHAnsi"/>
          <w:lang w:val="en-GB"/>
        </w:rPr>
        <w:t xml:space="preserve"> o</w:t>
      </w:r>
      <w:r w:rsidR="00096825" w:rsidRPr="0068193D">
        <w:rPr>
          <w:rFonts w:asciiTheme="minorHAnsi" w:hAnsiTheme="minorHAnsi" w:cstheme="minorHAnsi"/>
          <w:lang w:val="en-GB"/>
        </w:rPr>
        <w:t xml:space="preserve">bvious limitation </w:t>
      </w:r>
      <w:r w:rsidRPr="0068193D">
        <w:rPr>
          <w:rFonts w:asciiTheme="minorHAnsi" w:hAnsiTheme="minorHAnsi" w:cstheme="minorHAnsi"/>
          <w:lang w:val="en-GB"/>
        </w:rPr>
        <w:t xml:space="preserve">of </w:t>
      </w:r>
      <w:r w:rsidR="00096825" w:rsidRPr="0068193D">
        <w:rPr>
          <w:rFonts w:asciiTheme="minorHAnsi" w:hAnsiTheme="minorHAnsi" w:cstheme="minorHAnsi"/>
          <w:lang w:val="en-GB"/>
        </w:rPr>
        <w:t xml:space="preserve">this study </w:t>
      </w:r>
      <w:r w:rsidRPr="0068193D">
        <w:rPr>
          <w:rFonts w:asciiTheme="minorHAnsi" w:hAnsiTheme="minorHAnsi" w:cstheme="minorHAnsi"/>
          <w:lang w:val="en-GB"/>
        </w:rPr>
        <w:t xml:space="preserve">is </w:t>
      </w:r>
      <w:r w:rsidR="00CD75F6" w:rsidRPr="0068193D">
        <w:rPr>
          <w:rFonts w:asciiTheme="minorHAnsi" w:hAnsiTheme="minorHAnsi" w:cstheme="minorHAnsi"/>
          <w:lang w:val="en-GB"/>
        </w:rPr>
        <w:t>the assumption that the fracture rates</w:t>
      </w:r>
      <w:r w:rsidR="00CD75F6" w:rsidRPr="004E3CEB">
        <w:rPr>
          <w:rFonts w:asciiTheme="minorHAnsi" w:hAnsiTheme="minorHAnsi" w:cstheme="minorHAnsi"/>
          <w:lang w:val="en-GB"/>
        </w:rPr>
        <w:t xml:space="preserve"> in </w:t>
      </w:r>
      <w:r w:rsidR="0009044F" w:rsidRPr="004E3CEB">
        <w:rPr>
          <w:rFonts w:asciiTheme="minorHAnsi" w:hAnsiTheme="minorHAnsi" w:cstheme="minorHAnsi"/>
          <w:lang w:val="en-GB"/>
        </w:rPr>
        <w:t xml:space="preserve">Mongolia </w:t>
      </w:r>
      <w:r w:rsidR="00CD75F6" w:rsidRPr="004E3CEB">
        <w:rPr>
          <w:rFonts w:asciiTheme="minorHAnsi" w:hAnsiTheme="minorHAnsi" w:cstheme="minorHAnsi"/>
          <w:lang w:val="en-GB"/>
        </w:rPr>
        <w:t>are similar to</w:t>
      </w:r>
      <w:r w:rsidR="00CB6213" w:rsidRPr="004E3CEB">
        <w:rPr>
          <w:rFonts w:asciiTheme="minorHAnsi" w:hAnsiTheme="minorHAnsi" w:cstheme="minorHAnsi"/>
          <w:lang w:val="en-GB"/>
        </w:rPr>
        <w:t xml:space="preserve"> </w:t>
      </w:r>
      <w:r w:rsidR="00ED63EF" w:rsidRPr="004E3CEB">
        <w:rPr>
          <w:rFonts w:asciiTheme="minorHAnsi" w:hAnsiTheme="minorHAnsi" w:cstheme="minorHAnsi"/>
          <w:lang w:val="en-GB"/>
        </w:rPr>
        <w:t xml:space="preserve">those in </w:t>
      </w:r>
      <w:r w:rsidR="0009044F" w:rsidRPr="004E3CEB">
        <w:rPr>
          <w:rFonts w:asciiTheme="minorHAnsi" w:hAnsiTheme="minorHAnsi" w:cstheme="minorHAnsi"/>
          <w:lang w:val="en-GB"/>
        </w:rPr>
        <w:t>mainland Chin</w:t>
      </w:r>
      <w:r w:rsidR="008751AC" w:rsidRPr="004E3CEB">
        <w:rPr>
          <w:rFonts w:asciiTheme="minorHAnsi" w:hAnsiTheme="minorHAnsi" w:cstheme="minorHAnsi"/>
          <w:lang w:val="en-GB"/>
        </w:rPr>
        <w:t>a</w:t>
      </w:r>
      <w:r w:rsidR="007742B9">
        <w:rPr>
          <w:rFonts w:asciiTheme="minorHAnsi" w:hAnsiTheme="minorHAnsi" w:cstheme="minorHAnsi"/>
          <w:lang w:val="en-GB"/>
        </w:rPr>
        <w:t xml:space="preserve"> – an </w:t>
      </w:r>
      <w:r w:rsidR="00C6687F" w:rsidRPr="004E3CEB">
        <w:rPr>
          <w:rFonts w:asciiTheme="minorHAnsi" w:hAnsiTheme="minorHAnsi" w:cstheme="minorHAnsi"/>
          <w:lang w:val="en-GB"/>
        </w:rPr>
        <w:t xml:space="preserve">assumption </w:t>
      </w:r>
      <w:r w:rsidR="007742B9">
        <w:rPr>
          <w:rFonts w:asciiTheme="minorHAnsi" w:hAnsiTheme="minorHAnsi" w:cstheme="minorHAnsi"/>
          <w:lang w:val="en-GB"/>
        </w:rPr>
        <w:t xml:space="preserve">that </w:t>
      </w:r>
      <w:r w:rsidR="00C6687F" w:rsidRPr="004E3CEB">
        <w:rPr>
          <w:rFonts w:asciiTheme="minorHAnsi" w:hAnsiTheme="minorHAnsi" w:cstheme="minorHAnsi"/>
          <w:lang w:val="en-GB"/>
        </w:rPr>
        <w:t>cannot be tested</w:t>
      </w:r>
      <w:r w:rsidR="001E2ACF" w:rsidRPr="004E3CEB">
        <w:rPr>
          <w:rFonts w:asciiTheme="minorHAnsi" w:hAnsiTheme="minorHAnsi" w:cstheme="minorHAnsi"/>
          <w:lang w:val="en-GB"/>
        </w:rPr>
        <w:t xml:space="preserve">. </w:t>
      </w:r>
      <w:r w:rsidR="00083681">
        <w:rPr>
          <w:rFonts w:asciiTheme="minorHAnsi" w:hAnsiTheme="minorHAnsi" w:cstheme="minorHAnsi"/>
          <w:lang w:val="en-GB"/>
        </w:rPr>
        <w:t xml:space="preserve"> </w:t>
      </w:r>
      <w:r w:rsidR="00577A29" w:rsidRPr="004E3CEB">
        <w:rPr>
          <w:rFonts w:asciiTheme="minorHAnsi" w:hAnsiTheme="minorHAnsi" w:cstheme="minorHAnsi"/>
          <w:lang w:val="en-GB"/>
        </w:rPr>
        <w:t xml:space="preserve">Research is </w:t>
      </w:r>
      <w:r w:rsidR="001D3EDE" w:rsidRPr="004E3CEB">
        <w:rPr>
          <w:rFonts w:asciiTheme="minorHAnsi" w:hAnsiTheme="minorHAnsi" w:cstheme="minorHAnsi"/>
          <w:lang w:val="en-GB"/>
        </w:rPr>
        <w:t>required</w:t>
      </w:r>
      <w:r w:rsidR="00577A29" w:rsidRPr="004E3CEB">
        <w:rPr>
          <w:rFonts w:asciiTheme="minorHAnsi" w:hAnsiTheme="minorHAnsi" w:cstheme="minorHAnsi"/>
          <w:lang w:val="en-GB"/>
        </w:rPr>
        <w:t xml:space="preserve"> to derive </w:t>
      </w:r>
      <w:r w:rsidR="008751AC" w:rsidRPr="004E3CEB">
        <w:rPr>
          <w:rFonts w:asciiTheme="minorHAnsi" w:hAnsiTheme="minorHAnsi" w:cstheme="minorHAnsi"/>
          <w:lang w:val="en-GB"/>
        </w:rPr>
        <w:t>Mongolian</w:t>
      </w:r>
      <w:r w:rsidR="00577A29" w:rsidRPr="004E3CEB">
        <w:rPr>
          <w:rFonts w:asciiTheme="minorHAnsi" w:hAnsiTheme="minorHAnsi" w:cstheme="minorHAnsi"/>
          <w:lang w:val="en-GB"/>
        </w:rPr>
        <w:t xml:space="preserve"> hip fracture incidence data with which to refine this FRAX model</w:t>
      </w:r>
      <w:r w:rsidR="00EF278E" w:rsidRPr="004E3CEB">
        <w:rPr>
          <w:rFonts w:asciiTheme="minorHAnsi" w:hAnsiTheme="minorHAnsi" w:cstheme="minorHAnsi"/>
          <w:lang w:val="en-GB"/>
        </w:rPr>
        <w:t>.</w:t>
      </w:r>
      <w:r w:rsidR="00EF278E" w:rsidRPr="008F03D8">
        <w:rPr>
          <w:rFonts w:asciiTheme="minorHAnsi" w:hAnsiTheme="minorHAnsi" w:cstheme="minorHAnsi"/>
          <w:lang w:val="en-GB"/>
        </w:rPr>
        <w:t xml:space="preserve"> </w:t>
      </w:r>
    </w:p>
    <w:p w14:paraId="656E62F4" w14:textId="77777777" w:rsidR="00DD5A96" w:rsidRPr="008F03D8" w:rsidRDefault="00DD5A96" w:rsidP="00EB15BB">
      <w:pPr>
        <w:spacing w:line="276" w:lineRule="auto"/>
        <w:ind w:left="567" w:right="567"/>
        <w:rPr>
          <w:rFonts w:asciiTheme="minorHAnsi" w:hAnsiTheme="minorHAnsi" w:cstheme="minorHAnsi"/>
          <w:lang w:val="en-GB"/>
        </w:rPr>
      </w:pPr>
    </w:p>
    <w:p w14:paraId="00B6B1B5" w14:textId="6AEC212B" w:rsidR="00862852" w:rsidRDefault="00CD6704" w:rsidP="00EB15BB">
      <w:pPr>
        <w:spacing w:line="276" w:lineRule="auto"/>
        <w:ind w:left="567" w:right="567"/>
        <w:rPr>
          <w:rFonts w:asciiTheme="minorHAnsi" w:eastAsia="Calibri" w:hAnsiTheme="minorHAnsi" w:cstheme="minorHAnsi"/>
          <w:lang w:val="en-GB" w:bidi="lo-LA"/>
        </w:rPr>
      </w:pPr>
      <w:r w:rsidRPr="00352602">
        <w:rPr>
          <w:rFonts w:asciiTheme="minorHAnsi" w:hAnsiTheme="minorHAnsi" w:cstheme="minorHAnsi"/>
          <w:lang w:val="en-GB"/>
        </w:rPr>
        <w:t>A further limitation</w:t>
      </w:r>
      <w:r w:rsidR="005E40B1" w:rsidRPr="00352602">
        <w:rPr>
          <w:rFonts w:asciiTheme="minorHAnsi" w:hAnsiTheme="minorHAnsi" w:cstheme="minorHAnsi"/>
          <w:lang w:val="en-GB"/>
        </w:rPr>
        <w:t>, though one shared with the majority of current FRAX models,</w:t>
      </w:r>
      <w:r w:rsidRPr="00352602">
        <w:rPr>
          <w:rFonts w:asciiTheme="minorHAnsi" w:hAnsiTheme="minorHAnsi" w:cstheme="minorHAnsi"/>
          <w:lang w:val="en-GB"/>
        </w:rPr>
        <w:t xml:space="preserve"> is that </w:t>
      </w:r>
      <w:r w:rsidR="00497EDB" w:rsidRPr="00352602">
        <w:rPr>
          <w:rFonts w:asciiTheme="minorHAnsi" w:hAnsiTheme="minorHAnsi" w:cstheme="minorHAnsi"/>
          <w:lang w:val="en-GB"/>
        </w:rPr>
        <w:t xml:space="preserve">the model </w:t>
      </w:r>
      <w:r w:rsidR="005E40B1" w:rsidRPr="00352602">
        <w:rPr>
          <w:rFonts w:asciiTheme="minorHAnsi" w:hAnsiTheme="minorHAnsi" w:cstheme="minorHAnsi"/>
          <w:lang w:val="en-GB"/>
        </w:rPr>
        <w:t xml:space="preserve">was constructed using incidence </w:t>
      </w:r>
      <w:r w:rsidR="00497EDB" w:rsidRPr="00352602">
        <w:rPr>
          <w:rFonts w:asciiTheme="minorHAnsi" w:hAnsiTheme="minorHAnsi" w:cstheme="minorHAnsi"/>
          <w:lang w:val="en-GB"/>
        </w:rPr>
        <w:t>data on hip fracture only</w:t>
      </w:r>
      <w:r w:rsidR="00987493" w:rsidRPr="00352602">
        <w:rPr>
          <w:rFonts w:asciiTheme="minorHAnsi" w:hAnsiTheme="minorHAnsi" w:cstheme="minorHAnsi"/>
          <w:lang w:val="en-GB"/>
        </w:rPr>
        <w:t>,</w:t>
      </w:r>
      <w:r w:rsidR="00497EDB" w:rsidRPr="00352602">
        <w:rPr>
          <w:rFonts w:asciiTheme="minorHAnsi" w:hAnsiTheme="minorHAnsi" w:cstheme="minorHAnsi"/>
          <w:lang w:val="en-GB"/>
        </w:rPr>
        <w:t xml:space="preserve"> </w:t>
      </w:r>
      <w:r w:rsidR="00987493" w:rsidRPr="00352602">
        <w:rPr>
          <w:rFonts w:asciiTheme="minorHAnsi" w:hAnsiTheme="minorHAnsi" w:cstheme="minorHAnsi"/>
          <w:lang w:val="en-GB"/>
        </w:rPr>
        <w:t>r</w:t>
      </w:r>
      <w:r w:rsidR="00497EDB" w:rsidRPr="00352602">
        <w:rPr>
          <w:rFonts w:asciiTheme="minorHAnsi" w:hAnsiTheme="minorHAnsi" w:cstheme="minorHAnsi"/>
          <w:lang w:val="en-GB"/>
        </w:rPr>
        <w:t>ather than all major osteoporotic fractures</w:t>
      </w:r>
      <w:r w:rsidR="00987493" w:rsidRPr="00352602">
        <w:rPr>
          <w:rFonts w:asciiTheme="minorHAnsi" w:hAnsiTheme="minorHAnsi" w:cstheme="minorHAnsi"/>
          <w:lang w:val="en-GB"/>
        </w:rPr>
        <w:t>.</w:t>
      </w:r>
      <w:r w:rsidR="00BF3A87">
        <w:rPr>
          <w:rFonts w:asciiTheme="minorHAnsi" w:hAnsiTheme="minorHAnsi" w:cstheme="minorHAnsi"/>
          <w:lang w:val="en-GB"/>
        </w:rPr>
        <w:t xml:space="preserve"> </w:t>
      </w:r>
      <w:r w:rsidR="00987493" w:rsidRPr="00352602">
        <w:rPr>
          <w:rFonts w:asciiTheme="minorHAnsi" w:hAnsiTheme="minorHAnsi" w:cstheme="minorHAnsi"/>
          <w:lang w:val="en-GB"/>
        </w:rPr>
        <w:t xml:space="preserve"> </w:t>
      </w:r>
      <w:r w:rsidR="005E40B1" w:rsidRPr="00352602">
        <w:rPr>
          <w:rFonts w:asciiTheme="minorHAnsi" w:hAnsiTheme="minorHAnsi" w:cstheme="minorHAnsi"/>
          <w:lang w:val="en-GB"/>
        </w:rPr>
        <w:t xml:space="preserve">The latter are calculated from the hip fracture incidence on the basis </w:t>
      </w:r>
      <w:r w:rsidR="00BD794B" w:rsidRPr="00352602">
        <w:rPr>
          <w:rFonts w:asciiTheme="minorHAnsi" w:hAnsiTheme="minorHAnsi" w:cstheme="minorHAnsi"/>
          <w:lang w:val="en-GB"/>
        </w:rPr>
        <w:t>that the</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age-</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and</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sex-specific</w:t>
      </w:r>
      <w:r w:rsidR="009A6CFB" w:rsidRPr="00352602">
        <w:rPr>
          <w:rFonts w:asciiTheme="minorHAnsi" w:eastAsia="Calibri" w:hAnsiTheme="minorHAnsi" w:cstheme="minorHAnsi"/>
          <w:lang w:val="en-GB" w:bidi="lo-LA"/>
        </w:rPr>
        <w:t xml:space="preserve"> </w:t>
      </w:r>
      <w:r w:rsidR="005E40B1" w:rsidRPr="00352602">
        <w:rPr>
          <w:rFonts w:asciiTheme="minorHAnsi" w:eastAsia="Calibri" w:hAnsiTheme="minorHAnsi" w:cstheme="minorHAnsi"/>
          <w:lang w:val="en-GB" w:bidi="lo-LA"/>
        </w:rPr>
        <w:t>relationship between these fractures and hip fractures</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is</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similar</w:t>
      </w:r>
      <w:r w:rsidR="009A6CFB" w:rsidRPr="00352602">
        <w:rPr>
          <w:rFonts w:asciiTheme="minorHAnsi" w:eastAsia="Calibri" w:hAnsiTheme="minorHAnsi" w:cstheme="minorHAnsi"/>
          <w:lang w:val="en-GB" w:bidi="lo-LA"/>
        </w:rPr>
        <w:t xml:space="preserve"> </w:t>
      </w:r>
      <w:r w:rsidR="00300CA3" w:rsidRPr="00352602">
        <w:rPr>
          <w:rFonts w:asciiTheme="minorHAnsi" w:eastAsia="Calibri" w:hAnsiTheme="minorHAnsi" w:cstheme="minorHAnsi"/>
          <w:lang w:val="en-GB" w:bidi="lo-LA"/>
        </w:rPr>
        <w:t xml:space="preserve">to that </w:t>
      </w:r>
      <w:r w:rsidR="005E40B1" w:rsidRPr="00352602">
        <w:rPr>
          <w:rFonts w:asciiTheme="minorHAnsi" w:eastAsia="Calibri" w:hAnsiTheme="minorHAnsi" w:cstheme="minorHAnsi"/>
          <w:lang w:val="en-GB" w:bidi="lo-LA"/>
        </w:rPr>
        <w:t xml:space="preserve">reported </w:t>
      </w:r>
      <w:r w:rsidR="00300CA3" w:rsidRPr="00352602">
        <w:rPr>
          <w:rFonts w:asciiTheme="minorHAnsi" w:eastAsia="Calibri" w:hAnsiTheme="minorHAnsi" w:cstheme="minorHAnsi"/>
          <w:lang w:val="en-GB" w:bidi="lo-LA"/>
        </w:rPr>
        <w:t>in</w:t>
      </w:r>
      <w:r w:rsidR="00D34C1C" w:rsidRPr="00352602">
        <w:rPr>
          <w:rFonts w:asciiTheme="minorHAnsi" w:eastAsia="Calibri" w:hAnsiTheme="minorHAnsi" w:cstheme="minorHAnsi"/>
          <w:lang w:val="en-GB" w:bidi="lo-LA"/>
        </w:rPr>
        <w:t xml:space="preserve"> Malmo</w:t>
      </w:r>
      <w:r w:rsidR="00415079" w:rsidRPr="00352602">
        <w:rPr>
          <w:rFonts w:asciiTheme="minorHAnsi" w:eastAsia="Calibri" w:hAnsiTheme="minorHAnsi" w:cstheme="minorHAnsi"/>
          <w:lang w:val="en-GB" w:bidi="lo-LA"/>
        </w:rPr>
        <w:t xml:space="preserve">, </w:t>
      </w:r>
      <w:r w:rsidR="00415079" w:rsidRPr="00802466">
        <w:rPr>
          <w:rFonts w:asciiTheme="minorHAnsi" w:eastAsia="Calibri" w:hAnsiTheme="minorHAnsi" w:cstheme="minorHAnsi"/>
          <w:lang w:val="en-GB" w:bidi="lo-LA"/>
        </w:rPr>
        <w:t>Sweden</w:t>
      </w:r>
      <w:r w:rsidR="000B1D9B" w:rsidRPr="00802466">
        <w:rPr>
          <w:rFonts w:asciiTheme="minorHAnsi" w:eastAsia="Calibri" w:hAnsiTheme="minorHAnsi" w:cstheme="minorHAnsi"/>
          <w:lang w:val="en-GB" w:bidi="lo-LA"/>
        </w:rPr>
        <w:t xml:space="preserve"> </w:t>
      </w:r>
      <w:r w:rsidR="008523A0" w:rsidRPr="00802466">
        <w:rPr>
          <w:rFonts w:asciiTheme="minorHAnsi" w:eastAsia="Calibri" w:hAnsiTheme="minorHAnsi" w:cstheme="minorHAnsi"/>
          <w:lang w:val="en-GB" w:bidi="lo-LA"/>
        </w:rPr>
        <w:t>[</w:t>
      </w:r>
      <w:r w:rsidR="00007C81">
        <w:rPr>
          <w:rFonts w:asciiTheme="minorHAnsi" w:eastAsia="Calibri" w:hAnsiTheme="minorHAnsi" w:cstheme="minorHAnsi"/>
          <w:lang w:val="en-GB" w:bidi="lo-LA"/>
        </w:rPr>
        <w:t>23]</w:t>
      </w:r>
      <w:r w:rsidR="00300CA3" w:rsidRPr="00802466">
        <w:rPr>
          <w:rFonts w:asciiTheme="minorHAnsi" w:eastAsia="Calibri" w:hAnsiTheme="minorHAnsi" w:cstheme="minorHAnsi"/>
          <w:lang w:val="en-GB" w:bidi="lo-LA"/>
        </w:rPr>
        <w:t>.</w:t>
      </w:r>
      <w:r w:rsidR="00590C33" w:rsidRPr="00352602">
        <w:rPr>
          <w:rFonts w:asciiTheme="minorHAnsi" w:hAnsiTheme="minorHAnsi" w:cstheme="minorHAnsi"/>
        </w:rPr>
        <w:t xml:space="preserve"> </w:t>
      </w:r>
      <w:r w:rsidR="005E40B1" w:rsidRPr="00352602">
        <w:rPr>
          <w:rFonts w:asciiTheme="minorHAnsi" w:hAnsiTheme="minorHAnsi" w:cstheme="minorHAnsi"/>
          <w:lang w:val="en-GB"/>
        </w:rPr>
        <w:t xml:space="preserve"> Importantly, t</w:t>
      </w:r>
      <w:r w:rsidR="005E40B1" w:rsidRPr="00352602">
        <w:rPr>
          <w:rFonts w:asciiTheme="minorHAnsi" w:eastAsia="Calibri" w:hAnsiTheme="minorHAnsi" w:cstheme="minorHAnsi"/>
          <w:lang w:val="en-GB" w:bidi="lo-LA"/>
        </w:rPr>
        <w:t>his commonality of pattern</w:t>
      </w:r>
      <w:r w:rsidR="005E40B1" w:rsidRPr="00352602">
        <w:rPr>
          <w:rFonts w:asciiTheme="minorHAnsi" w:hAnsiTheme="minorHAnsi" w:cstheme="minorHAnsi"/>
          <w:lang w:val="en-GB"/>
        </w:rPr>
        <w:t xml:space="preserve"> has been </w:t>
      </w:r>
      <w:r w:rsidR="005E40B1" w:rsidRPr="0068193D">
        <w:rPr>
          <w:rFonts w:asciiTheme="minorHAnsi" w:hAnsiTheme="minorHAnsi" w:cstheme="minorHAnsi"/>
          <w:lang w:val="en-GB"/>
        </w:rPr>
        <w:t xml:space="preserve">observed in other studies where data has allowed its assessment </w:t>
      </w:r>
      <w:r w:rsidR="001017AF" w:rsidRPr="0068193D">
        <w:rPr>
          <w:rFonts w:asciiTheme="minorHAnsi" w:hAnsiTheme="minorHAnsi" w:cstheme="minorHAnsi"/>
          <w:lang w:val="en-GB"/>
        </w:rPr>
        <w:t>including</w:t>
      </w:r>
      <w:r w:rsidR="001017AF" w:rsidRPr="0068193D">
        <w:rPr>
          <w:rFonts w:asciiTheme="minorHAnsi" w:eastAsia="Calibri" w:hAnsiTheme="minorHAnsi" w:cstheme="minorHAnsi"/>
          <w:lang w:val="en-GB" w:bidi="lo-LA"/>
        </w:rPr>
        <w:t xml:space="preserve"> Canada</w:t>
      </w:r>
      <w:r w:rsidR="00B004F5" w:rsidRPr="0068193D">
        <w:rPr>
          <w:rFonts w:asciiTheme="minorHAnsi" w:eastAsia="Calibri" w:hAnsiTheme="minorHAnsi" w:cstheme="minorHAnsi"/>
          <w:lang w:val="en-GB" w:bidi="lo-LA"/>
        </w:rPr>
        <w:t xml:space="preserve"> [</w:t>
      </w:r>
      <w:r w:rsidR="00BE4D3A">
        <w:rPr>
          <w:rFonts w:asciiTheme="minorHAnsi" w:eastAsia="Calibri" w:hAnsiTheme="minorHAnsi" w:cstheme="minorHAnsi"/>
          <w:lang w:val="en-GB" w:bidi="lo-LA"/>
        </w:rPr>
        <w:t>9]</w:t>
      </w:r>
      <w:r w:rsidR="00B004F5" w:rsidRPr="0068193D">
        <w:rPr>
          <w:rFonts w:asciiTheme="minorHAnsi" w:eastAsia="Calibri" w:hAnsiTheme="minorHAnsi" w:cstheme="minorHAnsi"/>
          <w:lang w:val="en-GB" w:bidi="lo-LA"/>
        </w:rPr>
        <w:t xml:space="preserve">, Iceland </w:t>
      </w:r>
      <w:r w:rsidR="00FE202E">
        <w:rPr>
          <w:rFonts w:asciiTheme="minorHAnsi" w:eastAsia="Calibri" w:hAnsiTheme="minorHAnsi" w:cstheme="minorHAnsi"/>
          <w:lang w:val="en-GB" w:bidi="lo-LA"/>
        </w:rPr>
        <w:t>[</w:t>
      </w:r>
      <w:r w:rsidR="004B7FE4">
        <w:rPr>
          <w:rFonts w:asciiTheme="minorHAnsi" w:eastAsia="Calibri" w:hAnsiTheme="minorHAnsi" w:cstheme="minorHAnsi"/>
          <w:lang w:val="en-GB" w:bidi="lo-LA"/>
        </w:rPr>
        <w:t>10]</w:t>
      </w:r>
      <w:r w:rsidR="00B004F5" w:rsidRPr="0068193D">
        <w:rPr>
          <w:rFonts w:asciiTheme="minorHAnsi" w:eastAsia="Calibri" w:hAnsiTheme="minorHAnsi" w:cstheme="minorHAnsi"/>
          <w:lang w:val="en-GB" w:bidi="lo-LA"/>
        </w:rPr>
        <w:t>, US [</w:t>
      </w:r>
      <w:r w:rsidR="00AA6D31">
        <w:rPr>
          <w:rFonts w:asciiTheme="minorHAnsi" w:eastAsia="Calibri" w:hAnsiTheme="minorHAnsi" w:cstheme="minorHAnsi"/>
          <w:lang w:val="en-GB" w:bidi="lo-LA"/>
        </w:rPr>
        <w:t>24]</w:t>
      </w:r>
      <w:r w:rsidR="00B004F5" w:rsidRPr="0068193D">
        <w:rPr>
          <w:rFonts w:asciiTheme="minorHAnsi" w:eastAsia="Calibri" w:hAnsiTheme="minorHAnsi" w:cstheme="minorHAnsi"/>
          <w:lang w:val="en-GB" w:bidi="lo-LA"/>
        </w:rPr>
        <w:t>, UK [</w:t>
      </w:r>
      <w:r w:rsidR="00AA6D31">
        <w:rPr>
          <w:rFonts w:asciiTheme="minorHAnsi" w:eastAsia="Calibri" w:hAnsiTheme="minorHAnsi" w:cstheme="minorHAnsi"/>
          <w:lang w:val="en-GB" w:bidi="lo-LA"/>
        </w:rPr>
        <w:t>25]</w:t>
      </w:r>
      <w:r w:rsidR="00292205" w:rsidRPr="0068193D">
        <w:rPr>
          <w:rFonts w:asciiTheme="minorHAnsi" w:eastAsia="Calibri" w:hAnsiTheme="minorHAnsi" w:cstheme="minorHAnsi"/>
          <w:lang w:val="en-GB" w:bidi="lo-LA"/>
        </w:rPr>
        <w:t>,</w:t>
      </w:r>
      <w:r w:rsidR="00B004F5" w:rsidRPr="0068193D">
        <w:rPr>
          <w:rFonts w:asciiTheme="minorHAnsi" w:eastAsia="Calibri" w:hAnsiTheme="minorHAnsi" w:cstheme="minorHAnsi"/>
          <w:lang w:val="en-GB" w:bidi="lo-LA"/>
        </w:rPr>
        <w:t xml:space="preserve"> Australia [</w:t>
      </w:r>
      <w:r w:rsidR="00AA6D31">
        <w:rPr>
          <w:rFonts w:asciiTheme="minorHAnsi" w:eastAsia="Calibri" w:hAnsiTheme="minorHAnsi" w:cstheme="minorHAnsi"/>
          <w:lang w:val="en-GB" w:bidi="lo-LA"/>
        </w:rPr>
        <w:t xml:space="preserve">26] </w:t>
      </w:r>
      <w:r w:rsidR="00B004F5" w:rsidRPr="0068193D">
        <w:rPr>
          <w:rFonts w:asciiTheme="minorHAnsi" w:eastAsia="Calibri" w:hAnsiTheme="minorHAnsi" w:cstheme="minorHAnsi"/>
          <w:lang w:val="en-GB" w:bidi="lo-LA"/>
        </w:rPr>
        <w:t>and Moldova [</w:t>
      </w:r>
      <w:r w:rsidR="00D80362">
        <w:rPr>
          <w:rFonts w:asciiTheme="minorHAnsi" w:eastAsia="Calibri" w:hAnsiTheme="minorHAnsi" w:cstheme="minorHAnsi"/>
          <w:lang w:val="en-GB" w:bidi="lo-LA"/>
        </w:rPr>
        <w:t>11</w:t>
      </w:r>
      <w:r w:rsidR="00B004F5" w:rsidRPr="0068193D">
        <w:rPr>
          <w:rFonts w:asciiTheme="minorHAnsi" w:eastAsia="Calibri" w:hAnsiTheme="minorHAnsi" w:cstheme="minorHAnsi"/>
          <w:lang w:val="en-GB" w:bidi="lo-LA"/>
        </w:rPr>
        <w:t xml:space="preserve">, despite </w:t>
      </w:r>
      <w:r w:rsidR="00BD794B" w:rsidRPr="0068193D">
        <w:rPr>
          <w:rFonts w:asciiTheme="minorHAnsi" w:eastAsia="Calibri" w:hAnsiTheme="minorHAnsi" w:cstheme="minorHAnsi"/>
          <w:lang w:val="en-GB" w:bidi="lo-LA"/>
        </w:rPr>
        <w:t xml:space="preserve">marked </w:t>
      </w:r>
      <w:r w:rsidR="00B004F5" w:rsidRPr="0068193D">
        <w:rPr>
          <w:rFonts w:asciiTheme="minorHAnsi" w:eastAsia="Calibri" w:hAnsiTheme="minorHAnsi" w:cstheme="minorHAnsi"/>
          <w:lang w:val="en-GB" w:bidi="lo-LA"/>
        </w:rPr>
        <w:t>differences in incidence between these countries [</w:t>
      </w:r>
      <w:r w:rsidR="008C5833">
        <w:rPr>
          <w:rFonts w:asciiTheme="minorHAnsi" w:eastAsia="Calibri" w:hAnsiTheme="minorHAnsi" w:cstheme="minorHAnsi"/>
          <w:lang w:val="en-GB" w:bidi="lo-LA"/>
        </w:rPr>
        <w:t>3]</w:t>
      </w:r>
      <w:r w:rsidR="00B004F5" w:rsidRPr="0068193D">
        <w:rPr>
          <w:rFonts w:asciiTheme="minorHAnsi" w:eastAsia="Calibri" w:hAnsiTheme="minorHAnsi" w:cstheme="minorHAnsi"/>
          <w:lang w:val="en-GB" w:bidi="lo-LA"/>
        </w:rPr>
        <w:t>.</w:t>
      </w:r>
      <w:r w:rsidR="00AF451A" w:rsidRPr="0068193D">
        <w:t xml:space="preserve"> </w:t>
      </w:r>
      <w:r w:rsidR="00AF451A" w:rsidRPr="0068193D">
        <w:rPr>
          <w:rFonts w:asciiTheme="minorHAnsi" w:eastAsia="Calibri" w:hAnsiTheme="minorHAnsi" w:cstheme="minorHAnsi"/>
          <w:lang w:val="en-GB" w:bidi="lo-LA"/>
        </w:rPr>
        <w:t xml:space="preserve">This commonality of pattern is supported by register studies, which indicate that in those regions where hip fracture rates are high, so too is the risk of forearm fracture and spine fractures (requiring hospital admission) </w:t>
      </w:r>
      <w:r w:rsidR="00117B56" w:rsidRPr="0068193D">
        <w:rPr>
          <w:rFonts w:asciiTheme="minorHAnsi" w:eastAsia="Calibri" w:hAnsiTheme="minorHAnsi" w:cstheme="minorHAnsi"/>
          <w:lang w:val="en-GB" w:bidi="lo-LA"/>
        </w:rPr>
        <w:t>[</w:t>
      </w:r>
      <w:r w:rsidR="00660051">
        <w:rPr>
          <w:rFonts w:asciiTheme="minorHAnsi" w:eastAsia="Calibri" w:hAnsiTheme="minorHAnsi" w:cstheme="minorHAnsi"/>
          <w:lang w:val="en-GB" w:bidi="lo-LA"/>
        </w:rPr>
        <w:t>27, 28]</w:t>
      </w:r>
      <w:r w:rsidR="00AF451A" w:rsidRPr="0068193D">
        <w:rPr>
          <w:rFonts w:asciiTheme="minorHAnsi" w:eastAsia="Calibri" w:hAnsiTheme="minorHAnsi" w:cstheme="minorHAnsi"/>
          <w:lang w:val="en-GB" w:bidi="lo-LA"/>
        </w:rPr>
        <w:t>.</w:t>
      </w:r>
    </w:p>
    <w:p w14:paraId="3488E9EC" w14:textId="77777777" w:rsidR="00EC334C" w:rsidRDefault="00EC334C" w:rsidP="00EB15BB">
      <w:pPr>
        <w:spacing w:line="276" w:lineRule="auto"/>
        <w:ind w:left="567" w:right="567"/>
        <w:rPr>
          <w:rFonts w:asciiTheme="minorHAnsi" w:eastAsia="Calibri" w:hAnsiTheme="minorHAnsi" w:cstheme="minorHAnsi"/>
          <w:lang w:val="en-GB" w:bidi="lo-LA"/>
        </w:rPr>
      </w:pPr>
    </w:p>
    <w:p w14:paraId="4EC20029" w14:textId="21A82790" w:rsidR="00EC334C" w:rsidRDefault="00EC334C" w:rsidP="00EB15BB">
      <w:pPr>
        <w:spacing w:line="276" w:lineRule="auto"/>
        <w:ind w:left="567" w:right="567"/>
        <w:rPr>
          <w:rFonts w:asciiTheme="minorHAnsi" w:eastAsia="Calibri" w:hAnsiTheme="minorHAnsi" w:cstheme="minorHAnsi"/>
          <w:lang w:val="en-GB" w:bidi="lo-LA"/>
        </w:rPr>
      </w:pPr>
      <w:r>
        <w:rPr>
          <w:rFonts w:asciiTheme="minorHAnsi" w:eastAsia="Calibri" w:hAnsiTheme="minorHAnsi" w:cstheme="minorHAnsi"/>
          <w:lang w:val="en-GB" w:bidi="lo-LA"/>
        </w:rPr>
        <w:t>The impac</w:t>
      </w:r>
      <w:r w:rsidR="009607CC">
        <w:rPr>
          <w:rFonts w:asciiTheme="minorHAnsi" w:eastAsia="Calibri" w:hAnsiTheme="minorHAnsi" w:cstheme="minorHAnsi"/>
          <w:lang w:val="en-GB" w:bidi="lo-LA"/>
        </w:rPr>
        <w:t>t of</w:t>
      </w:r>
      <w:r w:rsidR="00A37479">
        <w:rPr>
          <w:rFonts w:asciiTheme="minorHAnsi" w:eastAsia="Calibri" w:hAnsiTheme="minorHAnsi" w:cstheme="minorHAnsi"/>
          <w:lang w:val="en-GB" w:bidi="lo-LA"/>
        </w:rPr>
        <w:t xml:space="preserve"> </w:t>
      </w:r>
      <w:r w:rsidR="00A37479" w:rsidRPr="0068193D">
        <w:rPr>
          <w:rFonts w:asciiTheme="minorHAnsi" w:eastAsia="Calibri" w:hAnsiTheme="minorHAnsi" w:cstheme="minorHAnsi"/>
          <w:lang w:val="en-GB" w:bidi="lo-LA"/>
        </w:rPr>
        <w:t>assessment algorithms on the population</w:t>
      </w:r>
      <w:r w:rsidR="00F02335" w:rsidRPr="0068193D">
        <w:rPr>
          <w:rFonts w:asciiTheme="minorHAnsi" w:eastAsia="Calibri" w:hAnsiTheme="minorHAnsi" w:cstheme="minorHAnsi"/>
          <w:lang w:val="en-GB" w:bidi="lo-LA"/>
        </w:rPr>
        <w:t xml:space="preserve"> identified for treatment has been determi</w:t>
      </w:r>
      <w:r w:rsidR="00187156" w:rsidRPr="0068193D">
        <w:rPr>
          <w:rFonts w:asciiTheme="minorHAnsi" w:eastAsia="Calibri" w:hAnsiTheme="minorHAnsi" w:cstheme="minorHAnsi"/>
          <w:lang w:val="en-GB" w:bidi="lo-LA"/>
        </w:rPr>
        <w:t>ned in several countries</w:t>
      </w:r>
      <w:r w:rsidR="00F1053D" w:rsidRPr="0068193D">
        <w:rPr>
          <w:rFonts w:asciiTheme="minorHAnsi" w:eastAsia="Calibri" w:hAnsiTheme="minorHAnsi" w:cstheme="minorHAnsi"/>
          <w:lang w:val="en-GB" w:bidi="lo-LA"/>
        </w:rPr>
        <w:t xml:space="preserve"> </w:t>
      </w:r>
      <w:r w:rsidR="00EA4E24" w:rsidRPr="0068193D">
        <w:rPr>
          <w:rFonts w:asciiTheme="minorHAnsi" w:eastAsia="Calibri" w:hAnsiTheme="minorHAnsi" w:cstheme="minorHAnsi"/>
          <w:lang w:val="en-GB" w:bidi="lo-LA"/>
        </w:rPr>
        <w:t xml:space="preserve">most usually in </w:t>
      </w:r>
      <w:r w:rsidR="003742A2" w:rsidRPr="0068193D">
        <w:rPr>
          <w:rFonts w:asciiTheme="minorHAnsi" w:eastAsia="Calibri" w:hAnsiTheme="minorHAnsi" w:cstheme="minorHAnsi"/>
          <w:lang w:val="en-GB" w:bidi="lo-LA"/>
        </w:rPr>
        <w:t>population-based</w:t>
      </w:r>
      <w:r w:rsidR="00B4397C" w:rsidRPr="0068193D">
        <w:rPr>
          <w:rFonts w:asciiTheme="minorHAnsi" w:eastAsia="Calibri" w:hAnsiTheme="minorHAnsi" w:cstheme="minorHAnsi"/>
          <w:lang w:val="en-GB" w:bidi="lo-LA"/>
        </w:rPr>
        <w:t xml:space="preserve"> samples</w:t>
      </w:r>
      <w:r w:rsidR="00F1053D" w:rsidRPr="0068193D">
        <w:rPr>
          <w:rFonts w:asciiTheme="minorHAnsi" w:eastAsia="Calibri" w:hAnsiTheme="minorHAnsi" w:cstheme="minorHAnsi"/>
          <w:lang w:val="en-GB" w:bidi="lo-LA"/>
        </w:rPr>
        <w:t xml:space="preserve"> [</w:t>
      </w:r>
      <w:r w:rsidR="00232490">
        <w:rPr>
          <w:rFonts w:asciiTheme="minorHAnsi" w:eastAsia="Calibri" w:hAnsiTheme="minorHAnsi" w:cstheme="minorHAnsi"/>
          <w:lang w:val="en-GB" w:bidi="lo-LA"/>
        </w:rPr>
        <w:t>10</w:t>
      </w:r>
      <w:r w:rsidR="008F1697">
        <w:rPr>
          <w:rFonts w:asciiTheme="minorHAnsi" w:eastAsia="Calibri" w:hAnsiTheme="minorHAnsi" w:cstheme="minorHAnsi"/>
          <w:lang w:val="en-GB" w:bidi="lo-LA"/>
        </w:rPr>
        <w:t xml:space="preserve">, </w:t>
      </w:r>
      <w:r w:rsidR="0081364F">
        <w:rPr>
          <w:rFonts w:asciiTheme="minorHAnsi" w:eastAsia="Calibri" w:hAnsiTheme="minorHAnsi" w:cstheme="minorHAnsi"/>
          <w:lang w:val="en-GB" w:bidi="lo-LA"/>
        </w:rPr>
        <w:t>29, 30, 31, 32, 33, 34, 35</w:t>
      </w:r>
      <w:r w:rsidR="008B5D5C">
        <w:rPr>
          <w:rFonts w:asciiTheme="minorHAnsi" w:eastAsia="Calibri" w:hAnsiTheme="minorHAnsi" w:cstheme="minorHAnsi"/>
          <w:lang w:val="en-GB" w:bidi="lo-LA"/>
        </w:rPr>
        <w:t>, 36, 37, 38</w:t>
      </w:r>
      <w:r w:rsidR="003F054E">
        <w:rPr>
          <w:rFonts w:asciiTheme="minorHAnsi" w:eastAsia="Calibri" w:hAnsiTheme="minorHAnsi" w:cstheme="minorHAnsi"/>
          <w:lang w:val="en-GB" w:bidi="lo-LA"/>
        </w:rPr>
        <w:t xml:space="preserve">, 39] </w:t>
      </w:r>
      <w:r w:rsidR="004659B8" w:rsidRPr="0068193D">
        <w:rPr>
          <w:rFonts w:asciiTheme="minorHAnsi" w:eastAsia="Calibri" w:hAnsiTheme="minorHAnsi" w:cstheme="minorHAnsi"/>
          <w:lang w:val="en-GB" w:bidi="lo-LA"/>
        </w:rPr>
        <w:t>and</w:t>
      </w:r>
      <w:r w:rsidR="00947FB5" w:rsidRPr="0068193D">
        <w:rPr>
          <w:rFonts w:asciiTheme="minorHAnsi" w:eastAsia="Calibri" w:hAnsiTheme="minorHAnsi" w:cstheme="minorHAnsi"/>
          <w:lang w:val="en-GB" w:bidi="lo-LA"/>
        </w:rPr>
        <w:t xml:space="preserve">, </w:t>
      </w:r>
      <w:r w:rsidR="00F15F7C" w:rsidRPr="0068193D">
        <w:rPr>
          <w:rFonts w:asciiTheme="minorHAnsi" w:eastAsia="Calibri" w:hAnsiTheme="minorHAnsi" w:cstheme="minorHAnsi"/>
          <w:lang w:val="en-GB" w:bidi="lo-LA"/>
        </w:rPr>
        <w:t>mor</w:t>
      </w:r>
      <w:r w:rsidR="00A01C8D" w:rsidRPr="0068193D">
        <w:rPr>
          <w:rFonts w:asciiTheme="minorHAnsi" w:eastAsia="Calibri" w:hAnsiTheme="minorHAnsi" w:cstheme="minorHAnsi"/>
          <w:lang w:val="en-GB" w:bidi="lo-LA"/>
        </w:rPr>
        <w:t>e</w:t>
      </w:r>
      <w:r w:rsidR="00F15F7C" w:rsidRPr="0068193D">
        <w:rPr>
          <w:rFonts w:asciiTheme="minorHAnsi" w:eastAsia="Calibri" w:hAnsiTheme="minorHAnsi" w:cstheme="minorHAnsi"/>
          <w:lang w:val="en-GB" w:bidi="lo-LA"/>
        </w:rPr>
        <w:t xml:space="preserve"> rarely</w:t>
      </w:r>
      <w:r w:rsidR="009B0FA6" w:rsidRPr="0068193D">
        <w:rPr>
          <w:rFonts w:asciiTheme="minorHAnsi" w:eastAsia="Calibri" w:hAnsiTheme="minorHAnsi" w:cstheme="minorHAnsi"/>
          <w:lang w:val="en-GB" w:bidi="lo-LA"/>
        </w:rPr>
        <w:t>, referral</w:t>
      </w:r>
      <w:r w:rsidR="00F15F7C" w:rsidRPr="0068193D">
        <w:rPr>
          <w:rFonts w:asciiTheme="minorHAnsi" w:eastAsia="Calibri" w:hAnsiTheme="minorHAnsi" w:cstheme="minorHAnsi"/>
          <w:lang w:val="en-GB" w:bidi="lo-LA"/>
        </w:rPr>
        <w:t xml:space="preserve"> patients</w:t>
      </w:r>
      <w:r w:rsidR="008D749A" w:rsidRPr="0068193D">
        <w:rPr>
          <w:rFonts w:asciiTheme="minorHAnsi" w:eastAsia="Calibri" w:hAnsiTheme="minorHAnsi" w:cstheme="minorHAnsi"/>
          <w:lang w:val="en-GB" w:bidi="lo-LA"/>
        </w:rPr>
        <w:t xml:space="preserve"> [</w:t>
      </w:r>
      <w:r w:rsidR="002574CC">
        <w:rPr>
          <w:rFonts w:asciiTheme="minorHAnsi" w:eastAsia="Calibri" w:hAnsiTheme="minorHAnsi" w:cstheme="minorHAnsi"/>
          <w:lang w:val="en-GB" w:bidi="lo-LA"/>
        </w:rPr>
        <w:t>40, 41, 42, 43, 44</w:t>
      </w:r>
      <w:r w:rsidR="006E124E">
        <w:rPr>
          <w:rFonts w:asciiTheme="minorHAnsi" w:eastAsia="Calibri" w:hAnsiTheme="minorHAnsi" w:cstheme="minorHAnsi"/>
          <w:lang w:val="en-GB" w:bidi="lo-LA"/>
        </w:rPr>
        <w:t>]</w:t>
      </w:r>
      <w:r w:rsidR="00F15F7C" w:rsidRPr="0068193D">
        <w:rPr>
          <w:rFonts w:asciiTheme="minorHAnsi" w:eastAsia="Calibri" w:hAnsiTheme="minorHAnsi" w:cstheme="minorHAnsi"/>
          <w:lang w:val="en-GB" w:bidi="lo-LA"/>
        </w:rPr>
        <w:t xml:space="preserve">.  The </w:t>
      </w:r>
      <w:r w:rsidR="005A52E1" w:rsidRPr="0068193D">
        <w:rPr>
          <w:rFonts w:asciiTheme="minorHAnsi" w:eastAsia="Calibri" w:hAnsiTheme="minorHAnsi" w:cstheme="minorHAnsi"/>
          <w:lang w:val="en-GB" w:bidi="lo-LA"/>
        </w:rPr>
        <w:t>eligibility</w:t>
      </w:r>
      <w:r w:rsidR="005A52E1">
        <w:rPr>
          <w:rFonts w:asciiTheme="minorHAnsi" w:eastAsia="Calibri" w:hAnsiTheme="minorHAnsi" w:cstheme="minorHAnsi"/>
          <w:lang w:val="en-GB" w:bidi="lo-LA"/>
        </w:rPr>
        <w:t xml:space="preserve"> cohort in the </w:t>
      </w:r>
      <w:r w:rsidR="00290624">
        <w:rPr>
          <w:rFonts w:asciiTheme="minorHAnsi" w:eastAsia="Calibri" w:hAnsiTheme="minorHAnsi" w:cstheme="minorHAnsi"/>
          <w:lang w:val="en-GB" w:bidi="lo-LA"/>
        </w:rPr>
        <w:t xml:space="preserve">present </w:t>
      </w:r>
      <w:r w:rsidR="00B22705">
        <w:rPr>
          <w:rFonts w:asciiTheme="minorHAnsi" w:eastAsia="Calibri" w:hAnsiTheme="minorHAnsi" w:cstheme="minorHAnsi"/>
          <w:lang w:val="en-GB" w:bidi="lo-LA"/>
        </w:rPr>
        <w:t>study differs</w:t>
      </w:r>
      <w:r w:rsidR="00290624">
        <w:rPr>
          <w:rFonts w:asciiTheme="minorHAnsi" w:eastAsia="Calibri" w:hAnsiTheme="minorHAnsi" w:cstheme="minorHAnsi"/>
          <w:lang w:val="en-GB" w:bidi="lo-LA"/>
        </w:rPr>
        <w:t xml:space="preserve"> in tha</w:t>
      </w:r>
      <w:r w:rsidR="009A2282">
        <w:rPr>
          <w:rFonts w:asciiTheme="minorHAnsi" w:eastAsia="Calibri" w:hAnsiTheme="minorHAnsi" w:cstheme="minorHAnsi"/>
          <w:lang w:val="en-GB" w:bidi="lo-LA"/>
        </w:rPr>
        <w:t>t it was a</w:t>
      </w:r>
      <w:r w:rsidR="00447780">
        <w:rPr>
          <w:rFonts w:asciiTheme="minorHAnsi" w:eastAsia="Calibri" w:hAnsiTheme="minorHAnsi" w:cstheme="minorHAnsi"/>
          <w:lang w:val="en-GB" w:bidi="lo-LA"/>
        </w:rPr>
        <w:t>n</w:t>
      </w:r>
      <w:r w:rsidR="009A2282">
        <w:rPr>
          <w:rFonts w:asciiTheme="minorHAnsi" w:eastAsia="Calibri" w:hAnsiTheme="minorHAnsi" w:cstheme="minorHAnsi"/>
          <w:lang w:val="en-GB" w:bidi="lo-LA"/>
        </w:rPr>
        <w:t xml:space="preserve"> </w:t>
      </w:r>
      <w:r w:rsidR="00447780">
        <w:rPr>
          <w:rFonts w:asciiTheme="minorHAnsi" w:eastAsia="Calibri" w:hAnsiTheme="minorHAnsi" w:cstheme="minorHAnsi"/>
          <w:lang w:val="en-GB" w:bidi="lo-LA"/>
        </w:rPr>
        <w:t xml:space="preserve">outpatient </w:t>
      </w:r>
      <w:r w:rsidR="009A2282">
        <w:rPr>
          <w:rFonts w:asciiTheme="minorHAnsi" w:eastAsia="Calibri" w:hAnsiTheme="minorHAnsi" w:cstheme="minorHAnsi"/>
          <w:lang w:val="en-GB" w:bidi="lo-LA"/>
        </w:rPr>
        <w:t>referral population but not specifically</w:t>
      </w:r>
      <w:r w:rsidR="00447780">
        <w:rPr>
          <w:rFonts w:asciiTheme="minorHAnsi" w:eastAsia="Calibri" w:hAnsiTheme="minorHAnsi" w:cstheme="minorHAnsi"/>
          <w:lang w:val="en-GB" w:bidi="lo-LA"/>
        </w:rPr>
        <w:t xml:space="preserve"> for skeletal assessment.  Notwithstandin</w:t>
      </w:r>
      <w:r w:rsidR="003F3C49">
        <w:rPr>
          <w:rFonts w:asciiTheme="minorHAnsi" w:eastAsia="Calibri" w:hAnsiTheme="minorHAnsi" w:cstheme="minorHAnsi"/>
          <w:lang w:val="en-GB" w:bidi="lo-LA"/>
        </w:rPr>
        <w:t>g, the study identified a high proportion of patients with a prior fragility fracture</w:t>
      </w:r>
      <w:r w:rsidR="00B22705">
        <w:rPr>
          <w:rFonts w:asciiTheme="minorHAnsi" w:eastAsia="Calibri" w:hAnsiTheme="minorHAnsi" w:cstheme="minorHAnsi"/>
          <w:lang w:val="en-GB" w:bidi="lo-LA"/>
        </w:rPr>
        <w:t xml:space="preserve"> and a high re</w:t>
      </w:r>
      <w:r w:rsidR="003B36B0">
        <w:rPr>
          <w:rFonts w:asciiTheme="minorHAnsi" w:eastAsia="Calibri" w:hAnsiTheme="minorHAnsi" w:cstheme="minorHAnsi"/>
          <w:lang w:val="en-GB" w:bidi="lo-LA"/>
        </w:rPr>
        <w:t>quirement for treatment</w:t>
      </w:r>
      <w:r w:rsidR="00AE73EC">
        <w:rPr>
          <w:rFonts w:asciiTheme="minorHAnsi" w:eastAsia="Calibri" w:hAnsiTheme="minorHAnsi" w:cstheme="minorHAnsi"/>
          <w:lang w:val="en-GB" w:bidi="lo-LA"/>
        </w:rPr>
        <w:t>.  Eligibility for treatment was</w:t>
      </w:r>
      <w:r w:rsidR="00111FAD">
        <w:rPr>
          <w:rFonts w:asciiTheme="minorHAnsi" w:eastAsia="Calibri" w:hAnsiTheme="minorHAnsi" w:cstheme="minorHAnsi"/>
          <w:lang w:val="en-GB" w:bidi="lo-LA"/>
        </w:rPr>
        <w:t xml:space="preserve"> </w:t>
      </w:r>
      <w:r w:rsidR="00111FAD" w:rsidRPr="0068193D">
        <w:rPr>
          <w:rFonts w:asciiTheme="minorHAnsi" w:eastAsia="Calibri" w:hAnsiTheme="minorHAnsi" w:cstheme="minorHAnsi"/>
          <w:lang w:val="en-GB" w:bidi="lo-LA"/>
        </w:rPr>
        <w:t>found in more than 50% of men and women</w:t>
      </w:r>
      <w:r w:rsidR="00023EFF" w:rsidRPr="0068193D">
        <w:rPr>
          <w:rFonts w:asciiTheme="minorHAnsi" w:eastAsia="Calibri" w:hAnsiTheme="minorHAnsi" w:cstheme="minorHAnsi"/>
          <w:lang w:val="en-GB" w:bidi="lo-LA"/>
        </w:rPr>
        <w:t xml:space="preserve"> indicating a</w:t>
      </w:r>
      <w:r w:rsidR="00D971F1" w:rsidRPr="0068193D">
        <w:rPr>
          <w:rFonts w:asciiTheme="minorHAnsi" w:eastAsia="Calibri" w:hAnsiTheme="minorHAnsi" w:cstheme="minorHAnsi"/>
          <w:lang w:val="en-GB" w:bidi="lo-LA"/>
        </w:rPr>
        <w:t xml:space="preserve"> large unmet need in </w:t>
      </w:r>
      <w:r w:rsidR="00D971F1" w:rsidRPr="0068193D">
        <w:rPr>
          <w:rFonts w:asciiTheme="minorHAnsi" w:eastAsia="Calibri" w:hAnsiTheme="minorHAnsi" w:cstheme="minorHAnsi"/>
          <w:lang w:val="en-GB" w:bidi="lo-LA"/>
        </w:rPr>
        <w:lastRenderedPageBreak/>
        <w:t>Mongolia.</w:t>
      </w:r>
      <w:r w:rsidR="00F5773D" w:rsidRPr="0068193D">
        <w:rPr>
          <w:rFonts w:asciiTheme="minorHAnsi" w:eastAsia="Calibri" w:hAnsiTheme="minorHAnsi" w:cstheme="minorHAnsi"/>
          <w:lang w:val="en-GB" w:bidi="lo-LA"/>
        </w:rPr>
        <w:t xml:space="preserve">  </w:t>
      </w:r>
      <w:r w:rsidR="009A2282" w:rsidRPr="0068193D">
        <w:rPr>
          <w:rFonts w:asciiTheme="minorHAnsi" w:eastAsia="Calibri" w:hAnsiTheme="minorHAnsi" w:cstheme="minorHAnsi"/>
          <w:lang w:val="en-GB" w:bidi="lo-LA"/>
        </w:rPr>
        <w:t xml:space="preserve"> </w:t>
      </w:r>
      <w:r w:rsidR="00F5773D" w:rsidRPr="0068193D">
        <w:rPr>
          <w:rFonts w:asciiTheme="minorHAnsi" w:eastAsia="Calibri" w:hAnsiTheme="minorHAnsi" w:cstheme="minorHAnsi"/>
          <w:lang w:val="en-GB" w:bidi="lo-LA"/>
        </w:rPr>
        <w:t>At present, DXA is not available in Mongolia</w:t>
      </w:r>
      <w:r w:rsidR="000761EA" w:rsidRPr="0068193D">
        <w:rPr>
          <w:rFonts w:asciiTheme="minorHAnsi" w:eastAsia="Calibri" w:hAnsiTheme="minorHAnsi" w:cstheme="minorHAnsi"/>
          <w:lang w:val="en-GB" w:bidi="lo-LA"/>
        </w:rPr>
        <w:t xml:space="preserve"> which impairs </w:t>
      </w:r>
      <w:r w:rsidR="00F403C4" w:rsidRPr="0068193D">
        <w:rPr>
          <w:rFonts w:asciiTheme="minorHAnsi" w:eastAsia="Calibri" w:hAnsiTheme="minorHAnsi" w:cstheme="minorHAnsi"/>
          <w:lang w:val="en-GB" w:bidi="lo-LA"/>
        </w:rPr>
        <w:t xml:space="preserve">somewhat </w:t>
      </w:r>
      <w:r w:rsidR="000761EA" w:rsidRPr="0068193D">
        <w:rPr>
          <w:rFonts w:asciiTheme="minorHAnsi" w:eastAsia="Calibri" w:hAnsiTheme="minorHAnsi" w:cstheme="minorHAnsi"/>
          <w:lang w:val="en-GB" w:bidi="lo-LA"/>
        </w:rPr>
        <w:t xml:space="preserve">the </w:t>
      </w:r>
      <w:r w:rsidR="00F403C4" w:rsidRPr="0068193D">
        <w:rPr>
          <w:rFonts w:asciiTheme="minorHAnsi" w:eastAsia="Calibri" w:hAnsiTheme="minorHAnsi" w:cstheme="minorHAnsi"/>
          <w:lang w:val="en-GB" w:bidi="lo-LA"/>
        </w:rPr>
        <w:t xml:space="preserve">assessment strategy.   </w:t>
      </w:r>
      <w:r w:rsidR="0031042D" w:rsidRPr="0068193D">
        <w:rPr>
          <w:rFonts w:asciiTheme="minorHAnsi" w:eastAsia="Calibri" w:hAnsiTheme="minorHAnsi" w:cstheme="minorHAnsi"/>
          <w:lang w:val="en-GB" w:bidi="lo-LA"/>
        </w:rPr>
        <w:t>However, FRAX without BMD performs similarly to the use of BMD alone [</w:t>
      </w:r>
      <w:r w:rsidR="006E124E">
        <w:rPr>
          <w:rFonts w:asciiTheme="minorHAnsi" w:eastAsia="Calibri" w:hAnsiTheme="minorHAnsi" w:cstheme="minorHAnsi"/>
          <w:lang w:val="en-GB" w:bidi="lo-LA"/>
        </w:rPr>
        <w:t>45]</w:t>
      </w:r>
      <w:r w:rsidR="0048326B" w:rsidRPr="0068193D">
        <w:rPr>
          <w:rFonts w:asciiTheme="minorHAnsi" w:eastAsia="Calibri" w:hAnsiTheme="minorHAnsi" w:cstheme="minorHAnsi"/>
          <w:lang w:val="en-GB" w:bidi="lo-LA"/>
        </w:rPr>
        <w:t xml:space="preserve">, </w:t>
      </w:r>
      <w:r w:rsidR="000C49E8">
        <w:rPr>
          <w:rFonts w:asciiTheme="minorHAnsi" w:eastAsia="Calibri" w:hAnsiTheme="minorHAnsi" w:cstheme="minorHAnsi"/>
          <w:lang w:val="en-GB" w:bidi="lo-LA"/>
        </w:rPr>
        <w:t xml:space="preserve">and </w:t>
      </w:r>
      <w:r w:rsidR="0048326B" w:rsidRPr="0068193D">
        <w:rPr>
          <w:rFonts w:asciiTheme="minorHAnsi" w:eastAsia="Calibri" w:hAnsiTheme="minorHAnsi" w:cstheme="minorHAnsi"/>
          <w:lang w:val="en-GB" w:bidi="lo-LA"/>
        </w:rPr>
        <w:t>patients identified by FR</w:t>
      </w:r>
      <w:r w:rsidR="00BD46AC" w:rsidRPr="0068193D">
        <w:rPr>
          <w:rFonts w:asciiTheme="minorHAnsi" w:eastAsia="Calibri" w:hAnsiTheme="minorHAnsi" w:cstheme="minorHAnsi"/>
          <w:lang w:val="en-GB" w:bidi="lo-LA"/>
        </w:rPr>
        <w:t>A</w:t>
      </w:r>
      <w:r w:rsidR="0048326B" w:rsidRPr="0068193D">
        <w:rPr>
          <w:rFonts w:asciiTheme="minorHAnsi" w:eastAsia="Calibri" w:hAnsiTheme="minorHAnsi" w:cstheme="minorHAnsi"/>
          <w:lang w:val="en-GB" w:bidi="lo-LA"/>
        </w:rPr>
        <w:t xml:space="preserve">X respond to </w:t>
      </w:r>
      <w:r w:rsidR="00BD46AC" w:rsidRPr="0068193D">
        <w:rPr>
          <w:rFonts w:asciiTheme="minorHAnsi" w:eastAsia="Calibri" w:hAnsiTheme="minorHAnsi" w:cstheme="minorHAnsi"/>
          <w:lang w:val="en-GB" w:bidi="lo-LA"/>
        </w:rPr>
        <w:t>treatment</w:t>
      </w:r>
      <w:r w:rsidR="00F403C4" w:rsidRPr="0068193D">
        <w:rPr>
          <w:rFonts w:asciiTheme="minorHAnsi" w:eastAsia="Calibri" w:hAnsiTheme="minorHAnsi" w:cstheme="minorHAnsi"/>
          <w:lang w:val="en-GB" w:bidi="lo-LA"/>
        </w:rPr>
        <w:t xml:space="preserve"> </w:t>
      </w:r>
      <w:r w:rsidR="00BD46AC" w:rsidRPr="0068193D">
        <w:rPr>
          <w:rFonts w:asciiTheme="minorHAnsi" w:eastAsia="Calibri" w:hAnsiTheme="minorHAnsi" w:cstheme="minorHAnsi"/>
          <w:lang w:val="en-GB" w:bidi="lo-LA"/>
        </w:rPr>
        <w:t>[</w:t>
      </w:r>
      <w:r w:rsidR="006E124E">
        <w:rPr>
          <w:rFonts w:asciiTheme="minorHAnsi" w:eastAsia="Calibri" w:hAnsiTheme="minorHAnsi" w:cstheme="minorHAnsi"/>
          <w:lang w:val="en-GB" w:bidi="lo-LA"/>
        </w:rPr>
        <w:t>46, 47</w:t>
      </w:r>
      <w:r w:rsidR="006C5470">
        <w:rPr>
          <w:rFonts w:asciiTheme="minorHAnsi" w:eastAsia="Calibri" w:hAnsiTheme="minorHAnsi" w:cstheme="minorHAnsi"/>
          <w:lang w:val="en-GB" w:bidi="lo-LA"/>
        </w:rPr>
        <w:t xml:space="preserve">] </w:t>
      </w:r>
      <w:r w:rsidR="00E9502E" w:rsidRPr="0068193D">
        <w:rPr>
          <w:rFonts w:asciiTheme="minorHAnsi" w:eastAsia="Calibri" w:hAnsiTheme="minorHAnsi" w:cstheme="minorHAnsi"/>
          <w:lang w:val="en-GB" w:bidi="lo-LA"/>
        </w:rPr>
        <w:t xml:space="preserve">which reinforces the </w:t>
      </w:r>
      <w:r w:rsidR="00DD0C83" w:rsidRPr="0068193D">
        <w:rPr>
          <w:rFonts w:asciiTheme="minorHAnsi" w:eastAsia="Calibri" w:hAnsiTheme="minorHAnsi" w:cstheme="minorHAnsi"/>
          <w:lang w:val="en-GB" w:bidi="lo-LA"/>
        </w:rPr>
        <w:t xml:space="preserve">case for treatment assessment </w:t>
      </w:r>
      <w:r w:rsidR="00555573" w:rsidRPr="0068193D">
        <w:rPr>
          <w:rFonts w:asciiTheme="minorHAnsi" w:eastAsia="Calibri" w:hAnsiTheme="minorHAnsi" w:cstheme="minorHAnsi"/>
          <w:lang w:val="en-GB" w:bidi="lo-LA"/>
        </w:rPr>
        <w:t>based on</w:t>
      </w:r>
      <w:r w:rsidR="00DD0C83" w:rsidRPr="0068193D">
        <w:rPr>
          <w:rFonts w:asciiTheme="minorHAnsi" w:eastAsia="Calibri" w:hAnsiTheme="minorHAnsi" w:cstheme="minorHAnsi"/>
          <w:lang w:val="en-GB" w:bidi="lo-LA"/>
        </w:rPr>
        <w:t xml:space="preserve"> prior fracture and </w:t>
      </w:r>
      <w:r w:rsidR="005876A2" w:rsidRPr="0068193D">
        <w:rPr>
          <w:rFonts w:asciiTheme="minorHAnsi" w:eastAsia="Calibri" w:hAnsiTheme="minorHAnsi" w:cstheme="minorHAnsi"/>
          <w:lang w:val="en-GB" w:bidi="lo-LA"/>
        </w:rPr>
        <w:t>FRAX without BMD.</w:t>
      </w:r>
    </w:p>
    <w:p w14:paraId="1C891AC6" w14:textId="77777777" w:rsidR="00092D4A" w:rsidRDefault="00092D4A" w:rsidP="00EB15BB">
      <w:pPr>
        <w:spacing w:line="276" w:lineRule="auto"/>
        <w:ind w:left="567" w:right="567"/>
        <w:rPr>
          <w:rFonts w:asciiTheme="minorHAnsi" w:eastAsia="Calibri" w:hAnsiTheme="minorHAnsi" w:cstheme="minorHAnsi"/>
          <w:lang w:val="en-GB" w:bidi="lo-LA"/>
        </w:rPr>
      </w:pPr>
    </w:p>
    <w:p w14:paraId="1B96F31A" w14:textId="79F84FDC" w:rsidR="00785B01" w:rsidRPr="00615EDD" w:rsidRDefault="00F33E11" w:rsidP="00785B01">
      <w:pPr>
        <w:tabs>
          <w:tab w:val="left" w:pos="7371"/>
        </w:tabs>
        <w:spacing w:after="200" w:line="276" w:lineRule="auto"/>
        <w:ind w:left="567" w:right="425"/>
        <w:rPr>
          <w:rFonts w:asciiTheme="minorHAnsi" w:eastAsia="Calibri" w:hAnsiTheme="minorHAnsi" w:cstheme="minorHAnsi"/>
          <w:lang w:val="en-GB" w:bidi="lo-LA"/>
        </w:rPr>
      </w:pPr>
      <w:r w:rsidRPr="00815059">
        <w:rPr>
          <w:rFonts w:asciiTheme="minorHAnsi" w:hAnsiTheme="minorHAnsi" w:cstheme="minorHAnsi"/>
          <w:lang w:val="en-GB"/>
        </w:rPr>
        <w:t xml:space="preserve">In summary, </w:t>
      </w:r>
      <w:r w:rsidR="0009472B" w:rsidRPr="00815059">
        <w:rPr>
          <w:rFonts w:asciiTheme="minorHAnsi" w:hAnsiTheme="minorHAnsi" w:cstheme="minorHAnsi"/>
          <w:lang w:val="en-GB"/>
        </w:rPr>
        <w:t>a</w:t>
      </w:r>
      <w:r w:rsidRPr="00815059">
        <w:rPr>
          <w:rFonts w:asciiTheme="minorHAnsi" w:hAnsiTheme="minorHAnsi" w:cstheme="minorHAnsi"/>
          <w:lang w:val="en-GB"/>
        </w:rPr>
        <w:t xml:space="preserve"> </w:t>
      </w:r>
      <w:r w:rsidR="00D93165" w:rsidRPr="00815059">
        <w:rPr>
          <w:rFonts w:asciiTheme="minorHAnsi" w:hAnsiTheme="minorHAnsi" w:cstheme="minorHAnsi"/>
          <w:lang w:val="en-GB"/>
        </w:rPr>
        <w:t xml:space="preserve">surrogate </w:t>
      </w:r>
      <w:r w:rsidRPr="00815059">
        <w:rPr>
          <w:rFonts w:asciiTheme="minorHAnsi" w:hAnsiTheme="minorHAnsi" w:cstheme="minorHAnsi"/>
          <w:lang w:val="en-GB"/>
        </w:rPr>
        <w:t>FRAX model has been created</w:t>
      </w:r>
      <w:r w:rsidR="002D79C4" w:rsidRPr="00815059">
        <w:rPr>
          <w:rFonts w:asciiTheme="minorHAnsi" w:hAnsiTheme="minorHAnsi" w:cstheme="minorHAnsi"/>
          <w:lang w:val="en-GB"/>
        </w:rPr>
        <w:t xml:space="preserve"> </w:t>
      </w:r>
      <w:r w:rsidRPr="00815059">
        <w:rPr>
          <w:rFonts w:asciiTheme="minorHAnsi" w:hAnsiTheme="minorHAnsi" w:cstheme="minorHAnsi"/>
          <w:lang w:val="en-GB"/>
        </w:rPr>
        <w:t xml:space="preserve">for </w:t>
      </w:r>
      <w:r w:rsidR="000C0893" w:rsidRPr="00815059">
        <w:rPr>
          <w:rFonts w:asciiTheme="minorHAnsi" w:hAnsiTheme="minorHAnsi" w:cstheme="minorHAnsi"/>
          <w:lang w:val="en-GB"/>
        </w:rPr>
        <w:t>Mongolia</w:t>
      </w:r>
      <w:r w:rsidRPr="00815059">
        <w:rPr>
          <w:rFonts w:asciiTheme="minorHAnsi" w:hAnsiTheme="minorHAnsi" w:cstheme="minorHAnsi"/>
          <w:lang w:val="en-GB"/>
        </w:rPr>
        <w:t>. Th</w:t>
      </w:r>
      <w:r w:rsidR="00A8718A" w:rsidRPr="00815059">
        <w:rPr>
          <w:rFonts w:asciiTheme="minorHAnsi" w:hAnsiTheme="minorHAnsi" w:cstheme="minorHAnsi"/>
          <w:lang w:val="en-GB"/>
        </w:rPr>
        <w:t>e</w:t>
      </w:r>
      <w:r w:rsidRPr="00815059">
        <w:rPr>
          <w:rFonts w:asciiTheme="minorHAnsi" w:hAnsiTheme="minorHAnsi" w:cstheme="minorHAnsi"/>
          <w:lang w:val="en-GB"/>
        </w:rPr>
        <w:t xml:space="preserve"> model </w:t>
      </w:r>
      <w:r w:rsidR="003D019A" w:rsidRPr="00815059">
        <w:rPr>
          <w:rFonts w:asciiTheme="minorHAnsi" w:hAnsiTheme="minorHAnsi" w:cstheme="minorHAnsi"/>
          <w:lang w:val="en-GB"/>
        </w:rPr>
        <w:t>provide</w:t>
      </w:r>
      <w:r w:rsidR="00815059" w:rsidRPr="00815059">
        <w:rPr>
          <w:rFonts w:asciiTheme="minorHAnsi" w:hAnsiTheme="minorHAnsi" w:cstheme="minorHAnsi"/>
          <w:lang w:val="en-GB"/>
        </w:rPr>
        <w:t>s</w:t>
      </w:r>
      <w:r w:rsidR="003D019A" w:rsidRPr="00815059">
        <w:rPr>
          <w:rFonts w:asciiTheme="minorHAnsi" w:hAnsiTheme="minorHAnsi" w:cstheme="minorHAnsi"/>
          <w:lang w:val="en-GB"/>
        </w:rPr>
        <w:t xml:space="preserve"> the opportunity</w:t>
      </w:r>
      <w:r w:rsidRPr="00815059">
        <w:rPr>
          <w:rFonts w:asciiTheme="minorHAnsi" w:hAnsiTheme="minorHAnsi" w:cstheme="minorHAnsi"/>
          <w:lang w:val="en-GB"/>
        </w:rPr>
        <w:t xml:space="preserve"> </w:t>
      </w:r>
      <w:r w:rsidR="003D019A" w:rsidRPr="00815059">
        <w:rPr>
          <w:rFonts w:asciiTheme="minorHAnsi" w:hAnsiTheme="minorHAnsi" w:cstheme="minorHAnsi"/>
          <w:lang w:val="en-GB"/>
        </w:rPr>
        <w:t xml:space="preserve">to </w:t>
      </w:r>
      <w:r w:rsidRPr="00815059">
        <w:rPr>
          <w:rFonts w:asciiTheme="minorHAnsi" w:hAnsiTheme="minorHAnsi" w:cstheme="minorHAnsi"/>
          <w:lang w:val="en-GB"/>
        </w:rPr>
        <w:t>determin</w:t>
      </w:r>
      <w:r w:rsidR="003D019A" w:rsidRPr="00815059">
        <w:rPr>
          <w:rFonts w:asciiTheme="minorHAnsi" w:hAnsiTheme="minorHAnsi" w:cstheme="minorHAnsi"/>
          <w:lang w:val="en-GB"/>
        </w:rPr>
        <w:t>e</w:t>
      </w:r>
      <w:r w:rsidRPr="00815059">
        <w:rPr>
          <w:rFonts w:asciiTheme="minorHAnsi" w:hAnsiTheme="minorHAnsi" w:cstheme="minorHAnsi"/>
          <w:lang w:val="en-GB"/>
        </w:rPr>
        <w:t xml:space="preserve"> fracture probability among the population</w:t>
      </w:r>
      <w:r w:rsidR="00A73A8E" w:rsidRPr="00815059">
        <w:rPr>
          <w:rFonts w:asciiTheme="minorHAnsi" w:hAnsiTheme="minorHAnsi" w:cstheme="minorHAnsi"/>
          <w:lang w:val="en-GB"/>
        </w:rPr>
        <w:t xml:space="preserve"> </w:t>
      </w:r>
      <w:r w:rsidRPr="00815059">
        <w:rPr>
          <w:rFonts w:asciiTheme="minorHAnsi" w:hAnsiTheme="minorHAnsi" w:cstheme="minorHAnsi"/>
          <w:lang w:val="en-GB"/>
        </w:rPr>
        <w:t>and help guide decisions about treatment.</w:t>
      </w:r>
      <w:r w:rsidR="002D79C4" w:rsidRPr="00815059">
        <w:rPr>
          <w:rFonts w:asciiTheme="minorHAnsi" w:hAnsiTheme="minorHAnsi" w:cstheme="minorHAnsi"/>
          <w:shd w:val="clear" w:color="auto" w:fill="FFFFFF"/>
          <w:lang w:val="en-GB"/>
        </w:rPr>
        <w:t xml:space="preserve"> </w:t>
      </w:r>
      <w:r w:rsidR="00785B01" w:rsidRPr="00815059">
        <w:rPr>
          <w:rFonts w:asciiTheme="minorHAnsi" w:hAnsiTheme="minorHAnsi" w:cstheme="minorHAnsi"/>
          <w:shd w:val="clear" w:color="auto" w:fill="FFFFFF"/>
          <w:lang w:val="en-GB"/>
        </w:rPr>
        <w:t xml:space="preserve"> </w:t>
      </w:r>
    </w:p>
    <w:p w14:paraId="03AF833A" w14:textId="7C49DBFD" w:rsidR="00A71745" w:rsidRPr="00BE1FD4" w:rsidRDefault="00A71745" w:rsidP="002371C1">
      <w:pPr>
        <w:tabs>
          <w:tab w:val="left" w:pos="7371"/>
        </w:tabs>
        <w:spacing w:after="200" w:line="276" w:lineRule="auto"/>
        <w:ind w:left="567" w:right="425"/>
        <w:rPr>
          <w:rFonts w:asciiTheme="minorHAnsi" w:hAnsiTheme="minorHAnsi" w:cstheme="minorHAnsi"/>
          <w:highlight w:val="yellow"/>
          <w:shd w:val="clear" w:color="auto" w:fill="FFFFFF"/>
          <w:lang w:val="en-GB"/>
        </w:rPr>
      </w:pPr>
    </w:p>
    <w:p w14:paraId="155E8A7F" w14:textId="2A75B29F" w:rsidR="00C239B2" w:rsidRPr="005A0FCB" w:rsidRDefault="00C239B2" w:rsidP="002371C1">
      <w:pPr>
        <w:keepNext/>
        <w:keepLines/>
        <w:tabs>
          <w:tab w:val="left" w:pos="7371"/>
        </w:tabs>
        <w:spacing w:before="200" w:line="276" w:lineRule="auto"/>
        <w:ind w:left="567" w:right="425"/>
        <w:outlineLvl w:val="1"/>
        <w:rPr>
          <w:rFonts w:asciiTheme="minorHAnsi" w:hAnsiTheme="minorHAnsi" w:cstheme="minorHAnsi"/>
          <w:b/>
          <w:bCs/>
          <w:lang w:val="en-GB"/>
        </w:rPr>
      </w:pPr>
      <w:r w:rsidRPr="005A0FCB">
        <w:rPr>
          <w:rFonts w:asciiTheme="minorHAnsi" w:hAnsiTheme="minorHAnsi" w:cstheme="minorHAnsi"/>
          <w:b/>
          <w:bCs/>
          <w:lang w:val="en-GB"/>
        </w:rPr>
        <w:t>Conflict of Interest</w:t>
      </w:r>
      <w:r w:rsidR="002F4825" w:rsidRPr="005A0FCB">
        <w:rPr>
          <w:rFonts w:asciiTheme="minorHAnsi" w:hAnsiTheme="minorHAnsi" w:cstheme="minorHAnsi"/>
          <w:b/>
          <w:bCs/>
          <w:lang w:val="en-GB"/>
        </w:rPr>
        <w:t xml:space="preserve"> </w:t>
      </w:r>
    </w:p>
    <w:p w14:paraId="66F3DD63" w14:textId="61356DBF" w:rsidR="00C239B2" w:rsidRDefault="003E1A30" w:rsidP="003E1A30">
      <w:pPr>
        <w:keepNext/>
        <w:keepLines/>
        <w:tabs>
          <w:tab w:val="left" w:pos="7371"/>
        </w:tabs>
        <w:spacing w:before="200" w:line="276" w:lineRule="auto"/>
        <w:ind w:left="567" w:right="425"/>
        <w:outlineLvl w:val="1"/>
        <w:rPr>
          <w:rFonts w:asciiTheme="minorHAnsi" w:hAnsiTheme="minorHAnsi" w:cstheme="minorHAnsi"/>
          <w:lang w:val="en-GB"/>
        </w:rPr>
      </w:pPr>
      <w:r w:rsidRPr="003E1A30">
        <w:rPr>
          <w:rFonts w:asciiTheme="minorHAnsi" w:hAnsiTheme="minorHAnsi" w:cstheme="minorHAnsi"/>
          <w:lang w:val="en-GB"/>
        </w:rPr>
        <w:t>M Jaalkhorol</w:t>
      </w:r>
      <w:r w:rsidR="00765E0D">
        <w:rPr>
          <w:rFonts w:asciiTheme="minorHAnsi" w:hAnsiTheme="minorHAnsi" w:cstheme="minorHAnsi"/>
          <w:lang w:val="en-GB"/>
        </w:rPr>
        <w:t>,</w:t>
      </w:r>
      <w:r w:rsidRPr="003E1A30">
        <w:rPr>
          <w:rFonts w:asciiTheme="minorHAnsi" w:hAnsiTheme="minorHAnsi" w:cstheme="minorHAnsi"/>
          <w:lang w:val="en-GB"/>
        </w:rPr>
        <w:t xml:space="preserve"> H Johansson</w:t>
      </w:r>
      <w:r w:rsidR="00765E0D">
        <w:rPr>
          <w:rFonts w:asciiTheme="minorHAnsi" w:hAnsiTheme="minorHAnsi" w:cstheme="minorHAnsi"/>
          <w:lang w:val="en-GB"/>
        </w:rPr>
        <w:t xml:space="preserve">, </w:t>
      </w:r>
      <w:r w:rsidRPr="003E1A30">
        <w:rPr>
          <w:rFonts w:asciiTheme="minorHAnsi" w:hAnsiTheme="minorHAnsi" w:cstheme="minorHAnsi"/>
          <w:lang w:val="en-GB"/>
        </w:rPr>
        <w:t>S Avirmed</w:t>
      </w:r>
      <w:r w:rsidR="00765E0D">
        <w:rPr>
          <w:rFonts w:asciiTheme="minorHAnsi" w:hAnsiTheme="minorHAnsi" w:cstheme="minorHAnsi"/>
          <w:lang w:val="en-GB"/>
        </w:rPr>
        <w:t xml:space="preserve">, </w:t>
      </w:r>
      <w:r w:rsidRPr="003E1A30">
        <w:rPr>
          <w:rFonts w:asciiTheme="minorHAnsi" w:hAnsiTheme="minorHAnsi" w:cstheme="minorHAnsi"/>
          <w:lang w:val="en-GB"/>
        </w:rPr>
        <w:t>A Dashtseren</w:t>
      </w:r>
      <w:r w:rsidR="00765E0D">
        <w:rPr>
          <w:rFonts w:asciiTheme="minorHAnsi" w:hAnsiTheme="minorHAnsi" w:cstheme="minorHAnsi"/>
          <w:lang w:val="en-GB"/>
        </w:rPr>
        <w:t xml:space="preserve">, </w:t>
      </w:r>
      <w:r w:rsidRPr="003E1A30">
        <w:rPr>
          <w:rFonts w:asciiTheme="minorHAnsi" w:hAnsiTheme="minorHAnsi" w:cstheme="minorHAnsi"/>
          <w:lang w:val="en-GB"/>
        </w:rPr>
        <w:t>O Bruyère</w:t>
      </w:r>
      <w:r w:rsidR="00765E0D">
        <w:rPr>
          <w:rFonts w:asciiTheme="minorHAnsi" w:hAnsiTheme="minorHAnsi" w:cstheme="minorHAnsi"/>
          <w:lang w:val="en-GB"/>
        </w:rPr>
        <w:t xml:space="preserve">, </w:t>
      </w:r>
      <w:r w:rsidRPr="003E1A30">
        <w:rPr>
          <w:rFonts w:asciiTheme="minorHAnsi" w:hAnsiTheme="minorHAnsi" w:cstheme="minorHAnsi"/>
          <w:lang w:val="en-GB"/>
        </w:rPr>
        <w:t xml:space="preserve"> M Lorentzon</w:t>
      </w:r>
      <w:r w:rsidR="00765E0D">
        <w:rPr>
          <w:rFonts w:asciiTheme="minorHAnsi" w:hAnsiTheme="minorHAnsi" w:cstheme="minorHAnsi"/>
          <w:lang w:val="en-GB"/>
        </w:rPr>
        <w:t xml:space="preserve">, </w:t>
      </w:r>
      <w:r w:rsidRPr="003E1A30">
        <w:rPr>
          <w:rFonts w:asciiTheme="minorHAnsi" w:hAnsiTheme="minorHAnsi" w:cstheme="minorHAnsi"/>
          <w:lang w:val="en-GB"/>
        </w:rPr>
        <w:t>NC Harvey</w:t>
      </w:r>
      <w:r w:rsidR="00C86F5B">
        <w:rPr>
          <w:rFonts w:asciiTheme="minorHAnsi" w:hAnsiTheme="minorHAnsi" w:cstheme="minorHAnsi"/>
          <w:lang w:val="en-GB"/>
        </w:rPr>
        <w:t xml:space="preserve">, </w:t>
      </w:r>
      <w:r w:rsidRPr="003E1A30">
        <w:rPr>
          <w:rFonts w:asciiTheme="minorHAnsi" w:hAnsiTheme="minorHAnsi" w:cstheme="minorHAnsi"/>
          <w:lang w:val="en-GB"/>
        </w:rPr>
        <w:t>EV McCloskey</w:t>
      </w:r>
      <w:r w:rsidR="005F1177">
        <w:rPr>
          <w:rFonts w:asciiTheme="minorHAnsi" w:hAnsiTheme="minorHAnsi" w:cstheme="minorHAnsi"/>
          <w:lang w:val="en-GB"/>
        </w:rPr>
        <w:t xml:space="preserve"> </w:t>
      </w:r>
      <w:r w:rsidR="0067328A" w:rsidRPr="00937A2D">
        <w:rPr>
          <w:rFonts w:asciiTheme="minorHAnsi" w:hAnsiTheme="minorHAnsi" w:cstheme="minorHAnsi"/>
          <w:lang w:val="en-GB"/>
        </w:rPr>
        <w:t xml:space="preserve">and </w:t>
      </w:r>
      <w:r w:rsidR="00C53BDD" w:rsidRPr="00937A2D">
        <w:rPr>
          <w:rFonts w:asciiTheme="minorHAnsi" w:hAnsiTheme="minorHAnsi" w:cstheme="minorHAnsi"/>
          <w:lang w:val="en-GB"/>
        </w:rPr>
        <w:t>JA Kanis</w:t>
      </w:r>
      <w:r w:rsidR="00D33935" w:rsidRPr="00937A2D">
        <w:rPr>
          <w:rFonts w:asciiTheme="minorHAnsi" w:hAnsiTheme="minorHAnsi" w:cstheme="minorHAnsi"/>
          <w:lang w:val="en-GB"/>
        </w:rPr>
        <w:t xml:space="preserve"> </w:t>
      </w:r>
      <w:r w:rsidR="00C239B2" w:rsidRPr="00937A2D">
        <w:rPr>
          <w:rFonts w:asciiTheme="minorHAnsi" w:hAnsiTheme="minorHAnsi" w:cstheme="minorHAnsi"/>
          <w:lang w:val="en-GB"/>
        </w:rPr>
        <w:t xml:space="preserve">declare that they have no competing interests in relation to this </w:t>
      </w:r>
      <w:r w:rsidR="007B3998" w:rsidRPr="00937A2D">
        <w:rPr>
          <w:rFonts w:asciiTheme="minorHAnsi" w:hAnsiTheme="minorHAnsi" w:cstheme="minorHAnsi"/>
          <w:lang w:val="en-GB"/>
        </w:rPr>
        <w:t>report</w:t>
      </w:r>
      <w:r w:rsidR="00C239B2" w:rsidRPr="00937A2D">
        <w:rPr>
          <w:rFonts w:asciiTheme="minorHAnsi" w:hAnsiTheme="minorHAnsi" w:cstheme="minorHAnsi"/>
          <w:lang w:val="en-GB"/>
        </w:rPr>
        <w:t xml:space="preserve">. </w:t>
      </w:r>
      <w:r w:rsidR="006F1EA8" w:rsidRPr="00937A2D">
        <w:rPr>
          <w:rFonts w:asciiTheme="minorHAnsi" w:hAnsiTheme="minorHAnsi" w:cstheme="minorHAnsi"/>
          <w:lang w:val="en-GB"/>
        </w:rPr>
        <w:t>EVM</w:t>
      </w:r>
      <w:r w:rsidR="000A26D6" w:rsidRPr="00937A2D">
        <w:rPr>
          <w:rFonts w:asciiTheme="minorHAnsi" w:hAnsiTheme="minorHAnsi" w:cstheme="minorHAnsi"/>
          <w:lang w:val="en-GB"/>
        </w:rPr>
        <w:t xml:space="preserve"> and</w:t>
      </w:r>
      <w:r w:rsidR="00C239B2" w:rsidRPr="00937A2D">
        <w:rPr>
          <w:rFonts w:asciiTheme="minorHAnsi" w:hAnsiTheme="minorHAnsi" w:cstheme="minorHAnsi"/>
          <w:lang w:val="en-GB"/>
        </w:rPr>
        <w:t xml:space="preserve"> JAK are </w:t>
      </w:r>
      <w:r w:rsidR="006F1EA8" w:rsidRPr="00937A2D">
        <w:rPr>
          <w:rFonts w:asciiTheme="minorHAnsi" w:hAnsiTheme="minorHAnsi" w:cstheme="minorHAnsi"/>
          <w:lang w:val="en-GB"/>
        </w:rPr>
        <w:t>directors of Osteoporosis Research Ltd</w:t>
      </w:r>
      <w:r w:rsidR="00937A2D" w:rsidRPr="00937A2D">
        <w:rPr>
          <w:rFonts w:asciiTheme="minorHAnsi" w:hAnsiTheme="minorHAnsi" w:cstheme="minorHAnsi"/>
          <w:lang w:val="en-GB"/>
        </w:rPr>
        <w:t xml:space="preserve"> which maintains FRAX. </w:t>
      </w:r>
    </w:p>
    <w:p w14:paraId="31A3EAD6" w14:textId="4A8B3E66" w:rsidR="00524301" w:rsidRPr="00524301" w:rsidRDefault="00524301" w:rsidP="00524301">
      <w:pPr>
        <w:keepNext/>
        <w:keepLines/>
        <w:tabs>
          <w:tab w:val="left" w:pos="7371"/>
        </w:tabs>
        <w:spacing w:before="200" w:line="276" w:lineRule="auto"/>
        <w:ind w:left="567" w:right="425"/>
        <w:outlineLvl w:val="1"/>
        <w:rPr>
          <w:rFonts w:asciiTheme="minorHAnsi" w:hAnsiTheme="minorHAnsi" w:cstheme="minorHAnsi"/>
          <w:b/>
          <w:bCs/>
          <w:lang w:val="en-GB"/>
        </w:rPr>
      </w:pPr>
      <w:r w:rsidRPr="00524301">
        <w:rPr>
          <w:rFonts w:asciiTheme="minorHAnsi" w:hAnsiTheme="minorHAnsi" w:cstheme="minorHAnsi"/>
          <w:b/>
          <w:bCs/>
          <w:lang w:val="en-GB"/>
        </w:rPr>
        <w:t>Acknowledgment</w:t>
      </w:r>
      <w:r>
        <w:rPr>
          <w:rFonts w:asciiTheme="minorHAnsi" w:hAnsiTheme="minorHAnsi" w:cstheme="minorHAnsi"/>
          <w:b/>
          <w:bCs/>
          <w:lang w:val="en-GB"/>
        </w:rPr>
        <w:t>s</w:t>
      </w:r>
    </w:p>
    <w:p w14:paraId="46A66ED4" w14:textId="7874E45D" w:rsidR="00524301" w:rsidRPr="00937A2D" w:rsidRDefault="00524301" w:rsidP="00524301">
      <w:pPr>
        <w:keepNext/>
        <w:keepLines/>
        <w:tabs>
          <w:tab w:val="left" w:pos="7371"/>
        </w:tabs>
        <w:spacing w:before="200" w:line="276" w:lineRule="auto"/>
        <w:ind w:left="567" w:right="425"/>
        <w:outlineLvl w:val="1"/>
        <w:rPr>
          <w:rFonts w:asciiTheme="minorHAnsi" w:hAnsiTheme="minorHAnsi" w:cstheme="minorHAnsi"/>
          <w:lang w:val="en-GB"/>
        </w:rPr>
      </w:pPr>
      <w:r w:rsidRPr="00524301">
        <w:rPr>
          <w:rFonts w:asciiTheme="minorHAnsi" w:hAnsiTheme="minorHAnsi" w:cstheme="minorHAnsi"/>
          <w:lang w:val="en-GB"/>
        </w:rPr>
        <w:t>The authors thank the personnel from the Chingeltei and Songinokhairkhan Health Units, Govi-Altai, Khentii, Dornogovi, Tuv, Khuvsgul provinces Health Units, Department of Health Research, Graduate School, Mongolian National University of Medical Sciences, Centre for Metabolic Bone Diseases, University of Sheffield, Sheffield, UK, Research Unit in Public Health, Epidemiology and Health Economics, University of Liège, Liège, Belgium, and their technical assistance with the surveys. We also thank all the study participants.</w:t>
      </w:r>
    </w:p>
    <w:p w14:paraId="34810219" w14:textId="2E494C15" w:rsidR="00C239B2" w:rsidRPr="00A60B6A" w:rsidRDefault="00C239B2" w:rsidP="002371C1">
      <w:pPr>
        <w:keepNext/>
        <w:keepLines/>
        <w:tabs>
          <w:tab w:val="left" w:pos="7371"/>
        </w:tabs>
        <w:spacing w:before="200" w:line="276" w:lineRule="auto"/>
        <w:ind w:left="567" w:right="425"/>
        <w:outlineLvl w:val="1"/>
        <w:rPr>
          <w:rFonts w:asciiTheme="minorHAnsi" w:hAnsiTheme="minorHAnsi" w:cstheme="minorHAnsi"/>
          <w:b/>
          <w:bCs/>
          <w:lang w:val="en-GB"/>
        </w:rPr>
      </w:pPr>
      <w:r w:rsidRPr="00A60B6A">
        <w:rPr>
          <w:rFonts w:asciiTheme="minorHAnsi" w:hAnsiTheme="minorHAnsi" w:cstheme="minorHAnsi"/>
          <w:b/>
          <w:bCs/>
          <w:lang w:val="en-GB"/>
        </w:rPr>
        <w:t>Funding sources</w:t>
      </w:r>
    </w:p>
    <w:p w14:paraId="5CBD873C" w14:textId="35818222" w:rsidR="001B58B1" w:rsidRPr="00BE1FD4" w:rsidRDefault="00C239B2" w:rsidP="002371C1">
      <w:pPr>
        <w:tabs>
          <w:tab w:val="left" w:pos="7371"/>
        </w:tabs>
        <w:spacing w:line="276" w:lineRule="auto"/>
        <w:ind w:left="567" w:right="425"/>
        <w:rPr>
          <w:rFonts w:asciiTheme="minorHAnsi" w:hAnsiTheme="minorHAnsi" w:cstheme="minorHAnsi"/>
          <w:highlight w:val="yellow"/>
          <w:lang w:val="en-GB"/>
        </w:rPr>
      </w:pPr>
      <w:r w:rsidRPr="00A60B6A">
        <w:rPr>
          <w:rFonts w:asciiTheme="minorHAnsi" w:hAnsiTheme="minorHAnsi" w:cstheme="minorHAnsi"/>
          <w:lang w:val="en-GB"/>
        </w:rPr>
        <w:t xml:space="preserve">The project did not receive </w:t>
      </w:r>
      <w:r w:rsidRPr="003D3585">
        <w:rPr>
          <w:rFonts w:asciiTheme="minorHAnsi" w:hAnsiTheme="minorHAnsi" w:cstheme="minorHAnsi"/>
          <w:lang w:val="en-GB"/>
        </w:rPr>
        <w:t xml:space="preserve">specific funding. </w:t>
      </w:r>
    </w:p>
    <w:p w14:paraId="3125C843" w14:textId="77777777" w:rsidR="00C32F31" w:rsidRPr="00BE1FD4" w:rsidRDefault="00C32F31" w:rsidP="00391935">
      <w:pPr>
        <w:spacing w:line="276" w:lineRule="auto"/>
        <w:ind w:left="567" w:right="1275"/>
        <w:rPr>
          <w:rFonts w:asciiTheme="minorHAnsi" w:hAnsiTheme="minorHAnsi" w:cstheme="minorHAnsi"/>
          <w:b/>
          <w:highlight w:val="yellow"/>
          <w:lang w:val="en-GB"/>
        </w:rPr>
      </w:pPr>
    </w:p>
    <w:p w14:paraId="4FCA3FA7" w14:textId="248F8674" w:rsidR="00391935" w:rsidRDefault="00391935" w:rsidP="00391935">
      <w:pPr>
        <w:spacing w:line="276" w:lineRule="auto"/>
        <w:ind w:left="567" w:right="1275"/>
        <w:rPr>
          <w:rFonts w:asciiTheme="minorHAnsi" w:hAnsiTheme="minorHAnsi" w:cstheme="minorHAnsi"/>
          <w:b/>
          <w:lang w:val="en-GB"/>
        </w:rPr>
      </w:pPr>
      <w:r w:rsidRPr="00F27C65">
        <w:rPr>
          <w:rFonts w:asciiTheme="minorHAnsi" w:hAnsiTheme="minorHAnsi" w:cstheme="minorHAnsi"/>
          <w:b/>
          <w:lang w:val="en-GB"/>
        </w:rPr>
        <w:t>References</w:t>
      </w:r>
    </w:p>
    <w:p w14:paraId="3D70CA14" w14:textId="77777777" w:rsidR="0072567D" w:rsidRDefault="0072567D" w:rsidP="00391935">
      <w:pPr>
        <w:spacing w:line="276" w:lineRule="auto"/>
        <w:ind w:left="567" w:right="1275"/>
        <w:rPr>
          <w:rFonts w:asciiTheme="minorHAnsi" w:hAnsiTheme="minorHAnsi" w:cstheme="minorHAnsi"/>
          <w:b/>
          <w:lang w:val="en-GB"/>
        </w:rPr>
      </w:pPr>
    </w:p>
    <w:tbl>
      <w:tblPr>
        <w:tblStyle w:val="TableGrid4"/>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938"/>
      </w:tblGrid>
      <w:tr w:rsidR="0072567D" w:rsidRPr="00D55AA5" w14:paraId="561A978C" w14:textId="77777777" w:rsidTr="0072567D">
        <w:tc>
          <w:tcPr>
            <w:tcW w:w="567" w:type="dxa"/>
          </w:tcPr>
          <w:p w14:paraId="6904BA4D" w14:textId="79D731FE"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w:t>
            </w:r>
          </w:p>
        </w:tc>
        <w:tc>
          <w:tcPr>
            <w:tcW w:w="7938" w:type="dxa"/>
            <w:shd w:val="clear" w:color="auto" w:fill="auto"/>
          </w:tcPr>
          <w:p w14:paraId="733BBEFB" w14:textId="4CF3FDFF"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on behalf of the World Health Organization Scientific Group (2007) Assessment of osteoporosis at the primary healthcare level. Technical Report. WHO Collaborating Centre, University of Sheffield, UK. Available at http://www.shef.ac.uk/FRAX/index.htm. Accessed 26 Feb 2012</w:t>
            </w:r>
          </w:p>
        </w:tc>
      </w:tr>
      <w:tr w:rsidR="0072567D" w:rsidRPr="00D55AA5" w14:paraId="081DAE64" w14:textId="77777777" w:rsidTr="0072567D">
        <w:tc>
          <w:tcPr>
            <w:tcW w:w="567" w:type="dxa"/>
          </w:tcPr>
          <w:p w14:paraId="29096AD7" w14:textId="25968C74"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w:t>
            </w:r>
          </w:p>
        </w:tc>
        <w:tc>
          <w:tcPr>
            <w:tcW w:w="7938" w:type="dxa"/>
            <w:shd w:val="clear" w:color="auto" w:fill="auto"/>
          </w:tcPr>
          <w:p w14:paraId="61C971C0"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val="en-US" w:eastAsia="en-US"/>
              </w:rPr>
              <w:t>Kanis JA, Johnell O, Oden A, Johansson H, McCloskey EV (2008) FRAX™ and the assessment of fracture probability in men and women from the UK. Osteoporos Int 19: 385–397</w:t>
            </w:r>
          </w:p>
        </w:tc>
      </w:tr>
      <w:tr w:rsidR="0072567D" w:rsidRPr="00D55AA5" w14:paraId="5134177D" w14:textId="77777777" w:rsidTr="0072567D">
        <w:tc>
          <w:tcPr>
            <w:tcW w:w="567" w:type="dxa"/>
          </w:tcPr>
          <w:p w14:paraId="5A452EFC" w14:textId="0E8CD0E2"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w:t>
            </w:r>
          </w:p>
        </w:tc>
        <w:tc>
          <w:tcPr>
            <w:tcW w:w="7938" w:type="dxa"/>
          </w:tcPr>
          <w:p w14:paraId="2BCF77CF" w14:textId="47640FE1" w:rsidR="0072567D" w:rsidRPr="00D55AA5" w:rsidRDefault="0072567D" w:rsidP="00D55AA5">
            <w:pPr>
              <w:spacing w:after="240"/>
              <w:rPr>
                <w:rFonts w:ascii="Calibri" w:eastAsia="Calibri" w:hAnsi="Calibri" w:cs="Calibri"/>
                <w:sz w:val="22"/>
                <w:szCs w:val="22"/>
                <w:lang w:eastAsia="en-US"/>
              </w:rPr>
            </w:pPr>
            <w:r w:rsidRPr="00D55AA5">
              <w:rPr>
                <w:rFonts w:ascii="Calibri" w:eastAsia="Aptos" w:hAnsi="Calibri" w:cs="Calibri"/>
                <w:kern w:val="2"/>
                <w:sz w:val="22"/>
                <w:szCs w:val="22"/>
                <w:lang w:eastAsia="en-US"/>
                <w14:ligatures w14:val="standardContextual"/>
              </w:rPr>
              <w:t>Kanis JA, Odén A, McCloskey EV, Johansson H, Wahl D, Cyrus Cooper C on behalf of the IOF Working Group on Epidemiology and Quality of Life (2012) A systematic review of hip fracture incidence and probability of fracture worldwide. Osteoporosis International 23: 2239-2256.</w:t>
            </w:r>
          </w:p>
        </w:tc>
      </w:tr>
      <w:tr w:rsidR="0072567D" w:rsidRPr="00D55AA5" w14:paraId="1EA4E6E7" w14:textId="77777777" w:rsidTr="0072567D">
        <w:tc>
          <w:tcPr>
            <w:tcW w:w="567" w:type="dxa"/>
          </w:tcPr>
          <w:p w14:paraId="06920BE5" w14:textId="1C197119"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lastRenderedPageBreak/>
              <w:t>4.</w:t>
            </w:r>
          </w:p>
        </w:tc>
        <w:tc>
          <w:tcPr>
            <w:tcW w:w="7938" w:type="dxa"/>
            <w:shd w:val="clear" w:color="auto" w:fill="auto"/>
          </w:tcPr>
          <w:p w14:paraId="09125072"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hAnsi="Calibri" w:cs="Calibri"/>
                <w:bCs/>
                <w:sz w:val="22"/>
                <w:szCs w:val="22"/>
                <w:lang w:eastAsia="en-US"/>
              </w:rPr>
              <w:t>Kanis JA, Johansson H, Harvey NC and McCloskey EV (2018) A brief history of FRAX. Arch Osteoporos, 13: 118. DOI: 10.1007/s11657-018-0510-0.</w:t>
            </w:r>
          </w:p>
        </w:tc>
      </w:tr>
      <w:tr w:rsidR="0072567D" w:rsidRPr="00D55AA5" w14:paraId="15822DF9" w14:textId="77777777" w:rsidTr="0072567D">
        <w:tc>
          <w:tcPr>
            <w:tcW w:w="567" w:type="dxa"/>
          </w:tcPr>
          <w:p w14:paraId="765C1553" w14:textId="476A5030" w:rsidR="0072567D" w:rsidRPr="00D55AA5" w:rsidRDefault="0072567D" w:rsidP="00D55AA5">
            <w:pPr>
              <w:tabs>
                <w:tab w:val="left" w:pos="225"/>
              </w:tabs>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5.</w:t>
            </w:r>
          </w:p>
        </w:tc>
        <w:tc>
          <w:tcPr>
            <w:tcW w:w="7938" w:type="dxa"/>
          </w:tcPr>
          <w:p w14:paraId="6CEE8571"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Cauley JA, El-Hajj Fuleihan G, Arabi A, Fujiwara S, Ragi-Eis S, Calderon A, Chionh SB, Chen Z, Curtis JR, Danielson ME, Hanley DA, Kroger H, Kung AW, Lesnyak O, Nieves J, Pluskiewicz W, El Rassi R, Silverman S, Schott AM, Rizzoli R, Luckey M; FRAX Position Conference Members (2011) Official Positions for FRAX clinical regarding international differences from Joint Official Positions Development Conference of the International Society for Clinical Densitometry and International Osteoporosis Foundation on FRAX. J Clin Densitom 14(3):240e262.</w:t>
            </w:r>
          </w:p>
        </w:tc>
      </w:tr>
      <w:tr w:rsidR="0072567D" w:rsidRPr="00D55AA5" w14:paraId="4F083D49" w14:textId="77777777" w:rsidTr="0072567D">
        <w:tc>
          <w:tcPr>
            <w:tcW w:w="567" w:type="dxa"/>
          </w:tcPr>
          <w:p w14:paraId="6D4A8B57" w14:textId="283A1F1C" w:rsidR="0072567D" w:rsidRPr="00D55AA5" w:rsidRDefault="0072567D" w:rsidP="00D55AA5">
            <w:pPr>
              <w:spacing w:after="240"/>
              <w:jc w:val="right"/>
              <w:rPr>
                <w:rFonts w:ascii="Calibri" w:eastAsia="Calibri" w:hAnsi="Calibri" w:cs="Calibri"/>
                <w:color w:val="000000"/>
                <w:kern w:val="2"/>
                <w:sz w:val="22"/>
                <w:szCs w:val="22"/>
                <w:lang w:eastAsia="en-US"/>
                <w14:ligatures w14:val="standardContextual"/>
              </w:rPr>
            </w:pPr>
            <w:r>
              <w:rPr>
                <w:rFonts w:ascii="Calibri" w:eastAsia="Calibri" w:hAnsi="Calibri" w:cs="Calibri"/>
                <w:color w:val="000000"/>
                <w:kern w:val="2"/>
                <w:sz w:val="22"/>
                <w:szCs w:val="22"/>
                <w:lang w:eastAsia="en-US"/>
                <w14:ligatures w14:val="standardContextual"/>
              </w:rPr>
              <w:t>6.</w:t>
            </w:r>
          </w:p>
        </w:tc>
        <w:tc>
          <w:tcPr>
            <w:tcW w:w="7938" w:type="dxa"/>
            <w:shd w:val="clear" w:color="auto" w:fill="auto"/>
          </w:tcPr>
          <w:p w14:paraId="7CEDEF74" w14:textId="77777777" w:rsidR="0072567D" w:rsidRPr="00D55AA5" w:rsidRDefault="0072567D" w:rsidP="00D55AA5">
            <w:pPr>
              <w:spacing w:after="240"/>
              <w:rPr>
                <w:rFonts w:ascii="Calibri" w:eastAsia="Calibri" w:hAnsi="Calibri" w:cs="Calibri"/>
                <w:color w:val="000000"/>
                <w:sz w:val="22"/>
                <w:szCs w:val="22"/>
                <w:lang w:eastAsia="en-US"/>
              </w:rPr>
            </w:pPr>
            <w:r w:rsidRPr="00D55AA5">
              <w:rPr>
                <w:rFonts w:ascii="Calibri" w:eastAsia="Calibri" w:hAnsi="Calibri" w:cs="Calibri"/>
                <w:color w:val="000000"/>
                <w:sz w:val="22"/>
                <w:szCs w:val="22"/>
                <w:lang w:eastAsia="en-US"/>
              </w:rPr>
              <w:t xml:space="preserve">United Nations (2022) World Population Prospects 2022. Department of Economic and Social Affairs Population Dynamics. </w:t>
            </w:r>
            <w:r w:rsidRPr="00D55AA5">
              <w:rPr>
                <w:rFonts w:ascii="Calibri" w:hAnsi="Calibri" w:cs="Calibri"/>
                <w:color w:val="000000"/>
                <w:sz w:val="22"/>
                <w:szCs w:val="22"/>
              </w:rPr>
              <w:t>https://population.un.org/wpp/Download/Standard/Population/</w:t>
            </w:r>
            <w:r w:rsidRPr="00D55AA5">
              <w:rPr>
                <w:rFonts w:ascii="Calibri" w:eastAsia="Calibri" w:hAnsi="Calibri" w:cs="Calibri"/>
                <w:color w:val="000000"/>
                <w:sz w:val="22"/>
                <w:szCs w:val="22"/>
                <w:lang w:eastAsia="en-US"/>
              </w:rPr>
              <w:t xml:space="preserve"> Accessed 1 July 2024</w:t>
            </w:r>
          </w:p>
        </w:tc>
      </w:tr>
      <w:tr w:rsidR="0072567D" w:rsidRPr="00D55AA5" w14:paraId="2E6AA5B4" w14:textId="77777777" w:rsidTr="0072567D">
        <w:tc>
          <w:tcPr>
            <w:tcW w:w="567" w:type="dxa"/>
          </w:tcPr>
          <w:p w14:paraId="460BC8D7" w14:textId="792301A4" w:rsidR="0072567D" w:rsidRPr="00D55AA5" w:rsidRDefault="0072567D" w:rsidP="00D55AA5">
            <w:pPr>
              <w:spacing w:after="240"/>
              <w:jc w:val="right"/>
              <w:rPr>
                <w:rFonts w:ascii="Calibri" w:eastAsia="Calibri" w:hAnsi="Calibri" w:cs="Calibri"/>
                <w:color w:val="000000"/>
                <w:kern w:val="2"/>
                <w:sz w:val="22"/>
                <w:szCs w:val="22"/>
                <w:lang w:eastAsia="en-US"/>
                <w14:ligatures w14:val="standardContextual"/>
              </w:rPr>
            </w:pPr>
            <w:r>
              <w:rPr>
                <w:rFonts w:ascii="Calibri" w:eastAsia="Calibri" w:hAnsi="Calibri" w:cs="Calibri"/>
                <w:color w:val="000000"/>
                <w:kern w:val="2"/>
                <w:sz w:val="22"/>
                <w:szCs w:val="22"/>
                <w:lang w:eastAsia="en-US"/>
                <w14:ligatures w14:val="standardContextual"/>
              </w:rPr>
              <w:t>7.</w:t>
            </w:r>
          </w:p>
        </w:tc>
        <w:tc>
          <w:tcPr>
            <w:tcW w:w="7938" w:type="dxa"/>
            <w:shd w:val="clear" w:color="auto" w:fill="auto"/>
          </w:tcPr>
          <w:p w14:paraId="207B1F40" w14:textId="77777777" w:rsidR="0072567D" w:rsidRPr="00D55AA5" w:rsidRDefault="0072567D" w:rsidP="00D55AA5">
            <w:pPr>
              <w:spacing w:after="240"/>
              <w:rPr>
                <w:rFonts w:ascii="Calibri" w:eastAsia="Calibri" w:hAnsi="Calibri" w:cs="Calibri"/>
                <w:color w:val="000000"/>
                <w:sz w:val="22"/>
                <w:szCs w:val="22"/>
                <w:lang w:eastAsia="en-US"/>
              </w:rPr>
            </w:pPr>
            <w:r w:rsidRPr="00D55AA5">
              <w:rPr>
                <w:rFonts w:ascii="Calibri" w:eastAsia="Calibri" w:hAnsi="Calibri" w:cs="Calibri"/>
                <w:color w:val="000000"/>
                <w:sz w:val="22"/>
                <w:szCs w:val="22"/>
                <w:lang w:eastAsia="en-US"/>
              </w:rPr>
              <w:t xml:space="preserve">Worldometer (2024) </w:t>
            </w:r>
            <w:hyperlink r:id="rId12" w:anchor="google_vignette" w:history="1">
              <w:r w:rsidRPr="00D55AA5">
                <w:rPr>
                  <w:rFonts w:ascii="Calibri" w:eastAsia="Calibri" w:hAnsi="Calibri" w:cs="Calibri"/>
                  <w:color w:val="0563C1"/>
                  <w:sz w:val="22"/>
                  <w:szCs w:val="22"/>
                  <w:u w:val="single"/>
                  <w:lang w:eastAsia="en-US"/>
                </w:rPr>
                <w:t>https://www.worldometers.info/world-population/mongolia-population/#google_vignette</w:t>
              </w:r>
            </w:hyperlink>
            <w:r w:rsidRPr="00D55AA5">
              <w:rPr>
                <w:rFonts w:ascii="Calibri" w:eastAsia="Calibri" w:hAnsi="Calibri" w:cs="Calibri"/>
                <w:color w:val="000000"/>
                <w:sz w:val="22"/>
                <w:szCs w:val="22"/>
                <w:lang w:eastAsia="en-US"/>
              </w:rPr>
              <w:t>. Accessed 26 August 2024</w:t>
            </w:r>
          </w:p>
        </w:tc>
      </w:tr>
      <w:tr w:rsidR="0072567D" w:rsidRPr="00D55AA5" w14:paraId="24AD911F" w14:textId="77777777" w:rsidTr="0072567D">
        <w:tc>
          <w:tcPr>
            <w:tcW w:w="567" w:type="dxa"/>
          </w:tcPr>
          <w:p w14:paraId="4C52160F" w14:textId="575A00CA"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8.</w:t>
            </w:r>
          </w:p>
        </w:tc>
        <w:tc>
          <w:tcPr>
            <w:tcW w:w="7938" w:type="dxa"/>
          </w:tcPr>
          <w:p w14:paraId="29EA82ED"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Oden A, Johnell O, Jonsson B, de Laet C, Dawson A (2001) The burden of osteoporotic fractures: a method for setting intervention thresholds. Osteoporos Int 12:417–427</w:t>
            </w:r>
          </w:p>
        </w:tc>
      </w:tr>
      <w:tr w:rsidR="0072567D" w:rsidRPr="00D55AA5" w14:paraId="7AF430D5" w14:textId="77777777" w:rsidTr="0072567D">
        <w:tc>
          <w:tcPr>
            <w:tcW w:w="567" w:type="dxa"/>
          </w:tcPr>
          <w:p w14:paraId="12A349F5" w14:textId="73DAAF56"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9.</w:t>
            </w:r>
          </w:p>
        </w:tc>
        <w:tc>
          <w:tcPr>
            <w:tcW w:w="7938" w:type="dxa"/>
          </w:tcPr>
          <w:p w14:paraId="24556443" w14:textId="77777777" w:rsidR="0072567D" w:rsidRPr="00D55AA5" w:rsidRDefault="0072567D" w:rsidP="00D55AA5">
            <w:pPr>
              <w:spacing w:after="240"/>
              <w:rPr>
                <w:rFonts w:ascii="Calibri" w:eastAsia="Calibri" w:hAnsi="Calibri" w:cs="Calibri"/>
                <w:color w:val="000000"/>
                <w:sz w:val="22"/>
                <w:szCs w:val="22"/>
                <w:lang w:eastAsia="en-US"/>
              </w:rPr>
            </w:pPr>
            <w:r w:rsidRPr="00D55AA5">
              <w:rPr>
                <w:rFonts w:ascii="Calibri" w:eastAsia="Calibri" w:hAnsi="Calibri" w:cs="Calibri"/>
                <w:sz w:val="22"/>
                <w:szCs w:val="22"/>
                <w:lang w:eastAsia="en-US"/>
              </w:rPr>
              <w:t>Lam A, Leslie</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WD, Lix LM, Yogendran M, Morin SN, Majumdar SR (2014) Major osteoporotic to hip fracture ratios in Canadian men and women with Swedish comparisons: a population-based analysis. J Bone Miner Res 29:1067–1073</w:t>
            </w:r>
          </w:p>
        </w:tc>
      </w:tr>
      <w:tr w:rsidR="0072567D" w:rsidRPr="00D55AA5" w14:paraId="3B8990A1" w14:textId="77777777" w:rsidTr="0072567D">
        <w:tc>
          <w:tcPr>
            <w:tcW w:w="567" w:type="dxa"/>
          </w:tcPr>
          <w:p w14:paraId="54B51705" w14:textId="062A3584"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10.</w:t>
            </w:r>
          </w:p>
        </w:tc>
        <w:tc>
          <w:tcPr>
            <w:tcW w:w="7938" w:type="dxa"/>
          </w:tcPr>
          <w:p w14:paraId="466C15B5" w14:textId="77777777" w:rsidR="0072567D" w:rsidRPr="00D55AA5" w:rsidRDefault="0072567D" w:rsidP="00D55AA5">
            <w:pPr>
              <w:spacing w:after="240"/>
              <w:rPr>
                <w:rFonts w:ascii="Calibri" w:eastAsia="Calibri" w:hAnsi="Calibri" w:cs="Calibri"/>
                <w:color w:val="000000"/>
                <w:sz w:val="22"/>
                <w:szCs w:val="22"/>
                <w:lang w:eastAsia="en-US"/>
              </w:rPr>
            </w:pPr>
            <w:r w:rsidRPr="00D55AA5">
              <w:rPr>
                <w:rFonts w:ascii="Calibri" w:eastAsia="Calibri" w:hAnsi="Calibri" w:cs="Calibri"/>
                <w:sz w:val="22"/>
                <w:szCs w:val="22"/>
                <w:lang w:eastAsia="en-US"/>
              </w:rPr>
              <w:t>Siggeirsdottir K, Aspelund T, Johansson H, Gudmundsson EF, Mogensen B, Jonsson BY, Gudnason V, McCloskey E, Oden A, Sigurdsson G, Kanis JA (2014) The incidence of a first major osteoporotic fracture in Iceland and implications for FRAX. Osteoporos Int 25:2445–2451</w:t>
            </w:r>
          </w:p>
        </w:tc>
      </w:tr>
      <w:tr w:rsidR="0072567D" w:rsidRPr="00D55AA5" w14:paraId="5546559A" w14:textId="77777777" w:rsidTr="0072567D">
        <w:tc>
          <w:tcPr>
            <w:tcW w:w="567" w:type="dxa"/>
          </w:tcPr>
          <w:p w14:paraId="0990703F" w14:textId="671A0715"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11.</w:t>
            </w:r>
          </w:p>
        </w:tc>
        <w:tc>
          <w:tcPr>
            <w:tcW w:w="7938" w:type="dxa"/>
          </w:tcPr>
          <w:p w14:paraId="30D422C3" w14:textId="77777777" w:rsidR="0072567D" w:rsidRPr="00D55AA5" w:rsidRDefault="0072567D" w:rsidP="00D55AA5">
            <w:pPr>
              <w:spacing w:after="240"/>
              <w:rPr>
                <w:rFonts w:ascii="Calibri" w:eastAsia="Calibri" w:hAnsi="Calibri" w:cs="Calibri"/>
                <w:color w:val="000000"/>
                <w:sz w:val="22"/>
                <w:szCs w:val="22"/>
                <w:lang w:eastAsia="en-US"/>
              </w:rPr>
            </w:pPr>
            <w:r w:rsidRPr="00D55AA5">
              <w:rPr>
                <w:rFonts w:ascii="Calibri" w:eastAsia="Calibri" w:hAnsi="Calibri" w:cs="Calibri"/>
                <w:sz w:val="22"/>
                <w:szCs w:val="22"/>
                <w:lang w:eastAsia="en-US"/>
              </w:rPr>
              <w:t>Zakroyeva A, Lesnyak O, Cazac V, Groppa L, Russu E, Chislari L, Rotaru L, Johansson H, Harvey NC, McCloskey E, Kanis JA (2020) Epidemiology of osteoporotic fracture in Moldova and development of a country specific FRAX model.  Arch Osteoporos.</w:t>
            </w:r>
            <w:r w:rsidRPr="00D55AA5">
              <w:rPr>
                <w:rFonts w:ascii="Calibri" w:hAnsi="Calibri" w:cs="Calibri"/>
                <w:color w:val="000000"/>
                <w:sz w:val="22"/>
                <w:szCs w:val="22"/>
                <w:lang w:val="en-US"/>
              </w:rPr>
              <w:t> 15(1):13. Doi: 10.1007/s11657-019-0669-z.</w:t>
            </w:r>
          </w:p>
        </w:tc>
      </w:tr>
      <w:tr w:rsidR="0072567D" w:rsidRPr="00D55AA5" w14:paraId="490ECC8C" w14:textId="77777777" w:rsidTr="0072567D">
        <w:tc>
          <w:tcPr>
            <w:tcW w:w="567" w:type="dxa"/>
          </w:tcPr>
          <w:p w14:paraId="6E80E5E6" w14:textId="4E6952F7"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12.</w:t>
            </w:r>
          </w:p>
        </w:tc>
        <w:tc>
          <w:tcPr>
            <w:tcW w:w="7938" w:type="dxa"/>
          </w:tcPr>
          <w:p w14:paraId="1776F12B"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United Nations. Department of Economic and Social Affairs. Population Division (2019). World Population Prospects 2019. Online Edition. Rev.1</w:t>
            </w:r>
          </w:p>
        </w:tc>
      </w:tr>
      <w:tr w:rsidR="0072567D" w:rsidRPr="00D55AA5" w14:paraId="416FD5AA" w14:textId="77777777" w:rsidTr="0072567D">
        <w:tc>
          <w:tcPr>
            <w:tcW w:w="567" w:type="dxa"/>
          </w:tcPr>
          <w:p w14:paraId="0E38BE83" w14:textId="0CEFD764"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13.</w:t>
            </w:r>
          </w:p>
        </w:tc>
        <w:tc>
          <w:tcPr>
            <w:tcW w:w="7938" w:type="dxa"/>
          </w:tcPr>
          <w:p w14:paraId="7899DAE7" w14:textId="77777777" w:rsidR="0072567D" w:rsidRPr="00D55AA5" w:rsidRDefault="0072567D" w:rsidP="00D55AA5">
            <w:pPr>
              <w:spacing w:after="240"/>
              <w:rPr>
                <w:rFonts w:ascii="Calibri" w:eastAsia="Aptos" w:hAnsi="Calibri" w:cs="Calibri"/>
                <w:kern w:val="2"/>
                <w:sz w:val="22"/>
                <w:szCs w:val="22"/>
                <w:lang w:eastAsia="en-US"/>
                <w14:ligatures w14:val="standardContextual"/>
              </w:rPr>
            </w:pPr>
            <w:r w:rsidRPr="00D55AA5">
              <w:rPr>
                <w:rFonts w:ascii="Calibri" w:eastAsia="Calibri" w:hAnsi="Calibri" w:cs="Calibri"/>
                <w:sz w:val="22"/>
                <w:szCs w:val="22"/>
                <w:lang w:eastAsia="en-US"/>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r w:rsidR="0072567D" w:rsidRPr="00D55AA5" w14:paraId="00618A0E" w14:textId="77777777" w:rsidTr="0072567D">
        <w:tc>
          <w:tcPr>
            <w:tcW w:w="567" w:type="dxa"/>
          </w:tcPr>
          <w:p w14:paraId="0C787959" w14:textId="7D6304AF" w:rsidR="0072567D"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14.</w:t>
            </w:r>
          </w:p>
        </w:tc>
        <w:tc>
          <w:tcPr>
            <w:tcW w:w="7938" w:type="dxa"/>
          </w:tcPr>
          <w:p w14:paraId="51A9F67A" w14:textId="097AEDFE" w:rsidR="0072567D" w:rsidRPr="00B459E1" w:rsidRDefault="0072567D" w:rsidP="00D55AA5">
            <w:pPr>
              <w:spacing w:after="240"/>
              <w:rPr>
                <w:rFonts w:ascii="Calibri" w:eastAsia="Calibri" w:hAnsi="Calibri" w:cs="Calibri"/>
                <w:sz w:val="22"/>
                <w:szCs w:val="22"/>
                <w:highlight w:val="yellow"/>
                <w:lang w:eastAsia="en-US"/>
              </w:rPr>
            </w:pPr>
            <w:r w:rsidRPr="005E4509">
              <w:rPr>
                <w:rFonts w:ascii="Calibri" w:eastAsia="Calibri" w:hAnsi="Calibri" w:cs="Calibri"/>
                <w:sz w:val="22"/>
                <w:szCs w:val="22"/>
                <w:lang w:eastAsia="en-US"/>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72567D" w:rsidRPr="00D55AA5" w14:paraId="72844283" w14:textId="77777777" w:rsidTr="0072567D">
        <w:tc>
          <w:tcPr>
            <w:tcW w:w="567" w:type="dxa"/>
          </w:tcPr>
          <w:p w14:paraId="7E269C39" w14:textId="7F975BEC"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lastRenderedPageBreak/>
              <w:t>15.</w:t>
            </w:r>
          </w:p>
        </w:tc>
        <w:tc>
          <w:tcPr>
            <w:tcW w:w="7938" w:type="dxa"/>
          </w:tcPr>
          <w:p w14:paraId="05C453FF" w14:textId="77777777" w:rsidR="0072567D" w:rsidRPr="00D55AA5" w:rsidRDefault="0072567D" w:rsidP="00D55AA5">
            <w:pPr>
              <w:shd w:val="clear" w:color="auto" w:fill="FFFFFF"/>
              <w:rPr>
                <w:rFonts w:ascii="Calibri" w:eastAsia="Calibri" w:hAnsi="Calibri" w:cs="Calibri"/>
                <w:sz w:val="22"/>
                <w:szCs w:val="22"/>
                <w:lang w:eastAsia="en-US"/>
              </w:rPr>
            </w:pPr>
            <w:r w:rsidRPr="00D55AA5">
              <w:rPr>
                <w:rFonts w:ascii="Calibri" w:eastAsia="Calibri" w:hAnsi="Calibri" w:cs="Calibri"/>
                <w:sz w:val="22"/>
                <w:szCs w:val="22"/>
                <w:lang w:eastAsia="en-US"/>
              </w:rPr>
              <w:t>Lekamwasam S, Adachi JD, Agnusdei D, Bilezikian J, Boonen</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S, Borgström F, Cooper C, Diez Perez A, Eastell R, Hofbauer</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L, Kanis JA, Langdahl BL, Lesnyak O, Lorenc R, McCloskey E,</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Messina OD, Napoli N, Obermayer-Pietsch B, Ralston SH, Sambrook</w:t>
            </w:r>
          </w:p>
          <w:p w14:paraId="57D71D1A" w14:textId="77777777" w:rsidR="0072567D" w:rsidRPr="00D55AA5" w:rsidRDefault="0072567D" w:rsidP="00D55AA5">
            <w:pPr>
              <w:shd w:val="clear" w:color="auto" w:fill="FFFFFF"/>
              <w:spacing w:after="160" w:line="259" w:lineRule="auto"/>
              <w:rPr>
                <w:rFonts w:ascii="Calibri" w:eastAsia="Calibri" w:hAnsi="Calibri" w:cs="Calibri"/>
                <w:sz w:val="22"/>
                <w:szCs w:val="22"/>
                <w:lang w:eastAsia="en-US"/>
              </w:rPr>
            </w:pPr>
            <w:r w:rsidRPr="00D55AA5">
              <w:rPr>
                <w:rFonts w:ascii="Calibri" w:eastAsia="Calibri" w:hAnsi="Calibri" w:cs="Calibri"/>
                <w:sz w:val="22"/>
                <w:szCs w:val="22"/>
                <w:lang w:eastAsia="en-US"/>
              </w:rPr>
              <w:t>PN, Silverman S, Sosa M, Stepan J, Suppan G, Wahl DA,</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Compston JE for the Joint IOF-ECTS GIO Guidelines Working] Group (2012) A framework for the development of guidelines for</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the management of glucocorticoid-induced osteoporosis.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Int 23: 2257-76</w:t>
            </w:r>
          </w:p>
        </w:tc>
      </w:tr>
      <w:tr w:rsidR="0072567D" w:rsidRPr="00D55AA5" w14:paraId="6D756D48" w14:textId="77777777" w:rsidTr="0072567D">
        <w:tc>
          <w:tcPr>
            <w:tcW w:w="567" w:type="dxa"/>
          </w:tcPr>
          <w:p w14:paraId="098F86E3" w14:textId="2FCB966D"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16.</w:t>
            </w:r>
          </w:p>
        </w:tc>
        <w:tc>
          <w:tcPr>
            <w:tcW w:w="7938" w:type="dxa"/>
          </w:tcPr>
          <w:p w14:paraId="195859B0"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Johansson H, Oden A, Johnell O, Jonsson B, de Laet C, Oglesby A, McCloskey EV, Kayan K, Jalava T, Kanis JA (2004) Optimisation of BMD measurements to identify high risk groups for treatment—a test analysis. J Bone Miner Res 19:906–913</w:t>
            </w:r>
          </w:p>
        </w:tc>
      </w:tr>
      <w:tr w:rsidR="0072567D" w:rsidRPr="00D55AA5" w14:paraId="10CC52B9" w14:textId="77777777" w:rsidTr="0072567D">
        <w:tc>
          <w:tcPr>
            <w:tcW w:w="567" w:type="dxa"/>
          </w:tcPr>
          <w:p w14:paraId="33C901E4" w14:textId="1B1DD1C8"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17.</w:t>
            </w:r>
          </w:p>
        </w:tc>
        <w:tc>
          <w:tcPr>
            <w:tcW w:w="7938" w:type="dxa"/>
          </w:tcPr>
          <w:p w14:paraId="6E10AD11"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 xml:space="preserve">Johansson H, Pandey D, Lorentzon M, Harvey NC, McCloskey EV, Kanis JA (2024) A surrogate FRAX model for Nepal. Arch Osteoporos.  </w:t>
            </w:r>
            <w:r w:rsidRPr="00D55AA5">
              <w:rPr>
                <w:rFonts w:ascii="Calibri" w:eastAsia="Calibri" w:hAnsi="Calibri" w:cs="Calibri"/>
                <w:sz w:val="22"/>
                <w:szCs w:val="22"/>
                <w:highlight w:val="yellow"/>
                <w:lang w:eastAsia="en-US"/>
              </w:rPr>
              <w:t>Submitted Aug 2024</w:t>
            </w:r>
          </w:p>
        </w:tc>
      </w:tr>
      <w:tr w:rsidR="0072567D" w:rsidRPr="00D55AA5" w14:paraId="1BA4CFCA" w14:textId="77777777" w:rsidTr="0072567D">
        <w:tc>
          <w:tcPr>
            <w:tcW w:w="567" w:type="dxa"/>
          </w:tcPr>
          <w:p w14:paraId="1EB15AAC" w14:textId="12F4C6D6"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18.</w:t>
            </w:r>
          </w:p>
        </w:tc>
        <w:tc>
          <w:tcPr>
            <w:tcW w:w="7938" w:type="dxa"/>
            <w:shd w:val="clear" w:color="auto" w:fill="auto"/>
          </w:tcPr>
          <w:p w14:paraId="33108400"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Aptos" w:hAnsi="Calibri" w:cs="Calibri"/>
                <w:kern w:val="2"/>
                <w:sz w:val="22"/>
                <w:szCs w:val="22"/>
                <w:lang w:eastAsia="en-US"/>
                <w14:ligatures w14:val="standardContextual"/>
              </w:rPr>
              <w:t>Kanis JA, Johansson H, Oden A, Dawson-Hughes B, Melton LJ 3rd, McCloskey EV (2010) The effects of a FRAX(®) revision for the USA. Osteoporos Int 21: 35-40.</w:t>
            </w:r>
          </w:p>
        </w:tc>
      </w:tr>
      <w:tr w:rsidR="0072567D" w:rsidRPr="00D55AA5" w14:paraId="332A5E13" w14:textId="77777777" w:rsidTr="0072567D">
        <w:tc>
          <w:tcPr>
            <w:tcW w:w="567" w:type="dxa"/>
          </w:tcPr>
          <w:p w14:paraId="2ED17195" w14:textId="02F7B994"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19.</w:t>
            </w:r>
          </w:p>
        </w:tc>
        <w:tc>
          <w:tcPr>
            <w:tcW w:w="7938" w:type="dxa"/>
          </w:tcPr>
          <w:p w14:paraId="2FC1A6D7"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Lesnyak O, Sahakyan S, Zakroyeva A, Bilezikian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72567D" w:rsidRPr="00D55AA5" w14:paraId="0AF85643" w14:textId="77777777" w:rsidTr="0072567D">
        <w:tc>
          <w:tcPr>
            <w:tcW w:w="567" w:type="dxa"/>
          </w:tcPr>
          <w:p w14:paraId="04B177FE" w14:textId="65EC4BB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20.</w:t>
            </w:r>
          </w:p>
        </w:tc>
        <w:tc>
          <w:tcPr>
            <w:tcW w:w="7938" w:type="dxa"/>
          </w:tcPr>
          <w:p w14:paraId="559D349D"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Albergaria BH, Zerbini CAF, Lazaretti-Castro M, Eis SR, Vilaca T, Johansson H, Harvey NC, Liu E, Vandenput L, Lorentzon M, Schini M, McCloskey E, Kanis JA</w:t>
            </w:r>
            <w:r w:rsidRPr="00D55AA5">
              <w:rPr>
                <w:rFonts w:ascii="Calibri" w:eastAsia="Calibri" w:hAnsi="Calibri" w:cs="Calibri"/>
                <w:kern w:val="2"/>
                <w:sz w:val="22"/>
                <w:szCs w:val="22"/>
                <w:lang w:eastAsia="en-US"/>
                <w14:ligatures w14:val="standardContextual"/>
              </w:rPr>
              <w:t xml:space="preserve"> (2023) </w:t>
            </w:r>
            <w:r w:rsidRPr="00D55AA5">
              <w:rPr>
                <w:rFonts w:ascii="Calibri" w:eastAsia="Calibri" w:hAnsi="Calibri" w:cs="Calibri"/>
                <w:sz w:val="22"/>
                <w:szCs w:val="22"/>
                <w:lang w:eastAsia="en-US"/>
              </w:rPr>
              <w:t>A new FRAX model for Brazil.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18(1):144. doi: 10.1007/s11657-023-01354-3.</w:t>
            </w:r>
          </w:p>
        </w:tc>
      </w:tr>
      <w:tr w:rsidR="0072567D" w:rsidRPr="00D55AA5" w14:paraId="449E4318" w14:textId="77777777" w:rsidTr="0072567D">
        <w:tc>
          <w:tcPr>
            <w:tcW w:w="567" w:type="dxa"/>
          </w:tcPr>
          <w:p w14:paraId="78140414" w14:textId="7274C20E"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21.</w:t>
            </w:r>
          </w:p>
        </w:tc>
        <w:tc>
          <w:tcPr>
            <w:tcW w:w="7938" w:type="dxa"/>
          </w:tcPr>
          <w:p w14:paraId="708BF761"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Naureen G, Johansson H, Iqbal R, Jafri L, Khan AH, Umer M, Liu E, Vandenput L, Lorentzon M, Harvey NC, McCloskey EV, Kanis JA</w:t>
            </w:r>
            <w:r w:rsidRPr="00D55AA5">
              <w:rPr>
                <w:rFonts w:ascii="Calibri" w:eastAsia="Calibri" w:hAnsi="Calibri" w:cs="Calibri"/>
                <w:kern w:val="2"/>
                <w:sz w:val="22"/>
                <w:szCs w:val="22"/>
                <w:lang w:eastAsia="en-US"/>
                <w14:ligatures w14:val="standardContextual"/>
              </w:rPr>
              <w:t xml:space="preserve"> (2021) </w:t>
            </w:r>
            <w:r w:rsidRPr="00D55AA5">
              <w:rPr>
                <w:rFonts w:ascii="Calibri" w:eastAsia="Calibri" w:hAnsi="Calibri" w:cs="Calibri"/>
                <w:sz w:val="22"/>
                <w:szCs w:val="22"/>
                <w:lang w:eastAsia="en-US"/>
              </w:rPr>
              <w:t>A surrogate FRAX model for Pakistan.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16(1):34. doi: 10.1007/s11657-021-00894-w.</w:t>
            </w:r>
          </w:p>
        </w:tc>
      </w:tr>
      <w:tr w:rsidR="0072567D" w:rsidRPr="00D55AA5" w14:paraId="3AC8A00C" w14:textId="77777777" w:rsidTr="0072567D">
        <w:tc>
          <w:tcPr>
            <w:tcW w:w="567" w:type="dxa"/>
          </w:tcPr>
          <w:p w14:paraId="29D348EE" w14:textId="745D82F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22.</w:t>
            </w:r>
          </w:p>
        </w:tc>
        <w:tc>
          <w:tcPr>
            <w:tcW w:w="7938" w:type="dxa"/>
          </w:tcPr>
          <w:p w14:paraId="12FE2470"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Povoroznyuk VV, Grygorieva NV, Kanis JA, Ev M, Johansson H, Harvey NC, Korzh MO, Strafun SS, Vaida VM, Klymovytsky FV, Vlasenko RO, Forosenko VS</w:t>
            </w:r>
            <w:r w:rsidRPr="00D55AA5">
              <w:rPr>
                <w:rFonts w:ascii="Calibri" w:eastAsia="Calibri" w:hAnsi="Calibri" w:cs="Calibri"/>
                <w:kern w:val="2"/>
                <w:sz w:val="22"/>
                <w:szCs w:val="22"/>
                <w:lang w:eastAsia="en-US"/>
                <w14:ligatures w14:val="standardContextual"/>
              </w:rPr>
              <w:t xml:space="preserve"> (2017) </w:t>
            </w:r>
            <w:r w:rsidRPr="00D55AA5">
              <w:rPr>
                <w:rFonts w:ascii="Calibri" w:eastAsia="Calibri" w:hAnsi="Calibri" w:cs="Calibri"/>
                <w:sz w:val="22"/>
                <w:szCs w:val="22"/>
                <w:lang w:eastAsia="en-US"/>
              </w:rPr>
              <w:t>Epidemiology of hip fracture and the development of FRAX in Ukraine.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(1):53. doi: 10.1007/s11657-017-0343-2.</w:t>
            </w:r>
          </w:p>
        </w:tc>
      </w:tr>
      <w:tr w:rsidR="0072567D" w:rsidRPr="00D55AA5" w14:paraId="2B98B862" w14:textId="77777777" w:rsidTr="0072567D">
        <w:tc>
          <w:tcPr>
            <w:tcW w:w="567" w:type="dxa"/>
          </w:tcPr>
          <w:p w14:paraId="304464FF" w14:textId="5ABB9969"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23.</w:t>
            </w:r>
          </w:p>
        </w:tc>
        <w:tc>
          <w:tcPr>
            <w:tcW w:w="7938" w:type="dxa"/>
          </w:tcPr>
          <w:p w14:paraId="4109AF59" w14:textId="20A93F54" w:rsidR="0072567D" w:rsidRPr="00D55AA5" w:rsidRDefault="0072567D" w:rsidP="00640778">
            <w:pPr>
              <w:spacing w:after="240"/>
              <w:rPr>
                <w:rFonts w:ascii="Calibri" w:eastAsia="Calibri" w:hAnsi="Calibri" w:cs="Calibri"/>
                <w:sz w:val="22"/>
                <w:szCs w:val="22"/>
                <w:lang w:eastAsia="en-US"/>
              </w:rPr>
            </w:pPr>
            <w:r w:rsidRPr="00640778">
              <w:rPr>
                <w:rFonts w:ascii="Calibri" w:eastAsia="Calibri" w:hAnsi="Calibri" w:cs="Calibri"/>
                <w:sz w:val="22"/>
                <w:szCs w:val="22"/>
                <w:lang w:eastAsia="en-US"/>
              </w:rPr>
              <w:t>Kanis JA, Oden A, Johnell O, Jonsson B, de Laet C, Dawson A</w:t>
            </w:r>
            <w:r>
              <w:rPr>
                <w:rFonts w:ascii="Calibri" w:eastAsia="Calibri" w:hAnsi="Calibri" w:cs="Calibri"/>
                <w:sz w:val="22"/>
                <w:szCs w:val="22"/>
                <w:lang w:eastAsia="en-US"/>
              </w:rPr>
              <w:t xml:space="preserve"> </w:t>
            </w:r>
            <w:r w:rsidRPr="00640778">
              <w:rPr>
                <w:rFonts w:ascii="Calibri" w:eastAsia="Calibri" w:hAnsi="Calibri" w:cs="Calibri"/>
                <w:sz w:val="22"/>
                <w:szCs w:val="22"/>
                <w:lang w:eastAsia="en-US"/>
              </w:rPr>
              <w:t>(2001) The burden of osteoporotic fractures: a method for setting</w:t>
            </w:r>
            <w:r>
              <w:rPr>
                <w:rFonts w:ascii="Calibri" w:eastAsia="Calibri" w:hAnsi="Calibri" w:cs="Calibri"/>
                <w:sz w:val="22"/>
                <w:szCs w:val="22"/>
                <w:lang w:eastAsia="en-US"/>
              </w:rPr>
              <w:t xml:space="preserve"> </w:t>
            </w:r>
            <w:r w:rsidRPr="00640778">
              <w:rPr>
                <w:rFonts w:ascii="Calibri" w:eastAsia="Calibri" w:hAnsi="Calibri" w:cs="Calibri"/>
                <w:sz w:val="22"/>
                <w:szCs w:val="22"/>
                <w:lang w:eastAsia="en-US"/>
              </w:rPr>
              <w:t xml:space="preserve">intervention thresholds. </w:t>
            </w:r>
            <w:r w:rsidR="00A87D53">
              <w:rPr>
                <w:rFonts w:ascii="Calibri" w:eastAsia="Calibri" w:hAnsi="Calibri" w:cs="Calibri"/>
                <w:sz w:val="22"/>
                <w:szCs w:val="22"/>
                <w:lang w:eastAsia="en-US"/>
              </w:rPr>
              <w:t xml:space="preserve"> </w:t>
            </w:r>
            <w:r w:rsidRPr="00640778">
              <w:rPr>
                <w:rFonts w:ascii="Calibri" w:eastAsia="Calibri" w:hAnsi="Calibri" w:cs="Calibri"/>
                <w:sz w:val="22"/>
                <w:szCs w:val="22"/>
                <w:lang w:eastAsia="en-US"/>
              </w:rPr>
              <w:t>Osteoporos Int 12:417–427</w:t>
            </w:r>
          </w:p>
        </w:tc>
      </w:tr>
      <w:tr w:rsidR="0072567D" w:rsidRPr="00D55AA5" w14:paraId="32894768" w14:textId="77777777" w:rsidTr="0072567D">
        <w:tc>
          <w:tcPr>
            <w:tcW w:w="567" w:type="dxa"/>
          </w:tcPr>
          <w:p w14:paraId="3AED3735" w14:textId="67E99530"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24.</w:t>
            </w:r>
          </w:p>
        </w:tc>
        <w:tc>
          <w:tcPr>
            <w:tcW w:w="7938" w:type="dxa"/>
          </w:tcPr>
          <w:p w14:paraId="436270AC"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 xml:space="preserve">Melton LJ, Crowson CS, O’Fallon WM (1999) Fracture incidence in Olmsted County, Minnesota: comparison of urban and with rural rates and changes in urban rates over time. Osteoporos </w:t>
            </w:r>
            <w:r w:rsidRPr="00D55AA5">
              <w:rPr>
                <w:rFonts w:ascii="Calibri" w:eastAsia="Calibri" w:hAnsi="Calibri" w:cs="Calibri"/>
                <w:kern w:val="2"/>
                <w:sz w:val="22"/>
                <w:szCs w:val="22"/>
                <w:lang w:eastAsia="en-US"/>
                <w14:ligatures w14:val="standardContextual"/>
              </w:rPr>
              <w:t>Int 9</w:t>
            </w:r>
            <w:r w:rsidRPr="00D55AA5">
              <w:rPr>
                <w:rFonts w:ascii="Calibri" w:eastAsia="Calibri" w:hAnsi="Calibri" w:cs="Calibri"/>
                <w:sz w:val="22"/>
                <w:szCs w:val="22"/>
                <w:lang w:eastAsia="en-US"/>
              </w:rPr>
              <w:t>: 29–37.</w:t>
            </w:r>
          </w:p>
        </w:tc>
      </w:tr>
      <w:tr w:rsidR="0072567D" w:rsidRPr="00D55AA5" w14:paraId="298C5D18" w14:textId="77777777" w:rsidTr="0072567D">
        <w:tc>
          <w:tcPr>
            <w:tcW w:w="567" w:type="dxa"/>
          </w:tcPr>
          <w:p w14:paraId="132A83EC" w14:textId="3F1B989B"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25.</w:t>
            </w:r>
          </w:p>
        </w:tc>
        <w:tc>
          <w:tcPr>
            <w:tcW w:w="7938" w:type="dxa"/>
          </w:tcPr>
          <w:p w14:paraId="2E23AC0E"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Singer BR, McLauchlan CJ, Robinson CM, Christie J (1998) Epidemiology of fracture in 15.000 adults. The influence of age and gender. J Bone Joint Surg 80B: 234–8</w:t>
            </w:r>
          </w:p>
        </w:tc>
      </w:tr>
      <w:tr w:rsidR="0072567D" w:rsidRPr="00D55AA5" w14:paraId="54F8FDF8" w14:textId="77777777" w:rsidTr="0072567D">
        <w:tc>
          <w:tcPr>
            <w:tcW w:w="567" w:type="dxa"/>
          </w:tcPr>
          <w:p w14:paraId="04F5880E" w14:textId="4C187881"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26.</w:t>
            </w:r>
          </w:p>
        </w:tc>
        <w:tc>
          <w:tcPr>
            <w:tcW w:w="7938" w:type="dxa"/>
          </w:tcPr>
          <w:p w14:paraId="01592BFB"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Sanders KM, Seeman E, Ugoni AM, Pasco JA, Martin TJ, Skoric B, Nicholson GC, Kotowicz MA (1999) Age- and gender speciﬁc rate of fractures in Australia: a population-based study. Osteoporos Int 10:2 40–7.</w:t>
            </w:r>
          </w:p>
        </w:tc>
      </w:tr>
      <w:tr w:rsidR="0072567D" w:rsidRPr="00D55AA5" w14:paraId="663894EA" w14:textId="77777777" w:rsidTr="0072567D">
        <w:tc>
          <w:tcPr>
            <w:tcW w:w="567" w:type="dxa"/>
          </w:tcPr>
          <w:p w14:paraId="37EEC1D2" w14:textId="2292D992"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27.</w:t>
            </w:r>
          </w:p>
        </w:tc>
        <w:tc>
          <w:tcPr>
            <w:tcW w:w="7938" w:type="dxa"/>
          </w:tcPr>
          <w:p w14:paraId="38D88A26"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Johnell O, Gullberg B, Kanis JA (1997) The hospital burden of vertebral fracture in Europe: a study of national register sources.  Osteoporos Int 7: 138-144</w:t>
            </w:r>
          </w:p>
        </w:tc>
      </w:tr>
      <w:tr w:rsidR="0072567D" w:rsidRPr="00D55AA5" w14:paraId="379124E9" w14:textId="77777777" w:rsidTr="0072567D">
        <w:tc>
          <w:tcPr>
            <w:tcW w:w="567" w:type="dxa"/>
          </w:tcPr>
          <w:p w14:paraId="439E5F59" w14:textId="11E0BB30"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28.</w:t>
            </w:r>
          </w:p>
        </w:tc>
        <w:tc>
          <w:tcPr>
            <w:tcW w:w="7938" w:type="dxa"/>
          </w:tcPr>
          <w:p w14:paraId="10DE3482"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Melton LJ (1995) Epidemiology of fractures. In: Riggs BL, Melton LJ (eds) Osteoporosis: etiology, diagnosis and management, 2ndedn. Lippincott-Raven, Philadelphia, pp 225–227</w:t>
            </w:r>
          </w:p>
        </w:tc>
      </w:tr>
      <w:tr w:rsidR="0072567D" w:rsidRPr="00D55AA5" w14:paraId="3E6B5A63" w14:textId="77777777" w:rsidTr="0072567D">
        <w:tc>
          <w:tcPr>
            <w:tcW w:w="567" w:type="dxa"/>
          </w:tcPr>
          <w:p w14:paraId="6E7929B4" w14:textId="168D64B8"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29.</w:t>
            </w:r>
          </w:p>
        </w:tc>
        <w:tc>
          <w:tcPr>
            <w:tcW w:w="7938" w:type="dxa"/>
          </w:tcPr>
          <w:p w14:paraId="36ADA3A2"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Dawson-Hughes B, Looker AC, Tosteson AN, Johansson H, Kanis JA, Melton LJ 3</w:t>
            </w:r>
            <w:r w:rsidRPr="00D55AA5">
              <w:rPr>
                <w:rFonts w:ascii="Calibri" w:eastAsia="Calibri" w:hAnsi="Calibri" w:cs="Calibri"/>
                <w:sz w:val="22"/>
                <w:szCs w:val="22"/>
                <w:vertAlign w:val="superscript"/>
                <w:lang w:eastAsia="en-US"/>
              </w:rPr>
              <w:t>rd</w:t>
            </w:r>
            <w:r w:rsidRPr="00D55AA5">
              <w:rPr>
                <w:rFonts w:ascii="Calibri" w:eastAsia="Calibri" w:hAnsi="Calibri" w:cs="Calibri"/>
                <w:kern w:val="2"/>
                <w:sz w:val="22"/>
                <w:szCs w:val="22"/>
                <w:lang w:eastAsia="en-US"/>
                <w14:ligatures w14:val="standardContextual"/>
              </w:rPr>
              <w:t xml:space="preserve"> (2010) </w:t>
            </w:r>
            <w:r w:rsidRPr="00D55AA5">
              <w:rPr>
                <w:rFonts w:ascii="Calibri" w:eastAsia="Calibri" w:hAnsi="Calibri" w:cs="Calibri"/>
                <w:sz w:val="22"/>
                <w:szCs w:val="22"/>
                <w:lang w:eastAsia="en-US"/>
              </w:rPr>
              <w:t>The potential impact of new National Osteoporosis Foundation guidance on treatment patterns.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21(1):41-52.</w:t>
            </w:r>
          </w:p>
        </w:tc>
      </w:tr>
      <w:tr w:rsidR="0072567D" w:rsidRPr="00D55AA5" w14:paraId="7466815B" w14:textId="77777777" w:rsidTr="0072567D">
        <w:tc>
          <w:tcPr>
            <w:tcW w:w="567" w:type="dxa"/>
          </w:tcPr>
          <w:p w14:paraId="3EA1F9D4" w14:textId="111D60A7"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30.</w:t>
            </w:r>
          </w:p>
        </w:tc>
        <w:tc>
          <w:tcPr>
            <w:tcW w:w="7938" w:type="dxa"/>
          </w:tcPr>
          <w:p w14:paraId="7BCFF7E8"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Badurski JE, Kanis JA, Johansson H, Dobreńko A, Nowak NA, Daniluk S, Jezienicka E</w:t>
            </w:r>
            <w:r w:rsidRPr="00D55AA5">
              <w:rPr>
                <w:rFonts w:ascii="Calibri" w:eastAsia="Calibri" w:hAnsi="Calibri" w:cs="Calibri"/>
                <w:kern w:val="2"/>
                <w:sz w:val="22"/>
                <w:szCs w:val="22"/>
                <w:lang w:eastAsia="en-US"/>
                <w14:ligatures w14:val="standardContextual"/>
              </w:rPr>
              <w:t xml:space="preserve"> (2011) </w:t>
            </w:r>
            <w:r w:rsidRPr="00D55AA5">
              <w:rPr>
                <w:rFonts w:ascii="Calibri" w:eastAsia="Calibri" w:hAnsi="Calibri" w:cs="Calibri"/>
                <w:sz w:val="22"/>
                <w:szCs w:val="22"/>
                <w:lang w:eastAsia="en-US"/>
              </w:rPr>
              <w:t>The application of FRAX® to determine intervention thresholds in osteoporosis treatment in Poland. Pol Arch Med Wewn</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121(5):148-55.</w:t>
            </w:r>
          </w:p>
        </w:tc>
      </w:tr>
      <w:tr w:rsidR="0072567D" w:rsidRPr="00D55AA5" w14:paraId="65714DF6" w14:textId="77777777" w:rsidTr="0072567D">
        <w:tc>
          <w:tcPr>
            <w:tcW w:w="567" w:type="dxa"/>
          </w:tcPr>
          <w:p w14:paraId="26D84404" w14:textId="2AD364D8"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31.</w:t>
            </w:r>
          </w:p>
        </w:tc>
        <w:tc>
          <w:tcPr>
            <w:tcW w:w="7938" w:type="dxa"/>
          </w:tcPr>
          <w:p w14:paraId="34D18893"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McCloskey E, Kanis JA, Johansson H, Harvey N, Odén A, Cooper A, Cooper C, Francis R, Reid D, Selby P, Davies C, Bowring C, Compston J (2015) FRAX-based assessment and intervention thresholds–an exploration of thresholds in women aged 50 years and older in the UK. Osteoporos Int 26:2091–2099</w:t>
            </w:r>
          </w:p>
        </w:tc>
      </w:tr>
      <w:tr w:rsidR="0072567D" w:rsidRPr="00D55AA5" w14:paraId="687DD695" w14:textId="77777777" w:rsidTr="0072567D">
        <w:tc>
          <w:tcPr>
            <w:tcW w:w="567" w:type="dxa"/>
          </w:tcPr>
          <w:p w14:paraId="643DDCB5" w14:textId="1285CC01"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32.</w:t>
            </w:r>
          </w:p>
        </w:tc>
        <w:tc>
          <w:tcPr>
            <w:tcW w:w="7938" w:type="dxa"/>
          </w:tcPr>
          <w:p w14:paraId="1D6FE3AB" w14:textId="77777777" w:rsidR="0072567D" w:rsidRPr="00D55AA5" w:rsidRDefault="0072567D" w:rsidP="00D55AA5">
            <w:pPr>
              <w:spacing w:after="240"/>
              <w:rPr>
                <w:rFonts w:ascii="Calibri" w:eastAsia="Calibri" w:hAnsi="Calibri" w:cs="Calibri"/>
                <w:sz w:val="22"/>
                <w:szCs w:val="22"/>
                <w:lang w:val="fr-FR" w:eastAsia="en-US"/>
              </w:rPr>
            </w:pPr>
            <w:r w:rsidRPr="00D55AA5">
              <w:rPr>
                <w:rFonts w:ascii="Calibri" w:eastAsia="Calibri" w:hAnsi="Calibri" w:cs="Calibri"/>
                <w:kern w:val="2"/>
                <w:sz w:val="22"/>
                <w:szCs w:val="22"/>
                <w:lang w:eastAsia="en-US"/>
                <w14:ligatures w14:val="standardContextual"/>
              </w:rPr>
              <w:t xml:space="preserve">Lopez Gavilanez E, Johansson H, Harvey NC, Lorentzon M, McCloskey EV, Jara JV, Kanis JA (2021) The application of FRAX in Ecuador. </w:t>
            </w:r>
            <w:r w:rsidRPr="00D55AA5">
              <w:rPr>
                <w:rFonts w:ascii="Calibri" w:eastAsia="Calibri" w:hAnsi="Calibri" w:cs="Calibri"/>
                <w:kern w:val="2"/>
                <w:sz w:val="22"/>
                <w:szCs w:val="22"/>
                <w:lang w:val="fr-FR" w:eastAsia="en-US"/>
                <w14:ligatures w14:val="standardContextual"/>
              </w:rPr>
              <w:t>La aplicación del modelo FRAX en Ecuador Revista Colombiana de Reumatología, Feb 2021 doi 10.1016/j.rcreu.2021.07.004.</w:t>
            </w:r>
          </w:p>
        </w:tc>
      </w:tr>
      <w:tr w:rsidR="0072567D" w:rsidRPr="00D55AA5" w14:paraId="5EB6D908" w14:textId="77777777" w:rsidTr="0072567D">
        <w:tc>
          <w:tcPr>
            <w:tcW w:w="567" w:type="dxa"/>
          </w:tcPr>
          <w:p w14:paraId="5249DC6C" w14:textId="0EAF660E"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33.</w:t>
            </w:r>
          </w:p>
        </w:tc>
        <w:tc>
          <w:tcPr>
            <w:tcW w:w="7938" w:type="dxa"/>
          </w:tcPr>
          <w:p w14:paraId="5054C282"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Johansson H, Kanis JA, Oden A, Compston J, McCloskey E</w:t>
            </w:r>
            <w:r w:rsidRPr="00D55AA5">
              <w:rPr>
                <w:rFonts w:ascii="Calibri" w:eastAsia="Calibri" w:hAnsi="Calibri" w:cs="Calibri"/>
                <w:kern w:val="2"/>
                <w:sz w:val="22"/>
                <w:szCs w:val="22"/>
                <w:lang w:eastAsia="en-US"/>
                <w14:ligatures w14:val="standardContextual"/>
              </w:rPr>
              <w:t xml:space="preserve"> (2012) </w:t>
            </w:r>
            <w:r w:rsidRPr="00D55AA5">
              <w:rPr>
                <w:rFonts w:ascii="Calibri" w:eastAsia="Calibri" w:hAnsi="Calibri" w:cs="Calibri"/>
                <w:sz w:val="22"/>
                <w:szCs w:val="22"/>
                <w:lang w:eastAsia="en-US"/>
              </w:rPr>
              <w:t>A comparison of case-finding strategies in the UK for the management of hip fractures.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23(3):907-15.</w:t>
            </w:r>
          </w:p>
        </w:tc>
      </w:tr>
      <w:tr w:rsidR="0072567D" w:rsidRPr="00D55AA5" w14:paraId="2F2D39E7" w14:textId="77777777" w:rsidTr="0072567D">
        <w:tc>
          <w:tcPr>
            <w:tcW w:w="567" w:type="dxa"/>
          </w:tcPr>
          <w:p w14:paraId="42073189" w14:textId="246F44D8"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34.</w:t>
            </w:r>
          </w:p>
        </w:tc>
        <w:tc>
          <w:tcPr>
            <w:tcW w:w="7938" w:type="dxa"/>
          </w:tcPr>
          <w:p w14:paraId="4780B1AE" w14:textId="703D3A53" w:rsidR="0072567D" w:rsidRPr="00D55AA5" w:rsidRDefault="0072567D" w:rsidP="00D55AA5">
            <w:pPr>
              <w:spacing w:after="240"/>
              <w:rPr>
                <w:rFonts w:ascii="Calibri" w:eastAsia="Aptos" w:hAnsi="Calibri" w:cs="Calibri"/>
                <w:kern w:val="2"/>
                <w:sz w:val="22"/>
                <w:szCs w:val="22"/>
                <w:lang w:eastAsia="en-US"/>
                <w14:ligatures w14:val="standardContextual"/>
              </w:rPr>
            </w:pPr>
            <w:r w:rsidRPr="00D55AA5">
              <w:rPr>
                <w:rFonts w:ascii="Calibri" w:eastAsia="Calibri" w:hAnsi="Calibri" w:cs="Calibri"/>
                <w:sz w:val="22"/>
                <w:szCs w:val="22"/>
                <w:lang w:eastAsia="en-US"/>
              </w:rPr>
              <w:t>Kanis JA, Johansson H, Odén A, McCloskey EV</w:t>
            </w:r>
            <w:r w:rsidRPr="00D55AA5">
              <w:rPr>
                <w:rFonts w:ascii="Calibri" w:eastAsia="Calibri" w:hAnsi="Calibri" w:cs="Calibri"/>
                <w:kern w:val="2"/>
                <w:sz w:val="22"/>
                <w:szCs w:val="22"/>
                <w:lang w:eastAsia="en-US"/>
                <w14:ligatures w14:val="standardContextual"/>
              </w:rPr>
              <w:t xml:space="preserve"> (2012) </w:t>
            </w:r>
            <w:r w:rsidRPr="00D55AA5">
              <w:rPr>
                <w:rFonts w:ascii="Calibri" w:eastAsia="Calibri" w:hAnsi="Calibri" w:cs="Calibri"/>
                <w:sz w:val="22"/>
                <w:szCs w:val="22"/>
                <w:lang w:eastAsia="en-US"/>
              </w:rPr>
              <w:t>The distribution of FRAX(®)-based probabilities in women from Japan. J Bone Miner Metab</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30(6):700-5.</w:t>
            </w:r>
          </w:p>
        </w:tc>
      </w:tr>
      <w:tr w:rsidR="0072567D" w:rsidRPr="00D55AA5" w14:paraId="0587E587" w14:textId="77777777" w:rsidTr="0072567D">
        <w:tc>
          <w:tcPr>
            <w:tcW w:w="567" w:type="dxa"/>
          </w:tcPr>
          <w:p w14:paraId="78ABCE8C" w14:textId="1F10AC42"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35.</w:t>
            </w:r>
          </w:p>
        </w:tc>
        <w:tc>
          <w:tcPr>
            <w:tcW w:w="7938" w:type="dxa"/>
          </w:tcPr>
          <w:p w14:paraId="7858E64C" w14:textId="77F3661B"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Harvey NC, McCloskey E, Bruyère O, Veronese N, Lorentzon M, Cooper C, Rizzoli R, Adib G, Al-Daghri N, Campusano C, Chandran M, Dawson-Hughes B, Javaid K, Jiwa F, Johansson H, Lee JK, Liu E, Messina D, Mkinsi O, Pinto D, Prieto-Alhambra D, Saag K, Xia W, Zakraoui L, Reginster J-</w:t>
            </w:r>
            <w:r w:rsidRPr="00D55AA5">
              <w:rPr>
                <w:rFonts w:ascii="Calibri" w:eastAsia="Calibri" w:hAnsi="Calibri" w:cs="Calibri"/>
                <w:kern w:val="2"/>
                <w:sz w:val="22"/>
                <w:szCs w:val="22"/>
                <w:lang w:eastAsia="en-US"/>
                <w14:ligatures w14:val="standardContextual"/>
              </w:rPr>
              <w:t xml:space="preserve">Y (2020) </w:t>
            </w:r>
            <w:r w:rsidRPr="00D55AA5">
              <w:rPr>
                <w:rFonts w:ascii="Calibri" w:eastAsia="Calibri" w:hAnsi="Calibri" w:cs="Calibri"/>
                <w:sz w:val="22"/>
                <w:szCs w:val="22"/>
                <w:lang w:eastAsia="en-US"/>
              </w:rPr>
              <w:t>Algorithm for the management of patients at low, high and very high risk of osteoporotic fractures.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31(1):1-12.</w:t>
            </w:r>
          </w:p>
        </w:tc>
      </w:tr>
      <w:tr w:rsidR="0072567D" w:rsidRPr="00D55AA5" w14:paraId="06927D4E" w14:textId="77777777" w:rsidTr="0072567D">
        <w:tc>
          <w:tcPr>
            <w:tcW w:w="567" w:type="dxa"/>
          </w:tcPr>
          <w:p w14:paraId="48BCB7F1" w14:textId="32FFD13A"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36.</w:t>
            </w:r>
          </w:p>
        </w:tc>
        <w:tc>
          <w:tcPr>
            <w:tcW w:w="7938" w:type="dxa"/>
          </w:tcPr>
          <w:p w14:paraId="602F02FD" w14:textId="4FA0FFA3"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Chandran M, Chionh SB, Ganeson G, Harvey NC, Koh WP, Kwok T, Lau TC, Liu E, Lorentzon M, McCloskey EV, Tan KB, Vandenput L, Johansson H</w:t>
            </w:r>
            <w:r w:rsidRPr="00D55AA5">
              <w:rPr>
                <w:rFonts w:ascii="Calibri" w:eastAsia="Calibri" w:hAnsi="Calibri" w:cs="Calibri"/>
                <w:kern w:val="2"/>
                <w:sz w:val="22"/>
                <w:szCs w:val="22"/>
                <w:lang w:eastAsia="en-US"/>
                <w14:ligatures w14:val="standardContextual"/>
              </w:rPr>
              <w:t xml:space="preserve"> (2020) </w:t>
            </w:r>
            <w:r w:rsidRPr="00D55AA5">
              <w:rPr>
                <w:rFonts w:ascii="Calibri" w:eastAsia="Calibri" w:hAnsi="Calibri" w:cs="Calibri"/>
                <w:sz w:val="22"/>
                <w:szCs w:val="22"/>
                <w:lang w:eastAsia="en-US"/>
              </w:rPr>
              <w:t>Use of age-dependent FRAX-based intervention thresholds for Singapore.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15(1):104. doi: 10.1007/s11657-020-00782-9.</w:t>
            </w:r>
          </w:p>
        </w:tc>
      </w:tr>
      <w:tr w:rsidR="0072567D" w:rsidRPr="00D55AA5" w14:paraId="7ABDCF21" w14:textId="77777777" w:rsidTr="0072567D">
        <w:tc>
          <w:tcPr>
            <w:tcW w:w="567" w:type="dxa"/>
          </w:tcPr>
          <w:p w14:paraId="30CBEA1B" w14:textId="2867FDA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37.</w:t>
            </w:r>
          </w:p>
        </w:tc>
        <w:tc>
          <w:tcPr>
            <w:tcW w:w="7938" w:type="dxa"/>
          </w:tcPr>
          <w:p w14:paraId="22498D48"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Johansson H, Harvey NC, Lorentzon M, Liu E, Vandenput L, McCloskey EV</w:t>
            </w:r>
            <w:r w:rsidRPr="00D55AA5">
              <w:rPr>
                <w:rFonts w:ascii="Calibri" w:eastAsia="Calibri" w:hAnsi="Calibri" w:cs="Calibri"/>
                <w:kern w:val="2"/>
                <w:sz w:val="22"/>
                <w:szCs w:val="22"/>
                <w:lang w:eastAsia="en-US"/>
                <w14:ligatures w14:val="standardContextual"/>
              </w:rPr>
              <w:t xml:space="preserve"> (2021) </w:t>
            </w:r>
            <w:r w:rsidRPr="00D55AA5">
              <w:rPr>
                <w:rFonts w:ascii="Calibri" w:eastAsia="Calibri" w:hAnsi="Calibri" w:cs="Calibri"/>
                <w:sz w:val="22"/>
                <w:szCs w:val="22"/>
                <w:lang w:eastAsia="en-US"/>
              </w:rPr>
              <w:t xml:space="preserve">An assessment of intervention thresholds for very high fracture risk applied to the NOGG </w:t>
            </w:r>
            <w:r w:rsidRPr="00D55AA5">
              <w:rPr>
                <w:rFonts w:ascii="Calibri" w:eastAsia="Calibri" w:hAnsi="Calibri" w:cs="Calibri"/>
                <w:kern w:val="2"/>
                <w:sz w:val="22"/>
                <w:szCs w:val="22"/>
                <w:lang w:eastAsia="en-US"/>
                <w14:ligatures w14:val="standardContextual"/>
              </w:rPr>
              <w:t>guidelines:</w:t>
            </w:r>
            <w:r w:rsidRPr="00D55AA5">
              <w:rPr>
                <w:rFonts w:ascii="Calibri" w:eastAsia="Calibri" w:hAnsi="Calibri" w:cs="Calibri"/>
                <w:sz w:val="22"/>
                <w:szCs w:val="22"/>
                <w:lang w:eastAsia="en-US"/>
              </w:rPr>
              <w:t xml:space="preserve"> A report for the National Osteoporosis Guideline Group (NOGG).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32(10):1951-1960.</w:t>
            </w:r>
          </w:p>
        </w:tc>
      </w:tr>
      <w:tr w:rsidR="0072567D" w:rsidRPr="00D55AA5" w14:paraId="4893AEF0" w14:textId="77777777" w:rsidTr="0072567D">
        <w:tc>
          <w:tcPr>
            <w:tcW w:w="567" w:type="dxa"/>
          </w:tcPr>
          <w:p w14:paraId="6D8B6A95" w14:textId="257D515E"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38.</w:t>
            </w:r>
          </w:p>
        </w:tc>
        <w:tc>
          <w:tcPr>
            <w:tcW w:w="7938" w:type="dxa"/>
          </w:tcPr>
          <w:p w14:paraId="0D6DCE65" w14:textId="77777777" w:rsidR="0072567D" w:rsidRPr="00D55AA5" w:rsidRDefault="0072567D" w:rsidP="00D55AA5">
            <w:pPr>
              <w:spacing w:after="240" w:line="259" w:lineRule="auto"/>
              <w:rPr>
                <w:rFonts w:ascii="Calibri" w:eastAsia="Calibri" w:hAnsi="Calibri" w:cs="Calibri"/>
                <w:sz w:val="22"/>
                <w:szCs w:val="22"/>
                <w:lang w:eastAsia="en-US"/>
              </w:rPr>
            </w:pPr>
            <w:r w:rsidRPr="00D55AA5">
              <w:rPr>
                <w:rFonts w:ascii="Calibri" w:eastAsia="Calibri" w:hAnsi="Calibri" w:cs="Calibri"/>
                <w:sz w:val="22"/>
                <w:szCs w:val="22"/>
                <w:lang w:eastAsia="en-US"/>
              </w:rPr>
              <w:t>Sund R, Honkanen R, Johansson H, Odén A, McCloskey E, Kanis J, Kröger H</w:t>
            </w:r>
            <w:r w:rsidRPr="00D55AA5">
              <w:rPr>
                <w:rFonts w:ascii="Calibri" w:eastAsia="Calibri" w:hAnsi="Calibri" w:cs="Calibri"/>
                <w:kern w:val="2"/>
                <w:sz w:val="22"/>
                <w:szCs w:val="22"/>
                <w:lang w:eastAsia="en-US"/>
                <w14:ligatures w14:val="standardContextual"/>
              </w:rPr>
              <w:t xml:space="preserve"> (2014) </w:t>
            </w:r>
            <w:r w:rsidRPr="00D55AA5">
              <w:rPr>
                <w:rFonts w:ascii="Calibri" w:eastAsia="Calibri" w:hAnsi="Calibri" w:cs="Calibri"/>
                <w:sz w:val="22"/>
                <w:szCs w:val="22"/>
                <w:lang w:eastAsia="en-US"/>
              </w:rPr>
              <w:t>Evaluation of the FRAX model for hip fracture predictions in the population-based Kuopio Osteoporosis Risk Factor and Prevention Study (OSTPRE). Calcif Tissue Int. 95(1):39-45.</w:t>
            </w:r>
          </w:p>
        </w:tc>
      </w:tr>
      <w:tr w:rsidR="0072567D" w:rsidRPr="00D55AA5" w14:paraId="0509C7F2" w14:textId="77777777" w:rsidTr="0072567D">
        <w:tc>
          <w:tcPr>
            <w:tcW w:w="567" w:type="dxa"/>
          </w:tcPr>
          <w:p w14:paraId="52691258" w14:textId="0B5DC020"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39.</w:t>
            </w:r>
          </w:p>
        </w:tc>
        <w:tc>
          <w:tcPr>
            <w:tcW w:w="7938" w:type="dxa"/>
          </w:tcPr>
          <w:p w14:paraId="1324C798"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Tuzun S, Eskiyurt N, Akarirmak U, Saridogan M, Johansson H, McCloskey E, Kanis JA; Turkish Osteoporosis Society</w:t>
            </w:r>
            <w:r w:rsidRPr="00D55AA5">
              <w:rPr>
                <w:rFonts w:ascii="Calibri" w:eastAsia="Calibri" w:hAnsi="Calibri" w:cs="Calibri"/>
                <w:kern w:val="2"/>
                <w:sz w:val="22"/>
                <w:szCs w:val="22"/>
                <w:lang w:eastAsia="en-US"/>
                <w14:ligatures w14:val="standardContextual"/>
              </w:rPr>
              <w:t xml:space="preserve"> (2012) </w:t>
            </w:r>
            <w:r w:rsidRPr="00D55AA5">
              <w:rPr>
                <w:rFonts w:ascii="Calibri" w:eastAsia="Calibri" w:hAnsi="Calibri" w:cs="Calibri"/>
                <w:sz w:val="22"/>
                <w:szCs w:val="22"/>
                <w:lang w:eastAsia="en-US"/>
              </w:rPr>
              <w:t>The impact of a FRAX-based intervention threshold in Turkey: the FRAX-TURK study.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7:229-35. doi: 10.1007/s11657-012-0101-4.</w:t>
            </w:r>
          </w:p>
        </w:tc>
      </w:tr>
      <w:tr w:rsidR="0072567D" w:rsidRPr="00D55AA5" w14:paraId="3E788E29" w14:textId="77777777" w:rsidTr="0072567D">
        <w:tc>
          <w:tcPr>
            <w:tcW w:w="567" w:type="dxa"/>
          </w:tcPr>
          <w:p w14:paraId="6222F62C" w14:textId="0F76973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40.</w:t>
            </w:r>
          </w:p>
        </w:tc>
        <w:tc>
          <w:tcPr>
            <w:tcW w:w="7938" w:type="dxa"/>
          </w:tcPr>
          <w:p w14:paraId="67839859"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Leslie WD, Lix LM, Johansson H, Oden A, McCloskey E, Kanis JA; Manitoba Bone Density Program</w:t>
            </w:r>
            <w:r w:rsidRPr="00D55AA5">
              <w:rPr>
                <w:rFonts w:ascii="Calibri" w:eastAsia="Calibri" w:hAnsi="Calibri" w:cs="Calibri"/>
                <w:kern w:val="2"/>
                <w:sz w:val="22"/>
                <w:szCs w:val="22"/>
                <w:lang w:eastAsia="en-US"/>
                <w14:ligatures w14:val="standardContextual"/>
              </w:rPr>
              <w:t xml:space="preserve"> (2010) </w:t>
            </w:r>
            <w:r w:rsidRPr="00D55AA5">
              <w:rPr>
                <w:rFonts w:ascii="Calibri" w:eastAsia="Calibri" w:hAnsi="Calibri" w:cs="Calibri"/>
                <w:sz w:val="22"/>
                <w:szCs w:val="22"/>
                <w:lang w:eastAsia="en-US"/>
              </w:rPr>
              <w:t>Independent clinical validation of a Canadian FRAX tool: fracture prediction and model calibration. J Bone Miner Res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25(11):2350-8.</w:t>
            </w:r>
          </w:p>
        </w:tc>
      </w:tr>
      <w:tr w:rsidR="0072567D" w:rsidRPr="00D55AA5" w14:paraId="14507B44" w14:textId="77777777" w:rsidTr="0072567D">
        <w:tc>
          <w:tcPr>
            <w:tcW w:w="567" w:type="dxa"/>
          </w:tcPr>
          <w:p w14:paraId="3091EC9C" w14:textId="2BF13387"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41.</w:t>
            </w:r>
          </w:p>
        </w:tc>
        <w:tc>
          <w:tcPr>
            <w:tcW w:w="7938" w:type="dxa"/>
          </w:tcPr>
          <w:p w14:paraId="418E89FD"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Czerwinski E, Kanis JA, Osieleniec J, Kumorek A, Milert A, Johansson H, McCloskey EV, Gorkiewicz M</w:t>
            </w:r>
            <w:r w:rsidRPr="00D55AA5">
              <w:rPr>
                <w:rFonts w:ascii="Calibri" w:eastAsia="Calibri" w:hAnsi="Calibri" w:cs="Calibri"/>
                <w:kern w:val="2"/>
                <w:sz w:val="22"/>
                <w:szCs w:val="22"/>
                <w:lang w:eastAsia="en-US"/>
                <w14:ligatures w14:val="standardContextual"/>
              </w:rPr>
              <w:t xml:space="preserve"> (2011) </w:t>
            </w:r>
            <w:r w:rsidRPr="00D55AA5">
              <w:rPr>
                <w:rFonts w:ascii="Calibri" w:eastAsia="Calibri" w:hAnsi="Calibri" w:cs="Calibri"/>
                <w:sz w:val="22"/>
                <w:szCs w:val="22"/>
                <w:lang w:eastAsia="en-US"/>
              </w:rPr>
              <w:t>Evaluation of FRAX to characterise fracture risk in Poland.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22(9):2507-12. doi: 10.1007/s00198-010-1502-0.</w:t>
            </w:r>
          </w:p>
        </w:tc>
      </w:tr>
      <w:tr w:rsidR="0072567D" w:rsidRPr="00D55AA5" w14:paraId="0B2D82EE" w14:textId="77777777" w:rsidTr="0072567D">
        <w:tc>
          <w:tcPr>
            <w:tcW w:w="567" w:type="dxa"/>
          </w:tcPr>
          <w:p w14:paraId="0A712B8F" w14:textId="5B269262"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42.</w:t>
            </w:r>
          </w:p>
        </w:tc>
        <w:tc>
          <w:tcPr>
            <w:tcW w:w="7938" w:type="dxa"/>
          </w:tcPr>
          <w:p w14:paraId="7BC3374D"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Al-Daghri NM, Sabico S, Al-Saleh Y, Sulimani R, Aljohani NJ, Sheshah E, Alodhayani A, Harvey NC, Liu E, Lorentzon M, McCloskey EV, Vandenput L, Johansson H, Kanis JA</w:t>
            </w:r>
            <w:r w:rsidRPr="00D55AA5">
              <w:rPr>
                <w:rFonts w:ascii="Calibri" w:eastAsia="Calibri" w:hAnsi="Calibri" w:cs="Calibri"/>
                <w:kern w:val="2"/>
                <w:sz w:val="22"/>
                <w:szCs w:val="22"/>
                <w:lang w:eastAsia="en-US"/>
                <w14:ligatures w14:val="standardContextual"/>
              </w:rPr>
              <w:t xml:space="preserve"> (2021) </w:t>
            </w:r>
            <w:r w:rsidRPr="00D55AA5">
              <w:rPr>
                <w:rFonts w:ascii="Calibri" w:eastAsia="Calibri" w:hAnsi="Calibri" w:cs="Calibri"/>
                <w:sz w:val="22"/>
                <w:szCs w:val="22"/>
                <w:lang w:eastAsia="en-US"/>
              </w:rPr>
              <w:t>The application of FRAX in Saudi Arabia.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16(1):166. doi: 10.1007/s11657-021-01024-2.</w:t>
            </w:r>
          </w:p>
        </w:tc>
      </w:tr>
      <w:tr w:rsidR="0072567D" w:rsidRPr="00D55AA5" w14:paraId="0988014A" w14:textId="77777777" w:rsidTr="0072567D">
        <w:tc>
          <w:tcPr>
            <w:tcW w:w="567" w:type="dxa"/>
          </w:tcPr>
          <w:p w14:paraId="321E31FE" w14:textId="021CE37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43.</w:t>
            </w:r>
          </w:p>
        </w:tc>
        <w:tc>
          <w:tcPr>
            <w:tcW w:w="7938" w:type="dxa"/>
          </w:tcPr>
          <w:p w14:paraId="0939CD5C"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Dimai HP, Johansson H, Harvey NC, Lorentzon M, Liu E, Vandenput L, Fahrleitner-Pammer A, Pietschmann P, Muschitz C, McCloskey EV, Kanis JA</w:t>
            </w:r>
            <w:r w:rsidRPr="00D55AA5">
              <w:rPr>
                <w:rFonts w:ascii="Calibri" w:eastAsia="Calibri" w:hAnsi="Calibri" w:cs="Calibri"/>
                <w:kern w:val="2"/>
                <w:sz w:val="22"/>
                <w:szCs w:val="22"/>
                <w:lang w:eastAsia="en-US"/>
                <w14:ligatures w14:val="standardContextual"/>
              </w:rPr>
              <w:t xml:space="preserve"> (2022) </w:t>
            </w:r>
            <w:r w:rsidRPr="00D55AA5">
              <w:rPr>
                <w:rFonts w:ascii="Calibri" w:eastAsia="Calibri" w:hAnsi="Calibri" w:cs="Calibri"/>
                <w:sz w:val="22"/>
                <w:szCs w:val="22"/>
                <w:lang w:eastAsia="en-US"/>
              </w:rPr>
              <w:t>Osteoporosis treatment in Austria-assessment of FRAX-based intervention thresholds for high and very high fracture risk.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17(1):141. doi: 10.1007/s11657-022-01175-w.</w:t>
            </w:r>
          </w:p>
        </w:tc>
      </w:tr>
      <w:tr w:rsidR="0072567D" w:rsidRPr="00D55AA5" w14:paraId="27D257EA" w14:textId="77777777" w:rsidTr="0072567D">
        <w:tc>
          <w:tcPr>
            <w:tcW w:w="567" w:type="dxa"/>
          </w:tcPr>
          <w:p w14:paraId="6046C02D" w14:textId="043BD244"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44.</w:t>
            </w:r>
          </w:p>
        </w:tc>
        <w:tc>
          <w:tcPr>
            <w:tcW w:w="7938" w:type="dxa"/>
          </w:tcPr>
          <w:p w14:paraId="20884BD8"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Gavilanez EL, Luis IN, Mario NG, Johansson H, Harvey NC, Lorentzon M, Liu E, Vandenput L, McCloskey EV, Kanis JA</w:t>
            </w:r>
            <w:r w:rsidRPr="00D55AA5">
              <w:rPr>
                <w:rFonts w:ascii="Calibri" w:eastAsia="Calibri" w:hAnsi="Calibri" w:cs="Calibri"/>
                <w:kern w:val="2"/>
                <w:sz w:val="22"/>
                <w:szCs w:val="22"/>
                <w:lang w:eastAsia="en-US"/>
                <w14:ligatures w14:val="standardContextual"/>
              </w:rPr>
              <w:t xml:space="preserve"> (2022) </w:t>
            </w:r>
            <w:r w:rsidRPr="00D55AA5">
              <w:rPr>
                <w:rFonts w:ascii="Calibri" w:eastAsia="Calibri" w:hAnsi="Calibri" w:cs="Calibri"/>
                <w:sz w:val="22"/>
                <w:szCs w:val="22"/>
                <w:lang w:eastAsia="en-US"/>
              </w:rPr>
              <w:t>An assessment of intervention thresholds for high fracture risk in Chile. Arch Osteoporos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18(1):11. doi: 10.1007/s11657-022-01198-3.</w:t>
            </w:r>
          </w:p>
        </w:tc>
      </w:tr>
      <w:tr w:rsidR="0072567D" w:rsidRPr="00D55AA5" w14:paraId="2EB5032F" w14:textId="77777777" w:rsidTr="0072567D">
        <w:tc>
          <w:tcPr>
            <w:tcW w:w="567" w:type="dxa"/>
          </w:tcPr>
          <w:p w14:paraId="32428AFD" w14:textId="77298A4B"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45.</w:t>
            </w:r>
          </w:p>
        </w:tc>
        <w:tc>
          <w:tcPr>
            <w:tcW w:w="7938" w:type="dxa"/>
          </w:tcPr>
          <w:p w14:paraId="0DDB3CB7" w14:textId="37F34894"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Kanis JA, Oden A, Johnell O, Johansson H, De Laet C, Brown J, Burckhardt P, Cooper C, Christiansen C, Cummings S, Eisman JA, Fujiwara S, Glüer C, Goltzman D, Hans D, Krieg MA, La Croix A, McCloskey E, Mellstrom D, Melton LJ 3rd, Pols H, Reeve J, Sanders K, Schott AM, Silman A, Torgerson D, van Staa T, Watts NB, Yoshimura N</w:t>
            </w:r>
            <w:r w:rsidRPr="00D55AA5">
              <w:rPr>
                <w:rFonts w:ascii="Calibri" w:eastAsia="Calibri" w:hAnsi="Calibri" w:cs="Calibri"/>
                <w:kern w:val="2"/>
                <w:sz w:val="22"/>
                <w:szCs w:val="22"/>
                <w:lang w:eastAsia="en-US"/>
                <w14:ligatures w14:val="standardContextual"/>
              </w:rPr>
              <w:t xml:space="preserve"> (2007) </w:t>
            </w:r>
            <w:r w:rsidRPr="00D55AA5">
              <w:rPr>
                <w:rFonts w:ascii="Calibri" w:eastAsia="Calibri" w:hAnsi="Calibri" w:cs="Calibri"/>
                <w:sz w:val="22"/>
                <w:szCs w:val="22"/>
                <w:lang w:eastAsia="en-US"/>
              </w:rPr>
              <w:t>The use of clinical risk factors enhances the performance of BMD in the prediction of hip and osteoporotic fractures in men and women. Osteoporos Int. 18(8):1033-46.</w:t>
            </w:r>
          </w:p>
        </w:tc>
      </w:tr>
      <w:tr w:rsidR="0072567D" w:rsidRPr="00D55AA5" w14:paraId="0D655E52" w14:textId="77777777" w:rsidTr="0072567D">
        <w:tc>
          <w:tcPr>
            <w:tcW w:w="567" w:type="dxa"/>
          </w:tcPr>
          <w:p w14:paraId="2EA460EB" w14:textId="1A51DBF5"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46.</w:t>
            </w:r>
          </w:p>
        </w:tc>
        <w:tc>
          <w:tcPr>
            <w:tcW w:w="7938" w:type="dxa"/>
          </w:tcPr>
          <w:p w14:paraId="7224EB57"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McCloskey E, Johansson H, Harvey NC, Shepstone L, Lenaghan E, Fordham R, Harvey I, Howe A, Cooper C, Clarke S, Gittoes N, Heawood A, Holland R, Marshall T, O'Neill TW, Peters TJ, Redmond N, Torgerson D, Kanis JA; SCOOP Study Team</w:t>
            </w:r>
            <w:r w:rsidRPr="00D55AA5">
              <w:rPr>
                <w:rFonts w:ascii="Calibri" w:eastAsia="Calibri" w:hAnsi="Calibri" w:cs="Calibri"/>
                <w:kern w:val="2"/>
                <w:sz w:val="22"/>
                <w:szCs w:val="22"/>
                <w:lang w:eastAsia="en-US"/>
                <w14:ligatures w14:val="standardContextual"/>
              </w:rPr>
              <w:t xml:space="preserve"> (2018) </w:t>
            </w:r>
            <w:r w:rsidRPr="00D55AA5">
              <w:rPr>
                <w:rFonts w:ascii="Calibri" w:eastAsia="Calibri" w:hAnsi="Calibri" w:cs="Calibri"/>
                <w:sz w:val="22"/>
                <w:szCs w:val="22"/>
                <w:lang w:eastAsia="en-US"/>
              </w:rPr>
              <w:t>Management of Patients With High Baseline Hip Fracture Risk by FRAX Reduces Hip Fractures-A Post Hoc Analysis of the SCOOP Study. J Bone Miner Res</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33(6):1020-1026.</w:t>
            </w:r>
          </w:p>
        </w:tc>
      </w:tr>
      <w:tr w:rsidR="0072567D" w:rsidRPr="00D55AA5" w14:paraId="0A318D26" w14:textId="77777777" w:rsidTr="0072567D">
        <w:tc>
          <w:tcPr>
            <w:tcW w:w="567" w:type="dxa"/>
          </w:tcPr>
          <w:p w14:paraId="59E94681" w14:textId="4E758582"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47.</w:t>
            </w:r>
          </w:p>
        </w:tc>
        <w:tc>
          <w:tcPr>
            <w:tcW w:w="7938" w:type="dxa"/>
          </w:tcPr>
          <w:p w14:paraId="27C6A195"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Shepstone L, Lenaghan E, Cooper C, Clarke S, Fong-Soe-Khioe R, Fordham R, Gittoes N, Harvey I, Harvey N, Heawood A, Holland R, Howe A, Kanis J, Marshall T, O'Neill T, Peters T, Redmond N, Torgerson D, Turner D, McCloskey E; SCOOP Study Team</w:t>
            </w:r>
            <w:r w:rsidRPr="00D55AA5">
              <w:rPr>
                <w:rFonts w:ascii="Calibri" w:eastAsia="Calibri" w:hAnsi="Calibri" w:cs="Calibri"/>
                <w:kern w:val="2"/>
                <w:sz w:val="22"/>
                <w:szCs w:val="22"/>
                <w:lang w:eastAsia="en-US"/>
                <w14:ligatures w14:val="standardContextual"/>
              </w:rPr>
              <w:t xml:space="preserve"> (2018) </w:t>
            </w:r>
            <w:r w:rsidRPr="00D55AA5">
              <w:rPr>
                <w:rFonts w:ascii="Calibri" w:eastAsia="Calibri" w:hAnsi="Calibri" w:cs="Calibri"/>
                <w:sz w:val="22"/>
                <w:szCs w:val="22"/>
                <w:lang w:eastAsia="en-US"/>
              </w:rPr>
              <w:t>Screening in the community to reduce fractures in older women (SCOOP): a randomised controlled trial. Lancet.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391(10122):741-747.</w:t>
            </w:r>
          </w:p>
        </w:tc>
      </w:tr>
      <w:tr w:rsidR="0072567D" w:rsidRPr="00D55AA5" w14:paraId="407AA1BE" w14:textId="77777777" w:rsidTr="0072567D">
        <w:tc>
          <w:tcPr>
            <w:tcW w:w="567" w:type="dxa"/>
          </w:tcPr>
          <w:p w14:paraId="76A84D68" w14:textId="01AFCFCF" w:rsidR="0072567D" w:rsidRPr="00D55AA5"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48.</w:t>
            </w:r>
          </w:p>
        </w:tc>
        <w:tc>
          <w:tcPr>
            <w:tcW w:w="7938" w:type="dxa"/>
          </w:tcPr>
          <w:p w14:paraId="779C411B" w14:textId="77777777" w:rsidR="0072567D" w:rsidRPr="00D55AA5" w:rsidRDefault="0072567D" w:rsidP="00D55AA5">
            <w:pPr>
              <w:spacing w:after="240"/>
              <w:rPr>
                <w:rFonts w:ascii="Calibri" w:eastAsia="Calibri" w:hAnsi="Calibri" w:cs="Calibri"/>
                <w:sz w:val="22"/>
                <w:szCs w:val="22"/>
                <w:lang w:eastAsia="en-US"/>
              </w:rPr>
            </w:pPr>
            <w:r w:rsidRPr="00D55AA5">
              <w:rPr>
                <w:rFonts w:ascii="Calibri" w:eastAsia="Calibri" w:hAnsi="Calibri" w:cs="Calibri"/>
                <w:sz w:val="22"/>
                <w:szCs w:val="22"/>
                <w:lang w:eastAsia="en-US"/>
              </w:rPr>
              <w:t>Leslie WD, Morin S, Lix LM, Johansson H, Oden A, McCloskey E, Kanis JA; Manitoba Bone Density Program</w:t>
            </w:r>
            <w:r w:rsidRPr="00D55AA5">
              <w:rPr>
                <w:rFonts w:ascii="Calibri" w:eastAsia="Calibri" w:hAnsi="Calibri" w:cs="Calibri"/>
                <w:kern w:val="2"/>
                <w:sz w:val="22"/>
                <w:szCs w:val="22"/>
                <w:lang w:eastAsia="en-US"/>
                <w14:ligatures w14:val="standardContextual"/>
              </w:rPr>
              <w:t xml:space="preserve"> (2012) </w:t>
            </w:r>
            <w:r w:rsidRPr="00D55AA5">
              <w:rPr>
                <w:rFonts w:ascii="Calibri" w:eastAsia="Calibri" w:hAnsi="Calibri" w:cs="Calibri"/>
                <w:sz w:val="22"/>
                <w:szCs w:val="22"/>
                <w:lang w:eastAsia="en-US"/>
              </w:rPr>
              <w:t>Fracture risk assessment without bone density measurement in routine clinical practice. Osteoporos Int</w:t>
            </w:r>
            <w:r w:rsidRPr="00D55AA5">
              <w:rPr>
                <w:rFonts w:ascii="Calibri" w:eastAsia="Calibri" w:hAnsi="Calibri" w:cs="Calibri"/>
                <w:kern w:val="2"/>
                <w:sz w:val="22"/>
                <w:szCs w:val="22"/>
                <w:lang w:eastAsia="en-US"/>
                <w14:ligatures w14:val="standardContextual"/>
              </w:rPr>
              <w:t xml:space="preserve"> </w:t>
            </w:r>
            <w:r w:rsidRPr="00D55AA5">
              <w:rPr>
                <w:rFonts w:ascii="Calibri" w:eastAsia="Calibri" w:hAnsi="Calibri" w:cs="Calibri"/>
                <w:sz w:val="22"/>
                <w:szCs w:val="22"/>
                <w:lang w:eastAsia="en-US"/>
              </w:rPr>
              <w:t>23(1):75-85. doi: 10.1007/s00198-011-1747-2.</w:t>
            </w:r>
          </w:p>
        </w:tc>
      </w:tr>
      <w:tr w:rsidR="0072567D" w:rsidRPr="00D55AA5" w14:paraId="0EDB26F8" w14:textId="77777777" w:rsidTr="0072567D">
        <w:tc>
          <w:tcPr>
            <w:tcW w:w="567" w:type="dxa"/>
          </w:tcPr>
          <w:p w14:paraId="7F252ABA" w14:textId="153AB3D9" w:rsidR="0072567D" w:rsidRDefault="0072567D" w:rsidP="00D55AA5">
            <w:pPr>
              <w:spacing w:after="240"/>
              <w:jc w:val="right"/>
              <w:rPr>
                <w:rFonts w:ascii="Calibri" w:eastAsia="Calibri" w:hAnsi="Calibri" w:cs="Calibri"/>
                <w:kern w:val="2"/>
                <w:sz w:val="22"/>
                <w:szCs w:val="22"/>
                <w:lang w:eastAsia="en-US"/>
                <w14:ligatures w14:val="standardContextual"/>
              </w:rPr>
            </w:pPr>
            <w:r>
              <w:rPr>
                <w:rFonts w:ascii="Calibri" w:eastAsia="Calibri" w:hAnsi="Calibri" w:cs="Calibri"/>
                <w:kern w:val="2"/>
                <w:sz w:val="22"/>
                <w:szCs w:val="22"/>
                <w:lang w:eastAsia="en-US"/>
                <w14:ligatures w14:val="standardContextual"/>
              </w:rPr>
              <w:t>49.</w:t>
            </w:r>
          </w:p>
        </w:tc>
        <w:tc>
          <w:tcPr>
            <w:tcW w:w="7938" w:type="dxa"/>
          </w:tcPr>
          <w:p w14:paraId="21427DA7" w14:textId="2C13F125" w:rsidR="0072567D" w:rsidRPr="00D55AA5" w:rsidRDefault="0072567D" w:rsidP="00D55AA5">
            <w:pPr>
              <w:spacing w:after="240"/>
              <w:rPr>
                <w:rFonts w:ascii="Calibri" w:eastAsia="Calibri" w:hAnsi="Calibri" w:cs="Calibri"/>
                <w:sz w:val="22"/>
                <w:szCs w:val="22"/>
                <w:lang w:eastAsia="en-US"/>
              </w:rPr>
            </w:pPr>
            <w:r w:rsidRPr="001423A5">
              <w:rPr>
                <w:rFonts w:ascii="Calibri" w:eastAsia="Calibri" w:hAnsi="Calibri" w:cs="Calibri"/>
                <w:sz w:val="22"/>
                <w:szCs w:val="22"/>
                <w:lang w:eastAsia="en-US"/>
              </w:rPr>
              <w:t>Kanis JA, McCloskey E, Johansson H, Oden A, Leslie WD (2012) FRAX® with and without BMD. Calcif Tiss Int 90: 1-13.</w:t>
            </w:r>
          </w:p>
        </w:tc>
      </w:tr>
    </w:tbl>
    <w:p w14:paraId="3D670B94" w14:textId="77777777" w:rsidR="00D55AA5" w:rsidRDefault="00D55AA5" w:rsidP="00391935">
      <w:pPr>
        <w:spacing w:line="276" w:lineRule="auto"/>
        <w:ind w:left="567" w:right="1275"/>
        <w:rPr>
          <w:rFonts w:asciiTheme="minorHAnsi" w:hAnsiTheme="minorHAnsi" w:cstheme="minorHAnsi"/>
          <w:b/>
          <w:lang w:val="en-GB"/>
        </w:rPr>
      </w:pPr>
    </w:p>
    <w:p w14:paraId="6B4439D9" w14:textId="336C34A4" w:rsidR="001C5287" w:rsidRDefault="001C5287" w:rsidP="0030661D">
      <w:pPr>
        <w:spacing w:line="276" w:lineRule="auto"/>
        <w:ind w:left="567" w:right="1275"/>
        <w:rPr>
          <w:rFonts w:asciiTheme="minorHAnsi" w:hAnsiTheme="minorHAnsi" w:cstheme="minorHAnsi"/>
          <w:b/>
          <w:color w:val="FF0000"/>
          <w:lang w:val="en-GB"/>
        </w:rPr>
      </w:pPr>
    </w:p>
    <w:p w14:paraId="06CD5910" w14:textId="363A2C39" w:rsidR="00FB6A6E" w:rsidRPr="005A1AF9" w:rsidRDefault="000B7945" w:rsidP="009741F5">
      <w:pPr>
        <w:spacing w:line="276" w:lineRule="auto"/>
        <w:ind w:left="567" w:right="1275"/>
        <w:rPr>
          <w:rFonts w:asciiTheme="minorHAnsi" w:hAnsiTheme="minorHAnsi" w:cstheme="minorHAnsi"/>
          <w:b/>
          <w:color w:val="FF0000"/>
          <w:lang w:val="en-GB"/>
        </w:rPr>
      </w:pPr>
      <w:r>
        <w:rPr>
          <w:rFonts w:asciiTheme="minorHAnsi" w:hAnsiTheme="minorHAnsi" w:cstheme="minorHAnsi"/>
          <w:b/>
          <w:color w:val="FF0000"/>
          <w:lang w:val="en-GB"/>
        </w:rPr>
        <w:tab/>
      </w:r>
      <w:r w:rsidR="00FB6A6E" w:rsidRPr="00FB6A6E">
        <w:rPr>
          <w:rFonts w:asciiTheme="minorHAnsi" w:hAnsiTheme="minorHAnsi" w:cstheme="minorHAnsi"/>
          <w:b/>
          <w:color w:val="FF0000"/>
          <w:lang w:val="en-GB"/>
        </w:rPr>
        <w:tab/>
      </w:r>
    </w:p>
    <w:sectPr w:rsidR="00FB6A6E" w:rsidRPr="005A1AF9" w:rsidSect="009306BA">
      <w:footerReference w:type="default" r:id="rId13"/>
      <w:type w:val="continuous"/>
      <w:pgSz w:w="11906" w:h="16838"/>
      <w:pgMar w:top="1134"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1475" w14:textId="77777777" w:rsidR="000E216A" w:rsidRDefault="000E216A" w:rsidP="00B56470">
      <w:r>
        <w:separator/>
      </w:r>
    </w:p>
  </w:endnote>
  <w:endnote w:type="continuationSeparator" w:id="0">
    <w:p w14:paraId="7A46AE03" w14:textId="77777777" w:rsidR="000E216A" w:rsidRDefault="000E216A" w:rsidP="00B56470">
      <w:r>
        <w:continuationSeparator/>
      </w:r>
    </w:p>
  </w:endnote>
  <w:endnote w:type="continuationNotice" w:id="1">
    <w:p w14:paraId="7057B01C" w14:textId="77777777" w:rsidR="000E216A" w:rsidRDefault="000E2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546227"/>
      <w:docPartObj>
        <w:docPartGallery w:val="Page Numbers (Bottom of Page)"/>
        <w:docPartUnique/>
      </w:docPartObj>
    </w:sdtPr>
    <w:sdtEndPr>
      <w:rPr>
        <w:noProof/>
      </w:rPr>
    </w:sdtEndPr>
    <w:sdtContent>
      <w:p w14:paraId="4F4F0992" w14:textId="5262F122" w:rsidR="00EA6518" w:rsidRDefault="00EA651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4E13F1E" w14:textId="77777777" w:rsidR="00EA6518" w:rsidRDefault="00EA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98B7" w14:textId="77777777" w:rsidR="000E216A" w:rsidRDefault="000E216A" w:rsidP="00B56470">
      <w:r>
        <w:separator/>
      </w:r>
    </w:p>
  </w:footnote>
  <w:footnote w:type="continuationSeparator" w:id="0">
    <w:p w14:paraId="65B19AE1" w14:textId="77777777" w:rsidR="000E216A" w:rsidRDefault="000E216A" w:rsidP="00B56470">
      <w:r>
        <w:continuationSeparator/>
      </w:r>
    </w:p>
  </w:footnote>
  <w:footnote w:type="continuationNotice" w:id="1">
    <w:p w14:paraId="45A5A92C" w14:textId="77777777" w:rsidR="000E216A" w:rsidRDefault="000E2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7C0"/>
    <w:multiLevelType w:val="hybridMultilevel"/>
    <w:tmpl w:val="1EAABCDC"/>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528"/>
    <w:multiLevelType w:val="hybridMultilevel"/>
    <w:tmpl w:val="C8C47BF4"/>
    <w:lvl w:ilvl="0" w:tplc="BADAE77A">
      <w:numFmt w:val="bullet"/>
      <w:lvlText w:val=""/>
      <w:lvlJc w:val="left"/>
      <w:pPr>
        <w:ind w:left="927" w:hanging="360"/>
      </w:pPr>
      <w:rPr>
        <w:rFonts w:ascii="Symbol" w:eastAsia="MS Mincho" w:hAnsi="Symbol"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25694"/>
    <w:multiLevelType w:val="hybridMultilevel"/>
    <w:tmpl w:val="620CD69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BC004F"/>
    <w:multiLevelType w:val="hybridMultilevel"/>
    <w:tmpl w:val="04B290C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A4850"/>
    <w:multiLevelType w:val="hybridMultilevel"/>
    <w:tmpl w:val="E11C98BE"/>
    <w:lvl w:ilvl="0" w:tplc="92F65FE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647EA6"/>
    <w:multiLevelType w:val="multilevel"/>
    <w:tmpl w:val="118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44992"/>
    <w:multiLevelType w:val="hybridMultilevel"/>
    <w:tmpl w:val="0A64FCAE"/>
    <w:lvl w:ilvl="0" w:tplc="DF80E04C">
      <w:start w:val="1"/>
      <w:numFmt w:val="decimal"/>
      <w:lvlText w:val="%1."/>
      <w:lvlJc w:val="left"/>
      <w:pPr>
        <w:ind w:left="7023" w:hanging="360"/>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7" w15:restartNumberingAfterBreak="0">
    <w:nsid w:val="356C2DA7"/>
    <w:multiLevelType w:val="hybridMultilevel"/>
    <w:tmpl w:val="A29606BA"/>
    <w:lvl w:ilvl="0" w:tplc="4DA671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70DD8"/>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B3134B"/>
    <w:multiLevelType w:val="hybridMultilevel"/>
    <w:tmpl w:val="D74AE680"/>
    <w:lvl w:ilvl="0" w:tplc="DF044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673AFB"/>
    <w:multiLevelType w:val="hybridMultilevel"/>
    <w:tmpl w:val="C70CD0AA"/>
    <w:lvl w:ilvl="0" w:tplc="DF0449C8">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4B47585"/>
    <w:multiLevelType w:val="hybridMultilevel"/>
    <w:tmpl w:val="7CF68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265E5A"/>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0DA62B7"/>
    <w:multiLevelType w:val="hybridMultilevel"/>
    <w:tmpl w:val="6706C100"/>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A01F80"/>
    <w:multiLevelType w:val="hybridMultilevel"/>
    <w:tmpl w:val="72F21CB8"/>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10"/>
  </w:num>
  <w:num w:numId="3">
    <w:abstractNumId w:val="13"/>
  </w:num>
  <w:num w:numId="4">
    <w:abstractNumId w:val="0"/>
  </w:num>
  <w:num w:numId="5">
    <w:abstractNumId w:val="6"/>
  </w:num>
  <w:num w:numId="6">
    <w:abstractNumId w:val="14"/>
  </w:num>
  <w:num w:numId="7">
    <w:abstractNumId w:val="2"/>
  </w:num>
  <w:num w:numId="8">
    <w:abstractNumId w:val="8"/>
  </w:num>
  <w:num w:numId="9">
    <w:abstractNumId w:val="11"/>
  </w:num>
  <w:num w:numId="10">
    <w:abstractNumId w:val="7"/>
  </w:num>
  <w:num w:numId="11">
    <w:abstractNumId w:val="12"/>
  </w:num>
  <w:num w:numId="12">
    <w:abstractNumId w:val="3"/>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BA"/>
    <w:rsid w:val="0000000A"/>
    <w:rsid w:val="0000000D"/>
    <w:rsid w:val="000002E1"/>
    <w:rsid w:val="00000507"/>
    <w:rsid w:val="00001552"/>
    <w:rsid w:val="000020C8"/>
    <w:rsid w:val="000032AC"/>
    <w:rsid w:val="0000334A"/>
    <w:rsid w:val="00003F34"/>
    <w:rsid w:val="000042F3"/>
    <w:rsid w:val="00004A57"/>
    <w:rsid w:val="00004BB8"/>
    <w:rsid w:val="00004BFE"/>
    <w:rsid w:val="0000536B"/>
    <w:rsid w:val="00006C39"/>
    <w:rsid w:val="00007251"/>
    <w:rsid w:val="00007904"/>
    <w:rsid w:val="00007C81"/>
    <w:rsid w:val="00007FD1"/>
    <w:rsid w:val="000109AA"/>
    <w:rsid w:val="0001101F"/>
    <w:rsid w:val="0001148A"/>
    <w:rsid w:val="000127C9"/>
    <w:rsid w:val="000132EF"/>
    <w:rsid w:val="0001387A"/>
    <w:rsid w:val="00013F07"/>
    <w:rsid w:val="000141AE"/>
    <w:rsid w:val="00014A5E"/>
    <w:rsid w:val="00015350"/>
    <w:rsid w:val="000158D9"/>
    <w:rsid w:val="0001695E"/>
    <w:rsid w:val="0001769B"/>
    <w:rsid w:val="000178ED"/>
    <w:rsid w:val="00017F00"/>
    <w:rsid w:val="00020045"/>
    <w:rsid w:val="0002146D"/>
    <w:rsid w:val="00022106"/>
    <w:rsid w:val="00022E6B"/>
    <w:rsid w:val="0002341E"/>
    <w:rsid w:val="000237BA"/>
    <w:rsid w:val="00023EFF"/>
    <w:rsid w:val="0002469D"/>
    <w:rsid w:val="00025503"/>
    <w:rsid w:val="00025DF4"/>
    <w:rsid w:val="000261C0"/>
    <w:rsid w:val="000261F2"/>
    <w:rsid w:val="000263E5"/>
    <w:rsid w:val="000265AB"/>
    <w:rsid w:val="000270E7"/>
    <w:rsid w:val="00027E1D"/>
    <w:rsid w:val="00030253"/>
    <w:rsid w:val="000308CF"/>
    <w:rsid w:val="00030EE0"/>
    <w:rsid w:val="00031126"/>
    <w:rsid w:val="00031460"/>
    <w:rsid w:val="000329BD"/>
    <w:rsid w:val="00032C64"/>
    <w:rsid w:val="00033E6D"/>
    <w:rsid w:val="00034C3F"/>
    <w:rsid w:val="00034E07"/>
    <w:rsid w:val="00035E91"/>
    <w:rsid w:val="000360B5"/>
    <w:rsid w:val="00036619"/>
    <w:rsid w:val="00036A21"/>
    <w:rsid w:val="000370CB"/>
    <w:rsid w:val="00037B26"/>
    <w:rsid w:val="000405A5"/>
    <w:rsid w:val="000411F6"/>
    <w:rsid w:val="000413D9"/>
    <w:rsid w:val="0004204F"/>
    <w:rsid w:val="000427FF"/>
    <w:rsid w:val="00043201"/>
    <w:rsid w:val="0004349A"/>
    <w:rsid w:val="00043EFC"/>
    <w:rsid w:val="0004441C"/>
    <w:rsid w:val="00044925"/>
    <w:rsid w:val="00044D22"/>
    <w:rsid w:val="00044F27"/>
    <w:rsid w:val="00045C87"/>
    <w:rsid w:val="00046F45"/>
    <w:rsid w:val="00047803"/>
    <w:rsid w:val="00047E7E"/>
    <w:rsid w:val="00047F60"/>
    <w:rsid w:val="00050738"/>
    <w:rsid w:val="0005097C"/>
    <w:rsid w:val="000509B5"/>
    <w:rsid w:val="00051D1B"/>
    <w:rsid w:val="00051FAD"/>
    <w:rsid w:val="0005235C"/>
    <w:rsid w:val="000525CA"/>
    <w:rsid w:val="00052801"/>
    <w:rsid w:val="00052B40"/>
    <w:rsid w:val="00053151"/>
    <w:rsid w:val="00054828"/>
    <w:rsid w:val="00055DD8"/>
    <w:rsid w:val="00055E51"/>
    <w:rsid w:val="00056285"/>
    <w:rsid w:val="0005694F"/>
    <w:rsid w:val="000574B4"/>
    <w:rsid w:val="000578AF"/>
    <w:rsid w:val="00057BD7"/>
    <w:rsid w:val="00060D35"/>
    <w:rsid w:val="000610D6"/>
    <w:rsid w:val="00061D43"/>
    <w:rsid w:val="000622BD"/>
    <w:rsid w:val="000630DA"/>
    <w:rsid w:val="0006536B"/>
    <w:rsid w:val="00065418"/>
    <w:rsid w:val="00065759"/>
    <w:rsid w:val="000660EC"/>
    <w:rsid w:val="000664C6"/>
    <w:rsid w:val="0006672B"/>
    <w:rsid w:val="00067010"/>
    <w:rsid w:val="00067752"/>
    <w:rsid w:val="00070137"/>
    <w:rsid w:val="000711A8"/>
    <w:rsid w:val="000719E4"/>
    <w:rsid w:val="00072323"/>
    <w:rsid w:val="0007264B"/>
    <w:rsid w:val="00072DDC"/>
    <w:rsid w:val="00074DC7"/>
    <w:rsid w:val="00075283"/>
    <w:rsid w:val="000755B7"/>
    <w:rsid w:val="00075C04"/>
    <w:rsid w:val="00075F39"/>
    <w:rsid w:val="000761EA"/>
    <w:rsid w:val="000767E6"/>
    <w:rsid w:val="00077019"/>
    <w:rsid w:val="00077304"/>
    <w:rsid w:val="00077672"/>
    <w:rsid w:val="00077812"/>
    <w:rsid w:val="000804D2"/>
    <w:rsid w:val="00081571"/>
    <w:rsid w:val="00081823"/>
    <w:rsid w:val="00082D99"/>
    <w:rsid w:val="00082DBE"/>
    <w:rsid w:val="00082F0C"/>
    <w:rsid w:val="00083443"/>
    <w:rsid w:val="00083681"/>
    <w:rsid w:val="000842B4"/>
    <w:rsid w:val="000848A0"/>
    <w:rsid w:val="00084B47"/>
    <w:rsid w:val="00084D6F"/>
    <w:rsid w:val="00085483"/>
    <w:rsid w:val="00085BCA"/>
    <w:rsid w:val="00085F87"/>
    <w:rsid w:val="00087615"/>
    <w:rsid w:val="000876C5"/>
    <w:rsid w:val="0009044F"/>
    <w:rsid w:val="00090F9C"/>
    <w:rsid w:val="00091967"/>
    <w:rsid w:val="0009209F"/>
    <w:rsid w:val="00092535"/>
    <w:rsid w:val="00092D4A"/>
    <w:rsid w:val="0009304D"/>
    <w:rsid w:val="000931D2"/>
    <w:rsid w:val="00093D17"/>
    <w:rsid w:val="0009472B"/>
    <w:rsid w:val="000949F4"/>
    <w:rsid w:val="00094B1F"/>
    <w:rsid w:val="000957FF"/>
    <w:rsid w:val="000958C9"/>
    <w:rsid w:val="00096825"/>
    <w:rsid w:val="000975D6"/>
    <w:rsid w:val="000A02EF"/>
    <w:rsid w:val="000A087B"/>
    <w:rsid w:val="000A11C4"/>
    <w:rsid w:val="000A1293"/>
    <w:rsid w:val="000A13A2"/>
    <w:rsid w:val="000A1C4A"/>
    <w:rsid w:val="000A26D6"/>
    <w:rsid w:val="000A28CE"/>
    <w:rsid w:val="000A389F"/>
    <w:rsid w:val="000A4449"/>
    <w:rsid w:val="000A4550"/>
    <w:rsid w:val="000A4A7F"/>
    <w:rsid w:val="000A4CF1"/>
    <w:rsid w:val="000A541E"/>
    <w:rsid w:val="000A5885"/>
    <w:rsid w:val="000A62C6"/>
    <w:rsid w:val="000A6563"/>
    <w:rsid w:val="000A6CA4"/>
    <w:rsid w:val="000B022F"/>
    <w:rsid w:val="000B1281"/>
    <w:rsid w:val="000B1D9B"/>
    <w:rsid w:val="000B27DE"/>
    <w:rsid w:val="000B2984"/>
    <w:rsid w:val="000B3200"/>
    <w:rsid w:val="000B3BC8"/>
    <w:rsid w:val="000B42A1"/>
    <w:rsid w:val="000B456B"/>
    <w:rsid w:val="000B484B"/>
    <w:rsid w:val="000B4BD3"/>
    <w:rsid w:val="000B553F"/>
    <w:rsid w:val="000B5F0B"/>
    <w:rsid w:val="000B63FD"/>
    <w:rsid w:val="000B6D4C"/>
    <w:rsid w:val="000B713A"/>
    <w:rsid w:val="000B7945"/>
    <w:rsid w:val="000C04D1"/>
    <w:rsid w:val="000C060C"/>
    <w:rsid w:val="000C0893"/>
    <w:rsid w:val="000C0EA4"/>
    <w:rsid w:val="000C0ECF"/>
    <w:rsid w:val="000C2C10"/>
    <w:rsid w:val="000C35D4"/>
    <w:rsid w:val="000C3606"/>
    <w:rsid w:val="000C388A"/>
    <w:rsid w:val="000C434D"/>
    <w:rsid w:val="000C4491"/>
    <w:rsid w:val="000C475B"/>
    <w:rsid w:val="000C49E8"/>
    <w:rsid w:val="000C4CC1"/>
    <w:rsid w:val="000C4F4B"/>
    <w:rsid w:val="000C5340"/>
    <w:rsid w:val="000C5A16"/>
    <w:rsid w:val="000C5FA5"/>
    <w:rsid w:val="000C6623"/>
    <w:rsid w:val="000C7131"/>
    <w:rsid w:val="000C7AE0"/>
    <w:rsid w:val="000C7CC8"/>
    <w:rsid w:val="000D0DE5"/>
    <w:rsid w:val="000D14BE"/>
    <w:rsid w:val="000D29FE"/>
    <w:rsid w:val="000D2D17"/>
    <w:rsid w:val="000D3FE1"/>
    <w:rsid w:val="000D4015"/>
    <w:rsid w:val="000D4097"/>
    <w:rsid w:val="000D4671"/>
    <w:rsid w:val="000D4CEE"/>
    <w:rsid w:val="000D607F"/>
    <w:rsid w:val="000D61BC"/>
    <w:rsid w:val="000D62D3"/>
    <w:rsid w:val="000D6575"/>
    <w:rsid w:val="000D678A"/>
    <w:rsid w:val="000D68DF"/>
    <w:rsid w:val="000D6C42"/>
    <w:rsid w:val="000D732F"/>
    <w:rsid w:val="000D7AD0"/>
    <w:rsid w:val="000E01CF"/>
    <w:rsid w:val="000E0380"/>
    <w:rsid w:val="000E0D52"/>
    <w:rsid w:val="000E0E43"/>
    <w:rsid w:val="000E0ED6"/>
    <w:rsid w:val="000E1BE8"/>
    <w:rsid w:val="000E212E"/>
    <w:rsid w:val="000E216A"/>
    <w:rsid w:val="000E317A"/>
    <w:rsid w:val="000E3BFE"/>
    <w:rsid w:val="000E3E2A"/>
    <w:rsid w:val="000E4406"/>
    <w:rsid w:val="000E4920"/>
    <w:rsid w:val="000E4CC0"/>
    <w:rsid w:val="000E50FB"/>
    <w:rsid w:val="000E51CA"/>
    <w:rsid w:val="000E728E"/>
    <w:rsid w:val="000F05DD"/>
    <w:rsid w:val="000F0EBA"/>
    <w:rsid w:val="000F2C0B"/>
    <w:rsid w:val="000F3657"/>
    <w:rsid w:val="000F36B0"/>
    <w:rsid w:val="000F3D28"/>
    <w:rsid w:val="000F4C12"/>
    <w:rsid w:val="000F56DF"/>
    <w:rsid w:val="000F5A87"/>
    <w:rsid w:val="000F63B9"/>
    <w:rsid w:val="000F6E45"/>
    <w:rsid w:val="0010041D"/>
    <w:rsid w:val="00100453"/>
    <w:rsid w:val="0010080D"/>
    <w:rsid w:val="00100BED"/>
    <w:rsid w:val="00101135"/>
    <w:rsid w:val="0010120F"/>
    <w:rsid w:val="001017AF"/>
    <w:rsid w:val="0010326B"/>
    <w:rsid w:val="00103859"/>
    <w:rsid w:val="00103E00"/>
    <w:rsid w:val="00104709"/>
    <w:rsid w:val="00104FC8"/>
    <w:rsid w:val="00105ABE"/>
    <w:rsid w:val="00105DED"/>
    <w:rsid w:val="00107650"/>
    <w:rsid w:val="001079FC"/>
    <w:rsid w:val="00107C3C"/>
    <w:rsid w:val="00107F88"/>
    <w:rsid w:val="001102B7"/>
    <w:rsid w:val="001103E6"/>
    <w:rsid w:val="001104CA"/>
    <w:rsid w:val="00110FAC"/>
    <w:rsid w:val="00111B77"/>
    <w:rsid w:val="00111E84"/>
    <w:rsid w:val="00111FAD"/>
    <w:rsid w:val="00112816"/>
    <w:rsid w:val="00113395"/>
    <w:rsid w:val="00113B77"/>
    <w:rsid w:val="00113E92"/>
    <w:rsid w:val="00114C18"/>
    <w:rsid w:val="00114D56"/>
    <w:rsid w:val="00115BA1"/>
    <w:rsid w:val="001162E2"/>
    <w:rsid w:val="0011671A"/>
    <w:rsid w:val="0011696E"/>
    <w:rsid w:val="00116E0F"/>
    <w:rsid w:val="00116FF6"/>
    <w:rsid w:val="00117B56"/>
    <w:rsid w:val="00117EEF"/>
    <w:rsid w:val="0012066E"/>
    <w:rsid w:val="00120C48"/>
    <w:rsid w:val="001211B2"/>
    <w:rsid w:val="00121E9D"/>
    <w:rsid w:val="00122144"/>
    <w:rsid w:val="00122582"/>
    <w:rsid w:val="00122D6B"/>
    <w:rsid w:val="00123CDC"/>
    <w:rsid w:val="001242B8"/>
    <w:rsid w:val="00124B91"/>
    <w:rsid w:val="001255E0"/>
    <w:rsid w:val="00125ECB"/>
    <w:rsid w:val="00126970"/>
    <w:rsid w:val="00126D4A"/>
    <w:rsid w:val="00127138"/>
    <w:rsid w:val="001271E3"/>
    <w:rsid w:val="00127579"/>
    <w:rsid w:val="00127A4D"/>
    <w:rsid w:val="00127F1E"/>
    <w:rsid w:val="001302D4"/>
    <w:rsid w:val="00130314"/>
    <w:rsid w:val="0013040E"/>
    <w:rsid w:val="00130D68"/>
    <w:rsid w:val="001317CB"/>
    <w:rsid w:val="00131DB0"/>
    <w:rsid w:val="00131F9B"/>
    <w:rsid w:val="00132515"/>
    <w:rsid w:val="001325C2"/>
    <w:rsid w:val="00132A16"/>
    <w:rsid w:val="00132BFE"/>
    <w:rsid w:val="00132E14"/>
    <w:rsid w:val="00132E47"/>
    <w:rsid w:val="00133070"/>
    <w:rsid w:val="001330B6"/>
    <w:rsid w:val="00135FDA"/>
    <w:rsid w:val="00136236"/>
    <w:rsid w:val="001368C7"/>
    <w:rsid w:val="00136B5F"/>
    <w:rsid w:val="00136B74"/>
    <w:rsid w:val="00137389"/>
    <w:rsid w:val="0013739A"/>
    <w:rsid w:val="00137612"/>
    <w:rsid w:val="00137A86"/>
    <w:rsid w:val="00137C62"/>
    <w:rsid w:val="00140075"/>
    <w:rsid w:val="001404DF"/>
    <w:rsid w:val="00140639"/>
    <w:rsid w:val="00140F40"/>
    <w:rsid w:val="001419A2"/>
    <w:rsid w:val="00141AFA"/>
    <w:rsid w:val="00141D9F"/>
    <w:rsid w:val="001423A5"/>
    <w:rsid w:val="00142BD0"/>
    <w:rsid w:val="0014319C"/>
    <w:rsid w:val="0014379E"/>
    <w:rsid w:val="00144276"/>
    <w:rsid w:val="001442E3"/>
    <w:rsid w:val="0014455A"/>
    <w:rsid w:val="00144A9F"/>
    <w:rsid w:val="00144E17"/>
    <w:rsid w:val="0014548F"/>
    <w:rsid w:val="00146564"/>
    <w:rsid w:val="00146696"/>
    <w:rsid w:val="00146845"/>
    <w:rsid w:val="001473CB"/>
    <w:rsid w:val="00147509"/>
    <w:rsid w:val="00147523"/>
    <w:rsid w:val="00147D54"/>
    <w:rsid w:val="00147DF8"/>
    <w:rsid w:val="00150323"/>
    <w:rsid w:val="00151021"/>
    <w:rsid w:val="00152848"/>
    <w:rsid w:val="00152E34"/>
    <w:rsid w:val="001534AD"/>
    <w:rsid w:val="001547DF"/>
    <w:rsid w:val="00154AB4"/>
    <w:rsid w:val="00154F7F"/>
    <w:rsid w:val="00155AE8"/>
    <w:rsid w:val="001562C9"/>
    <w:rsid w:val="00156AC7"/>
    <w:rsid w:val="0015787D"/>
    <w:rsid w:val="00157E2E"/>
    <w:rsid w:val="0016214C"/>
    <w:rsid w:val="00162A65"/>
    <w:rsid w:val="001633D5"/>
    <w:rsid w:val="00163BA9"/>
    <w:rsid w:val="00163D2C"/>
    <w:rsid w:val="0016486A"/>
    <w:rsid w:val="00165484"/>
    <w:rsid w:val="001659B9"/>
    <w:rsid w:val="001669DF"/>
    <w:rsid w:val="00167260"/>
    <w:rsid w:val="00167462"/>
    <w:rsid w:val="001675D7"/>
    <w:rsid w:val="00167763"/>
    <w:rsid w:val="00167C1E"/>
    <w:rsid w:val="001709A2"/>
    <w:rsid w:val="00170A36"/>
    <w:rsid w:val="00170CF2"/>
    <w:rsid w:val="00171E18"/>
    <w:rsid w:val="00172C64"/>
    <w:rsid w:val="00172CB5"/>
    <w:rsid w:val="00172DA0"/>
    <w:rsid w:val="00173D60"/>
    <w:rsid w:val="00173FAB"/>
    <w:rsid w:val="00174103"/>
    <w:rsid w:val="00174398"/>
    <w:rsid w:val="001758CD"/>
    <w:rsid w:val="00175B34"/>
    <w:rsid w:val="0017643A"/>
    <w:rsid w:val="001770D9"/>
    <w:rsid w:val="00177E99"/>
    <w:rsid w:val="0018021E"/>
    <w:rsid w:val="00181873"/>
    <w:rsid w:val="001819B7"/>
    <w:rsid w:val="001825B5"/>
    <w:rsid w:val="00182C84"/>
    <w:rsid w:val="00183EFC"/>
    <w:rsid w:val="00184489"/>
    <w:rsid w:val="00184F7D"/>
    <w:rsid w:val="00185557"/>
    <w:rsid w:val="001859CF"/>
    <w:rsid w:val="00185B4C"/>
    <w:rsid w:val="00185C74"/>
    <w:rsid w:val="0018604E"/>
    <w:rsid w:val="00186CA3"/>
    <w:rsid w:val="00187156"/>
    <w:rsid w:val="00187528"/>
    <w:rsid w:val="001875EC"/>
    <w:rsid w:val="00187B64"/>
    <w:rsid w:val="0019046B"/>
    <w:rsid w:val="00190923"/>
    <w:rsid w:val="0019186E"/>
    <w:rsid w:val="00191F22"/>
    <w:rsid w:val="00192058"/>
    <w:rsid w:val="00192459"/>
    <w:rsid w:val="00194F68"/>
    <w:rsid w:val="00195114"/>
    <w:rsid w:val="001951FD"/>
    <w:rsid w:val="001952CE"/>
    <w:rsid w:val="0019580C"/>
    <w:rsid w:val="00196DAE"/>
    <w:rsid w:val="00196E9E"/>
    <w:rsid w:val="001A00A2"/>
    <w:rsid w:val="001A2D16"/>
    <w:rsid w:val="001A3C47"/>
    <w:rsid w:val="001A4106"/>
    <w:rsid w:val="001A46B5"/>
    <w:rsid w:val="001A4936"/>
    <w:rsid w:val="001A4A6C"/>
    <w:rsid w:val="001A4BAD"/>
    <w:rsid w:val="001A530F"/>
    <w:rsid w:val="001A5DCC"/>
    <w:rsid w:val="001A5F7F"/>
    <w:rsid w:val="001A60B7"/>
    <w:rsid w:val="001A630E"/>
    <w:rsid w:val="001A6318"/>
    <w:rsid w:val="001A7134"/>
    <w:rsid w:val="001A7443"/>
    <w:rsid w:val="001A74A9"/>
    <w:rsid w:val="001B09A9"/>
    <w:rsid w:val="001B0EBC"/>
    <w:rsid w:val="001B14C3"/>
    <w:rsid w:val="001B198B"/>
    <w:rsid w:val="001B1D77"/>
    <w:rsid w:val="001B26CD"/>
    <w:rsid w:val="001B36F0"/>
    <w:rsid w:val="001B428B"/>
    <w:rsid w:val="001B479B"/>
    <w:rsid w:val="001B4A9C"/>
    <w:rsid w:val="001B583B"/>
    <w:rsid w:val="001B58B1"/>
    <w:rsid w:val="001B5BCA"/>
    <w:rsid w:val="001B6013"/>
    <w:rsid w:val="001B632A"/>
    <w:rsid w:val="001B63AD"/>
    <w:rsid w:val="001B6554"/>
    <w:rsid w:val="001B668B"/>
    <w:rsid w:val="001C0101"/>
    <w:rsid w:val="001C028B"/>
    <w:rsid w:val="001C0431"/>
    <w:rsid w:val="001C0ADD"/>
    <w:rsid w:val="001C0D4A"/>
    <w:rsid w:val="001C1923"/>
    <w:rsid w:val="001C203F"/>
    <w:rsid w:val="001C2BFE"/>
    <w:rsid w:val="001C3194"/>
    <w:rsid w:val="001C320A"/>
    <w:rsid w:val="001C3334"/>
    <w:rsid w:val="001C36C9"/>
    <w:rsid w:val="001C3CDB"/>
    <w:rsid w:val="001C3D40"/>
    <w:rsid w:val="001C40EE"/>
    <w:rsid w:val="001C5287"/>
    <w:rsid w:val="001C7BAA"/>
    <w:rsid w:val="001D094C"/>
    <w:rsid w:val="001D0C56"/>
    <w:rsid w:val="001D11B7"/>
    <w:rsid w:val="001D2574"/>
    <w:rsid w:val="001D2C41"/>
    <w:rsid w:val="001D3ED7"/>
    <w:rsid w:val="001D3EDE"/>
    <w:rsid w:val="001D47D4"/>
    <w:rsid w:val="001D544D"/>
    <w:rsid w:val="001D5D96"/>
    <w:rsid w:val="001D60DB"/>
    <w:rsid w:val="001D6647"/>
    <w:rsid w:val="001D68C5"/>
    <w:rsid w:val="001D6D9D"/>
    <w:rsid w:val="001D774B"/>
    <w:rsid w:val="001E0247"/>
    <w:rsid w:val="001E13EE"/>
    <w:rsid w:val="001E1668"/>
    <w:rsid w:val="001E241E"/>
    <w:rsid w:val="001E2846"/>
    <w:rsid w:val="001E2ACF"/>
    <w:rsid w:val="001E2CF3"/>
    <w:rsid w:val="001E3544"/>
    <w:rsid w:val="001E38AD"/>
    <w:rsid w:val="001E3E83"/>
    <w:rsid w:val="001E3FB5"/>
    <w:rsid w:val="001E52F2"/>
    <w:rsid w:val="001E5716"/>
    <w:rsid w:val="001E58F7"/>
    <w:rsid w:val="001E5AA2"/>
    <w:rsid w:val="001E6161"/>
    <w:rsid w:val="001E62AE"/>
    <w:rsid w:val="001E793E"/>
    <w:rsid w:val="001F023F"/>
    <w:rsid w:val="001F0251"/>
    <w:rsid w:val="001F0489"/>
    <w:rsid w:val="001F06E6"/>
    <w:rsid w:val="001F07CC"/>
    <w:rsid w:val="001F0DEF"/>
    <w:rsid w:val="001F2016"/>
    <w:rsid w:val="001F2828"/>
    <w:rsid w:val="001F39D0"/>
    <w:rsid w:val="001F3D2C"/>
    <w:rsid w:val="001F418F"/>
    <w:rsid w:val="001F4688"/>
    <w:rsid w:val="001F7A8F"/>
    <w:rsid w:val="001F7FA2"/>
    <w:rsid w:val="00200640"/>
    <w:rsid w:val="00200C74"/>
    <w:rsid w:val="002014E3"/>
    <w:rsid w:val="00201D1E"/>
    <w:rsid w:val="00201FB2"/>
    <w:rsid w:val="00202191"/>
    <w:rsid w:val="002029CD"/>
    <w:rsid w:val="00203856"/>
    <w:rsid w:val="00203E50"/>
    <w:rsid w:val="002049ED"/>
    <w:rsid w:val="00205865"/>
    <w:rsid w:val="00205EC5"/>
    <w:rsid w:val="00206A0E"/>
    <w:rsid w:val="00206B73"/>
    <w:rsid w:val="00207403"/>
    <w:rsid w:val="00207461"/>
    <w:rsid w:val="00207513"/>
    <w:rsid w:val="00210755"/>
    <w:rsid w:val="00210EE3"/>
    <w:rsid w:val="002117E2"/>
    <w:rsid w:val="00211C7B"/>
    <w:rsid w:val="002123FB"/>
    <w:rsid w:val="0021306C"/>
    <w:rsid w:val="002130B8"/>
    <w:rsid w:val="002132CB"/>
    <w:rsid w:val="00213F78"/>
    <w:rsid w:val="00214FE5"/>
    <w:rsid w:val="00215565"/>
    <w:rsid w:val="00215BC3"/>
    <w:rsid w:val="0021610E"/>
    <w:rsid w:val="00216A09"/>
    <w:rsid w:val="00216C5B"/>
    <w:rsid w:val="00217F70"/>
    <w:rsid w:val="0022297A"/>
    <w:rsid w:val="00223358"/>
    <w:rsid w:val="002239DD"/>
    <w:rsid w:val="00225637"/>
    <w:rsid w:val="0022635D"/>
    <w:rsid w:val="00226525"/>
    <w:rsid w:val="00226892"/>
    <w:rsid w:val="002275A7"/>
    <w:rsid w:val="00227D0F"/>
    <w:rsid w:val="00230C2F"/>
    <w:rsid w:val="00230DBD"/>
    <w:rsid w:val="00231589"/>
    <w:rsid w:val="002323E8"/>
    <w:rsid w:val="00232490"/>
    <w:rsid w:val="00233135"/>
    <w:rsid w:val="00233DD3"/>
    <w:rsid w:val="00234124"/>
    <w:rsid w:val="00235002"/>
    <w:rsid w:val="00235078"/>
    <w:rsid w:val="00235BFD"/>
    <w:rsid w:val="002365CF"/>
    <w:rsid w:val="002371C1"/>
    <w:rsid w:val="00237A66"/>
    <w:rsid w:val="00240532"/>
    <w:rsid w:val="00240FA2"/>
    <w:rsid w:val="00240FAF"/>
    <w:rsid w:val="00241E92"/>
    <w:rsid w:val="00242516"/>
    <w:rsid w:val="00243CD8"/>
    <w:rsid w:val="0024506E"/>
    <w:rsid w:val="0024563F"/>
    <w:rsid w:val="002464D9"/>
    <w:rsid w:val="002469A5"/>
    <w:rsid w:val="00246AAA"/>
    <w:rsid w:val="002501B5"/>
    <w:rsid w:val="00250A75"/>
    <w:rsid w:val="00251802"/>
    <w:rsid w:val="00251D64"/>
    <w:rsid w:val="00251D6B"/>
    <w:rsid w:val="00252D36"/>
    <w:rsid w:val="00253B9D"/>
    <w:rsid w:val="00253FDD"/>
    <w:rsid w:val="00254263"/>
    <w:rsid w:val="0025492E"/>
    <w:rsid w:val="00255FD4"/>
    <w:rsid w:val="00256297"/>
    <w:rsid w:val="002569A0"/>
    <w:rsid w:val="002571C0"/>
    <w:rsid w:val="002574CC"/>
    <w:rsid w:val="002619BC"/>
    <w:rsid w:val="00263381"/>
    <w:rsid w:val="00263A89"/>
    <w:rsid w:val="00263AA2"/>
    <w:rsid w:val="0026456C"/>
    <w:rsid w:val="002650E7"/>
    <w:rsid w:val="00265D62"/>
    <w:rsid w:val="0026661E"/>
    <w:rsid w:val="002669BA"/>
    <w:rsid w:val="00266A97"/>
    <w:rsid w:val="00266BCC"/>
    <w:rsid w:val="0026741A"/>
    <w:rsid w:val="00271EBA"/>
    <w:rsid w:val="002722D2"/>
    <w:rsid w:val="002722E3"/>
    <w:rsid w:val="00273AA9"/>
    <w:rsid w:val="002740C0"/>
    <w:rsid w:val="00274907"/>
    <w:rsid w:val="0027621B"/>
    <w:rsid w:val="002762A9"/>
    <w:rsid w:val="00276AD6"/>
    <w:rsid w:val="00277950"/>
    <w:rsid w:val="00280402"/>
    <w:rsid w:val="0028135C"/>
    <w:rsid w:val="00281A53"/>
    <w:rsid w:val="00282E2F"/>
    <w:rsid w:val="00283073"/>
    <w:rsid w:val="002835FF"/>
    <w:rsid w:val="00283D8F"/>
    <w:rsid w:val="0028460B"/>
    <w:rsid w:val="0028461C"/>
    <w:rsid w:val="002854D0"/>
    <w:rsid w:val="002854D8"/>
    <w:rsid w:val="00285B32"/>
    <w:rsid w:val="00286D3C"/>
    <w:rsid w:val="00286E6D"/>
    <w:rsid w:val="00287176"/>
    <w:rsid w:val="00287E50"/>
    <w:rsid w:val="00290624"/>
    <w:rsid w:val="00290FA9"/>
    <w:rsid w:val="00291000"/>
    <w:rsid w:val="00291189"/>
    <w:rsid w:val="0029175E"/>
    <w:rsid w:val="002918B3"/>
    <w:rsid w:val="00291925"/>
    <w:rsid w:val="00292205"/>
    <w:rsid w:val="0029259A"/>
    <w:rsid w:val="002925FA"/>
    <w:rsid w:val="00292740"/>
    <w:rsid w:val="00292CB8"/>
    <w:rsid w:val="00292D94"/>
    <w:rsid w:val="00293B16"/>
    <w:rsid w:val="0029554A"/>
    <w:rsid w:val="00295734"/>
    <w:rsid w:val="00295EFF"/>
    <w:rsid w:val="00296092"/>
    <w:rsid w:val="002972A0"/>
    <w:rsid w:val="002A09D5"/>
    <w:rsid w:val="002A3280"/>
    <w:rsid w:val="002A375C"/>
    <w:rsid w:val="002A3B9D"/>
    <w:rsid w:val="002A4E2C"/>
    <w:rsid w:val="002A55EC"/>
    <w:rsid w:val="002A5A1C"/>
    <w:rsid w:val="002A5F5F"/>
    <w:rsid w:val="002A7A87"/>
    <w:rsid w:val="002A7FB6"/>
    <w:rsid w:val="002B0949"/>
    <w:rsid w:val="002B1ADD"/>
    <w:rsid w:val="002B1E84"/>
    <w:rsid w:val="002B21D7"/>
    <w:rsid w:val="002B2832"/>
    <w:rsid w:val="002B2DB8"/>
    <w:rsid w:val="002B3677"/>
    <w:rsid w:val="002B37F4"/>
    <w:rsid w:val="002B3C12"/>
    <w:rsid w:val="002B4D78"/>
    <w:rsid w:val="002B4F53"/>
    <w:rsid w:val="002B5BAC"/>
    <w:rsid w:val="002B6528"/>
    <w:rsid w:val="002B6751"/>
    <w:rsid w:val="002B68DC"/>
    <w:rsid w:val="002B6BE2"/>
    <w:rsid w:val="002B6FDD"/>
    <w:rsid w:val="002B6FDF"/>
    <w:rsid w:val="002B71DD"/>
    <w:rsid w:val="002B7A99"/>
    <w:rsid w:val="002C05DD"/>
    <w:rsid w:val="002C1593"/>
    <w:rsid w:val="002C1C89"/>
    <w:rsid w:val="002C230A"/>
    <w:rsid w:val="002C29CA"/>
    <w:rsid w:val="002C345F"/>
    <w:rsid w:val="002C5979"/>
    <w:rsid w:val="002C59A2"/>
    <w:rsid w:val="002C674F"/>
    <w:rsid w:val="002C6B08"/>
    <w:rsid w:val="002C6F6D"/>
    <w:rsid w:val="002C7562"/>
    <w:rsid w:val="002C7B73"/>
    <w:rsid w:val="002C7C74"/>
    <w:rsid w:val="002D0053"/>
    <w:rsid w:val="002D017C"/>
    <w:rsid w:val="002D0D3F"/>
    <w:rsid w:val="002D0E63"/>
    <w:rsid w:val="002D12D8"/>
    <w:rsid w:val="002D1828"/>
    <w:rsid w:val="002D2804"/>
    <w:rsid w:val="002D3178"/>
    <w:rsid w:val="002D3408"/>
    <w:rsid w:val="002D35D1"/>
    <w:rsid w:val="002D3682"/>
    <w:rsid w:val="002D5411"/>
    <w:rsid w:val="002D5CC3"/>
    <w:rsid w:val="002D5E5A"/>
    <w:rsid w:val="002D65A6"/>
    <w:rsid w:val="002D6AAA"/>
    <w:rsid w:val="002D6F98"/>
    <w:rsid w:val="002D79C4"/>
    <w:rsid w:val="002E0BF0"/>
    <w:rsid w:val="002E10E7"/>
    <w:rsid w:val="002E1DDA"/>
    <w:rsid w:val="002E4026"/>
    <w:rsid w:val="002E5871"/>
    <w:rsid w:val="002E5E2C"/>
    <w:rsid w:val="002E607E"/>
    <w:rsid w:val="002E69FD"/>
    <w:rsid w:val="002E7D2C"/>
    <w:rsid w:val="002F045C"/>
    <w:rsid w:val="002F0AEE"/>
    <w:rsid w:val="002F0D1B"/>
    <w:rsid w:val="002F107C"/>
    <w:rsid w:val="002F1420"/>
    <w:rsid w:val="002F1C5B"/>
    <w:rsid w:val="002F2F48"/>
    <w:rsid w:val="002F3B98"/>
    <w:rsid w:val="002F4722"/>
    <w:rsid w:val="002F4825"/>
    <w:rsid w:val="002F4C58"/>
    <w:rsid w:val="002F4EF9"/>
    <w:rsid w:val="002F53AF"/>
    <w:rsid w:val="002F5463"/>
    <w:rsid w:val="002F5464"/>
    <w:rsid w:val="002F6789"/>
    <w:rsid w:val="002F6A2C"/>
    <w:rsid w:val="002F7255"/>
    <w:rsid w:val="00300304"/>
    <w:rsid w:val="00300509"/>
    <w:rsid w:val="00300CA3"/>
    <w:rsid w:val="00301757"/>
    <w:rsid w:val="003018B3"/>
    <w:rsid w:val="003020A6"/>
    <w:rsid w:val="003023B7"/>
    <w:rsid w:val="0030252F"/>
    <w:rsid w:val="00302B4B"/>
    <w:rsid w:val="00302C56"/>
    <w:rsid w:val="00302CAD"/>
    <w:rsid w:val="00302CD6"/>
    <w:rsid w:val="0030467B"/>
    <w:rsid w:val="0030469E"/>
    <w:rsid w:val="0030479E"/>
    <w:rsid w:val="0030503C"/>
    <w:rsid w:val="00305B54"/>
    <w:rsid w:val="00305FEE"/>
    <w:rsid w:val="00306030"/>
    <w:rsid w:val="0030661D"/>
    <w:rsid w:val="003069EF"/>
    <w:rsid w:val="0030762B"/>
    <w:rsid w:val="00307816"/>
    <w:rsid w:val="00307A63"/>
    <w:rsid w:val="003102DC"/>
    <w:rsid w:val="0031042D"/>
    <w:rsid w:val="0031090C"/>
    <w:rsid w:val="003118DA"/>
    <w:rsid w:val="00311B54"/>
    <w:rsid w:val="00311CF6"/>
    <w:rsid w:val="00312CB6"/>
    <w:rsid w:val="0031337B"/>
    <w:rsid w:val="00313586"/>
    <w:rsid w:val="003146F2"/>
    <w:rsid w:val="00314972"/>
    <w:rsid w:val="00315F07"/>
    <w:rsid w:val="0031639F"/>
    <w:rsid w:val="0031655C"/>
    <w:rsid w:val="00316840"/>
    <w:rsid w:val="00316CE1"/>
    <w:rsid w:val="003174F6"/>
    <w:rsid w:val="003174F8"/>
    <w:rsid w:val="003176B8"/>
    <w:rsid w:val="00317BFF"/>
    <w:rsid w:val="00317C73"/>
    <w:rsid w:val="00317D31"/>
    <w:rsid w:val="003208C8"/>
    <w:rsid w:val="00320952"/>
    <w:rsid w:val="00320C65"/>
    <w:rsid w:val="00320E36"/>
    <w:rsid w:val="00320E41"/>
    <w:rsid w:val="00321264"/>
    <w:rsid w:val="00321936"/>
    <w:rsid w:val="00322125"/>
    <w:rsid w:val="0032226D"/>
    <w:rsid w:val="00322BF5"/>
    <w:rsid w:val="00322F15"/>
    <w:rsid w:val="00323AF2"/>
    <w:rsid w:val="00323EC8"/>
    <w:rsid w:val="00323FBB"/>
    <w:rsid w:val="00324075"/>
    <w:rsid w:val="0032501E"/>
    <w:rsid w:val="00325D96"/>
    <w:rsid w:val="0032649D"/>
    <w:rsid w:val="003267AA"/>
    <w:rsid w:val="00326E47"/>
    <w:rsid w:val="003273F8"/>
    <w:rsid w:val="00327981"/>
    <w:rsid w:val="00327B9C"/>
    <w:rsid w:val="003307AE"/>
    <w:rsid w:val="0033093D"/>
    <w:rsid w:val="00330C99"/>
    <w:rsid w:val="003313AF"/>
    <w:rsid w:val="003323ED"/>
    <w:rsid w:val="00332E21"/>
    <w:rsid w:val="003335E9"/>
    <w:rsid w:val="0033362B"/>
    <w:rsid w:val="0033388D"/>
    <w:rsid w:val="00333EC3"/>
    <w:rsid w:val="003342F9"/>
    <w:rsid w:val="00335334"/>
    <w:rsid w:val="003354EC"/>
    <w:rsid w:val="00335501"/>
    <w:rsid w:val="00335A56"/>
    <w:rsid w:val="00335E6A"/>
    <w:rsid w:val="003360DC"/>
    <w:rsid w:val="0033633A"/>
    <w:rsid w:val="00336815"/>
    <w:rsid w:val="003368C2"/>
    <w:rsid w:val="003369FA"/>
    <w:rsid w:val="00336CC8"/>
    <w:rsid w:val="00337062"/>
    <w:rsid w:val="003376A3"/>
    <w:rsid w:val="003376EF"/>
    <w:rsid w:val="003377B1"/>
    <w:rsid w:val="003379A3"/>
    <w:rsid w:val="00337A5A"/>
    <w:rsid w:val="003408B6"/>
    <w:rsid w:val="0034103C"/>
    <w:rsid w:val="003410E6"/>
    <w:rsid w:val="003410F1"/>
    <w:rsid w:val="003422B4"/>
    <w:rsid w:val="00342453"/>
    <w:rsid w:val="00343320"/>
    <w:rsid w:val="00343B57"/>
    <w:rsid w:val="0034403C"/>
    <w:rsid w:val="00344798"/>
    <w:rsid w:val="003447DB"/>
    <w:rsid w:val="00344C0C"/>
    <w:rsid w:val="00345024"/>
    <w:rsid w:val="0034550C"/>
    <w:rsid w:val="003458EE"/>
    <w:rsid w:val="00346565"/>
    <w:rsid w:val="00346C5B"/>
    <w:rsid w:val="0034760E"/>
    <w:rsid w:val="00347F07"/>
    <w:rsid w:val="003508C2"/>
    <w:rsid w:val="00350ADA"/>
    <w:rsid w:val="00351C6E"/>
    <w:rsid w:val="00352039"/>
    <w:rsid w:val="003520CC"/>
    <w:rsid w:val="00352602"/>
    <w:rsid w:val="00352ED0"/>
    <w:rsid w:val="003537FB"/>
    <w:rsid w:val="00353B61"/>
    <w:rsid w:val="00353CB4"/>
    <w:rsid w:val="0035476C"/>
    <w:rsid w:val="00354A17"/>
    <w:rsid w:val="00355EB7"/>
    <w:rsid w:val="00356024"/>
    <w:rsid w:val="00356570"/>
    <w:rsid w:val="00356950"/>
    <w:rsid w:val="00357E57"/>
    <w:rsid w:val="00357F05"/>
    <w:rsid w:val="00360742"/>
    <w:rsid w:val="003608A6"/>
    <w:rsid w:val="0036172A"/>
    <w:rsid w:val="00361BFE"/>
    <w:rsid w:val="00361D6D"/>
    <w:rsid w:val="003622FF"/>
    <w:rsid w:val="00362AC4"/>
    <w:rsid w:val="003635D4"/>
    <w:rsid w:val="0036364D"/>
    <w:rsid w:val="00363BE7"/>
    <w:rsid w:val="00364889"/>
    <w:rsid w:val="00364A2A"/>
    <w:rsid w:val="003657BA"/>
    <w:rsid w:val="0036783A"/>
    <w:rsid w:val="00367F8E"/>
    <w:rsid w:val="00370510"/>
    <w:rsid w:val="0037201B"/>
    <w:rsid w:val="003722FB"/>
    <w:rsid w:val="003726CB"/>
    <w:rsid w:val="00372D33"/>
    <w:rsid w:val="0037300E"/>
    <w:rsid w:val="00373D72"/>
    <w:rsid w:val="00373E97"/>
    <w:rsid w:val="003742A2"/>
    <w:rsid w:val="00375E23"/>
    <w:rsid w:val="00375ED7"/>
    <w:rsid w:val="00376BA6"/>
    <w:rsid w:val="00377FF0"/>
    <w:rsid w:val="003808C6"/>
    <w:rsid w:val="00380ADC"/>
    <w:rsid w:val="003811BF"/>
    <w:rsid w:val="003818FC"/>
    <w:rsid w:val="00381AE1"/>
    <w:rsid w:val="003828C0"/>
    <w:rsid w:val="00382DEC"/>
    <w:rsid w:val="00383283"/>
    <w:rsid w:val="0038399D"/>
    <w:rsid w:val="00383ADB"/>
    <w:rsid w:val="00383BA6"/>
    <w:rsid w:val="003846C8"/>
    <w:rsid w:val="00386795"/>
    <w:rsid w:val="00386F3C"/>
    <w:rsid w:val="00387468"/>
    <w:rsid w:val="003907CC"/>
    <w:rsid w:val="00391935"/>
    <w:rsid w:val="00391CF1"/>
    <w:rsid w:val="00392513"/>
    <w:rsid w:val="0039266F"/>
    <w:rsid w:val="00393B3C"/>
    <w:rsid w:val="003944DD"/>
    <w:rsid w:val="003945DB"/>
    <w:rsid w:val="00395020"/>
    <w:rsid w:val="00395545"/>
    <w:rsid w:val="003960CF"/>
    <w:rsid w:val="003967DC"/>
    <w:rsid w:val="00396CF6"/>
    <w:rsid w:val="0039725D"/>
    <w:rsid w:val="003973E4"/>
    <w:rsid w:val="0039772C"/>
    <w:rsid w:val="00397F79"/>
    <w:rsid w:val="003A0848"/>
    <w:rsid w:val="003A0FE9"/>
    <w:rsid w:val="003A17B5"/>
    <w:rsid w:val="003A2432"/>
    <w:rsid w:val="003A2B76"/>
    <w:rsid w:val="003A3785"/>
    <w:rsid w:val="003A54BD"/>
    <w:rsid w:val="003A7156"/>
    <w:rsid w:val="003A7979"/>
    <w:rsid w:val="003A7C56"/>
    <w:rsid w:val="003B0786"/>
    <w:rsid w:val="003B23E0"/>
    <w:rsid w:val="003B2E76"/>
    <w:rsid w:val="003B3564"/>
    <w:rsid w:val="003B36B0"/>
    <w:rsid w:val="003B59BB"/>
    <w:rsid w:val="003B5CE6"/>
    <w:rsid w:val="003B5CEA"/>
    <w:rsid w:val="003B5F39"/>
    <w:rsid w:val="003B5FD1"/>
    <w:rsid w:val="003B6149"/>
    <w:rsid w:val="003B6199"/>
    <w:rsid w:val="003B70F4"/>
    <w:rsid w:val="003C085E"/>
    <w:rsid w:val="003C0F96"/>
    <w:rsid w:val="003C194D"/>
    <w:rsid w:val="003C1B3E"/>
    <w:rsid w:val="003C1FDD"/>
    <w:rsid w:val="003C36CC"/>
    <w:rsid w:val="003C4695"/>
    <w:rsid w:val="003C4AA2"/>
    <w:rsid w:val="003C534A"/>
    <w:rsid w:val="003C53D7"/>
    <w:rsid w:val="003C7EA2"/>
    <w:rsid w:val="003D019A"/>
    <w:rsid w:val="003D12ED"/>
    <w:rsid w:val="003D16AA"/>
    <w:rsid w:val="003D16EE"/>
    <w:rsid w:val="003D2965"/>
    <w:rsid w:val="003D30C5"/>
    <w:rsid w:val="003D3585"/>
    <w:rsid w:val="003D3CCC"/>
    <w:rsid w:val="003D415A"/>
    <w:rsid w:val="003D41E7"/>
    <w:rsid w:val="003D4B77"/>
    <w:rsid w:val="003D6172"/>
    <w:rsid w:val="003D6724"/>
    <w:rsid w:val="003D6CB4"/>
    <w:rsid w:val="003D6EA2"/>
    <w:rsid w:val="003D7335"/>
    <w:rsid w:val="003D7A18"/>
    <w:rsid w:val="003D7EED"/>
    <w:rsid w:val="003E02E3"/>
    <w:rsid w:val="003E04BE"/>
    <w:rsid w:val="003E08B5"/>
    <w:rsid w:val="003E0EA6"/>
    <w:rsid w:val="003E11E9"/>
    <w:rsid w:val="003E17DB"/>
    <w:rsid w:val="003E19FD"/>
    <w:rsid w:val="003E1A30"/>
    <w:rsid w:val="003E1EA0"/>
    <w:rsid w:val="003E1EE6"/>
    <w:rsid w:val="003E21E7"/>
    <w:rsid w:val="003E27DF"/>
    <w:rsid w:val="003E2A1C"/>
    <w:rsid w:val="003E2A2C"/>
    <w:rsid w:val="003E3E64"/>
    <w:rsid w:val="003E3EF7"/>
    <w:rsid w:val="003E4A7D"/>
    <w:rsid w:val="003E5031"/>
    <w:rsid w:val="003E5524"/>
    <w:rsid w:val="003E66E9"/>
    <w:rsid w:val="003E713B"/>
    <w:rsid w:val="003E74DB"/>
    <w:rsid w:val="003E752D"/>
    <w:rsid w:val="003E788A"/>
    <w:rsid w:val="003F025C"/>
    <w:rsid w:val="003F054E"/>
    <w:rsid w:val="003F0662"/>
    <w:rsid w:val="003F119A"/>
    <w:rsid w:val="003F2025"/>
    <w:rsid w:val="003F27AA"/>
    <w:rsid w:val="003F3C49"/>
    <w:rsid w:val="003F4D91"/>
    <w:rsid w:val="003F4E2B"/>
    <w:rsid w:val="003F501B"/>
    <w:rsid w:val="003F515C"/>
    <w:rsid w:val="003F52BE"/>
    <w:rsid w:val="003F5601"/>
    <w:rsid w:val="003F5EDE"/>
    <w:rsid w:val="003F61B0"/>
    <w:rsid w:val="003F67A5"/>
    <w:rsid w:val="003F6FCC"/>
    <w:rsid w:val="003F70B2"/>
    <w:rsid w:val="003F747F"/>
    <w:rsid w:val="003F79B1"/>
    <w:rsid w:val="003F7D16"/>
    <w:rsid w:val="00400BCF"/>
    <w:rsid w:val="00400F70"/>
    <w:rsid w:val="004027AC"/>
    <w:rsid w:val="00403D97"/>
    <w:rsid w:val="00403DEF"/>
    <w:rsid w:val="00404576"/>
    <w:rsid w:val="00404772"/>
    <w:rsid w:val="004047D1"/>
    <w:rsid w:val="00404D3D"/>
    <w:rsid w:val="00405408"/>
    <w:rsid w:val="004057B7"/>
    <w:rsid w:val="004059D7"/>
    <w:rsid w:val="00405A1D"/>
    <w:rsid w:val="00405B26"/>
    <w:rsid w:val="004066BD"/>
    <w:rsid w:val="00406964"/>
    <w:rsid w:val="00406F03"/>
    <w:rsid w:val="0040716D"/>
    <w:rsid w:val="004101FE"/>
    <w:rsid w:val="0041061F"/>
    <w:rsid w:val="0041076C"/>
    <w:rsid w:val="0041103E"/>
    <w:rsid w:val="00411B0F"/>
    <w:rsid w:val="00412794"/>
    <w:rsid w:val="00412E7F"/>
    <w:rsid w:val="00413452"/>
    <w:rsid w:val="00413B2D"/>
    <w:rsid w:val="004149A9"/>
    <w:rsid w:val="00414FA3"/>
    <w:rsid w:val="00415079"/>
    <w:rsid w:val="00415DC8"/>
    <w:rsid w:val="0041623A"/>
    <w:rsid w:val="00416C18"/>
    <w:rsid w:val="00416DDB"/>
    <w:rsid w:val="004170DD"/>
    <w:rsid w:val="00417715"/>
    <w:rsid w:val="004207D5"/>
    <w:rsid w:val="00420ABC"/>
    <w:rsid w:val="0042115D"/>
    <w:rsid w:val="00421367"/>
    <w:rsid w:val="00421372"/>
    <w:rsid w:val="00421855"/>
    <w:rsid w:val="0042287A"/>
    <w:rsid w:val="00422C1E"/>
    <w:rsid w:val="00423AE6"/>
    <w:rsid w:val="00423E4D"/>
    <w:rsid w:val="00423FBC"/>
    <w:rsid w:val="00425853"/>
    <w:rsid w:val="00425BA9"/>
    <w:rsid w:val="0042600E"/>
    <w:rsid w:val="00426164"/>
    <w:rsid w:val="004264F1"/>
    <w:rsid w:val="00427068"/>
    <w:rsid w:val="00427526"/>
    <w:rsid w:val="00427630"/>
    <w:rsid w:val="004276FB"/>
    <w:rsid w:val="00427F73"/>
    <w:rsid w:val="004305EE"/>
    <w:rsid w:val="0043061A"/>
    <w:rsid w:val="00430D94"/>
    <w:rsid w:val="004316B3"/>
    <w:rsid w:val="004318BB"/>
    <w:rsid w:val="00432656"/>
    <w:rsid w:val="0043287C"/>
    <w:rsid w:val="00432894"/>
    <w:rsid w:val="00434F68"/>
    <w:rsid w:val="004350BD"/>
    <w:rsid w:val="004350F9"/>
    <w:rsid w:val="00436825"/>
    <w:rsid w:val="004377D4"/>
    <w:rsid w:val="00437CCE"/>
    <w:rsid w:val="00440002"/>
    <w:rsid w:val="0044014F"/>
    <w:rsid w:val="0044086C"/>
    <w:rsid w:val="00440930"/>
    <w:rsid w:val="00441110"/>
    <w:rsid w:val="00441483"/>
    <w:rsid w:val="004419A4"/>
    <w:rsid w:val="0044252F"/>
    <w:rsid w:val="004430F0"/>
    <w:rsid w:val="00443B37"/>
    <w:rsid w:val="00443C68"/>
    <w:rsid w:val="00443DEC"/>
    <w:rsid w:val="00444AB6"/>
    <w:rsid w:val="0044579D"/>
    <w:rsid w:val="00446D36"/>
    <w:rsid w:val="00446D9D"/>
    <w:rsid w:val="00447780"/>
    <w:rsid w:val="00447A28"/>
    <w:rsid w:val="00447A94"/>
    <w:rsid w:val="004506DF"/>
    <w:rsid w:val="004507D1"/>
    <w:rsid w:val="00450BC0"/>
    <w:rsid w:val="0045255C"/>
    <w:rsid w:val="00452AD5"/>
    <w:rsid w:val="00453717"/>
    <w:rsid w:val="00453B89"/>
    <w:rsid w:val="00453D31"/>
    <w:rsid w:val="00454CC2"/>
    <w:rsid w:val="00455087"/>
    <w:rsid w:val="00455271"/>
    <w:rsid w:val="004560D8"/>
    <w:rsid w:val="004561C6"/>
    <w:rsid w:val="0045634A"/>
    <w:rsid w:val="00456E9D"/>
    <w:rsid w:val="004572B3"/>
    <w:rsid w:val="004574D7"/>
    <w:rsid w:val="00457562"/>
    <w:rsid w:val="00457C32"/>
    <w:rsid w:val="00460D70"/>
    <w:rsid w:val="00461A3A"/>
    <w:rsid w:val="00462466"/>
    <w:rsid w:val="00462496"/>
    <w:rsid w:val="00462A5D"/>
    <w:rsid w:val="0046396C"/>
    <w:rsid w:val="00463C49"/>
    <w:rsid w:val="0046440A"/>
    <w:rsid w:val="00464C7B"/>
    <w:rsid w:val="00464D79"/>
    <w:rsid w:val="004651FE"/>
    <w:rsid w:val="00465630"/>
    <w:rsid w:val="0046566C"/>
    <w:rsid w:val="004659B8"/>
    <w:rsid w:val="00466283"/>
    <w:rsid w:val="004663FD"/>
    <w:rsid w:val="004664A1"/>
    <w:rsid w:val="0046752A"/>
    <w:rsid w:val="00470962"/>
    <w:rsid w:val="00470B45"/>
    <w:rsid w:val="00471B2F"/>
    <w:rsid w:val="0047271A"/>
    <w:rsid w:val="00472A8C"/>
    <w:rsid w:val="00472BB0"/>
    <w:rsid w:val="004732D2"/>
    <w:rsid w:val="00473DC5"/>
    <w:rsid w:val="00474495"/>
    <w:rsid w:val="00474D25"/>
    <w:rsid w:val="00474E69"/>
    <w:rsid w:val="004751EA"/>
    <w:rsid w:val="0047632F"/>
    <w:rsid w:val="0047636C"/>
    <w:rsid w:val="0047660B"/>
    <w:rsid w:val="004778B8"/>
    <w:rsid w:val="004802C7"/>
    <w:rsid w:val="0048049D"/>
    <w:rsid w:val="00480896"/>
    <w:rsid w:val="00481F1E"/>
    <w:rsid w:val="0048249D"/>
    <w:rsid w:val="00482B8A"/>
    <w:rsid w:val="00483006"/>
    <w:rsid w:val="0048326B"/>
    <w:rsid w:val="00483C17"/>
    <w:rsid w:val="004853ED"/>
    <w:rsid w:val="004862C8"/>
    <w:rsid w:val="004865BB"/>
    <w:rsid w:val="00486B0B"/>
    <w:rsid w:val="00487330"/>
    <w:rsid w:val="0048774F"/>
    <w:rsid w:val="004879C0"/>
    <w:rsid w:val="00490211"/>
    <w:rsid w:val="004906CB"/>
    <w:rsid w:val="00490CD4"/>
    <w:rsid w:val="004914C0"/>
    <w:rsid w:val="00492702"/>
    <w:rsid w:val="00492869"/>
    <w:rsid w:val="00492893"/>
    <w:rsid w:val="00492F36"/>
    <w:rsid w:val="004949BD"/>
    <w:rsid w:val="00495704"/>
    <w:rsid w:val="00497EDB"/>
    <w:rsid w:val="004A01CA"/>
    <w:rsid w:val="004A0283"/>
    <w:rsid w:val="004A04D0"/>
    <w:rsid w:val="004A04FA"/>
    <w:rsid w:val="004A1390"/>
    <w:rsid w:val="004A14F2"/>
    <w:rsid w:val="004A16E0"/>
    <w:rsid w:val="004A1963"/>
    <w:rsid w:val="004A1F0B"/>
    <w:rsid w:val="004A28E7"/>
    <w:rsid w:val="004A32FF"/>
    <w:rsid w:val="004A35DB"/>
    <w:rsid w:val="004A3F3A"/>
    <w:rsid w:val="004A462D"/>
    <w:rsid w:val="004A4B7E"/>
    <w:rsid w:val="004A510E"/>
    <w:rsid w:val="004A5EFB"/>
    <w:rsid w:val="004A628C"/>
    <w:rsid w:val="004A6D0F"/>
    <w:rsid w:val="004A7167"/>
    <w:rsid w:val="004A7312"/>
    <w:rsid w:val="004A7321"/>
    <w:rsid w:val="004A78C4"/>
    <w:rsid w:val="004B0A35"/>
    <w:rsid w:val="004B1461"/>
    <w:rsid w:val="004B1AE3"/>
    <w:rsid w:val="004B1B30"/>
    <w:rsid w:val="004B1D4A"/>
    <w:rsid w:val="004B337D"/>
    <w:rsid w:val="004B4322"/>
    <w:rsid w:val="004B4772"/>
    <w:rsid w:val="004B490F"/>
    <w:rsid w:val="004B4C1B"/>
    <w:rsid w:val="004B5705"/>
    <w:rsid w:val="004B597D"/>
    <w:rsid w:val="004B6C04"/>
    <w:rsid w:val="004B6CA8"/>
    <w:rsid w:val="004B71B0"/>
    <w:rsid w:val="004B7A41"/>
    <w:rsid w:val="004B7FE4"/>
    <w:rsid w:val="004C0127"/>
    <w:rsid w:val="004C021D"/>
    <w:rsid w:val="004C0367"/>
    <w:rsid w:val="004C08D2"/>
    <w:rsid w:val="004C0E62"/>
    <w:rsid w:val="004C3659"/>
    <w:rsid w:val="004C3A40"/>
    <w:rsid w:val="004C4452"/>
    <w:rsid w:val="004C502A"/>
    <w:rsid w:val="004C5D5E"/>
    <w:rsid w:val="004C6519"/>
    <w:rsid w:val="004C68A5"/>
    <w:rsid w:val="004C7B6A"/>
    <w:rsid w:val="004D0710"/>
    <w:rsid w:val="004D0EE6"/>
    <w:rsid w:val="004D18D8"/>
    <w:rsid w:val="004D1A2C"/>
    <w:rsid w:val="004D3A45"/>
    <w:rsid w:val="004D3FA6"/>
    <w:rsid w:val="004D4275"/>
    <w:rsid w:val="004D445A"/>
    <w:rsid w:val="004D4778"/>
    <w:rsid w:val="004D4C56"/>
    <w:rsid w:val="004D602B"/>
    <w:rsid w:val="004D6145"/>
    <w:rsid w:val="004D652F"/>
    <w:rsid w:val="004D6E66"/>
    <w:rsid w:val="004D7AE4"/>
    <w:rsid w:val="004E0073"/>
    <w:rsid w:val="004E1276"/>
    <w:rsid w:val="004E17D8"/>
    <w:rsid w:val="004E23CD"/>
    <w:rsid w:val="004E2685"/>
    <w:rsid w:val="004E29CB"/>
    <w:rsid w:val="004E376A"/>
    <w:rsid w:val="004E38A6"/>
    <w:rsid w:val="004E3CEB"/>
    <w:rsid w:val="004E4CE3"/>
    <w:rsid w:val="004E4FC0"/>
    <w:rsid w:val="004E5039"/>
    <w:rsid w:val="004E51CA"/>
    <w:rsid w:val="004E5B60"/>
    <w:rsid w:val="004F00C4"/>
    <w:rsid w:val="004F0548"/>
    <w:rsid w:val="004F0694"/>
    <w:rsid w:val="004F0803"/>
    <w:rsid w:val="004F08A9"/>
    <w:rsid w:val="004F0AE1"/>
    <w:rsid w:val="004F1954"/>
    <w:rsid w:val="004F1F44"/>
    <w:rsid w:val="004F2568"/>
    <w:rsid w:val="004F2A7F"/>
    <w:rsid w:val="004F2FFD"/>
    <w:rsid w:val="004F358A"/>
    <w:rsid w:val="004F3683"/>
    <w:rsid w:val="004F3FB3"/>
    <w:rsid w:val="004F7C02"/>
    <w:rsid w:val="004F7F4B"/>
    <w:rsid w:val="00500271"/>
    <w:rsid w:val="0050054B"/>
    <w:rsid w:val="0050055A"/>
    <w:rsid w:val="00501701"/>
    <w:rsid w:val="00501803"/>
    <w:rsid w:val="00502567"/>
    <w:rsid w:val="005027F0"/>
    <w:rsid w:val="0050353E"/>
    <w:rsid w:val="005038CD"/>
    <w:rsid w:val="00503F26"/>
    <w:rsid w:val="00503FA1"/>
    <w:rsid w:val="00504CAA"/>
    <w:rsid w:val="00505C57"/>
    <w:rsid w:val="00507879"/>
    <w:rsid w:val="0051009A"/>
    <w:rsid w:val="005107C0"/>
    <w:rsid w:val="005109F1"/>
    <w:rsid w:val="0051120C"/>
    <w:rsid w:val="00511E38"/>
    <w:rsid w:val="00511E60"/>
    <w:rsid w:val="00511EC2"/>
    <w:rsid w:val="00512189"/>
    <w:rsid w:val="005125AF"/>
    <w:rsid w:val="0051302D"/>
    <w:rsid w:val="00515737"/>
    <w:rsid w:val="0051640D"/>
    <w:rsid w:val="00516FFF"/>
    <w:rsid w:val="005171BF"/>
    <w:rsid w:val="00517890"/>
    <w:rsid w:val="00517B89"/>
    <w:rsid w:val="00517B90"/>
    <w:rsid w:val="00520346"/>
    <w:rsid w:val="0052050F"/>
    <w:rsid w:val="005211D0"/>
    <w:rsid w:val="00522B40"/>
    <w:rsid w:val="00523626"/>
    <w:rsid w:val="00523F9A"/>
    <w:rsid w:val="00524301"/>
    <w:rsid w:val="00524EDE"/>
    <w:rsid w:val="00525A99"/>
    <w:rsid w:val="00525C8B"/>
    <w:rsid w:val="00526075"/>
    <w:rsid w:val="005277D1"/>
    <w:rsid w:val="00527C59"/>
    <w:rsid w:val="0053029C"/>
    <w:rsid w:val="00530A30"/>
    <w:rsid w:val="00531828"/>
    <w:rsid w:val="00531C2D"/>
    <w:rsid w:val="00531DF6"/>
    <w:rsid w:val="00532355"/>
    <w:rsid w:val="005332EB"/>
    <w:rsid w:val="005339EA"/>
    <w:rsid w:val="00534073"/>
    <w:rsid w:val="005341E3"/>
    <w:rsid w:val="00534484"/>
    <w:rsid w:val="00534560"/>
    <w:rsid w:val="00534699"/>
    <w:rsid w:val="00534DA2"/>
    <w:rsid w:val="0053533F"/>
    <w:rsid w:val="00535A68"/>
    <w:rsid w:val="00536B4A"/>
    <w:rsid w:val="00537287"/>
    <w:rsid w:val="0053761D"/>
    <w:rsid w:val="0054073A"/>
    <w:rsid w:val="00540A94"/>
    <w:rsid w:val="005419F6"/>
    <w:rsid w:val="00541D6D"/>
    <w:rsid w:val="00541F42"/>
    <w:rsid w:val="005432DB"/>
    <w:rsid w:val="005434C8"/>
    <w:rsid w:val="00543D52"/>
    <w:rsid w:val="005445BF"/>
    <w:rsid w:val="00544D72"/>
    <w:rsid w:val="005453F9"/>
    <w:rsid w:val="00545416"/>
    <w:rsid w:val="00545DD8"/>
    <w:rsid w:val="00546BF7"/>
    <w:rsid w:val="00546D2E"/>
    <w:rsid w:val="00546E5D"/>
    <w:rsid w:val="00546EAE"/>
    <w:rsid w:val="0054761F"/>
    <w:rsid w:val="00547C83"/>
    <w:rsid w:val="0055095D"/>
    <w:rsid w:val="005515CD"/>
    <w:rsid w:val="00551B5D"/>
    <w:rsid w:val="00551E7D"/>
    <w:rsid w:val="00553AEB"/>
    <w:rsid w:val="00553D25"/>
    <w:rsid w:val="005548B5"/>
    <w:rsid w:val="00554B1B"/>
    <w:rsid w:val="00555573"/>
    <w:rsid w:val="005555EC"/>
    <w:rsid w:val="0055770B"/>
    <w:rsid w:val="00557D6F"/>
    <w:rsid w:val="00557D9C"/>
    <w:rsid w:val="00562CFA"/>
    <w:rsid w:val="00563952"/>
    <w:rsid w:val="005648DF"/>
    <w:rsid w:val="0056491D"/>
    <w:rsid w:val="00564B9B"/>
    <w:rsid w:val="0056532D"/>
    <w:rsid w:val="005658D6"/>
    <w:rsid w:val="00565B9B"/>
    <w:rsid w:val="00565C8B"/>
    <w:rsid w:val="00565E64"/>
    <w:rsid w:val="00566903"/>
    <w:rsid w:val="00566ED7"/>
    <w:rsid w:val="00567E5B"/>
    <w:rsid w:val="005704A7"/>
    <w:rsid w:val="005707C3"/>
    <w:rsid w:val="005709D7"/>
    <w:rsid w:val="00570D07"/>
    <w:rsid w:val="00571961"/>
    <w:rsid w:val="005726AF"/>
    <w:rsid w:val="00572966"/>
    <w:rsid w:val="00572B2D"/>
    <w:rsid w:val="00573401"/>
    <w:rsid w:val="00574E0D"/>
    <w:rsid w:val="00575212"/>
    <w:rsid w:val="005763A8"/>
    <w:rsid w:val="005778E1"/>
    <w:rsid w:val="00577A29"/>
    <w:rsid w:val="00580035"/>
    <w:rsid w:val="0058064E"/>
    <w:rsid w:val="00580C4A"/>
    <w:rsid w:val="00580DED"/>
    <w:rsid w:val="00581A83"/>
    <w:rsid w:val="00583B4F"/>
    <w:rsid w:val="0058526D"/>
    <w:rsid w:val="00585765"/>
    <w:rsid w:val="0058597B"/>
    <w:rsid w:val="00586380"/>
    <w:rsid w:val="005876A2"/>
    <w:rsid w:val="00590C33"/>
    <w:rsid w:val="00591024"/>
    <w:rsid w:val="005914F8"/>
    <w:rsid w:val="00592312"/>
    <w:rsid w:val="00592778"/>
    <w:rsid w:val="005942EA"/>
    <w:rsid w:val="00594805"/>
    <w:rsid w:val="0059498C"/>
    <w:rsid w:val="00594F4A"/>
    <w:rsid w:val="0059519E"/>
    <w:rsid w:val="005958AA"/>
    <w:rsid w:val="005962CD"/>
    <w:rsid w:val="00596801"/>
    <w:rsid w:val="005973ED"/>
    <w:rsid w:val="00597694"/>
    <w:rsid w:val="00597CCF"/>
    <w:rsid w:val="00597E46"/>
    <w:rsid w:val="005A0D31"/>
    <w:rsid w:val="005A0FCB"/>
    <w:rsid w:val="005A1AF9"/>
    <w:rsid w:val="005A1CC3"/>
    <w:rsid w:val="005A3CBE"/>
    <w:rsid w:val="005A4135"/>
    <w:rsid w:val="005A41CE"/>
    <w:rsid w:val="005A4DA8"/>
    <w:rsid w:val="005A52E1"/>
    <w:rsid w:val="005A6340"/>
    <w:rsid w:val="005A6542"/>
    <w:rsid w:val="005A65E0"/>
    <w:rsid w:val="005A6F9B"/>
    <w:rsid w:val="005A738A"/>
    <w:rsid w:val="005A74AD"/>
    <w:rsid w:val="005A7788"/>
    <w:rsid w:val="005B0515"/>
    <w:rsid w:val="005B072D"/>
    <w:rsid w:val="005B0873"/>
    <w:rsid w:val="005B08F1"/>
    <w:rsid w:val="005B0931"/>
    <w:rsid w:val="005B0C11"/>
    <w:rsid w:val="005B10A9"/>
    <w:rsid w:val="005B131C"/>
    <w:rsid w:val="005B1448"/>
    <w:rsid w:val="005B1502"/>
    <w:rsid w:val="005B1F07"/>
    <w:rsid w:val="005B3388"/>
    <w:rsid w:val="005B4598"/>
    <w:rsid w:val="005B4712"/>
    <w:rsid w:val="005B4CCD"/>
    <w:rsid w:val="005B50D3"/>
    <w:rsid w:val="005B574B"/>
    <w:rsid w:val="005B5F17"/>
    <w:rsid w:val="005B61EE"/>
    <w:rsid w:val="005B6293"/>
    <w:rsid w:val="005B67D3"/>
    <w:rsid w:val="005C03FB"/>
    <w:rsid w:val="005C077C"/>
    <w:rsid w:val="005C0881"/>
    <w:rsid w:val="005C1352"/>
    <w:rsid w:val="005C17C0"/>
    <w:rsid w:val="005C264C"/>
    <w:rsid w:val="005C331E"/>
    <w:rsid w:val="005C4130"/>
    <w:rsid w:val="005C43F3"/>
    <w:rsid w:val="005C5005"/>
    <w:rsid w:val="005C57E0"/>
    <w:rsid w:val="005C60E8"/>
    <w:rsid w:val="005C699D"/>
    <w:rsid w:val="005C69EF"/>
    <w:rsid w:val="005C7552"/>
    <w:rsid w:val="005D0F72"/>
    <w:rsid w:val="005D113E"/>
    <w:rsid w:val="005D121D"/>
    <w:rsid w:val="005D14DD"/>
    <w:rsid w:val="005D16BB"/>
    <w:rsid w:val="005D1956"/>
    <w:rsid w:val="005D244D"/>
    <w:rsid w:val="005D2520"/>
    <w:rsid w:val="005D25B0"/>
    <w:rsid w:val="005D28E3"/>
    <w:rsid w:val="005D2943"/>
    <w:rsid w:val="005D3290"/>
    <w:rsid w:val="005D37D4"/>
    <w:rsid w:val="005D3861"/>
    <w:rsid w:val="005D3ED6"/>
    <w:rsid w:val="005D4366"/>
    <w:rsid w:val="005D448D"/>
    <w:rsid w:val="005D4BC7"/>
    <w:rsid w:val="005D646E"/>
    <w:rsid w:val="005D6538"/>
    <w:rsid w:val="005D6778"/>
    <w:rsid w:val="005D69B8"/>
    <w:rsid w:val="005D6AB6"/>
    <w:rsid w:val="005D728E"/>
    <w:rsid w:val="005D78DB"/>
    <w:rsid w:val="005D7B94"/>
    <w:rsid w:val="005D7BA5"/>
    <w:rsid w:val="005E10D1"/>
    <w:rsid w:val="005E116D"/>
    <w:rsid w:val="005E16E3"/>
    <w:rsid w:val="005E1832"/>
    <w:rsid w:val="005E1DB7"/>
    <w:rsid w:val="005E266D"/>
    <w:rsid w:val="005E2A5E"/>
    <w:rsid w:val="005E2E83"/>
    <w:rsid w:val="005E333E"/>
    <w:rsid w:val="005E35FE"/>
    <w:rsid w:val="005E40B1"/>
    <w:rsid w:val="005E4509"/>
    <w:rsid w:val="005E450B"/>
    <w:rsid w:val="005E489C"/>
    <w:rsid w:val="005E596F"/>
    <w:rsid w:val="005E5D62"/>
    <w:rsid w:val="005E5EA4"/>
    <w:rsid w:val="005F1177"/>
    <w:rsid w:val="005F1C60"/>
    <w:rsid w:val="005F2360"/>
    <w:rsid w:val="005F259A"/>
    <w:rsid w:val="005F313A"/>
    <w:rsid w:val="005F32C2"/>
    <w:rsid w:val="005F362B"/>
    <w:rsid w:val="005F3A82"/>
    <w:rsid w:val="005F4634"/>
    <w:rsid w:val="005F5963"/>
    <w:rsid w:val="005F5C1C"/>
    <w:rsid w:val="005F5C6B"/>
    <w:rsid w:val="005F62CE"/>
    <w:rsid w:val="005F632C"/>
    <w:rsid w:val="005F63C3"/>
    <w:rsid w:val="005F655D"/>
    <w:rsid w:val="005F6A90"/>
    <w:rsid w:val="005F700B"/>
    <w:rsid w:val="005F7115"/>
    <w:rsid w:val="005F7236"/>
    <w:rsid w:val="005F78ED"/>
    <w:rsid w:val="006001BB"/>
    <w:rsid w:val="00600366"/>
    <w:rsid w:val="006008E7"/>
    <w:rsid w:val="00601D59"/>
    <w:rsid w:val="006025F4"/>
    <w:rsid w:val="006036F9"/>
    <w:rsid w:val="00604519"/>
    <w:rsid w:val="00604AB6"/>
    <w:rsid w:val="006055F3"/>
    <w:rsid w:val="00605BEB"/>
    <w:rsid w:val="006065D8"/>
    <w:rsid w:val="00606BB7"/>
    <w:rsid w:val="00606DC6"/>
    <w:rsid w:val="006072C1"/>
    <w:rsid w:val="0060734E"/>
    <w:rsid w:val="00607633"/>
    <w:rsid w:val="00607D9C"/>
    <w:rsid w:val="00610E48"/>
    <w:rsid w:val="00611B2C"/>
    <w:rsid w:val="00611F11"/>
    <w:rsid w:val="00612295"/>
    <w:rsid w:val="00612513"/>
    <w:rsid w:val="00612936"/>
    <w:rsid w:val="00612E47"/>
    <w:rsid w:val="0061303A"/>
    <w:rsid w:val="0061329B"/>
    <w:rsid w:val="00613FA3"/>
    <w:rsid w:val="006146AB"/>
    <w:rsid w:val="006147EF"/>
    <w:rsid w:val="00614AF8"/>
    <w:rsid w:val="00614B44"/>
    <w:rsid w:val="00614F20"/>
    <w:rsid w:val="00615D57"/>
    <w:rsid w:val="00615EDD"/>
    <w:rsid w:val="00616AB2"/>
    <w:rsid w:val="00616E25"/>
    <w:rsid w:val="0061779A"/>
    <w:rsid w:val="00620808"/>
    <w:rsid w:val="00622282"/>
    <w:rsid w:val="006226EF"/>
    <w:rsid w:val="00623090"/>
    <w:rsid w:val="00623623"/>
    <w:rsid w:val="00623625"/>
    <w:rsid w:val="006237FC"/>
    <w:rsid w:val="00624038"/>
    <w:rsid w:val="006267FE"/>
    <w:rsid w:val="00627B7A"/>
    <w:rsid w:val="006300A9"/>
    <w:rsid w:val="006301BA"/>
    <w:rsid w:val="006308AC"/>
    <w:rsid w:val="00630ECC"/>
    <w:rsid w:val="00631633"/>
    <w:rsid w:val="00632466"/>
    <w:rsid w:val="00632CB6"/>
    <w:rsid w:val="0063337F"/>
    <w:rsid w:val="00633785"/>
    <w:rsid w:val="00633AF7"/>
    <w:rsid w:val="00633D09"/>
    <w:rsid w:val="0063424A"/>
    <w:rsid w:val="00636917"/>
    <w:rsid w:val="00636EF3"/>
    <w:rsid w:val="0063715A"/>
    <w:rsid w:val="00637229"/>
    <w:rsid w:val="006405D8"/>
    <w:rsid w:val="00640778"/>
    <w:rsid w:val="0064092A"/>
    <w:rsid w:val="00640A1B"/>
    <w:rsid w:val="00641566"/>
    <w:rsid w:val="00641FF7"/>
    <w:rsid w:val="00642F0C"/>
    <w:rsid w:val="0064339E"/>
    <w:rsid w:val="006433D8"/>
    <w:rsid w:val="00643B3F"/>
    <w:rsid w:val="00643F29"/>
    <w:rsid w:val="00644A50"/>
    <w:rsid w:val="006450FB"/>
    <w:rsid w:val="00645D80"/>
    <w:rsid w:val="0064618C"/>
    <w:rsid w:val="006463D1"/>
    <w:rsid w:val="0064665B"/>
    <w:rsid w:val="00647051"/>
    <w:rsid w:val="00650337"/>
    <w:rsid w:val="00650A78"/>
    <w:rsid w:val="00650E6C"/>
    <w:rsid w:val="00651940"/>
    <w:rsid w:val="00652F4E"/>
    <w:rsid w:val="006530FB"/>
    <w:rsid w:val="0065369B"/>
    <w:rsid w:val="00653824"/>
    <w:rsid w:val="006539BE"/>
    <w:rsid w:val="00654A19"/>
    <w:rsid w:val="0065733E"/>
    <w:rsid w:val="00657EB4"/>
    <w:rsid w:val="00660051"/>
    <w:rsid w:val="00660853"/>
    <w:rsid w:val="00660AFC"/>
    <w:rsid w:val="00662167"/>
    <w:rsid w:val="00663418"/>
    <w:rsid w:val="00663BF2"/>
    <w:rsid w:val="006648BD"/>
    <w:rsid w:val="00664A80"/>
    <w:rsid w:val="00666BC4"/>
    <w:rsid w:val="00670C54"/>
    <w:rsid w:val="006718C5"/>
    <w:rsid w:val="00671FD7"/>
    <w:rsid w:val="006720EC"/>
    <w:rsid w:val="006722D0"/>
    <w:rsid w:val="00672B60"/>
    <w:rsid w:val="0067328A"/>
    <w:rsid w:val="00673388"/>
    <w:rsid w:val="00674053"/>
    <w:rsid w:val="00674299"/>
    <w:rsid w:val="00674532"/>
    <w:rsid w:val="00674F3E"/>
    <w:rsid w:val="00674FDB"/>
    <w:rsid w:val="006757D4"/>
    <w:rsid w:val="00675ACC"/>
    <w:rsid w:val="006765FA"/>
    <w:rsid w:val="006769D1"/>
    <w:rsid w:val="00677079"/>
    <w:rsid w:val="006774AD"/>
    <w:rsid w:val="00680744"/>
    <w:rsid w:val="00680E22"/>
    <w:rsid w:val="00681105"/>
    <w:rsid w:val="00681220"/>
    <w:rsid w:val="0068178A"/>
    <w:rsid w:val="006817E1"/>
    <w:rsid w:val="0068193D"/>
    <w:rsid w:val="00681FBD"/>
    <w:rsid w:val="00682754"/>
    <w:rsid w:val="00682832"/>
    <w:rsid w:val="006846CD"/>
    <w:rsid w:val="00684C23"/>
    <w:rsid w:val="00684E9E"/>
    <w:rsid w:val="006852B8"/>
    <w:rsid w:val="00685D5C"/>
    <w:rsid w:val="00686368"/>
    <w:rsid w:val="006869B9"/>
    <w:rsid w:val="00686B9D"/>
    <w:rsid w:val="00687CF3"/>
    <w:rsid w:val="00690158"/>
    <w:rsid w:val="00690448"/>
    <w:rsid w:val="00690E0F"/>
    <w:rsid w:val="00691512"/>
    <w:rsid w:val="00691A76"/>
    <w:rsid w:val="00694924"/>
    <w:rsid w:val="00696182"/>
    <w:rsid w:val="006965D1"/>
    <w:rsid w:val="006972DC"/>
    <w:rsid w:val="00697934"/>
    <w:rsid w:val="00697AC5"/>
    <w:rsid w:val="006A04BC"/>
    <w:rsid w:val="006A10DB"/>
    <w:rsid w:val="006A1674"/>
    <w:rsid w:val="006A16A7"/>
    <w:rsid w:val="006A1B89"/>
    <w:rsid w:val="006A1CB1"/>
    <w:rsid w:val="006A225C"/>
    <w:rsid w:val="006A4235"/>
    <w:rsid w:val="006A58DC"/>
    <w:rsid w:val="006A5CC0"/>
    <w:rsid w:val="006A65CE"/>
    <w:rsid w:val="006A6E49"/>
    <w:rsid w:val="006A7E96"/>
    <w:rsid w:val="006B031A"/>
    <w:rsid w:val="006B0E92"/>
    <w:rsid w:val="006B18FB"/>
    <w:rsid w:val="006B1B18"/>
    <w:rsid w:val="006B1D7E"/>
    <w:rsid w:val="006B216B"/>
    <w:rsid w:val="006B26DC"/>
    <w:rsid w:val="006B3E78"/>
    <w:rsid w:val="006B46F5"/>
    <w:rsid w:val="006B4969"/>
    <w:rsid w:val="006B49A8"/>
    <w:rsid w:val="006B51C2"/>
    <w:rsid w:val="006B5244"/>
    <w:rsid w:val="006B6614"/>
    <w:rsid w:val="006B682E"/>
    <w:rsid w:val="006B7998"/>
    <w:rsid w:val="006C0275"/>
    <w:rsid w:val="006C059B"/>
    <w:rsid w:val="006C0C45"/>
    <w:rsid w:val="006C0CFC"/>
    <w:rsid w:val="006C2504"/>
    <w:rsid w:val="006C32FC"/>
    <w:rsid w:val="006C4099"/>
    <w:rsid w:val="006C5470"/>
    <w:rsid w:val="006C5AB1"/>
    <w:rsid w:val="006C6616"/>
    <w:rsid w:val="006C7536"/>
    <w:rsid w:val="006C7585"/>
    <w:rsid w:val="006C7A72"/>
    <w:rsid w:val="006D03B2"/>
    <w:rsid w:val="006D0F6E"/>
    <w:rsid w:val="006D2317"/>
    <w:rsid w:val="006D3C99"/>
    <w:rsid w:val="006D46A0"/>
    <w:rsid w:val="006D48D1"/>
    <w:rsid w:val="006D5635"/>
    <w:rsid w:val="006D6107"/>
    <w:rsid w:val="006D633F"/>
    <w:rsid w:val="006D6D6F"/>
    <w:rsid w:val="006D7BA5"/>
    <w:rsid w:val="006D7C21"/>
    <w:rsid w:val="006D7D0C"/>
    <w:rsid w:val="006E0020"/>
    <w:rsid w:val="006E012A"/>
    <w:rsid w:val="006E0B7E"/>
    <w:rsid w:val="006E0C98"/>
    <w:rsid w:val="006E109E"/>
    <w:rsid w:val="006E124E"/>
    <w:rsid w:val="006E2A50"/>
    <w:rsid w:val="006E2DBE"/>
    <w:rsid w:val="006E2F26"/>
    <w:rsid w:val="006E3867"/>
    <w:rsid w:val="006E405F"/>
    <w:rsid w:val="006E444B"/>
    <w:rsid w:val="006E56B6"/>
    <w:rsid w:val="006E5F88"/>
    <w:rsid w:val="006E6AD8"/>
    <w:rsid w:val="006E6BFF"/>
    <w:rsid w:val="006E7872"/>
    <w:rsid w:val="006E7B52"/>
    <w:rsid w:val="006E7C7B"/>
    <w:rsid w:val="006E7F3D"/>
    <w:rsid w:val="006F0FF8"/>
    <w:rsid w:val="006F1638"/>
    <w:rsid w:val="006F1B8C"/>
    <w:rsid w:val="006F1EA8"/>
    <w:rsid w:val="006F2298"/>
    <w:rsid w:val="006F2B1E"/>
    <w:rsid w:val="006F39E6"/>
    <w:rsid w:val="006F3AD8"/>
    <w:rsid w:val="006F4BB6"/>
    <w:rsid w:val="006F4D82"/>
    <w:rsid w:val="006F5A7E"/>
    <w:rsid w:val="006F6EC3"/>
    <w:rsid w:val="006F7F3C"/>
    <w:rsid w:val="00700AFD"/>
    <w:rsid w:val="007011B1"/>
    <w:rsid w:val="00701B1E"/>
    <w:rsid w:val="00701CB7"/>
    <w:rsid w:val="00702308"/>
    <w:rsid w:val="007036AC"/>
    <w:rsid w:val="007037D7"/>
    <w:rsid w:val="00704131"/>
    <w:rsid w:val="007042CF"/>
    <w:rsid w:val="00704981"/>
    <w:rsid w:val="00705686"/>
    <w:rsid w:val="0070571D"/>
    <w:rsid w:val="007068E0"/>
    <w:rsid w:val="00707667"/>
    <w:rsid w:val="00707866"/>
    <w:rsid w:val="007102C3"/>
    <w:rsid w:val="00710841"/>
    <w:rsid w:val="00710C9D"/>
    <w:rsid w:val="00710E1B"/>
    <w:rsid w:val="00710FB8"/>
    <w:rsid w:val="0071130B"/>
    <w:rsid w:val="00714805"/>
    <w:rsid w:val="00714CC9"/>
    <w:rsid w:val="00715E20"/>
    <w:rsid w:val="00716413"/>
    <w:rsid w:val="00716452"/>
    <w:rsid w:val="00716F7B"/>
    <w:rsid w:val="00717323"/>
    <w:rsid w:val="00717523"/>
    <w:rsid w:val="007177E8"/>
    <w:rsid w:val="00717F60"/>
    <w:rsid w:val="007202E7"/>
    <w:rsid w:val="00720BE5"/>
    <w:rsid w:val="00721138"/>
    <w:rsid w:val="00721149"/>
    <w:rsid w:val="00721608"/>
    <w:rsid w:val="00721CDE"/>
    <w:rsid w:val="00722CE6"/>
    <w:rsid w:val="00722DF0"/>
    <w:rsid w:val="00723BE5"/>
    <w:rsid w:val="00723EE0"/>
    <w:rsid w:val="007249B2"/>
    <w:rsid w:val="0072567D"/>
    <w:rsid w:val="007264A8"/>
    <w:rsid w:val="00726FDD"/>
    <w:rsid w:val="0072737D"/>
    <w:rsid w:val="00727DF6"/>
    <w:rsid w:val="007305E4"/>
    <w:rsid w:val="00730A02"/>
    <w:rsid w:val="00730F4A"/>
    <w:rsid w:val="007310DD"/>
    <w:rsid w:val="00731980"/>
    <w:rsid w:val="00732E1B"/>
    <w:rsid w:val="00733676"/>
    <w:rsid w:val="007343AD"/>
    <w:rsid w:val="00734FA7"/>
    <w:rsid w:val="0073552B"/>
    <w:rsid w:val="007355C2"/>
    <w:rsid w:val="00735D8B"/>
    <w:rsid w:val="00735FAA"/>
    <w:rsid w:val="00736DE7"/>
    <w:rsid w:val="00736F48"/>
    <w:rsid w:val="00737CF4"/>
    <w:rsid w:val="00740E83"/>
    <w:rsid w:val="00742927"/>
    <w:rsid w:val="00742DD6"/>
    <w:rsid w:val="007445F0"/>
    <w:rsid w:val="007451A3"/>
    <w:rsid w:val="00745D56"/>
    <w:rsid w:val="00745E29"/>
    <w:rsid w:val="00746F55"/>
    <w:rsid w:val="00747638"/>
    <w:rsid w:val="00750055"/>
    <w:rsid w:val="0075163B"/>
    <w:rsid w:val="00751871"/>
    <w:rsid w:val="00751B8E"/>
    <w:rsid w:val="00752792"/>
    <w:rsid w:val="007529E8"/>
    <w:rsid w:val="007530B3"/>
    <w:rsid w:val="007532B2"/>
    <w:rsid w:val="007541A0"/>
    <w:rsid w:val="007544A9"/>
    <w:rsid w:val="00754586"/>
    <w:rsid w:val="007546A5"/>
    <w:rsid w:val="00754FF8"/>
    <w:rsid w:val="00755286"/>
    <w:rsid w:val="0075574A"/>
    <w:rsid w:val="00755872"/>
    <w:rsid w:val="007559B8"/>
    <w:rsid w:val="00756045"/>
    <w:rsid w:val="007569CD"/>
    <w:rsid w:val="00756AC4"/>
    <w:rsid w:val="00756DF3"/>
    <w:rsid w:val="0075719F"/>
    <w:rsid w:val="007574C8"/>
    <w:rsid w:val="00757671"/>
    <w:rsid w:val="0076027F"/>
    <w:rsid w:val="007604C7"/>
    <w:rsid w:val="00760856"/>
    <w:rsid w:val="007613BB"/>
    <w:rsid w:val="0076286F"/>
    <w:rsid w:val="007631B9"/>
    <w:rsid w:val="00764900"/>
    <w:rsid w:val="00765E0D"/>
    <w:rsid w:val="00765FD7"/>
    <w:rsid w:val="007663A9"/>
    <w:rsid w:val="0076669B"/>
    <w:rsid w:val="00766E38"/>
    <w:rsid w:val="007676E1"/>
    <w:rsid w:val="00767B15"/>
    <w:rsid w:val="00767C19"/>
    <w:rsid w:val="00770655"/>
    <w:rsid w:val="00770F4D"/>
    <w:rsid w:val="00771DDE"/>
    <w:rsid w:val="00772C05"/>
    <w:rsid w:val="00772F20"/>
    <w:rsid w:val="007742B9"/>
    <w:rsid w:val="00774C41"/>
    <w:rsid w:val="00774DD1"/>
    <w:rsid w:val="0077503C"/>
    <w:rsid w:val="00775CAA"/>
    <w:rsid w:val="00776071"/>
    <w:rsid w:val="007762DB"/>
    <w:rsid w:val="00776634"/>
    <w:rsid w:val="00777695"/>
    <w:rsid w:val="00777D9E"/>
    <w:rsid w:val="00777DDC"/>
    <w:rsid w:val="00777E1C"/>
    <w:rsid w:val="00780713"/>
    <w:rsid w:val="00780A05"/>
    <w:rsid w:val="00781050"/>
    <w:rsid w:val="00781270"/>
    <w:rsid w:val="00781272"/>
    <w:rsid w:val="0078147C"/>
    <w:rsid w:val="00781C88"/>
    <w:rsid w:val="00781FE6"/>
    <w:rsid w:val="00782899"/>
    <w:rsid w:val="00783DAF"/>
    <w:rsid w:val="00784739"/>
    <w:rsid w:val="00785B01"/>
    <w:rsid w:val="00785E10"/>
    <w:rsid w:val="00786478"/>
    <w:rsid w:val="00786511"/>
    <w:rsid w:val="00786EF3"/>
    <w:rsid w:val="00787257"/>
    <w:rsid w:val="00787632"/>
    <w:rsid w:val="00787AB5"/>
    <w:rsid w:val="00787BB6"/>
    <w:rsid w:val="007903F4"/>
    <w:rsid w:val="00791431"/>
    <w:rsid w:val="00792535"/>
    <w:rsid w:val="00793767"/>
    <w:rsid w:val="00793820"/>
    <w:rsid w:val="00794841"/>
    <w:rsid w:val="007949B7"/>
    <w:rsid w:val="00794A76"/>
    <w:rsid w:val="00794AB2"/>
    <w:rsid w:val="00794EDA"/>
    <w:rsid w:val="00795535"/>
    <w:rsid w:val="007965BA"/>
    <w:rsid w:val="00796691"/>
    <w:rsid w:val="00797054"/>
    <w:rsid w:val="007971D6"/>
    <w:rsid w:val="007A247A"/>
    <w:rsid w:val="007A2E9B"/>
    <w:rsid w:val="007A3A42"/>
    <w:rsid w:val="007A3A7E"/>
    <w:rsid w:val="007A3D87"/>
    <w:rsid w:val="007A3F31"/>
    <w:rsid w:val="007A465B"/>
    <w:rsid w:val="007A589A"/>
    <w:rsid w:val="007A59C9"/>
    <w:rsid w:val="007A5BA2"/>
    <w:rsid w:val="007A6F77"/>
    <w:rsid w:val="007A6FF9"/>
    <w:rsid w:val="007B1959"/>
    <w:rsid w:val="007B2D99"/>
    <w:rsid w:val="007B2E46"/>
    <w:rsid w:val="007B3998"/>
    <w:rsid w:val="007B471A"/>
    <w:rsid w:val="007B4D4B"/>
    <w:rsid w:val="007B5448"/>
    <w:rsid w:val="007B587B"/>
    <w:rsid w:val="007B601F"/>
    <w:rsid w:val="007B63C6"/>
    <w:rsid w:val="007B6B56"/>
    <w:rsid w:val="007B6BF6"/>
    <w:rsid w:val="007B7193"/>
    <w:rsid w:val="007B792A"/>
    <w:rsid w:val="007C15DF"/>
    <w:rsid w:val="007C246F"/>
    <w:rsid w:val="007C351C"/>
    <w:rsid w:val="007C3B35"/>
    <w:rsid w:val="007C3C30"/>
    <w:rsid w:val="007C4F51"/>
    <w:rsid w:val="007C5233"/>
    <w:rsid w:val="007C5486"/>
    <w:rsid w:val="007C5CF6"/>
    <w:rsid w:val="007C5DFE"/>
    <w:rsid w:val="007C5F5A"/>
    <w:rsid w:val="007C6ABB"/>
    <w:rsid w:val="007D0A00"/>
    <w:rsid w:val="007D0D2B"/>
    <w:rsid w:val="007D0E1E"/>
    <w:rsid w:val="007D10BF"/>
    <w:rsid w:val="007D25BB"/>
    <w:rsid w:val="007D273F"/>
    <w:rsid w:val="007D2814"/>
    <w:rsid w:val="007D2914"/>
    <w:rsid w:val="007D3439"/>
    <w:rsid w:val="007D3C36"/>
    <w:rsid w:val="007D4495"/>
    <w:rsid w:val="007D5113"/>
    <w:rsid w:val="007D5649"/>
    <w:rsid w:val="007D6535"/>
    <w:rsid w:val="007D690A"/>
    <w:rsid w:val="007D77D8"/>
    <w:rsid w:val="007E0549"/>
    <w:rsid w:val="007E09FF"/>
    <w:rsid w:val="007E34CC"/>
    <w:rsid w:val="007E35E9"/>
    <w:rsid w:val="007E3C6E"/>
    <w:rsid w:val="007E3EFC"/>
    <w:rsid w:val="007E4752"/>
    <w:rsid w:val="007E49F9"/>
    <w:rsid w:val="007E5997"/>
    <w:rsid w:val="007E66EF"/>
    <w:rsid w:val="007E68F3"/>
    <w:rsid w:val="007F017B"/>
    <w:rsid w:val="007F071C"/>
    <w:rsid w:val="007F07D5"/>
    <w:rsid w:val="007F09AA"/>
    <w:rsid w:val="007F17C5"/>
    <w:rsid w:val="007F25D4"/>
    <w:rsid w:val="007F2708"/>
    <w:rsid w:val="007F2A03"/>
    <w:rsid w:val="007F3393"/>
    <w:rsid w:val="007F351B"/>
    <w:rsid w:val="007F35E9"/>
    <w:rsid w:val="007F36A8"/>
    <w:rsid w:val="007F5769"/>
    <w:rsid w:val="007F766B"/>
    <w:rsid w:val="007F786E"/>
    <w:rsid w:val="00800198"/>
    <w:rsid w:val="00800883"/>
    <w:rsid w:val="00800B17"/>
    <w:rsid w:val="008010D3"/>
    <w:rsid w:val="00801741"/>
    <w:rsid w:val="00801D30"/>
    <w:rsid w:val="00802466"/>
    <w:rsid w:val="00803825"/>
    <w:rsid w:val="00803F9B"/>
    <w:rsid w:val="008053E7"/>
    <w:rsid w:val="00806016"/>
    <w:rsid w:val="0080682A"/>
    <w:rsid w:val="00807677"/>
    <w:rsid w:val="00807A99"/>
    <w:rsid w:val="00807E9F"/>
    <w:rsid w:val="00810375"/>
    <w:rsid w:val="00810793"/>
    <w:rsid w:val="00810D23"/>
    <w:rsid w:val="00810FC0"/>
    <w:rsid w:val="0081220C"/>
    <w:rsid w:val="0081294E"/>
    <w:rsid w:val="00813576"/>
    <w:rsid w:val="0081364F"/>
    <w:rsid w:val="008139B1"/>
    <w:rsid w:val="00813A8C"/>
    <w:rsid w:val="00813F84"/>
    <w:rsid w:val="00813FD8"/>
    <w:rsid w:val="00815041"/>
    <w:rsid w:val="00815059"/>
    <w:rsid w:val="0081531C"/>
    <w:rsid w:val="00815AE6"/>
    <w:rsid w:val="008174AD"/>
    <w:rsid w:val="00817715"/>
    <w:rsid w:val="008201EE"/>
    <w:rsid w:val="008204E5"/>
    <w:rsid w:val="0082070D"/>
    <w:rsid w:val="00820906"/>
    <w:rsid w:val="00820B16"/>
    <w:rsid w:val="00820B2E"/>
    <w:rsid w:val="00821838"/>
    <w:rsid w:val="00821D9A"/>
    <w:rsid w:val="00822437"/>
    <w:rsid w:val="00822978"/>
    <w:rsid w:val="008246A3"/>
    <w:rsid w:val="00824CCF"/>
    <w:rsid w:val="008250F0"/>
    <w:rsid w:val="00826833"/>
    <w:rsid w:val="00827B99"/>
    <w:rsid w:val="00830BB8"/>
    <w:rsid w:val="00830F68"/>
    <w:rsid w:val="008315CD"/>
    <w:rsid w:val="00831F46"/>
    <w:rsid w:val="0083218B"/>
    <w:rsid w:val="008323C5"/>
    <w:rsid w:val="008325D2"/>
    <w:rsid w:val="00832660"/>
    <w:rsid w:val="0083328A"/>
    <w:rsid w:val="00833C0A"/>
    <w:rsid w:val="008353CD"/>
    <w:rsid w:val="00835B19"/>
    <w:rsid w:val="00835D56"/>
    <w:rsid w:val="00836082"/>
    <w:rsid w:val="008362F3"/>
    <w:rsid w:val="008406A0"/>
    <w:rsid w:val="008407D3"/>
    <w:rsid w:val="00840C9A"/>
    <w:rsid w:val="00841604"/>
    <w:rsid w:val="00841D17"/>
    <w:rsid w:val="00843604"/>
    <w:rsid w:val="00844539"/>
    <w:rsid w:val="00844567"/>
    <w:rsid w:val="00844B24"/>
    <w:rsid w:val="008456A2"/>
    <w:rsid w:val="008469F6"/>
    <w:rsid w:val="00846C52"/>
    <w:rsid w:val="008504C6"/>
    <w:rsid w:val="0085052A"/>
    <w:rsid w:val="0085076B"/>
    <w:rsid w:val="0085084C"/>
    <w:rsid w:val="00850C6A"/>
    <w:rsid w:val="00850EEE"/>
    <w:rsid w:val="00852062"/>
    <w:rsid w:val="00852305"/>
    <w:rsid w:val="008523A0"/>
    <w:rsid w:val="00852597"/>
    <w:rsid w:val="0085273D"/>
    <w:rsid w:val="0085325E"/>
    <w:rsid w:val="00853549"/>
    <w:rsid w:val="00853741"/>
    <w:rsid w:val="00853CE9"/>
    <w:rsid w:val="00854029"/>
    <w:rsid w:val="008541F3"/>
    <w:rsid w:val="00855320"/>
    <w:rsid w:val="008556D5"/>
    <w:rsid w:val="00855F32"/>
    <w:rsid w:val="008566E1"/>
    <w:rsid w:val="00856E94"/>
    <w:rsid w:val="00860DC6"/>
    <w:rsid w:val="00860F52"/>
    <w:rsid w:val="00861EB3"/>
    <w:rsid w:val="00862852"/>
    <w:rsid w:val="0086332C"/>
    <w:rsid w:val="00863BE7"/>
    <w:rsid w:val="00864DEA"/>
    <w:rsid w:val="00864F37"/>
    <w:rsid w:val="0086510F"/>
    <w:rsid w:val="00866298"/>
    <w:rsid w:val="00866347"/>
    <w:rsid w:val="008666F0"/>
    <w:rsid w:val="00866C79"/>
    <w:rsid w:val="00866CAE"/>
    <w:rsid w:val="008670B1"/>
    <w:rsid w:val="00871C5C"/>
    <w:rsid w:val="00871DA6"/>
    <w:rsid w:val="00871FFA"/>
    <w:rsid w:val="00872421"/>
    <w:rsid w:val="008724AF"/>
    <w:rsid w:val="00872B51"/>
    <w:rsid w:val="008739FC"/>
    <w:rsid w:val="00873ADD"/>
    <w:rsid w:val="00874053"/>
    <w:rsid w:val="0087474E"/>
    <w:rsid w:val="008751AC"/>
    <w:rsid w:val="0087565B"/>
    <w:rsid w:val="00876294"/>
    <w:rsid w:val="008767FB"/>
    <w:rsid w:val="008775BA"/>
    <w:rsid w:val="00877760"/>
    <w:rsid w:val="00877D91"/>
    <w:rsid w:val="0088072C"/>
    <w:rsid w:val="00880859"/>
    <w:rsid w:val="00880B75"/>
    <w:rsid w:val="00880D65"/>
    <w:rsid w:val="00880EA2"/>
    <w:rsid w:val="00881E1C"/>
    <w:rsid w:val="0088271F"/>
    <w:rsid w:val="00882DAB"/>
    <w:rsid w:val="008845CD"/>
    <w:rsid w:val="0088470C"/>
    <w:rsid w:val="00884E6A"/>
    <w:rsid w:val="0088520E"/>
    <w:rsid w:val="008870A9"/>
    <w:rsid w:val="008872F3"/>
    <w:rsid w:val="00887407"/>
    <w:rsid w:val="00887412"/>
    <w:rsid w:val="00887CDA"/>
    <w:rsid w:val="00887DD7"/>
    <w:rsid w:val="0089015C"/>
    <w:rsid w:val="00890CBB"/>
    <w:rsid w:val="00890E3F"/>
    <w:rsid w:val="00891EF8"/>
    <w:rsid w:val="008924AE"/>
    <w:rsid w:val="00893071"/>
    <w:rsid w:val="008939C1"/>
    <w:rsid w:val="00893C4C"/>
    <w:rsid w:val="00893DE6"/>
    <w:rsid w:val="008944F4"/>
    <w:rsid w:val="0089476A"/>
    <w:rsid w:val="00894BAE"/>
    <w:rsid w:val="00894BD4"/>
    <w:rsid w:val="0089541E"/>
    <w:rsid w:val="008955FE"/>
    <w:rsid w:val="008963C4"/>
    <w:rsid w:val="0089676E"/>
    <w:rsid w:val="008969AE"/>
    <w:rsid w:val="0089741F"/>
    <w:rsid w:val="0089770C"/>
    <w:rsid w:val="00897EC1"/>
    <w:rsid w:val="008A007A"/>
    <w:rsid w:val="008A0C0B"/>
    <w:rsid w:val="008A2496"/>
    <w:rsid w:val="008A2600"/>
    <w:rsid w:val="008A2937"/>
    <w:rsid w:val="008A2C18"/>
    <w:rsid w:val="008A3678"/>
    <w:rsid w:val="008A3AD6"/>
    <w:rsid w:val="008A5B03"/>
    <w:rsid w:val="008A65AE"/>
    <w:rsid w:val="008A7E68"/>
    <w:rsid w:val="008B0C10"/>
    <w:rsid w:val="008B1C1D"/>
    <w:rsid w:val="008B2D05"/>
    <w:rsid w:val="008B31F5"/>
    <w:rsid w:val="008B3727"/>
    <w:rsid w:val="008B474B"/>
    <w:rsid w:val="008B56AD"/>
    <w:rsid w:val="008B5B11"/>
    <w:rsid w:val="008B5D5C"/>
    <w:rsid w:val="008B621A"/>
    <w:rsid w:val="008B6487"/>
    <w:rsid w:val="008B6DD8"/>
    <w:rsid w:val="008B6E87"/>
    <w:rsid w:val="008B7623"/>
    <w:rsid w:val="008B7AD2"/>
    <w:rsid w:val="008C02FA"/>
    <w:rsid w:val="008C18B2"/>
    <w:rsid w:val="008C1953"/>
    <w:rsid w:val="008C19E8"/>
    <w:rsid w:val="008C2448"/>
    <w:rsid w:val="008C2C95"/>
    <w:rsid w:val="008C3F6F"/>
    <w:rsid w:val="008C42B8"/>
    <w:rsid w:val="008C496A"/>
    <w:rsid w:val="008C4F53"/>
    <w:rsid w:val="008C5329"/>
    <w:rsid w:val="008C57DC"/>
    <w:rsid w:val="008C5833"/>
    <w:rsid w:val="008C5B09"/>
    <w:rsid w:val="008C69CC"/>
    <w:rsid w:val="008D04D1"/>
    <w:rsid w:val="008D04E0"/>
    <w:rsid w:val="008D0E7F"/>
    <w:rsid w:val="008D109A"/>
    <w:rsid w:val="008D124D"/>
    <w:rsid w:val="008D3A96"/>
    <w:rsid w:val="008D3EF9"/>
    <w:rsid w:val="008D3F5E"/>
    <w:rsid w:val="008D413A"/>
    <w:rsid w:val="008D513C"/>
    <w:rsid w:val="008D5191"/>
    <w:rsid w:val="008D5359"/>
    <w:rsid w:val="008D53F0"/>
    <w:rsid w:val="008D642D"/>
    <w:rsid w:val="008D6FD5"/>
    <w:rsid w:val="008D70C0"/>
    <w:rsid w:val="008D749A"/>
    <w:rsid w:val="008D74CF"/>
    <w:rsid w:val="008D7BAE"/>
    <w:rsid w:val="008D7E31"/>
    <w:rsid w:val="008E0186"/>
    <w:rsid w:val="008E0328"/>
    <w:rsid w:val="008E03B2"/>
    <w:rsid w:val="008E1410"/>
    <w:rsid w:val="008E17E1"/>
    <w:rsid w:val="008E28BB"/>
    <w:rsid w:val="008E2A29"/>
    <w:rsid w:val="008E2B93"/>
    <w:rsid w:val="008E3385"/>
    <w:rsid w:val="008E3E10"/>
    <w:rsid w:val="008E3F13"/>
    <w:rsid w:val="008E4B7F"/>
    <w:rsid w:val="008E4CC4"/>
    <w:rsid w:val="008E4DCC"/>
    <w:rsid w:val="008E4F29"/>
    <w:rsid w:val="008E5286"/>
    <w:rsid w:val="008E5364"/>
    <w:rsid w:val="008E53DA"/>
    <w:rsid w:val="008E56E5"/>
    <w:rsid w:val="008E5722"/>
    <w:rsid w:val="008E5C27"/>
    <w:rsid w:val="008E5D06"/>
    <w:rsid w:val="008E6197"/>
    <w:rsid w:val="008E6435"/>
    <w:rsid w:val="008E6DBC"/>
    <w:rsid w:val="008E7960"/>
    <w:rsid w:val="008E7F02"/>
    <w:rsid w:val="008F03D8"/>
    <w:rsid w:val="008F0F1C"/>
    <w:rsid w:val="008F1697"/>
    <w:rsid w:val="008F16F9"/>
    <w:rsid w:val="008F1907"/>
    <w:rsid w:val="008F2B50"/>
    <w:rsid w:val="008F2C24"/>
    <w:rsid w:val="008F2F5E"/>
    <w:rsid w:val="008F301C"/>
    <w:rsid w:val="008F37BA"/>
    <w:rsid w:val="008F3865"/>
    <w:rsid w:val="008F3932"/>
    <w:rsid w:val="008F439B"/>
    <w:rsid w:val="008F4E24"/>
    <w:rsid w:val="008F51DB"/>
    <w:rsid w:val="008F5CAA"/>
    <w:rsid w:val="008F6139"/>
    <w:rsid w:val="008F6A8A"/>
    <w:rsid w:val="008F70A0"/>
    <w:rsid w:val="008F7677"/>
    <w:rsid w:val="009002E9"/>
    <w:rsid w:val="00900423"/>
    <w:rsid w:val="009004FA"/>
    <w:rsid w:val="009009B9"/>
    <w:rsid w:val="0090100D"/>
    <w:rsid w:val="009014DD"/>
    <w:rsid w:val="0090152B"/>
    <w:rsid w:val="009016AB"/>
    <w:rsid w:val="00901900"/>
    <w:rsid w:val="00901F66"/>
    <w:rsid w:val="009021E9"/>
    <w:rsid w:val="009024F5"/>
    <w:rsid w:val="00902992"/>
    <w:rsid w:val="009035D1"/>
    <w:rsid w:val="0090372F"/>
    <w:rsid w:val="009040A7"/>
    <w:rsid w:val="00904C40"/>
    <w:rsid w:val="00904F00"/>
    <w:rsid w:val="0090509C"/>
    <w:rsid w:val="00905311"/>
    <w:rsid w:val="00905AE0"/>
    <w:rsid w:val="00905E0E"/>
    <w:rsid w:val="0090630F"/>
    <w:rsid w:val="009077F8"/>
    <w:rsid w:val="009100A6"/>
    <w:rsid w:val="00910989"/>
    <w:rsid w:val="009118D2"/>
    <w:rsid w:val="00911DEC"/>
    <w:rsid w:val="00912AD6"/>
    <w:rsid w:val="009138B2"/>
    <w:rsid w:val="00913AB2"/>
    <w:rsid w:val="00914455"/>
    <w:rsid w:val="00914DAC"/>
    <w:rsid w:val="00914E2C"/>
    <w:rsid w:val="00914F92"/>
    <w:rsid w:val="00915A0B"/>
    <w:rsid w:val="00915ADE"/>
    <w:rsid w:val="00916565"/>
    <w:rsid w:val="00917F68"/>
    <w:rsid w:val="00920294"/>
    <w:rsid w:val="00920425"/>
    <w:rsid w:val="00920D1E"/>
    <w:rsid w:val="009216B8"/>
    <w:rsid w:val="009222BD"/>
    <w:rsid w:val="00922525"/>
    <w:rsid w:val="009232E7"/>
    <w:rsid w:val="00923B96"/>
    <w:rsid w:val="00923CE7"/>
    <w:rsid w:val="00924750"/>
    <w:rsid w:val="00924788"/>
    <w:rsid w:val="00925B8F"/>
    <w:rsid w:val="00925E89"/>
    <w:rsid w:val="009306BA"/>
    <w:rsid w:val="00930F4B"/>
    <w:rsid w:val="0093106C"/>
    <w:rsid w:val="00932A2E"/>
    <w:rsid w:val="00932B47"/>
    <w:rsid w:val="0093322C"/>
    <w:rsid w:val="0093335F"/>
    <w:rsid w:val="00934B3E"/>
    <w:rsid w:val="00934C1F"/>
    <w:rsid w:val="00935CBF"/>
    <w:rsid w:val="009368F0"/>
    <w:rsid w:val="00936AFC"/>
    <w:rsid w:val="0093722C"/>
    <w:rsid w:val="0093729A"/>
    <w:rsid w:val="00937697"/>
    <w:rsid w:val="00937A2D"/>
    <w:rsid w:val="00940832"/>
    <w:rsid w:val="00940F76"/>
    <w:rsid w:val="00941E1F"/>
    <w:rsid w:val="00941EE6"/>
    <w:rsid w:val="009440F8"/>
    <w:rsid w:val="009444A9"/>
    <w:rsid w:val="009445D7"/>
    <w:rsid w:val="009454D6"/>
    <w:rsid w:val="00946DD7"/>
    <w:rsid w:val="00946FA0"/>
    <w:rsid w:val="00947531"/>
    <w:rsid w:val="00947FB5"/>
    <w:rsid w:val="0095025E"/>
    <w:rsid w:val="0095064C"/>
    <w:rsid w:val="009508BF"/>
    <w:rsid w:val="00950C83"/>
    <w:rsid w:val="009510E4"/>
    <w:rsid w:val="00951401"/>
    <w:rsid w:val="00951456"/>
    <w:rsid w:val="009514D8"/>
    <w:rsid w:val="00952945"/>
    <w:rsid w:val="00952E2C"/>
    <w:rsid w:val="00953314"/>
    <w:rsid w:val="00953494"/>
    <w:rsid w:val="00953E51"/>
    <w:rsid w:val="009546BB"/>
    <w:rsid w:val="009547A2"/>
    <w:rsid w:val="0095497D"/>
    <w:rsid w:val="00954B7A"/>
    <w:rsid w:val="00954E1E"/>
    <w:rsid w:val="009565BB"/>
    <w:rsid w:val="009566D4"/>
    <w:rsid w:val="00956B6A"/>
    <w:rsid w:val="00956E9E"/>
    <w:rsid w:val="00957F6A"/>
    <w:rsid w:val="0096013C"/>
    <w:rsid w:val="009607CC"/>
    <w:rsid w:val="00960FEA"/>
    <w:rsid w:val="00961275"/>
    <w:rsid w:val="009616D1"/>
    <w:rsid w:val="009617A8"/>
    <w:rsid w:val="00962186"/>
    <w:rsid w:val="0096254E"/>
    <w:rsid w:val="00962615"/>
    <w:rsid w:val="00962934"/>
    <w:rsid w:val="00962BD7"/>
    <w:rsid w:val="00962FF0"/>
    <w:rsid w:val="00963018"/>
    <w:rsid w:val="009635DC"/>
    <w:rsid w:val="0096452A"/>
    <w:rsid w:val="0096453F"/>
    <w:rsid w:val="00964A2A"/>
    <w:rsid w:val="00966197"/>
    <w:rsid w:val="00966213"/>
    <w:rsid w:val="0096632E"/>
    <w:rsid w:val="00970DC2"/>
    <w:rsid w:val="00970E00"/>
    <w:rsid w:val="0097117A"/>
    <w:rsid w:val="0097141A"/>
    <w:rsid w:val="00971BEE"/>
    <w:rsid w:val="00972024"/>
    <w:rsid w:val="00972AC4"/>
    <w:rsid w:val="00973038"/>
    <w:rsid w:val="00973240"/>
    <w:rsid w:val="009741F5"/>
    <w:rsid w:val="009743B1"/>
    <w:rsid w:val="0097511C"/>
    <w:rsid w:val="00975398"/>
    <w:rsid w:val="0097544F"/>
    <w:rsid w:val="00975711"/>
    <w:rsid w:val="0097590D"/>
    <w:rsid w:val="00976382"/>
    <w:rsid w:val="009767CD"/>
    <w:rsid w:val="009768F9"/>
    <w:rsid w:val="00977641"/>
    <w:rsid w:val="0097784C"/>
    <w:rsid w:val="00981868"/>
    <w:rsid w:val="00981F48"/>
    <w:rsid w:val="00982D25"/>
    <w:rsid w:val="009843C5"/>
    <w:rsid w:val="00984D5E"/>
    <w:rsid w:val="009850FE"/>
    <w:rsid w:val="0098513E"/>
    <w:rsid w:val="009853A5"/>
    <w:rsid w:val="0098591E"/>
    <w:rsid w:val="00985D04"/>
    <w:rsid w:val="009863B5"/>
    <w:rsid w:val="00986E55"/>
    <w:rsid w:val="00987493"/>
    <w:rsid w:val="00987608"/>
    <w:rsid w:val="009903BB"/>
    <w:rsid w:val="009904DF"/>
    <w:rsid w:val="00990A5F"/>
    <w:rsid w:val="009918B5"/>
    <w:rsid w:val="00991FC5"/>
    <w:rsid w:val="0099275B"/>
    <w:rsid w:val="00992FD8"/>
    <w:rsid w:val="009938C7"/>
    <w:rsid w:val="00994094"/>
    <w:rsid w:val="00994ABE"/>
    <w:rsid w:val="0099611D"/>
    <w:rsid w:val="0099710D"/>
    <w:rsid w:val="009A063B"/>
    <w:rsid w:val="009A0B0D"/>
    <w:rsid w:val="009A0D11"/>
    <w:rsid w:val="009A1792"/>
    <w:rsid w:val="009A1948"/>
    <w:rsid w:val="009A1BF3"/>
    <w:rsid w:val="009A2282"/>
    <w:rsid w:val="009A252E"/>
    <w:rsid w:val="009A3D15"/>
    <w:rsid w:val="009A3F82"/>
    <w:rsid w:val="009A5C1C"/>
    <w:rsid w:val="009A6689"/>
    <w:rsid w:val="009A6CFB"/>
    <w:rsid w:val="009A7762"/>
    <w:rsid w:val="009A792E"/>
    <w:rsid w:val="009A7A89"/>
    <w:rsid w:val="009B08A6"/>
    <w:rsid w:val="009B0AE0"/>
    <w:rsid w:val="009B0FA6"/>
    <w:rsid w:val="009B11E2"/>
    <w:rsid w:val="009B15E7"/>
    <w:rsid w:val="009B176E"/>
    <w:rsid w:val="009B22FE"/>
    <w:rsid w:val="009B23EF"/>
    <w:rsid w:val="009B3156"/>
    <w:rsid w:val="009B33BD"/>
    <w:rsid w:val="009B3702"/>
    <w:rsid w:val="009B511E"/>
    <w:rsid w:val="009B5AFD"/>
    <w:rsid w:val="009B5BBB"/>
    <w:rsid w:val="009B5E64"/>
    <w:rsid w:val="009B5EA5"/>
    <w:rsid w:val="009B7080"/>
    <w:rsid w:val="009B70F8"/>
    <w:rsid w:val="009B7358"/>
    <w:rsid w:val="009B7480"/>
    <w:rsid w:val="009B749D"/>
    <w:rsid w:val="009B7C1F"/>
    <w:rsid w:val="009B7D41"/>
    <w:rsid w:val="009C1449"/>
    <w:rsid w:val="009C1D7F"/>
    <w:rsid w:val="009C209F"/>
    <w:rsid w:val="009C34A1"/>
    <w:rsid w:val="009C50D9"/>
    <w:rsid w:val="009C52A3"/>
    <w:rsid w:val="009C5B66"/>
    <w:rsid w:val="009C5BED"/>
    <w:rsid w:val="009C5BF9"/>
    <w:rsid w:val="009C61B9"/>
    <w:rsid w:val="009C6519"/>
    <w:rsid w:val="009C71ED"/>
    <w:rsid w:val="009D0B30"/>
    <w:rsid w:val="009D1BF8"/>
    <w:rsid w:val="009D1F43"/>
    <w:rsid w:val="009D2AF1"/>
    <w:rsid w:val="009D3A69"/>
    <w:rsid w:val="009D44B9"/>
    <w:rsid w:val="009D44EB"/>
    <w:rsid w:val="009D4770"/>
    <w:rsid w:val="009D48B2"/>
    <w:rsid w:val="009D4A3E"/>
    <w:rsid w:val="009D53C9"/>
    <w:rsid w:val="009D5892"/>
    <w:rsid w:val="009D63BA"/>
    <w:rsid w:val="009D6775"/>
    <w:rsid w:val="009D763F"/>
    <w:rsid w:val="009D7F43"/>
    <w:rsid w:val="009E08DF"/>
    <w:rsid w:val="009E204B"/>
    <w:rsid w:val="009E249E"/>
    <w:rsid w:val="009E249F"/>
    <w:rsid w:val="009E24CE"/>
    <w:rsid w:val="009E354D"/>
    <w:rsid w:val="009E3CCB"/>
    <w:rsid w:val="009E400F"/>
    <w:rsid w:val="009E4D5B"/>
    <w:rsid w:val="009E565F"/>
    <w:rsid w:val="009E56F6"/>
    <w:rsid w:val="009E57DF"/>
    <w:rsid w:val="009E5D00"/>
    <w:rsid w:val="009E657D"/>
    <w:rsid w:val="009E6820"/>
    <w:rsid w:val="009E6FA6"/>
    <w:rsid w:val="009E723C"/>
    <w:rsid w:val="009F289F"/>
    <w:rsid w:val="009F3923"/>
    <w:rsid w:val="009F3D41"/>
    <w:rsid w:val="009F6149"/>
    <w:rsid w:val="009F6A8D"/>
    <w:rsid w:val="009F7028"/>
    <w:rsid w:val="009F7055"/>
    <w:rsid w:val="009F736E"/>
    <w:rsid w:val="00A002BE"/>
    <w:rsid w:val="00A004CD"/>
    <w:rsid w:val="00A0073A"/>
    <w:rsid w:val="00A010F8"/>
    <w:rsid w:val="00A0144A"/>
    <w:rsid w:val="00A014D3"/>
    <w:rsid w:val="00A015AE"/>
    <w:rsid w:val="00A01C8D"/>
    <w:rsid w:val="00A02154"/>
    <w:rsid w:val="00A0215C"/>
    <w:rsid w:val="00A02717"/>
    <w:rsid w:val="00A02952"/>
    <w:rsid w:val="00A038B0"/>
    <w:rsid w:val="00A03B57"/>
    <w:rsid w:val="00A044E3"/>
    <w:rsid w:val="00A04623"/>
    <w:rsid w:val="00A04F24"/>
    <w:rsid w:val="00A0503E"/>
    <w:rsid w:val="00A06048"/>
    <w:rsid w:val="00A0609C"/>
    <w:rsid w:val="00A0622C"/>
    <w:rsid w:val="00A062DD"/>
    <w:rsid w:val="00A069BF"/>
    <w:rsid w:val="00A070A7"/>
    <w:rsid w:val="00A07416"/>
    <w:rsid w:val="00A0746A"/>
    <w:rsid w:val="00A07ADC"/>
    <w:rsid w:val="00A10FB5"/>
    <w:rsid w:val="00A110D3"/>
    <w:rsid w:val="00A11636"/>
    <w:rsid w:val="00A11A03"/>
    <w:rsid w:val="00A11FA4"/>
    <w:rsid w:val="00A127C5"/>
    <w:rsid w:val="00A1284A"/>
    <w:rsid w:val="00A12B57"/>
    <w:rsid w:val="00A13441"/>
    <w:rsid w:val="00A14B89"/>
    <w:rsid w:val="00A14C5E"/>
    <w:rsid w:val="00A15339"/>
    <w:rsid w:val="00A16358"/>
    <w:rsid w:val="00A164C7"/>
    <w:rsid w:val="00A16BB3"/>
    <w:rsid w:val="00A16C67"/>
    <w:rsid w:val="00A16C70"/>
    <w:rsid w:val="00A2003A"/>
    <w:rsid w:val="00A2040A"/>
    <w:rsid w:val="00A210E6"/>
    <w:rsid w:val="00A216E3"/>
    <w:rsid w:val="00A21BDF"/>
    <w:rsid w:val="00A21BE0"/>
    <w:rsid w:val="00A21D24"/>
    <w:rsid w:val="00A21F1F"/>
    <w:rsid w:val="00A2230A"/>
    <w:rsid w:val="00A239B4"/>
    <w:rsid w:val="00A23A6E"/>
    <w:rsid w:val="00A24A5D"/>
    <w:rsid w:val="00A25337"/>
    <w:rsid w:val="00A25E71"/>
    <w:rsid w:val="00A264BA"/>
    <w:rsid w:val="00A26885"/>
    <w:rsid w:val="00A27A68"/>
    <w:rsid w:val="00A30C0E"/>
    <w:rsid w:val="00A3122A"/>
    <w:rsid w:val="00A314EA"/>
    <w:rsid w:val="00A3177B"/>
    <w:rsid w:val="00A321DF"/>
    <w:rsid w:val="00A32260"/>
    <w:rsid w:val="00A33458"/>
    <w:rsid w:val="00A3472C"/>
    <w:rsid w:val="00A34AB9"/>
    <w:rsid w:val="00A35E1B"/>
    <w:rsid w:val="00A37479"/>
    <w:rsid w:val="00A402FA"/>
    <w:rsid w:val="00A40D70"/>
    <w:rsid w:val="00A418AB"/>
    <w:rsid w:val="00A41A43"/>
    <w:rsid w:val="00A42370"/>
    <w:rsid w:val="00A42B90"/>
    <w:rsid w:val="00A4348B"/>
    <w:rsid w:val="00A44AA0"/>
    <w:rsid w:val="00A44C2C"/>
    <w:rsid w:val="00A45C1F"/>
    <w:rsid w:val="00A46289"/>
    <w:rsid w:val="00A471A1"/>
    <w:rsid w:val="00A47FCD"/>
    <w:rsid w:val="00A50882"/>
    <w:rsid w:val="00A50DC6"/>
    <w:rsid w:val="00A5116A"/>
    <w:rsid w:val="00A51809"/>
    <w:rsid w:val="00A51F04"/>
    <w:rsid w:val="00A52939"/>
    <w:rsid w:val="00A52A05"/>
    <w:rsid w:val="00A5361D"/>
    <w:rsid w:val="00A53D6C"/>
    <w:rsid w:val="00A53D95"/>
    <w:rsid w:val="00A542A5"/>
    <w:rsid w:val="00A543E3"/>
    <w:rsid w:val="00A55837"/>
    <w:rsid w:val="00A55AF6"/>
    <w:rsid w:val="00A566BA"/>
    <w:rsid w:val="00A56932"/>
    <w:rsid w:val="00A56A58"/>
    <w:rsid w:val="00A56C11"/>
    <w:rsid w:val="00A57A9C"/>
    <w:rsid w:val="00A57CEB"/>
    <w:rsid w:val="00A60AAD"/>
    <w:rsid w:val="00A60B6A"/>
    <w:rsid w:val="00A61146"/>
    <w:rsid w:val="00A624A7"/>
    <w:rsid w:val="00A62882"/>
    <w:rsid w:val="00A63611"/>
    <w:rsid w:val="00A649E7"/>
    <w:rsid w:val="00A64A24"/>
    <w:rsid w:val="00A64BB4"/>
    <w:rsid w:val="00A64FE8"/>
    <w:rsid w:val="00A658D0"/>
    <w:rsid w:val="00A6687A"/>
    <w:rsid w:val="00A67064"/>
    <w:rsid w:val="00A67248"/>
    <w:rsid w:val="00A67296"/>
    <w:rsid w:val="00A67309"/>
    <w:rsid w:val="00A6770B"/>
    <w:rsid w:val="00A70419"/>
    <w:rsid w:val="00A706C9"/>
    <w:rsid w:val="00A710B8"/>
    <w:rsid w:val="00A71745"/>
    <w:rsid w:val="00A72119"/>
    <w:rsid w:val="00A7293B"/>
    <w:rsid w:val="00A73179"/>
    <w:rsid w:val="00A73948"/>
    <w:rsid w:val="00A73A8E"/>
    <w:rsid w:val="00A74422"/>
    <w:rsid w:val="00A74983"/>
    <w:rsid w:val="00A750CD"/>
    <w:rsid w:val="00A754E4"/>
    <w:rsid w:val="00A75607"/>
    <w:rsid w:val="00A75836"/>
    <w:rsid w:val="00A75BB1"/>
    <w:rsid w:val="00A767DF"/>
    <w:rsid w:val="00A76935"/>
    <w:rsid w:val="00A77212"/>
    <w:rsid w:val="00A77EFF"/>
    <w:rsid w:val="00A80C84"/>
    <w:rsid w:val="00A81361"/>
    <w:rsid w:val="00A82626"/>
    <w:rsid w:val="00A82832"/>
    <w:rsid w:val="00A83478"/>
    <w:rsid w:val="00A83620"/>
    <w:rsid w:val="00A83C69"/>
    <w:rsid w:val="00A8470A"/>
    <w:rsid w:val="00A84FC2"/>
    <w:rsid w:val="00A864AA"/>
    <w:rsid w:val="00A86605"/>
    <w:rsid w:val="00A8718A"/>
    <w:rsid w:val="00A872EE"/>
    <w:rsid w:val="00A8740A"/>
    <w:rsid w:val="00A87894"/>
    <w:rsid w:val="00A87AEA"/>
    <w:rsid w:val="00A87D53"/>
    <w:rsid w:val="00A90409"/>
    <w:rsid w:val="00A9082A"/>
    <w:rsid w:val="00A91C88"/>
    <w:rsid w:val="00A92E8D"/>
    <w:rsid w:val="00A94701"/>
    <w:rsid w:val="00A94F8C"/>
    <w:rsid w:val="00AA00D0"/>
    <w:rsid w:val="00AA0833"/>
    <w:rsid w:val="00AA12D7"/>
    <w:rsid w:val="00AA1442"/>
    <w:rsid w:val="00AA2817"/>
    <w:rsid w:val="00AA2E6A"/>
    <w:rsid w:val="00AA315F"/>
    <w:rsid w:val="00AA4C3D"/>
    <w:rsid w:val="00AA53AC"/>
    <w:rsid w:val="00AA5AF3"/>
    <w:rsid w:val="00AA6871"/>
    <w:rsid w:val="00AA6AA1"/>
    <w:rsid w:val="00AA6D31"/>
    <w:rsid w:val="00AB0FF2"/>
    <w:rsid w:val="00AB1C75"/>
    <w:rsid w:val="00AB3203"/>
    <w:rsid w:val="00AB338B"/>
    <w:rsid w:val="00AB33E4"/>
    <w:rsid w:val="00AB34FF"/>
    <w:rsid w:val="00AB35A2"/>
    <w:rsid w:val="00AB419C"/>
    <w:rsid w:val="00AB42A3"/>
    <w:rsid w:val="00AB4509"/>
    <w:rsid w:val="00AB5AB3"/>
    <w:rsid w:val="00AB663B"/>
    <w:rsid w:val="00AB69F6"/>
    <w:rsid w:val="00AB6A32"/>
    <w:rsid w:val="00AB6B3F"/>
    <w:rsid w:val="00AB748A"/>
    <w:rsid w:val="00AB7543"/>
    <w:rsid w:val="00AB76B6"/>
    <w:rsid w:val="00AB7E9C"/>
    <w:rsid w:val="00AC0AF6"/>
    <w:rsid w:val="00AC1B6F"/>
    <w:rsid w:val="00AC2107"/>
    <w:rsid w:val="00AC3371"/>
    <w:rsid w:val="00AC377C"/>
    <w:rsid w:val="00AC3AC7"/>
    <w:rsid w:val="00AC5043"/>
    <w:rsid w:val="00AC5172"/>
    <w:rsid w:val="00AC54C8"/>
    <w:rsid w:val="00AC56BE"/>
    <w:rsid w:val="00AC57F1"/>
    <w:rsid w:val="00AC5992"/>
    <w:rsid w:val="00AC5C2F"/>
    <w:rsid w:val="00AC708A"/>
    <w:rsid w:val="00AC7E0B"/>
    <w:rsid w:val="00AD0296"/>
    <w:rsid w:val="00AD0C06"/>
    <w:rsid w:val="00AD22F2"/>
    <w:rsid w:val="00AD2650"/>
    <w:rsid w:val="00AD3856"/>
    <w:rsid w:val="00AD3CCD"/>
    <w:rsid w:val="00AD3EA3"/>
    <w:rsid w:val="00AD4001"/>
    <w:rsid w:val="00AD445B"/>
    <w:rsid w:val="00AD45DE"/>
    <w:rsid w:val="00AD7655"/>
    <w:rsid w:val="00AE10DD"/>
    <w:rsid w:val="00AE228B"/>
    <w:rsid w:val="00AE33FA"/>
    <w:rsid w:val="00AE3571"/>
    <w:rsid w:val="00AE364B"/>
    <w:rsid w:val="00AE3BA8"/>
    <w:rsid w:val="00AE46AE"/>
    <w:rsid w:val="00AE4C6A"/>
    <w:rsid w:val="00AE4C9B"/>
    <w:rsid w:val="00AE52B3"/>
    <w:rsid w:val="00AE5401"/>
    <w:rsid w:val="00AE6584"/>
    <w:rsid w:val="00AE6A20"/>
    <w:rsid w:val="00AE6CA4"/>
    <w:rsid w:val="00AE73EC"/>
    <w:rsid w:val="00AE7523"/>
    <w:rsid w:val="00AE77A1"/>
    <w:rsid w:val="00AF00A8"/>
    <w:rsid w:val="00AF07B0"/>
    <w:rsid w:val="00AF0DBD"/>
    <w:rsid w:val="00AF0FAA"/>
    <w:rsid w:val="00AF10FF"/>
    <w:rsid w:val="00AF184C"/>
    <w:rsid w:val="00AF2451"/>
    <w:rsid w:val="00AF2ABE"/>
    <w:rsid w:val="00AF2DCC"/>
    <w:rsid w:val="00AF3152"/>
    <w:rsid w:val="00AF3308"/>
    <w:rsid w:val="00AF381A"/>
    <w:rsid w:val="00AF43B0"/>
    <w:rsid w:val="00AF451A"/>
    <w:rsid w:val="00AF5D53"/>
    <w:rsid w:val="00AF6643"/>
    <w:rsid w:val="00AF69EC"/>
    <w:rsid w:val="00B004F5"/>
    <w:rsid w:val="00B00F07"/>
    <w:rsid w:val="00B0136A"/>
    <w:rsid w:val="00B01819"/>
    <w:rsid w:val="00B01BAD"/>
    <w:rsid w:val="00B02A12"/>
    <w:rsid w:val="00B02DC4"/>
    <w:rsid w:val="00B02E9B"/>
    <w:rsid w:val="00B03133"/>
    <w:rsid w:val="00B040E9"/>
    <w:rsid w:val="00B04888"/>
    <w:rsid w:val="00B04C0F"/>
    <w:rsid w:val="00B0554E"/>
    <w:rsid w:val="00B0664C"/>
    <w:rsid w:val="00B06C3B"/>
    <w:rsid w:val="00B06ED0"/>
    <w:rsid w:val="00B071C6"/>
    <w:rsid w:val="00B103E3"/>
    <w:rsid w:val="00B11D66"/>
    <w:rsid w:val="00B12F81"/>
    <w:rsid w:val="00B1310F"/>
    <w:rsid w:val="00B13332"/>
    <w:rsid w:val="00B135CE"/>
    <w:rsid w:val="00B13965"/>
    <w:rsid w:val="00B13DB6"/>
    <w:rsid w:val="00B1674C"/>
    <w:rsid w:val="00B1788C"/>
    <w:rsid w:val="00B207C8"/>
    <w:rsid w:val="00B20FB3"/>
    <w:rsid w:val="00B22336"/>
    <w:rsid w:val="00B22705"/>
    <w:rsid w:val="00B22B90"/>
    <w:rsid w:val="00B22DC6"/>
    <w:rsid w:val="00B24564"/>
    <w:rsid w:val="00B24616"/>
    <w:rsid w:val="00B24656"/>
    <w:rsid w:val="00B24E53"/>
    <w:rsid w:val="00B24F5E"/>
    <w:rsid w:val="00B24FEB"/>
    <w:rsid w:val="00B25944"/>
    <w:rsid w:val="00B25FC1"/>
    <w:rsid w:val="00B266CE"/>
    <w:rsid w:val="00B2694C"/>
    <w:rsid w:val="00B26CA9"/>
    <w:rsid w:val="00B27206"/>
    <w:rsid w:val="00B274DD"/>
    <w:rsid w:val="00B27F1B"/>
    <w:rsid w:val="00B30A2D"/>
    <w:rsid w:val="00B31264"/>
    <w:rsid w:val="00B31267"/>
    <w:rsid w:val="00B317D0"/>
    <w:rsid w:val="00B329FC"/>
    <w:rsid w:val="00B32AA9"/>
    <w:rsid w:val="00B32CD3"/>
    <w:rsid w:val="00B331C4"/>
    <w:rsid w:val="00B33658"/>
    <w:rsid w:val="00B3367E"/>
    <w:rsid w:val="00B3394D"/>
    <w:rsid w:val="00B3410B"/>
    <w:rsid w:val="00B344FE"/>
    <w:rsid w:val="00B35086"/>
    <w:rsid w:val="00B353AD"/>
    <w:rsid w:val="00B36417"/>
    <w:rsid w:val="00B36673"/>
    <w:rsid w:val="00B37F40"/>
    <w:rsid w:val="00B40F7A"/>
    <w:rsid w:val="00B42C84"/>
    <w:rsid w:val="00B42CA2"/>
    <w:rsid w:val="00B431C9"/>
    <w:rsid w:val="00B43464"/>
    <w:rsid w:val="00B43533"/>
    <w:rsid w:val="00B436DA"/>
    <w:rsid w:val="00B4397C"/>
    <w:rsid w:val="00B452DA"/>
    <w:rsid w:val="00B455A8"/>
    <w:rsid w:val="00B459E1"/>
    <w:rsid w:val="00B46851"/>
    <w:rsid w:val="00B47840"/>
    <w:rsid w:val="00B47A91"/>
    <w:rsid w:val="00B47C53"/>
    <w:rsid w:val="00B501AC"/>
    <w:rsid w:val="00B50366"/>
    <w:rsid w:val="00B5038A"/>
    <w:rsid w:val="00B51063"/>
    <w:rsid w:val="00B51FD6"/>
    <w:rsid w:val="00B522F8"/>
    <w:rsid w:val="00B5370C"/>
    <w:rsid w:val="00B53AE8"/>
    <w:rsid w:val="00B543A7"/>
    <w:rsid w:val="00B54CB9"/>
    <w:rsid w:val="00B55186"/>
    <w:rsid w:val="00B557F7"/>
    <w:rsid w:val="00B55A3D"/>
    <w:rsid w:val="00B56470"/>
    <w:rsid w:val="00B564EE"/>
    <w:rsid w:val="00B57388"/>
    <w:rsid w:val="00B57571"/>
    <w:rsid w:val="00B57617"/>
    <w:rsid w:val="00B577F6"/>
    <w:rsid w:val="00B57CF4"/>
    <w:rsid w:val="00B60718"/>
    <w:rsid w:val="00B61DB3"/>
    <w:rsid w:val="00B6208D"/>
    <w:rsid w:val="00B6246D"/>
    <w:rsid w:val="00B62889"/>
    <w:rsid w:val="00B629CC"/>
    <w:rsid w:val="00B63D2B"/>
    <w:rsid w:val="00B64139"/>
    <w:rsid w:val="00B6471F"/>
    <w:rsid w:val="00B64A0E"/>
    <w:rsid w:val="00B64B88"/>
    <w:rsid w:val="00B653F3"/>
    <w:rsid w:val="00B6672B"/>
    <w:rsid w:val="00B66EBF"/>
    <w:rsid w:val="00B66F4A"/>
    <w:rsid w:val="00B6704B"/>
    <w:rsid w:val="00B7058C"/>
    <w:rsid w:val="00B70E27"/>
    <w:rsid w:val="00B70EF8"/>
    <w:rsid w:val="00B71542"/>
    <w:rsid w:val="00B7185F"/>
    <w:rsid w:val="00B72180"/>
    <w:rsid w:val="00B73507"/>
    <w:rsid w:val="00B73DCC"/>
    <w:rsid w:val="00B74312"/>
    <w:rsid w:val="00B7469B"/>
    <w:rsid w:val="00B74DA7"/>
    <w:rsid w:val="00B75057"/>
    <w:rsid w:val="00B75A96"/>
    <w:rsid w:val="00B75DFE"/>
    <w:rsid w:val="00B7631B"/>
    <w:rsid w:val="00B76E1E"/>
    <w:rsid w:val="00B77E27"/>
    <w:rsid w:val="00B80820"/>
    <w:rsid w:val="00B80882"/>
    <w:rsid w:val="00B8096B"/>
    <w:rsid w:val="00B82BAD"/>
    <w:rsid w:val="00B82BD3"/>
    <w:rsid w:val="00B82DF6"/>
    <w:rsid w:val="00B84054"/>
    <w:rsid w:val="00B84165"/>
    <w:rsid w:val="00B84AD0"/>
    <w:rsid w:val="00B84D9A"/>
    <w:rsid w:val="00B85ABA"/>
    <w:rsid w:val="00B86361"/>
    <w:rsid w:val="00B8731E"/>
    <w:rsid w:val="00B87358"/>
    <w:rsid w:val="00B87454"/>
    <w:rsid w:val="00B87A41"/>
    <w:rsid w:val="00B90502"/>
    <w:rsid w:val="00B90F16"/>
    <w:rsid w:val="00B91059"/>
    <w:rsid w:val="00B915A5"/>
    <w:rsid w:val="00B921E7"/>
    <w:rsid w:val="00B930BD"/>
    <w:rsid w:val="00B9390D"/>
    <w:rsid w:val="00B9404A"/>
    <w:rsid w:val="00B94739"/>
    <w:rsid w:val="00B9502C"/>
    <w:rsid w:val="00B95D1C"/>
    <w:rsid w:val="00B96014"/>
    <w:rsid w:val="00B961D4"/>
    <w:rsid w:val="00B966B0"/>
    <w:rsid w:val="00B97943"/>
    <w:rsid w:val="00BA0C1A"/>
    <w:rsid w:val="00BA153D"/>
    <w:rsid w:val="00BA1AD5"/>
    <w:rsid w:val="00BA2ADA"/>
    <w:rsid w:val="00BA2C8C"/>
    <w:rsid w:val="00BA3083"/>
    <w:rsid w:val="00BA3F70"/>
    <w:rsid w:val="00BA4C5F"/>
    <w:rsid w:val="00BA5D17"/>
    <w:rsid w:val="00BA63CC"/>
    <w:rsid w:val="00BA6B29"/>
    <w:rsid w:val="00BA7CB2"/>
    <w:rsid w:val="00BB22CF"/>
    <w:rsid w:val="00BB298C"/>
    <w:rsid w:val="00BB3963"/>
    <w:rsid w:val="00BB45AD"/>
    <w:rsid w:val="00BB4951"/>
    <w:rsid w:val="00BB4B5A"/>
    <w:rsid w:val="00BB4F92"/>
    <w:rsid w:val="00BB58E2"/>
    <w:rsid w:val="00BB6502"/>
    <w:rsid w:val="00BB6F11"/>
    <w:rsid w:val="00BB7441"/>
    <w:rsid w:val="00BB7601"/>
    <w:rsid w:val="00BB7928"/>
    <w:rsid w:val="00BC0985"/>
    <w:rsid w:val="00BC0F90"/>
    <w:rsid w:val="00BC2083"/>
    <w:rsid w:val="00BC26B5"/>
    <w:rsid w:val="00BC27E7"/>
    <w:rsid w:val="00BC4547"/>
    <w:rsid w:val="00BC4556"/>
    <w:rsid w:val="00BC4E2A"/>
    <w:rsid w:val="00BC52C6"/>
    <w:rsid w:val="00BC54B1"/>
    <w:rsid w:val="00BC5D2B"/>
    <w:rsid w:val="00BC5E15"/>
    <w:rsid w:val="00BC6157"/>
    <w:rsid w:val="00BC644D"/>
    <w:rsid w:val="00BC69EA"/>
    <w:rsid w:val="00BD0424"/>
    <w:rsid w:val="00BD2692"/>
    <w:rsid w:val="00BD35CD"/>
    <w:rsid w:val="00BD3BF1"/>
    <w:rsid w:val="00BD41E2"/>
    <w:rsid w:val="00BD4557"/>
    <w:rsid w:val="00BD46AC"/>
    <w:rsid w:val="00BD4B6E"/>
    <w:rsid w:val="00BD5510"/>
    <w:rsid w:val="00BD5597"/>
    <w:rsid w:val="00BD5F10"/>
    <w:rsid w:val="00BD63D6"/>
    <w:rsid w:val="00BD6A1A"/>
    <w:rsid w:val="00BD7932"/>
    <w:rsid w:val="00BD794B"/>
    <w:rsid w:val="00BE1FD4"/>
    <w:rsid w:val="00BE2055"/>
    <w:rsid w:val="00BE271A"/>
    <w:rsid w:val="00BE2AF3"/>
    <w:rsid w:val="00BE39BC"/>
    <w:rsid w:val="00BE4487"/>
    <w:rsid w:val="00BE466E"/>
    <w:rsid w:val="00BE46C7"/>
    <w:rsid w:val="00BE4736"/>
    <w:rsid w:val="00BE4D3A"/>
    <w:rsid w:val="00BE5718"/>
    <w:rsid w:val="00BE5DB2"/>
    <w:rsid w:val="00BE7738"/>
    <w:rsid w:val="00BE79B0"/>
    <w:rsid w:val="00BF08F0"/>
    <w:rsid w:val="00BF0C09"/>
    <w:rsid w:val="00BF0CFF"/>
    <w:rsid w:val="00BF1D43"/>
    <w:rsid w:val="00BF205A"/>
    <w:rsid w:val="00BF29C0"/>
    <w:rsid w:val="00BF322E"/>
    <w:rsid w:val="00BF35DA"/>
    <w:rsid w:val="00BF3665"/>
    <w:rsid w:val="00BF3A87"/>
    <w:rsid w:val="00BF3A93"/>
    <w:rsid w:val="00BF3ECA"/>
    <w:rsid w:val="00BF4972"/>
    <w:rsid w:val="00BF597D"/>
    <w:rsid w:val="00BF73E0"/>
    <w:rsid w:val="00BF74C8"/>
    <w:rsid w:val="00BF7944"/>
    <w:rsid w:val="00BF7AA2"/>
    <w:rsid w:val="00BF7BF0"/>
    <w:rsid w:val="00BF7D86"/>
    <w:rsid w:val="00C00547"/>
    <w:rsid w:val="00C007CC"/>
    <w:rsid w:val="00C01293"/>
    <w:rsid w:val="00C02B5D"/>
    <w:rsid w:val="00C03A65"/>
    <w:rsid w:val="00C03C59"/>
    <w:rsid w:val="00C04C26"/>
    <w:rsid w:val="00C04E5D"/>
    <w:rsid w:val="00C05B08"/>
    <w:rsid w:val="00C05F63"/>
    <w:rsid w:val="00C05FAC"/>
    <w:rsid w:val="00C0711E"/>
    <w:rsid w:val="00C10355"/>
    <w:rsid w:val="00C11242"/>
    <w:rsid w:val="00C113C4"/>
    <w:rsid w:val="00C11587"/>
    <w:rsid w:val="00C1166F"/>
    <w:rsid w:val="00C11CE0"/>
    <w:rsid w:val="00C125C9"/>
    <w:rsid w:val="00C125D5"/>
    <w:rsid w:val="00C12855"/>
    <w:rsid w:val="00C13348"/>
    <w:rsid w:val="00C13D0C"/>
    <w:rsid w:val="00C13DB4"/>
    <w:rsid w:val="00C148B9"/>
    <w:rsid w:val="00C154A5"/>
    <w:rsid w:val="00C16450"/>
    <w:rsid w:val="00C1695C"/>
    <w:rsid w:val="00C170C9"/>
    <w:rsid w:val="00C171C4"/>
    <w:rsid w:val="00C17569"/>
    <w:rsid w:val="00C20040"/>
    <w:rsid w:val="00C20410"/>
    <w:rsid w:val="00C205D2"/>
    <w:rsid w:val="00C2068A"/>
    <w:rsid w:val="00C20AAD"/>
    <w:rsid w:val="00C21A21"/>
    <w:rsid w:val="00C22A38"/>
    <w:rsid w:val="00C22B8F"/>
    <w:rsid w:val="00C22FC8"/>
    <w:rsid w:val="00C23738"/>
    <w:rsid w:val="00C239B2"/>
    <w:rsid w:val="00C24F7B"/>
    <w:rsid w:val="00C252D1"/>
    <w:rsid w:val="00C256FA"/>
    <w:rsid w:val="00C26C44"/>
    <w:rsid w:val="00C276A1"/>
    <w:rsid w:val="00C279A0"/>
    <w:rsid w:val="00C27D6C"/>
    <w:rsid w:val="00C27E1C"/>
    <w:rsid w:val="00C27FAD"/>
    <w:rsid w:val="00C30EDC"/>
    <w:rsid w:val="00C32363"/>
    <w:rsid w:val="00C3290B"/>
    <w:rsid w:val="00C329FA"/>
    <w:rsid w:val="00C32F31"/>
    <w:rsid w:val="00C33310"/>
    <w:rsid w:val="00C33FAE"/>
    <w:rsid w:val="00C34460"/>
    <w:rsid w:val="00C3477D"/>
    <w:rsid w:val="00C3581B"/>
    <w:rsid w:val="00C35E69"/>
    <w:rsid w:val="00C369B1"/>
    <w:rsid w:val="00C37EE0"/>
    <w:rsid w:val="00C40257"/>
    <w:rsid w:val="00C40547"/>
    <w:rsid w:val="00C4183C"/>
    <w:rsid w:val="00C427DB"/>
    <w:rsid w:val="00C433A5"/>
    <w:rsid w:val="00C43829"/>
    <w:rsid w:val="00C44434"/>
    <w:rsid w:val="00C4458C"/>
    <w:rsid w:val="00C4586D"/>
    <w:rsid w:val="00C4643B"/>
    <w:rsid w:val="00C47033"/>
    <w:rsid w:val="00C4706F"/>
    <w:rsid w:val="00C479FC"/>
    <w:rsid w:val="00C47D1E"/>
    <w:rsid w:val="00C50036"/>
    <w:rsid w:val="00C50AB5"/>
    <w:rsid w:val="00C51258"/>
    <w:rsid w:val="00C514A9"/>
    <w:rsid w:val="00C51979"/>
    <w:rsid w:val="00C52E87"/>
    <w:rsid w:val="00C53905"/>
    <w:rsid w:val="00C53BDD"/>
    <w:rsid w:val="00C54225"/>
    <w:rsid w:val="00C54E04"/>
    <w:rsid w:val="00C55079"/>
    <w:rsid w:val="00C56656"/>
    <w:rsid w:val="00C56FC0"/>
    <w:rsid w:val="00C57442"/>
    <w:rsid w:val="00C579B0"/>
    <w:rsid w:val="00C6019C"/>
    <w:rsid w:val="00C60708"/>
    <w:rsid w:val="00C611CE"/>
    <w:rsid w:val="00C61215"/>
    <w:rsid w:val="00C614C9"/>
    <w:rsid w:val="00C6240B"/>
    <w:rsid w:val="00C62768"/>
    <w:rsid w:val="00C6366D"/>
    <w:rsid w:val="00C6411A"/>
    <w:rsid w:val="00C6469E"/>
    <w:rsid w:val="00C6512B"/>
    <w:rsid w:val="00C659F0"/>
    <w:rsid w:val="00C66537"/>
    <w:rsid w:val="00C66635"/>
    <w:rsid w:val="00C6687F"/>
    <w:rsid w:val="00C66D43"/>
    <w:rsid w:val="00C70BCD"/>
    <w:rsid w:val="00C728E3"/>
    <w:rsid w:val="00C73A57"/>
    <w:rsid w:val="00C73D87"/>
    <w:rsid w:val="00C73DA1"/>
    <w:rsid w:val="00C7469E"/>
    <w:rsid w:val="00C753C1"/>
    <w:rsid w:val="00C759A1"/>
    <w:rsid w:val="00C76B55"/>
    <w:rsid w:val="00C7781A"/>
    <w:rsid w:val="00C77983"/>
    <w:rsid w:val="00C80225"/>
    <w:rsid w:val="00C80766"/>
    <w:rsid w:val="00C80B08"/>
    <w:rsid w:val="00C81AFF"/>
    <w:rsid w:val="00C820B7"/>
    <w:rsid w:val="00C825A5"/>
    <w:rsid w:val="00C82FAD"/>
    <w:rsid w:val="00C83384"/>
    <w:rsid w:val="00C83ACB"/>
    <w:rsid w:val="00C840CA"/>
    <w:rsid w:val="00C8469D"/>
    <w:rsid w:val="00C84EBC"/>
    <w:rsid w:val="00C85601"/>
    <w:rsid w:val="00C8621D"/>
    <w:rsid w:val="00C865FF"/>
    <w:rsid w:val="00C86F5B"/>
    <w:rsid w:val="00C8751B"/>
    <w:rsid w:val="00C90748"/>
    <w:rsid w:val="00C90A66"/>
    <w:rsid w:val="00C9116F"/>
    <w:rsid w:val="00C91C96"/>
    <w:rsid w:val="00C9229C"/>
    <w:rsid w:val="00C92323"/>
    <w:rsid w:val="00C925F0"/>
    <w:rsid w:val="00C92CC9"/>
    <w:rsid w:val="00C93F23"/>
    <w:rsid w:val="00C946B0"/>
    <w:rsid w:val="00C94998"/>
    <w:rsid w:val="00C94E2F"/>
    <w:rsid w:val="00C95D07"/>
    <w:rsid w:val="00C95E8B"/>
    <w:rsid w:val="00C95F52"/>
    <w:rsid w:val="00C97564"/>
    <w:rsid w:val="00C97654"/>
    <w:rsid w:val="00C97A46"/>
    <w:rsid w:val="00CA0053"/>
    <w:rsid w:val="00CA050F"/>
    <w:rsid w:val="00CA0FA7"/>
    <w:rsid w:val="00CA170F"/>
    <w:rsid w:val="00CA2B0E"/>
    <w:rsid w:val="00CA32C0"/>
    <w:rsid w:val="00CA394A"/>
    <w:rsid w:val="00CA4161"/>
    <w:rsid w:val="00CA5486"/>
    <w:rsid w:val="00CA5874"/>
    <w:rsid w:val="00CA6772"/>
    <w:rsid w:val="00CA68D0"/>
    <w:rsid w:val="00CA6DEC"/>
    <w:rsid w:val="00CA7E00"/>
    <w:rsid w:val="00CB02C4"/>
    <w:rsid w:val="00CB0554"/>
    <w:rsid w:val="00CB0614"/>
    <w:rsid w:val="00CB1134"/>
    <w:rsid w:val="00CB147C"/>
    <w:rsid w:val="00CB2CC5"/>
    <w:rsid w:val="00CB2FAE"/>
    <w:rsid w:val="00CB3828"/>
    <w:rsid w:val="00CB3D16"/>
    <w:rsid w:val="00CB4151"/>
    <w:rsid w:val="00CB4B35"/>
    <w:rsid w:val="00CB6213"/>
    <w:rsid w:val="00CB6AB0"/>
    <w:rsid w:val="00CB6FBD"/>
    <w:rsid w:val="00CB7026"/>
    <w:rsid w:val="00CB7481"/>
    <w:rsid w:val="00CB79D2"/>
    <w:rsid w:val="00CC09D0"/>
    <w:rsid w:val="00CC0A54"/>
    <w:rsid w:val="00CC1018"/>
    <w:rsid w:val="00CC1134"/>
    <w:rsid w:val="00CC17B1"/>
    <w:rsid w:val="00CC180B"/>
    <w:rsid w:val="00CC1D50"/>
    <w:rsid w:val="00CC27AF"/>
    <w:rsid w:val="00CC3FCC"/>
    <w:rsid w:val="00CC4C27"/>
    <w:rsid w:val="00CC4E9B"/>
    <w:rsid w:val="00CC6794"/>
    <w:rsid w:val="00CC6C76"/>
    <w:rsid w:val="00CC6E8B"/>
    <w:rsid w:val="00CC7B13"/>
    <w:rsid w:val="00CD04EF"/>
    <w:rsid w:val="00CD131C"/>
    <w:rsid w:val="00CD13BB"/>
    <w:rsid w:val="00CD26BD"/>
    <w:rsid w:val="00CD26D6"/>
    <w:rsid w:val="00CD2CAE"/>
    <w:rsid w:val="00CD2EB3"/>
    <w:rsid w:val="00CD3DB9"/>
    <w:rsid w:val="00CD45BD"/>
    <w:rsid w:val="00CD550C"/>
    <w:rsid w:val="00CD6196"/>
    <w:rsid w:val="00CD6704"/>
    <w:rsid w:val="00CD6AA0"/>
    <w:rsid w:val="00CD6DA2"/>
    <w:rsid w:val="00CD7015"/>
    <w:rsid w:val="00CD75F6"/>
    <w:rsid w:val="00CE0210"/>
    <w:rsid w:val="00CE1515"/>
    <w:rsid w:val="00CE1DF3"/>
    <w:rsid w:val="00CE38D2"/>
    <w:rsid w:val="00CE3E36"/>
    <w:rsid w:val="00CE4548"/>
    <w:rsid w:val="00CE4DCC"/>
    <w:rsid w:val="00CE56EA"/>
    <w:rsid w:val="00CE629C"/>
    <w:rsid w:val="00CE63CA"/>
    <w:rsid w:val="00CE6AEC"/>
    <w:rsid w:val="00CE7287"/>
    <w:rsid w:val="00CF0362"/>
    <w:rsid w:val="00CF04F8"/>
    <w:rsid w:val="00CF0C57"/>
    <w:rsid w:val="00CF0F04"/>
    <w:rsid w:val="00CF0FDD"/>
    <w:rsid w:val="00CF12DB"/>
    <w:rsid w:val="00CF1F93"/>
    <w:rsid w:val="00CF296A"/>
    <w:rsid w:val="00CF2A4E"/>
    <w:rsid w:val="00CF2E4B"/>
    <w:rsid w:val="00CF2E6D"/>
    <w:rsid w:val="00CF346E"/>
    <w:rsid w:val="00CF44D3"/>
    <w:rsid w:val="00CF4D07"/>
    <w:rsid w:val="00CF5628"/>
    <w:rsid w:val="00CF586E"/>
    <w:rsid w:val="00CF5D72"/>
    <w:rsid w:val="00CF6437"/>
    <w:rsid w:val="00CF708F"/>
    <w:rsid w:val="00D01680"/>
    <w:rsid w:val="00D016CB"/>
    <w:rsid w:val="00D01A1D"/>
    <w:rsid w:val="00D01B1B"/>
    <w:rsid w:val="00D02954"/>
    <w:rsid w:val="00D02DBA"/>
    <w:rsid w:val="00D03281"/>
    <w:rsid w:val="00D0366A"/>
    <w:rsid w:val="00D03C83"/>
    <w:rsid w:val="00D045A8"/>
    <w:rsid w:val="00D04891"/>
    <w:rsid w:val="00D04E90"/>
    <w:rsid w:val="00D058B6"/>
    <w:rsid w:val="00D05C1C"/>
    <w:rsid w:val="00D077B4"/>
    <w:rsid w:val="00D079B2"/>
    <w:rsid w:val="00D104CB"/>
    <w:rsid w:val="00D10766"/>
    <w:rsid w:val="00D10C97"/>
    <w:rsid w:val="00D10F01"/>
    <w:rsid w:val="00D114E0"/>
    <w:rsid w:val="00D1174C"/>
    <w:rsid w:val="00D13B97"/>
    <w:rsid w:val="00D13E30"/>
    <w:rsid w:val="00D1451C"/>
    <w:rsid w:val="00D15575"/>
    <w:rsid w:val="00D15610"/>
    <w:rsid w:val="00D15FBC"/>
    <w:rsid w:val="00D16135"/>
    <w:rsid w:val="00D1647E"/>
    <w:rsid w:val="00D16656"/>
    <w:rsid w:val="00D16A60"/>
    <w:rsid w:val="00D17153"/>
    <w:rsid w:val="00D17358"/>
    <w:rsid w:val="00D173A6"/>
    <w:rsid w:val="00D17F66"/>
    <w:rsid w:val="00D17FC8"/>
    <w:rsid w:val="00D20A33"/>
    <w:rsid w:val="00D20B4C"/>
    <w:rsid w:val="00D20B6F"/>
    <w:rsid w:val="00D20FB3"/>
    <w:rsid w:val="00D21AFB"/>
    <w:rsid w:val="00D21C6E"/>
    <w:rsid w:val="00D22015"/>
    <w:rsid w:val="00D22094"/>
    <w:rsid w:val="00D22EB2"/>
    <w:rsid w:val="00D22FAB"/>
    <w:rsid w:val="00D23181"/>
    <w:rsid w:val="00D23369"/>
    <w:rsid w:val="00D24F77"/>
    <w:rsid w:val="00D250F1"/>
    <w:rsid w:val="00D25F4F"/>
    <w:rsid w:val="00D269DF"/>
    <w:rsid w:val="00D26A21"/>
    <w:rsid w:val="00D270AF"/>
    <w:rsid w:val="00D27C80"/>
    <w:rsid w:val="00D30A55"/>
    <w:rsid w:val="00D30F6F"/>
    <w:rsid w:val="00D31A29"/>
    <w:rsid w:val="00D31AE9"/>
    <w:rsid w:val="00D31C1A"/>
    <w:rsid w:val="00D32D97"/>
    <w:rsid w:val="00D33935"/>
    <w:rsid w:val="00D345F4"/>
    <w:rsid w:val="00D34776"/>
    <w:rsid w:val="00D34AB0"/>
    <w:rsid w:val="00D34C1C"/>
    <w:rsid w:val="00D34D1F"/>
    <w:rsid w:val="00D34E90"/>
    <w:rsid w:val="00D359F8"/>
    <w:rsid w:val="00D35A8D"/>
    <w:rsid w:val="00D363A4"/>
    <w:rsid w:val="00D36710"/>
    <w:rsid w:val="00D3751B"/>
    <w:rsid w:val="00D37C25"/>
    <w:rsid w:val="00D41795"/>
    <w:rsid w:val="00D41970"/>
    <w:rsid w:val="00D4205C"/>
    <w:rsid w:val="00D426CE"/>
    <w:rsid w:val="00D4286B"/>
    <w:rsid w:val="00D42E42"/>
    <w:rsid w:val="00D4304C"/>
    <w:rsid w:val="00D44A0B"/>
    <w:rsid w:val="00D44FAB"/>
    <w:rsid w:val="00D45673"/>
    <w:rsid w:val="00D471E3"/>
    <w:rsid w:val="00D47671"/>
    <w:rsid w:val="00D47A7D"/>
    <w:rsid w:val="00D51CD0"/>
    <w:rsid w:val="00D51D02"/>
    <w:rsid w:val="00D51F09"/>
    <w:rsid w:val="00D52155"/>
    <w:rsid w:val="00D527F2"/>
    <w:rsid w:val="00D52DF1"/>
    <w:rsid w:val="00D53542"/>
    <w:rsid w:val="00D537C1"/>
    <w:rsid w:val="00D544A3"/>
    <w:rsid w:val="00D54D34"/>
    <w:rsid w:val="00D552DC"/>
    <w:rsid w:val="00D55435"/>
    <w:rsid w:val="00D55646"/>
    <w:rsid w:val="00D55AA5"/>
    <w:rsid w:val="00D55E62"/>
    <w:rsid w:val="00D561B7"/>
    <w:rsid w:val="00D575E2"/>
    <w:rsid w:val="00D605C1"/>
    <w:rsid w:val="00D609C1"/>
    <w:rsid w:val="00D62CB4"/>
    <w:rsid w:val="00D6534A"/>
    <w:rsid w:val="00D654F6"/>
    <w:rsid w:val="00D6624C"/>
    <w:rsid w:val="00D664AA"/>
    <w:rsid w:val="00D67A37"/>
    <w:rsid w:val="00D701A0"/>
    <w:rsid w:val="00D7039D"/>
    <w:rsid w:val="00D71366"/>
    <w:rsid w:val="00D71FDF"/>
    <w:rsid w:val="00D72513"/>
    <w:rsid w:val="00D72E48"/>
    <w:rsid w:val="00D7335D"/>
    <w:rsid w:val="00D73725"/>
    <w:rsid w:val="00D73BD7"/>
    <w:rsid w:val="00D73E89"/>
    <w:rsid w:val="00D74252"/>
    <w:rsid w:val="00D74A1F"/>
    <w:rsid w:val="00D75735"/>
    <w:rsid w:val="00D76434"/>
    <w:rsid w:val="00D76F21"/>
    <w:rsid w:val="00D77285"/>
    <w:rsid w:val="00D7740C"/>
    <w:rsid w:val="00D80362"/>
    <w:rsid w:val="00D80EF0"/>
    <w:rsid w:val="00D81A0B"/>
    <w:rsid w:val="00D821F5"/>
    <w:rsid w:val="00D82767"/>
    <w:rsid w:val="00D82F00"/>
    <w:rsid w:val="00D830E6"/>
    <w:rsid w:val="00D83299"/>
    <w:rsid w:val="00D8367A"/>
    <w:rsid w:val="00D836BA"/>
    <w:rsid w:val="00D84079"/>
    <w:rsid w:val="00D84D68"/>
    <w:rsid w:val="00D84DA0"/>
    <w:rsid w:val="00D84EBB"/>
    <w:rsid w:val="00D8588F"/>
    <w:rsid w:val="00D859F1"/>
    <w:rsid w:val="00D866F4"/>
    <w:rsid w:val="00D87171"/>
    <w:rsid w:val="00D87D96"/>
    <w:rsid w:val="00D90251"/>
    <w:rsid w:val="00D90973"/>
    <w:rsid w:val="00D90B64"/>
    <w:rsid w:val="00D90C6D"/>
    <w:rsid w:val="00D917B4"/>
    <w:rsid w:val="00D91FA5"/>
    <w:rsid w:val="00D92395"/>
    <w:rsid w:val="00D9283C"/>
    <w:rsid w:val="00D92B2F"/>
    <w:rsid w:val="00D92B52"/>
    <w:rsid w:val="00D93095"/>
    <w:rsid w:val="00D93165"/>
    <w:rsid w:val="00D932D3"/>
    <w:rsid w:val="00D93310"/>
    <w:rsid w:val="00D935CE"/>
    <w:rsid w:val="00D941C3"/>
    <w:rsid w:val="00D94884"/>
    <w:rsid w:val="00D95B54"/>
    <w:rsid w:val="00D9601A"/>
    <w:rsid w:val="00D96357"/>
    <w:rsid w:val="00D96A2C"/>
    <w:rsid w:val="00D96FE8"/>
    <w:rsid w:val="00D971F1"/>
    <w:rsid w:val="00D97C65"/>
    <w:rsid w:val="00DA04F6"/>
    <w:rsid w:val="00DA061F"/>
    <w:rsid w:val="00DA0911"/>
    <w:rsid w:val="00DA0AC2"/>
    <w:rsid w:val="00DA1DB4"/>
    <w:rsid w:val="00DA2B26"/>
    <w:rsid w:val="00DA3EDF"/>
    <w:rsid w:val="00DA5AE8"/>
    <w:rsid w:val="00DA6543"/>
    <w:rsid w:val="00DA67C3"/>
    <w:rsid w:val="00DA6956"/>
    <w:rsid w:val="00DA6ACD"/>
    <w:rsid w:val="00DA6AF7"/>
    <w:rsid w:val="00DA6BD7"/>
    <w:rsid w:val="00DA760A"/>
    <w:rsid w:val="00DA7839"/>
    <w:rsid w:val="00DA7882"/>
    <w:rsid w:val="00DA7A72"/>
    <w:rsid w:val="00DA7A95"/>
    <w:rsid w:val="00DB05F0"/>
    <w:rsid w:val="00DB09AD"/>
    <w:rsid w:val="00DB12F5"/>
    <w:rsid w:val="00DB149F"/>
    <w:rsid w:val="00DB374D"/>
    <w:rsid w:val="00DB4B86"/>
    <w:rsid w:val="00DB5995"/>
    <w:rsid w:val="00DB5B92"/>
    <w:rsid w:val="00DB6DCF"/>
    <w:rsid w:val="00DB6F60"/>
    <w:rsid w:val="00DB73D6"/>
    <w:rsid w:val="00DB7A1A"/>
    <w:rsid w:val="00DB7C93"/>
    <w:rsid w:val="00DC0466"/>
    <w:rsid w:val="00DC06E5"/>
    <w:rsid w:val="00DC0C8D"/>
    <w:rsid w:val="00DC0CCB"/>
    <w:rsid w:val="00DC1647"/>
    <w:rsid w:val="00DC1C53"/>
    <w:rsid w:val="00DC1F3A"/>
    <w:rsid w:val="00DC2102"/>
    <w:rsid w:val="00DC2604"/>
    <w:rsid w:val="00DC3477"/>
    <w:rsid w:val="00DC350E"/>
    <w:rsid w:val="00DC5905"/>
    <w:rsid w:val="00DC7E4D"/>
    <w:rsid w:val="00DC7FEF"/>
    <w:rsid w:val="00DD0B9C"/>
    <w:rsid w:val="00DD0C83"/>
    <w:rsid w:val="00DD11F1"/>
    <w:rsid w:val="00DD1502"/>
    <w:rsid w:val="00DD2363"/>
    <w:rsid w:val="00DD23DB"/>
    <w:rsid w:val="00DD263B"/>
    <w:rsid w:val="00DD2CAB"/>
    <w:rsid w:val="00DD3439"/>
    <w:rsid w:val="00DD4BF4"/>
    <w:rsid w:val="00DD5A96"/>
    <w:rsid w:val="00DD6224"/>
    <w:rsid w:val="00DD7030"/>
    <w:rsid w:val="00DD7101"/>
    <w:rsid w:val="00DE0320"/>
    <w:rsid w:val="00DE095E"/>
    <w:rsid w:val="00DE0D8E"/>
    <w:rsid w:val="00DE106F"/>
    <w:rsid w:val="00DE163D"/>
    <w:rsid w:val="00DE3395"/>
    <w:rsid w:val="00DE3847"/>
    <w:rsid w:val="00DE3863"/>
    <w:rsid w:val="00DE3AF2"/>
    <w:rsid w:val="00DE3F34"/>
    <w:rsid w:val="00DE4B81"/>
    <w:rsid w:val="00DE4FBE"/>
    <w:rsid w:val="00DE5B33"/>
    <w:rsid w:val="00DE5BE9"/>
    <w:rsid w:val="00DE5F15"/>
    <w:rsid w:val="00DE6EA5"/>
    <w:rsid w:val="00DE7F10"/>
    <w:rsid w:val="00DE7F9E"/>
    <w:rsid w:val="00DF0117"/>
    <w:rsid w:val="00DF0A04"/>
    <w:rsid w:val="00DF177A"/>
    <w:rsid w:val="00DF21BB"/>
    <w:rsid w:val="00DF2794"/>
    <w:rsid w:val="00DF2C33"/>
    <w:rsid w:val="00DF2F88"/>
    <w:rsid w:val="00DF2FB7"/>
    <w:rsid w:val="00DF3247"/>
    <w:rsid w:val="00DF343A"/>
    <w:rsid w:val="00DF37F4"/>
    <w:rsid w:val="00DF450B"/>
    <w:rsid w:val="00DF4B22"/>
    <w:rsid w:val="00DF5303"/>
    <w:rsid w:val="00DF5E43"/>
    <w:rsid w:val="00DF5EDF"/>
    <w:rsid w:val="00DF6868"/>
    <w:rsid w:val="00DF6F8A"/>
    <w:rsid w:val="00DF7393"/>
    <w:rsid w:val="00DF7F51"/>
    <w:rsid w:val="00E00924"/>
    <w:rsid w:val="00E00E29"/>
    <w:rsid w:val="00E01317"/>
    <w:rsid w:val="00E01A80"/>
    <w:rsid w:val="00E01A97"/>
    <w:rsid w:val="00E01F0B"/>
    <w:rsid w:val="00E044AB"/>
    <w:rsid w:val="00E048CA"/>
    <w:rsid w:val="00E05D6D"/>
    <w:rsid w:val="00E05F39"/>
    <w:rsid w:val="00E06CD4"/>
    <w:rsid w:val="00E07E5C"/>
    <w:rsid w:val="00E07FBF"/>
    <w:rsid w:val="00E106A4"/>
    <w:rsid w:val="00E10A56"/>
    <w:rsid w:val="00E10BBF"/>
    <w:rsid w:val="00E10D53"/>
    <w:rsid w:val="00E1153C"/>
    <w:rsid w:val="00E11C51"/>
    <w:rsid w:val="00E1314C"/>
    <w:rsid w:val="00E13843"/>
    <w:rsid w:val="00E13BC5"/>
    <w:rsid w:val="00E146D2"/>
    <w:rsid w:val="00E1499E"/>
    <w:rsid w:val="00E14AEE"/>
    <w:rsid w:val="00E150B7"/>
    <w:rsid w:val="00E150B8"/>
    <w:rsid w:val="00E153B4"/>
    <w:rsid w:val="00E15AC2"/>
    <w:rsid w:val="00E162AF"/>
    <w:rsid w:val="00E1648A"/>
    <w:rsid w:val="00E16A23"/>
    <w:rsid w:val="00E171D1"/>
    <w:rsid w:val="00E176EE"/>
    <w:rsid w:val="00E17C2C"/>
    <w:rsid w:val="00E17EFB"/>
    <w:rsid w:val="00E211A0"/>
    <w:rsid w:val="00E21610"/>
    <w:rsid w:val="00E218F0"/>
    <w:rsid w:val="00E24679"/>
    <w:rsid w:val="00E248E5"/>
    <w:rsid w:val="00E253C4"/>
    <w:rsid w:val="00E254B2"/>
    <w:rsid w:val="00E257EE"/>
    <w:rsid w:val="00E27036"/>
    <w:rsid w:val="00E27579"/>
    <w:rsid w:val="00E30C68"/>
    <w:rsid w:val="00E30E09"/>
    <w:rsid w:val="00E3155F"/>
    <w:rsid w:val="00E31982"/>
    <w:rsid w:val="00E33098"/>
    <w:rsid w:val="00E335BF"/>
    <w:rsid w:val="00E3446C"/>
    <w:rsid w:val="00E3497B"/>
    <w:rsid w:val="00E34AFB"/>
    <w:rsid w:val="00E34B38"/>
    <w:rsid w:val="00E34D8C"/>
    <w:rsid w:val="00E36D73"/>
    <w:rsid w:val="00E372F1"/>
    <w:rsid w:val="00E37340"/>
    <w:rsid w:val="00E376EB"/>
    <w:rsid w:val="00E37AB7"/>
    <w:rsid w:val="00E405ED"/>
    <w:rsid w:val="00E407A0"/>
    <w:rsid w:val="00E40D18"/>
    <w:rsid w:val="00E40E12"/>
    <w:rsid w:val="00E415E9"/>
    <w:rsid w:val="00E41A4D"/>
    <w:rsid w:val="00E41D36"/>
    <w:rsid w:val="00E42E40"/>
    <w:rsid w:val="00E44543"/>
    <w:rsid w:val="00E44687"/>
    <w:rsid w:val="00E45655"/>
    <w:rsid w:val="00E45F41"/>
    <w:rsid w:val="00E468AC"/>
    <w:rsid w:val="00E47765"/>
    <w:rsid w:val="00E47804"/>
    <w:rsid w:val="00E47C6E"/>
    <w:rsid w:val="00E524C1"/>
    <w:rsid w:val="00E52DA8"/>
    <w:rsid w:val="00E53A01"/>
    <w:rsid w:val="00E544C4"/>
    <w:rsid w:val="00E55C63"/>
    <w:rsid w:val="00E55FAF"/>
    <w:rsid w:val="00E56C5C"/>
    <w:rsid w:val="00E609E1"/>
    <w:rsid w:val="00E611E8"/>
    <w:rsid w:val="00E61443"/>
    <w:rsid w:val="00E61C6A"/>
    <w:rsid w:val="00E653A6"/>
    <w:rsid w:val="00E655B1"/>
    <w:rsid w:val="00E65EE0"/>
    <w:rsid w:val="00E66198"/>
    <w:rsid w:val="00E6621F"/>
    <w:rsid w:val="00E6658D"/>
    <w:rsid w:val="00E66647"/>
    <w:rsid w:val="00E66BA4"/>
    <w:rsid w:val="00E675F0"/>
    <w:rsid w:val="00E676F6"/>
    <w:rsid w:val="00E67D98"/>
    <w:rsid w:val="00E7046F"/>
    <w:rsid w:val="00E70856"/>
    <w:rsid w:val="00E7143D"/>
    <w:rsid w:val="00E717D5"/>
    <w:rsid w:val="00E71D76"/>
    <w:rsid w:val="00E73CB3"/>
    <w:rsid w:val="00E74492"/>
    <w:rsid w:val="00E744E9"/>
    <w:rsid w:val="00E74EAD"/>
    <w:rsid w:val="00E751E3"/>
    <w:rsid w:val="00E75D6E"/>
    <w:rsid w:val="00E76041"/>
    <w:rsid w:val="00E770CE"/>
    <w:rsid w:val="00E771B4"/>
    <w:rsid w:val="00E77DB0"/>
    <w:rsid w:val="00E80712"/>
    <w:rsid w:val="00E80C2A"/>
    <w:rsid w:val="00E80F7D"/>
    <w:rsid w:val="00E818F2"/>
    <w:rsid w:val="00E81D24"/>
    <w:rsid w:val="00E81F8C"/>
    <w:rsid w:val="00E82AC2"/>
    <w:rsid w:val="00E83A8E"/>
    <w:rsid w:val="00E8439A"/>
    <w:rsid w:val="00E84441"/>
    <w:rsid w:val="00E8526C"/>
    <w:rsid w:val="00E8560C"/>
    <w:rsid w:val="00E8593B"/>
    <w:rsid w:val="00E8783F"/>
    <w:rsid w:val="00E87853"/>
    <w:rsid w:val="00E904F3"/>
    <w:rsid w:val="00E90807"/>
    <w:rsid w:val="00E908C8"/>
    <w:rsid w:val="00E90A28"/>
    <w:rsid w:val="00E90A2F"/>
    <w:rsid w:val="00E91EA4"/>
    <w:rsid w:val="00E926B3"/>
    <w:rsid w:val="00E92731"/>
    <w:rsid w:val="00E92C10"/>
    <w:rsid w:val="00E92D0D"/>
    <w:rsid w:val="00E93553"/>
    <w:rsid w:val="00E93600"/>
    <w:rsid w:val="00E938AB"/>
    <w:rsid w:val="00E94EE6"/>
    <w:rsid w:val="00E9502E"/>
    <w:rsid w:val="00E95C07"/>
    <w:rsid w:val="00E95E58"/>
    <w:rsid w:val="00E96598"/>
    <w:rsid w:val="00E967D1"/>
    <w:rsid w:val="00E96C0F"/>
    <w:rsid w:val="00E971DE"/>
    <w:rsid w:val="00E97F98"/>
    <w:rsid w:val="00EA042C"/>
    <w:rsid w:val="00EA072A"/>
    <w:rsid w:val="00EA15D7"/>
    <w:rsid w:val="00EA1A95"/>
    <w:rsid w:val="00EA284D"/>
    <w:rsid w:val="00EA299A"/>
    <w:rsid w:val="00EA2B99"/>
    <w:rsid w:val="00EA3A6E"/>
    <w:rsid w:val="00EA4E24"/>
    <w:rsid w:val="00EA5F0F"/>
    <w:rsid w:val="00EA6518"/>
    <w:rsid w:val="00EA74AE"/>
    <w:rsid w:val="00EA75CC"/>
    <w:rsid w:val="00EA76AB"/>
    <w:rsid w:val="00EA7B58"/>
    <w:rsid w:val="00EB0169"/>
    <w:rsid w:val="00EB019D"/>
    <w:rsid w:val="00EB09BF"/>
    <w:rsid w:val="00EB09E4"/>
    <w:rsid w:val="00EB15BB"/>
    <w:rsid w:val="00EB17A2"/>
    <w:rsid w:val="00EB18B5"/>
    <w:rsid w:val="00EB190C"/>
    <w:rsid w:val="00EB251C"/>
    <w:rsid w:val="00EB27EA"/>
    <w:rsid w:val="00EB2F10"/>
    <w:rsid w:val="00EB33FE"/>
    <w:rsid w:val="00EB3725"/>
    <w:rsid w:val="00EB4979"/>
    <w:rsid w:val="00EB4C63"/>
    <w:rsid w:val="00EB5B5E"/>
    <w:rsid w:val="00EB5CAC"/>
    <w:rsid w:val="00EB5F91"/>
    <w:rsid w:val="00EB6E68"/>
    <w:rsid w:val="00EB70D0"/>
    <w:rsid w:val="00EB736C"/>
    <w:rsid w:val="00EB7DC7"/>
    <w:rsid w:val="00EC0993"/>
    <w:rsid w:val="00EC0DC2"/>
    <w:rsid w:val="00EC0F49"/>
    <w:rsid w:val="00EC146D"/>
    <w:rsid w:val="00EC1649"/>
    <w:rsid w:val="00EC1D53"/>
    <w:rsid w:val="00EC23E2"/>
    <w:rsid w:val="00EC23EE"/>
    <w:rsid w:val="00EC296E"/>
    <w:rsid w:val="00EC2BE3"/>
    <w:rsid w:val="00EC31A2"/>
    <w:rsid w:val="00EC334C"/>
    <w:rsid w:val="00EC45D1"/>
    <w:rsid w:val="00EC50B4"/>
    <w:rsid w:val="00EC72DF"/>
    <w:rsid w:val="00EC7940"/>
    <w:rsid w:val="00ED0D96"/>
    <w:rsid w:val="00ED1730"/>
    <w:rsid w:val="00ED1854"/>
    <w:rsid w:val="00ED33F2"/>
    <w:rsid w:val="00ED3508"/>
    <w:rsid w:val="00ED35B4"/>
    <w:rsid w:val="00ED3A3B"/>
    <w:rsid w:val="00ED4B1C"/>
    <w:rsid w:val="00ED5671"/>
    <w:rsid w:val="00ED587C"/>
    <w:rsid w:val="00ED63EF"/>
    <w:rsid w:val="00ED7C30"/>
    <w:rsid w:val="00EE0108"/>
    <w:rsid w:val="00EE061F"/>
    <w:rsid w:val="00EE116B"/>
    <w:rsid w:val="00EE18A2"/>
    <w:rsid w:val="00EE23AA"/>
    <w:rsid w:val="00EE2B63"/>
    <w:rsid w:val="00EE2C93"/>
    <w:rsid w:val="00EE49B1"/>
    <w:rsid w:val="00EE4BD0"/>
    <w:rsid w:val="00EE4F81"/>
    <w:rsid w:val="00EE5267"/>
    <w:rsid w:val="00EE563D"/>
    <w:rsid w:val="00EE5D9C"/>
    <w:rsid w:val="00EE669B"/>
    <w:rsid w:val="00EE6968"/>
    <w:rsid w:val="00EE799F"/>
    <w:rsid w:val="00EF00F0"/>
    <w:rsid w:val="00EF040A"/>
    <w:rsid w:val="00EF1133"/>
    <w:rsid w:val="00EF173D"/>
    <w:rsid w:val="00EF1AFB"/>
    <w:rsid w:val="00EF1E7F"/>
    <w:rsid w:val="00EF1FAE"/>
    <w:rsid w:val="00EF278E"/>
    <w:rsid w:val="00EF2D13"/>
    <w:rsid w:val="00EF2D3B"/>
    <w:rsid w:val="00EF35C8"/>
    <w:rsid w:val="00EF4227"/>
    <w:rsid w:val="00EF4297"/>
    <w:rsid w:val="00EF44D1"/>
    <w:rsid w:val="00EF4660"/>
    <w:rsid w:val="00EF4972"/>
    <w:rsid w:val="00F013C5"/>
    <w:rsid w:val="00F01990"/>
    <w:rsid w:val="00F01DA5"/>
    <w:rsid w:val="00F02335"/>
    <w:rsid w:val="00F02C9D"/>
    <w:rsid w:val="00F049FD"/>
    <w:rsid w:val="00F0691A"/>
    <w:rsid w:val="00F07408"/>
    <w:rsid w:val="00F1053D"/>
    <w:rsid w:val="00F109E0"/>
    <w:rsid w:val="00F11B1D"/>
    <w:rsid w:val="00F120FB"/>
    <w:rsid w:val="00F1220D"/>
    <w:rsid w:val="00F126EC"/>
    <w:rsid w:val="00F128F0"/>
    <w:rsid w:val="00F130D8"/>
    <w:rsid w:val="00F13492"/>
    <w:rsid w:val="00F15CF8"/>
    <w:rsid w:val="00F15F7C"/>
    <w:rsid w:val="00F1602A"/>
    <w:rsid w:val="00F164DD"/>
    <w:rsid w:val="00F165BF"/>
    <w:rsid w:val="00F17252"/>
    <w:rsid w:val="00F17533"/>
    <w:rsid w:val="00F17CF3"/>
    <w:rsid w:val="00F204D6"/>
    <w:rsid w:val="00F211C1"/>
    <w:rsid w:val="00F21B62"/>
    <w:rsid w:val="00F234D1"/>
    <w:rsid w:val="00F24B20"/>
    <w:rsid w:val="00F24C17"/>
    <w:rsid w:val="00F24C41"/>
    <w:rsid w:val="00F25992"/>
    <w:rsid w:val="00F25B53"/>
    <w:rsid w:val="00F26177"/>
    <w:rsid w:val="00F26408"/>
    <w:rsid w:val="00F26567"/>
    <w:rsid w:val="00F26A0A"/>
    <w:rsid w:val="00F2778C"/>
    <w:rsid w:val="00F27BC4"/>
    <w:rsid w:val="00F27C65"/>
    <w:rsid w:val="00F3061A"/>
    <w:rsid w:val="00F306B4"/>
    <w:rsid w:val="00F30843"/>
    <w:rsid w:val="00F30F86"/>
    <w:rsid w:val="00F3107C"/>
    <w:rsid w:val="00F31694"/>
    <w:rsid w:val="00F32D13"/>
    <w:rsid w:val="00F32FBB"/>
    <w:rsid w:val="00F335A3"/>
    <w:rsid w:val="00F33D1E"/>
    <w:rsid w:val="00F33E11"/>
    <w:rsid w:val="00F33FEC"/>
    <w:rsid w:val="00F3431C"/>
    <w:rsid w:val="00F34818"/>
    <w:rsid w:val="00F34C25"/>
    <w:rsid w:val="00F35044"/>
    <w:rsid w:val="00F3541E"/>
    <w:rsid w:val="00F35997"/>
    <w:rsid w:val="00F35CBA"/>
    <w:rsid w:val="00F35EDE"/>
    <w:rsid w:val="00F37046"/>
    <w:rsid w:val="00F37898"/>
    <w:rsid w:val="00F4017E"/>
    <w:rsid w:val="00F403C4"/>
    <w:rsid w:val="00F40468"/>
    <w:rsid w:val="00F40576"/>
    <w:rsid w:val="00F40673"/>
    <w:rsid w:val="00F40F4B"/>
    <w:rsid w:val="00F41AF9"/>
    <w:rsid w:val="00F41E26"/>
    <w:rsid w:val="00F4342F"/>
    <w:rsid w:val="00F43ED5"/>
    <w:rsid w:val="00F44EFC"/>
    <w:rsid w:val="00F45394"/>
    <w:rsid w:val="00F453B7"/>
    <w:rsid w:val="00F4600E"/>
    <w:rsid w:val="00F460E4"/>
    <w:rsid w:val="00F46710"/>
    <w:rsid w:val="00F47089"/>
    <w:rsid w:val="00F4739B"/>
    <w:rsid w:val="00F4761B"/>
    <w:rsid w:val="00F476F2"/>
    <w:rsid w:val="00F47988"/>
    <w:rsid w:val="00F511FE"/>
    <w:rsid w:val="00F51ABD"/>
    <w:rsid w:val="00F52436"/>
    <w:rsid w:val="00F5246F"/>
    <w:rsid w:val="00F52629"/>
    <w:rsid w:val="00F52738"/>
    <w:rsid w:val="00F52937"/>
    <w:rsid w:val="00F5298A"/>
    <w:rsid w:val="00F53689"/>
    <w:rsid w:val="00F54621"/>
    <w:rsid w:val="00F54781"/>
    <w:rsid w:val="00F54A9F"/>
    <w:rsid w:val="00F55300"/>
    <w:rsid w:val="00F560F4"/>
    <w:rsid w:val="00F5627F"/>
    <w:rsid w:val="00F567F2"/>
    <w:rsid w:val="00F5773D"/>
    <w:rsid w:val="00F57D7E"/>
    <w:rsid w:val="00F57E2D"/>
    <w:rsid w:val="00F57FAD"/>
    <w:rsid w:val="00F6085E"/>
    <w:rsid w:val="00F60EAF"/>
    <w:rsid w:val="00F60F1E"/>
    <w:rsid w:val="00F615D0"/>
    <w:rsid w:val="00F61928"/>
    <w:rsid w:val="00F6275F"/>
    <w:rsid w:val="00F62B90"/>
    <w:rsid w:val="00F63CC1"/>
    <w:rsid w:val="00F63F28"/>
    <w:rsid w:val="00F643DF"/>
    <w:rsid w:val="00F656EE"/>
    <w:rsid w:val="00F65B6C"/>
    <w:rsid w:val="00F65E57"/>
    <w:rsid w:val="00F65EBE"/>
    <w:rsid w:val="00F6667E"/>
    <w:rsid w:val="00F666B9"/>
    <w:rsid w:val="00F66E03"/>
    <w:rsid w:val="00F67F96"/>
    <w:rsid w:val="00F70732"/>
    <w:rsid w:val="00F7165F"/>
    <w:rsid w:val="00F7252B"/>
    <w:rsid w:val="00F72B32"/>
    <w:rsid w:val="00F73706"/>
    <w:rsid w:val="00F74372"/>
    <w:rsid w:val="00F744A5"/>
    <w:rsid w:val="00F74600"/>
    <w:rsid w:val="00F74A84"/>
    <w:rsid w:val="00F75B12"/>
    <w:rsid w:val="00F75F57"/>
    <w:rsid w:val="00F768D5"/>
    <w:rsid w:val="00F802D5"/>
    <w:rsid w:val="00F8072E"/>
    <w:rsid w:val="00F80769"/>
    <w:rsid w:val="00F808CF"/>
    <w:rsid w:val="00F80C1A"/>
    <w:rsid w:val="00F81ADC"/>
    <w:rsid w:val="00F8220B"/>
    <w:rsid w:val="00F83541"/>
    <w:rsid w:val="00F8467F"/>
    <w:rsid w:val="00F849C5"/>
    <w:rsid w:val="00F84A4E"/>
    <w:rsid w:val="00F84D80"/>
    <w:rsid w:val="00F8526E"/>
    <w:rsid w:val="00F852E2"/>
    <w:rsid w:val="00F86452"/>
    <w:rsid w:val="00F8665B"/>
    <w:rsid w:val="00F86E4C"/>
    <w:rsid w:val="00F87616"/>
    <w:rsid w:val="00F878BA"/>
    <w:rsid w:val="00F90283"/>
    <w:rsid w:val="00F909B2"/>
    <w:rsid w:val="00F90D31"/>
    <w:rsid w:val="00F91906"/>
    <w:rsid w:val="00F919C2"/>
    <w:rsid w:val="00F94319"/>
    <w:rsid w:val="00F9450F"/>
    <w:rsid w:val="00F95C13"/>
    <w:rsid w:val="00F96249"/>
    <w:rsid w:val="00F96A4C"/>
    <w:rsid w:val="00F96F42"/>
    <w:rsid w:val="00F971A8"/>
    <w:rsid w:val="00F97479"/>
    <w:rsid w:val="00F97DD6"/>
    <w:rsid w:val="00FA05D2"/>
    <w:rsid w:val="00FA0B5C"/>
    <w:rsid w:val="00FA106D"/>
    <w:rsid w:val="00FA1093"/>
    <w:rsid w:val="00FA1311"/>
    <w:rsid w:val="00FA1CDD"/>
    <w:rsid w:val="00FA3384"/>
    <w:rsid w:val="00FA459F"/>
    <w:rsid w:val="00FA46EA"/>
    <w:rsid w:val="00FA50D7"/>
    <w:rsid w:val="00FA5277"/>
    <w:rsid w:val="00FA5EF7"/>
    <w:rsid w:val="00FA6390"/>
    <w:rsid w:val="00FA6866"/>
    <w:rsid w:val="00FA6C54"/>
    <w:rsid w:val="00FA6CE7"/>
    <w:rsid w:val="00FA74C1"/>
    <w:rsid w:val="00FA76BB"/>
    <w:rsid w:val="00FA7809"/>
    <w:rsid w:val="00FA78CB"/>
    <w:rsid w:val="00FA7BD1"/>
    <w:rsid w:val="00FB00A3"/>
    <w:rsid w:val="00FB0151"/>
    <w:rsid w:val="00FB025C"/>
    <w:rsid w:val="00FB053D"/>
    <w:rsid w:val="00FB0AF1"/>
    <w:rsid w:val="00FB1139"/>
    <w:rsid w:val="00FB174F"/>
    <w:rsid w:val="00FB2D10"/>
    <w:rsid w:val="00FB3347"/>
    <w:rsid w:val="00FB375A"/>
    <w:rsid w:val="00FB3B6F"/>
    <w:rsid w:val="00FB47BF"/>
    <w:rsid w:val="00FB4AE9"/>
    <w:rsid w:val="00FB50CD"/>
    <w:rsid w:val="00FB552B"/>
    <w:rsid w:val="00FB56DA"/>
    <w:rsid w:val="00FB5725"/>
    <w:rsid w:val="00FB5944"/>
    <w:rsid w:val="00FB5AEF"/>
    <w:rsid w:val="00FB5E95"/>
    <w:rsid w:val="00FB630A"/>
    <w:rsid w:val="00FB6582"/>
    <w:rsid w:val="00FB65FB"/>
    <w:rsid w:val="00FB6909"/>
    <w:rsid w:val="00FB6A6E"/>
    <w:rsid w:val="00FB6B06"/>
    <w:rsid w:val="00FB6CF1"/>
    <w:rsid w:val="00FB6F19"/>
    <w:rsid w:val="00FB783A"/>
    <w:rsid w:val="00FB7D5F"/>
    <w:rsid w:val="00FB7EA4"/>
    <w:rsid w:val="00FC0062"/>
    <w:rsid w:val="00FC0F3F"/>
    <w:rsid w:val="00FC27FE"/>
    <w:rsid w:val="00FC2858"/>
    <w:rsid w:val="00FC2C35"/>
    <w:rsid w:val="00FC460B"/>
    <w:rsid w:val="00FC4AD6"/>
    <w:rsid w:val="00FC562E"/>
    <w:rsid w:val="00FC57EA"/>
    <w:rsid w:val="00FC5DF7"/>
    <w:rsid w:val="00FC6008"/>
    <w:rsid w:val="00FC6469"/>
    <w:rsid w:val="00FD0F07"/>
    <w:rsid w:val="00FD11CB"/>
    <w:rsid w:val="00FD2348"/>
    <w:rsid w:val="00FD25E0"/>
    <w:rsid w:val="00FD2A5E"/>
    <w:rsid w:val="00FD3B95"/>
    <w:rsid w:val="00FD3F92"/>
    <w:rsid w:val="00FD419B"/>
    <w:rsid w:val="00FD530F"/>
    <w:rsid w:val="00FD56C9"/>
    <w:rsid w:val="00FD6431"/>
    <w:rsid w:val="00FD658D"/>
    <w:rsid w:val="00FD6974"/>
    <w:rsid w:val="00FD6FAC"/>
    <w:rsid w:val="00FE046C"/>
    <w:rsid w:val="00FE1EAA"/>
    <w:rsid w:val="00FE202E"/>
    <w:rsid w:val="00FE2B15"/>
    <w:rsid w:val="00FE35A9"/>
    <w:rsid w:val="00FE3AB9"/>
    <w:rsid w:val="00FE4240"/>
    <w:rsid w:val="00FE5275"/>
    <w:rsid w:val="00FE54C8"/>
    <w:rsid w:val="00FE5C34"/>
    <w:rsid w:val="00FF02E8"/>
    <w:rsid w:val="00FF0531"/>
    <w:rsid w:val="00FF0889"/>
    <w:rsid w:val="00FF18F2"/>
    <w:rsid w:val="00FF20AC"/>
    <w:rsid w:val="00FF232A"/>
    <w:rsid w:val="00FF246B"/>
    <w:rsid w:val="00FF2CDF"/>
    <w:rsid w:val="00FF3159"/>
    <w:rsid w:val="00FF4E35"/>
    <w:rsid w:val="00FF528D"/>
    <w:rsid w:val="00FF75CF"/>
    <w:rsid w:val="00FF7B80"/>
    <w:rsid w:val="00FF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E0A"/>
  <w15:docId w15:val="{EB119F7F-03B5-4747-965A-688E6D2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A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AC3AC7"/>
    <w:pPr>
      <w:keepNext/>
      <w:keepLines/>
      <w:spacing w:before="240" w:line="259" w:lineRule="auto"/>
      <w:ind w:firstLine="709"/>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C4F4B"/>
    <w:pPr>
      <w:keepNext/>
      <w:keepLines/>
      <w:spacing w:before="40" w:line="259" w:lineRule="auto"/>
      <w:ind w:firstLine="709"/>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B47A91"/>
    <w:pPr>
      <w:spacing w:before="100" w:beforeAutospacing="1" w:after="100" w:afterAutospacing="1"/>
      <w:ind w:firstLine="709"/>
      <w:outlineLvl w:val="2"/>
    </w:pPr>
    <w:rPr>
      <w:b/>
      <w:bCs/>
      <w:sz w:val="27"/>
      <w:szCs w:val="27"/>
    </w:rPr>
  </w:style>
  <w:style w:type="paragraph" w:styleId="Heading4">
    <w:name w:val="heading 4"/>
    <w:basedOn w:val="Normal"/>
    <w:next w:val="Normal"/>
    <w:link w:val="Heading4Char"/>
    <w:uiPriority w:val="9"/>
    <w:unhideWhenUsed/>
    <w:qFormat/>
    <w:rsid w:val="000C4F4B"/>
    <w:pPr>
      <w:keepNext/>
      <w:keepLines/>
      <w:spacing w:before="40" w:line="259" w:lineRule="auto"/>
      <w:ind w:firstLine="709"/>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91"/>
    <w:rPr>
      <w:b/>
      <w:bCs/>
    </w:rPr>
  </w:style>
  <w:style w:type="character" w:customStyle="1" w:styleId="Heading3Char">
    <w:name w:val="Heading 3 Char"/>
    <w:basedOn w:val="DefaultParagraphFont"/>
    <w:link w:val="Heading3"/>
    <w:uiPriority w:val="9"/>
    <w:rsid w:val="00B47A9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47A91"/>
    <w:pPr>
      <w:spacing w:before="100" w:beforeAutospacing="1" w:after="100" w:afterAutospacing="1"/>
      <w:ind w:firstLine="709"/>
    </w:pPr>
  </w:style>
  <w:style w:type="character" w:styleId="Hyperlink">
    <w:name w:val="Hyperlink"/>
    <w:basedOn w:val="DefaultParagraphFont"/>
    <w:uiPriority w:val="99"/>
    <w:unhideWhenUsed/>
    <w:rsid w:val="00B47A91"/>
    <w:rPr>
      <w:color w:val="0563C1" w:themeColor="hyperlink"/>
      <w:u w:val="single"/>
    </w:rPr>
  </w:style>
  <w:style w:type="character" w:customStyle="1" w:styleId="1">
    <w:name w:val="Неразрешенное упоминание1"/>
    <w:basedOn w:val="DefaultParagraphFont"/>
    <w:uiPriority w:val="99"/>
    <w:semiHidden/>
    <w:unhideWhenUsed/>
    <w:rsid w:val="00B47A91"/>
    <w:rPr>
      <w:color w:val="808080"/>
      <w:shd w:val="clear" w:color="auto" w:fill="E6E6E6"/>
    </w:rPr>
  </w:style>
  <w:style w:type="character" w:customStyle="1" w:styleId="stats">
    <w:name w:val="stats"/>
    <w:basedOn w:val="DefaultParagraphFont"/>
    <w:rsid w:val="00F26A0A"/>
  </w:style>
  <w:style w:type="character" w:customStyle="1" w:styleId="Heading1Char">
    <w:name w:val="Heading 1 Char"/>
    <w:basedOn w:val="DefaultParagraphFont"/>
    <w:link w:val="Heading1"/>
    <w:uiPriority w:val="9"/>
    <w:rsid w:val="00AC3AC7"/>
    <w:rPr>
      <w:rFonts w:asciiTheme="majorHAnsi" w:eastAsiaTheme="majorEastAsia" w:hAnsiTheme="majorHAnsi" w:cstheme="majorBidi"/>
      <w:color w:val="2F5496" w:themeColor="accent1" w:themeShade="BF"/>
      <w:sz w:val="32"/>
      <w:szCs w:val="32"/>
    </w:rPr>
  </w:style>
  <w:style w:type="character" w:customStyle="1" w:styleId="shorttext">
    <w:name w:val="short_text"/>
    <w:basedOn w:val="DefaultParagraphFont"/>
    <w:rsid w:val="00D9601A"/>
  </w:style>
  <w:style w:type="paragraph" w:styleId="ListParagraph">
    <w:name w:val="List Paragraph"/>
    <w:basedOn w:val="Normal"/>
    <w:uiPriority w:val="34"/>
    <w:qFormat/>
    <w:rsid w:val="002A55EC"/>
    <w:pPr>
      <w:spacing w:after="200" w:line="276" w:lineRule="auto"/>
      <w:ind w:left="720" w:firstLine="709"/>
    </w:pPr>
    <w:rPr>
      <w:rFonts w:ascii="Calibri" w:hAnsi="Calibri" w:cs="Calibri"/>
      <w:sz w:val="22"/>
      <w:szCs w:val="22"/>
      <w:lang w:eastAsia="en-US"/>
    </w:rPr>
  </w:style>
  <w:style w:type="character" w:customStyle="1" w:styleId="2">
    <w:name w:val="Неразрешенное упоминание2"/>
    <w:basedOn w:val="DefaultParagraphFont"/>
    <w:uiPriority w:val="99"/>
    <w:semiHidden/>
    <w:unhideWhenUsed/>
    <w:rsid w:val="00BA7CB2"/>
    <w:rPr>
      <w:color w:val="605E5C"/>
      <w:shd w:val="clear" w:color="auto" w:fill="E1DFDD"/>
    </w:rPr>
  </w:style>
  <w:style w:type="character" w:customStyle="1" w:styleId="left">
    <w:name w:val="left"/>
    <w:basedOn w:val="DefaultParagraphFont"/>
    <w:rsid w:val="009A1792"/>
  </w:style>
  <w:style w:type="character" w:customStyle="1" w:styleId="right">
    <w:name w:val="right"/>
    <w:basedOn w:val="DefaultParagraphFont"/>
    <w:rsid w:val="009A1792"/>
  </w:style>
  <w:style w:type="table" w:styleId="TableGrid">
    <w:name w:val="Table Grid"/>
    <w:basedOn w:val="TableNormal"/>
    <w:uiPriority w:val="39"/>
    <w:rsid w:val="001A744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F3308"/>
    <w:pPr>
      <w:ind w:firstLine="709"/>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AF3308"/>
    <w:rPr>
      <w:rFonts w:ascii="Consolas" w:eastAsia="Calibri" w:hAnsi="Consolas" w:cs="Times New Roman"/>
      <w:sz w:val="21"/>
      <w:szCs w:val="21"/>
      <w:lang w:val="sv-SE"/>
    </w:rPr>
  </w:style>
  <w:style w:type="paragraph" w:styleId="NoSpacing">
    <w:name w:val="No Spacing"/>
    <w:uiPriority w:val="1"/>
    <w:qFormat/>
    <w:rsid w:val="000C4F4B"/>
    <w:pPr>
      <w:spacing w:after="0" w:line="240" w:lineRule="auto"/>
      <w:ind w:firstLine="709"/>
    </w:pPr>
  </w:style>
  <w:style w:type="character" w:customStyle="1" w:styleId="Heading2Char">
    <w:name w:val="Heading 2 Char"/>
    <w:basedOn w:val="DefaultParagraphFont"/>
    <w:link w:val="Heading2"/>
    <w:uiPriority w:val="9"/>
    <w:rsid w:val="000C4F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C4F4B"/>
    <w:rPr>
      <w:rFonts w:asciiTheme="majorHAnsi" w:eastAsiaTheme="majorEastAsia" w:hAnsiTheme="majorHAnsi" w:cstheme="majorBidi"/>
      <w:i/>
      <w:iCs/>
      <w:color w:val="2F5496" w:themeColor="accent1" w:themeShade="BF"/>
    </w:rPr>
  </w:style>
  <w:style w:type="paragraph" w:customStyle="1" w:styleId="10">
    <w:name w:val="Стиль1"/>
    <w:basedOn w:val="Heading4"/>
    <w:link w:val="11"/>
    <w:qFormat/>
    <w:rsid w:val="000C4F4B"/>
  </w:style>
  <w:style w:type="paragraph" w:customStyle="1" w:styleId="a">
    <w:name w:val="таблица"/>
    <w:basedOn w:val="10"/>
    <w:link w:val="a0"/>
    <w:qFormat/>
    <w:rsid w:val="000C4F4B"/>
    <w:pPr>
      <w:spacing w:before="0"/>
      <w:ind w:firstLine="0"/>
    </w:pPr>
    <w:rPr>
      <w:rFonts w:asciiTheme="minorHAnsi" w:hAnsiTheme="minorHAnsi"/>
      <w:i w:val="0"/>
      <w:color w:val="000000" w:themeColor="text1"/>
      <w:sz w:val="20"/>
    </w:rPr>
  </w:style>
  <w:style w:type="character" w:customStyle="1" w:styleId="11">
    <w:name w:val="Стиль1 Знак"/>
    <w:basedOn w:val="Heading4Char"/>
    <w:link w:val="10"/>
    <w:rsid w:val="000C4F4B"/>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44567"/>
    <w:rPr>
      <w:sz w:val="16"/>
      <w:szCs w:val="16"/>
    </w:rPr>
  </w:style>
  <w:style w:type="character" w:customStyle="1" w:styleId="a0">
    <w:name w:val="таблица Знак"/>
    <w:basedOn w:val="11"/>
    <w:link w:val="a"/>
    <w:rsid w:val="000C4F4B"/>
    <w:rPr>
      <w:rFonts w:asciiTheme="majorHAnsi" w:eastAsiaTheme="majorEastAsia" w:hAnsiTheme="majorHAnsi" w:cstheme="majorBidi"/>
      <w:i w:val="0"/>
      <w:iCs/>
      <w:color w:val="000000" w:themeColor="text1"/>
      <w:sz w:val="20"/>
    </w:rPr>
  </w:style>
  <w:style w:type="paragraph" w:customStyle="1" w:styleId="12">
    <w:name w:val="Заголовок1"/>
    <w:basedOn w:val="Normal"/>
    <w:rsid w:val="00D045A8"/>
    <w:pPr>
      <w:spacing w:before="100" w:beforeAutospacing="1" w:after="100" w:afterAutospacing="1"/>
    </w:pPr>
  </w:style>
  <w:style w:type="paragraph" w:customStyle="1" w:styleId="desc">
    <w:name w:val="desc"/>
    <w:basedOn w:val="Normal"/>
    <w:rsid w:val="00D045A8"/>
    <w:pPr>
      <w:spacing w:before="100" w:beforeAutospacing="1" w:after="100" w:afterAutospacing="1"/>
    </w:pPr>
  </w:style>
  <w:style w:type="paragraph" w:customStyle="1" w:styleId="details">
    <w:name w:val="details"/>
    <w:basedOn w:val="Normal"/>
    <w:rsid w:val="00D045A8"/>
    <w:pPr>
      <w:spacing w:before="100" w:beforeAutospacing="1" w:after="100" w:afterAutospacing="1"/>
    </w:pPr>
  </w:style>
  <w:style w:type="character" w:customStyle="1" w:styleId="jrnl">
    <w:name w:val="jrnl"/>
    <w:basedOn w:val="DefaultParagraphFont"/>
    <w:rsid w:val="00D045A8"/>
  </w:style>
  <w:style w:type="character" w:customStyle="1" w:styleId="highlight">
    <w:name w:val="highlight"/>
    <w:basedOn w:val="DefaultParagraphFont"/>
    <w:rsid w:val="00934B3E"/>
  </w:style>
  <w:style w:type="character" w:customStyle="1" w:styleId="ui-ncbitoggler-master-text">
    <w:name w:val="ui-ncbitoggler-master-text"/>
    <w:basedOn w:val="DefaultParagraphFont"/>
    <w:rsid w:val="00CD131C"/>
  </w:style>
  <w:style w:type="paragraph" w:styleId="BalloonText">
    <w:name w:val="Balloon Text"/>
    <w:basedOn w:val="Normal"/>
    <w:link w:val="BalloonTextChar"/>
    <w:uiPriority w:val="99"/>
    <w:semiHidden/>
    <w:unhideWhenUsed/>
    <w:rsid w:val="00607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9C"/>
    <w:rPr>
      <w:rFonts w:ascii="Segoe UI" w:eastAsia="Times New Roman" w:hAnsi="Segoe UI" w:cs="Segoe UI"/>
      <w:sz w:val="18"/>
      <w:szCs w:val="18"/>
      <w:lang w:eastAsia="ru-RU"/>
    </w:rPr>
  </w:style>
  <w:style w:type="paragraph" w:styleId="CommentText">
    <w:name w:val="annotation text"/>
    <w:basedOn w:val="Normal"/>
    <w:link w:val="CommentTextChar"/>
    <w:uiPriority w:val="99"/>
    <w:unhideWhenUsed/>
    <w:rsid w:val="006C059B"/>
    <w:rPr>
      <w:sz w:val="20"/>
      <w:szCs w:val="20"/>
    </w:rPr>
  </w:style>
  <w:style w:type="character" w:customStyle="1" w:styleId="CommentTextChar">
    <w:name w:val="Comment Text Char"/>
    <w:basedOn w:val="DefaultParagraphFont"/>
    <w:link w:val="CommentText"/>
    <w:uiPriority w:val="99"/>
    <w:rsid w:val="006C059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059B"/>
    <w:rPr>
      <w:b/>
      <w:bCs/>
    </w:rPr>
  </w:style>
  <w:style w:type="character" w:customStyle="1" w:styleId="CommentSubjectChar">
    <w:name w:val="Comment Subject Char"/>
    <w:basedOn w:val="CommentTextChar"/>
    <w:link w:val="CommentSubject"/>
    <w:uiPriority w:val="99"/>
    <w:semiHidden/>
    <w:rsid w:val="006C059B"/>
    <w:rPr>
      <w:rFonts w:ascii="Times New Roman" w:eastAsia="Times New Roman" w:hAnsi="Times New Roman" w:cs="Times New Roman"/>
      <w:b/>
      <w:bCs/>
      <w:sz w:val="20"/>
      <w:szCs w:val="20"/>
      <w:lang w:eastAsia="ru-RU"/>
    </w:rPr>
  </w:style>
  <w:style w:type="character" w:customStyle="1" w:styleId="3">
    <w:name w:val="Неразрешенное упоминание3"/>
    <w:basedOn w:val="DefaultParagraphFont"/>
    <w:uiPriority w:val="99"/>
    <w:semiHidden/>
    <w:unhideWhenUsed/>
    <w:rsid w:val="002D6AAA"/>
    <w:rPr>
      <w:color w:val="605E5C"/>
      <w:shd w:val="clear" w:color="auto" w:fill="E1DFDD"/>
    </w:rPr>
  </w:style>
  <w:style w:type="character" w:styleId="FollowedHyperlink">
    <w:name w:val="FollowedHyperlink"/>
    <w:basedOn w:val="DefaultParagraphFont"/>
    <w:uiPriority w:val="99"/>
    <w:semiHidden/>
    <w:unhideWhenUsed/>
    <w:rsid w:val="00FF02E8"/>
    <w:rPr>
      <w:color w:val="954F72" w:themeColor="followedHyperlink"/>
      <w:u w:val="single"/>
    </w:rPr>
  </w:style>
  <w:style w:type="character" w:customStyle="1" w:styleId="UnresolvedMention1">
    <w:name w:val="Unresolved Mention1"/>
    <w:basedOn w:val="DefaultParagraphFont"/>
    <w:uiPriority w:val="99"/>
    <w:semiHidden/>
    <w:unhideWhenUsed/>
    <w:rsid w:val="00F35044"/>
    <w:rPr>
      <w:color w:val="605E5C"/>
      <w:shd w:val="clear" w:color="auto" w:fill="E1DFDD"/>
    </w:rPr>
  </w:style>
  <w:style w:type="character" w:customStyle="1" w:styleId="UnresolvedMention2">
    <w:name w:val="Unresolved Mention2"/>
    <w:basedOn w:val="DefaultParagraphFont"/>
    <w:uiPriority w:val="99"/>
    <w:semiHidden/>
    <w:unhideWhenUsed/>
    <w:rsid w:val="00A53D6C"/>
    <w:rPr>
      <w:color w:val="605E5C"/>
      <w:shd w:val="clear" w:color="auto" w:fill="E1DFDD"/>
    </w:rPr>
  </w:style>
  <w:style w:type="paragraph" w:styleId="Header">
    <w:name w:val="header"/>
    <w:basedOn w:val="Normal"/>
    <w:link w:val="HeaderChar"/>
    <w:uiPriority w:val="99"/>
    <w:unhideWhenUsed/>
    <w:rsid w:val="00B56470"/>
    <w:pPr>
      <w:tabs>
        <w:tab w:val="center" w:pos="4513"/>
        <w:tab w:val="right" w:pos="9026"/>
      </w:tabs>
    </w:pPr>
  </w:style>
  <w:style w:type="character" w:customStyle="1" w:styleId="HeaderChar">
    <w:name w:val="Header Char"/>
    <w:basedOn w:val="DefaultParagraphFont"/>
    <w:link w:val="Header"/>
    <w:uiPriority w:val="99"/>
    <w:rsid w:val="00B5647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56470"/>
    <w:pPr>
      <w:tabs>
        <w:tab w:val="center" w:pos="4513"/>
        <w:tab w:val="right" w:pos="9026"/>
      </w:tabs>
    </w:pPr>
  </w:style>
  <w:style w:type="character" w:customStyle="1" w:styleId="FooterChar">
    <w:name w:val="Footer Char"/>
    <w:basedOn w:val="DefaultParagraphFont"/>
    <w:link w:val="Footer"/>
    <w:uiPriority w:val="99"/>
    <w:rsid w:val="00B56470"/>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59"/>
    <w:rsid w:val="001A00A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579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1C5287"/>
  </w:style>
  <w:style w:type="character" w:customStyle="1" w:styleId="refsource">
    <w:name w:val="refsource"/>
    <w:basedOn w:val="DefaultParagraphFont"/>
    <w:rsid w:val="001C5287"/>
  </w:style>
  <w:style w:type="table" w:customStyle="1" w:styleId="TableGrid4">
    <w:name w:val="Table Grid4"/>
    <w:basedOn w:val="TableNormal"/>
    <w:next w:val="TableGrid"/>
    <w:uiPriority w:val="39"/>
    <w:rsid w:val="00720B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A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418AB"/>
    <w:rPr>
      <w:color w:val="605E5C"/>
      <w:shd w:val="clear" w:color="auto" w:fill="E1DFDD"/>
    </w:rPr>
  </w:style>
  <w:style w:type="character" w:styleId="UnresolvedMention">
    <w:name w:val="Unresolved Mention"/>
    <w:basedOn w:val="DefaultParagraphFont"/>
    <w:uiPriority w:val="99"/>
    <w:semiHidden/>
    <w:unhideWhenUsed/>
    <w:rsid w:val="009E56F6"/>
    <w:rPr>
      <w:color w:val="605E5C"/>
      <w:shd w:val="clear" w:color="auto" w:fill="E1DFDD"/>
    </w:rPr>
  </w:style>
  <w:style w:type="paragraph" w:styleId="Revision">
    <w:name w:val="Revision"/>
    <w:hidden/>
    <w:uiPriority w:val="99"/>
    <w:semiHidden/>
    <w:rsid w:val="00FF246B"/>
    <w:pPr>
      <w:spacing w:after="0" w:line="240" w:lineRule="auto"/>
    </w:pPr>
    <w:rPr>
      <w:rFonts w:ascii="Times New Roman" w:eastAsia="Times New Roman" w:hAnsi="Times New Roman" w:cs="Times New Roman"/>
      <w:sz w:val="24"/>
      <w:szCs w:val="24"/>
      <w:lang w:eastAsia="ru-RU"/>
    </w:rPr>
  </w:style>
  <w:style w:type="table" w:customStyle="1" w:styleId="TableGrid5">
    <w:name w:val="Table Grid5"/>
    <w:basedOn w:val="TableNormal"/>
    <w:next w:val="TableGrid"/>
    <w:uiPriority w:val="39"/>
    <w:rsid w:val="00DA1DB4"/>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427FF"/>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5758">
      <w:bodyDiv w:val="1"/>
      <w:marLeft w:val="0"/>
      <w:marRight w:val="0"/>
      <w:marTop w:val="0"/>
      <w:marBottom w:val="0"/>
      <w:divBdr>
        <w:top w:val="none" w:sz="0" w:space="0" w:color="auto"/>
        <w:left w:val="none" w:sz="0" w:space="0" w:color="auto"/>
        <w:bottom w:val="none" w:sz="0" w:space="0" w:color="auto"/>
        <w:right w:val="none" w:sz="0" w:space="0" w:color="auto"/>
      </w:divBdr>
    </w:div>
    <w:div w:id="92359743">
      <w:bodyDiv w:val="1"/>
      <w:marLeft w:val="0"/>
      <w:marRight w:val="0"/>
      <w:marTop w:val="0"/>
      <w:marBottom w:val="0"/>
      <w:divBdr>
        <w:top w:val="none" w:sz="0" w:space="0" w:color="auto"/>
        <w:left w:val="none" w:sz="0" w:space="0" w:color="auto"/>
        <w:bottom w:val="none" w:sz="0" w:space="0" w:color="auto"/>
        <w:right w:val="none" w:sz="0" w:space="0" w:color="auto"/>
      </w:divBdr>
    </w:div>
    <w:div w:id="132800034">
      <w:bodyDiv w:val="1"/>
      <w:marLeft w:val="0"/>
      <w:marRight w:val="0"/>
      <w:marTop w:val="0"/>
      <w:marBottom w:val="0"/>
      <w:divBdr>
        <w:top w:val="none" w:sz="0" w:space="0" w:color="auto"/>
        <w:left w:val="none" w:sz="0" w:space="0" w:color="auto"/>
        <w:bottom w:val="none" w:sz="0" w:space="0" w:color="auto"/>
        <w:right w:val="none" w:sz="0" w:space="0" w:color="auto"/>
      </w:divBdr>
      <w:divsChild>
        <w:div w:id="1445229046">
          <w:marLeft w:val="0"/>
          <w:marRight w:val="0"/>
          <w:marTop w:val="0"/>
          <w:marBottom w:val="0"/>
          <w:divBdr>
            <w:top w:val="none" w:sz="0" w:space="0" w:color="auto"/>
            <w:left w:val="none" w:sz="0" w:space="0" w:color="auto"/>
            <w:bottom w:val="none" w:sz="0" w:space="0" w:color="auto"/>
            <w:right w:val="none" w:sz="0" w:space="0" w:color="auto"/>
          </w:divBdr>
        </w:div>
      </w:divsChild>
    </w:div>
    <w:div w:id="134493762">
      <w:bodyDiv w:val="1"/>
      <w:marLeft w:val="0"/>
      <w:marRight w:val="0"/>
      <w:marTop w:val="0"/>
      <w:marBottom w:val="0"/>
      <w:divBdr>
        <w:top w:val="none" w:sz="0" w:space="0" w:color="auto"/>
        <w:left w:val="none" w:sz="0" w:space="0" w:color="auto"/>
        <w:bottom w:val="none" w:sz="0" w:space="0" w:color="auto"/>
        <w:right w:val="none" w:sz="0" w:space="0" w:color="auto"/>
      </w:divBdr>
      <w:divsChild>
        <w:div w:id="939803286">
          <w:marLeft w:val="0"/>
          <w:marRight w:val="0"/>
          <w:marTop w:val="34"/>
          <w:marBottom w:val="34"/>
          <w:divBdr>
            <w:top w:val="none" w:sz="0" w:space="0" w:color="auto"/>
            <w:left w:val="none" w:sz="0" w:space="0" w:color="auto"/>
            <w:bottom w:val="none" w:sz="0" w:space="0" w:color="auto"/>
            <w:right w:val="none" w:sz="0" w:space="0" w:color="auto"/>
          </w:divBdr>
        </w:div>
      </w:divsChild>
    </w:div>
    <w:div w:id="335422750">
      <w:bodyDiv w:val="1"/>
      <w:marLeft w:val="0"/>
      <w:marRight w:val="0"/>
      <w:marTop w:val="0"/>
      <w:marBottom w:val="0"/>
      <w:divBdr>
        <w:top w:val="none" w:sz="0" w:space="0" w:color="auto"/>
        <w:left w:val="none" w:sz="0" w:space="0" w:color="auto"/>
        <w:bottom w:val="none" w:sz="0" w:space="0" w:color="auto"/>
        <w:right w:val="none" w:sz="0" w:space="0" w:color="auto"/>
      </w:divBdr>
    </w:div>
    <w:div w:id="389156030">
      <w:bodyDiv w:val="1"/>
      <w:marLeft w:val="0"/>
      <w:marRight w:val="0"/>
      <w:marTop w:val="0"/>
      <w:marBottom w:val="0"/>
      <w:divBdr>
        <w:top w:val="none" w:sz="0" w:space="0" w:color="auto"/>
        <w:left w:val="none" w:sz="0" w:space="0" w:color="auto"/>
        <w:bottom w:val="none" w:sz="0" w:space="0" w:color="auto"/>
        <w:right w:val="none" w:sz="0" w:space="0" w:color="auto"/>
      </w:divBdr>
    </w:div>
    <w:div w:id="402142882">
      <w:bodyDiv w:val="1"/>
      <w:marLeft w:val="0"/>
      <w:marRight w:val="0"/>
      <w:marTop w:val="0"/>
      <w:marBottom w:val="0"/>
      <w:divBdr>
        <w:top w:val="none" w:sz="0" w:space="0" w:color="auto"/>
        <w:left w:val="none" w:sz="0" w:space="0" w:color="auto"/>
        <w:bottom w:val="none" w:sz="0" w:space="0" w:color="auto"/>
        <w:right w:val="none" w:sz="0" w:space="0" w:color="auto"/>
      </w:divBdr>
    </w:div>
    <w:div w:id="559485497">
      <w:bodyDiv w:val="1"/>
      <w:marLeft w:val="0"/>
      <w:marRight w:val="0"/>
      <w:marTop w:val="0"/>
      <w:marBottom w:val="0"/>
      <w:divBdr>
        <w:top w:val="none" w:sz="0" w:space="0" w:color="auto"/>
        <w:left w:val="none" w:sz="0" w:space="0" w:color="auto"/>
        <w:bottom w:val="none" w:sz="0" w:space="0" w:color="auto"/>
        <w:right w:val="none" w:sz="0" w:space="0" w:color="auto"/>
      </w:divBdr>
    </w:div>
    <w:div w:id="685912628">
      <w:bodyDiv w:val="1"/>
      <w:marLeft w:val="0"/>
      <w:marRight w:val="0"/>
      <w:marTop w:val="0"/>
      <w:marBottom w:val="0"/>
      <w:divBdr>
        <w:top w:val="none" w:sz="0" w:space="0" w:color="auto"/>
        <w:left w:val="none" w:sz="0" w:space="0" w:color="auto"/>
        <w:bottom w:val="none" w:sz="0" w:space="0" w:color="auto"/>
        <w:right w:val="none" w:sz="0" w:space="0" w:color="auto"/>
      </w:divBdr>
      <w:divsChild>
        <w:div w:id="1048260806">
          <w:marLeft w:val="0"/>
          <w:marRight w:val="0"/>
          <w:marTop w:val="120"/>
          <w:marBottom w:val="360"/>
          <w:divBdr>
            <w:top w:val="none" w:sz="0" w:space="0" w:color="auto"/>
            <w:left w:val="none" w:sz="0" w:space="0" w:color="auto"/>
            <w:bottom w:val="none" w:sz="0" w:space="0" w:color="auto"/>
            <w:right w:val="none" w:sz="0" w:space="0" w:color="auto"/>
          </w:divBdr>
          <w:divsChild>
            <w:div w:id="499464881">
              <w:marLeft w:val="0"/>
              <w:marRight w:val="0"/>
              <w:marTop w:val="0"/>
              <w:marBottom w:val="0"/>
              <w:divBdr>
                <w:top w:val="none" w:sz="0" w:space="0" w:color="auto"/>
                <w:left w:val="none" w:sz="0" w:space="0" w:color="auto"/>
                <w:bottom w:val="none" w:sz="0" w:space="0" w:color="auto"/>
                <w:right w:val="none" w:sz="0" w:space="0" w:color="auto"/>
              </w:divBdr>
            </w:div>
            <w:div w:id="852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107">
      <w:bodyDiv w:val="1"/>
      <w:marLeft w:val="0"/>
      <w:marRight w:val="0"/>
      <w:marTop w:val="0"/>
      <w:marBottom w:val="0"/>
      <w:divBdr>
        <w:top w:val="none" w:sz="0" w:space="0" w:color="auto"/>
        <w:left w:val="none" w:sz="0" w:space="0" w:color="auto"/>
        <w:bottom w:val="none" w:sz="0" w:space="0" w:color="auto"/>
        <w:right w:val="none" w:sz="0" w:space="0" w:color="auto"/>
      </w:divBdr>
    </w:div>
    <w:div w:id="826480431">
      <w:bodyDiv w:val="1"/>
      <w:marLeft w:val="0"/>
      <w:marRight w:val="0"/>
      <w:marTop w:val="0"/>
      <w:marBottom w:val="0"/>
      <w:divBdr>
        <w:top w:val="none" w:sz="0" w:space="0" w:color="auto"/>
        <w:left w:val="none" w:sz="0" w:space="0" w:color="auto"/>
        <w:bottom w:val="none" w:sz="0" w:space="0" w:color="auto"/>
        <w:right w:val="none" w:sz="0" w:space="0" w:color="auto"/>
      </w:divBdr>
    </w:div>
    <w:div w:id="842159704">
      <w:bodyDiv w:val="1"/>
      <w:marLeft w:val="0"/>
      <w:marRight w:val="0"/>
      <w:marTop w:val="0"/>
      <w:marBottom w:val="0"/>
      <w:divBdr>
        <w:top w:val="none" w:sz="0" w:space="0" w:color="auto"/>
        <w:left w:val="none" w:sz="0" w:space="0" w:color="auto"/>
        <w:bottom w:val="none" w:sz="0" w:space="0" w:color="auto"/>
        <w:right w:val="none" w:sz="0" w:space="0" w:color="auto"/>
      </w:divBdr>
    </w:div>
    <w:div w:id="855003386">
      <w:bodyDiv w:val="1"/>
      <w:marLeft w:val="0"/>
      <w:marRight w:val="0"/>
      <w:marTop w:val="0"/>
      <w:marBottom w:val="0"/>
      <w:divBdr>
        <w:top w:val="none" w:sz="0" w:space="0" w:color="auto"/>
        <w:left w:val="none" w:sz="0" w:space="0" w:color="auto"/>
        <w:bottom w:val="none" w:sz="0" w:space="0" w:color="auto"/>
        <w:right w:val="none" w:sz="0" w:space="0" w:color="auto"/>
      </w:divBdr>
    </w:div>
    <w:div w:id="937522144">
      <w:bodyDiv w:val="1"/>
      <w:marLeft w:val="0"/>
      <w:marRight w:val="0"/>
      <w:marTop w:val="0"/>
      <w:marBottom w:val="0"/>
      <w:divBdr>
        <w:top w:val="none" w:sz="0" w:space="0" w:color="auto"/>
        <w:left w:val="none" w:sz="0" w:space="0" w:color="auto"/>
        <w:bottom w:val="none" w:sz="0" w:space="0" w:color="auto"/>
        <w:right w:val="none" w:sz="0" w:space="0" w:color="auto"/>
      </w:divBdr>
    </w:div>
    <w:div w:id="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628587728">
          <w:marLeft w:val="0"/>
          <w:marRight w:val="0"/>
          <w:marTop w:val="0"/>
          <w:marBottom w:val="0"/>
          <w:divBdr>
            <w:top w:val="none" w:sz="0" w:space="0" w:color="auto"/>
            <w:left w:val="none" w:sz="0" w:space="0" w:color="auto"/>
            <w:bottom w:val="none" w:sz="0" w:space="0" w:color="auto"/>
            <w:right w:val="none" w:sz="0" w:space="0" w:color="auto"/>
          </w:divBdr>
        </w:div>
        <w:div w:id="770585166">
          <w:marLeft w:val="0"/>
          <w:marRight w:val="0"/>
          <w:marTop w:val="0"/>
          <w:marBottom w:val="0"/>
          <w:divBdr>
            <w:top w:val="none" w:sz="0" w:space="0" w:color="auto"/>
            <w:left w:val="none" w:sz="0" w:space="0" w:color="auto"/>
            <w:bottom w:val="none" w:sz="0" w:space="0" w:color="auto"/>
            <w:right w:val="none" w:sz="0" w:space="0" w:color="auto"/>
          </w:divBdr>
        </w:div>
        <w:div w:id="1586106671">
          <w:marLeft w:val="0"/>
          <w:marRight w:val="0"/>
          <w:marTop w:val="0"/>
          <w:marBottom w:val="0"/>
          <w:divBdr>
            <w:top w:val="none" w:sz="0" w:space="0" w:color="auto"/>
            <w:left w:val="none" w:sz="0" w:space="0" w:color="auto"/>
            <w:bottom w:val="none" w:sz="0" w:space="0" w:color="auto"/>
            <w:right w:val="none" w:sz="0" w:space="0" w:color="auto"/>
          </w:divBdr>
        </w:div>
        <w:div w:id="1927228587">
          <w:marLeft w:val="0"/>
          <w:marRight w:val="0"/>
          <w:marTop w:val="0"/>
          <w:marBottom w:val="0"/>
          <w:divBdr>
            <w:top w:val="none" w:sz="0" w:space="0" w:color="auto"/>
            <w:left w:val="none" w:sz="0" w:space="0" w:color="auto"/>
            <w:bottom w:val="none" w:sz="0" w:space="0" w:color="auto"/>
            <w:right w:val="none" w:sz="0" w:space="0" w:color="auto"/>
          </w:divBdr>
        </w:div>
        <w:div w:id="1929077903">
          <w:marLeft w:val="0"/>
          <w:marRight w:val="0"/>
          <w:marTop w:val="0"/>
          <w:marBottom w:val="0"/>
          <w:divBdr>
            <w:top w:val="none" w:sz="0" w:space="0" w:color="auto"/>
            <w:left w:val="none" w:sz="0" w:space="0" w:color="auto"/>
            <w:bottom w:val="none" w:sz="0" w:space="0" w:color="auto"/>
            <w:right w:val="none" w:sz="0" w:space="0" w:color="auto"/>
          </w:divBdr>
        </w:div>
        <w:div w:id="2010012585">
          <w:marLeft w:val="0"/>
          <w:marRight w:val="0"/>
          <w:marTop w:val="0"/>
          <w:marBottom w:val="0"/>
          <w:divBdr>
            <w:top w:val="none" w:sz="0" w:space="0" w:color="auto"/>
            <w:left w:val="none" w:sz="0" w:space="0" w:color="auto"/>
            <w:bottom w:val="none" w:sz="0" w:space="0" w:color="auto"/>
            <w:right w:val="none" w:sz="0" w:space="0" w:color="auto"/>
          </w:divBdr>
        </w:div>
      </w:divsChild>
    </w:div>
    <w:div w:id="989943267">
      <w:bodyDiv w:val="1"/>
      <w:marLeft w:val="0"/>
      <w:marRight w:val="0"/>
      <w:marTop w:val="0"/>
      <w:marBottom w:val="0"/>
      <w:divBdr>
        <w:top w:val="none" w:sz="0" w:space="0" w:color="auto"/>
        <w:left w:val="none" w:sz="0" w:space="0" w:color="auto"/>
        <w:bottom w:val="none" w:sz="0" w:space="0" w:color="auto"/>
        <w:right w:val="none" w:sz="0" w:space="0" w:color="auto"/>
      </w:divBdr>
    </w:div>
    <w:div w:id="1018965009">
      <w:bodyDiv w:val="1"/>
      <w:marLeft w:val="0"/>
      <w:marRight w:val="0"/>
      <w:marTop w:val="0"/>
      <w:marBottom w:val="0"/>
      <w:divBdr>
        <w:top w:val="none" w:sz="0" w:space="0" w:color="auto"/>
        <w:left w:val="none" w:sz="0" w:space="0" w:color="auto"/>
        <w:bottom w:val="none" w:sz="0" w:space="0" w:color="auto"/>
        <w:right w:val="none" w:sz="0" w:space="0" w:color="auto"/>
      </w:divBdr>
    </w:div>
    <w:div w:id="1039863675">
      <w:bodyDiv w:val="1"/>
      <w:marLeft w:val="0"/>
      <w:marRight w:val="0"/>
      <w:marTop w:val="0"/>
      <w:marBottom w:val="0"/>
      <w:divBdr>
        <w:top w:val="none" w:sz="0" w:space="0" w:color="auto"/>
        <w:left w:val="none" w:sz="0" w:space="0" w:color="auto"/>
        <w:bottom w:val="none" w:sz="0" w:space="0" w:color="auto"/>
        <w:right w:val="none" w:sz="0" w:space="0" w:color="auto"/>
      </w:divBdr>
    </w:div>
    <w:div w:id="1063404185">
      <w:bodyDiv w:val="1"/>
      <w:marLeft w:val="0"/>
      <w:marRight w:val="0"/>
      <w:marTop w:val="0"/>
      <w:marBottom w:val="0"/>
      <w:divBdr>
        <w:top w:val="none" w:sz="0" w:space="0" w:color="auto"/>
        <w:left w:val="none" w:sz="0" w:space="0" w:color="auto"/>
        <w:bottom w:val="none" w:sz="0" w:space="0" w:color="auto"/>
        <w:right w:val="none" w:sz="0" w:space="0" w:color="auto"/>
      </w:divBdr>
    </w:div>
    <w:div w:id="1143698151">
      <w:bodyDiv w:val="1"/>
      <w:marLeft w:val="0"/>
      <w:marRight w:val="0"/>
      <w:marTop w:val="0"/>
      <w:marBottom w:val="0"/>
      <w:divBdr>
        <w:top w:val="none" w:sz="0" w:space="0" w:color="auto"/>
        <w:left w:val="none" w:sz="0" w:space="0" w:color="auto"/>
        <w:bottom w:val="none" w:sz="0" w:space="0" w:color="auto"/>
        <w:right w:val="none" w:sz="0" w:space="0" w:color="auto"/>
      </w:divBdr>
    </w:div>
    <w:div w:id="1244530065">
      <w:bodyDiv w:val="1"/>
      <w:marLeft w:val="0"/>
      <w:marRight w:val="0"/>
      <w:marTop w:val="0"/>
      <w:marBottom w:val="0"/>
      <w:divBdr>
        <w:top w:val="none" w:sz="0" w:space="0" w:color="auto"/>
        <w:left w:val="none" w:sz="0" w:space="0" w:color="auto"/>
        <w:bottom w:val="none" w:sz="0" w:space="0" w:color="auto"/>
        <w:right w:val="none" w:sz="0" w:space="0" w:color="auto"/>
      </w:divBdr>
    </w:div>
    <w:div w:id="1265915243">
      <w:bodyDiv w:val="1"/>
      <w:marLeft w:val="0"/>
      <w:marRight w:val="0"/>
      <w:marTop w:val="0"/>
      <w:marBottom w:val="0"/>
      <w:divBdr>
        <w:top w:val="none" w:sz="0" w:space="0" w:color="auto"/>
        <w:left w:val="none" w:sz="0" w:space="0" w:color="auto"/>
        <w:bottom w:val="none" w:sz="0" w:space="0" w:color="auto"/>
        <w:right w:val="none" w:sz="0" w:space="0" w:color="auto"/>
      </w:divBdr>
    </w:div>
    <w:div w:id="1269003131">
      <w:bodyDiv w:val="1"/>
      <w:marLeft w:val="0"/>
      <w:marRight w:val="0"/>
      <w:marTop w:val="0"/>
      <w:marBottom w:val="0"/>
      <w:divBdr>
        <w:top w:val="none" w:sz="0" w:space="0" w:color="auto"/>
        <w:left w:val="none" w:sz="0" w:space="0" w:color="auto"/>
        <w:bottom w:val="none" w:sz="0" w:space="0" w:color="auto"/>
        <w:right w:val="none" w:sz="0" w:space="0" w:color="auto"/>
      </w:divBdr>
      <w:divsChild>
        <w:div w:id="1991054529">
          <w:marLeft w:val="0"/>
          <w:marRight w:val="0"/>
          <w:marTop w:val="34"/>
          <w:marBottom w:val="34"/>
          <w:divBdr>
            <w:top w:val="none" w:sz="0" w:space="0" w:color="auto"/>
            <w:left w:val="none" w:sz="0" w:space="0" w:color="auto"/>
            <w:bottom w:val="none" w:sz="0" w:space="0" w:color="auto"/>
            <w:right w:val="none" w:sz="0" w:space="0" w:color="auto"/>
          </w:divBdr>
        </w:div>
      </w:divsChild>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540430662">
      <w:bodyDiv w:val="1"/>
      <w:marLeft w:val="0"/>
      <w:marRight w:val="0"/>
      <w:marTop w:val="0"/>
      <w:marBottom w:val="0"/>
      <w:divBdr>
        <w:top w:val="none" w:sz="0" w:space="0" w:color="auto"/>
        <w:left w:val="none" w:sz="0" w:space="0" w:color="auto"/>
        <w:bottom w:val="none" w:sz="0" w:space="0" w:color="auto"/>
        <w:right w:val="none" w:sz="0" w:space="0" w:color="auto"/>
      </w:divBdr>
    </w:div>
    <w:div w:id="1696882235">
      <w:bodyDiv w:val="1"/>
      <w:marLeft w:val="0"/>
      <w:marRight w:val="0"/>
      <w:marTop w:val="0"/>
      <w:marBottom w:val="0"/>
      <w:divBdr>
        <w:top w:val="none" w:sz="0" w:space="0" w:color="auto"/>
        <w:left w:val="none" w:sz="0" w:space="0" w:color="auto"/>
        <w:bottom w:val="none" w:sz="0" w:space="0" w:color="auto"/>
        <w:right w:val="none" w:sz="0" w:space="0" w:color="auto"/>
      </w:divBdr>
      <w:divsChild>
        <w:div w:id="512644535">
          <w:marLeft w:val="0"/>
          <w:marRight w:val="0"/>
          <w:marTop w:val="0"/>
          <w:marBottom w:val="0"/>
          <w:divBdr>
            <w:top w:val="none" w:sz="0" w:space="0" w:color="auto"/>
            <w:left w:val="none" w:sz="0" w:space="0" w:color="auto"/>
            <w:bottom w:val="none" w:sz="0" w:space="0" w:color="auto"/>
            <w:right w:val="none" w:sz="0" w:space="0" w:color="auto"/>
          </w:divBdr>
          <w:divsChild>
            <w:div w:id="1398672979">
              <w:marLeft w:val="0"/>
              <w:marRight w:val="0"/>
              <w:marTop w:val="0"/>
              <w:marBottom w:val="0"/>
              <w:divBdr>
                <w:top w:val="none" w:sz="0" w:space="0" w:color="auto"/>
                <w:left w:val="none" w:sz="0" w:space="0" w:color="auto"/>
                <w:bottom w:val="none" w:sz="0" w:space="0" w:color="auto"/>
                <w:right w:val="none" w:sz="0" w:space="0" w:color="auto"/>
              </w:divBdr>
              <w:divsChild>
                <w:div w:id="339507841">
                  <w:marLeft w:val="0"/>
                  <w:marRight w:val="0"/>
                  <w:marTop w:val="0"/>
                  <w:marBottom w:val="0"/>
                  <w:divBdr>
                    <w:top w:val="none" w:sz="0" w:space="0" w:color="auto"/>
                    <w:left w:val="none" w:sz="0" w:space="0" w:color="auto"/>
                    <w:bottom w:val="none" w:sz="0" w:space="0" w:color="auto"/>
                    <w:right w:val="none" w:sz="0" w:space="0" w:color="auto"/>
                  </w:divBdr>
                  <w:divsChild>
                    <w:div w:id="3191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3937">
          <w:marLeft w:val="0"/>
          <w:marRight w:val="0"/>
          <w:marTop w:val="0"/>
          <w:marBottom w:val="0"/>
          <w:divBdr>
            <w:top w:val="none" w:sz="0" w:space="0" w:color="auto"/>
            <w:left w:val="none" w:sz="0" w:space="0" w:color="auto"/>
            <w:bottom w:val="none" w:sz="0" w:space="0" w:color="auto"/>
            <w:right w:val="none" w:sz="0" w:space="0" w:color="auto"/>
          </w:divBdr>
          <w:divsChild>
            <w:div w:id="797915835">
              <w:marLeft w:val="0"/>
              <w:marRight w:val="0"/>
              <w:marTop w:val="0"/>
              <w:marBottom w:val="0"/>
              <w:divBdr>
                <w:top w:val="none" w:sz="0" w:space="0" w:color="auto"/>
                <w:left w:val="none" w:sz="0" w:space="0" w:color="auto"/>
                <w:bottom w:val="none" w:sz="0" w:space="0" w:color="auto"/>
                <w:right w:val="none" w:sz="0" w:space="0" w:color="auto"/>
              </w:divBdr>
              <w:divsChild>
                <w:div w:id="1672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151">
      <w:bodyDiv w:val="1"/>
      <w:marLeft w:val="0"/>
      <w:marRight w:val="0"/>
      <w:marTop w:val="0"/>
      <w:marBottom w:val="0"/>
      <w:divBdr>
        <w:top w:val="none" w:sz="0" w:space="0" w:color="auto"/>
        <w:left w:val="none" w:sz="0" w:space="0" w:color="auto"/>
        <w:bottom w:val="none" w:sz="0" w:space="0" w:color="auto"/>
        <w:right w:val="none" w:sz="0" w:space="0" w:color="auto"/>
      </w:divBdr>
      <w:divsChild>
        <w:div w:id="467744701">
          <w:marLeft w:val="0"/>
          <w:marRight w:val="0"/>
          <w:marTop w:val="34"/>
          <w:marBottom w:val="34"/>
          <w:divBdr>
            <w:top w:val="none" w:sz="0" w:space="0" w:color="auto"/>
            <w:left w:val="none" w:sz="0" w:space="0" w:color="auto"/>
            <w:bottom w:val="none" w:sz="0" w:space="0" w:color="auto"/>
            <w:right w:val="none" w:sz="0" w:space="0" w:color="auto"/>
          </w:divBdr>
        </w:div>
      </w:divsChild>
    </w:div>
    <w:div w:id="1751341921">
      <w:bodyDiv w:val="1"/>
      <w:marLeft w:val="0"/>
      <w:marRight w:val="0"/>
      <w:marTop w:val="0"/>
      <w:marBottom w:val="0"/>
      <w:divBdr>
        <w:top w:val="none" w:sz="0" w:space="0" w:color="auto"/>
        <w:left w:val="none" w:sz="0" w:space="0" w:color="auto"/>
        <w:bottom w:val="none" w:sz="0" w:space="0" w:color="auto"/>
        <w:right w:val="none" w:sz="0" w:space="0" w:color="auto"/>
      </w:divBdr>
      <w:divsChild>
        <w:div w:id="939263044">
          <w:marLeft w:val="0"/>
          <w:marRight w:val="0"/>
          <w:marTop w:val="0"/>
          <w:marBottom w:val="166"/>
          <w:divBdr>
            <w:top w:val="none" w:sz="0" w:space="0" w:color="auto"/>
            <w:left w:val="none" w:sz="0" w:space="0" w:color="auto"/>
            <w:bottom w:val="none" w:sz="0" w:space="0" w:color="auto"/>
            <w:right w:val="none" w:sz="0" w:space="0" w:color="auto"/>
          </w:divBdr>
          <w:divsChild>
            <w:div w:id="220480685">
              <w:marLeft w:val="0"/>
              <w:marRight w:val="0"/>
              <w:marTop w:val="0"/>
              <w:marBottom w:val="0"/>
              <w:divBdr>
                <w:top w:val="none" w:sz="0" w:space="0" w:color="auto"/>
                <w:left w:val="none" w:sz="0" w:space="0" w:color="auto"/>
                <w:bottom w:val="none" w:sz="0" w:space="0" w:color="auto"/>
                <w:right w:val="none" w:sz="0" w:space="0" w:color="auto"/>
              </w:divBdr>
              <w:divsChild>
                <w:div w:id="1987396927">
                  <w:marLeft w:val="0"/>
                  <w:marRight w:val="0"/>
                  <w:marTop w:val="0"/>
                  <w:marBottom w:val="0"/>
                  <w:divBdr>
                    <w:top w:val="none" w:sz="0" w:space="0" w:color="auto"/>
                    <w:left w:val="none" w:sz="0" w:space="0" w:color="auto"/>
                    <w:bottom w:val="none" w:sz="0" w:space="0" w:color="auto"/>
                    <w:right w:val="none" w:sz="0" w:space="0" w:color="auto"/>
                  </w:divBdr>
                  <w:divsChild>
                    <w:div w:id="180319810">
                      <w:marLeft w:val="0"/>
                      <w:marRight w:val="0"/>
                      <w:marTop w:val="0"/>
                      <w:marBottom w:val="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470">
              <w:marLeft w:val="0"/>
              <w:marRight w:val="0"/>
              <w:marTop w:val="0"/>
              <w:marBottom w:val="0"/>
              <w:divBdr>
                <w:top w:val="none" w:sz="0" w:space="0" w:color="auto"/>
                <w:left w:val="none" w:sz="0" w:space="0" w:color="auto"/>
                <w:bottom w:val="none" w:sz="0" w:space="0" w:color="auto"/>
                <w:right w:val="none" w:sz="0" w:space="0" w:color="auto"/>
              </w:divBdr>
              <w:divsChild>
                <w:div w:id="443883282">
                  <w:marLeft w:val="0"/>
                  <w:marRight w:val="0"/>
                  <w:marTop w:val="0"/>
                  <w:marBottom w:val="0"/>
                  <w:divBdr>
                    <w:top w:val="none" w:sz="0" w:space="0" w:color="auto"/>
                    <w:left w:val="none" w:sz="0" w:space="0" w:color="auto"/>
                    <w:bottom w:val="none" w:sz="0" w:space="0" w:color="auto"/>
                    <w:right w:val="none" w:sz="0" w:space="0" w:color="auto"/>
                  </w:divBdr>
                </w:div>
                <w:div w:id="1177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904">
          <w:marLeft w:val="0"/>
          <w:marRight w:val="0"/>
          <w:marTop w:val="166"/>
          <w:marBottom w:val="166"/>
          <w:divBdr>
            <w:top w:val="none" w:sz="0" w:space="0" w:color="auto"/>
            <w:left w:val="none" w:sz="0" w:space="0" w:color="auto"/>
            <w:bottom w:val="none" w:sz="0" w:space="0" w:color="auto"/>
            <w:right w:val="none" w:sz="0" w:space="0" w:color="auto"/>
          </w:divBdr>
          <w:divsChild>
            <w:div w:id="9561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29">
      <w:bodyDiv w:val="1"/>
      <w:marLeft w:val="0"/>
      <w:marRight w:val="0"/>
      <w:marTop w:val="0"/>
      <w:marBottom w:val="0"/>
      <w:divBdr>
        <w:top w:val="none" w:sz="0" w:space="0" w:color="auto"/>
        <w:left w:val="none" w:sz="0" w:space="0" w:color="auto"/>
        <w:bottom w:val="none" w:sz="0" w:space="0" w:color="auto"/>
        <w:right w:val="none" w:sz="0" w:space="0" w:color="auto"/>
      </w:divBdr>
      <w:divsChild>
        <w:div w:id="1344550925">
          <w:marLeft w:val="0"/>
          <w:marRight w:val="0"/>
          <w:marTop w:val="120"/>
          <w:marBottom w:val="360"/>
          <w:divBdr>
            <w:top w:val="none" w:sz="0" w:space="0" w:color="auto"/>
            <w:left w:val="none" w:sz="0" w:space="0" w:color="auto"/>
            <w:bottom w:val="none" w:sz="0" w:space="0" w:color="auto"/>
            <w:right w:val="none" w:sz="0" w:space="0" w:color="auto"/>
          </w:divBdr>
          <w:divsChild>
            <w:div w:id="26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0636">
      <w:bodyDiv w:val="1"/>
      <w:marLeft w:val="0"/>
      <w:marRight w:val="0"/>
      <w:marTop w:val="0"/>
      <w:marBottom w:val="0"/>
      <w:divBdr>
        <w:top w:val="none" w:sz="0" w:space="0" w:color="auto"/>
        <w:left w:val="none" w:sz="0" w:space="0" w:color="auto"/>
        <w:bottom w:val="none" w:sz="0" w:space="0" w:color="auto"/>
        <w:right w:val="none" w:sz="0" w:space="0" w:color="auto"/>
      </w:divBdr>
    </w:div>
    <w:div w:id="1885217211">
      <w:bodyDiv w:val="1"/>
      <w:marLeft w:val="0"/>
      <w:marRight w:val="0"/>
      <w:marTop w:val="0"/>
      <w:marBottom w:val="0"/>
      <w:divBdr>
        <w:top w:val="none" w:sz="0" w:space="0" w:color="auto"/>
        <w:left w:val="none" w:sz="0" w:space="0" w:color="auto"/>
        <w:bottom w:val="none" w:sz="0" w:space="0" w:color="auto"/>
        <w:right w:val="none" w:sz="0" w:space="0" w:color="auto"/>
      </w:divBdr>
    </w:div>
    <w:div w:id="1899658233">
      <w:bodyDiv w:val="1"/>
      <w:marLeft w:val="0"/>
      <w:marRight w:val="0"/>
      <w:marTop w:val="0"/>
      <w:marBottom w:val="0"/>
      <w:divBdr>
        <w:top w:val="none" w:sz="0" w:space="0" w:color="auto"/>
        <w:left w:val="none" w:sz="0" w:space="0" w:color="auto"/>
        <w:bottom w:val="none" w:sz="0" w:space="0" w:color="auto"/>
        <w:right w:val="none" w:sz="0" w:space="0" w:color="auto"/>
      </w:divBdr>
      <w:divsChild>
        <w:div w:id="789057920">
          <w:marLeft w:val="0"/>
          <w:marRight w:val="0"/>
          <w:marTop w:val="34"/>
          <w:marBottom w:val="34"/>
          <w:divBdr>
            <w:top w:val="none" w:sz="0" w:space="0" w:color="auto"/>
            <w:left w:val="none" w:sz="0" w:space="0" w:color="auto"/>
            <w:bottom w:val="none" w:sz="0" w:space="0" w:color="auto"/>
            <w:right w:val="none" w:sz="0" w:space="0" w:color="auto"/>
          </w:divBdr>
        </w:div>
      </w:divsChild>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35163579">
      <w:bodyDiv w:val="1"/>
      <w:marLeft w:val="0"/>
      <w:marRight w:val="0"/>
      <w:marTop w:val="0"/>
      <w:marBottom w:val="0"/>
      <w:divBdr>
        <w:top w:val="none" w:sz="0" w:space="0" w:color="auto"/>
        <w:left w:val="none" w:sz="0" w:space="0" w:color="auto"/>
        <w:bottom w:val="none" w:sz="0" w:space="0" w:color="auto"/>
        <w:right w:val="none" w:sz="0" w:space="0" w:color="auto"/>
      </w:divBdr>
    </w:div>
    <w:div w:id="2038309267">
      <w:bodyDiv w:val="1"/>
      <w:marLeft w:val="0"/>
      <w:marRight w:val="0"/>
      <w:marTop w:val="0"/>
      <w:marBottom w:val="0"/>
      <w:divBdr>
        <w:top w:val="none" w:sz="0" w:space="0" w:color="auto"/>
        <w:left w:val="none" w:sz="0" w:space="0" w:color="auto"/>
        <w:bottom w:val="none" w:sz="0" w:space="0" w:color="auto"/>
        <w:right w:val="none" w:sz="0" w:space="0" w:color="auto"/>
      </w:divBdr>
    </w:div>
    <w:div w:id="2054381360">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0"/>
          <w:marBottom w:val="0"/>
          <w:divBdr>
            <w:top w:val="none" w:sz="0" w:space="0" w:color="auto"/>
            <w:left w:val="none" w:sz="0" w:space="0" w:color="auto"/>
            <w:bottom w:val="none" w:sz="0" w:space="0" w:color="auto"/>
            <w:right w:val="none" w:sz="0" w:space="0" w:color="auto"/>
          </w:divBdr>
        </w:div>
        <w:div w:id="371269560">
          <w:marLeft w:val="0"/>
          <w:marRight w:val="0"/>
          <w:marTop w:val="0"/>
          <w:marBottom w:val="0"/>
          <w:divBdr>
            <w:top w:val="none" w:sz="0" w:space="0" w:color="auto"/>
            <w:left w:val="none" w:sz="0" w:space="0" w:color="auto"/>
            <w:bottom w:val="none" w:sz="0" w:space="0" w:color="auto"/>
            <w:right w:val="none" w:sz="0" w:space="0" w:color="auto"/>
          </w:divBdr>
        </w:div>
        <w:div w:id="655114736">
          <w:marLeft w:val="0"/>
          <w:marRight w:val="0"/>
          <w:marTop w:val="0"/>
          <w:marBottom w:val="0"/>
          <w:divBdr>
            <w:top w:val="none" w:sz="0" w:space="0" w:color="auto"/>
            <w:left w:val="none" w:sz="0" w:space="0" w:color="auto"/>
            <w:bottom w:val="none" w:sz="0" w:space="0" w:color="auto"/>
            <w:right w:val="none" w:sz="0" w:space="0" w:color="auto"/>
          </w:divBdr>
        </w:div>
        <w:div w:id="664819387">
          <w:marLeft w:val="0"/>
          <w:marRight w:val="0"/>
          <w:marTop w:val="0"/>
          <w:marBottom w:val="0"/>
          <w:divBdr>
            <w:top w:val="none" w:sz="0" w:space="0" w:color="auto"/>
            <w:left w:val="none" w:sz="0" w:space="0" w:color="auto"/>
            <w:bottom w:val="none" w:sz="0" w:space="0" w:color="auto"/>
            <w:right w:val="none" w:sz="0" w:space="0" w:color="auto"/>
          </w:divBdr>
        </w:div>
        <w:div w:id="713579526">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043795746">
          <w:marLeft w:val="0"/>
          <w:marRight w:val="0"/>
          <w:marTop w:val="0"/>
          <w:marBottom w:val="0"/>
          <w:divBdr>
            <w:top w:val="none" w:sz="0" w:space="0" w:color="auto"/>
            <w:left w:val="none" w:sz="0" w:space="0" w:color="auto"/>
            <w:bottom w:val="none" w:sz="0" w:space="0" w:color="auto"/>
            <w:right w:val="none" w:sz="0" w:space="0" w:color="auto"/>
          </w:divBdr>
        </w:div>
        <w:div w:id="1346400847">
          <w:marLeft w:val="0"/>
          <w:marRight w:val="0"/>
          <w:marTop w:val="0"/>
          <w:marBottom w:val="0"/>
          <w:divBdr>
            <w:top w:val="none" w:sz="0" w:space="0" w:color="auto"/>
            <w:left w:val="none" w:sz="0" w:space="0" w:color="auto"/>
            <w:bottom w:val="none" w:sz="0" w:space="0" w:color="auto"/>
            <w:right w:val="none" w:sz="0" w:space="0" w:color="auto"/>
          </w:divBdr>
        </w:div>
        <w:div w:id="1487285486">
          <w:marLeft w:val="0"/>
          <w:marRight w:val="0"/>
          <w:marTop w:val="0"/>
          <w:marBottom w:val="0"/>
          <w:divBdr>
            <w:top w:val="none" w:sz="0" w:space="0" w:color="auto"/>
            <w:left w:val="none" w:sz="0" w:space="0" w:color="auto"/>
            <w:bottom w:val="none" w:sz="0" w:space="0" w:color="auto"/>
            <w:right w:val="none" w:sz="0" w:space="0" w:color="auto"/>
          </w:divBdr>
        </w:div>
        <w:div w:id="1691369063">
          <w:marLeft w:val="0"/>
          <w:marRight w:val="0"/>
          <w:marTop w:val="0"/>
          <w:marBottom w:val="0"/>
          <w:divBdr>
            <w:top w:val="none" w:sz="0" w:space="0" w:color="auto"/>
            <w:left w:val="none" w:sz="0" w:space="0" w:color="auto"/>
            <w:bottom w:val="none" w:sz="0" w:space="0" w:color="auto"/>
            <w:right w:val="none" w:sz="0" w:space="0" w:color="auto"/>
          </w:divBdr>
        </w:div>
        <w:div w:id="1847163033">
          <w:marLeft w:val="0"/>
          <w:marRight w:val="0"/>
          <w:marTop w:val="0"/>
          <w:marBottom w:val="0"/>
          <w:divBdr>
            <w:top w:val="none" w:sz="0" w:space="0" w:color="auto"/>
            <w:left w:val="none" w:sz="0" w:space="0" w:color="auto"/>
            <w:bottom w:val="none" w:sz="0" w:space="0" w:color="auto"/>
            <w:right w:val="none" w:sz="0" w:space="0" w:color="auto"/>
          </w:divBdr>
        </w:div>
        <w:div w:id="1952085694">
          <w:marLeft w:val="0"/>
          <w:marRight w:val="0"/>
          <w:marTop w:val="0"/>
          <w:marBottom w:val="0"/>
          <w:divBdr>
            <w:top w:val="none" w:sz="0" w:space="0" w:color="auto"/>
            <w:left w:val="none" w:sz="0" w:space="0" w:color="auto"/>
            <w:bottom w:val="none" w:sz="0" w:space="0" w:color="auto"/>
            <w:right w:val="none" w:sz="0" w:space="0" w:color="auto"/>
          </w:divBdr>
        </w:div>
      </w:divsChild>
    </w:div>
    <w:div w:id="2097633700">
      <w:bodyDiv w:val="1"/>
      <w:marLeft w:val="0"/>
      <w:marRight w:val="0"/>
      <w:marTop w:val="0"/>
      <w:marBottom w:val="0"/>
      <w:divBdr>
        <w:top w:val="none" w:sz="0" w:space="0" w:color="auto"/>
        <w:left w:val="none" w:sz="0" w:space="0" w:color="auto"/>
        <w:bottom w:val="none" w:sz="0" w:space="0" w:color="auto"/>
        <w:right w:val="none" w:sz="0" w:space="0" w:color="auto"/>
      </w:divBdr>
    </w:div>
    <w:div w:id="2127036672">
      <w:bodyDiv w:val="1"/>
      <w:marLeft w:val="0"/>
      <w:marRight w:val="0"/>
      <w:marTop w:val="0"/>
      <w:marBottom w:val="0"/>
      <w:divBdr>
        <w:top w:val="none" w:sz="0" w:space="0" w:color="auto"/>
        <w:left w:val="none" w:sz="0" w:space="0" w:color="auto"/>
        <w:bottom w:val="none" w:sz="0" w:space="0" w:color="auto"/>
        <w:right w:val="none" w:sz="0" w:space="0" w:color="auto"/>
      </w:divBdr>
    </w:div>
    <w:div w:id="21296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ometers.info/world-population/mongolia-popu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2C06-EBFD-4935-9824-9F41D9C6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5158</Words>
  <Characters>29406</Characters>
  <Application>Microsoft Office Word</Application>
  <DocSecurity>4</DocSecurity>
  <Lines>245</Lines>
  <Paragraphs>68</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Karen Drake</cp:lastModifiedBy>
  <cp:revision>2</cp:revision>
  <dcterms:created xsi:type="dcterms:W3CDTF">2025-02-17T14:36:00Z</dcterms:created>
  <dcterms:modified xsi:type="dcterms:W3CDTF">2025-02-17T14:36:00Z</dcterms:modified>
</cp:coreProperties>
</file>