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0A825" w14:textId="385D935A" w:rsidR="00807D83" w:rsidRDefault="00807D83" w:rsidP="00365993">
      <w:pPr>
        <w:pStyle w:val="Heading1"/>
        <w:rPr>
          <w:lang w:val="en-GB"/>
        </w:rPr>
      </w:pPr>
      <w:r>
        <w:rPr>
          <w:lang w:val="en-GB"/>
        </w:rPr>
        <w:t>Educational trends in cohort fertility</w:t>
      </w:r>
      <w:r w:rsidR="00831B12">
        <w:rPr>
          <w:lang w:val="en-GB"/>
        </w:rPr>
        <w:t xml:space="preserve"> by birth order</w:t>
      </w:r>
      <w:r>
        <w:rPr>
          <w:lang w:val="en-GB"/>
        </w:rPr>
        <w:t xml:space="preserve">: </w:t>
      </w:r>
      <w:r w:rsidR="0056009F">
        <w:rPr>
          <w:lang w:val="en-GB"/>
        </w:rPr>
        <w:br/>
      </w:r>
      <w:r>
        <w:rPr>
          <w:lang w:val="en-GB"/>
        </w:rPr>
        <w:t xml:space="preserve">A Comparison of England &amp; Wales, Scotland, and Northern Ireland </w:t>
      </w:r>
    </w:p>
    <w:p w14:paraId="5D9DB1BF" w14:textId="77777777" w:rsidR="00304731" w:rsidRDefault="00304731" w:rsidP="00304731">
      <w:pPr>
        <w:rPr>
          <w:lang w:val="en-GB"/>
        </w:rPr>
      </w:pPr>
      <w:r>
        <w:rPr>
          <w:lang w:val="en-GB"/>
        </w:rPr>
        <w:t>Bernice Kuang</w:t>
      </w:r>
      <w:r>
        <w:rPr>
          <w:rStyle w:val="FootnoteReference"/>
          <w:lang w:val="en-GB"/>
        </w:rPr>
        <w:footnoteReference w:id="1"/>
      </w:r>
      <w:r>
        <w:rPr>
          <w:lang w:val="en-GB"/>
        </w:rPr>
        <w:t>, Ann Berrington</w:t>
      </w:r>
      <w:r w:rsidRPr="00591EDA">
        <w:rPr>
          <w:vertAlign w:val="superscript"/>
          <w:lang w:val="en-GB"/>
        </w:rPr>
        <w:t>1</w:t>
      </w:r>
      <w:r>
        <w:rPr>
          <w:lang w:val="en-GB"/>
        </w:rPr>
        <w:t>, Sarah Christison</w:t>
      </w:r>
      <w:r>
        <w:rPr>
          <w:rStyle w:val="FootnoteReference"/>
          <w:lang w:val="en-GB"/>
        </w:rPr>
        <w:footnoteReference w:id="2"/>
      </w:r>
      <w:r>
        <w:rPr>
          <w:lang w:val="en-GB"/>
        </w:rPr>
        <w:t>, Hill Kulu</w:t>
      </w:r>
      <w:r w:rsidRPr="000E467B">
        <w:rPr>
          <w:vertAlign w:val="superscript"/>
          <w:lang w:val="en-GB"/>
        </w:rPr>
        <w:t>2</w:t>
      </w:r>
      <w:r>
        <w:rPr>
          <w:lang w:val="en-GB"/>
        </w:rPr>
        <w:t xml:space="preserve"> </w:t>
      </w:r>
    </w:p>
    <w:p w14:paraId="05B8D8D0" w14:textId="77777777" w:rsidR="00304731" w:rsidRDefault="00304731" w:rsidP="00304731">
      <w:pPr>
        <w:rPr>
          <w:lang w:val="en-GB"/>
        </w:rPr>
      </w:pPr>
      <w:r>
        <w:rPr>
          <w:lang w:val="en-GB"/>
        </w:rPr>
        <w:t xml:space="preserve">Corresponding author: Bernice Kuang, </w:t>
      </w:r>
      <w:hyperlink r:id="rId8" w:history="1">
        <w:r w:rsidRPr="00763D30">
          <w:rPr>
            <w:rStyle w:val="Hyperlink"/>
            <w:lang w:val="en-GB"/>
          </w:rPr>
          <w:t>bernicekuang@gmail.com</w:t>
        </w:r>
      </w:hyperlink>
      <w:r>
        <w:rPr>
          <w:lang w:val="en-GB"/>
        </w:rPr>
        <w:t xml:space="preserve"> &amp; b.kuang@soton.ac.uk</w:t>
      </w:r>
    </w:p>
    <w:p w14:paraId="77A289D4" w14:textId="77777777" w:rsidR="006D2DBB" w:rsidRDefault="006D2DBB" w:rsidP="006D2DBB">
      <w:r w:rsidRPr="00D63C04">
        <w:rPr>
          <w:b/>
          <w:bCs/>
        </w:rPr>
        <w:t>Background:</w:t>
      </w:r>
      <w:r>
        <w:t xml:space="preserve"> Over the past few decades, cohort fertility rates in the different countries of the UK (England and Wales, Scotland, and Northern Ireland) have diverged, yet the role of parity specific patterns, including childlessness, is not known. Studies across Europe have found a reversal in the educational gradient of childlessness, from positive to negative, attributed to economic uncertainty, new patterns of parity progression, and increased polarization of behaviours across educational subgroups, raising questions about how the UK fits into these emerging trends. </w:t>
      </w:r>
    </w:p>
    <w:p w14:paraId="318E8F3D" w14:textId="77777777" w:rsidR="006D2DBB" w:rsidRDefault="006D2DBB" w:rsidP="006D2DBB">
      <w:r w:rsidRPr="00D63C04">
        <w:rPr>
          <w:b/>
          <w:bCs/>
        </w:rPr>
        <w:t>Objective:</w:t>
      </w:r>
      <w:r>
        <w:t xml:space="preserve"> This paper uses </w:t>
      </w:r>
      <w:r w:rsidRPr="00AC7928">
        <w:t>linked administrative and census data</w:t>
      </w:r>
      <w:r>
        <w:t xml:space="preserve"> from each of the UK’s countries to identify how childlessness and childbearing at higher birth orders are driving these differences and to explore potential socio-economic explanations. </w:t>
      </w:r>
    </w:p>
    <w:p w14:paraId="4519EF80" w14:textId="77777777" w:rsidR="006D2DBB" w:rsidRDefault="006D2DBB" w:rsidP="006D2DBB">
      <w:r w:rsidRPr="00D63C04">
        <w:rPr>
          <w:b/>
          <w:bCs/>
        </w:rPr>
        <w:t>Results:</w:t>
      </w:r>
      <w:r>
        <w:t xml:space="preserve"> For the birth cohorts 1956-1978, we find a persistently positive educational pattern of childlessness across all UK’s countries, albeit with smaller educational differences in Northern Ireland. We also find, across educational groups, divergent country trends in family size distributions, with Scotland trending towards smaller families but not higher levels of childlessness, and Northern Ireland with larger families. England and Wales remains firmly entrenched in the two-child norm. Family size differences between countries are not explained by large differences in mean age at first birth. </w:t>
      </w:r>
    </w:p>
    <w:p w14:paraId="0F05E143" w14:textId="77777777" w:rsidR="006D2DBB" w:rsidRDefault="006D2DBB" w:rsidP="006D2DBB">
      <w:r w:rsidRPr="00D63C04">
        <w:rPr>
          <w:b/>
          <w:bCs/>
        </w:rPr>
        <w:t>Contribution:</w:t>
      </w:r>
      <w:r>
        <w:t xml:space="preserve"> Our findings show that the UK’s countries have unique fertility regimes, emphasizing the value of examining countries separately for their different empirical contributions to the unfolding patterns of contemporary cohort fertility change in Europe.</w:t>
      </w:r>
    </w:p>
    <w:p w14:paraId="0027DDDD" w14:textId="77777777" w:rsidR="006D2DBB" w:rsidRPr="006D2DBB" w:rsidRDefault="006D2DBB" w:rsidP="006D2DBB">
      <w:pPr>
        <w:rPr>
          <w:lang w:val="en-GB"/>
        </w:rPr>
      </w:pPr>
    </w:p>
    <w:p w14:paraId="567FAD2B" w14:textId="77777777" w:rsidR="00B61A35" w:rsidRDefault="00B61A35">
      <w:pPr>
        <w:rPr>
          <w:lang w:val="en-GB"/>
        </w:rPr>
      </w:pPr>
      <w:r>
        <w:rPr>
          <w:lang w:val="en-GB"/>
        </w:rPr>
        <w:br w:type="page"/>
      </w:r>
    </w:p>
    <w:p w14:paraId="4DBB515D" w14:textId="28261533" w:rsidR="007C478F" w:rsidRDefault="009024A3" w:rsidP="00E43CA9">
      <w:pPr>
        <w:pStyle w:val="Heading2"/>
      </w:pPr>
      <w:r>
        <w:lastRenderedPageBreak/>
        <w:t xml:space="preserve">Introduction </w:t>
      </w:r>
    </w:p>
    <w:p w14:paraId="2560A453" w14:textId="7F2D7894" w:rsidR="009D0602" w:rsidRDefault="00D030C7" w:rsidP="00EE5D4C">
      <w:pPr>
        <w:spacing w:line="480" w:lineRule="auto"/>
      </w:pPr>
      <w:r>
        <w:t>In most reviews of European trends in childbearing</w:t>
      </w:r>
      <w:r w:rsidR="00BE1EDF">
        <w:t>,</w:t>
      </w:r>
      <w:r>
        <w:t xml:space="preserve"> the </w:t>
      </w:r>
      <w:r w:rsidR="00776DB9">
        <w:t xml:space="preserve">UK </w:t>
      </w:r>
      <w:r>
        <w:t xml:space="preserve">is </w:t>
      </w:r>
      <w:r w:rsidR="00EE5D4C">
        <w:t>described</w:t>
      </w:r>
      <w:r>
        <w:t xml:space="preserve"> as a country with </w:t>
      </w:r>
      <w:r w:rsidR="00BC6AD6">
        <w:t xml:space="preserve">average to </w:t>
      </w:r>
      <w:r>
        <w:t xml:space="preserve">high levels of </w:t>
      </w:r>
      <w:r w:rsidR="00776DB9">
        <w:t>fertility</w:t>
      </w:r>
      <w:r w:rsidR="00365993">
        <w:t xml:space="preserve"> </w:t>
      </w:r>
      <w:r w:rsidR="00365993">
        <w:fldChar w:fldCharType="begin">
          <w:fldData xml:space="preserve">PEVuZE5vdGU+PENpdGU+PEF1dGhvcj5Xb29kPC9BdXRob3I+PFllYXI+MjAxNDwvWWVhcj48UmVj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</w:fldData>
        </w:fldChar>
      </w:r>
      <w:r w:rsidR="004F110B">
        <w:instrText xml:space="preserve"> ADDIN EN.CITE </w:instrText>
      </w:r>
      <w:r w:rsidR="004F110B">
        <w:fldChar w:fldCharType="begin">
          <w:fldData xml:space="preserve">PEVuZE5vdGU+PENpdGU+PEF1dGhvcj5Xb29kPC9BdXRob3I+PFllYXI+MjAxNDwvWWVhcj48UmVj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</w:fldData>
        </w:fldChar>
      </w:r>
      <w:r w:rsidR="004F110B">
        <w:instrText xml:space="preserve"> ADDIN EN.CITE.DATA </w:instrText>
      </w:r>
      <w:r w:rsidR="004F110B">
        <w:fldChar w:fldCharType="end"/>
      </w:r>
      <w:r w:rsidR="00365993">
        <w:fldChar w:fldCharType="separate"/>
      </w:r>
      <w:r w:rsidR="00365993">
        <w:rPr>
          <w:noProof/>
        </w:rPr>
        <w:t>(Wood, Neels and Kil 2014, Vignoli, Guetto et al. 2020)</w:t>
      </w:r>
      <w:r w:rsidR="00365993">
        <w:fldChar w:fldCharType="end"/>
      </w:r>
      <w:r w:rsidR="003F0A78">
        <w:t xml:space="preserve"> </w:t>
      </w:r>
      <w:r w:rsidR="007A5218">
        <w:t xml:space="preserve">and </w:t>
      </w:r>
      <w:r w:rsidR="00F22C9A">
        <w:t>yet</w:t>
      </w:r>
      <w:r w:rsidR="007A5218">
        <w:t xml:space="preserve"> </w:t>
      </w:r>
      <w:r w:rsidR="00F22C9A">
        <w:t xml:space="preserve">also </w:t>
      </w:r>
      <w:r w:rsidR="00B9080D">
        <w:t>ex</w:t>
      </w:r>
      <w:r w:rsidR="00CD03F1">
        <w:t xml:space="preserve">hibits </w:t>
      </w:r>
      <w:r w:rsidR="00F22C9A">
        <w:t>relatively high levels of childlessness</w:t>
      </w:r>
      <w:r w:rsidR="00715832">
        <w:t xml:space="preserve"> </w:t>
      </w:r>
      <w:r w:rsidR="00715832">
        <w:fldChar w:fldCharType="begin"/>
      </w:r>
      <w:r w:rsidR="00715832">
        <w:instrText xml:space="preserve"> ADDIN EN.CITE &lt;EndNote&gt;&lt;Cite&gt;&lt;Author&gt;Berrington&lt;/Author&gt;&lt;Year&gt;2017&lt;/Year&gt;&lt;RecNum&gt;86&lt;/RecNum&gt;&lt;DisplayText&gt;(Berrington 2017)&lt;/DisplayText&gt;&lt;record&gt;&lt;rec-number&gt;86&lt;/rec-number&gt;&lt;foreign-keys&gt;&lt;key app="EN" db-id="date2dst4vae0pe955kxa2tla9pzrxp00p95" timestamp="1665058388"&gt;86&lt;/key&gt;&lt;/foreign-keys&gt;&lt;ref-type name="Book Section"&gt;5&lt;/ref-type&gt;&lt;contributors&gt;&lt;authors&gt;&lt;author&gt;Berrington, Ann&lt;/author&gt;&lt;/authors&gt;&lt;secondary-authors&gt;&lt;author&gt;Springer&lt;/author&gt;&lt;/secondary-authors&gt;&lt;/contributors&gt;&lt;titles&gt;&lt;title&gt;Childlessness in the UK&lt;/title&gt;&lt;secondary-title&gt;Childlessness in Europe: Contexts, causes, and consequences &lt;/secondary-title&gt;&lt;/titles&gt;&lt;pages&gt;57-76&lt;/pages&gt;&lt;dates&gt;&lt;year&gt;2017&lt;/year&gt;&lt;/dates&gt;&lt;urls&gt;&lt;/urls&gt;&lt;/record&gt;&lt;/Cite&gt;&lt;/EndNote&gt;</w:instrText>
      </w:r>
      <w:r w:rsidR="00715832">
        <w:fldChar w:fldCharType="separate"/>
      </w:r>
      <w:r w:rsidR="00715832">
        <w:rPr>
          <w:noProof/>
        </w:rPr>
        <w:t>(Berrington 2017)</w:t>
      </w:r>
      <w:r w:rsidR="00715832">
        <w:fldChar w:fldCharType="end"/>
      </w:r>
      <w:r>
        <w:t xml:space="preserve">. </w:t>
      </w:r>
      <w:r w:rsidR="00657309">
        <w:t xml:space="preserve">Recent </w:t>
      </w:r>
      <w:r w:rsidR="001B1CA4">
        <w:t xml:space="preserve">comparative </w:t>
      </w:r>
      <w:r w:rsidR="00657309">
        <w:t>research</w:t>
      </w:r>
      <w:r w:rsidR="00C94035">
        <w:t xml:space="preserve"> </w:t>
      </w:r>
      <w:r w:rsidR="008D3427">
        <w:t>(</w:t>
      </w:r>
      <w:r w:rsidR="00C94035">
        <w:t>which has not include</w:t>
      </w:r>
      <w:r w:rsidR="008D3427">
        <w:t>d</w:t>
      </w:r>
      <w:r w:rsidR="00C94035">
        <w:t xml:space="preserve"> the UK</w:t>
      </w:r>
      <w:r w:rsidR="008D3427">
        <w:t>)</w:t>
      </w:r>
      <w:r w:rsidR="00C94035">
        <w:t xml:space="preserve"> </w:t>
      </w:r>
      <w:r w:rsidR="00657309">
        <w:t xml:space="preserve">has highlighted </w:t>
      </w:r>
      <w:r w:rsidR="00420C65">
        <w:t>cross</w:t>
      </w:r>
      <w:r w:rsidR="008D3427">
        <w:t>-</w:t>
      </w:r>
      <w:r w:rsidR="00420C65">
        <w:t>national differences in parity progression ratios and hence different trajectories</w:t>
      </w:r>
      <w:r w:rsidR="00781214">
        <w:t xml:space="preserve"> of cohort fertility decline</w:t>
      </w:r>
      <w:r w:rsidR="001B035B">
        <w:t xml:space="preserve"> </w:t>
      </w:r>
      <w:r w:rsidR="001B035B">
        <w:fldChar w:fldCharType="begin">
          <w:fldData xml:space="preserve">PEVuZE5vdGU+PENpdGU+PEF1dGhvcj5MYXp6YXJpPC9BdXRob3I+PFllYXI+MjAyMTwvWWVhcj48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</w:fldData>
        </w:fldChar>
      </w:r>
      <w:r w:rsidR="001B035B">
        <w:instrText xml:space="preserve"> ADDIN EN.CITE </w:instrText>
      </w:r>
      <w:r w:rsidR="001B035B">
        <w:fldChar w:fldCharType="begin">
          <w:fldData xml:space="preserve">PEVuZE5vdGU+PENpdGU+PEF1dGhvcj5MYXp6YXJpPC9BdXRob3I+PFllYXI+MjAyMTwvWWVhcj48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</w:fldData>
        </w:fldChar>
      </w:r>
      <w:r w:rsidR="001B035B">
        <w:instrText xml:space="preserve"> ADDIN EN.CITE.DATA </w:instrText>
      </w:r>
      <w:r w:rsidR="001B035B">
        <w:fldChar w:fldCharType="end"/>
      </w:r>
      <w:r w:rsidR="001B035B">
        <w:fldChar w:fldCharType="separate"/>
      </w:r>
      <w:r w:rsidR="001B035B">
        <w:rPr>
          <w:noProof/>
        </w:rPr>
        <w:t>(Zeman, Sobotka et al. 2018, Lazzari, Mogi and Canudas-Romo 2021)</w:t>
      </w:r>
      <w:r w:rsidR="001B035B">
        <w:fldChar w:fldCharType="end"/>
      </w:r>
      <w:r w:rsidR="00781214">
        <w:t>.</w:t>
      </w:r>
      <w:r w:rsidR="001A07CA">
        <w:t xml:space="preserve"> </w:t>
      </w:r>
      <w:bookmarkStart w:id="0" w:name="_Hlk157763858"/>
      <w:r w:rsidR="00293276">
        <w:t xml:space="preserve">Individual country studies </w:t>
      </w:r>
      <w:r w:rsidR="00DF6659">
        <w:t>have</w:t>
      </w:r>
      <w:r w:rsidR="003C50ED">
        <w:t xml:space="preserve"> examined sub-group differences in parity progression and </w:t>
      </w:r>
      <w:r w:rsidR="00DF6659">
        <w:t>identified a</w:t>
      </w:r>
      <w:r w:rsidR="0033452F">
        <w:t>n</w:t>
      </w:r>
      <w:r w:rsidR="001E2688">
        <w:t xml:space="preserve"> </w:t>
      </w:r>
      <w:r w:rsidR="00DF6659">
        <w:t xml:space="preserve">emerging demographic regime whereby </w:t>
      </w:r>
      <w:r w:rsidR="003C50ED">
        <w:t>rates of childlessness have been increasing</w:t>
      </w:r>
      <w:r w:rsidR="00434079">
        <w:t xml:space="preserve"> fastest</w:t>
      </w:r>
      <w:r w:rsidR="003C50ED">
        <w:t xml:space="preserve"> </w:t>
      </w:r>
      <w:r w:rsidR="00BB090C">
        <w:t>among th</w:t>
      </w:r>
      <w:r w:rsidR="0033452F">
        <w:t>e</w:t>
      </w:r>
      <w:r w:rsidR="00BB090C">
        <w:t xml:space="preserve"> most socio-economically disadvantaged</w:t>
      </w:r>
      <w:r w:rsidR="00BB106D">
        <w:t xml:space="preserve"> </w:t>
      </w:r>
      <w:r w:rsidR="00451DAE">
        <w:fldChar w:fldCharType="begin">
          <w:fldData xml:space="preserve">PEVuZE5vdGU+PENpdGU+PEF1dGhvcj5KYWxvdmFhcmE8L0F1dGhvcj48WWVhcj4yMDIxPC9ZZWFy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=
</w:fldData>
        </w:fldChar>
      </w:r>
      <w:r w:rsidR="00B61EB2">
        <w:instrText xml:space="preserve"> ADDIN EN.CITE </w:instrText>
      </w:r>
      <w:r w:rsidR="00B61EB2">
        <w:fldChar w:fldCharType="begin">
          <w:fldData xml:space="preserve">PEVuZE5vdGU+PENpdGU+PEF1dGhvcj5KYWxvdmFhcmE8L0F1dGhvcj48WWVhcj4yMDIxPC9ZZWFy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=
</w:fldData>
        </w:fldChar>
      </w:r>
      <w:r w:rsidR="00B61EB2">
        <w:instrText xml:space="preserve"> ADDIN EN.CITE.DATA </w:instrText>
      </w:r>
      <w:r w:rsidR="00B61EB2">
        <w:fldChar w:fldCharType="end"/>
      </w:r>
      <w:r w:rsidR="00451DAE">
        <w:fldChar w:fldCharType="separate"/>
      </w:r>
      <w:r w:rsidR="00B61EB2">
        <w:rPr>
          <w:noProof/>
        </w:rPr>
        <w:t>(Comolli, Neyer et al. 2021, Jalovaara, Andersson and Miettinen 2021, Ohlsson-Wijk and Andersson 2022)</w:t>
      </w:r>
      <w:r w:rsidR="00451DAE">
        <w:fldChar w:fldCharType="end"/>
      </w:r>
      <w:r w:rsidR="0059568F">
        <w:t xml:space="preserve">, </w:t>
      </w:r>
      <w:bookmarkEnd w:id="0"/>
      <w:r w:rsidR="003A6A9D">
        <w:t xml:space="preserve">which is </w:t>
      </w:r>
      <w:r w:rsidR="0059568F">
        <w:t xml:space="preserve">consistent with recent theoretical debates about the role of economic uncertainty in fertility decline </w:t>
      </w:r>
      <w:r w:rsidR="00501270">
        <w:fldChar w:fldCharType="begin"/>
      </w:r>
      <w:r w:rsidR="004F110B">
        <w:instrText xml:space="preserve"> ADDIN EN.CITE &lt;EndNote&gt;&lt;Cite&gt;&lt;Author&gt;Vignoli&lt;/Author&gt;&lt;Year&gt;2020&lt;/Year&gt;&lt;RecNum&gt;277&lt;/RecNum&gt;&lt;DisplayText&gt;(Vignoli, Guetto et al. 2020)&lt;/DisplayText&gt;&lt;record&gt;&lt;rec-number&gt;277&lt;/rec-number&gt;&lt;foreign-keys&gt;&lt;key app="EN" db-id="date2dst4vae0pe955kxa2tla9pzrxp00p95" timestamp="1685025854"&gt;277&lt;/key&gt;&lt;/foreign-keys&gt;&lt;ref-type name="Journal Article"&gt;17&lt;/ref-type&gt;&lt;contributors&gt;&lt;authors&gt;&lt;author&gt;Vignoli, Daniele&lt;/author&gt;&lt;author&gt;Guetto, Raffaele&lt;/author&gt;&lt;author&gt;Bazzani, Giacomo&lt;/author&gt;&lt;author&gt;Pirani, Elena&lt;/author&gt;&lt;author&gt;Minello, Alessandra&lt;/author&gt;&lt;/authors&gt;&lt;/contributors&gt;&lt;titles&gt;&lt;title&gt;A reflection on economic uncertainty and fertility in Europe: The Narrative Framework&lt;/title&gt;&lt;secondary-title&gt;Genus&lt;/secondary-title&gt;&lt;/titles&gt;&lt;periodical&gt;&lt;full-title&gt;Genus&lt;/full-title&gt;&lt;/periodical&gt;&lt;pages&gt;28&lt;/pages&gt;&lt;volume&gt;76&lt;/volume&gt;&lt;number&gt;1&lt;/number&gt;&lt;dates&gt;&lt;year&gt;2020&lt;/year&gt;&lt;pub-dates&gt;&lt;date&gt;2020/09/09&lt;/date&gt;&lt;/pub-dates&gt;&lt;/dates&gt;&lt;isbn&gt;2035-5556&lt;/isbn&gt;&lt;urls&gt;&lt;/urls&gt;&lt;electronic-resource-num&gt;10.1186/s41118-020-00094-3&lt;/electronic-resource-num&gt;&lt;/record&gt;&lt;/Cite&gt;&lt;/EndNote&gt;</w:instrText>
      </w:r>
      <w:r w:rsidR="00501270">
        <w:fldChar w:fldCharType="separate"/>
      </w:r>
      <w:r w:rsidR="00501270">
        <w:rPr>
          <w:noProof/>
        </w:rPr>
        <w:t>(Vignoli, Guetto et al. 2020)</w:t>
      </w:r>
      <w:r w:rsidR="00501270">
        <w:fldChar w:fldCharType="end"/>
      </w:r>
      <w:r w:rsidR="00BB090C">
        <w:t xml:space="preserve">. </w:t>
      </w:r>
      <w:r w:rsidR="0033452F">
        <w:t>P</w:t>
      </w:r>
      <w:r w:rsidR="00FB3B96">
        <w:t xml:space="preserve">revious attempts at examining parity progression in the UK have </w:t>
      </w:r>
      <w:r w:rsidR="0033452F">
        <w:t>relied on</w:t>
      </w:r>
      <w:r w:rsidR="005A7436">
        <w:t xml:space="preserve"> </w:t>
      </w:r>
      <w:r w:rsidR="00D6056C">
        <w:t xml:space="preserve">survey </w:t>
      </w:r>
      <w:r w:rsidR="005A7436">
        <w:t>data</w:t>
      </w:r>
      <w:r w:rsidR="009B4160">
        <w:t xml:space="preserve"> </w:t>
      </w:r>
      <w:r w:rsidR="00501270">
        <w:fldChar w:fldCharType="begin">
          <w:fldData xml:space="preserve">PEVuZE5vdGU+PENpdGU+PEF1dGhvcj5Fcm1pc2NoPC9BdXRob3I+PFllYXI+MjAyMTwvWWVhcj48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</w:fldData>
        </w:fldChar>
      </w:r>
      <w:r w:rsidR="00501270">
        <w:instrText xml:space="preserve"> ADDIN EN.CITE </w:instrText>
      </w:r>
      <w:r w:rsidR="00501270">
        <w:fldChar w:fldCharType="begin">
          <w:fldData xml:space="preserve">PEVuZE5vdGU+PENpdGU+PEF1dGhvcj5Fcm1pc2NoPC9BdXRob3I+PFllYXI+MjAyMTwvWWVhcj48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</w:fldData>
        </w:fldChar>
      </w:r>
      <w:r w:rsidR="00501270">
        <w:instrText xml:space="preserve"> ADDIN EN.CITE.DATA </w:instrText>
      </w:r>
      <w:r w:rsidR="00501270">
        <w:fldChar w:fldCharType="end"/>
      </w:r>
      <w:r w:rsidR="00501270">
        <w:fldChar w:fldCharType="separate"/>
      </w:r>
      <w:r w:rsidR="00501270">
        <w:rPr>
          <w:noProof/>
        </w:rPr>
        <w:t>(Wood, Neels and Kil 2014, Berrington, Stone and Beaujouan 2015, Ermisch 2021)</w:t>
      </w:r>
      <w:r w:rsidR="00501270">
        <w:fldChar w:fldCharType="end"/>
      </w:r>
      <w:r w:rsidR="0070777C">
        <w:t>.</w:t>
      </w:r>
      <w:r w:rsidR="0033452F">
        <w:t xml:space="preserve"> </w:t>
      </w:r>
      <w:r w:rsidR="0070777C">
        <w:t>A</w:t>
      </w:r>
      <w:r w:rsidR="0033452F">
        <w:t xml:space="preserve"> </w:t>
      </w:r>
      <w:r w:rsidR="00B61EB2">
        <w:t xml:space="preserve">historical </w:t>
      </w:r>
      <w:r w:rsidR="0033452F">
        <w:t>lack of birth order information in UK birth registries</w:t>
      </w:r>
      <w:r w:rsidR="00B61EB2">
        <w:t xml:space="preserve"> and c</w:t>
      </w:r>
      <w:r w:rsidR="007F55A1">
        <w:t xml:space="preserve">omparatively small </w:t>
      </w:r>
      <w:r w:rsidR="00B61EB2">
        <w:t xml:space="preserve">survey </w:t>
      </w:r>
      <w:r w:rsidR="007F55A1">
        <w:t xml:space="preserve">sample sizes meant that it was </w:t>
      </w:r>
      <w:r w:rsidR="006B593D">
        <w:t xml:space="preserve">difficult to examine sub-group differences in </w:t>
      </w:r>
      <w:r w:rsidR="006B0C43">
        <w:t>fertility by birth order</w:t>
      </w:r>
      <w:r w:rsidR="0033452F">
        <w:t xml:space="preserve"> as well as </w:t>
      </w:r>
      <w:r>
        <w:t xml:space="preserve">cross-national </w:t>
      </w:r>
      <w:r w:rsidR="00B61EB2">
        <w:t xml:space="preserve">fertility </w:t>
      </w:r>
      <w:r>
        <w:t>differences between the constituent countries</w:t>
      </w:r>
      <w:r w:rsidR="00BC6AD6">
        <w:t xml:space="preserve"> of the UK</w:t>
      </w:r>
      <w:r>
        <w:t xml:space="preserve">. </w:t>
      </w:r>
    </w:p>
    <w:p w14:paraId="761F13E7" w14:textId="1458BD82" w:rsidR="00FE3791" w:rsidRDefault="00D030C7" w:rsidP="00FE3791">
      <w:pPr>
        <w:spacing w:line="480" w:lineRule="auto"/>
      </w:pPr>
      <w:r>
        <w:rPr>
          <w:rFonts w:cstheme="minorHAnsi"/>
          <w:bCs/>
        </w:rPr>
        <w:t>B</w:t>
      </w:r>
      <w:r w:rsidR="0056009F">
        <w:rPr>
          <w:rFonts w:cstheme="minorHAnsi"/>
          <w:bCs/>
        </w:rPr>
        <w:t xml:space="preserve">oth </w:t>
      </w:r>
      <w:r>
        <w:rPr>
          <w:rFonts w:cstheme="minorHAnsi"/>
          <w:bCs/>
        </w:rPr>
        <w:t xml:space="preserve">period and cohort fertility </w:t>
      </w:r>
      <w:r w:rsidR="00AA29E9">
        <w:rPr>
          <w:rFonts w:cstheme="minorHAnsi"/>
          <w:bCs/>
        </w:rPr>
        <w:t>are</w:t>
      </w:r>
      <w:r w:rsidR="0056009F">
        <w:rPr>
          <w:rFonts w:cstheme="minorHAnsi"/>
          <w:bCs/>
        </w:rPr>
        <w:t xml:space="preserve"> </w:t>
      </w:r>
      <w:r w:rsidR="00BE1EDF">
        <w:rPr>
          <w:rFonts w:cstheme="minorHAnsi"/>
          <w:bCs/>
        </w:rPr>
        <w:t>markedly</w:t>
      </w:r>
      <w:r w:rsidR="00AA29E9">
        <w:rPr>
          <w:rFonts w:cstheme="minorHAnsi"/>
          <w:bCs/>
        </w:rPr>
        <w:t xml:space="preserve"> lower in Scotland and higher in Northern Ireland t</w:t>
      </w:r>
      <w:r w:rsidR="00AA29E9" w:rsidRPr="0082434E">
        <w:rPr>
          <w:rFonts w:cstheme="minorHAnsi"/>
          <w:bCs/>
        </w:rPr>
        <w:t>han in England or Wales</w:t>
      </w:r>
      <w:r w:rsidR="00776DB9" w:rsidRPr="0082434E">
        <w:rPr>
          <w:rFonts w:cstheme="minorHAnsi"/>
          <w:bCs/>
        </w:rPr>
        <w:t>,</w:t>
      </w:r>
      <w:r w:rsidR="0056009F" w:rsidRPr="0082434E">
        <w:rPr>
          <w:rFonts w:cstheme="minorHAnsi"/>
          <w:bCs/>
        </w:rPr>
        <w:t xml:space="preserve"> </w:t>
      </w:r>
      <w:r w:rsidR="00776DB9" w:rsidRPr="0082434E">
        <w:rPr>
          <w:rFonts w:cstheme="minorHAnsi"/>
        </w:rPr>
        <w:t>raising question</w:t>
      </w:r>
      <w:r w:rsidR="00BE1EDF" w:rsidRPr="0082434E">
        <w:rPr>
          <w:rFonts w:cstheme="minorHAnsi"/>
        </w:rPr>
        <w:t>s</w:t>
      </w:r>
      <w:r w:rsidR="00776DB9" w:rsidRPr="0082434E">
        <w:rPr>
          <w:rFonts w:cstheme="minorHAnsi"/>
        </w:rPr>
        <w:t xml:space="preserve"> </w:t>
      </w:r>
      <w:r w:rsidR="00E44D8D">
        <w:rPr>
          <w:rFonts w:cstheme="minorHAnsi"/>
        </w:rPr>
        <w:t>about</w:t>
      </w:r>
      <w:r w:rsidR="0085777A" w:rsidRPr="0082434E">
        <w:rPr>
          <w:rFonts w:cstheme="minorHAnsi"/>
        </w:rPr>
        <w:t xml:space="preserve"> wh</w:t>
      </w:r>
      <w:r w:rsidR="008E5A8E" w:rsidRPr="0082434E">
        <w:rPr>
          <w:rFonts w:cstheme="minorHAnsi"/>
        </w:rPr>
        <w:t>at aspects of fertility behavior are driving these differences</w:t>
      </w:r>
      <w:r w:rsidR="00500180" w:rsidRPr="008C3B81">
        <w:rPr>
          <w:rFonts w:cstheme="minorHAnsi"/>
        </w:rPr>
        <w:t>.</w:t>
      </w:r>
      <w:r w:rsidR="00AA29E9" w:rsidRPr="008C3B81">
        <w:rPr>
          <w:rFonts w:cstheme="minorHAnsi"/>
          <w:bCs/>
        </w:rPr>
        <w:t xml:space="preserve"> </w:t>
      </w:r>
      <w:r w:rsidR="00FE3791" w:rsidRPr="008C3B81">
        <w:t>In this paper, we examine time trends in family size</w:t>
      </w:r>
      <w:r w:rsidR="005541E5" w:rsidRPr="008C3B81">
        <w:t xml:space="preserve">, which are the outcome of changes in parity progression ratios, </w:t>
      </w:r>
      <w:r w:rsidR="00FE3791" w:rsidRPr="008C3B81">
        <w:t>and timing of first birth, their educational patterns, and how they are moderated by country context</w:t>
      </w:r>
      <w:r w:rsidR="004302B4" w:rsidRPr="008C3B81">
        <w:t xml:space="preserve"> for </w:t>
      </w:r>
      <w:r w:rsidR="005541E5" w:rsidRPr="008C3B81">
        <w:t xml:space="preserve">the </w:t>
      </w:r>
      <w:r w:rsidR="004302B4" w:rsidRPr="008C3B81">
        <w:t xml:space="preserve">1956-1978 </w:t>
      </w:r>
      <w:r w:rsidR="005541E5" w:rsidRPr="008C3B81">
        <w:t xml:space="preserve">birth </w:t>
      </w:r>
      <w:r w:rsidR="004302B4" w:rsidRPr="008C3B81">
        <w:t>cohorts</w:t>
      </w:r>
      <w:r w:rsidR="00FE3791" w:rsidRPr="008C3B81">
        <w:t>.</w:t>
      </w:r>
      <w:r w:rsidR="004302B4" w:rsidRPr="008C3B81">
        <w:t xml:space="preserve"> Our </w:t>
      </w:r>
      <w:r w:rsidR="000A2929" w:rsidRPr="008C3B81">
        <w:t xml:space="preserve">study </w:t>
      </w:r>
      <w:r w:rsidR="004302B4" w:rsidRPr="008C3B81">
        <w:t xml:space="preserve">is the </w:t>
      </w:r>
      <w:r w:rsidR="004302B4" w:rsidRPr="008C3B81">
        <w:lastRenderedPageBreak/>
        <w:t>first</w:t>
      </w:r>
      <w:r w:rsidR="000A2929" w:rsidRPr="008C3B81">
        <w:t xml:space="preserve"> </w:t>
      </w:r>
      <w:r w:rsidR="004302B4" w:rsidRPr="008C3B81">
        <w:t xml:space="preserve">to </w:t>
      </w:r>
      <w:r w:rsidR="005541E5" w:rsidRPr="008C3B81">
        <w:t>do so</w:t>
      </w:r>
      <w:r w:rsidR="004302B4" w:rsidRPr="008C3B81">
        <w:t>, using a largescale dataset comprised of linked administrative and census data</w:t>
      </w:r>
      <w:r w:rsidR="000A2929" w:rsidRPr="008C3B81">
        <w:t xml:space="preserve"> which</w:t>
      </w:r>
      <w:r w:rsidR="005541E5" w:rsidRPr="008C3B81">
        <w:t xml:space="preserve"> enabl</w:t>
      </w:r>
      <w:r w:rsidR="000A2929" w:rsidRPr="008C3B81">
        <w:t>es</w:t>
      </w:r>
      <w:r w:rsidR="005541E5" w:rsidRPr="008C3B81">
        <w:t xml:space="preserve"> </w:t>
      </w:r>
      <w:r w:rsidR="004302B4" w:rsidRPr="008C3B81">
        <w:t>both sub</w:t>
      </w:r>
      <w:r w:rsidR="005541E5" w:rsidRPr="008C3B81">
        <w:t>-</w:t>
      </w:r>
      <w:r w:rsidR="004302B4" w:rsidRPr="008C3B81">
        <w:t>group and cross</w:t>
      </w:r>
      <w:r w:rsidR="005541E5" w:rsidRPr="008C3B81">
        <w:t>-</w:t>
      </w:r>
      <w:r w:rsidR="004302B4" w:rsidRPr="008C3B81">
        <w:t>n</w:t>
      </w:r>
      <w:r w:rsidR="005541E5" w:rsidRPr="008C3B81">
        <w:t>a</w:t>
      </w:r>
      <w:r w:rsidR="004302B4" w:rsidRPr="008C3B81">
        <w:t>tional</w:t>
      </w:r>
      <w:r w:rsidR="005541E5" w:rsidRPr="008C3B81">
        <w:t xml:space="preserve"> </w:t>
      </w:r>
      <w:r w:rsidR="000A2929" w:rsidRPr="008C3B81">
        <w:t xml:space="preserve">analysis. </w:t>
      </w:r>
      <w:r w:rsidR="004302B4" w:rsidRPr="008C3B81">
        <w:t xml:space="preserve">Thus, we are able to address questions </w:t>
      </w:r>
      <w:r w:rsidR="000A2929" w:rsidRPr="008C3B81">
        <w:t xml:space="preserve">such </w:t>
      </w:r>
      <w:r w:rsidR="004302B4" w:rsidRPr="008C3B81">
        <w:t>as whether lower completed family sizes in Scotland are because of higher rates of childlessness, or fewer women with higher order births (or both).</w:t>
      </w:r>
      <w:r w:rsidR="000A2929" w:rsidRPr="008C3B81">
        <w:t xml:space="preserve"> </w:t>
      </w:r>
      <w:r w:rsidR="00FE3791" w:rsidRPr="008C3B81">
        <w:t xml:space="preserve">Knowing which educational groups have led divergences in childbearing between the countries of the UK may help identify possible causes. </w:t>
      </w:r>
      <w:r w:rsidR="00FE3791" w:rsidRPr="008C3B81">
        <w:rPr>
          <w:rFonts w:cstheme="minorHAnsi"/>
          <w:bCs/>
        </w:rPr>
        <w:t>In the next section, we briefly review childbearing trends in Britain and outline theories which relate levels of education to parity progression and family size distribution and suggest that educational gradients are likely to be different for first, second, and higher order births. Subsequently we put forward hypotheses as to why these educational effects may be moderated by country context, specifically with respect to the countries of the UK.</w:t>
      </w:r>
    </w:p>
    <w:p w14:paraId="09BD18AB" w14:textId="1EDFDC60" w:rsidR="006C3B1B" w:rsidRPr="003812C4" w:rsidRDefault="003812C4" w:rsidP="00FE3791">
      <w:pPr>
        <w:spacing w:line="480" w:lineRule="auto"/>
      </w:pPr>
      <w:r>
        <w:t xml:space="preserve">1.1 </w:t>
      </w:r>
      <w:r w:rsidR="006C3B1B">
        <w:t xml:space="preserve">Childbearing </w:t>
      </w:r>
      <w:r w:rsidR="00577FF7">
        <w:t>t</w:t>
      </w:r>
      <w:r w:rsidR="006C3B1B">
        <w:t xml:space="preserve">rends in </w:t>
      </w:r>
      <w:r w:rsidR="00577FF7">
        <w:t>t</w:t>
      </w:r>
      <w:r w:rsidR="006C3B1B" w:rsidRPr="003812C4">
        <w:t xml:space="preserve">he UK </w:t>
      </w:r>
      <w:r w:rsidR="00577FF7">
        <w:t>c</w:t>
      </w:r>
      <w:r w:rsidR="006C3B1B" w:rsidRPr="003812C4">
        <w:t>ontext</w:t>
      </w:r>
    </w:p>
    <w:p w14:paraId="41C53233" w14:textId="65384CA6" w:rsidR="009E39B1" w:rsidRDefault="00BC6AD6" w:rsidP="000A68F6">
      <w:pPr>
        <w:spacing w:line="480" w:lineRule="auto"/>
        <w:rPr>
          <w:rFonts w:cstheme="minorHAnsi"/>
          <w:bCs/>
        </w:rPr>
      </w:pPr>
      <w:r>
        <w:rPr>
          <w:rFonts w:cstheme="minorHAnsi"/>
          <w:bCs/>
        </w:rPr>
        <w:t>From birth cohorts of the 1950s onwards</w:t>
      </w:r>
      <w:r w:rsidR="002647DD">
        <w:rPr>
          <w:rFonts w:cstheme="minorHAnsi"/>
          <w:bCs/>
        </w:rPr>
        <w:t>,</w:t>
      </w:r>
      <w:r>
        <w:rPr>
          <w:rFonts w:cstheme="minorHAnsi"/>
          <w:bCs/>
        </w:rPr>
        <w:t xml:space="preserve"> the completed family size or cohort fertility rate (</w:t>
      </w:r>
      <w:r w:rsidR="00AA29E9">
        <w:t>CFR</w:t>
      </w:r>
      <w:r>
        <w:t>)</w:t>
      </w:r>
      <w:r w:rsidR="00AA29E9">
        <w:t xml:space="preserve"> increasingly diverged between England and Wales</w:t>
      </w:r>
      <w:r w:rsidR="009B1AEA">
        <w:t>,</w:t>
      </w:r>
      <w:r w:rsidR="002647DD">
        <w:t xml:space="preserve"> </w:t>
      </w:r>
      <w:r>
        <w:t xml:space="preserve">where it </w:t>
      </w:r>
      <w:r w:rsidR="00446418">
        <w:t>changed relatively little</w:t>
      </w:r>
      <w:r w:rsidR="009B1AEA">
        <w:t>,</w:t>
      </w:r>
      <w:r>
        <w:t xml:space="preserve"> </w:t>
      </w:r>
      <w:r w:rsidR="00AA29E9">
        <w:t>and Scotland</w:t>
      </w:r>
      <w:r w:rsidR="009B1AEA">
        <w:t>,</w:t>
      </w:r>
      <w:r>
        <w:t xml:space="preserve"> where it dropped steadily. At the same time, </w:t>
      </w:r>
      <w:r w:rsidR="00EE5D4C">
        <w:t xml:space="preserve">the historically higher levels of completed family size in </w:t>
      </w:r>
      <w:r w:rsidR="00AA29E9">
        <w:t xml:space="preserve">Northern Ireland </w:t>
      </w:r>
      <w:r w:rsidR="00EE5D4C">
        <w:t>declined</w:t>
      </w:r>
      <w:r w:rsidR="00BE1EDF">
        <w:t xml:space="preserve">, converging </w:t>
      </w:r>
      <w:r w:rsidR="00975E04">
        <w:t xml:space="preserve">toward </w:t>
      </w:r>
      <w:r>
        <w:t>the rest of the UK (Figure 1).</w:t>
      </w:r>
      <w:r w:rsidR="003523F6">
        <w:t xml:space="preserve"> </w:t>
      </w:r>
      <w:r w:rsidR="00B61EB2">
        <w:rPr>
          <w:rFonts w:cstheme="minorHAnsi"/>
          <w:bCs/>
        </w:rPr>
        <w:t>F</w:t>
      </w:r>
      <w:r w:rsidR="00AA29E9">
        <w:rPr>
          <w:rFonts w:cstheme="minorHAnsi"/>
          <w:bCs/>
        </w:rPr>
        <w:t xml:space="preserve">ertility intentions </w:t>
      </w:r>
      <w:r w:rsidR="00EE5D4C">
        <w:rPr>
          <w:rFonts w:cstheme="minorHAnsi"/>
          <w:bCs/>
        </w:rPr>
        <w:t>were</w:t>
      </w:r>
      <w:r w:rsidR="00AA29E9">
        <w:rPr>
          <w:rFonts w:cstheme="minorHAnsi"/>
          <w:bCs/>
        </w:rPr>
        <w:t xml:space="preserve"> broadly consistent between </w:t>
      </w:r>
      <w:r w:rsidR="00837D2B">
        <w:rPr>
          <w:rFonts w:cstheme="minorHAnsi"/>
          <w:bCs/>
        </w:rPr>
        <w:t>Scotland and England and Wales</w:t>
      </w:r>
      <w:r w:rsidR="00AA29E9">
        <w:rPr>
          <w:rFonts w:cstheme="minorHAnsi"/>
          <w:bCs/>
        </w:rPr>
        <w:t xml:space="preserve"> </w:t>
      </w:r>
      <w:r w:rsidR="00EE5D4C">
        <w:rPr>
          <w:rFonts w:cstheme="minorHAnsi"/>
          <w:bCs/>
        </w:rPr>
        <w:t>in the 1980s and 1990s</w:t>
      </w:r>
      <w:r w:rsidR="00975E04">
        <w:rPr>
          <w:rFonts w:cstheme="minorHAnsi"/>
          <w:bCs/>
        </w:rPr>
        <w:t xml:space="preserve"> </w:t>
      </w:r>
      <w:r w:rsidR="00975E04">
        <w:rPr>
          <w:rFonts w:cstheme="minorHAnsi"/>
          <w:bCs/>
        </w:rPr>
        <w:fldChar w:fldCharType="begin"/>
      </w:r>
      <w:r w:rsidR="00975E04">
        <w:rPr>
          <w:rFonts w:cstheme="minorHAnsi"/>
          <w:bCs/>
        </w:rPr>
        <w:instrText xml:space="preserve"> ADDIN EN.CITE &lt;EndNote&gt;&lt;Cite&gt;&lt;Author&gt;Berrington&lt;/Author&gt;&lt;Year&gt;2023&lt;/Year&gt;&lt;RecNum&gt;319&lt;/RecNum&gt;&lt;DisplayText&gt;(Berrington, Kuang et al. 2023)&lt;/DisplayText&gt;&lt;record&gt;&lt;rec-number&gt;319&lt;/rec-number&gt;&lt;foreign-keys&gt;&lt;key app="EN" db-id="date2dst4vae0pe955kxa2tla9pzrxp00p95" timestamp="1702593955"&gt;319&lt;/key&gt;&lt;/foreign-keys&gt;&lt;ref-type name="Electronic Article"&gt;43&lt;/ref-type&gt;&lt;contributors&gt;&lt;authors&gt;&lt;author&gt;Berrington, Ann&lt;/author&gt;&lt;author&gt;Kuang, Bernice&lt;/author&gt;&lt;author&gt;Christison, Sarah&lt;/author&gt;&lt;author&gt;Kulu, Hill&lt;/author&gt;&lt;/authors&gt;&lt;/contributors&gt;&lt;titles&gt;&lt;title&gt;Understanding fertility trends in Britain: Do fertility intentions differ across England, Wales and Scotland?&lt;/title&gt;&lt;secondary-title&gt;ESRC Centre for Population Change Working Paper Series&lt;/secondary-title&gt;&lt;/titles&gt;&lt;periodical&gt;&lt;full-title&gt;ESRC Centre for Population Change Working Paper Series&lt;/full-title&gt;&lt;/periodical&gt;&lt;number&gt;105&lt;/number&gt;&lt;section&gt;April 2023&lt;/section&gt;&lt;dates&gt;&lt;year&gt;2023&lt;/year&gt;&lt;/dates&gt;&lt;publisher&gt;Centre for Population Change &lt;/publisher&gt;&lt;urls&gt;&lt;/urls&gt;&lt;/record&gt;&lt;/Cite&gt;&lt;/EndNote&gt;</w:instrText>
      </w:r>
      <w:r w:rsidR="00975E04">
        <w:rPr>
          <w:rFonts w:cstheme="minorHAnsi"/>
          <w:bCs/>
        </w:rPr>
        <w:fldChar w:fldCharType="separate"/>
      </w:r>
      <w:r w:rsidR="00975E04">
        <w:rPr>
          <w:rFonts w:cstheme="minorHAnsi"/>
          <w:bCs/>
          <w:noProof/>
        </w:rPr>
        <w:t>(Berrington, Kuang et al. 2023)</w:t>
      </w:r>
      <w:r w:rsidR="00975E04">
        <w:rPr>
          <w:rFonts w:cstheme="minorHAnsi"/>
          <w:bCs/>
        </w:rPr>
        <w:fldChar w:fldCharType="end"/>
      </w:r>
      <w:r w:rsidR="00B61EB2">
        <w:rPr>
          <w:rFonts w:cstheme="minorHAnsi"/>
          <w:bCs/>
        </w:rPr>
        <w:t xml:space="preserve">, </w:t>
      </w:r>
      <w:r w:rsidR="00837D2B" w:rsidRPr="00D91862">
        <w:rPr>
          <w:rFonts w:cstheme="minorHAnsi"/>
          <w:bCs/>
        </w:rPr>
        <w:t>suggest</w:t>
      </w:r>
      <w:r w:rsidR="00B61EB2" w:rsidRPr="00D91862">
        <w:rPr>
          <w:rFonts w:cstheme="minorHAnsi"/>
          <w:bCs/>
        </w:rPr>
        <w:t>ing</w:t>
      </w:r>
      <w:r w:rsidR="00EE125D" w:rsidRPr="00D91862">
        <w:rPr>
          <w:rFonts w:cstheme="minorHAnsi"/>
          <w:bCs/>
        </w:rPr>
        <w:t xml:space="preserve"> </w:t>
      </w:r>
      <w:r w:rsidR="00DE1DD9" w:rsidRPr="00D91862">
        <w:rPr>
          <w:rFonts w:cstheme="minorHAnsi"/>
          <w:bCs/>
        </w:rPr>
        <w:t>that a higher</w:t>
      </w:r>
      <w:r w:rsidR="00DE1DD9">
        <w:rPr>
          <w:rFonts w:cstheme="minorHAnsi"/>
          <w:bCs/>
        </w:rPr>
        <w:t xml:space="preserve"> </w:t>
      </w:r>
      <w:r w:rsidR="00EE125D">
        <w:rPr>
          <w:rFonts w:cstheme="minorHAnsi"/>
          <w:bCs/>
        </w:rPr>
        <w:t xml:space="preserve">proportion of </w:t>
      </w:r>
      <w:r w:rsidR="00C25DF6">
        <w:rPr>
          <w:rFonts w:cstheme="minorHAnsi"/>
          <w:bCs/>
        </w:rPr>
        <w:t>Scottish women</w:t>
      </w:r>
      <w:r w:rsidR="003523F6">
        <w:rPr>
          <w:rFonts w:cstheme="minorHAnsi"/>
          <w:bCs/>
        </w:rPr>
        <w:t xml:space="preserve"> </w:t>
      </w:r>
      <w:r w:rsidR="008B7A42">
        <w:rPr>
          <w:rFonts w:cstheme="minorHAnsi"/>
          <w:bCs/>
        </w:rPr>
        <w:t>do not</w:t>
      </w:r>
      <w:r w:rsidR="00EE125D">
        <w:rPr>
          <w:rFonts w:cstheme="minorHAnsi"/>
          <w:bCs/>
        </w:rPr>
        <w:t xml:space="preserve"> fulfil their childbearing intentions</w:t>
      </w:r>
      <w:r w:rsidR="008B7A42">
        <w:rPr>
          <w:rFonts w:cstheme="minorHAnsi"/>
          <w:bCs/>
        </w:rPr>
        <w:t>,</w:t>
      </w:r>
      <w:r w:rsidR="00EE125D">
        <w:rPr>
          <w:rFonts w:cstheme="minorHAnsi"/>
          <w:bCs/>
        </w:rPr>
        <w:t xml:space="preserve"> as also highlighted in recent Scottish Population Policy Documents</w:t>
      </w:r>
      <w:r w:rsidR="00400942">
        <w:rPr>
          <w:rFonts w:cstheme="minorHAnsi"/>
          <w:bCs/>
        </w:rPr>
        <w:t xml:space="preserve"> </w:t>
      </w:r>
      <w:r w:rsidR="00400942">
        <w:rPr>
          <w:rFonts w:cstheme="minorHAnsi"/>
          <w:bCs/>
        </w:rPr>
        <w:fldChar w:fldCharType="begin"/>
      </w:r>
      <w:r w:rsidR="00400942">
        <w:rPr>
          <w:rFonts w:cstheme="minorHAnsi"/>
          <w:bCs/>
        </w:rPr>
        <w:instrText xml:space="preserve"> ADDIN EN.CITE &lt;EndNote&gt;&lt;Cite ExcludeAuth="1"&gt;&lt;Year&gt;2021&lt;/Year&gt;&lt;RecNum&gt;278&lt;/RecNum&gt;&lt;DisplayText&gt;(2021)&lt;/DisplayText&gt;&lt;record&gt;&lt;rec-number&gt;278&lt;/rec-number&gt;&lt;foreign-keys&gt;&lt;key app="EN" db-id="sde5vef9krws0aere98vvf0wawszed5rzw2t" timestamp="1693993979"&gt;278&lt;/key&gt;&lt;/foreign-keys&gt;&lt;ref-type name="Government Document"&gt;46&lt;/ref-type&gt;&lt;contributors&gt;&lt;secondary-authors&gt;&lt;author&gt;External Affairs Directorate &lt;/author&gt;&lt;/secondary-authors&gt;&lt;/contributors&gt;&lt;titles&gt;&lt;title&gt;A Scotland for the Future &lt;/title&gt;&lt;/titles&gt;&lt;dates&gt;&lt;year&gt;2021&lt;/year&gt;&lt;/dates&gt;&lt;publisher&gt;Scottish Government &lt;/publisher&gt;&lt;urls&gt;&lt;/urls&gt;&lt;/record&gt;&lt;/Cite&gt;&lt;/EndNote&gt;</w:instrText>
      </w:r>
      <w:r w:rsidR="00400942">
        <w:rPr>
          <w:rFonts w:cstheme="minorHAnsi"/>
          <w:bCs/>
        </w:rPr>
        <w:fldChar w:fldCharType="separate"/>
      </w:r>
      <w:r w:rsidR="00400942">
        <w:rPr>
          <w:rFonts w:cstheme="minorHAnsi"/>
          <w:bCs/>
          <w:noProof/>
        </w:rPr>
        <w:t>(2021)</w:t>
      </w:r>
      <w:r w:rsidR="00400942">
        <w:rPr>
          <w:rFonts w:cstheme="minorHAnsi"/>
          <w:bCs/>
        </w:rPr>
        <w:fldChar w:fldCharType="end"/>
      </w:r>
      <w:r w:rsidR="00EE125D">
        <w:rPr>
          <w:rFonts w:cstheme="minorHAnsi"/>
          <w:bCs/>
        </w:rPr>
        <w:t>.</w:t>
      </w:r>
      <w:r w:rsidR="00C16F90">
        <w:rPr>
          <w:rFonts w:cstheme="minorHAnsi"/>
          <w:bCs/>
        </w:rPr>
        <w:t xml:space="preserve"> </w:t>
      </w:r>
    </w:p>
    <w:p w14:paraId="4523AD29" w14:textId="77777777" w:rsidR="009E39B1" w:rsidRDefault="009E39B1" w:rsidP="0037557C">
      <w:pPr>
        <w:pStyle w:val="Heading4"/>
        <w:rPr>
          <w:rFonts w:cstheme="minorHAnsi"/>
        </w:rPr>
      </w:pPr>
      <w:r>
        <w:t xml:space="preserve">Figure 1. </w:t>
      </w:r>
      <w:r w:rsidRPr="002E1A17">
        <w:t xml:space="preserve">Cohort </w:t>
      </w:r>
      <w:r>
        <w:t xml:space="preserve">total </w:t>
      </w:r>
      <w:r w:rsidRPr="002E1A17">
        <w:t>fertility</w:t>
      </w:r>
      <w:r>
        <w:t>,</w:t>
      </w:r>
      <w:r w:rsidRPr="002E1A17">
        <w:t xml:space="preserve"> at age 4</w:t>
      </w:r>
      <w:r>
        <w:t>0 in the UK, 1956-1980/1982 female birth cohorts</w:t>
      </w:r>
    </w:p>
    <w:p w14:paraId="12ABB61E" w14:textId="72E7CD8B" w:rsidR="000A68F6" w:rsidRDefault="000A68F6" w:rsidP="000A68F6">
      <w:pPr>
        <w:spacing w:line="480" w:lineRule="auto"/>
      </w:pPr>
      <w:r>
        <w:rPr>
          <w:noProof/>
        </w:rPr>
        <w:drawing>
          <wp:inline distT="0" distB="0" distL="0" distR="0" wp14:anchorId="794C6FDC" wp14:editId="0B5EE852">
            <wp:extent cx="5753100" cy="304189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539" cy="3045823"/>
                    </a:xfrm>
                    <a:prstGeom prst="rect">
                      <a:avLst/>
                    </a:prstGeom>
                    <a:noFill/>
                    <a:ln>
                      <a:noFill/>
                    </a:ln>
                  </pic:spPr>
                </pic:pic>
              </a:graphicData>
            </a:graphic>
          </wp:inline>
        </w:drawing>
      </w:r>
    </w:p>
    <w:p w14:paraId="0DC3245B" w14:textId="2A26375C" w:rsidR="004A63AD" w:rsidRPr="009E39B1" w:rsidRDefault="004A63AD" w:rsidP="004A63AD">
      <w:pPr>
        <w:rPr>
          <w:i/>
          <w:iCs/>
        </w:rPr>
      </w:pPr>
      <w:r w:rsidRPr="009E39B1">
        <w:rPr>
          <w:i/>
          <w:iCs/>
        </w:rPr>
        <w:t>Source</w:t>
      </w:r>
      <w:r w:rsidR="009E39B1">
        <w:rPr>
          <w:i/>
          <w:iCs/>
        </w:rPr>
        <w:t>s</w:t>
      </w:r>
      <w:r w:rsidRPr="009E39B1">
        <w:rPr>
          <w:i/>
          <w:iCs/>
        </w:rPr>
        <w:t>: Office for National Statistics (ONS), National Records of Scotland (NRS)</w:t>
      </w:r>
      <w:r w:rsidR="00260094" w:rsidRPr="009E39B1">
        <w:rPr>
          <w:i/>
          <w:iCs/>
        </w:rPr>
        <w:t xml:space="preserve"> 1981 female birth cohort shown for Scotland</w:t>
      </w:r>
      <w:r w:rsidRPr="009E39B1">
        <w:rPr>
          <w:i/>
          <w:iCs/>
        </w:rPr>
        <w:t>, Northern Ireland Statistics and Research Agency (NISRA)</w:t>
      </w:r>
      <w:r w:rsidR="000B39C9">
        <w:rPr>
          <w:i/>
          <w:iCs/>
        </w:rPr>
        <w:t xml:space="preserve"> and Human Fertility Database</w:t>
      </w:r>
      <w:r w:rsidR="00EB0071">
        <w:rPr>
          <w:i/>
          <w:iCs/>
        </w:rPr>
        <w:fldChar w:fldCharType="begin"/>
      </w:r>
      <w:r w:rsidR="0072455E">
        <w:rPr>
          <w:i/>
          <w:iCs/>
        </w:rPr>
        <w:instrText xml:space="preserve"> ADDIN EN.CITE &lt;EndNote&gt;&lt;Cite&gt;&lt;RecNum&gt;396&lt;/RecNum&gt;&lt;record&gt;&lt;rec-number&gt;396&lt;/rec-number&gt;&lt;foreign-keys&gt;&lt;key app="EN" db-id="date2dst4vae0pe955kxa2tla9pzrxp00p95" timestamp="1719310917"&gt;396&lt;/key&gt;&lt;/foreign-keys&gt;&lt;ref-type name="Web Page"&gt;12&lt;/ref-type&gt;&lt;contributors&gt;&lt;/contributors&gt;&lt;titles&gt;&lt;title&gt;Human Fertility Database&lt;/title&gt;&lt;/titles&gt;&lt;volume&gt;2024&lt;/volume&gt;&lt;number&gt;June 25&lt;/number&gt;&lt;dates&gt;&lt;/dates&gt;&lt;publisher&gt;Max Planck Institute for Demographic Research  (Germany) and Vienna Institute of Demography (Austria).&lt;/publisher&gt;&lt;urls&gt;&lt;related-urls&gt;&lt;url&gt; Available at www.humanfertility.org&lt;/url&gt;&lt;/related-urls&gt;&lt;/urls&gt;&lt;/record&gt;&lt;/Cite&gt;&lt;/EndNote&gt;</w:instrText>
      </w:r>
      <w:r w:rsidR="00304731">
        <w:rPr>
          <w:i/>
          <w:iCs/>
        </w:rPr>
        <w:fldChar w:fldCharType="separate"/>
      </w:r>
      <w:r w:rsidR="00EB0071">
        <w:rPr>
          <w:i/>
          <w:iCs/>
        </w:rPr>
        <w:fldChar w:fldCharType="end"/>
      </w:r>
      <w:r w:rsidR="00260094" w:rsidRPr="009E39B1">
        <w:rPr>
          <w:i/>
          <w:iCs/>
        </w:rPr>
        <w:t>, 1981 and 1982 female birth cohorts shown for Northern Ireland</w:t>
      </w:r>
    </w:p>
    <w:p w14:paraId="24F7C374" w14:textId="266C6BB1" w:rsidR="0056595F" w:rsidRDefault="00382D69" w:rsidP="004A216E">
      <w:pPr>
        <w:spacing w:line="480" w:lineRule="auto"/>
      </w:pPr>
      <w:r>
        <w:t xml:space="preserve">Recent </w:t>
      </w:r>
      <w:r w:rsidR="00C35EB8">
        <w:t>analys</w:t>
      </w:r>
      <w:r w:rsidR="00992059">
        <w:t>i</w:t>
      </w:r>
      <w:r w:rsidR="00C35EB8">
        <w:t xml:space="preserve">s of survey </w:t>
      </w:r>
      <w:r w:rsidR="009A7C7D">
        <w:t xml:space="preserve">data </w:t>
      </w:r>
      <w:r w:rsidR="00597C6F">
        <w:t>for England and Wales</w:t>
      </w:r>
      <w:r w:rsidR="00A111EA">
        <w:t xml:space="preserve"> has</w:t>
      </w:r>
      <w:r>
        <w:t xml:space="preserve"> </w:t>
      </w:r>
      <w:r w:rsidR="00DE2B4C">
        <w:t>highlight</w:t>
      </w:r>
      <w:r w:rsidR="00A111EA">
        <w:t>ed</w:t>
      </w:r>
      <w:r w:rsidR="00DE2B4C">
        <w:t xml:space="preserve"> </w:t>
      </w:r>
      <w:r w:rsidR="00B60BBA">
        <w:t xml:space="preserve">further </w:t>
      </w:r>
      <w:r w:rsidR="00DE2B4C">
        <w:t xml:space="preserve">postponement of childbearing </w:t>
      </w:r>
      <w:r w:rsidR="004302B4">
        <w:t xml:space="preserve">from </w:t>
      </w:r>
      <w:r w:rsidR="0031717C">
        <w:t>2010 to 2020</w:t>
      </w:r>
      <w:r w:rsidR="00756AC8">
        <w:t xml:space="preserve"> and found </w:t>
      </w:r>
      <w:r w:rsidR="004302B4">
        <w:t>similar fertility decline</w:t>
      </w:r>
      <w:r w:rsidR="000E72D8">
        <w:t>s</w:t>
      </w:r>
      <w:r w:rsidR="004302B4">
        <w:t xml:space="preserve"> </w:t>
      </w:r>
      <w:r w:rsidR="0031717C">
        <w:t>across women from different family backgrounds, though</w:t>
      </w:r>
      <w:r w:rsidR="00DE2B4C">
        <w:t xml:space="preserve"> </w:t>
      </w:r>
      <w:r w:rsidR="00377F46">
        <w:t xml:space="preserve">small </w:t>
      </w:r>
      <w:r w:rsidR="00DE2B4C">
        <w:t>sample size</w:t>
      </w:r>
      <w:r w:rsidR="00431195">
        <w:t>s</w:t>
      </w:r>
      <w:r w:rsidR="00DE2B4C">
        <w:t xml:space="preserve"> made </w:t>
      </w:r>
      <w:r w:rsidR="007D4E3F">
        <w:t xml:space="preserve">sub-group </w:t>
      </w:r>
      <w:r w:rsidR="00DE2B4C">
        <w:t xml:space="preserve">comparisons </w:t>
      </w:r>
      <w:r w:rsidR="007D4E3F">
        <w:t xml:space="preserve">difficult </w:t>
      </w:r>
      <w:r w:rsidR="007F220E">
        <w:fldChar w:fldCharType="begin"/>
      </w:r>
      <w:r w:rsidR="007F220E">
        <w:instrText xml:space="preserve"> ADDIN EN.CITE &lt;EndNote&gt;&lt;Cite&gt;&lt;Author&gt;Ermisch&lt;/Author&gt;&lt;Year&gt;2023&lt;/Year&gt;&lt;RecNum&gt;346&lt;/RecNum&gt;&lt;DisplayText&gt;(Ermisch 2023)&lt;/DisplayText&gt;&lt;record&gt;&lt;rec-number&gt;346&lt;/rec-number&gt;&lt;foreign-keys&gt;&lt;key app="EN" db-id="date2dst4vae0pe955kxa2tla9pzrxp00p95" timestamp="1706872342"&gt;346&lt;/key&gt;&lt;/foreign-keys&gt;&lt;ref-type name="Journal Article"&gt;17&lt;/ref-type&gt;&lt;contributors&gt;&lt;authors&gt;&lt;author&gt;Ermisch, John&lt;/author&gt;&lt;/authors&gt;&lt;/contributors&gt;&lt;titles&gt;&lt;title&gt;The recent decline in period fertility in England and Wales: Differences associated with family background and intergenerational educational mobility&lt;/title&gt;&lt;secondary-title&gt;Population Studies&lt;/secondary-title&gt;&lt;/titles&gt;&lt;periodical&gt;&lt;full-title&gt;Population Studies&lt;/full-title&gt;&lt;/periodical&gt;&lt;pages&gt;1-15&lt;/pages&gt;&lt;dates&gt;&lt;year&gt;2023&lt;/year&gt;&lt;/dates&gt;&lt;publisher&gt;Routledge&lt;/publisher&gt;&lt;isbn&gt;0032-4728&lt;/isbn&gt;&lt;urls&gt;&lt;related-urls&gt;&lt;url&gt;https://doi.org/10.1080/00324728.2023.2215224&lt;/url&gt;&lt;/related-urls&gt;&lt;/urls&gt;&lt;electronic-resource-num&gt;10.1080/00324728.2023.2215224&lt;/electronic-resource-num&gt;&lt;/record&gt;&lt;/Cite&gt;&lt;Cite&gt;&lt;Author&gt;Ermisch&lt;/Author&gt;&lt;Year&gt;2023&lt;/Year&gt;&lt;RecNum&gt;346&lt;/RecNum&gt;&lt;record&gt;&lt;rec-number&gt;346&lt;/rec-number&gt;&lt;foreign-keys&gt;&lt;key app="EN" db-id="date2dst4vae0pe955kxa2tla9pzrxp00p95" timestamp="1706872342"&gt;346&lt;/key&gt;&lt;/foreign-keys&gt;&lt;ref-type name="Journal Article"&gt;17&lt;/ref-type&gt;&lt;contributors&gt;&lt;authors&gt;&lt;author&gt;Ermisch, John&lt;/author&gt;&lt;/authors&gt;&lt;/contributors&gt;&lt;titles&gt;&lt;title&gt;The recent decline in period fertility in England and Wales: Differences associated with family background and intergenerational educational mobility&lt;/title&gt;&lt;secondary-title&gt;Population Studies&lt;/secondary-title&gt;&lt;/titles&gt;&lt;periodical&gt;&lt;full-title&gt;Population Studies&lt;/full-title&gt;&lt;/periodical&gt;&lt;pages&gt;1-15&lt;/pages&gt;&lt;dates&gt;&lt;year&gt;2023&lt;/year&gt;&lt;/dates&gt;&lt;publisher&gt;Routledge&lt;/publisher&gt;&lt;isbn&gt;0032-4728&lt;/isbn&gt;&lt;urls&gt;&lt;related-urls&gt;&lt;url&gt;https://doi.org/10.1080/00324728.2023.2215224&lt;/url&gt;&lt;/related-urls&gt;&lt;/urls&gt;&lt;electronic-resource-num&gt;10.1080/00324728.2023.2215224&lt;/electronic-resource-num&gt;&lt;/record&gt;&lt;/Cite&gt;&lt;/EndNote&gt;</w:instrText>
      </w:r>
      <w:r w:rsidR="007F220E">
        <w:fldChar w:fldCharType="separate"/>
      </w:r>
      <w:r w:rsidR="007F220E">
        <w:rPr>
          <w:noProof/>
        </w:rPr>
        <w:t>(Ermisch 2023)</w:t>
      </w:r>
      <w:r w:rsidR="007F220E">
        <w:fldChar w:fldCharType="end"/>
      </w:r>
      <w:r w:rsidR="00DE2B4C">
        <w:t>.</w:t>
      </w:r>
      <w:r w:rsidR="008B7A42">
        <w:t xml:space="preserve"> </w:t>
      </w:r>
      <w:r w:rsidR="00F22C9A">
        <w:t>Examining</w:t>
      </w:r>
      <w:r w:rsidR="00D64B87">
        <w:t xml:space="preserve"> changes in fertility by</w:t>
      </w:r>
      <w:r w:rsidR="00F22C9A">
        <w:t xml:space="preserve"> birth order is crucial </w:t>
      </w:r>
      <w:r w:rsidR="0056595F">
        <w:t>because c</w:t>
      </w:r>
      <w:r w:rsidR="0056595F" w:rsidRPr="00C72B85">
        <w:rPr>
          <w:rFonts w:cstheme="minorHAnsi"/>
          <w:bCs/>
        </w:rPr>
        <w:t>hildbearing decisions are made sequentially across the life course.</w:t>
      </w:r>
      <w:r w:rsidR="008B7A42">
        <w:rPr>
          <w:rFonts w:cstheme="minorHAnsi"/>
          <w:bCs/>
        </w:rPr>
        <w:t xml:space="preserve"> </w:t>
      </w:r>
      <w:r w:rsidR="0056595F" w:rsidRPr="00C72B85">
        <w:rPr>
          <w:rFonts w:cstheme="minorHAnsi"/>
          <w:bCs/>
        </w:rPr>
        <w:t>The decision to become a parent differ</w:t>
      </w:r>
      <w:r w:rsidR="00FF49F5">
        <w:rPr>
          <w:rFonts w:cstheme="minorHAnsi"/>
          <w:bCs/>
        </w:rPr>
        <w:t>s</w:t>
      </w:r>
      <w:r w:rsidR="0056595F" w:rsidRPr="00C72B85">
        <w:rPr>
          <w:rFonts w:cstheme="minorHAnsi"/>
          <w:bCs/>
        </w:rPr>
        <w:t xml:space="preserve"> from the decision to have additional children, meaning trends in childlessness may not be shaped by the same forces that </w:t>
      </w:r>
      <w:r w:rsidR="0056595F">
        <w:rPr>
          <w:rFonts w:cstheme="minorHAnsi"/>
          <w:bCs/>
        </w:rPr>
        <w:t xml:space="preserve">influence ultimate </w:t>
      </w:r>
      <w:r w:rsidR="0056595F" w:rsidRPr="00C72B85">
        <w:rPr>
          <w:rFonts w:cstheme="minorHAnsi"/>
          <w:bCs/>
        </w:rPr>
        <w:t>family size</w:t>
      </w:r>
      <w:r w:rsidR="00597485">
        <w:rPr>
          <w:rFonts w:cstheme="minorHAnsi"/>
          <w:bCs/>
        </w:rPr>
        <w:t xml:space="preserve"> </w:t>
      </w:r>
      <w:r w:rsidR="00676141">
        <w:rPr>
          <w:rFonts w:cstheme="minorHAnsi"/>
          <w:bCs/>
        </w:rPr>
        <w:fldChar w:fldCharType="begin"/>
      </w:r>
      <w:r w:rsidR="00676141">
        <w:rPr>
          <w:rFonts w:cstheme="minorHAnsi"/>
          <w:bCs/>
        </w:rPr>
        <w:instrText xml:space="preserve"> ADDIN EN.CITE &lt;EndNote&gt;&lt;Cite&gt;&lt;Author&gt;Brzozowska&lt;/Author&gt;&lt;Year&gt;2022&lt;/Year&gt;&lt;RecNum&gt;14&lt;/RecNum&gt;&lt;DisplayText&gt;(Brzozowska, Beaujouan and Zeman 2022)&lt;/DisplayText&gt;&lt;record&gt;&lt;rec-number&gt;14&lt;/rec-number&gt;&lt;foreign-keys&gt;&lt;key app="EN" db-id="sw2d9xs250zvfyet5v6xa098zsxwwraaxre5" timestamp="1702594012"&gt;14&lt;/key&gt;&lt;/foreign-keys&gt;&lt;ref-type name="Journal Article"&gt;17&lt;/ref-type&gt;&lt;contributors&gt;&lt;authors&gt;&lt;author&gt;Brzozowska, Zuzanna&lt;/author&gt;&lt;author&gt;Beaujouan, Eva&lt;/author&gt;&lt;author&gt;Zeman, Kryštof&lt;/author&gt;&lt;/authors&gt;&lt;/contributors&gt;&lt;titles&gt;&lt;title&gt;Is Two Still Best? Change in Parity-Specific Fertility Across Education in Low-Fertility Countries&lt;/title&gt;&lt;secondary-title&gt;Population Research and Policy Review&lt;/secondary-title&gt;&lt;/titles&gt;&lt;pages&gt;2085-2114&lt;/pages&gt;&lt;volume&gt;41&lt;/volume&gt;&lt;number&gt;5&lt;/number&gt;&lt;dates&gt;&lt;year&gt;2022&lt;/year&gt;&lt;pub-dates&gt;&lt;date&gt;2022/10/01&lt;/date&gt;&lt;/pub-dates&gt;&lt;/dates&gt;&lt;urls&gt;&lt;related-urls&gt;&lt;url&gt;https://doi.org/10.1007/s11113-022-09716-4&lt;/url&gt;&lt;/related-urls&gt;&lt;/urls&gt;&lt;electronic-resource-num&gt;10.1007/s11113-022-09716-4&lt;/electronic-resource-num&gt;&lt;/record&gt;&lt;/Cite&gt;&lt;/EndNote&gt;</w:instrText>
      </w:r>
      <w:r w:rsidR="00676141">
        <w:rPr>
          <w:rFonts w:cstheme="minorHAnsi"/>
          <w:bCs/>
        </w:rPr>
        <w:fldChar w:fldCharType="separate"/>
      </w:r>
      <w:r w:rsidR="00676141">
        <w:rPr>
          <w:rFonts w:cstheme="minorHAnsi"/>
          <w:bCs/>
          <w:noProof/>
        </w:rPr>
        <w:t>(Brzozowska, Beaujouan and Zeman 2022)</w:t>
      </w:r>
      <w:r w:rsidR="00676141">
        <w:rPr>
          <w:rFonts w:cstheme="minorHAnsi"/>
          <w:bCs/>
        </w:rPr>
        <w:fldChar w:fldCharType="end"/>
      </w:r>
      <w:r w:rsidR="0056595F" w:rsidRPr="00C72B85">
        <w:rPr>
          <w:rFonts w:cstheme="minorHAnsi"/>
          <w:bCs/>
        </w:rPr>
        <w:t>.</w:t>
      </w:r>
      <w:r w:rsidR="008B7A42">
        <w:rPr>
          <w:rFonts w:cstheme="minorHAnsi"/>
          <w:bCs/>
        </w:rPr>
        <w:t xml:space="preserve"> </w:t>
      </w:r>
      <w:r w:rsidR="00D91862">
        <w:t xml:space="preserve"> </w:t>
      </w:r>
      <w:r w:rsidR="66246C55" w:rsidRPr="6626A037">
        <w:t>Moreover, it is important to know which sub-groups of the population are most associated with divergences in fertility behavior across the countries of the UK</w:t>
      </w:r>
      <w:bookmarkStart w:id="1" w:name="_Hlk170207477"/>
      <w:r w:rsidR="66246C55" w:rsidRPr="6626A037">
        <w:t>.</w:t>
      </w:r>
      <w:r w:rsidR="6ECED023" w:rsidRPr="6626A037">
        <w:t xml:space="preserve"> </w:t>
      </w:r>
      <w:r w:rsidR="66246C55" w:rsidRPr="6626A037">
        <w:t xml:space="preserve">Education is a key </w:t>
      </w:r>
      <w:r w:rsidR="6ECED023" w:rsidRPr="6626A037">
        <w:t xml:space="preserve">component </w:t>
      </w:r>
      <w:r w:rsidR="66246C55" w:rsidRPr="6626A037">
        <w:t>of fertility</w:t>
      </w:r>
      <w:r w:rsidR="6ECED023" w:rsidRPr="6626A037">
        <w:t xml:space="preserve"> sub-group analysis</w:t>
      </w:r>
      <w:r w:rsidR="66246C55" w:rsidRPr="6626A037">
        <w:t xml:space="preserve"> </w:t>
      </w:r>
      <w:r w:rsidR="0068486B">
        <w:fldChar w:fldCharType="begin"/>
      </w:r>
      <w:r w:rsidR="0068486B">
        <w:instrText xml:space="preserve"> ADDIN EN.CITE &lt;EndNote&gt;&lt;Cite&gt;&lt;Author&gt;Balbo&lt;/Author&gt;&lt;Year&gt;2013&lt;/Year&gt;&lt;RecNum&gt;32&lt;/RecNum&gt;&lt;DisplayText&gt;(Balbo, Billari and Mills 2013)&lt;/DisplayText&gt;&lt;record&gt;&lt;rec-number&gt;32&lt;/rec-number&gt;&lt;foreign-keys&gt;&lt;key app="EN" db-id="date2dst4vae0pe955kxa2tla9pzrxp00p95" timestamp="1665058297"&gt;32&lt;/key&gt;&lt;/foreign-keys&gt;&lt;ref-type name="Journal Article"&gt;17&lt;/ref-type&gt;&lt;contributors&gt;&lt;authors&gt;&lt;author&gt;Balbo, Nicoletta&lt;/author&gt;&lt;author&gt;Billari, Francesco&lt;/author&gt;&lt;author&gt;Mills, Melinda&lt;/author&gt;&lt;/authors&gt;&lt;/contributors&gt;&lt;titles&gt;&lt;title&gt;Fertility in advanced societies: A review of research &lt;/title&gt;&lt;secondary-title&gt;European Journal of Population&lt;/secondary-title&gt;&lt;/titles&gt;&lt;periodical&gt;&lt;full-title&gt;European Journal of Population&lt;/full-title&gt;&lt;/periodical&gt;&lt;pages&gt;1-38&lt;/pages&gt;&lt;volume&gt;29&lt;/volume&gt;&lt;dates&gt;&lt;year&gt;2013&lt;/year&gt;&lt;/dates&gt;&lt;urls&gt;&lt;/urls&gt;&lt;/record&gt;&lt;/Cite&gt;&lt;/EndNote&gt;</w:instrText>
      </w:r>
      <w:r w:rsidR="0068486B">
        <w:fldChar w:fldCharType="separate"/>
      </w:r>
      <w:r w:rsidR="0068486B">
        <w:rPr>
          <w:noProof/>
        </w:rPr>
        <w:t>(Balbo, Billari and Mills 2013)</w:t>
      </w:r>
      <w:r w:rsidR="0068486B">
        <w:fldChar w:fldCharType="end"/>
      </w:r>
      <w:r w:rsidR="66246C55" w:rsidRPr="6626A037">
        <w:t xml:space="preserve"> and particularly germane in examining </w:t>
      </w:r>
      <w:r w:rsidR="008B7A42">
        <w:t xml:space="preserve">completed </w:t>
      </w:r>
      <w:r w:rsidR="00EB1BCA">
        <w:t>family size distributions</w:t>
      </w:r>
      <w:r w:rsidR="66246C55" w:rsidRPr="6626A037">
        <w:t xml:space="preserve"> </w:t>
      </w:r>
      <w:r w:rsidR="00520B67">
        <w:t xml:space="preserve">since </w:t>
      </w:r>
      <w:r w:rsidR="040022E8" w:rsidRPr="6626A037">
        <w:t xml:space="preserve">educational </w:t>
      </w:r>
      <w:r w:rsidR="66246C55" w:rsidRPr="6626A037">
        <w:t xml:space="preserve">patterns </w:t>
      </w:r>
      <w:r w:rsidR="0040242F">
        <w:t xml:space="preserve">of fertility </w:t>
      </w:r>
      <w:r w:rsidR="66246C55" w:rsidRPr="6626A037">
        <w:t xml:space="preserve">often </w:t>
      </w:r>
      <w:r w:rsidR="0040242F">
        <w:t>vary</w:t>
      </w:r>
      <w:r w:rsidR="66246C55" w:rsidRPr="6626A037">
        <w:t xml:space="preserve"> by </w:t>
      </w:r>
      <w:r w:rsidR="0068486B">
        <w:t xml:space="preserve"> </w:t>
      </w:r>
      <w:r w:rsidR="66246C55" w:rsidRPr="6626A037">
        <w:t xml:space="preserve">parity </w:t>
      </w:r>
      <w:bookmarkStart w:id="2" w:name="_Hlk171505136"/>
      <w:r w:rsidR="002B7716">
        <w:fldChar w:fldCharType="begin">
          <w:fldData xml:space="preserve">PEVuZE5vdGU+PENpdGU+PEF1dGhvcj5WYW4gQmF2ZWw8L0F1dGhvcj48WWVhcj4yMDE4PC9ZZWFy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</w:fldData>
        </w:fldChar>
      </w:r>
      <w:r w:rsidR="0040242F">
        <w:instrText xml:space="preserve"> ADDIN EN.CITE </w:instrText>
      </w:r>
      <w:r w:rsidR="0040242F">
        <w:fldChar w:fldCharType="begin">
          <w:fldData xml:space="preserve">PEVuZE5vdGU+PENpdGU+PEF1dGhvcj5WYW4gQmF2ZWw8L0F1dGhvcj48WWVhcj4yMDE4PC9ZZWFy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</w:fldData>
        </w:fldChar>
      </w:r>
      <w:r w:rsidR="0040242F">
        <w:instrText xml:space="preserve"> ADDIN EN.CITE.DATA </w:instrText>
      </w:r>
      <w:r w:rsidR="0040242F">
        <w:fldChar w:fldCharType="end"/>
      </w:r>
      <w:r w:rsidR="002B7716">
        <w:fldChar w:fldCharType="separate"/>
      </w:r>
      <w:r w:rsidR="0040242F">
        <w:rPr>
          <w:noProof/>
        </w:rPr>
        <w:t>(Wood, Neels and Kil 2014, Van Bavel, Klesment et al. 2018, Brzozowska, Beaujouan and Zeman 2022)</w:t>
      </w:r>
      <w:r w:rsidR="002B7716">
        <w:fldChar w:fldCharType="end"/>
      </w:r>
      <w:r w:rsidR="002B7716">
        <w:t>.</w:t>
      </w:r>
      <w:r w:rsidR="66246C55" w:rsidRPr="6626A037">
        <w:t xml:space="preserve"> </w:t>
      </w:r>
      <w:bookmarkEnd w:id="1"/>
      <w:bookmarkEnd w:id="2"/>
      <w:r w:rsidR="000A2929">
        <w:rPr>
          <w:rFonts w:cstheme="minorHAnsi"/>
          <w:bCs/>
        </w:rPr>
        <w:t>Analysis by educational level also provides insight into the obstacles to achieving desired fertility and help target any intervention onto those subgroups most affected.</w:t>
      </w:r>
    </w:p>
    <w:p w14:paraId="6C69CCA9" w14:textId="71ABBB02" w:rsidR="005B0BBC" w:rsidRDefault="001428F6" w:rsidP="00E43CA9">
      <w:pPr>
        <w:pStyle w:val="Heading2"/>
      </w:pPr>
      <w:r>
        <w:t>Theor</w:t>
      </w:r>
      <w:r w:rsidR="00BA24A2">
        <w:t>etical background</w:t>
      </w:r>
    </w:p>
    <w:p w14:paraId="3870A66A" w14:textId="15707CA3" w:rsidR="00982AAC" w:rsidRPr="008925E2" w:rsidRDefault="005C7411" w:rsidP="008925E2">
      <w:pPr>
        <w:spacing w:line="480" w:lineRule="auto"/>
        <w:rPr>
          <w:lang w:val="en-GB"/>
        </w:rPr>
      </w:pPr>
      <w:r>
        <w:rPr>
          <w:lang w:val="en-GB"/>
        </w:rPr>
        <w:t>W</w:t>
      </w:r>
      <w:r w:rsidR="00982AAC" w:rsidRPr="008925E2">
        <w:rPr>
          <w:lang w:val="en-GB"/>
        </w:rPr>
        <w:t xml:space="preserve">e first discuss theoretical and empirical literature </w:t>
      </w:r>
      <w:r w:rsidR="007E4F78">
        <w:rPr>
          <w:lang w:val="en-GB"/>
        </w:rPr>
        <w:t>on</w:t>
      </w:r>
      <w:r w:rsidR="00982AAC" w:rsidRPr="008925E2">
        <w:rPr>
          <w:lang w:val="en-GB"/>
        </w:rPr>
        <w:t xml:space="preserve"> educational gradients i</w:t>
      </w:r>
      <w:r w:rsidR="008925E2">
        <w:rPr>
          <w:lang w:val="en-GB"/>
        </w:rPr>
        <w:t xml:space="preserve">n </w:t>
      </w:r>
      <w:r w:rsidR="00982AAC" w:rsidRPr="008925E2">
        <w:rPr>
          <w:lang w:val="en-GB"/>
        </w:rPr>
        <w:t>parity progression</w:t>
      </w:r>
      <w:r w:rsidR="00B02C81">
        <w:rPr>
          <w:lang w:val="en-GB"/>
        </w:rPr>
        <w:t xml:space="preserve"> and family size distribution</w:t>
      </w:r>
      <w:r w:rsidR="0041624F">
        <w:rPr>
          <w:lang w:val="en-GB"/>
        </w:rPr>
        <w:t>,</w:t>
      </w:r>
      <w:r w:rsidR="008B7A42">
        <w:rPr>
          <w:lang w:val="en-GB"/>
        </w:rPr>
        <w:t xml:space="preserve"> </w:t>
      </w:r>
      <w:r w:rsidR="00982AAC" w:rsidRPr="008925E2">
        <w:rPr>
          <w:lang w:val="en-GB"/>
        </w:rPr>
        <w:t xml:space="preserve">before examining how UK country context might moderate these relationships. </w:t>
      </w:r>
    </w:p>
    <w:p w14:paraId="0025C59F" w14:textId="38B5FB26" w:rsidR="00776DB9" w:rsidRDefault="005B0BBC" w:rsidP="00837940">
      <w:pPr>
        <w:pStyle w:val="Heading3"/>
      </w:pPr>
      <w:r>
        <w:t xml:space="preserve">2.1 </w:t>
      </w:r>
      <w:r w:rsidR="00E67227">
        <w:t xml:space="preserve">Educational patterns of parity progression </w:t>
      </w:r>
    </w:p>
    <w:p w14:paraId="702451C3" w14:textId="0237AB8F" w:rsidR="00354A8D" w:rsidRDefault="00776DB9" w:rsidP="008925E2">
      <w:pPr>
        <w:spacing w:line="480" w:lineRule="auto"/>
      </w:pPr>
      <w:r w:rsidRPr="00CF4CE4">
        <w:t>In many high-income countries</w:t>
      </w:r>
      <w:r w:rsidR="009C0776">
        <w:t>,</w:t>
      </w:r>
      <w:r w:rsidRPr="00CF4CE4">
        <w:t xml:space="preserve"> high education is associated with the postponement of first birth</w:t>
      </w:r>
      <w:r w:rsidR="003B5514">
        <w:t xml:space="preserve"> </w:t>
      </w:r>
      <w:r w:rsidR="003B5514">
        <w:fldChar w:fldCharType="begin"/>
      </w:r>
      <w:r w:rsidR="003B5514">
        <w:instrText xml:space="preserve"> ADDIN EN.CITE &lt;EndNote&gt;&lt;Cite&gt;&lt;Author&gt;Ní Bhrolcháin&lt;/Author&gt;&lt;Year&gt;2012&lt;/Year&gt;&lt;RecNum&gt;279&lt;/RecNum&gt;&lt;DisplayText&gt;(Ní Bhrolcháin and Beaujouan 2012)&lt;/DisplayText&gt;&lt;record&gt;&lt;rec-number&gt;279&lt;/rec-number&gt;&lt;foreign-keys&gt;&lt;key app="EN" db-id="sde5vef9krws0aere98vvf0wawszed5rzw2t" timestamp="1693997613"&gt;279&lt;/key&gt;&lt;/foreign-keys&gt;&lt;ref-type name="Journal Article"&gt;17&lt;/ref-type&gt;&lt;contributors&gt;&lt;authors&gt;&lt;author&gt;Ní Bhrolcháin, M.&lt;/author&gt;&lt;author&gt;Beaujouan, E.&lt;/author&gt;&lt;/authors&gt;&lt;/contributors&gt;&lt;auth-address&gt;ESRC Centre for Population Change and Divisionof Social Statistics and Demography, University ofSouthampton, Southampton, UK. mnb2@soton.ac.uk&lt;/auth-address&gt;&lt;titles&gt;&lt;title&gt;Fertility postponement is largely due to rising educational enrolment&lt;/title&gt;&lt;secondary-title&gt;Population Studies&lt;/secondary-title&gt;&lt;/titles&gt;&lt;periodical&gt;&lt;full-title&gt;Population Studies&lt;/full-title&gt;&lt;/periodical&gt;&lt;pages&gt;311-27&lt;/pages&gt;&lt;volume&gt;66&lt;/volume&gt;&lt;number&gt;3&lt;/number&gt;&lt;edition&gt;20120814&lt;/edition&gt;&lt;keywords&gt;&lt;keyword&gt;Adolescent&lt;/keyword&gt;&lt;keyword&gt;Adult&lt;/keyword&gt;&lt;keyword&gt;Age Factors&lt;/keyword&gt;&lt;keyword&gt;*Community Participation&lt;/keyword&gt;&lt;keyword&gt;Cross-Sectional Studies&lt;/keyword&gt;&lt;keyword&gt;Data Collection&lt;/keyword&gt;&lt;keyword&gt;Educational Status&lt;/keyword&gt;&lt;keyword&gt;Female&lt;/keyword&gt;&lt;keyword&gt;France&lt;/keyword&gt;&lt;keyword&gt;Humans&lt;/keyword&gt;&lt;keyword&gt;Male&lt;/keyword&gt;&lt;keyword&gt;Middle Aged&lt;/keyword&gt;&lt;keyword&gt;Reproductive Behavior/*psychology/statistics &amp;amp; numerical data&lt;/keyword&gt;&lt;keyword&gt;*Schools&lt;/keyword&gt;&lt;keyword&gt;*Students&lt;/keyword&gt;&lt;keyword&gt;Time Factors&lt;/keyword&gt;&lt;keyword&gt;United Kingdom&lt;/keyword&gt;&lt;keyword&gt;Young Adult&lt;/keyword&gt;&lt;/keywords&gt;&lt;dates&gt;&lt;year&gt;2012&lt;/year&gt;&lt;pub-dates&gt;&lt;date&gt;Nov&lt;/date&gt;&lt;/pub-dates&gt;&lt;/dates&gt;&lt;isbn&gt;0032-4728 (Print)&amp;#xD;0032-4728&lt;/isbn&gt;&lt;accession-num&gt;22889178&lt;/accession-num&gt;&lt;urls&gt;&lt;/urls&gt;&lt;custom2&gt;PMC3479627&lt;/custom2&gt;&lt;electronic-resource-num&gt;10.1080/00324728.2012.697569&lt;/electronic-resource-num&gt;&lt;remote-database-provider&gt;NLM&lt;/remote-database-provider&gt;&lt;language&gt;eng&lt;/language&gt;&lt;/record&gt;&lt;/Cite&gt;&lt;/EndNote&gt;</w:instrText>
      </w:r>
      <w:r w:rsidR="003B5514">
        <w:fldChar w:fldCharType="separate"/>
      </w:r>
      <w:r w:rsidR="003B5514">
        <w:rPr>
          <w:noProof/>
        </w:rPr>
        <w:t>(Ní Bhrolcháin and Beaujouan 2012)</w:t>
      </w:r>
      <w:r w:rsidR="003B5514">
        <w:fldChar w:fldCharType="end"/>
      </w:r>
      <w:r w:rsidR="00BE71F8">
        <w:t xml:space="preserve"> and increased </w:t>
      </w:r>
      <w:r w:rsidR="00BE71F8" w:rsidRPr="00CF4CE4">
        <w:t xml:space="preserve">childlessness </w:t>
      </w:r>
      <w:r w:rsidR="003B1CE3">
        <w:fldChar w:fldCharType="begin"/>
      </w:r>
      <w:r w:rsidR="00975E04">
        <w:instrText xml:space="preserve"> ADDIN EN.CITE &lt;EndNote&gt;&lt;Cite&gt;&lt;Author&gt;Wood&lt;/Author&gt;&lt;Year&gt;2014&lt;/Year&gt;&lt;RecNum&gt;276&lt;/RecNum&gt;&lt;DisplayText&gt;(Wood, Neels and Kil 2014)&lt;/DisplayText&gt;&lt;record&gt;&lt;rec-number&gt;276&lt;/rec-number&gt;&lt;foreign-keys&gt;&lt;key app="EN" db-id="date2dst4vae0pe955kxa2tla9pzrxp00p95" timestamp="1685025231"&gt;276&lt;/key&gt;&lt;/foreign-keys&gt;&lt;ref-type name="Journal Article"&gt;17&lt;/ref-type&gt;&lt;contributors&gt;&lt;authors&gt;&lt;author&gt;Wood, Jonas&lt;/author&gt;&lt;author&gt;Neels, Karel&lt;/author&gt;&lt;author&gt;Kil, Tine&lt;/author&gt;&lt;/authors&gt;&lt;/contributors&gt;&lt;titles&gt;&lt;title&gt;The educational gradient of childlessness and cohort parity progression in 14 low fertility countries&lt;/title&gt;&lt;secondary-title&gt;Demographic Research&lt;/secondary-title&gt;&lt;/titles&gt;&lt;periodical&gt;&lt;full-title&gt;Demographic Research&lt;/full-title&gt;&lt;/periodical&gt;&lt;pages&gt;1365-1416&lt;/pages&gt;&lt;volume&gt;31&lt;/volume&gt;&lt;dates&gt;&lt;year&gt;2014&lt;/year&gt;&lt;/dates&gt;&lt;publisher&gt;Max-Planck-Gesellschaft zur Foerderung der Wissenschaften&lt;/publisher&gt;&lt;isbn&gt;14359871, 23637064&lt;/isbn&gt;&lt;urls&gt;&lt;/urls&gt;&lt;custom1&gt;Full publication date: JULY - DECEMBER 2014&lt;/custom1&gt;&lt;remote-database-name&gt;JSTOR&lt;/remote-database-name&gt;&lt;access-date&gt;2023/05/25/&lt;/access-date&gt;&lt;/record&gt;&lt;/Cite&gt;&lt;/EndNote&gt;</w:instrText>
      </w:r>
      <w:r w:rsidR="003B1CE3">
        <w:fldChar w:fldCharType="separate"/>
      </w:r>
      <w:r w:rsidR="00975E04">
        <w:rPr>
          <w:noProof/>
        </w:rPr>
        <w:t>(Wood, Neels and Kil 2014)</w:t>
      </w:r>
      <w:r w:rsidR="003B1CE3">
        <w:fldChar w:fldCharType="end"/>
      </w:r>
      <w:r w:rsidR="005E74B2">
        <w:t>.</w:t>
      </w:r>
      <w:r w:rsidR="00ED6E92">
        <w:t xml:space="preserve"> </w:t>
      </w:r>
      <w:r>
        <w:t xml:space="preserve">Because postponement shortens the </w:t>
      </w:r>
      <w:r w:rsidR="002A6024">
        <w:t xml:space="preserve">time </w:t>
      </w:r>
      <w:r>
        <w:t>window f</w:t>
      </w:r>
      <w:r w:rsidR="002A6024">
        <w:t>or</w:t>
      </w:r>
      <w:r>
        <w:t xml:space="preserve"> family formation,</w:t>
      </w:r>
      <w:r w:rsidR="00BE71F8">
        <w:t xml:space="preserve"> particularly for women, increased education</w:t>
      </w:r>
      <w:r>
        <w:t xml:space="preserve"> may lead to lower completed fertility</w:t>
      </w:r>
      <w:r w:rsidR="003B5514">
        <w:t xml:space="preserve"> </w:t>
      </w:r>
      <w:r w:rsidRPr="00CF4CE4">
        <w:fldChar w:fldCharType="begin">
          <w:fldData xml:space="preserve">PEVuZE5vdGU+PENpdGU+PEF1dGhvcj5Tb2JvdGthPC9BdXRob3I+PFllYXI+MjAxNzwvWWVhcj48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==
</w:fldData>
        </w:fldChar>
      </w:r>
      <w:r w:rsidR="00975E04">
        <w:instrText xml:space="preserve"> ADDIN EN.CITE </w:instrText>
      </w:r>
      <w:r w:rsidR="00975E04">
        <w:fldChar w:fldCharType="begin">
          <w:fldData xml:space="preserve">PEVuZE5vdGU+PENpdGU+PEF1dGhvcj5Tb2JvdGthPC9BdXRob3I+PFllYXI+MjAxNzwvWWVhcj48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==
</w:fldData>
        </w:fldChar>
      </w:r>
      <w:r w:rsidR="00975E04">
        <w:instrText xml:space="preserve"> ADDIN EN.CITE.DATA </w:instrText>
      </w:r>
      <w:r w:rsidR="00975E04">
        <w:fldChar w:fldCharType="end"/>
      </w:r>
      <w:r w:rsidRPr="00CF4CE4">
        <w:fldChar w:fldCharType="separate"/>
      </w:r>
      <w:r w:rsidR="00975E04">
        <w:rPr>
          <w:noProof/>
        </w:rPr>
        <w:t>(Kohler, Billari and Ortega 2002, Berrington, Stone and Beaujouan 2015, Sobotka, Beaujouan and Brzozowska 2017)</w:t>
      </w:r>
      <w:r w:rsidRPr="00CF4CE4">
        <w:fldChar w:fldCharType="end"/>
      </w:r>
      <w:r w:rsidR="00BE71F8">
        <w:t xml:space="preserve">. </w:t>
      </w:r>
      <w:r w:rsidR="00354A8D">
        <w:t xml:space="preserve">However, if births are squeezed into a shorter time span, those with </w:t>
      </w:r>
      <w:r w:rsidR="0015100A">
        <w:t>higher</w:t>
      </w:r>
      <w:r w:rsidR="00354A8D">
        <w:t xml:space="preserve"> education may</w:t>
      </w:r>
      <w:r w:rsidR="00694654">
        <w:t>,</w:t>
      </w:r>
      <w:r w:rsidR="00354A8D">
        <w:t xml:space="preserve"> in fact</w:t>
      </w:r>
      <w:r w:rsidR="00694654">
        <w:t>,</w:t>
      </w:r>
      <w:r w:rsidR="0015100A">
        <w:t xml:space="preserve"> transition more quickly to</w:t>
      </w:r>
      <w:r w:rsidR="00354A8D">
        <w:t xml:space="preserve"> second and higher order births</w:t>
      </w:r>
      <w:r w:rsidR="0015100A">
        <w:t xml:space="preserve"> and therefore have higher birth rates at these orders</w:t>
      </w:r>
      <w:r w:rsidR="00F2419F">
        <w:t xml:space="preserve"> </w:t>
      </w:r>
      <w:r w:rsidR="00F2419F">
        <w:fldChar w:fldCharType="begin">
          <w:fldData xml:space="preserve">PEVuZE5vdGU+PENpdGU+PEF1dGhvcj5CYXJ0dXM8L0F1dGhvcj48WWVhcj4yMDEzPC9ZZWFyPjxS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</w:fldData>
        </w:fldChar>
      </w:r>
      <w:r w:rsidR="00975E04">
        <w:instrText xml:space="preserve"> ADDIN EN.CITE </w:instrText>
      </w:r>
      <w:r w:rsidR="00975E04">
        <w:fldChar w:fldCharType="begin">
          <w:fldData xml:space="preserve">PEVuZE5vdGU+PENpdGU+PEF1dGhvcj5CYXJ0dXM8L0F1dGhvcj48WWVhcj4yMDEzPC9ZZWFyPjxS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</w:fldData>
        </w:fldChar>
      </w:r>
      <w:r w:rsidR="00975E04">
        <w:instrText xml:space="preserve"> ADDIN EN.CITE.DATA </w:instrText>
      </w:r>
      <w:r w:rsidR="00975E04">
        <w:fldChar w:fldCharType="end"/>
      </w:r>
      <w:r w:rsidR="00F2419F">
        <w:fldChar w:fldCharType="separate"/>
      </w:r>
      <w:r w:rsidR="00975E04">
        <w:rPr>
          <w:noProof/>
        </w:rPr>
        <w:t>(Frejka 2012, Bartus, Murinkó et al. 2013)</w:t>
      </w:r>
      <w:r w:rsidR="00F2419F">
        <w:fldChar w:fldCharType="end"/>
      </w:r>
      <w:r w:rsidR="00354A8D">
        <w:t>. Moreover, past research has identified selection effect</w:t>
      </w:r>
      <w:r w:rsidR="007B1A65">
        <w:t>s</w:t>
      </w:r>
      <w:r w:rsidR="00354A8D">
        <w:t xml:space="preserve"> whereby those women with high levels of education who become parent</w:t>
      </w:r>
      <w:r w:rsidR="0015100A">
        <w:t>s</w:t>
      </w:r>
      <w:r w:rsidR="00354A8D">
        <w:t xml:space="preserve"> are more selective of traits</w:t>
      </w:r>
      <w:r w:rsidR="00ED6E92">
        <w:t>,</w:t>
      </w:r>
      <w:r w:rsidR="00354A8D">
        <w:t xml:space="preserve"> including being more family oriented, mean</w:t>
      </w:r>
      <w:r w:rsidR="00694654">
        <w:t>ing</w:t>
      </w:r>
      <w:r w:rsidR="00354A8D">
        <w:t xml:space="preserve"> that they are more likely to progress to the next birth </w:t>
      </w:r>
      <w:r w:rsidR="00F365C4">
        <w:fldChar w:fldCharType="begin"/>
      </w:r>
      <w:r w:rsidR="00F365C4">
        <w:instrText xml:space="preserve"> ADDIN EN.CITE &lt;EndNote&gt;&lt;Cite&gt;&lt;Author&gt;Kreyenfeld&lt;/Author&gt;&lt;Year&gt;2002&lt;/Year&gt;&lt;RecNum&gt;283&lt;/RecNum&gt;&lt;DisplayText&gt;(Kreyenfeld 2002)&lt;/DisplayText&gt;&lt;record&gt;&lt;rec-number&gt;283&lt;/rec-number&gt;&lt;foreign-keys&gt;&lt;key app="EN" db-id="sde5vef9krws0aere98vvf0wawszed5rzw2t" timestamp="1693999725"&gt;283&lt;/key&gt;&lt;/foreign-keys&gt;&lt;ref-type name="Journal Article"&gt;17&lt;/ref-type&gt;&lt;contributors&gt;&lt;authors&gt;&lt;author&gt;Kreyenfeld, Michaela&lt;/author&gt;&lt;/authors&gt;&lt;/contributors&gt;&lt;titles&gt;&lt;title&gt;Time Squeeze, Partner Effect or Self-Selection?: An Investigation into the Positive Effect of Women’s Education on Second Birth Risks in West Germany&lt;/title&gt;&lt;secondary-title&gt;Demographic Research&lt;/secondary-title&gt;&lt;/titles&gt;&lt;periodical&gt;&lt;full-title&gt;Demographic Research&lt;/full-title&gt;&lt;/periodical&gt;&lt;pages&gt;15-48&lt;/pages&gt;&lt;volume&gt;7&lt;/volume&gt;&lt;number&gt;2&lt;/number&gt;&lt;dates&gt;&lt;year&gt;2002&lt;/year&gt;&lt;/dates&gt;&lt;isbn&gt;1435-9871&lt;/isbn&gt;&lt;urls&gt;&lt;related-urls&gt;&lt;url&gt;https://www.demographic-research.org/volumes/vol7/2/&lt;/url&gt;&lt;url&gt;https://www.demographic-research.org/volumes/vol7/2/7-2.pdf&lt;/url&gt;&lt;/related-urls&gt;&lt;/urls&gt;&lt;/record&gt;&lt;/Cite&gt;&lt;/EndNote&gt;</w:instrText>
      </w:r>
      <w:r w:rsidR="00F365C4">
        <w:fldChar w:fldCharType="separate"/>
      </w:r>
      <w:r w:rsidR="00F365C4">
        <w:rPr>
          <w:noProof/>
        </w:rPr>
        <w:t>(Kreyenfeld 2002)</w:t>
      </w:r>
      <w:r w:rsidR="00F365C4">
        <w:fldChar w:fldCharType="end"/>
      </w:r>
      <w:r w:rsidR="00354A8D">
        <w:t xml:space="preserve">.  </w:t>
      </w:r>
    </w:p>
    <w:p w14:paraId="0C931F3C" w14:textId="40383161" w:rsidR="00C12DC2" w:rsidRPr="005B0BBC" w:rsidRDefault="00A13B57" w:rsidP="0037557C">
      <w:pPr>
        <w:pStyle w:val="Heading4"/>
      </w:pPr>
      <w:r>
        <w:t xml:space="preserve">2.1.1 </w:t>
      </w:r>
      <w:r w:rsidR="009242A2">
        <w:t>Education</w:t>
      </w:r>
      <w:r w:rsidR="0068486B">
        <w:t>, childlessness,</w:t>
      </w:r>
      <w:r w:rsidR="009242A2">
        <w:t xml:space="preserve"> and p</w:t>
      </w:r>
      <w:r w:rsidR="00C12DC2" w:rsidRPr="005B0BBC">
        <w:t>rogression to first birth</w:t>
      </w:r>
    </w:p>
    <w:p w14:paraId="5C413920" w14:textId="748EE772" w:rsidR="00223734" w:rsidRDefault="365D34CD" w:rsidP="008D1A2D">
      <w:pPr>
        <w:spacing w:line="480" w:lineRule="auto"/>
      </w:pPr>
      <w:r>
        <w:t xml:space="preserve">Becoming a parent generally happens at a later age for those with </w:t>
      </w:r>
      <w:r w:rsidR="00704FBC">
        <w:t>higher</w:t>
      </w:r>
      <w:r>
        <w:t xml:space="preserve"> levels of education due to both an enrol</w:t>
      </w:r>
      <w:r w:rsidR="00E459CE">
        <w:t>l</w:t>
      </w:r>
      <w:r>
        <w:t>ment and attainment effect. Role incompatibility between being a student and parent means that longer enrol</w:t>
      </w:r>
      <w:r w:rsidR="00E459CE">
        <w:t>l</w:t>
      </w:r>
      <w:r>
        <w:t xml:space="preserve">ment in education postpones the transition to parenthood </w:t>
      </w:r>
      <w:r w:rsidR="001C2A5D">
        <w:t xml:space="preserve"> </w:t>
      </w:r>
      <w:bookmarkStart w:id="3" w:name="_Hlk170201219"/>
      <w:r w:rsidR="001C2A5D">
        <w:fldChar w:fldCharType="begin">
          <w:fldData xml:space="preserve">PEVuZE5vdGU+PENpdGU+PEF1dGhvcj5Ow60gQmhyb2xjaMOhaW48L0F1dGhvcj48WWVhcj4yMDEy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==
</w:fldData>
        </w:fldChar>
      </w:r>
      <w:r w:rsidR="004F110B">
        <w:instrText xml:space="preserve"> ADDIN EN.CITE </w:instrText>
      </w:r>
      <w:r w:rsidR="004F110B">
        <w:fldChar w:fldCharType="begin">
          <w:fldData xml:space="preserve">PEVuZE5vdGU+PENpdGU+PEF1dGhvcj5Ow60gQmhyb2xjaMOhaW48L0F1dGhvcj48WWVhcj4yMDEy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==
</w:fldData>
        </w:fldChar>
      </w:r>
      <w:r w:rsidR="004F110B">
        <w:instrText xml:space="preserve"> ADDIN EN.CITE.DATA </w:instrText>
      </w:r>
      <w:r w:rsidR="004F110B">
        <w:fldChar w:fldCharType="end"/>
      </w:r>
      <w:r w:rsidR="001C2A5D">
        <w:fldChar w:fldCharType="separate"/>
      </w:r>
      <w:r w:rsidR="004F110B">
        <w:rPr>
          <w:noProof/>
        </w:rPr>
        <w:t>(Blossfeld and Huinink 1991, Ní Bhrolcháin and Beaujouan 2012, Vasireddy, Berrington et al. 2023)</w:t>
      </w:r>
      <w:r w:rsidR="001C2A5D">
        <w:fldChar w:fldCharType="end"/>
      </w:r>
      <w:bookmarkEnd w:id="3"/>
      <w:r>
        <w:t>.</w:t>
      </w:r>
      <w:r w:rsidRPr="6626A037">
        <w:rPr>
          <w:color w:val="FF0000"/>
        </w:rPr>
        <w:t xml:space="preserve"> </w:t>
      </w:r>
      <w:r>
        <w:t xml:space="preserve">At the same time, </w:t>
      </w:r>
      <w:r w:rsidR="6B55E158">
        <w:t xml:space="preserve">a reverse causation may exist whereby </w:t>
      </w:r>
      <w:r>
        <w:t xml:space="preserve">becoming a parent at a young age can curtail educational </w:t>
      </w:r>
      <w:r w:rsidR="2DD30CD0">
        <w:t>progression</w:t>
      </w:r>
      <w:r w:rsidR="44EEEA20">
        <w:t xml:space="preserve"> </w:t>
      </w:r>
      <w:r w:rsidR="002476EB">
        <w:fldChar w:fldCharType="begin">
          <w:fldData xml:space="preserve">PEVuZE5vdGU+PENpdGU+PEF1dGhvcj5UaW1hZXVzPC9BdXRob3I+PFllYXI+MjAxNTwvWWVhcj48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</w:fldData>
        </w:fldChar>
      </w:r>
      <w:r w:rsidR="002476EB">
        <w:instrText xml:space="preserve"> ADDIN EN.CITE </w:instrText>
      </w:r>
      <w:r w:rsidR="002476EB">
        <w:fldChar w:fldCharType="begin">
          <w:fldData xml:space="preserve">PEVuZE5vdGU+PENpdGU+PEF1dGhvcj5UaW1hZXVzPC9BdXRob3I+PFllYXI+MjAxNTwvWWVhcj48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</w:fldData>
        </w:fldChar>
      </w:r>
      <w:r w:rsidR="002476EB">
        <w:instrText xml:space="preserve"> ADDIN EN.CITE.DATA </w:instrText>
      </w:r>
      <w:r w:rsidR="002476EB">
        <w:fldChar w:fldCharType="end"/>
      </w:r>
      <w:r w:rsidR="002476EB">
        <w:fldChar w:fldCharType="separate"/>
      </w:r>
      <w:r w:rsidR="002476EB">
        <w:rPr>
          <w:noProof/>
        </w:rPr>
        <w:t>(Timaeus and Moultrie 2015, Gorry 2019)</w:t>
      </w:r>
      <w:r w:rsidR="002476EB">
        <w:fldChar w:fldCharType="end"/>
      </w:r>
      <w:r>
        <w:t xml:space="preserve">. </w:t>
      </w:r>
      <w:r w:rsidR="44EEEA20">
        <w:t xml:space="preserve">Higher levels of </w:t>
      </w:r>
      <w:r w:rsidR="11686F67">
        <w:t xml:space="preserve">educational attainment </w:t>
      </w:r>
      <w:r w:rsidR="44EEEA20">
        <w:t>are</w:t>
      </w:r>
      <w:r w:rsidR="11686F67">
        <w:t xml:space="preserve"> associated with increased levels of childlessness and postponement of first birth</w:t>
      </w:r>
      <w:r w:rsidR="44EEEA20">
        <w:t xml:space="preserve"> as a result of economic, structural</w:t>
      </w:r>
      <w:r w:rsidR="2DD30CD0">
        <w:t>,</w:t>
      </w:r>
      <w:r w:rsidR="44EEEA20">
        <w:t xml:space="preserve"> and ideational factors</w:t>
      </w:r>
      <w:r w:rsidR="11686F67">
        <w:t xml:space="preserve">. </w:t>
      </w:r>
      <w:r>
        <w:t>Micro-economic theory argues that higher education</w:t>
      </w:r>
      <w:r w:rsidR="2FFB0DFE">
        <w:t>al</w:t>
      </w:r>
      <w:r>
        <w:t xml:space="preserve"> attainment increases both the labor force participation and earning potential of women, thus raising the economic opportunity costs of </w:t>
      </w:r>
      <w:r w:rsidR="2FFB0DFE">
        <w:t>childbearing</w:t>
      </w:r>
      <w:r>
        <w:t xml:space="preserve"> </w:t>
      </w:r>
      <w:r w:rsidR="0025140B">
        <w:fldChar w:fldCharType="begin"/>
      </w:r>
      <w:r w:rsidR="0025140B">
        <w:instrText xml:space="preserve"> ADDIN EN.CITE &lt;EndNote&gt;&lt;Cite&gt;&lt;Author&gt;Becker&lt;/Author&gt;&lt;Year&gt;1981&lt;/Year&gt;&lt;RecNum&gt;53&lt;/RecNum&gt;&lt;DisplayText&gt;(Becker 1981)&lt;/DisplayText&gt;&lt;record&gt;&lt;rec-number&gt;53&lt;/rec-number&gt;&lt;foreign-keys&gt;&lt;key app="EN" db-id="date2dst4vae0pe955kxa2tla9pzrxp00p95" timestamp="1665058335"&gt;53&lt;/key&gt;&lt;/foreign-keys&gt;&lt;ref-type name="Generic"&gt;13&lt;/ref-type&gt;&lt;contributors&gt;&lt;authors&gt;&lt;author&gt;Becker, Gary&lt;/author&gt;&lt;/authors&gt;&lt;/contributors&gt;&lt;titles&gt;&lt;title&gt;A treatise on marriage&lt;/title&gt;&lt;/titles&gt;&lt;dates&gt;&lt;year&gt;1981&lt;/year&gt;&lt;/dates&gt;&lt;publisher&gt;Cambridge: Harvard University Press&lt;/publisher&gt;&lt;urls&gt;&lt;/urls&gt;&lt;/record&gt;&lt;/Cite&gt;&lt;/EndNote&gt;</w:instrText>
      </w:r>
      <w:r w:rsidR="0025140B">
        <w:fldChar w:fldCharType="separate"/>
      </w:r>
      <w:r w:rsidR="0025140B">
        <w:rPr>
          <w:noProof/>
        </w:rPr>
        <w:t>(Becker 1981)</w:t>
      </w:r>
      <w:r w:rsidR="0025140B">
        <w:fldChar w:fldCharType="end"/>
      </w:r>
      <w:r>
        <w:t>.</w:t>
      </w:r>
      <w:r w:rsidR="007971C8">
        <w:t xml:space="preserve"> </w:t>
      </w:r>
      <w:r>
        <w:t>Thus</w:t>
      </w:r>
      <w:r w:rsidR="29E01EA8">
        <w:t>,</w:t>
      </w:r>
      <w:r>
        <w:t xml:space="preserve"> more educated women tend to delay childbearing to a time</w:t>
      </w:r>
      <w:r w:rsidR="2DD30CD0">
        <w:t xml:space="preserve"> they perceive would be less disruptive to their careers </w:t>
      </w:r>
      <w:r w:rsidRPr="000A68F6">
        <w:t>o</w:t>
      </w:r>
      <w:r w:rsidRPr="00271473">
        <w:t>r</w:t>
      </w:r>
      <w:r>
        <w:t xml:space="preserve"> forego childbearing altogether.</w:t>
      </w:r>
      <w:r w:rsidR="007971C8">
        <w:t xml:space="preserve"> </w:t>
      </w:r>
      <w:r w:rsidR="2FFB0DFE">
        <w:t>Moreover,</w:t>
      </w:r>
      <w:r w:rsidR="44EEEA20">
        <w:t xml:space="preserve"> highly educated women may have more trouble finding a partner with the desired educational attainment and financial resources due to a smaller pool of potential partners compared to women with low </w:t>
      </w:r>
      <w:r w:rsidR="00130896">
        <w:t>and</w:t>
      </w:r>
      <w:r w:rsidR="44EEEA20">
        <w:t xml:space="preserve"> medium education</w:t>
      </w:r>
      <w:r w:rsidR="006F61E7">
        <w:t xml:space="preserve"> </w:t>
      </w:r>
      <w:r w:rsidR="006F61E7">
        <w:fldChar w:fldCharType="begin"/>
      </w:r>
      <w:r w:rsidR="006F61E7">
        <w:instrText xml:space="preserve"> ADDIN EN.CITE &lt;EndNote&gt;&lt;Cite&gt;&lt;Author&gt;Grow&lt;/Author&gt;&lt;Year&gt;2015&lt;/Year&gt;&lt;RecNum&gt;10&lt;/RecNum&gt;&lt;DisplayText&gt;(Grow and Van Bavel 2015, Chudnovskaya and Kashyap 2019)&lt;/DisplayText&gt;&lt;record&gt;&lt;rec-number&gt;10&lt;/rec-number&gt;&lt;foreign-keys&gt;&lt;key app="EN" db-id="t0d2rtwwqa5wa5e5vd9pw0fce5fwavsavsfx" timestamp="1706870252"&gt;10&lt;/key&gt;&lt;/foreign-keys&gt;&lt;ref-type name="Journal Article"&gt;17&lt;/ref-type&gt;&lt;contributors&gt;&lt;authors&gt;&lt;author&gt;Grow, André&lt;/author&gt;&lt;author&gt;Van Bavel, Jan&lt;/author&gt;&lt;/authors&gt;&lt;/contributors&gt;&lt;titles&gt;&lt;title&gt;Assortative Mating and the Reversal of Gender Inequality in Education in Europe: An Agent-Based Model&lt;/title&gt;&lt;secondary-title&gt;PLOS ONE&lt;/secondary-title&gt;&lt;/titles&gt;&lt;volume&gt;10&lt;/volume&gt;&lt;number&gt;6&lt;/number&gt;&lt;dates&gt;&lt;year&gt;2015&lt;/year&gt;&lt;/dates&gt;&lt;publisher&gt;Public Library of Science&lt;/publisher&gt;&lt;urls&gt;&lt;related-urls&gt;&lt;url&gt;https://doi.org/10.1371/journal.pone.0127806&lt;/url&gt;&lt;/related-urls&gt;&lt;/urls&gt;&lt;/record&gt;&lt;/Cite&gt;&lt;Cite&gt;&lt;Author&gt;Chudnovskaya&lt;/Author&gt;&lt;Year&gt;2019&lt;/Year&gt;&lt;RecNum&gt;9&lt;/RecNum&gt;&lt;record&gt;&lt;rec-number&gt;9&lt;/rec-number&gt;&lt;foreign-keys&gt;&lt;key app="EN" db-id="t0d2rtwwqa5wa5e5vd9pw0fce5fwavsavsfx" timestamp="1706870252"&gt;9&lt;/key&gt;&lt;/foreign-keys&gt;&lt;ref-type name="Journal Article"&gt;17&lt;/ref-type&gt;&lt;contributors&gt;&lt;authors&gt;&lt;author&gt;Chudnovskaya, Margarita&lt;/author&gt;&lt;author&gt;Kashyap, Ridhi&lt;/author&gt;&lt;/authors&gt;&lt;/contributors&gt;&lt;titles&gt;&lt;title&gt;Is the End of Educational Hypergamy the End of Status Hypergamy? Evidence from Sweden&lt;/title&gt;&lt;secondary-title&gt;European Sociological Review&lt;/secondary-title&gt;&lt;/titles&gt;&lt;pages&gt;351-365&lt;/pages&gt;&lt;volume&gt;36&lt;/volume&gt;&lt;number&gt;3&lt;/number&gt;&lt;dates&gt;&lt;year&gt;2019&lt;/year&gt;&lt;/dates&gt;&lt;isbn&gt;0266-7215&lt;/isbn&gt;&lt;urls&gt;&lt;related-urls&gt;&lt;url&gt;https://doi.org/10.1093/esr/jcz065&lt;/url&gt;&lt;/related-urls&gt;&lt;/urls&gt;&lt;access-date&gt;9/6/2023&lt;/access-date&gt;&lt;/record&gt;&lt;/Cite&gt;&lt;/EndNote&gt;</w:instrText>
      </w:r>
      <w:r w:rsidR="006F61E7">
        <w:fldChar w:fldCharType="separate"/>
      </w:r>
      <w:r w:rsidR="006F61E7">
        <w:rPr>
          <w:noProof/>
        </w:rPr>
        <w:t>(Grow and Van Bavel 2015, Chudnovskaya and Kashyap 2019)</w:t>
      </w:r>
      <w:r w:rsidR="006F61E7">
        <w:fldChar w:fldCharType="end"/>
      </w:r>
      <w:r w:rsidR="00DE61B3">
        <w:t xml:space="preserve"> </w:t>
      </w:r>
      <w:r w:rsidR="44EEEA20">
        <w:t xml:space="preserve">which can also postpone or depress fertility.  </w:t>
      </w:r>
    </w:p>
    <w:p w14:paraId="7A5DA2C3" w14:textId="3F992D7E" w:rsidR="008D1A2D" w:rsidRDefault="11686F67" w:rsidP="008D1A2D">
      <w:pPr>
        <w:spacing w:line="480" w:lineRule="auto"/>
      </w:pPr>
      <w:r>
        <w:t xml:space="preserve">Second Demographic Transition theory </w:t>
      </w:r>
      <w:r w:rsidR="44EEEA20">
        <w:t xml:space="preserve">focuses on the role </w:t>
      </w:r>
      <w:r w:rsidR="00504AFB">
        <w:t xml:space="preserve">of high </w:t>
      </w:r>
      <w:r w:rsidR="44EEEA20">
        <w:t>education in encouraging ideational change and the acceptance of childlessness.</w:t>
      </w:r>
      <w:r w:rsidR="007971C8">
        <w:t xml:space="preserve"> </w:t>
      </w:r>
      <w:r w:rsidR="2DD30CD0">
        <w:t>The elite and h</w:t>
      </w:r>
      <w:r>
        <w:t xml:space="preserve">ighly educated are more likely to postpone </w:t>
      </w:r>
      <w:r w:rsidR="007971C8">
        <w:t xml:space="preserve">or forego </w:t>
      </w:r>
      <w:r>
        <w:t>childbearing due to a</w:t>
      </w:r>
      <w:r w:rsidR="2FFB0DFE">
        <w:t xml:space="preserve"> prioritization of </w:t>
      </w:r>
      <w:r>
        <w:t>self-actualization and individual autonomy</w:t>
      </w:r>
      <w:r w:rsidR="44EEEA20">
        <w:t xml:space="preserve"> </w:t>
      </w:r>
      <w:r w:rsidR="00C12DC2">
        <w:fldChar w:fldCharType="begin"/>
      </w:r>
      <w:r w:rsidR="00975E04">
        <w:instrText xml:space="preserve"> ADDIN EN.CITE &lt;EndNote&gt;&lt;Cite&gt;&lt;Author&gt;Maslow&lt;/Author&gt;&lt;Year&gt;1943&lt;/Year&gt;&lt;RecNum&gt;206&lt;/RecNum&gt;&lt;DisplayText&gt;(Maslow 1943, Lesthaeghe 2010)&lt;/DisplayText&gt;&lt;record&gt;&lt;rec-number&gt;206&lt;/rec-number&gt;&lt;foreign-keys&gt;&lt;key app="EN" db-id="sde5vef9krws0aere98vvf0wawszed5rzw2t" timestamp="1635779851" guid="4e123da1-6c48-4b49-9ba9-e21b4265d48c"&gt;206&lt;/key&gt;&lt;/foreign-keys&gt;&lt;ref-type name="Journal Article"&gt;17&lt;/ref-type&gt;&lt;contributors&gt;&lt;authors&gt;&lt;author&gt;Maslow, A. H.&lt;/author&gt;&lt;/authors&gt;&lt;/contributors&gt;&lt;titles&gt;&lt;title&gt;A theory of human motivation&lt;/title&gt;&lt;secondary-title&gt;Psychological Review&lt;/secondary-title&gt;&lt;/titles&gt;&lt;periodical&gt;&lt;full-title&gt;Psychological Review&lt;/full-title&gt;&lt;/periodical&gt;&lt;pages&gt;370-396&lt;/pages&gt;&lt;volume&gt;50&lt;/volume&gt;&lt;dates&gt;&lt;year&gt;1943&lt;/year&gt;&lt;/dates&gt;&lt;urls&gt;&lt;/urls&gt;&lt;/record&gt;&lt;/Cite&gt;&lt;Cite&gt;&lt;Author&gt;Lesthaeghe&lt;/Author&gt;&lt;Year&gt;2010&lt;/Year&gt;&lt;RecNum&gt;202&lt;/RecNum&gt;&lt;record&gt;&lt;rec-number&gt;202&lt;/rec-number&gt;&lt;foreign-keys&gt;&lt;key app="EN" db-id="date2dst4vae0pe955kxa2tla9pzrxp00p95" timestamp="1665058561"&gt;202&lt;/key&gt;&lt;/foreign-keys&gt;&lt;ref-type name="Journal Article"&gt;17&lt;/ref-type&gt;&lt;contributors&gt;&lt;authors&gt;&lt;author&gt;Lesthaeghe, Ron&lt;/author&gt;&lt;/authors&gt;&lt;/contributors&gt;&lt;titles&gt;&lt;title&gt;The Unfolding Story of the Second Demographic Transition&lt;/title&gt;&lt;secondary-title&gt;Population and Development Review&lt;/secondary-title&gt;&lt;/titles&gt;&lt;periodical&gt;&lt;full-title&gt;Population and Development Review&lt;/full-title&gt;&lt;/periodical&gt;&lt;pages&gt;211-251&lt;/pages&gt;&lt;volume&gt;36&lt;/volume&gt;&lt;number&gt;2&lt;/number&gt;&lt;dates&gt;&lt;year&gt;2010&lt;/year&gt;&lt;pub-dates&gt;&lt;date&gt;2010/06/01&lt;/date&gt;&lt;/pub-dates&gt;&lt;/dates&gt;&lt;publisher&gt;John Wiley &amp;amp; Sons, Ltd&lt;/publisher&gt;&lt;isbn&gt;0098-7921&lt;/isbn&gt;&lt;work-type&gt;https://doi.org/10.1111/j.1728-4457.2010.00328.x&lt;/work-type&gt;&lt;urls&gt;&lt;related-urls&gt;&lt;url&gt;https://doi.org/10.1111/j.1728-4457.2010.00328.x&lt;/url&gt;&lt;/related-urls&gt;&lt;/urls&gt;&lt;electronic-resource-num&gt;https://doi.org/10.1111/j.1728-4457.2010.00328.x&lt;/electronic-resource-num&gt;&lt;access-date&gt;2021/06/25&lt;/access-date&gt;&lt;/record&gt;&lt;/Cite&gt;&lt;/EndNote&gt;</w:instrText>
      </w:r>
      <w:r w:rsidR="00C12DC2">
        <w:fldChar w:fldCharType="separate"/>
      </w:r>
      <w:r w:rsidR="00400942">
        <w:rPr>
          <w:noProof/>
        </w:rPr>
        <w:t>(Maslow 1943, Lesthaeghe 2010)</w:t>
      </w:r>
      <w:r w:rsidR="00C12DC2">
        <w:fldChar w:fldCharType="end"/>
      </w:r>
      <w:r>
        <w:t xml:space="preserve">. </w:t>
      </w:r>
      <w:r w:rsidR="44EEEA20">
        <w:t>E</w:t>
      </w:r>
      <w:r>
        <w:t xml:space="preserve">xpectations and authority of the family, state, patriarchy, and church are rejected in favor of personal preferences </w:t>
      </w:r>
      <w:r w:rsidR="00C12DC2">
        <w:fldChar w:fldCharType="begin">
          <w:fldData xml:space="preserve">PEVuZE5vdGU+PENpdGU+PEF1dGhvcj5TdXJreW48L0F1dGhvcj48WWVhcj4yMDA0PC9ZZWFyPjxS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=
</w:fldData>
        </w:fldChar>
      </w:r>
      <w:r w:rsidR="00975E04">
        <w:instrText xml:space="preserve"> ADDIN EN.CITE </w:instrText>
      </w:r>
      <w:r w:rsidR="00975E04">
        <w:fldChar w:fldCharType="begin">
          <w:fldData xml:space="preserve">PEVuZE5vdGU+PENpdGU+PEF1dGhvcj5TdXJreW48L0F1dGhvcj48WWVhcj4yMDA0PC9ZZWFyPjxS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=
</w:fldData>
        </w:fldChar>
      </w:r>
      <w:r w:rsidR="00975E04">
        <w:instrText xml:space="preserve"> ADDIN EN.CITE.DATA </w:instrText>
      </w:r>
      <w:r w:rsidR="00975E04">
        <w:fldChar w:fldCharType="end"/>
      </w:r>
      <w:r w:rsidR="00C12DC2">
        <w:fldChar w:fldCharType="separate"/>
      </w:r>
      <w:r w:rsidR="00400942">
        <w:rPr>
          <w:noProof/>
        </w:rPr>
        <w:t>(Surkyn and Lesthaeghe 2004, Lesthaeghe 2010)</w:t>
      </w:r>
      <w:r w:rsidR="00C12DC2">
        <w:fldChar w:fldCharType="end"/>
      </w:r>
      <w:r>
        <w:t xml:space="preserve">. </w:t>
      </w:r>
    </w:p>
    <w:p w14:paraId="252BCFFF" w14:textId="7F8C21E6" w:rsidR="00C12DC2" w:rsidRPr="00A13B57" w:rsidRDefault="00A13B57" w:rsidP="0037557C">
      <w:pPr>
        <w:pStyle w:val="Heading4"/>
      </w:pPr>
      <w:r>
        <w:t xml:space="preserve">2.1.2 </w:t>
      </w:r>
      <w:r w:rsidR="009242A2">
        <w:t>Education and p</w:t>
      </w:r>
      <w:r w:rsidR="0019193E" w:rsidRPr="00A13B57">
        <w:t>rogression to second birth</w:t>
      </w:r>
    </w:p>
    <w:p w14:paraId="1C3FF46C" w14:textId="2951FB60" w:rsidR="000726D3" w:rsidRDefault="31B49F20" w:rsidP="0019193E">
      <w:pPr>
        <w:spacing w:line="480" w:lineRule="auto"/>
        <w:rPr>
          <w:lang w:val="en-GB"/>
        </w:rPr>
      </w:pPr>
      <w:r w:rsidRPr="6626A037">
        <w:rPr>
          <w:lang w:val="en-GB"/>
        </w:rPr>
        <w:t>There are</w:t>
      </w:r>
      <w:r w:rsidR="00504AFB">
        <w:rPr>
          <w:lang w:val="en-GB"/>
        </w:rPr>
        <w:t xml:space="preserve"> several </w:t>
      </w:r>
      <w:r w:rsidRPr="6626A037">
        <w:rPr>
          <w:lang w:val="en-GB"/>
        </w:rPr>
        <w:t>reasons why educational differences in</w:t>
      </w:r>
      <w:r w:rsidR="2DD30CD0" w:rsidRPr="6626A037">
        <w:rPr>
          <w:lang w:val="en-GB"/>
        </w:rPr>
        <w:t xml:space="preserve"> the</w:t>
      </w:r>
      <w:r w:rsidRPr="6626A037">
        <w:rPr>
          <w:lang w:val="en-GB"/>
        </w:rPr>
        <w:t xml:space="preserve"> transition to second birth are likely to be small</w:t>
      </w:r>
      <w:r w:rsidR="007971C8">
        <w:rPr>
          <w:lang w:val="en-GB"/>
        </w:rPr>
        <w:t>,</w:t>
      </w:r>
      <w:r w:rsidRPr="6626A037">
        <w:rPr>
          <w:lang w:val="en-GB"/>
        </w:rPr>
        <w:t xml:space="preserve"> as was found for the UK</w:t>
      </w:r>
      <w:r w:rsidR="007971C8">
        <w:rPr>
          <w:lang w:val="en-GB"/>
        </w:rPr>
        <w:t xml:space="preserve"> by</w:t>
      </w:r>
      <w:r w:rsidRPr="6626A037">
        <w:rPr>
          <w:lang w:val="en-GB"/>
        </w:rPr>
        <w:t xml:space="preserve"> </w:t>
      </w:r>
      <w:r w:rsidR="007971C8">
        <w:rPr>
          <w:lang w:val="en-GB"/>
        </w:rPr>
        <w:fldChar w:fldCharType="begin"/>
      </w:r>
      <w:r w:rsidR="007971C8">
        <w:rPr>
          <w:lang w:val="en-GB"/>
        </w:rPr>
        <w:instrText xml:space="preserve"> ADDIN EN.CITE &lt;EndNote&gt;&lt;Cite AuthorYear="1"&gt;&lt;Author&gt;Wood&lt;/Author&gt;&lt;Year&gt;2014&lt;/Year&gt;&lt;RecNum&gt;276&lt;/RecNum&gt;&lt;DisplayText&gt;Wood, Neels and Kil (2014)&lt;/DisplayText&gt;&lt;record&gt;&lt;rec-number&gt;276&lt;/rec-number&gt;&lt;foreign-keys&gt;&lt;key app="EN" db-id="date2dst4vae0pe955kxa2tla9pzrxp00p95" timestamp="1685025231"&gt;276&lt;/key&gt;&lt;/foreign-keys&gt;&lt;ref-type name="Journal Article"&gt;17&lt;/ref-type&gt;&lt;contributors&gt;&lt;authors&gt;&lt;author&gt;Wood, Jonas&lt;/author&gt;&lt;author&gt;Neels, Karel&lt;/author&gt;&lt;author&gt;Kil, Tine&lt;/author&gt;&lt;/authors&gt;&lt;/contributors&gt;&lt;titles&gt;&lt;title&gt;The educational gradient of childlessness and cohort parity progression in 14 low fertility countries&lt;/title&gt;&lt;secondary-title&gt;Demographic Research&lt;/secondary-title&gt;&lt;/titles&gt;&lt;periodical&gt;&lt;full-title&gt;Demographic Research&lt;/full-title&gt;&lt;/periodical&gt;&lt;pages&gt;1365-1416&lt;/pages&gt;&lt;volume&gt;31&lt;/volume&gt;&lt;dates&gt;&lt;year&gt;2014&lt;/year&gt;&lt;/dates&gt;&lt;publisher&gt;Max-Planck-Gesellschaft zur Foerderung der Wissenschaften&lt;/publisher&gt;&lt;isbn&gt;14359871, 23637064&lt;/isbn&gt;&lt;urls&gt;&lt;/urls&gt;&lt;custom1&gt;Full publication date: JULY - DECEMBER 2014&lt;/custom1&gt;&lt;remote-database-name&gt;JSTOR&lt;/remote-database-name&gt;&lt;access-date&gt;2023/05/25/&lt;/access-date&gt;&lt;/record&gt;&lt;/Cite&gt;&lt;/EndNote&gt;</w:instrText>
      </w:r>
      <w:r w:rsidR="007971C8">
        <w:rPr>
          <w:lang w:val="en-GB"/>
        </w:rPr>
        <w:fldChar w:fldCharType="separate"/>
      </w:r>
      <w:r w:rsidR="007971C8">
        <w:rPr>
          <w:noProof/>
          <w:lang w:val="en-GB"/>
        </w:rPr>
        <w:t>Wood, Neels and Kil (2014)</w:t>
      </w:r>
      <w:r w:rsidR="007971C8">
        <w:rPr>
          <w:lang w:val="en-GB"/>
        </w:rPr>
        <w:fldChar w:fldCharType="end"/>
      </w:r>
      <w:r w:rsidR="007971C8">
        <w:rPr>
          <w:lang w:val="en-GB"/>
        </w:rPr>
        <w:t xml:space="preserve">. </w:t>
      </w:r>
      <w:r w:rsidR="008F49CD">
        <w:rPr>
          <w:lang w:val="en-GB"/>
        </w:rPr>
        <w:t>Firstly, there remains a</w:t>
      </w:r>
      <w:r w:rsidR="001254D4">
        <w:rPr>
          <w:lang w:val="en-GB"/>
        </w:rPr>
        <w:t xml:space="preserve"> </w:t>
      </w:r>
      <w:r w:rsidRPr="6626A037">
        <w:rPr>
          <w:lang w:val="en-GB"/>
        </w:rPr>
        <w:t>strong two</w:t>
      </w:r>
      <w:r w:rsidR="001254D4">
        <w:rPr>
          <w:lang w:val="en-GB"/>
        </w:rPr>
        <w:t>-</w:t>
      </w:r>
      <w:r w:rsidRPr="6626A037">
        <w:rPr>
          <w:lang w:val="en-GB"/>
        </w:rPr>
        <w:t xml:space="preserve">child norm </w:t>
      </w:r>
      <w:r w:rsidR="008F49CD">
        <w:rPr>
          <w:lang w:val="en-GB"/>
        </w:rPr>
        <w:t>in the UK</w:t>
      </w:r>
      <w:r w:rsidRPr="6626A037">
        <w:rPr>
          <w:lang w:val="en-GB"/>
        </w:rPr>
        <w:t xml:space="preserve"> </w:t>
      </w:r>
      <w:r w:rsidR="009B1336">
        <w:rPr>
          <w:lang w:val="en-GB"/>
        </w:rPr>
        <w:fldChar w:fldCharType="begin"/>
      </w:r>
      <w:r w:rsidR="009B1336">
        <w:rPr>
          <w:lang w:val="en-GB"/>
        </w:rPr>
        <w:instrText xml:space="preserve"> ADDIN EN.CITE &lt;EndNote&gt;&lt;Cite&gt;&lt;Author&gt;Sobotka&lt;/Author&gt;&lt;Year&gt;2014&lt;/Year&gt;&lt;RecNum&gt;294&lt;/RecNum&gt;&lt;DisplayText&gt;(Sobotka and Beaujouan 2014, Beaujouan and Berghammer 2019)&lt;/DisplayText&gt;&lt;record&gt;&lt;rec-number&gt;294&lt;/rec-number&gt;&lt;foreign-keys&gt;&lt;key app="EN" db-id="sde5vef9krws0aere98vvf0wawszed5rzw2t" timestamp="1694004451"&gt;294&lt;/key&gt;&lt;/foreign-keys&gt;&lt;ref-type name="Journal Article"&gt;17&lt;/ref-type&gt;&lt;contributors&gt;&lt;authors&gt;&lt;author&gt;Sobotka, Tomáš&lt;/author&gt;&lt;author&gt;Beaujouan, Éva&lt;/author&gt;&lt;/authors&gt;&lt;/contributors&gt;&lt;titles&gt;&lt;title&gt;Two Is Best? The Persistence of a Two-Child Family Ideal in Europe&lt;/title&gt;&lt;secondary-title&gt;Population and Development Review&lt;/secondary-title&gt;&lt;/titles&gt;&lt;periodical&gt;&lt;full-title&gt;Population and Development Review&lt;/full-title&gt;&lt;/periodical&gt;&lt;pages&gt;391-419&lt;/pages&gt;&lt;volume&gt;40&lt;/volume&gt;&lt;number&gt;3&lt;/number&gt;&lt;dates&gt;&lt;year&gt;2014&lt;/year&gt;&lt;/dates&gt;&lt;isbn&gt;0098-7921&lt;/isbn&gt;&lt;urls&gt;&lt;related-urls&gt;&lt;url&gt;https://onlinelibrary.wiley.com/doi/abs/10.1111/j.1728-4457.2014.00691.x&lt;/url&gt;&lt;/related-urls&gt;&lt;/urls&gt;&lt;/record&gt;&lt;/Cite&gt;&lt;Cite&gt;&lt;Author&gt;Beaujouan&lt;/Author&gt;&lt;Year&gt;2019&lt;/Year&gt;&lt;RecNum&gt;293&lt;/RecNum&gt;&lt;record&gt;&lt;rec-number&gt;293&lt;/rec-number&gt;&lt;foreign-keys&gt;&lt;key app="EN" db-id="sde5vef9krws0aere98vvf0wawszed5rzw2t" timestamp="1694004075"&gt;293&lt;/key&gt;&lt;/foreign-keys&gt;&lt;ref-type name="Journal Article"&gt;17&lt;/ref-type&gt;&lt;contributors&gt;&lt;authors&gt;&lt;author&gt;Beaujouan, Eva&lt;/author&gt;&lt;author&gt;Berghammer, Caroline&lt;/author&gt;&lt;/authors&gt;&lt;/contributors&gt;&lt;titles&gt;&lt;title&gt;The Gap Between Lifetime Fertility Intentions and Completed Fertility in Europe and the United States: A Cohort Approach&lt;/title&gt;&lt;secondary-title&gt;Population Research and Policy Review&lt;/secondary-title&gt;&lt;/titles&gt;&lt;periodical&gt;&lt;full-title&gt;Population Research and Policy Review&lt;/full-title&gt;&lt;/periodical&gt;&lt;pages&gt;507-535&lt;/pages&gt;&lt;volume&gt;38&lt;/volume&gt;&lt;number&gt;4&lt;/number&gt;&lt;dates&gt;&lt;year&gt;2019&lt;/year&gt;&lt;pub-dates&gt;&lt;date&gt;2019/08/01&lt;/date&gt;&lt;/pub-dates&gt;&lt;/dates&gt;&lt;isbn&gt;1573-7829&lt;/isbn&gt;&lt;urls&gt;&lt;related-urls&gt;&lt;url&gt;https://doi.org/10.1007/s11113-019-09516-3&lt;/url&gt;&lt;/related-urls&gt;&lt;/urls&gt;&lt;/record&gt;&lt;/Cite&gt;&lt;/EndNote&gt;</w:instrText>
      </w:r>
      <w:r w:rsidR="009B1336">
        <w:rPr>
          <w:lang w:val="en-GB"/>
        </w:rPr>
        <w:fldChar w:fldCharType="separate"/>
      </w:r>
      <w:r w:rsidR="009B1336">
        <w:rPr>
          <w:noProof/>
          <w:lang w:val="en-GB"/>
        </w:rPr>
        <w:t>(Sobotka and Beaujouan 2014, Beaujouan and Berghammer 2019)</w:t>
      </w:r>
      <w:r w:rsidR="009B1336">
        <w:rPr>
          <w:lang w:val="en-GB"/>
        </w:rPr>
        <w:fldChar w:fldCharType="end"/>
      </w:r>
      <w:r w:rsidR="009B1336">
        <w:rPr>
          <w:lang w:val="en-GB"/>
        </w:rPr>
        <w:t>.</w:t>
      </w:r>
      <w:r w:rsidR="40A7F5A6" w:rsidRPr="6626A037">
        <w:rPr>
          <w:lang w:val="en-GB"/>
        </w:rPr>
        <w:t xml:space="preserve"> </w:t>
      </w:r>
      <w:r w:rsidRPr="6626A037">
        <w:rPr>
          <w:lang w:val="en-GB"/>
        </w:rPr>
        <w:t xml:space="preserve">If this norm </w:t>
      </w:r>
      <w:r w:rsidR="2DD30CD0" w:rsidRPr="6626A037">
        <w:rPr>
          <w:lang w:val="en-GB"/>
        </w:rPr>
        <w:t>exist</w:t>
      </w:r>
      <w:r w:rsidR="008F49CD">
        <w:rPr>
          <w:lang w:val="en-GB"/>
        </w:rPr>
        <w:t>s</w:t>
      </w:r>
      <w:r w:rsidR="2DD30CD0" w:rsidRPr="6626A037">
        <w:rPr>
          <w:lang w:val="en-GB"/>
        </w:rPr>
        <w:t xml:space="preserve"> </w:t>
      </w:r>
      <w:r w:rsidRPr="6626A037">
        <w:rPr>
          <w:lang w:val="en-GB"/>
        </w:rPr>
        <w:t>across educational groups</w:t>
      </w:r>
      <w:r w:rsidR="2DD30CD0" w:rsidRPr="6626A037">
        <w:rPr>
          <w:lang w:val="en-GB"/>
        </w:rPr>
        <w:t>,</w:t>
      </w:r>
      <w:r w:rsidRPr="6626A037">
        <w:rPr>
          <w:lang w:val="en-GB"/>
        </w:rPr>
        <w:t xml:space="preserve"> the likelihood of having a second child w</w:t>
      </w:r>
      <w:r w:rsidR="00967E2E">
        <w:rPr>
          <w:lang w:val="en-GB"/>
        </w:rPr>
        <w:t>ill</w:t>
      </w:r>
      <w:r w:rsidR="2DD30CD0" w:rsidRPr="6626A037">
        <w:rPr>
          <w:lang w:val="en-GB"/>
        </w:rPr>
        <w:t xml:space="preserve"> be </w:t>
      </w:r>
      <w:r w:rsidRPr="6626A037">
        <w:rPr>
          <w:lang w:val="en-GB"/>
        </w:rPr>
        <w:t>similar a</w:t>
      </w:r>
      <w:r w:rsidR="2DD30CD0" w:rsidRPr="6626A037">
        <w:rPr>
          <w:lang w:val="en-GB"/>
        </w:rPr>
        <w:t>cross groups</w:t>
      </w:r>
      <w:r w:rsidR="4082D45B" w:rsidRPr="6626A037">
        <w:rPr>
          <w:lang w:val="en-GB"/>
        </w:rPr>
        <w:t xml:space="preserve">. </w:t>
      </w:r>
      <w:r w:rsidR="19F6EE7D" w:rsidRPr="6626A037">
        <w:rPr>
          <w:lang w:val="en-GB"/>
        </w:rPr>
        <w:t>Secondly, w</w:t>
      </w:r>
      <w:r w:rsidR="4082D45B" w:rsidRPr="6626A037">
        <w:rPr>
          <w:lang w:val="en-GB"/>
        </w:rPr>
        <w:t>hil</w:t>
      </w:r>
      <w:r w:rsidR="2DD30CD0" w:rsidRPr="6626A037">
        <w:rPr>
          <w:lang w:val="en-GB"/>
        </w:rPr>
        <w:t>e</w:t>
      </w:r>
      <w:r w:rsidR="4082D45B" w:rsidRPr="6626A037">
        <w:rPr>
          <w:lang w:val="en-GB"/>
        </w:rPr>
        <w:t xml:space="preserve"> it remains the case that</w:t>
      </w:r>
      <w:r w:rsidR="00E17583" w:rsidRPr="00E17583">
        <w:rPr>
          <w:lang w:val="en-GB"/>
        </w:rPr>
        <w:t xml:space="preserve"> </w:t>
      </w:r>
      <w:r w:rsidR="00E17583">
        <w:rPr>
          <w:lang w:val="en-GB"/>
        </w:rPr>
        <w:t>l</w:t>
      </w:r>
      <w:r w:rsidR="00E17583" w:rsidRPr="00E17583">
        <w:rPr>
          <w:lang w:val="en-GB"/>
        </w:rPr>
        <w:t xml:space="preserve">ess educated UK women have weaker labor market attachment </w:t>
      </w:r>
      <w:r w:rsidR="007D7CD2">
        <w:rPr>
          <w:lang w:val="en-GB"/>
        </w:rPr>
        <w:fldChar w:fldCharType="begin"/>
      </w:r>
      <w:r w:rsidR="007D7CD2">
        <w:rPr>
          <w:lang w:val="en-GB"/>
        </w:rPr>
        <w:instrText xml:space="preserve"> ADDIN EN.CITE &lt;EndNote&gt;&lt;Cite&gt;&lt;Author&gt;Härkönen&lt;/Author&gt;&lt;Year&gt;2018&lt;/Year&gt;&lt;RecNum&gt;349&lt;/RecNum&gt;&lt;DisplayText&gt;(Härkönen 2018)&lt;/DisplayText&gt;&lt;record&gt;&lt;rec-number&gt;349&lt;/rec-number&gt;&lt;foreign-keys&gt;&lt;key app="EN" db-id="date2dst4vae0pe955kxa2tla9pzrxp00p95" timestamp="1706876018"&gt;349&lt;/key&gt;&lt;/foreign-keys&gt;&lt;ref-type name="Book Section"&gt;5&lt;/ref-type&gt;&lt;contributors&gt;&lt;authors&gt;&lt;author&gt;Härkönen, Juho&lt;/author&gt;&lt;/authors&gt;&lt;secondary-authors&gt;&lt;author&gt;Nieuwenhuis, Rense&lt;/author&gt;&lt;author&gt;Maldonado, Laurie&lt;/author&gt;&lt;/secondary-authors&gt;&lt;/contributors&gt;&lt;titles&gt;&lt;title&gt;Single-mother poverty: how much do educational differences in single motherhood matter?&lt;/title&gt;&lt;secondary-title&gt;The triple bind of single parent families: resources, employment and policies to improve wellbring&lt;/secondary-title&gt;&lt;/titles&gt;&lt;pages&gt;31-50&lt;/pages&gt;&lt;dates&gt;&lt;year&gt;2018&lt;/year&gt;&lt;/dates&gt;&lt;pub-location&gt;Bristol&lt;/pub-location&gt;&lt;publisher&gt;Policy Press&lt;/publisher&gt;&lt;urls&gt;&lt;/urls&gt;&lt;/record&gt;&lt;/Cite&gt;&lt;/EndNote&gt;</w:instrText>
      </w:r>
      <w:r w:rsidR="007D7CD2">
        <w:rPr>
          <w:lang w:val="en-GB"/>
        </w:rPr>
        <w:fldChar w:fldCharType="separate"/>
      </w:r>
      <w:r w:rsidR="007D7CD2">
        <w:rPr>
          <w:noProof/>
          <w:lang w:val="en-GB"/>
        </w:rPr>
        <w:t>(Härkönen 2018)</w:t>
      </w:r>
      <w:r w:rsidR="007D7CD2">
        <w:rPr>
          <w:lang w:val="en-GB"/>
        </w:rPr>
        <w:fldChar w:fldCharType="end"/>
      </w:r>
      <w:r w:rsidR="00E17583" w:rsidRPr="00E17583">
        <w:rPr>
          <w:lang w:val="en-GB"/>
        </w:rPr>
        <w:t xml:space="preserve"> lowering opportunity costs of childbearin</w:t>
      </w:r>
      <w:r w:rsidR="007D7CD2">
        <w:rPr>
          <w:lang w:val="en-GB"/>
        </w:rPr>
        <w:t>g</w:t>
      </w:r>
      <w:r w:rsidR="00E17583">
        <w:rPr>
          <w:lang w:val="en-GB"/>
        </w:rPr>
        <w:t>,</w:t>
      </w:r>
      <w:r w:rsidR="4082D45B" w:rsidRPr="6626A037">
        <w:rPr>
          <w:lang w:val="en-GB"/>
        </w:rPr>
        <w:t xml:space="preserve"> the </w:t>
      </w:r>
      <w:r w:rsidR="00E17583">
        <w:rPr>
          <w:lang w:val="en-GB"/>
        </w:rPr>
        <w:t xml:space="preserve">higher </w:t>
      </w:r>
      <w:r w:rsidR="4082D45B" w:rsidRPr="6626A037">
        <w:rPr>
          <w:lang w:val="en-GB"/>
        </w:rPr>
        <w:t>economic opportunity costs of having further children for more educated women</w:t>
      </w:r>
      <w:r w:rsidR="00E17583">
        <w:rPr>
          <w:lang w:val="en-GB"/>
        </w:rPr>
        <w:t xml:space="preserve"> might be offset by </w:t>
      </w:r>
      <w:r w:rsidR="51268259" w:rsidRPr="6626A037">
        <w:rPr>
          <w:lang w:val="en-GB"/>
        </w:rPr>
        <w:t>direct income effects</w:t>
      </w:r>
      <w:r w:rsidR="00E17583">
        <w:rPr>
          <w:lang w:val="en-GB"/>
        </w:rPr>
        <w:t>, for example</w:t>
      </w:r>
      <w:r w:rsidR="005302EE">
        <w:rPr>
          <w:lang w:val="en-GB"/>
        </w:rPr>
        <w:t xml:space="preserve"> making </w:t>
      </w:r>
      <w:r w:rsidR="00E17583">
        <w:rPr>
          <w:lang w:val="en-GB"/>
        </w:rPr>
        <w:t xml:space="preserve">childcare </w:t>
      </w:r>
      <w:r w:rsidR="005302EE">
        <w:rPr>
          <w:lang w:val="en-GB"/>
        </w:rPr>
        <w:t>more affordable</w:t>
      </w:r>
      <w:r w:rsidR="00E9107D">
        <w:rPr>
          <w:lang w:val="en-GB"/>
        </w:rPr>
        <w:t xml:space="preserve"> </w:t>
      </w:r>
      <w:r w:rsidR="00E9107D">
        <w:rPr>
          <w:lang w:val="en-GB"/>
        </w:rPr>
        <w:fldChar w:fldCharType="begin">
          <w:fldData xml:space="preserve">PEVuZE5vdGU+PENpdGU+PEF1dGhvcj5Kb3NoaTwvQXV0aG9yPjxZZWFyPjIwMDI8L1llYXI+PFJl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</w:fldData>
        </w:fldChar>
      </w:r>
      <w:r w:rsidR="00E9107D">
        <w:rPr>
          <w:lang w:val="en-GB"/>
        </w:rPr>
        <w:instrText xml:space="preserve"> ADDIN EN.CITE </w:instrText>
      </w:r>
      <w:r w:rsidR="00E9107D">
        <w:rPr>
          <w:lang w:val="en-GB"/>
        </w:rPr>
        <w:fldChar w:fldCharType="begin">
          <w:fldData xml:space="preserve">PEVuZE5vdGU+PENpdGU+PEF1dGhvcj5Kb3NoaTwvQXV0aG9yPjxZZWFyPjIwMDI8L1llYXI+PFJl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</w:fldData>
        </w:fldChar>
      </w:r>
      <w:r w:rsidR="00E9107D">
        <w:rPr>
          <w:lang w:val="en-GB"/>
        </w:rPr>
        <w:instrText xml:space="preserve"> ADDIN EN.CITE.DATA </w:instrText>
      </w:r>
      <w:r w:rsidR="00E9107D">
        <w:rPr>
          <w:lang w:val="en-GB"/>
        </w:rPr>
      </w:r>
      <w:r w:rsidR="00E9107D">
        <w:rPr>
          <w:lang w:val="en-GB"/>
        </w:rPr>
        <w:fldChar w:fldCharType="end"/>
      </w:r>
      <w:r w:rsidR="00E9107D">
        <w:rPr>
          <w:lang w:val="en-GB"/>
        </w:rPr>
      </w:r>
      <w:r w:rsidR="00E9107D">
        <w:rPr>
          <w:lang w:val="en-GB"/>
        </w:rPr>
        <w:fldChar w:fldCharType="separate"/>
      </w:r>
      <w:r w:rsidR="00E9107D">
        <w:rPr>
          <w:noProof/>
          <w:lang w:val="en-GB"/>
        </w:rPr>
        <w:t>(Joshi 2002, Sigle-Rushton 2008)</w:t>
      </w:r>
      <w:r w:rsidR="00E9107D">
        <w:rPr>
          <w:lang w:val="en-GB"/>
        </w:rPr>
        <w:fldChar w:fldCharType="end"/>
      </w:r>
      <w:r w:rsidR="00E9107D">
        <w:rPr>
          <w:lang w:val="en-GB"/>
        </w:rPr>
        <w:t xml:space="preserve">. </w:t>
      </w:r>
      <w:r w:rsidR="51268259" w:rsidRPr="6626A037">
        <w:rPr>
          <w:lang w:val="en-GB"/>
        </w:rPr>
        <w:t xml:space="preserve">Moreover, more educated women may </w:t>
      </w:r>
      <w:r w:rsidR="00CE5E0E">
        <w:rPr>
          <w:lang w:val="en-GB"/>
        </w:rPr>
        <w:t xml:space="preserve">work </w:t>
      </w:r>
      <w:r w:rsidR="00127F66">
        <w:rPr>
          <w:lang w:val="en-GB"/>
        </w:rPr>
        <w:t xml:space="preserve">in </w:t>
      </w:r>
      <w:r w:rsidR="51268259" w:rsidRPr="6626A037">
        <w:rPr>
          <w:lang w:val="en-GB"/>
        </w:rPr>
        <w:t xml:space="preserve">the type of jobs </w:t>
      </w:r>
      <w:r w:rsidR="00DB0CBB">
        <w:rPr>
          <w:lang w:val="en-GB"/>
        </w:rPr>
        <w:t xml:space="preserve">which have more flexible work arrangements allowing </w:t>
      </w:r>
      <w:r w:rsidR="51268259" w:rsidRPr="6626A037">
        <w:rPr>
          <w:lang w:val="en-GB"/>
        </w:rPr>
        <w:t xml:space="preserve">work and motherhood </w:t>
      </w:r>
      <w:r w:rsidR="00DB0CBB">
        <w:rPr>
          <w:lang w:val="en-GB"/>
        </w:rPr>
        <w:t>to be</w:t>
      </w:r>
      <w:r w:rsidR="00CE5E0E">
        <w:rPr>
          <w:lang w:val="en-GB"/>
        </w:rPr>
        <w:t xml:space="preserve"> more easily combined </w:t>
      </w:r>
      <w:r w:rsidR="007D7CD2">
        <w:rPr>
          <w:lang w:val="en-GB"/>
        </w:rPr>
        <w:fldChar w:fldCharType="begin"/>
      </w:r>
      <w:r w:rsidR="007D7CD2">
        <w:rPr>
          <w:lang w:val="en-GB"/>
        </w:rPr>
        <w:instrText xml:space="preserve"> ADDIN EN.CITE &lt;EndNote&gt;&lt;Cite&gt;&lt;Author&gt;Kravdal&lt;/Author&gt;&lt;Year&gt;1992&lt;/Year&gt;&lt;RecNum&gt;350&lt;/RecNum&gt;&lt;DisplayText&gt;(Kravdal 1992)&lt;/DisplayText&gt;&lt;record&gt;&lt;rec-number&gt;350&lt;/rec-number&gt;&lt;foreign-keys&gt;&lt;key app="EN" db-id="date2dst4vae0pe955kxa2tla9pzrxp00p95" timestamp="1706876273"&gt;350&lt;/key&gt;&lt;/foreign-keys&gt;&lt;ref-type name="Journal Article"&gt;17&lt;/ref-type&gt;&lt;contributors&gt;&lt;authors&gt;&lt;author&gt;Kravdal, Øystein&lt;/author&gt;&lt;/authors&gt;&lt;/contributors&gt;&lt;titles&gt;&lt;title&gt;The Weak Impact of Female Labour Force Participation on Norwegian Third-Birth Rates&lt;/title&gt;&lt;secondary-title&gt;European Journal of Population / Revue Européenne de Démographie&lt;/secondary-title&gt;&lt;/titles&gt;&lt;periodical&gt;&lt;full-title&gt;European Journal of Population / Revue Européenne de Démographie&lt;/full-title&gt;&lt;/periodical&gt;&lt;pages&gt;247-263&lt;/pages&gt;&lt;volume&gt;8&lt;/volume&gt;&lt;number&gt;3&lt;/number&gt;&lt;dates&gt;&lt;year&gt;1992&lt;/year&gt;&lt;/dates&gt;&lt;publisher&gt;Springer&lt;/publisher&gt;&lt;isbn&gt;01686577, 15729885&lt;/isbn&gt;&lt;urls&gt;&lt;related-urls&gt;&lt;url&gt;http://www.jstor.org/stable/20164622&lt;/url&gt;&lt;/related-urls&gt;&lt;/urls&gt;&lt;custom1&gt;Full publication date: 1992&lt;/custom1&gt;&lt;remote-database-name&gt;JSTOR&lt;/remote-database-name&gt;&lt;access-date&gt;2024/02/02/&lt;/access-date&gt;&lt;/record&gt;&lt;/Cite&gt;&lt;/EndNote&gt;</w:instrText>
      </w:r>
      <w:r w:rsidR="007D7CD2">
        <w:rPr>
          <w:lang w:val="en-GB"/>
        </w:rPr>
        <w:fldChar w:fldCharType="separate"/>
      </w:r>
      <w:r w:rsidR="007D7CD2">
        <w:rPr>
          <w:noProof/>
          <w:lang w:val="en-GB"/>
        </w:rPr>
        <w:t>(Kravdal 1992)</w:t>
      </w:r>
      <w:r w:rsidR="007D7CD2">
        <w:rPr>
          <w:lang w:val="en-GB"/>
        </w:rPr>
        <w:fldChar w:fldCharType="end"/>
      </w:r>
      <w:r w:rsidR="00DB0CBB">
        <w:rPr>
          <w:lang w:val="en-GB"/>
        </w:rPr>
        <w:t xml:space="preserve">. </w:t>
      </w:r>
      <w:r w:rsidR="002F580E">
        <w:rPr>
          <w:lang w:val="en-GB"/>
        </w:rPr>
        <w:t>W</w:t>
      </w:r>
      <w:r w:rsidR="01B9C08E" w:rsidRPr="6626A037">
        <w:rPr>
          <w:lang w:val="en-GB"/>
        </w:rPr>
        <w:t xml:space="preserve">omen with </w:t>
      </w:r>
      <w:r w:rsidR="005A619C">
        <w:rPr>
          <w:lang w:val="en-GB"/>
        </w:rPr>
        <w:t>high</w:t>
      </w:r>
      <w:r w:rsidR="01B9C08E" w:rsidRPr="6626A037">
        <w:rPr>
          <w:lang w:val="en-GB"/>
        </w:rPr>
        <w:t xml:space="preserve"> education may be more likely to achieve a desired two-child family because they have </w:t>
      </w:r>
      <w:r w:rsidR="00D86403">
        <w:rPr>
          <w:lang w:val="en-GB"/>
        </w:rPr>
        <w:t xml:space="preserve">greater </w:t>
      </w:r>
      <w:r w:rsidR="00242589">
        <w:rPr>
          <w:lang w:val="en-GB"/>
        </w:rPr>
        <w:t xml:space="preserve">partnership </w:t>
      </w:r>
      <w:r w:rsidR="00D86403">
        <w:rPr>
          <w:lang w:val="en-GB"/>
        </w:rPr>
        <w:t>stability</w:t>
      </w:r>
      <w:r w:rsidR="00242589">
        <w:rPr>
          <w:lang w:val="en-GB"/>
        </w:rPr>
        <w:t xml:space="preserve">; </w:t>
      </w:r>
      <w:r w:rsidR="0024766F">
        <w:rPr>
          <w:lang w:val="en-GB"/>
        </w:rPr>
        <w:t>p</w:t>
      </w:r>
      <w:r w:rsidR="01B9C08E" w:rsidRPr="6626A037">
        <w:rPr>
          <w:lang w:val="en-GB"/>
        </w:rPr>
        <w:t xml:space="preserve">artnership instability can be associated with both stopping at one child and having additional </w:t>
      </w:r>
      <w:r w:rsidR="005A619C">
        <w:rPr>
          <w:lang w:val="en-GB"/>
        </w:rPr>
        <w:t>(</w:t>
      </w:r>
      <w:r w:rsidR="01B9C08E" w:rsidRPr="6626A037">
        <w:rPr>
          <w:lang w:val="en-GB"/>
        </w:rPr>
        <w:t>higher order</w:t>
      </w:r>
      <w:r w:rsidR="005A619C">
        <w:rPr>
          <w:lang w:val="en-GB"/>
        </w:rPr>
        <w:t>)</w:t>
      </w:r>
      <w:r w:rsidR="01B9C08E" w:rsidRPr="6626A037">
        <w:rPr>
          <w:lang w:val="en-GB"/>
        </w:rPr>
        <w:t xml:space="preserve"> births with new partner</w:t>
      </w:r>
      <w:r w:rsidR="01B9C08E" w:rsidRPr="0007050D">
        <w:rPr>
          <w:lang w:val="en-GB"/>
        </w:rPr>
        <w:t xml:space="preserve">s </w:t>
      </w:r>
      <w:r w:rsidR="0068486B">
        <w:rPr>
          <w:lang w:val="en-GB"/>
        </w:rPr>
        <w:fldChar w:fldCharType="begin"/>
      </w:r>
      <w:r w:rsidR="0068486B">
        <w:rPr>
          <w:lang w:val="en-GB"/>
        </w:rPr>
        <w:instrText xml:space="preserve"> ADDIN EN.CITE &lt;EndNote&gt;&lt;Cite&gt;&lt;Author&gt;Jalovaara&lt;/Author&gt;&lt;Year&gt;2021&lt;/Year&gt;&lt;RecNum&gt;107&lt;/RecNum&gt;&lt;DisplayText&gt;(Jalovaara, Andersson and Miettinen 2021)&lt;/DisplayText&gt;&lt;record&gt;&lt;rec-number&gt;107&lt;/rec-number&gt;&lt;foreign-keys&gt;&lt;key app="EN" db-id="date2dst4vae0pe955kxa2tla9pzrxp00p95" timestamp="1665058417"&gt;107&lt;/key&gt;&lt;/foreign-keys&gt;&lt;ref-type name="Journal Article"&gt;17&lt;/ref-type&gt;&lt;contributors&gt;&lt;authors&gt;&lt;author&gt;Jalovaara, Marika&lt;/author&gt;&lt;author&gt;Andersson, Linus&lt;/author&gt;&lt;author&gt;Miettinen, Anneli&lt;/author&gt;&lt;/authors&gt;&lt;/contributors&gt;&lt;titles&gt;&lt;title&gt;Parity disparity: Educational differences in Nordic fertility across parities and number of reproductive partners&lt;/title&gt;&lt;secondary-title&gt;Population Studies&lt;/secondary-title&gt;&lt;/titles&gt;&lt;periodical&gt;&lt;full-title&gt;Population Studies&lt;/full-title&gt;&lt;/periodical&gt;&lt;pages&gt;1-18&lt;/pages&gt;&lt;dates&gt;&lt;year&gt;2021&lt;/year&gt;&lt;/dates&gt;&lt;publisher&gt;Routledge&lt;/publisher&gt;&lt;isbn&gt;0032-4728&lt;/isbn&gt;&lt;urls&gt;&lt;related-urls&gt;&lt;url&gt;https://doi.org/10.1080/00324728.2021.1887506&lt;/url&gt;&lt;/related-urls&gt;&lt;/urls&gt;&lt;electronic-resource-num&gt;10.1080/00324728.2021.1887506&lt;/electronic-resource-num&gt;&lt;/record&gt;&lt;/Cite&gt;&lt;/EndNote&gt;</w:instrText>
      </w:r>
      <w:r w:rsidR="0068486B">
        <w:rPr>
          <w:lang w:val="en-GB"/>
        </w:rPr>
        <w:fldChar w:fldCharType="separate"/>
      </w:r>
      <w:r w:rsidR="0068486B">
        <w:rPr>
          <w:noProof/>
          <w:lang w:val="en-GB"/>
        </w:rPr>
        <w:t>(Jalovaara, Andersson and Miettinen 2021)</w:t>
      </w:r>
      <w:r w:rsidR="0068486B">
        <w:rPr>
          <w:lang w:val="en-GB"/>
        </w:rPr>
        <w:fldChar w:fldCharType="end"/>
      </w:r>
      <w:r w:rsidR="19F6EE7D" w:rsidRPr="00F376DB">
        <w:rPr>
          <w:lang w:val="en-GB"/>
        </w:rPr>
        <w:t>.</w:t>
      </w:r>
      <w:r w:rsidR="19F6EE7D" w:rsidRPr="6626A037">
        <w:rPr>
          <w:lang w:val="en-GB"/>
        </w:rPr>
        <w:t xml:space="preserve"> </w:t>
      </w:r>
      <w:r w:rsidR="01B9C08E" w:rsidRPr="6626A037">
        <w:rPr>
          <w:lang w:val="en-GB"/>
        </w:rPr>
        <w:t>Finally, t</w:t>
      </w:r>
      <w:r w:rsidR="4082D45B" w:rsidRPr="6626A037">
        <w:rPr>
          <w:lang w:val="en-GB"/>
        </w:rPr>
        <w:t xml:space="preserve">he selection of the highly educated into parenthood means that </w:t>
      </w:r>
      <w:r w:rsidR="12F22F75" w:rsidRPr="6626A037">
        <w:rPr>
          <w:lang w:val="en-GB"/>
        </w:rPr>
        <w:t xml:space="preserve">those </w:t>
      </w:r>
      <w:r w:rsidR="4082D45B" w:rsidRPr="6626A037">
        <w:rPr>
          <w:lang w:val="en-GB"/>
        </w:rPr>
        <w:t>at risk of a second birth (i.e</w:t>
      </w:r>
      <w:r w:rsidR="00D57714">
        <w:rPr>
          <w:lang w:val="en-GB"/>
        </w:rPr>
        <w:t>.</w:t>
      </w:r>
      <w:r w:rsidR="4082D45B" w:rsidRPr="6626A037">
        <w:rPr>
          <w:lang w:val="en-GB"/>
        </w:rPr>
        <w:t xml:space="preserve"> women who have had one birth already) tend to </w:t>
      </w:r>
      <w:r w:rsidR="23728427" w:rsidRPr="6626A037">
        <w:rPr>
          <w:lang w:val="en-GB"/>
        </w:rPr>
        <w:t xml:space="preserve">be </w:t>
      </w:r>
      <w:r w:rsidR="4082D45B" w:rsidRPr="6626A037">
        <w:rPr>
          <w:lang w:val="en-GB"/>
        </w:rPr>
        <w:t>women who are more family oriented</w:t>
      </w:r>
      <w:r w:rsidR="23728427" w:rsidRPr="6626A037">
        <w:rPr>
          <w:lang w:val="en-GB"/>
        </w:rPr>
        <w:t>,</w:t>
      </w:r>
      <w:r w:rsidR="4082D45B" w:rsidRPr="6626A037">
        <w:rPr>
          <w:lang w:val="en-GB"/>
        </w:rPr>
        <w:t xml:space="preserve"> or </w:t>
      </w:r>
      <w:r w:rsidR="23728427" w:rsidRPr="6626A037">
        <w:rPr>
          <w:lang w:val="en-GB"/>
        </w:rPr>
        <w:t xml:space="preserve">who </w:t>
      </w:r>
      <w:r w:rsidR="4082D45B" w:rsidRPr="6626A037">
        <w:rPr>
          <w:lang w:val="en-GB"/>
        </w:rPr>
        <w:t xml:space="preserve">have other characteristics </w:t>
      </w:r>
      <w:r w:rsidR="23728427" w:rsidRPr="6626A037">
        <w:rPr>
          <w:lang w:val="en-GB"/>
        </w:rPr>
        <w:t xml:space="preserve">(such as being married) </w:t>
      </w:r>
      <w:r w:rsidR="4082D45B" w:rsidRPr="6626A037">
        <w:rPr>
          <w:lang w:val="en-GB"/>
        </w:rPr>
        <w:t>which make them more likely to have further children</w:t>
      </w:r>
      <w:r w:rsidR="23728427" w:rsidRPr="6626A037">
        <w:rPr>
          <w:lang w:val="en-GB"/>
        </w:rPr>
        <w:t xml:space="preserve"> </w:t>
      </w:r>
      <w:r w:rsidR="002E7165">
        <w:rPr>
          <w:lang w:val="en-GB"/>
        </w:rPr>
        <w:fldChar w:fldCharType="begin"/>
      </w:r>
      <w:r w:rsidR="002E7165">
        <w:rPr>
          <w:lang w:val="en-GB"/>
        </w:rPr>
        <w:instrText xml:space="preserve"> ADDIN EN.CITE &lt;EndNote&gt;&lt;Cite&gt;&lt;Author&gt;Kravdal&lt;/Author&gt;&lt;Year&gt;2001&lt;/Year&gt;&lt;RecNum&gt;297&lt;/RecNum&gt;&lt;DisplayText&gt;(Kravdal 2001)&lt;/DisplayText&gt;&lt;record&gt;&lt;rec-number&gt;297&lt;/rec-number&gt;&lt;foreign-keys&gt;&lt;key app="EN" db-id="sde5vef9krws0aere98vvf0wawszed5rzw2t" timestamp="1694005049"&gt;297&lt;/key&gt;&lt;/foreign-keys&gt;&lt;ref-type name="Journal Article"&gt;17&lt;/ref-type&gt;&lt;contributors&gt;&lt;authors&gt;&lt;author&gt;Kravdal, Øystein&lt;/author&gt;&lt;/authors&gt;&lt;/contributors&gt;&lt;titles&gt;&lt;title&gt;The High Fertility of College Educated Women in Norway: An Artefact of the Separate Modelling of Each Parity Transition&lt;/title&gt;&lt;secondary-title&gt;Demographic Research&lt;/secondary-title&gt;&lt;/titles&gt;&lt;periodical&gt;&lt;full-title&gt;Demographic Research&lt;/full-title&gt;&lt;/periodical&gt;&lt;pages&gt;187-216&lt;/pages&gt;&lt;volume&gt;5&lt;/volume&gt;&lt;number&gt;6&lt;/number&gt;&lt;dates&gt;&lt;year&gt;2001&lt;/year&gt;&lt;/dates&gt;&lt;urls&gt;&lt;related-urls&gt;&lt;url&gt;https://www.demographic-research.org/volumes/vol5/6/&lt;/url&gt;&lt;url&gt;https://www.demographic-research.org/volumes/vol5/6/5-6.pdf&lt;/url&gt;&lt;/related-urls&gt;&lt;/urls&gt;&lt;/record&gt;&lt;/Cite&gt;&lt;/EndNote&gt;</w:instrText>
      </w:r>
      <w:r w:rsidR="002E7165">
        <w:rPr>
          <w:lang w:val="en-GB"/>
        </w:rPr>
        <w:fldChar w:fldCharType="separate"/>
      </w:r>
      <w:r w:rsidR="002E7165">
        <w:rPr>
          <w:noProof/>
          <w:lang w:val="en-GB"/>
        </w:rPr>
        <w:t>(Kravdal 2001)</w:t>
      </w:r>
      <w:r w:rsidR="002E7165">
        <w:rPr>
          <w:lang w:val="en-GB"/>
        </w:rPr>
        <w:fldChar w:fldCharType="end"/>
      </w:r>
      <w:r w:rsidR="23728427" w:rsidRPr="6626A037">
        <w:rPr>
          <w:lang w:val="en-GB"/>
        </w:rPr>
        <w:t xml:space="preserve">. </w:t>
      </w:r>
    </w:p>
    <w:p w14:paraId="61327F86" w14:textId="659FB944" w:rsidR="00C12DC2" w:rsidRDefault="00E72F25" w:rsidP="0037557C">
      <w:pPr>
        <w:pStyle w:val="Heading4"/>
      </w:pPr>
      <w:r>
        <w:t xml:space="preserve">2.1.3 </w:t>
      </w:r>
      <w:r w:rsidR="00A27D0D">
        <w:t xml:space="preserve">Education and </w:t>
      </w:r>
      <w:r w:rsidR="001E2304">
        <w:t>p</w:t>
      </w:r>
      <w:r w:rsidR="00C15D4C" w:rsidRPr="00E72F25">
        <w:t xml:space="preserve">rogression to third </w:t>
      </w:r>
      <w:r w:rsidR="007D5318">
        <w:t xml:space="preserve">and fourth </w:t>
      </w:r>
      <w:r w:rsidR="00C15D4C" w:rsidRPr="00E72F25">
        <w:t>birth</w:t>
      </w:r>
    </w:p>
    <w:p w14:paraId="220A15A8" w14:textId="52F6142D" w:rsidR="00690DE2" w:rsidRDefault="00C15D4C" w:rsidP="00C15D4C">
      <w:pPr>
        <w:spacing w:line="480" w:lineRule="auto"/>
      </w:pPr>
      <w:r>
        <w:t xml:space="preserve">There are </w:t>
      </w:r>
      <w:r w:rsidR="00861451">
        <w:t xml:space="preserve">multiple </w:t>
      </w:r>
      <w:r>
        <w:t xml:space="preserve">reasons to expect </w:t>
      </w:r>
      <w:r w:rsidR="007D5318">
        <w:t xml:space="preserve">a </w:t>
      </w:r>
      <w:r>
        <w:t>negative educational gradient in transition to</w:t>
      </w:r>
      <w:r w:rsidR="00B0722E">
        <w:t xml:space="preserve"> third or</w:t>
      </w:r>
      <w:r>
        <w:t xml:space="preserve"> higher</w:t>
      </w:r>
      <w:r w:rsidR="00684163">
        <w:t>-</w:t>
      </w:r>
      <w:r>
        <w:t>order births.</w:t>
      </w:r>
      <w:r w:rsidR="002F580E">
        <w:t xml:space="preserve"> </w:t>
      </w:r>
      <w:r w:rsidR="00D26575">
        <w:t xml:space="preserve">Firstly, on average those with lower education have </w:t>
      </w:r>
      <w:r w:rsidR="003F1ABF">
        <w:t xml:space="preserve">an earlier age at entry into motherhood </w:t>
      </w:r>
      <w:r w:rsidR="00D26575">
        <w:t xml:space="preserve">and thus </w:t>
      </w:r>
      <w:r w:rsidR="003F1ABF">
        <w:t xml:space="preserve">have </w:t>
      </w:r>
      <w:r w:rsidR="00C20E64">
        <w:t>more time to achieve higher order births</w:t>
      </w:r>
      <w:r w:rsidR="00D26575">
        <w:t xml:space="preserve"> prior to the end of the reproductive pe</w:t>
      </w:r>
      <w:r w:rsidR="00095067">
        <w:t>r</w:t>
      </w:r>
      <w:r w:rsidR="00D26575">
        <w:t>iod</w:t>
      </w:r>
      <w:r w:rsidR="00F41EFE">
        <w:t xml:space="preserve"> </w:t>
      </w:r>
      <w:r w:rsidR="00F41EFE">
        <w:fldChar w:fldCharType="begin"/>
      </w:r>
      <w:r w:rsidR="00F41EFE">
        <w:instrText xml:space="preserve"> ADDIN EN.CITE &lt;EndNote&gt;&lt;Cite&gt;&lt;Author&gt;Berrington&lt;/Author&gt;&lt;Year&gt;2015&lt;/Year&gt;&lt;RecNum&gt;2&lt;/RecNum&gt;&lt;DisplayText&gt;(Berrington, Stone and Beaujouan 2015)&lt;/DisplayText&gt;&lt;record&gt;&lt;rec-number&gt;2&lt;/rec-number&gt;&lt;foreign-keys&gt;&lt;key app="EN" db-id="date2dst4vae0pe955kxa2tla9pzrxp00p95" timestamp="0"&gt;2&lt;/key&gt;&lt;/foreign-keys&gt;&lt;ref-type name="Journal Article"&gt;17&lt;/ref-type&gt;&lt;contributors&gt;&lt;authors&gt;&lt;author&gt;Berrington, Ann&lt;/author&gt;&lt;author&gt;Stone, Juliet&lt;/author&gt;&lt;author&gt;Beaujouan, Eva&lt;/author&gt;&lt;/authors&gt;&lt;/contributors&gt;&lt;titles&gt;&lt;title&gt;Educational differences in timing and quantum of childbearing in Britain: A study of cohorts born 1940−1969&lt;/title&gt;&lt;secondary-title&gt;Demographic Research&lt;/secondary-title&gt;&lt;/titles&gt;&lt;periodical&gt;&lt;full-title&gt;Demographic Research&lt;/full-title&gt;&lt;/periodical&gt;&lt;pages&gt;733-764&lt;/pages&gt;&lt;volume&gt;33&lt;/volume&gt;&lt;number&gt;23&lt;/number&gt;&lt;dates&gt;&lt;year&gt;2015&lt;/year&gt;&lt;/dates&gt;&lt;urls&gt;&lt;/urls&gt;&lt;/record&gt;&lt;/Cite&gt;&lt;/EndNote&gt;</w:instrText>
      </w:r>
      <w:r w:rsidR="00F41EFE">
        <w:fldChar w:fldCharType="separate"/>
      </w:r>
      <w:r w:rsidR="00F41EFE">
        <w:rPr>
          <w:noProof/>
        </w:rPr>
        <w:t>(Berrington, Stone and Beaujouan 2015)</w:t>
      </w:r>
      <w:r w:rsidR="00F41EFE">
        <w:fldChar w:fldCharType="end"/>
      </w:r>
      <w:r w:rsidR="00D26575">
        <w:t xml:space="preserve">. </w:t>
      </w:r>
      <w:bookmarkStart w:id="4" w:name="_Hlk157771197"/>
      <w:r w:rsidR="00D26575">
        <w:t xml:space="preserve">Secondly, </w:t>
      </w:r>
      <w:r w:rsidR="005C0947">
        <w:t xml:space="preserve">past research has shown that low educated women are more likely to have an </w:t>
      </w:r>
      <w:r w:rsidR="00C357A1" w:rsidRPr="00C357A1">
        <w:t xml:space="preserve">unintended </w:t>
      </w:r>
      <w:r w:rsidR="005C0947">
        <w:t>birth, which is often of higher order</w:t>
      </w:r>
      <w:r w:rsidR="00F41EFE">
        <w:t xml:space="preserve"> </w:t>
      </w:r>
      <w:r w:rsidR="002F766F">
        <w:fldChar w:fldCharType="begin">
          <w:fldData xml:space="preserve">PEVuZE5vdGU+PENpdGU+PEF1dGhvcj5XZWxsaW5nczwvQXV0aG9yPjxZZWFyPjIwMTM8L1llYXI+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=
</w:fldData>
        </w:fldChar>
      </w:r>
      <w:r w:rsidR="002F766F">
        <w:instrText xml:space="preserve"> ADDIN EN.CITE </w:instrText>
      </w:r>
      <w:r w:rsidR="002F766F">
        <w:fldChar w:fldCharType="begin">
          <w:fldData xml:space="preserve">PEVuZE5vdGU+PENpdGU+PEF1dGhvcj5XZWxsaW5nczwvQXV0aG9yPjxZZWFyPjIwMTM8L1llYXI+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=
</w:fldData>
        </w:fldChar>
      </w:r>
      <w:r w:rsidR="002F766F">
        <w:instrText xml:space="preserve"> ADDIN EN.CITE.DATA </w:instrText>
      </w:r>
      <w:r w:rsidR="002F766F">
        <w:fldChar w:fldCharType="end"/>
      </w:r>
      <w:r w:rsidR="002F766F">
        <w:fldChar w:fldCharType="separate"/>
      </w:r>
      <w:r w:rsidR="002F766F">
        <w:rPr>
          <w:noProof/>
        </w:rPr>
        <w:t>(Wellings, Jones et al. 2013, Patrick and Andersen 2023)</w:t>
      </w:r>
      <w:r w:rsidR="002F766F">
        <w:fldChar w:fldCharType="end"/>
      </w:r>
      <w:r w:rsidR="0086002A">
        <w:t xml:space="preserve">. </w:t>
      </w:r>
      <w:bookmarkEnd w:id="4"/>
      <w:r w:rsidR="0086002A">
        <w:t>Furthermore, l</w:t>
      </w:r>
      <w:r>
        <w:t>ow-educated women are more likely to have complex family trajectories, such as multiple partners and children across relationships, making third births more likely</w:t>
      </w:r>
      <w:r w:rsidR="002E7165">
        <w:t xml:space="preserve"> </w:t>
      </w:r>
      <w:r w:rsidR="002E7165">
        <w:fldChar w:fldCharType="begin">
          <w:fldData xml:space="preserve">PEVuZE5vdGU+PENpdGU+PEF1dGhvcj5UaG9tc29uPC9BdXRob3I+PFllYXI+MjAxNDwvWWVhcj48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</w:fldData>
        </w:fldChar>
      </w:r>
      <w:r w:rsidR="00975E04">
        <w:instrText xml:space="preserve"> ADDIN EN.CITE </w:instrText>
      </w:r>
      <w:r w:rsidR="00975E04">
        <w:fldChar w:fldCharType="begin">
          <w:fldData xml:space="preserve">PEVuZE5vdGU+PENpdGU+PEF1dGhvcj5UaG9tc29uPC9BdXRob3I+PFllYXI+MjAxNDwvWWVhcj48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</w:fldData>
        </w:fldChar>
      </w:r>
      <w:r w:rsidR="00975E04">
        <w:instrText xml:space="preserve"> ADDIN EN.CITE.DATA </w:instrText>
      </w:r>
      <w:r w:rsidR="00975E04">
        <w:fldChar w:fldCharType="end"/>
      </w:r>
      <w:r w:rsidR="002E7165">
        <w:fldChar w:fldCharType="separate"/>
      </w:r>
      <w:r w:rsidR="00975E04">
        <w:rPr>
          <w:noProof/>
        </w:rPr>
        <w:t>(Thomson, Lappegård et al. 2014, Jalovaara and Kreyenfeld 2020, Jalovaara, Andersson and Miettinen 2021)</w:t>
      </w:r>
      <w:r w:rsidR="002E7165">
        <w:fldChar w:fldCharType="end"/>
      </w:r>
      <w:r>
        <w:t xml:space="preserve">. </w:t>
      </w:r>
      <w:r w:rsidR="008648FF">
        <w:fldChar w:fldCharType="begin"/>
      </w:r>
      <w:r w:rsidR="00975E04">
        <w:instrText xml:space="preserve"> ADDIN EN.CITE &lt;EndNote&gt;&lt;Cite AuthorYear="1"&gt;&lt;Author&gt;Brzozowska&lt;/Author&gt;&lt;Year&gt;2022&lt;/Year&gt;&lt;RecNum&gt;300&lt;/RecNum&gt;&lt;DisplayText&gt;Brzozowska, Beaujouan and Zeman (2022)&lt;/DisplayText&gt;&lt;record&gt;&lt;rec-number&gt;300&lt;/rec-number&gt;&lt;foreign-keys&gt;&lt;key app="EN" db-id="sde5vef9krws0aere98vvf0wawszed5rzw2t" timestamp="1694006286"&gt;300&lt;/key&gt;&lt;/foreign-keys&gt;&lt;ref-type name="Journal Article"&gt;17&lt;/ref-type&gt;&lt;contributors&gt;&lt;authors&gt;&lt;author&gt;Brzozowska, Zuzanna&lt;/author&gt;&lt;author&gt;Beaujouan, Eva&lt;/author&gt;&lt;author&gt;Zeman, Kryštof&lt;/author&gt;&lt;/authors&gt;&lt;/contributors&gt;&lt;titles&gt;&lt;title&gt;Is Two Still Best? Change in Parity-Specific Fertility Across Education in Low-Fertility Countries&lt;/title&gt;&lt;secondary-title&gt;Population Research and Policy Review&lt;/secondary-title&gt;&lt;/titles&gt;&lt;periodical&gt;&lt;full-title&gt;Population Research and Policy Review&lt;/full-title&gt;&lt;/periodical&gt;&lt;pages&gt;2085-2114&lt;/pages&gt;&lt;volume&gt;41&lt;/volume&gt;&lt;number&gt;5&lt;/number&gt;&lt;dates&gt;&lt;year&gt;2022&lt;/year&gt;&lt;pub-dates&gt;&lt;date&gt;2022/10/01&lt;/date&gt;&lt;/pub-dates&gt;&lt;/dates&gt;&lt;urls&gt;&lt;related-urls&gt;&lt;url&gt;https://doi.org/10.1007/s11113-022-09716-4&lt;/url&gt;&lt;/related-urls&gt;&lt;/urls&gt;&lt;electronic-resource-num&gt;10.1007/s11113-022-09716-4&lt;/electronic-resource-num&gt;&lt;/record&gt;&lt;/Cite&gt;&lt;/EndNote&gt;</w:instrText>
      </w:r>
      <w:r w:rsidR="008648FF">
        <w:fldChar w:fldCharType="separate"/>
      </w:r>
      <w:r w:rsidR="00975E04">
        <w:rPr>
          <w:noProof/>
        </w:rPr>
        <w:t>Brzozowska, Beaujouan and Zeman (2022)</w:t>
      </w:r>
      <w:r w:rsidR="008648FF">
        <w:fldChar w:fldCharType="end"/>
      </w:r>
      <w:r>
        <w:t xml:space="preserve"> found an increase in third birth rates among the low educated across multiple Western countries, arguing that as the progression to first and second births declined, those at risk for a third birth have become more selective and thus more family oriented, increasing </w:t>
      </w:r>
      <w:r w:rsidR="004636B4">
        <w:t xml:space="preserve">the likelihood of progression to a </w:t>
      </w:r>
      <w:r>
        <w:t xml:space="preserve">third birth </w:t>
      </w:r>
      <w:r w:rsidR="00E115A7">
        <w:t>and creating a polarization of family size</w:t>
      </w:r>
      <w:r w:rsidR="00272C93">
        <w:t>, especially</w:t>
      </w:r>
      <w:r w:rsidR="00E115A7">
        <w:t xml:space="preserve"> among the least educated</w:t>
      </w:r>
      <w:r>
        <w:t>.</w:t>
      </w:r>
      <w:r w:rsidR="00272C93">
        <w:t xml:space="preserve"> </w:t>
      </w:r>
      <w:r w:rsidR="00EC71CF">
        <w:fldChar w:fldCharType="begin"/>
      </w:r>
      <w:r w:rsidR="00975E04">
        <w:instrText xml:space="preserve"> ADDIN EN.CITE &lt;EndNote&gt;&lt;Cite AuthorYear="1"&gt;&lt;Author&gt;Brzozowska&lt;/Author&gt;&lt;Year&gt;2022&lt;/Year&gt;&lt;RecNum&gt;300&lt;/RecNum&gt;&lt;DisplayText&gt;Brzozowska, Beaujouan and Zeman (2022)&lt;/DisplayText&gt;&lt;record&gt;&lt;rec-number&gt;300&lt;/rec-number&gt;&lt;foreign-keys&gt;&lt;key app="EN" db-id="sde5vef9krws0aere98vvf0wawszed5rzw2t" timestamp="1694006286"&gt;300&lt;/key&gt;&lt;/foreign-keys&gt;&lt;ref-type name="Journal Article"&gt;17&lt;/ref-type&gt;&lt;contributors&gt;&lt;authors&gt;&lt;author&gt;Brzozowska, Zuzanna&lt;/author&gt;&lt;author&gt;Beaujouan, Eva&lt;/author&gt;&lt;author&gt;Zeman, Kryštof&lt;/author&gt;&lt;/authors&gt;&lt;/contributors&gt;&lt;titles&gt;&lt;title&gt;Is Two Still Best? Change in Parity-Specific Fertility Across Education in Low-Fertility Countries&lt;/title&gt;&lt;secondary-title&gt;Population Research and Policy Review&lt;/secondary-title&gt;&lt;/titles&gt;&lt;periodical&gt;&lt;full-title&gt;Population Research and Policy Review&lt;/full-title&gt;&lt;/periodical&gt;&lt;pages&gt;2085-2114&lt;/pages&gt;&lt;volume&gt;41&lt;/volume&gt;&lt;number&gt;5&lt;/number&gt;&lt;dates&gt;&lt;year&gt;2022&lt;/year&gt;&lt;pub-dates&gt;&lt;date&gt;2022/10/01&lt;/date&gt;&lt;/pub-dates&gt;&lt;/dates&gt;&lt;urls&gt;&lt;related-urls&gt;&lt;url&gt;https://doi.org/10.1007/s11113-022-09716-4&lt;/url&gt;&lt;/related-urls&gt;&lt;/urls&gt;&lt;electronic-resource-num&gt;10.1007/s11113-022-09716-4&lt;/electronic-resource-num&gt;&lt;/record&gt;&lt;/Cite&gt;&lt;/EndNote&gt;</w:instrText>
      </w:r>
      <w:r w:rsidR="00EC71CF">
        <w:fldChar w:fldCharType="separate"/>
      </w:r>
      <w:r w:rsidR="00975E04">
        <w:rPr>
          <w:noProof/>
        </w:rPr>
        <w:t>Brzozowska, Beaujouan and Zeman (2022)</w:t>
      </w:r>
      <w:r w:rsidR="00EC71CF">
        <w:fldChar w:fldCharType="end"/>
      </w:r>
      <w:r w:rsidR="00EC71CF">
        <w:t xml:space="preserve"> </w:t>
      </w:r>
      <w:bookmarkStart w:id="5" w:name="_Hlk158124793"/>
      <w:r w:rsidR="00272C93">
        <w:t>conclude</w:t>
      </w:r>
      <w:r w:rsidR="002F580E">
        <w:t>d</w:t>
      </w:r>
      <w:r w:rsidR="00272C93">
        <w:t xml:space="preserve"> that rising polarization of family size is consistently a hallmark of high</w:t>
      </w:r>
      <w:r w:rsidR="00E9325A">
        <w:t>-</w:t>
      </w:r>
      <w:r w:rsidR="00272C93">
        <w:t xml:space="preserve">income low fertility countries, regardless of country context. </w:t>
      </w:r>
      <w:bookmarkEnd w:id="5"/>
      <w:r w:rsidR="00D65732">
        <w:t xml:space="preserve">Previous empirical evidence for the UK suggests </w:t>
      </w:r>
      <w:r w:rsidR="00034F64">
        <w:t>t</w:t>
      </w:r>
      <w:r w:rsidR="00D65732">
        <w:t xml:space="preserve">hat the educational gradient of progression to third birth </w:t>
      </w:r>
      <w:r w:rsidR="007D5318">
        <w:t xml:space="preserve">was historically small </w:t>
      </w:r>
      <w:r w:rsidR="00E57534">
        <w:fldChar w:fldCharType="begin">
          <w:fldData xml:space="preserve">PEVuZE5vdGU+PENpdGU+PEF1dGhvcj5XcmlnaHQ8L0F1dGhvcj48WWVhcj4xOTg4PC9ZZWFyPjxS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</w:fldData>
        </w:fldChar>
      </w:r>
      <w:r w:rsidR="00E57534">
        <w:instrText xml:space="preserve"> ADDIN EN.CITE </w:instrText>
      </w:r>
      <w:r w:rsidR="00E57534">
        <w:fldChar w:fldCharType="begin">
          <w:fldData xml:space="preserve">PEVuZE5vdGU+PENpdGU+PEF1dGhvcj5XcmlnaHQ8L0F1dGhvcj48WWVhcj4xOTg4PC9ZZWFyPjxS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</w:fldData>
        </w:fldChar>
      </w:r>
      <w:r w:rsidR="00E57534">
        <w:instrText xml:space="preserve"> ADDIN EN.CITE.DATA </w:instrText>
      </w:r>
      <w:r w:rsidR="00E57534">
        <w:fldChar w:fldCharType="end"/>
      </w:r>
      <w:r w:rsidR="00E57534">
        <w:fldChar w:fldCharType="separate"/>
      </w:r>
      <w:r w:rsidR="00E57534">
        <w:rPr>
          <w:noProof/>
        </w:rPr>
        <w:t>(Wright, Ermisch et al. 1988)</w:t>
      </w:r>
      <w:r w:rsidR="00E57534">
        <w:fldChar w:fldCharType="end"/>
      </w:r>
      <w:r w:rsidR="00690DE2">
        <w:t xml:space="preserve">. However, educational differences </w:t>
      </w:r>
      <w:r w:rsidR="007D5318">
        <w:t>may have increas</w:t>
      </w:r>
      <w:r w:rsidR="00690DE2">
        <w:t>ed</w:t>
      </w:r>
      <w:r w:rsidR="007D5318">
        <w:t xml:space="preserve"> for more recent birth cohorts </w:t>
      </w:r>
      <w:r w:rsidR="00E57534">
        <w:fldChar w:fldCharType="begin"/>
      </w:r>
      <w:r w:rsidR="00975E04">
        <w:instrText xml:space="preserve"> ADDIN EN.CITE &lt;EndNote&gt;&lt;Cite&gt;&lt;Author&gt;Berrington&lt;/Author&gt;&lt;Year&gt;2015&lt;/Year&gt;&lt;RecNum&gt;2&lt;/RecNum&gt;&lt;DisplayText&gt;(Berrington, Stone and Beaujouan 2015)&lt;/DisplayText&gt;&lt;record&gt;&lt;rec-number&gt;2&lt;/rec-number&gt;&lt;foreign-keys&gt;&lt;key app="EN" db-id="date2dst4vae0pe955kxa2tla9pzrxp00p95" timestamp="0"&gt;2&lt;/key&gt;&lt;/foreign-keys&gt;&lt;ref-type name="Journal Article"&gt;17&lt;/ref-type&gt;&lt;contributors&gt;&lt;authors&gt;&lt;author&gt;Berrington, Ann&lt;/author&gt;&lt;author&gt;Stone, Juliet&lt;/author&gt;&lt;author&gt;Beaujouan, Eva&lt;/author&gt;&lt;/authors&gt;&lt;/contributors&gt;&lt;titles&gt;&lt;title&gt;Educational differences in timing and quantum of childbearing in Britain: A study of cohorts born 1940−1969&lt;/title&gt;&lt;secondary-title&gt;Demographic Research&lt;/secondary-title&gt;&lt;/titles&gt;&lt;periodical&gt;&lt;full-title&gt;Demographic Research&lt;/full-title&gt;&lt;/periodical&gt;&lt;pages&gt;733-764&lt;/pages&gt;&lt;volume&gt;33&lt;/volume&gt;&lt;number&gt;23&lt;/number&gt;&lt;dates&gt;&lt;year&gt;2015&lt;/year&gt;&lt;/dates&gt;&lt;urls&gt;&lt;/urls&gt;&lt;/record&gt;&lt;/Cite&gt;&lt;/EndNote&gt;</w:instrText>
      </w:r>
      <w:r w:rsidR="00E57534">
        <w:fldChar w:fldCharType="separate"/>
      </w:r>
      <w:r w:rsidR="00975E04">
        <w:rPr>
          <w:noProof/>
        </w:rPr>
        <w:t>(Berrington, Stone and Beaujouan 2015)</w:t>
      </w:r>
      <w:r w:rsidR="00E57534">
        <w:fldChar w:fldCharType="end"/>
      </w:r>
      <w:r w:rsidR="00147E57" w:rsidRPr="00147E57">
        <w:t xml:space="preserve">.  </w:t>
      </w:r>
    </w:p>
    <w:p w14:paraId="49E2BDBB" w14:textId="5D1722B6" w:rsidR="00C12DC2" w:rsidRDefault="00014B76" w:rsidP="00C15D4C">
      <w:pPr>
        <w:spacing w:line="480" w:lineRule="auto"/>
      </w:pPr>
      <w:r>
        <w:t>A</w:t>
      </w:r>
      <w:r w:rsidR="00D24EDA">
        <w:t xml:space="preserve">n income effect </w:t>
      </w:r>
      <w:r w:rsidR="00BB1F67">
        <w:t xml:space="preserve">could </w:t>
      </w:r>
      <w:r w:rsidR="00D24EDA">
        <w:t>offset some of the aforementioned mechanis</w:t>
      </w:r>
      <w:r w:rsidR="00430D38">
        <w:t xml:space="preserve">ms. </w:t>
      </w:r>
      <w:r w:rsidR="007D5318">
        <w:t>D</w:t>
      </w:r>
      <w:r w:rsidR="00810587">
        <w:t xml:space="preserve">ue to </w:t>
      </w:r>
      <w:r w:rsidR="00C15D4C">
        <w:t>assortative mating, higher educated people may have more household earnings</w:t>
      </w:r>
      <w:r w:rsidR="00927096">
        <w:t xml:space="preserve"> </w:t>
      </w:r>
      <w:r w:rsidR="008C5C92">
        <w:fldChar w:fldCharType="begin"/>
      </w:r>
      <w:r w:rsidR="008C5C92">
        <w:instrText xml:space="preserve"> ADDIN EN.CITE &lt;EndNote&gt;&lt;Cite&gt;&lt;Author&gt;Esping-Andersen&lt;/Author&gt;&lt;Year&gt;2009&lt;/Year&gt;&lt;RecNum&gt;71&lt;/RecNum&gt;&lt;DisplayText&gt;(Esping-Andersen 2009, Konietzka and Kreyenfeld 2010)&lt;/DisplayText&gt;&lt;record&gt;&lt;rec-number&gt;71&lt;/rec-number&gt;&lt;foreign-keys&gt;&lt;key app="EN" db-id="date2dst4vae0pe955kxa2tla9pzrxp00p95" timestamp="1665058363"&gt;71&lt;/key&gt;&lt;/foreign-keys&gt;&lt;ref-type name="Book"&gt;6&lt;/ref-type&gt;&lt;contributors&gt;&lt;authors&gt;&lt;author&gt;Esping-Andersen, Gosta&lt;/author&gt;&lt;/authors&gt;&lt;/contributors&gt;&lt;titles&gt;&lt;title&gt;Incomplete revolution: Adapting welfare states to women&amp;apos;s new roles&lt;/title&gt;&lt;/titles&gt;&lt;dates&gt;&lt;year&gt;2009&lt;/year&gt;&lt;/dates&gt;&lt;publisher&gt;Polity&lt;/publisher&gt;&lt;isbn&gt;0745643167&lt;/isbn&gt;&lt;urls&gt;&lt;/urls&gt;&lt;/record&gt;&lt;/Cite&gt;&lt;Cite&gt;&lt;Author&gt;Konietzka&lt;/Author&gt;&lt;Year&gt;2010&lt;/Year&gt;&lt;RecNum&gt;354&lt;/RecNum&gt;&lt;record&gt;&lt;rec-number&gt;354&lt;/rec-number&gt;&lt;foreign-keys&gt;&lt;key app="EN" db-id="date2dst4vae0pe955kxa2tla9pzrxp00p95" timestamp="1706879311"&gt;354&lt;/key&gt;&lt;/foreign-keys&gt;&lt;ref-type name="Journal Article"&gt;17&lt;/ref-type&gt;&lt;contributors&gt;&lt;authors&gt;&lt;author&gt;Konietzka, Dirk&lt;/author&gt;&lt;author&gt;Kreyenfeld, Michaela&lt;/author&gt;&lt;/authors&gt;&lt;/contributors&gt;&lt;titles&gt;&lt;title&gt;The growing educational divide in mothers’ employment: an investigation based on the German micro-censuses 1976-2004&lt;/title&gt;&lt;secondary-title&gt;Work, Employment and Society&lt;/secondary-title&gt;&lt;/titles&gt;&lt;periodical&gt;&lt;full-title&gt;Work, Employment and Society&lt;/full-title&gt;&lt;/periodical&gt;&lt;pages&gt;260-278&lt;/pages&gt;&lt;volume&gt;24&lt;/volume&gt;&lt;number&gt;2&lt;/number&gt;&lt;keywords&gt;&lt;keyword&gt;education,female labour force participation,male breadwinner model,micro-census,western Germany&lt;/keyword&gt;&lt;/keywords&gt;&lt;dates&gt;&lt;year&gt;2010&lt;/year&gt;&lt;/dates&gt;&lt;urls&gt;&lt;related-urls&gt;&lt;url&gt;https://journals.sagepub.com/doi/abs/10.1177/0950017010362140&lt;/url&gt;&lt;/related-urls&gt;&lt;/urls&gt;&lt;electronic-resource-num&gt;10.1177/0950017010362140&lt;/electronic-resource-num&gt;&lt;/record&gt;&lt;/Cite&gt;&lt;/EndNote&gt;</w:instrText>
      </w:r>
      <w:r w:rsidR="008C5C92">
        <w:fldChar w:fldCharType="separate"/>
      </w:r>
      <w:r w:rsidR="008C5C92">
        <w:rPr>
          <w:noProof/>
        </w:rPr>
        <w:t>(Esping-Andersen 2009, Konietzka and Kreyenfeld 2010)</w:t>
      </w:r>
      <w:r w:rsidR="008C5C92">
        <w:fldChar w:fldCharType="end"/>
      </w:r>
      <w:r w:rsidR="008C5C92">
        <w:t xml:space="preserve">, </w:t>
      </w:r>
      <w:r w:rsidR="00D65732">
        <w:t xml:space="preserve">and thus </w:t>
      </w:r>
      <w:r w:rsidR="00C15D4C">
        <w:t>resources</w:t>
      </w:r>
      <w:r w:rsidR="00964F9E">
        <w:t>, for example</w:t>
      </w:r>
      <w:r w:rsidR="00C15D4C">
        <w:t xml:space="preserve"> to pay for </w:t>
      </w:r>
      <w:r w:rsidR="00810587">
        <w:t xml:space="preserve">private </w:t>
      </w:r>
      <w:r w:rsidR="00C15D4C">
        <w:t>childcare,</w:t>
      </w:r>
      <w:r w:rsidR="00B35751">
        <w:t xml:space="preserve"> </w:t>
      </w:r>
      <w:r w:rsidR="00B35751">
        <w:fldChar w:fldCharType="begin"/>
      </w:r>
      <w:r w:rsidR="00E9107D">
        <w:instrText xml:space="preserve"> ADDIN EN.CITE &lt;EndNote&gt;&lt;Cite&gt;&lt;Author&gt;Joshi&lt;/Author&gt;&lt;Year&gt;2002&lt;/Year&gt;&lt;RecNum&gt;351&lt;/RecNum&gt;&lt;DisplayText&gt;(Joshi 2002, Köppen 2006)&lt;/DisplayText&gt;&lt;record&gt;&lt;rec-number&gt;351&lt;/rec-number&gt;&lt;foreign-keys&gt;&lt;key app="EN" db-id="date2dst4vae0pe955kxa2tla9pzrxp00p95" timestamp="1706877936"&gt;351&lt;/key&gt;&lt;/foreign-keys&gt;&lt;ref-type name="Journal Article"&gt;17&lt;/ref-type&gt;&lt;contributors&gt;&lt;authors&gt;&lt;author&gt;Joshi, Heather&lt;/author&gt;&lt;/authors&gt;&lt;/contributors&gt;&lt;titles&gt;&lt;title&gt;Production, Reproduction, and Education: Women, Children, and Work in a British Perspective&lt;/title&gt;&lt;secondary-title&gt;Population and Development Review&lt;/secondary-title&gt;&lt;/titles&gt;&lt;periodical&gt;&lt;full-title&gt;Population and Development Review&lt;/full-title&gt;&lt;/periodical&gt;&lt;pages&gt;445-474&lt;/pages&gt;&lt;volume&gt;28&lt;/volume&gt;&lt;number&gt;3&lt;/number&gt;&lt;dates&gt;&lt;year&gt;2002&lt;/year&gt;&lt;/dates&gt;&lt;isbn&gt;0098-7921&lt;/isbn&gt;&lt;urls&gt;&lt;related-urls&gt;&lt;url&gt;https://onlinelibrary.wiley.com/doi/abs/10.1111/j.1728-4457.2002.00445.x&lt;/url&gt;&lt;/related-urls&gt;&lt;/urls&gt;&lt;electronic-resource-num&gt;https://doi.org/10.1111/j.1728-4457.2002.00445.x&lt;/electronic-resource-num&gt;&lt;/record&gt;&lt;/Cite&gt;&lt;Cite&gt;&lt;Author&gt;Köppen&lt;/Author&gt;&lt;Year&gt;2006&lt;/Year&gt;&lt;RecNum&gt;308&lt;/RecNum&gt;&lt;record&gt;&lt;rec-number&gt;308&lt;/rec-number&gt;&lt;foreign-keys&gt;&lt;key app="EN" db-id="sde5vef9krws0aere98vvf0wawszed5rzw2t" timestamp="1694011349"&gt;308&lt;/key&gt;&lt;/foreign-keys&gt;&lt;ref-type name="Journal Article"&gt;17&lt;/ref-type&gt;&lt;contributors&gt;&lt;authors&gt;&lt;author&gt;Köppen, Katja&lt;/author&gt;&lt;/authors&gt;&lt;/contributors&gt;&lt;titles&gt;&lt;title&gt;Second births in western Germany and France&lt;/title&gt;&lt;secondary-title&gt;Demographic Research&lt;/secondary-title&gt;&lt;/titles&gt;&lt;periodical&gt;&lt;full-title&gt;Demographic Research&lt;/full-title&gt;&lt;/periodical&gt;&lt;pages&gt;295-330&lt;/pages&gt;&lt;volume&gt;14&lt;/volume&gt;&lt;number&gt;14&lt;/number&gt;&lt;dates&gt;&lt;year&gt;2006&lt;/year&gt;&lt;/dates&gt;&lt;isbn&gt;1435-9871&lt;/isbn&gt;&lt;urls&gt;&lt;related-urls&gt;&lt;url&gt;https://www.demographic-research.org/volumes/vol14/14/&lt;/url&gt;&lt;url&gt;https://www.demographic-research.org/volumes/vol14/14/14-14.pdf&lt;/url&gt;&lt;/related-urls&gt;&lt;/urls&gt;&lt;/record&gt;&lt;/Cite&gt;&lt;/EndNote&gt;</w:instrText>
      </w:r>
      <w:r w:rsidR="00B35751">
        <w:fldChar w:fldCharType="separate"/>
      </w:r>
      <w:r w:rsidR="00B35751">
        <w:rPr>
          <w:noProof/>
        </w:rPr>
        <w:t>(Joshi 2002, Köppen 2006)</w:t>
      </w:r>
      <w:r w:rsidR="00B35751">
        <w:fldChar w:fldCharType="end"/>
      </w:r>
      <w:r w:rsidR="00C15D4C">
        <w:t>. Higher educated people</w:t>
      </w:r>
      <w:r w:rsidR="00034F64">
        <w:t xml:space="preserve"> are also</w:t>
      </w:r>
      <w:r w:rsidR="00C15D4C">
        <w:t xml:space="preserve"> more able to outsource labor </w:t>
      </w:r>
      <w:r w:rsidR="00FF7D04">
        <w:fldChar w:fldCharType="begin">
          <w:fldData xml:space="preserve">PEVuZE5vdGU+PENpdGU+PEF1dGhvcj5SYXotWXVyb3ZpY2g8L0F1dGhvcj48WWVhcj4yMDE2PC9Z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</w:fldData>
        </w:fldChar>
      </w:r>
      <w:r w:rsidR="00FF7D04">
        <w:instrText xml:space="preserve"> ADDIN EN.CITE </w:instrText>
      </w:r>
      <w:r w:rsidR="00FF7D04">
        <w:fldChar w:fldCharType="begin">
          <w:fldData xml:space="preserve">PEVuZE5vdGU+PENpdGU+PEF1dGhvcj5SYXotWXVyb3ZpY2g8L0F1dGhvcj48WWVhcj4yMDE2PC9Z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</w:fldData>
        </w:fldChar>
      </w:r>
      <w:r w:rsidR="00FF7D04">
        <w:instrText xml:space="preserve"> ADDIN EN.CITE.DATA </w:instrText>
      </w:r>
      <w:r w:rsidR="00FF7D04">
        <w:fldChar w:fldCharType="end"/>
      </w:r>
      <w:r w:rsidR="00FF7D04">
        <w:fldChar w:fldCharType="separate"/>
      </w:r>
      <w:r w:rsidR="00FF7D04">
        <w:rPr>
          <w:noProof/>
        </w:rPr>
        <w:t>(Rindfuss, Guilkey et al. 2007, Raz-Yurovich 2016)</w:t>
      </w:r>
      <w:r w:rsidR="00FF7D04">
        <w:fldChar w:fldCharType="end"/>
      </w:r>
      <w:r w:rsidR="00C15D4C">
        <w:t xml:space="preserve"> or</w:t>
      </w:r>
      <w:r w:rsidR="008C48F2">
        <w:t xml:space="preserve"> may have access to occupations with increased </w:t>
      </w:r>
      <w:r w:rsidR="002F51B9">
        <w:t xml:space="preserve">temporal and spatial work </w:t>
      </w:r>
      <w:r w:rsidR="00C15D4C">
        <w:t xml:space="preserve">flexibility </w:t>
      </w:r>
      <w:r w:rsidR="008C48F2">
        <w:fldChar w:fldCharType="begin"/>
      </w:r>
      <w:r w:rsidR="008C48F2">
        <w:instrText xml:space="preserve"> ADDIN EN.CITE &lt;EndNote&gt;&lt;Cite&gt;&lt;Author&gt;Kossek&lt;/Author&gt;&lt;Year&gt;2018&lt;/Year&gt;&lt;RecNum&gt;304&lt;/RecNum&gt;&lt;DisplayText&gt;(Kossek and Lautsch 2018)&lt;/DisplayText&gt;&lt;record&gt;&lt;rec-number&gt;304&lt;/rec-number&gt;&lt;foreign-keys&gt;&lt;key app="EN" db-id="sde5vef9krws0aere98vvf0wawszed5rzw2t" timestamp="1694007402"&gt;304&lt;/key&gt;&lt;/foreign-keys&gt;&lt;ref-type name="Journal Article"&gt;17&lt;/ref-type&gt;&lt;contributors&gt;&lt;authors&gt;&lt;author&gt;Kossek, Ellen Ernst&lt;/author&gt;&lt;author&gt;Lautsch, Brenda A.&lt;/author&gt;&lt;/authors&gt;&lt;/contributors&gt;&lt;auth-address&gt;Kossek, Ellen Ernst: Purdue University, Krannert School of Management and Research, West Lafayette, IN, US&lt;/auth-address&gt;&lt;titles&gt;&lt;title&gt;Work–life flexibility for whom? Occupational status and work–life inequality in upper, middle, and lower level jobs&lt;/title&gt;&lt;secondary-title&gt;The Academy of Management Annals&lt;/secondary-title&gt;&lt;/titles&gt;&lt;periodical&gt;&lt;full-title&gt;The Academy of Management Annals&lt;/full-title&gt;&lt;/periodical&gt;&lt;pages&gt;5-36&lt;/pages&gt;&lt;volume&gt;12&lt;/volume&gt;&lt;number&gt;1&lt;/number&gt;&lt;keywords&gt;&lt;keyword&gt;*Employee Attitudes&lt;/keyword&gt;&lt;keyword&gt;*Self-Regulation&lt;/keyword&gt;&lt;keyword&gt;Work-Life Balance&lt;/keyword&gt;&lt;/keywords&gt;&lt;dates&gt;&lt;year&gt;2018&lt;/year&gt;&lt;/dates&gt;&lt;pub-location&gt;US&lt;/pub-location&gt;&lt;publisher&gt;Academy of Management&lt;/publisher&gt;&lt;isbn&gt;1941-6067(Electronic),1941-6520(Print)&lt;/isbn&gt;&lt;urls&gt;&lt;/urls&gt;&lt;electronic-resource-num&gt;10.5465/annals.2016.0059&lt;/electronic-resource-num&gt;&lt;/record&gt;&lt;/Cite&gt;&lt;/EndNote&gt;</w:instrText>
      </w:r>
      <w:r w:rsidR="008C48F2">
        <w:fldChar w:fldCharType="separate"/>
      </w:r>
      <w:r w:rsidR="008C48F2">
        <w:rPr>
          <w:noProof/>
        </w:rPr>
        <w:t>(Kossek and Lautsch 2018)</w:t>
      </w:r>
      <w:r w:rsidR="008C48F2">
        <w:fldChar w:fldCharType="end"/>
      </w:r>
      <w:r w:rsidR="00C15D4C">
        <w:t xml:space="preserve">, </w:t>
      </w:r>
      <w:r w:rsidR="008C48F2">
        <w:t>allowing for</w:t>
      </w:r>
      <w:r w:rsidR="00E67227">
        <w:t xml:space="preserve"> easier</w:t>
      </w:r>
      <w:r w:rsidR="008C48F2">
        <w:t xml:space="preserve"> </w:t>
      </w:r>
      <w:r w:rsidR="00C15D4C">
        <w:t>combin</w:t>
      </w:r>
      <w:r w:rsidR="008C48F2">
        <w:t>ation of</w:t>
      </w:r>
      <w:r w:rsidR="00C15D4C">
        <w:t xml:space="preserve"> work </w:t>
      </w:r>
      <w:r w:rsidR="00D3093F">
        <w:t>and</w:t>
      </w:r>
      <w:r w:rsidR="00C15D4C">
        <w:t xml:space="preserve"> family.</w:t>
      </w:r>
    </w:p>
    <w:p w14:paraId="6E0C2D3F" w14:textId="5D808B88" w:rsidR="00D01B22" w:rsidRPr="00C64722" w:rsidRDefault="00034F64" w:rsidP="00837940">
      <w:pPr>
        <w:pStyle w:val="Heading3"/>
      </w:pPr>
      <w:r>
        <w:t xml:space="preserve">2.2. </w:t>
      </w:r>
      <w:r w:rsidR="00FE3C70">
        <w:t>Country context as a moderator</w:t>
      </w:r>
      <w:r w:rsidR="00D01B22" w:rsidRPr="00034F64">
        <w:t xml:space="preserve"> </w:t>
      </w:r>
    </w:p>
    <w:p w14:paraId="296A2FC2" w14:textId="7BBAC422" w:rsidR="00914EC9" w:rsidRDefault="009716A8">
      <w:pPr>
        <w:spacing w:line="480" w:lineRule="auto"/>
        <w:rPr>
          <w:rFonts w:cstheme="minorHAnsi"/>
        </w:rPr>
      </w:pPr>
      <w:r>
        <w:t>E</w:t>
      </w:r>
      <w:r w:rsidR="00776DB9">
        <w:t>ducational pattern</w:t>
      </w:r>
      <w:r w:rsidR="00914EC9">
        <w:t>s</w:t>
      </w:r>
      <w:r w:rsidR="00776DB9">
        <w:t xml:space="preserve"> of parity progression</w:t>
      </w:r>
      <w:r w:rsidR="00F376DB">
        <w:t xml:space="preserve"> </w:t>
      </w:r>
      <w:r w:rsidR="00776DB9">
        <w:t>vary by context</w:t>
      </w:r>
      <w:r w:rsidR="008F17A4">
        <w:t xml:space="preserve"> </w:t>
      </w:r>
      <w:r w:rsidR="008F17A4">
        <w:fldChar w:fldCharType="begin">
          <w:fldData xml:space="preserve">PEVuZE5vdGU+PENpdGU+PEF1dGhvcj5OaXPDqW48L0F1dGhvcj48WWVhcj4yMDIxPC9ZZWFyPjxS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</w:fldData>
        </w:fldChar>
      </w:r>
      <w:r w:rsidR="008F17A4">
        <w:instrText xml:space="preserve"> ADDIN EN.CITE </w:instrText>
      </w:r>
      <w:r w:rsidR="008F17A4">
        <w:fldChar w:fldCharType="begin">
          <w:fldData xml:space="preserve">PEVuZE5vdGU+PENpdGU+PEF1dGhvcj5OaXPDqW48L0F1dGhvcj48WWVhcj4yMDIxPC9ZZWFyPjxS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</w:fldData>
        </w:fldChar>
      </w:r>
      <w:r w:rsidR="008F17A4">
        <w:instrText xml:space="preserve"> ADDIN EN.CITE.DATA </w:instrText>
      </w:r>
      <w:r w:rsidR="008F17A4">
        <w:fldChar w:fldCharType="end"/>
      </w:r>
      <w:r w:rsidR="008F17A4">
        <w:fldChar w:fldCharType="separate"/>
      </w:r>
      <w:r w:rsidR="008F17A4">
        <w:rPr>
          <w:noProof/>
        </w:rPr>
        <w:t>(Nisén, Klüsener et al. 2021)</w:t>
      </w:r>
      <w:r w:rsidR="008F17A4">
        <w:fldChar w:fldCharType="end"/>
      </w:r>
      <w:r w:rsidR="000C3B08">
        <w:t>.</w:t>
      </w:r>
      <w:r w:rsidR="005215B5">
        <w:t xml:space="preserve"> </w:t>
      </w:r>
      <w:r w:rsidR="00865BE0">
        <w:t>F</w:t>
      </w:r>
      <w:r w:rsidR="007B0911">
        <w:t>or</w:t>
      </w:r>
      <w:r w:rsidR="00865BE0">
        <w:t xml:space="preserve"> UK</w:t>
      </w:r>
      <w:r w:rsidR="007B0911">
        <w:t xml:space="preserve"> cohorts born between the 1940s and 1960s, there has been a strengthening of the positive relationship between education and childlessness </w:t>
      </w:r>
      <w:r w:rsidR="002F51B9">
        <w:fldChar w:fldCharType="begin"/>
      </w:r>
      <w:r w:rsidR="00975E04">
        <w:instrText xml:space="preserve"> ADDIN EN.CITE &lt;EndNote&gt;&lt;Cite&gt;&lt;Author&gt;Berrington&lt;/Author&gt;&lt;Year&gt;2015&lt;/Year&gt;&lt;RecNum&gt;2&lt;/RecNum&gt;&lt;DisplayText&gt;(Berrington, Stone and Beaujouan 2015)&lt;/DisplayText&gt;&lt;record&gt;&lt;rec-number&gt;2&lt;/rec-number&gt;&lt;foreign-keys&gt;&lt;key app="EN" db-id="date2dst4vae0pe955kxa2tla9pzrxp00p95" timestamp="0"&gt;2&lt;/key&gt;&lt;/foreign-keys&gt;&lt;ref-type name="Journal Article"&gt;17&lt;/ref-type&gt;&lt;contributors&gt;&lt;authors&gt;&lt;author&gt;Berrington, Ann&lt;/author&gt;&lt;author&gt;Stone, Juliet&lt;/author&gt;&lt;author&gt;Beaujouan, Eva&lt;/author&gt;&lt;/authors&gt;&lt;/contributors&gt;&lt;titles&gt;&lt;title&gt;Educational differences in timing and quantum of childbearing in Britain: A study of cohorts born 1940−1969&lt;/title&gt;&lt;secondary-title&gt;Demographic Research&lt;/secondary-title&gt;&lt;/titles&gt;&lt;periodical&gt;&lt;full-title&gt;Demographic Research&lt;/full-title&gt;&lt;/periodical&gt;&lt;pages&gt;733-764&lt;/pages&gt;&lt;volume&gt;33&lt;/volume&gt;&lt;number&gt;23&lt;/number&gt;&lt;dates&gt;&lt;year&gt;2015&lt;/year&gt;&lt;/dates&gt;&lt;urls&gt;&lt;/urls&gt;&lt;/record&gt;&lt;/Cite&gt;&lt;/EndNote&gt;</w:instrText>
      </w:r>
      <w:r w:rsidR="002F51B9">
        <w:fldChar w:fldCharType="separate"/>
      </w:r>
      <w:r w:rsidR="00975E04">
        <w:rPr>
          <w:noProof/>
        </w:rPr>
        <w:t>(Berrington, Stone and Beaujouan 2015)</w:t>
      </w:r>
      <w:r w:rsidR="002F51B9">
        <w:fldChar w:fldCharType="end"/>
      </w:r>
      <w:r w:rsidR="007B0911">
        <w:t xml:space="preserve">. However, in some other countries there has been a marked convergence in levels of childlessness across educational groups. </w:t>
      </w:r>
      <w:r w:rsidR="007E1189">
        <w:rPr>
          <w:rFonts w:cstheme="minorHAnsi"/>
          <w:bCs/>
        </w:rPr>
        <w:t>In France and Sp</w:t>
      </w:r>
      <w:r w:rsidR="007B0911">
        <w:rPr>
          <w:rFonts w:cstheme="minorHAnsi"/>
          <w:bCs/>
        </w:rPr>
        <w:t>ain</w:t>
      </w:r>
      <w:r w:rsidR="007E1189">
        <w:rPr>
          <w:rFonts w:cstheme="minorHAnsi"/>
          <w:bCs/>
        </w:rPr>
        <w:t xml:space="preserve">, </w:t>
      </w:r>
      <w:r w:rsidR="007B0911">
        <w:rPr>
          <w:rFonts w:cstheme="minorHAnsi"/>
          <w:bCs/>
        </w:rPr>
        <w:t xml:space="preserve">levels of </w:t>
      </w:r>
      <w:r w:rsidR="00776DB9" w:rsidRPr="0030298B">
        <w:rPr>
          <w:rFonts w:cstheme="minorHAnsi"/>
          <w:bCs/>
        </w:rPr>
        <w:t>childlessness among the least educated</w:t>
      </w:r>
      <w:r w:rsidR="007E1189">
        <w:rPr>
          <w:rFonts w:cstheme="minorHAnsi"/>
          <w:bCs/>
        </w:rPr>
        <w:t xml:space="preserve"> ha</w:t>
      </w:r>
      <w:r w:rsidR="007B0911">
        <w:rPr>
          <w:rFonts w:cstheme="minorHAnsi"/>
          <w:bCs/>
        </w:rPr>
        <w:t>v</w:t>
      </w:r>
      <w:r w:rsidR="00865BE0">
        <w:rPr>
          <w:rFonts w:cstheme="minorHAnsi"/>
          <w:bCs/>
        </w:rPr>
        <w:t>e</w:t>
      </w:r>
      <w:r w:rsidR="007B0911">
        <w:rPr>
          <w:rFonts w:cstheme="minorHAnsi"/>
          <w:bCs/>
        </w:rPr>
        <w:t xml:space="preserve"> </w:t>
      </w:r>
      <w:r w:rsidR="007E1189">
        <w:rPr>
          <w:rFonts w:cstheme="minorHAnsi"/>
          <w:bCs/>
        </w:rPr>
        <w:t xml:space="preserve">caught up to the </w:t>
      </w:r>
      <w:r w:rsidR="007B0911">
        <w:rPr>
          <w:rFonts w:cstheme="minorHAnsi"/>
          <w:bCs/>
        </w:rPr>
        <w:t xml:space="preserve">levels of those </w:t>
      </w:r>
      <w:r w:rsidR="007E1189">
        <w:rPr>
          <w:rFonts w:cstheme="minorHAnsi"/>
          <w:bCs/>
        </w:rPr>
        <w:t>highly educated</w:t>
      </w:r>
      <w:r w:rsidR="00776DB9">
        <w:rPr>
          <w:rFonts w:cstheme="minorHAnsi"/>
          <w:bCs/>
        </w:rPr>
        <w:t xml:space="preserve"> </w:t>
      </w:r>
      <w:r w:rsidR="002D4A64">
        <w:rPr>
          <w:rFonts w:cstheme="minorHAnsi"/>
          <w:bCs/>
        </w:rPr>
        <w:fldChar w:fldCharType="begin"/>
      </w:r>
      <w:r w:rsidR="002D4A64">
        <w:rPr>
          <w:rFonts w:cstheme="minorHAnsi"/>
          <w:bCs/>
        </w:rPr>
        <w:instrText xml:space="preserve"> ADDIN EN.CITE &lt;EndNote&gt;&lt;Cite&gt;&lt;Author&gt;Reher&lt;/Author&gt;&lt;Year&gt;2019&lt;/Year&gt;&lt;RecNum&gt;338&lt;/RecNum&gt;&lt;DisplayText&gt;(Reher and Requena 2019, Compans 2021)&lt;/DisplayText&gt;&lt;record&gt;&lt;rec-number&gt;338&lt;/rec-number&gt;&lt;foreign-keys&gt;&lt;key app="EN" db-id="date2dst4vae0pe955kxa2tla9pzrxp00p95" timestamp="1705328051"&gt;338&lt;/key&gt;&lt;/foreign-keys&gt;&lt;ref-type name="Journal Article"&gt;17&lt;/ref-type&gt;&lt;contributors&gt;&lt;authors&gt;&lt;author&gt;Reher, David&lt;/author&gt;&lt;author&gt;Requena, Miguel&lt;/author&gt;&lt;/authors&gt;&lt;/contributors&gt;&lt;titles&gt;&lt;title&gt;Childlessness in twentieth-century Spain: A cohort analysis for women born 1920–1969&lt;/title&gt;&lt;secondary-title&gt;European Journal of Population&lt;/secondary-title&gt;&lt;/titles&gt;&lt;periodical&gt;&lt;full-title&gt;European Journal of Population&lt;/full-title&gt;&lt;/periodical&gt;&lt;pages&gt;133-160&lt;/pages&gt;&lt;volume&gt;35&lt;/volume&gt;&lt;dates&gt;&lt;year&gt;2019&lt;/year&gt;&lt;/dates&gt;&lt;isbn&gt;0168-6577&lt;/isbn&gt;&lt;urls&gt;&lt;/urls&gt;&lt;/record&gt;&lt;/Cite&gt;&lt;Cite&gt;&lt;Author&gt;Compans&lt;/Author&gt;&lt;Year&gt;2021&lt;/Year&gt;&lt;RecNum&gt;358&lt;/RecNum&gt;&lt;record&gt;&lt;rec-number&gt;358&lt;/rec-number&gt;&lt;foreign-keys&gt;&lt;key app="EN" db-id="date2dst4vae0pe955kxa2tla9pzrxp00p95" timestamp="1706880781"&gt;358&lt;/key&gt;&lt;/foreign-keys&gt;&lt;ref-type name="Journal Article"&gt;17&lt;/ref-type&gt;&lt;contributors&gt;&lt;authors&gt;&lt;author&gt;Compans, Marie-Caroline&lt;/author&gt;&lt;/authors&gt;&lt;/contributors&gt;&lt;titles&gt;&lt;title&gt;Late motherhood, late fatherhood, and permanent childlessness: Trends by educational level and cohorts (1950–1970) in France&lt;/title&gt;&lt;secondary-title&gt;Demographic Research&lt;/secondary-title&gt;&lt;/titles&gt;&lt;periodical&gt;&lt;full-title&gt;Demographic Research&lt;/full-title&gt;&lt;/periodical&gt;&lt;pages&gt;329-344&lt;/pages&gt;&lt;volume&gt;45&lt;/volume&gt;&lt;number&gt;10&lt;/number&gt;&lt;dates&gt;&lt;year&gt;2021&lt;/year&gt;&lt;/dates&gt;&lt;isbn&gt;1435-9871&lt;/isbn&gt;&lt;urls&gt;&lt;related-urls&gt;&lt;url&gt;https://www.demographic-research.org/volumes/vol45/10/&lt;/url&gt;&lt;url&gt;https://www.demographic-research.org/volumes/vol45/10/45-10.pdf&lt;/url&gt;&lt;/related-urls&gt;&lt;/urls&gt;&lt;electronic-resource-num&gt;10.4054/DemRes.2021.45.10&lt;/electronic-resource-num&gt;&lt;/record&gt;&lt;/Cite&gt;&lt;/EndNote&gt;</w:instrText>
      </w:r>
      <w:r w:rsidR="002D4A64">
        <w:rPr>
          <w:rFonts w:cstheme="minorHAnsi"/>
          <w:bCs/>
        </w:rPr>
        <w:fldChar w:fldCharType="separate"/>
      </w:r>
      <w:r w:rsidR="002D4A64">
        <w:rPr>
          <w:rFonts w:cstheme="minorHAnsi"/>
          <w:bCs/>
          <w:noProof/>
        </w:rPr>
        <w:t>(Reher and Requena 2019, Compans 2021)</w:t>
      </w:r>
      <w:r w:rsidR="002D4A64">
        <w:rPr>
          <w:rFonts w:cstheme="minorHAnsi"/>
          <w:bCs/>
        </w:rPr>
        <w:fldChar w:fldCharType="end"/>
      </w:r>
      <w:r w:rsidR="002D4A64">
        <w:rPr>
          <w:rFonts w:cstheme="minorHAnsi"/>
          <w:bCs/>
        </w:rPr>
        <w:t>.</w:t>
      </w:r>
      <w:r w:rsidR="002B5961">
        <w:rPr>
          <w:rFonts w:cstheme="minorHAnsi"/>
          <w:bCs/>
        </w:rPr>
        <w:t xml:space="preserve"> </w:t>
      </w:r>
      <w:r w:rsidR="007B0911">
        <w:rPr>
          <w:rFonts w:cstheme="minorHAnsi"/>
          <w:bCs/>
        </w:rPr>
        <w:t xml:space="preserve">Compans (2021) suggests </w:t>
      </w:r>
      <w:r w:rsidR="001B49B3">
        <w:rPr>
          <w:rFonts w:cstheme="minorHAnsi"/>
          <w:bCs/>
        </w:rPr>
        <w:t xml:space="preserve">that </w:t>
      </w:r>
      <w:r w:rsidR="007B0911">
        <w:rPr>
          <w:rFonts w:cstheme="minorHAnsi"/>
          <w:bCs/>
        </w:rPr>
        <w:t xml:space="preserve">this </w:t>
      </w:r>
      <w:r w:rsidR="005215B5">
        <w:rPr>
          <w:rFonts w:cstheme="minorHAnsi"/>
        </w:rPr>
        <w:t>may be because individualistic values toward childbearing have spread among lower educated groups leading them postpone first births, without the same circumstances or resources</w:t>
      </w:r>
      <w:r w:rsidR="00355FE9">
        <w:rPr>
          <w:rFonts w:cstheme="minorHAnsi"/>
        </w:rPr>
        <w:t xml:space="preserve"> at later ages</w:t>
      </w:r>
      <w:r w:rsidR="005215B5">
        <w:rPr>
          <w:rFonts w:cstheme="minorHAnsi"/>
        </w:rPr>
        <w:t xml:space="preserve"> (i.e job security, partnership stability, access to assisted reproductive technology) to recuperate fertility as more privileged groups do.</w:t>
      </w:r>
      <w:r w:rsidR="007E1189">
        <w:rPr>
          <w:rFonts w:cstheme="minorHAnsi"/>
        </w:rPr>
        <w:t xml:space="preserve">  </w:t>
      </w:r>
    </w:p>
    <w:p w14:paraId="19A99C11" w14:textId="4ABECAE8" w:rsidR="00147E57" w:rsidRDefault="00285A5E">
      <w:pPr>
        <w:spacing w:line="480" w:lineRule="auto"/>
        <w:rPr>
          <w:rFonts w:cstheme="minorHAnsi"/>
        </w:rPr>
      </w:pPr>
      <w:r>
        <w:rPr>
          <w:rFonts w:cstheme="minorHAnsi"/>
        </w:rPr>
        <w:t>I</w:t>
      </w:r>
      <w:r w:rsidR="005215B5" w:rsidRPr="00CF4CE4">
        <w:rPr>
          <w:rFonts w:cstheme="minorHAnsi"/>
        </w:rPr>
        <w:t xml:space="preserve">n </w:t>
      </w:r>
      <w:r w:rsidR="006D6D2C">
        <w:rPr>
          <w:rFonts w:cstheme="minorHAnsi"/>
        </w:rPr>
        <w:t>some</w:t>
      </w:r>
      <w:r w:rsidR="005215B5" w:rsidRPr="00CF4CE4">
        <w:rPr>
          <w:rFonts w:cstheme="minorHAnsi"/>
        </w:rPr>
        <w:t xml:space="preserve"> Nordic countries, the educational gradient of women’s childlessness has</w:t>
      </w:r>
      <w:r w:rsidR="007E1189">
        <w:rPr>
          <w:rFonts w:cstheme="minorHAnsi"/>
        </w:rPr>
        <w:t xml:space="preserve"> completely reversed</w:t>
      </w:r>
      <w:r w:rsidR="005215B5" w:rsidRPr="00CF4CE4">
        <w:rPr>
          <w:rFonts w:cstheme="minorHAnsi"/>
        </w:rPr>
        <w:t xml:space="preserve"> </w:t>
      </w:r>
      <w:r w:rsidR="007B1A65">
        <w:rPr>
          <w:rFonts w:cstheme="minorHAnsi"/>
        </w:rPr>
        <w:t xml:space="preserve">over time </w:t>
      </w:r>
      <w:r w:rsidR="005215B5" w:rsidRPr="00CF4CE4">
        <w:rPr>
          <w:rFonts w:cstheme="minorHAnsi"/>
        </w:rPr>
        <w:t xml:space="preserve">from positive to negative </w:t>
      </w:r>
      <w:r w:rsidR="005215B5" w:rsidRPr="00CF4CE4">
        <w:rPr>
          <w:rFonts w:cstheme="minorHAnsi"/>
        </w:rPr>
        <w:fldChar w:fldCharType="begin"/>
      </w:r>
      <w:r w:rsidR="002D4A64">
        <w:rPr>
          <w:rFonts w:cstheme="minorHAnsi"/>
        </w:rPr>
        <w:instrText xml:space="preserve"> ADDIN EN.CITE &lt;EndNote&gt;&lt;Cite&gt;&lt;Author&gt;Jalovaara&lt;/Author&gt;&lt;Year&gt;2019&lt;/Year&gt;&lt;RecNum&gt;204&lt;/RecNum&gt;&lt;DisplayText&gt;(Jalovaara, Neyer et al. 2019, Hellstrand, Nisen and Myrskyla 2020)&lt;/DisplayText&gt;&lt;record&gt;&lt;rec-number&gt;204&lt;/rec-number&gt;&lt;foreign-keys&gt;&lt;key app="EN" db-id="sde5vef9krws0aere98vvf0wawszed5rzw2t" timestamp="1635779469" guid="de2e1c79-5532-4a0c-9d18-345776d590dc"&gt;204&lt;/key&gt;&lt;/foreign-keys&gt;&lt;ref-type name="Journal Article"&gt;17&lt;/ref-type&gt;&lt;contributors&gt;&lt;authors&gt;&lt;author&gt;Jalovaara, Marika&lt;/author&gt;&lt;author&gt;Neyer, Gerda&lt;/author&gt;&lt;author&gt;Andersson, Gunnar&lt;/author&gt;&lt;author&gt;Dahlberg, Johan&lt;/author&gt;&lt;author&gt;Dommermuth, Lars&lt;/author&gt;&lt;author&gt;Fallesen, Peter&lt;/author&gt;&lt;author&gt;Lappegård, Trude&lt;/author&gt;&lt;/authors&gt;&lt;/contributors&gt;&lt;titles&gt;&lt;title&gt;Education, gender, and cohort fertility in the Nordic countries&lt;/title&gt;&lt;secondary-title&gt;European Journal of Population&lt;/secondary-title&gt;&lt;/titles&gt;&lt;periodical&gt;&lt;full-title&gt;European Journal of Population&lt;/full-title&gt;&lt;/periodical&gt;&lt;pages&gt;563-586&lt;/pages&gt;&lt;volume&gt;35&lt;/volume&gt;&lt;number&gt;3&lt;/number&gt;&lt;dates&gt;&lt;year&gt;2019&lt;/year&gt;&lt;/dates&gt;&lt;isbn&gt;1572-9885&lt;/isbn&gt;&lt;urls&gt;&lt;/urls&gt;&lt;/record&gt;&lt;/Cite&gt;&lt;Cite&gt;&lt;Author&gt;Hellstrand&lt;/Author&gt;&lt;Year&gt;2020&lt;/Year&gt;&lt;RecNum&gt;21&lt;/RecNum&gt;&lt;record&gt;&lt;rec-number&gt;21&lt;/rec-number&gt;&lt;foreign-keys&gt;&lt;key app="EN" db-id="5rz0rvsw6vwwr7ezaf7ps0eezwf0zszetxzp" timestamp="1706877701"&gt;21&lt;/key&gt;&lt;/foreign-keys&gt;&lt;ref-type name="Journal Article"&gt;17&lt;/ref-type&gt;&lt;contributors&gt;&lt;authors&gt;&lt;author&gt;Hellstrand, J.&lt;/author&gt;&lt;author&gt;Nisen, J.&lt;/author&gt;&lt;author&gt;Myrskyla, J.&lt;/author&gt;&lt;/authors&gt;&lt;/contributors&gt;&lt;titles&gt;&lt;title&gt;All-time low period fertility in Finland: Demographic drivers, tempo effects, cohort implications&lt;/title&gt;&lt;secondary-title&gt;Population Studies&lt;/secondary-title&gt;&lt;/titles&gt;&lt;pages&gt;315-329&lt;/pages&gt;&lt;volume&gt;74&lt;/volume&gt;&lt;number&gt;3&lt;/number&gt;&lt;dates&gt;&lt;year&gt;2020&lt;/year&gt;&lt;/dates&gt;&lt;urls&gt;&lt;/urls&gt;&lt;/record&gt;&lt;/Cite&gt;&lt;/EndNote&gt;</w:instrText>
      </w:r>
      <w:r w:rsidR="005215B5" w:rsidRPr="00CF4CE4">
        <w:rPr>
          <w:rFonts w:cstheme="minorHAnsi"/>
        </w:rPr>
        <w:fldChar w:fldCharType="separate"/>
      </w:r>
      <w:r w:rsidR="002D4A64">
        <w:rPr>
          <w:rFonts w:cstheme="minorHAnsi"/>
          <w:noProof/>
        </w:rPr>
        <w:t>(Jalovaara, Neyer et al. 2019, Hellstrand, Nisen and Myrskyla 2020)</w:t>
      </w:r>
      <w:r w:rsidR="005215B5" w:rsidRPr="00CF4CE4">
        <w:rPr>
          <w:rFonts w:cstheme="minorHAnsi"/>
        </w:rPr>
        <w:fldChar w:fldCharType="end"/>
      </w:r>
      <w:r w:rsidR="00DF331C">
        <w:rPr>
          <w:rFonts w:cstheme="minorHAnsi"/>
        </w:rPr>
        <w:t>. H</w:t>
      </w:r>
      <w:r w:rsidR="005215B5" w:rsidRPr="00CF4CE4">
        <w:rPr>
          <w:rFonts w:cstheme="minorHAnsi"/>
        </w:rPr>
        <w:t xml:space="preserve">igher socio-economic status is now positively related to fertility </w:t>
      </w:r>
      <w:r w:rsidR="005215B5" w:rsidRPr="00CF4CE4">
        <w:rPr>
          <w:rFonts w:cstheme="minorHAnsi"/>
        </w:rPr>
        <w:fldChar w:fldCharType="begin"/>
      </w:r>
      <w:r w:rsidR="00400942">
        <w:rPr>
          <w:rFonts w:cstheme="minorHAnsi"/>
        </w:rPr>
        <w:instrText xml:space="preserve"> ADDIN EN.CITE &lt;EndNote&gt;&lt;Cite&gt;&lt;Author&gt;Kolk&lt;/Author&gt;&lt;Year&gt;2019&lt;/Year&gt;&lt;RecNum&gt;205&lt;/RecNum&gt;&lt;DisplayText&gt;(Kolk 2019)&lt;/DisplayText&gt;&lt;record&gt;&lt;rec-number&gt;205&lt;/rec-number&gt;&lt;foreign-keys&gt;&lt;key app="EN" db-id="sde5vef9krws0aere98vvf0wawszed5rzw2t" timestamp="1635779561" guid="2b4beec9-8ea8-42b0-96d0-1d869b2c67dd"&gt;205&lt;/key&gt;&lt;/foreign-keys&gt;&lt;ref-type name="Journal Article"&gt;17&lt;/ref-type&gt;&lt;contributors&gt;&lt;authors&gt;&lt;author&gt;Kolk, Martin&lt;/author&gt;&lt;/authors&gt;&lt;/contributors&gt;&lt;titles&gt;&lt;title&gt;The relationship between lifecourse accumulated income and childbearing of Swedish men and women born 1940-1970&lt;/title&gt;&lt;/titles&gt;&lt;dates&gt;&lt;year&gt;2019&lt;/year&gt;&lt;/dates&gt;&lt;urls&gt;&lt;/urls&gt;&lt;/record&gt;&lt;/Cite&gt;&lt;/EndNote&gt;</w:instrText>
      </w:r>
      <w:r w:rsidR="005215B5" w:rsidRPr="00CF4CE4">
        <w:rPr>
          <w:rFonts w:cstheme="minorHAnsi"/>
        </w:rPr>
        <w:fldChar w:fldCharType="separate"/>
      </w:r>
      <w:r w:rsidR="00400942">
        <w:rPr>
          <w:rFonts w:cstheme="minorHAnsi"/>
          <w:noProof/>
        </w:rPr>
        <w:t>(Kolk 2019)</w:t>
      </w:r>
      <w:r w:rsidR="005215B5" w:rsidRPr="00CF4CE4">
        <w:rPr>
          <w:rFonts w:cstheme="minorHAnsi"/>
        </w:rPr>
        <w:fldChar w:fldCharType="end"/>
      </w:r>
      <w:r w:rsidR="00147E57">
        <w:rPr>
          <w:rFonts w:cstheme="minorHAnsi"/>
        </w:rPr>
        <w:t xml:space="preserve"> and it is</w:t>
      </w:r>
      <w:r w:rsidR="00865BE0">
        <w:rPr>
          <w:rFonts w:cstheme="minorHAnsi"/>
        </w:rPr>
        <w:t xml:space="preserve"> more</w:t>
      </w:r>
      <w:r w:rsidR="00147E57">
        <w:rPr>
          <w:rFonts w:cstheme="minorHAnsi"/>
        </w:rPr>
        <w:t xml:space="preserve"> </w:t>
      </w:r>
      <w:r w:rsidR="005215B5" w:rsidRPr="00CF4CE4">
        <w:rPr>
          <w:rFonts w:cstheme="minorHAnsi"/>
        </w:rPr>
        <w:t xml:space="preserve">advantaged women </w:t>
      </w:r>
      <w:r w:rsidR="00193114">
        <w:rPr>
          <w:rFonts w:cstheme="minorHAnsi"/>
        </w:rPr>
        <w:t xml:space="preserve">who are </w:t>
      </w:r>
      <w:r w:rsidR="005215B5" w:rsidRPr="00CF4CE4">
        <w:rPr>
          <w:rFonts w:cstheme="minorHAnsi"/>
        </w:rPr>
        <w:t>in a better position to shoulder the cost of starting a family.</w:t>
      </w:r>
      <w:r w:rsidR="005215B5">
        <w:rPr>
          <w:rFonts w:cstheme="minorHAnsi"/>
        </w:rPr>
        <w:t xml:space="preserve"> </w:t>
      </w:r>
      <w:r w:rsidR="005215B5" w:rsidRPr="00CF4CE4">
        <w:rPr>
          <w:rFonts w:cstheme="minorHAnsi"/>
        </w:rPr>
        <w:t>While improved gender equality and supportive work-family policies</w:t>
      </w:r>
      <w:r w:rsidR="00147E57">
        <w:rPr>
          <w:rFonts w:cstheme="minorHAnsi"/>
        </w:rPr>
        <w:t xml:space="preserve"> in the Nordic countries may</w:t>
      </w:r>
      <w:r w:rsidR="005215B5" w:rsidRPr="00CF4CE4">
        <w:rPr>
          <w:rFonts w:cstheme="minorHAnsi"/>
        </w:rPr>
        <w:t xml:space="preserve"> have </w:t>
      </w:r>
      <w:r w:rsidR="005215B5">
        <w:rPr>
          <w:rFonts w:cstheme="minorHAnsi"/>
        </w:rPr>
        <w:t xml:space="preserve">helped </w:t>
      </w:r>
      <w:r w:rsidR="005215B5" w:rsidRPr="00CF4CE4">
        <w:rPr>
          <w:rFonts w:cstheme="minorHAnsi"/>
        </w:rPr>
        <w:t>highly educated</w:t>
      </w:r>
      <w:r w:rsidR="00061A6C">
        <w:rPr>
          <w:rFonts w:cstheme="minorHAnsi"/>
        </w:rPr>
        <w:t xml:space="preserve"> </w:t>
      </w:r>
      <w:r w:rsidR="005215B5">
        <w:rPr>
          <w:rFonts w:cstheme="minorHAnsi"/>
        </w:rPr>
        <w:t>groups</w:t>
      </w:r>
      <w:r w:rsidR="004E73AC">
        <w:rPr>
          <w:rFonts w:cstheme="minorHAnsi"/>
        </w:rPr>
        <w:t xml:space="preserve"> </w:t>
      </w:r>
      <w:r w:rsidR="00061A6C">
        <w:rPr>
          <w:rFonts w:cstheme="minorHAnsi"/>
        </w:rPr>
        <w:t xml:space="preserve">with strong attachment to the labor market </w:t>
      </w:r>
      <w:r w:rsidR="004E73AC">
        <w:rPr>
          <w:rFonts w:cstheme="minorHAnsi"/>
        </w:rPr>
        <w:t>achieve their fertility desires</w:t>
      </w:r>
      <w:r w:rsidR="005215B5">
        <w:rPr>
          <w:rFonts w:cstheme="minorHAnsi"/>
        </w:rPr>
        <w:t>,</w:t>
      </w:r>
      <w:r w:rsidR="007E1189">
        <w:rPr>
          <w:rFonts w:cstheme="minorHAnsi"/>
        </w:rPr>
        <w:t xml:space="preserve"> </w:t>
      </w:r>
      <w:r w:rsidR="005215B5" w:rsidRPr="00CF4CE4">
        <w:rPr>
          <w:rFonts w:cstheme="minorHAnsi"/>
        </w:rPr>
        <w:t xml:space="preserve">barriers to starting a family </w:t>
      </w:r>
      <w:r w:rsidR="005215B5">
        <w:rPr>
          <w:rFonts w:cstheme="minorHAnsi"/>
        </w:rPr>
        <w:t xml:space="preserve">increasingly </w:t>
      </w:r>
      <w:r w:rsidR="00BA3EFF">
        <w:rPr>
          <w:rFonts w:cstheme="minorHAnsi"/>
        </w:rPr>
        <w:t xml:space="preserve">selectively </w:t>
      </w:r>
      <w:r w:rsidR="00E67227">
        <w:rPr>
          <w:rFonts w:cstheme="minorHAnsi"/>
        </w:rPr>
        <w:t xml:space="preserve">burden </w:t>
      </w:r>
      <w:r w:rsidR="005215B5" w:rsidRPr="00CF4CE4">
        <w:rPr>
          <w:rFonts w:cstheme="minorHAnsi"/>
        </w:rPr>
        <w:t>women with lower educational levels</w:t>
      </w:r>
      <w:r w:rsidR="00061A6C">
        <w:rPr>
          <w:rFonts w:cstheme="minorHAnsi"/>
        </w:rPr>
        <w:t xml:space="preserve"> in more precarious economic circumstances</w:t>
      </w:r>
      <w:r w:rsidR="00147E57">
        <w:rPr>
          <w:rFonts w:cstheme="minorHAnsi"/>
        </w:rPr>
        <w:t xml:space="preserve"> </w:t>
      </w:r>
      <w:r w:rsidR="00A40ADE" w:rsidRPr="007F1DEC">
        <w:rPr>
          <w:rFonts w:cstheme="minorHAnsi"/>
        </w:rPr>
        <w:fldChar w:fldCharType="begin"/>
      </w:r>
      <w:r w:rsidR="00A40ADE" w:rsidRPr="007F1DEC">
        <w:rPr>
          <w:rFonts w:cstheme="minorHAnsi"/>
        </w:rPr>
        <w:instrText xml:space="preserve"> ADDIN EN.CITE &lt;EndNote&gt;&lt;Cite&gt;&lt;Author&gt;Neyer&lt;/Author&gt;&lt;Year&gt;2013&lt;/Year&gt;&lt;RecNum&gt;70&lt;/RecNum&gt;&lt;DisplayText&gt;(Neyer 2013)&lt;/DisplayText&gt;&lt;record&gt;&lt;rec-number&gt;70&lt;/rec-number&gt;&lt;foreign-keys&gt;&lt;key app="EN" db-id="date2dst4vae0pe955kxa2tla9pzrxp00p95" timestamp="1665058362"&gt;70&lt;/key&gt;&lt;/foreign-keys&gt;&lt;ref-type name="Book Section"&gt;5&lt;/ref-type&gt;&lt;contributors&gt;&lt;authors&gt;&lt;author&gt;Neyer, Gerda&lt;/author&gt;&lt;/authors&gt;&lt;secondary-authors&gt;&lt;author&gt;Neyer, G.&lt;/author&gt;&lt;author&gt;Andersson, G.&lt;/author&gt;&lt;author&gt;Kulu, H.&lt;/author&gt;&lt;author&gt;Bernardi, L.&lt;/author&gt;&lt;author&gt;Buhler, C.&lt;/author&gt;&lt;/secondary-authors&gt;&lt;/contributors&gt;&lt;titles&gt;&lt;title&gt;Welfare states, family policies, and fertility in Europe&lt;/title&gt;&lt;secondary-title&gt;The Demography of Europe&lt;/secondary-title&gt;&lt;/titles&gt;&lt;dates&gt;&lt;year&gt;2013&lt;/year&gt;&lt;/dates&gt;&lt;pub-location&gt;Dordrecht&lt;/pub-location&gt;&lt;publisher&gt;Springer&lt;/publisher&gt;&lt;urls&gt;&lt;/urls&gt;&lt;/record&gt;&lt;/Cite&gt;&lt;/EndNote&gt;</w:instrText>
      </w:r>
      <w:r w:rsidR="00A40ADE" w:rsidRPr="007F1DEC">
        <w:rPr>
          <w:rFonts w:cstheme="minorHAnsi"/>
        </w:rPr>
        <w:fldChar w:fldCharType="separate"/>
      </w:r>
      <w:r w:rsidR="00A40ADE" w:rsidRPr="007F1DEC">
        <w:rPr>
          <w:rFonts w:cstheme="minorHAnsi"/>
          <w:noProof/>
        </w:rPr>
        <w:t>(Neyer 2013)</w:t>
      </w:r>
      <w:r w:rsidR="00A40ADE" w:rsidRPr="007F1DEC">
        <w:rPr>
          <w:rFonts w:cstheme="minorHAnsi"/>
        </w:rPr>
        <w:fldChar w:fldCharType="end"/>
      </w:r>
      <w:r w:rsidR="005215B5" w:rsidRPr="007F1DEC">
        <w:rPr>
          <w:rFonts w:cstheme="minorHAnsi"/>
        </w:rPr>
        <w:t>.</w:t>
      </w:r>
      <w:r w:rsidR="005215B5">
        <w:rPr>
          <w:rFonts w:cstheme="minorHAnsi"/>
        </w:rPr>
        <w:t xml:space="preserve"> </w:t>
      </w:r>
      <w:r w:rsidR="00F81C8B">
        <w:rPr>
          <w:rFonts w:cstheme="minorHAnsi"/>
        </w:rPr>
        <w:t>Moreover</w:t>
      </w:r>
      <w:r w:rsidR="00147E57">
        <w:rPr>
          <w:rFonts w:cstheme="minorHAnsi"/>
        </w:rPr>
        <w:t xml:space="preserve">, this is not the whole picture of changing </w:t>
      </w:r>
      <w:r w:rsidR="00E67227">
        <w:rPr>
          <w:rFonts w:cstheme="minorHAnsi"/>
        </w:rPr>
        <w:t xml:space="preserve">educational patterns of </w:t>
      </w:r>
      <w:r w:rsidR="00147E57">
        <w:rPr>
          <w:rFonts w:cstheme="minorHAnsi"/>
        </w:rPr>
        <w:t>fertility in some of the Nordic countries. In Finland</w:t>
      </w:r>
      <w:r w:rsidR="008872EB">
        <w:rPr>
          <w:rFonts w:cstheme="minorHAnsi"/>
        </w:rPr>
        <w:t xml:space="preserve"> and Sweden</w:t>
      </w:r>
      <w:r w:rsidR="00147E57">
        <w:rPr>
          <w:rFonts w:cstheme="minorHAnsi"/>
        </w:rPr>
        <w:t xml:space="preserve">, for example, patterns of childbearing have become more varied </w:t>
      </w:r>
      <w:r w:rsidR="00147E57" w:rsidRPr="00F81C8B">
        <w:rPr>
          <w:rFonts w:cstheme="minorHAnsi"/>
          <w:i/>
          <w:iCs/>
        </w:rPr>
        <w:t>within</w:t>
      </w:r>
      <w:r w:rsidR="00147E57">
        <w:rPr>
          <w:rFonts w:cstheme="minorHAnsi"/>
        </w:rPr>
        <w:t xml:space="preserve"> educational groups. </w:t>
      </w:r>
      <w:r w:rsidR="008872EB">
        <w:rPr>
          <w:rFonts w:cstheme="minorHAnsi"/>
        </w:rPr>
        <w:t xml:space="preserve">Over historical time, </w:t>
      </w:r>
      <w:r w:rsidR="00147E57">
        <w:rPr>
          <w:rFonts w:cstheme="minorHAnsi"/>
        </w:rPr>
        <w:t xml:space="preserve">low educated </w:t>
      </w:r>
      <w:r w:rsidR="008872EB">
        <w:rPr>
          <w:rFonts w:cstheme="minorHAnsi"/>
        </w:rPr>
        <w:t xml:space="preserve">women </w:t>
      </w:r>
      <w:r w:rsidR="00E67227">
        <w:rPr>
          <w:rFonts w:cstheme="minorHAnsi"/>
        </w:rPr>
        <w:t xml:space="preserve">are </w:t>
      </w:r>
      <w:r w:rsidR="00147E57">
        <w:rPr>
          <w:rFonts w:cstheme="minorHAnsi"/>
        </w:rPr>
        <w:t>not only</w:t>
      </w:r>
      <w:r w:rsidR="00E67227">
        <w:rPr>
          <w:rFonts w:cstheme="minorHAnsi"/>
        </w:rPr>
        <w:t xml:space="preserve"> m</w:t>
      </w:r>
      <w:r w:rsidR="008872EB">
        <w:rPr>
          <w:rFonts w:cstheme="minorHAnsi"/>
        </w:rPr>
        <w:t xml:space="preserve">ore likely to </w:t>
      </w:r>
      <w:r w:rsidR="00147E57">
        <w:rPr>
          <w:rFonts w:cstheme="minorHAnsi"/>
        </w:rPr>
        <w:t xml:space="preserve">remain childless </w:t>
      </w:r>
      <w:r w:rsidR="008872EB">
        <w:rPr>
          <w:rFonts w:cstheme="minorHAnsi"/>
        </w:rPr>
        <w:t>but are also more likely to have th</w:t>
      </w:r>
      <w:r w:rsidR="00984C2D">
        <w:rPr>
          <w:rFonts w:cstheme="minorHAnsi"/>
        </w:rPr>
        <w:t>ird</w:t>
      </w:r>
      <w:r w:rsidR="008872EB">
        <w:rPr>
          <w:rFonts w:cstheme="minorHAnsi"/>
        </w:rPr>
        <w:t xml:space="preserve"> or fourth births</w:t>
      </w:r>
      <w:r w:rsidR="00E67227">
        <w:rPr>
          <w:rFonts w:cstheme="minorHAnsi"/>
        </w:rPr>
        <w:t xml:space="preserve">, often due to </w:t>
      </w:r>
      <w:r w:rsidR="008872EB">
        <w:rPr>
          <w:rFonts w:cstheme="minorHAnsi"/>
        </w:rPr>
        <w:t>serial partnering, creating a polarity in parity progression behaviors</w:t>
      </w:r>
      <w:r w:rsidR="00B60CE0">
        <w:rPr>
          <w:rFonts w:cstheme="minorHAnsi"/>
        </w:rPr>
        <w:t xml:space="preserve"> </w:t>
      </w:r>
      <w:r w:rsidR="00061A6C">
        <w:rPr>
          <w:rFonts w:cstheme="minorHAnsi"/>
        </w:rPr>
        <w:fldChar w:fldCharType="begin"/>
      </w:r>
      <w:r w:rsidR="00061A6C">
        <w:rPr>
          <w:rFonts w:cstheme="minorHAnsi"/>
        </w:rPr>
        <w:instrText xml:space="preserve"> ADDIN EN.CITE &lt;EndNote&gt;&lt;Cite&gt;&lt;Author&gt;Jalovaara&lt;/Author&gt;&lt;Year&gt;2021&lt;/Year&gt;&lt;RecNum&gt;107&lt;/RecNum&gt;&lt;DisplayText&gt;(Jalovaara, Andersson and Miettinen 2021)&lt;/DisplayText&gt;&lt;record&gt;&lt;rec-number&gt;107&lt;/rec-number&gt;&lt;foreign-keys&gt;&lt;key app="EN" db-id="date2dst4vae0pe955kxa2tla9pzrxp00p95" timestamp="1665058417"&gt;107&lt;/key&gt;&lt;/foreign-keys&gt;&lt;ref-type name="Journal Article"&gt;17&lt;/ref-type&gt;&lt;contributors&gt;&lt;authors&gt;&lt;author&gt;Jalovaara, Marika&lt;/author&gt;&lt;author&gt;Andersson, Linus&lt;/author&gt;&lt;author&gt;Miettinen, Anneli&lt;/author&gt;&lt;/authors&gt;&lt;/contributors&gt;&lt;titles&gt;&lt;title&gt;Parity disparity: Educational differences in Nordic fertility across parities and number of reproductive partners&lt;/title&gt;&lt;secondary-title&gt;Population Studies&lt;/secondary-title&gt;&lt;/titles&gt;&lt;periodical&gt;&lt;full-title&gt;Population Studies&lt;/full-title&gt;&lt;/periodical&gt;&lt;pages&gt;1-18&lt;/pages&gt;&lt;dates&gt;&lt;year&gt;2021&lt;/year&gt;&lt;/dates&gt;&lt;publisher&gt;Routledge&lt;/publisher&gt;&lt;isbn&gt;0032-4728&lt;/isbn&gt;&lt;urls&gt;&lt;related-urls&gt;&lt;url&gt;https://doi.org/10.1080/00324728.2021.1887506&lt;/url&gt;&lt;/related-urls&gt;&lt;/urls&gt;&lt;electronic-resource-num&gt;10.1080/00324728.2021.1887506&lt;/electronic-resource-num&gt;&lt;/record&gt;&lt;/Cite&gt;&lt;/EndNote&gt;</w:instrText>
      </w:r>
      <w:r w:rsidR="00061A6C">
        <w:rPr>
          <w:rFonts w:cstheme="minorHAnsi"/>
        </w:rPr>
        <w:fldChar w:fldCharType="separate"/>
      </w:r>
      <w:r w:rsidR="00061A6C">
        <w:rPr>
          <w:rFonts w:cstheme="minorHAnsi"/>
          <w:noProof/>
        </w:rPr>
        <w:t>(Jalovaara, Andersson and Miettinen 2021)</w:t>
      </w:r>
      <w:r w:rsidR="00061A6C">
        <w:rPr>
          <w:rFonts w:cstheme="minorHAnsi"/>
        </w:rPr>
        <w:fldChar w:fldCharType="end"/>
      </w:r>
      <w:r w:rsidR="008872EB">
        <w:rPr>
          <w:rFonts w:cstheme="minorHAnsi"/>
        </w:rPr>
        <w:t>. Such trends raise the possibility that similar changes could have occ</w:t>
      </w:r>
      <w:r w:rsidR="00776DB9" w:rsidRPr="00CF4CE4">
        <w:rPr>
          <w:rFonts w:cstheme="minorHAnsi"/>
        </w:rPr>
        <w:t>urred in the UK</w:t>
      </w:r>
      <w:r w:rsidR="00E82FF8">
        <w:rPr>
          <w:rFonts w:cstheme="minorHAnsi"/>
        </w:rPr>
        <w:t xml:space="preserve"> and</w:t>
      </w:r>
      <w:r w:rsidR="008872EB">
        <w:rPr>
          <w:rFonts w:cstheme="minorHAnsi"/>
        </w:rPr>
        <w:t xml:space="preserve"> highlights the need to take a parity specific approach. </w:t>
      </w:r>
    </w:p>
    <w:p w14:paraId="059957B1" w14:textId="029CDEA0" w:rsidR="009024A3" w:rsidRPr="00A66AF2" w:rsidRDefault="005B0BBC" w:rsidP="00837940">
      <w:pPr>
        <w:pStyle w:val="Heading3"/>
      </w:pPr>
      <w:bookmarkStart w:id="6" w:name="_Hlk170226943"/>
      <w:r>
        <w:rPr>
          <w:rFonts w:eastAsiaTheme="minorHAnsi"/>
        </w:rPr>
        <w:t>2.</w:t>
      </w:r>
      <w:r w:rsidR="00034F64">
        <w:rPr>
          <w:rFonts w:eastAsiaTheme="minorHAnsi"/>
        </w:rPr>
        <w:t>3</w:t>
      </w:r>
      <w:r>
        <w:rPr>
          <w:rFonts w:eastAsiaTheme="minorHAnsi"/>
        </w:rPr>
        <w:t xml:space="preserve"> </w:t>
      </w:r>
      <w:r w:rsidR="00034F64">
        <w:rPr>
          <w:rFonts w:eastAsiaTheme="minorHAnsi"/>
        </w:rPr>
        <w:t xml:space="preserve">UK </w:t>
      </w:r>
      <w:r w:rsidR="009024A3" w:rsidRPr="00F81C8B">
        <w:rPr>
          <w:rFonts w:eastAsiaTheme="minorHAnsi"/>
        </w:rPr>
        <w:t xml:space="preserve">Country </w:t>
      </w:r>
      <w:r w:rsidR="00577FF7">
        <w:rPr>
          <w:rFonts w:eastAsiaTheme="minorHAnsi"/>
        </w:rPr>
        <w:t>c</w:t>
      </w:r>
      <w:r w:rsidR="009024A3" w:rsidRPr="00F81C8B">
        <w:rPr>
          <w:rFonts w:eastAsiaTheme="minorHAnsi"/>
        </w:rPr>
        <w:t>ontext</w:t>
      </w:r>
      <w:r w:rsidR="00B56815" w:rsidRPr="00F81C8B">
        <w:rPr>
          <w:rFonts w:eastAsiaTheme="minorHAnsi"/>
        </w:rPr>
        <w:t>s</w:t>
      </w:r>
      <w:r w:rsidR="009024A3" w:rsidRPr="00A66AF2">
        <w:t xml:space="preserve"> </w:t>
      </w:r>
    </w:p>
    <w:p w14:paraId="5788D6C7" w14:textId="1DA0E818" w:rsidR="00E75614" w:rsidRDefault="00F936FF" w:rsidP="003F2706">
      <w:pPr>
        <w:spacing w:line="480" w:lineRule="auto"/>
      </w:pPr>
      <w:r>
        <w:t xml:space="preserve">Reproductive and family policy, </w:t>
      </w:r>
      <w:r w:rsidR="00750259">
        <w:t>economic, religious</w:t>
      </w:r>
      <w:r>
        <w:t>, and migrant</w:t>
      </w:r>
      <w:r w:rsidR="00750259">
        <w:t xml:space="preserve"> </w:t>
      </w:r>
      <w:r w:rsidR="00914EC9">
        <w:t xml:space="preserve">differences between the UK countries </w:t>
      </w:r>
      <w:r w:rsidR="006A0713">
        <w:t>are likely to</w:t>
      </w:r>
      <w:r w:rsidR="00914EC9">
        <w:t xml:space="preserve"> </w:t>
      </w:r>
      <w:r w:rsidR="006A0713">
        <w:t>cause</w:t>
      </w:r>
      <w:r w:rsidR="00D01B22">
        <w:t xml:space="preserve"> differences in </w:t>
      </w:r>
      <w:r w:rsidR="00E1655E">
        <w:t xml:space="preserve">the </w:t>
      </w:r>
      <w:r w:rsidR="00D01B22">
        <w:t>educational gradient of childbearing within the UK.</w:t>
      </w:r>
      <w:r w:rsidR="00750259">
        <w:t xml:space="preserve"> </w:t>
      </w:r>
      <w:r w:rsidR="00914EC9">
        <w:t>S</w:t>
      </w:r>
      <w:r w:rsidR="00776DB9">
        <w:t xml:space="preserve">ince </w:t>
      </w:r>
      <w:r w:rsidR="00FA7DE1">
        <w:t>D</w:t>
      </w:r>
      <w:r w:rsidR="00123911">
        <w:t xml:space="preserve">evolution </w:t>
      </w:r>
      <w:r w:rsidR="00FA7DE1">
        <w:t>in 1998</w:t>
      </w:r>
      <w:r w:rsidR="00776DB9">
        <w:t xml:space="preserve"> Scotland, Wales</w:t>
      </w:r>
      <w:r w:rsidR="008012FF">
        <w:rPr>
          <w:rStyle w:val="FootnoteReference"/>
        </w:rPr>
        <w:footnoteReference w:id="3"/>
      </w:r>
      <w:r w:rsidR="005612AE">
        <w:t>,</w:t>
      </w:r>
      <w:r w:rsidR="00776DB9">
        <w:t xml:space="preserve"> and Northern Ireland can now all legislate through their own Parliaments/Assembly in devolved </w:t>
      </w:r>
      <w:r w:rsidR="002E42FA">
        <w:t xml:space="preserve">policy </w:t>
      </w:r>
      <w:r w:rsidR="00776DB9">
        <w:t>areas</w:t>
      </w:r>
      <w:r w:rsidR="00E75614">
        <w:t xml:space="preserve"> which </w:t>
      </w:r>
      <w:r w:rsidR="002E42FA">
        <w:t>could</w:t>
      </w:r>
      <w:r w:rsidR="00750259">
        <w:t xml:space="preserve"> potentially make a difference </w:t>
      </w:r>
      <w:r w:rsidR="00E75614">
        <w:t>in fertility</w:t>
      </w:r>
      <w:r w:rsidR="00750259">
        <w:t>.</w:t>
      </w:r>
      <w:r w:rsidR="00DC5E55">
        <w:t xml:space="preserve"> </w:t>
      </w:r>
      <w:r w:rsidR="001A089E">
        <w:t xml:space="preserve">We start with contraception and abortion as important proximate determinants of fertility. </w:t>
      </w:r>
      <w:r w:rsidR="00D81FE5">
        <w:rPr>
          <w:lang w:val="en-GB"/>
        </w:rPr>
        <w:t>L</w:t>
      </w:r>
      <w:r w:rsidR="002435EE">
        <w:rPr>
          <w:lang w:val="en-GB"/>
        </w:rPr>
        <w:t xml:space="preserve">ittle </w:t>
      </w:r>
      <w:r w:rsidR="004702C9">
        <w:rPr>
          <w:lang w:val="en-GB"/>
        </w:rPr>
        <w:t>research has examined</w:t>
      </w:r>
      <w:r w:rsidR="00DC5E55">
        <w:rPr>
          <w:lang w:val="en-GB"/>
        </w:rPr>
        <w:t xml:space="preserve"> </w:t>
      </w:r>
      <w:r w:rsidR="004702C9">
        <w:rPr>
          <w:lang w:val="en-GB"/>
        </w:rPr>
        <w:t>c</w:t>
      </w:r>
      <w:r w:rsidR="00E75614">
        <w:rPr>
          <w:lang w:val="en-GB"/>
        </w:rPr>
        <w:t>ross</w:t>
      </w:r>
      <w:r w:rsidR="007F750D">
        <w:rPr>
          <w:lang w:val="en-GB"/>
        </w:rPr>
        <w:t>-</w:t>
      </w:r>
      <w:r w:rsidR="00E75614">
        <w:rPr>
          <w:lang w:val="en-GB"/>
        </w:rPr>
        <w:t xml:space="preserve">national </w:t>
      </w:r>
      <w:r w:rsidR="007F750D">
        <w:rPr>
          <w:lang w:val="en-GB"/>
        </w:rPr>
        <w:t>differences in</w:t>
      </w:r>
      <w:r w:rsidR="00EC5DD5">
        <w:rPr>
          <w:lang w:val="en-GB"/>
        </w:rPr>
        <w:t xml:space="preserve"> </w:t>
      </w:r>
      <w:r w:rsidR="00390984">
        <w:rPr>
          <w:lang w:val="en-GB"/>
        </w:rPr>
        <w:t xml:space="preserve"> </w:t>
      </w:r>
      <w:r w:rsidR="005723DA">
        <w:rPr>
          <w:lang w:val="en-GB"/>
        </w:rPr>
        <w:t>reproductive health policies</w:t>
      </w:r>
      <w:r w:rsidR="00DD54F2">
        <w:rPr>
          <w:lang w:val="en-GB"/>
        </w:rPr>
        <w:t>,</w:t>
      </w:r>
      <w:r w:rsidR="00EC5DD5">
        <w:rPr>
          <w:lang w:val="en-GB"/>
        </w:rPr>
        <w:t xml:space="preserve"> </w:t>
      </w:r>
      <w:r w:rsidR="007F750D">
        <w:rPr>
          <w:lang w:val="en-GB"/>
        </w:rPr>
        <w:t xml:space="preserve">contraceptive </w:t>
      </w:r>
      <w:r w:rsidR="00780C48">
        <w:rPr>
          <w:lang w:val="en-GB"/>
        </w:rPr>
        <w:t>provision and u</w:t>
      </w:r>
      <w:r w:rsidR="00EC5DD5">
        <w:rPr>
          <w:lang w:val="en-GB"/>
        </w:rPr>
        <w:t>se</w:t>
      </w:r>
      <w:r w:rsidR="00780C48">
        <w:rPr>
          <w:lang w:val="en-GB"/>
        </w:rPr>
        <w:t xml:space="preserve">, </w:t>
      </w:r>
      <w:r w:rsidR="007F750D">
        <w:rPr>
          <w:lang w:val="en-GB"/>
        </w:rPr>
        <w:t>and abortion</w:t>
      </w:r>
      <w:r w:rsidR="0016794B">
        <w:rPr>
          <w:lang w:val="en-GB"/>
        </w:rPr>
        <w:t>,</w:t>
      </w:r>
      <w:r w:rsidR="005976FA">
        <w:rPr>
          <w:lang w:val="en-GB"/>
        </w:rPr>
        <w:t xml:space="preserve"> </w:t>
      </w:r>
      <w:r>
        <w:rPr>
          <w:lang w:val="en-GB"/>
        </w:rPr>
        <w:t>but e</w:t>
      </w:r>
      <w:r w:rsidR="00E75614">
        <w:rPr>
          <w:lang w:val="en-GB"/>
        </w:rPr>
        <w:t xml:space="preserve">xtant literature </w:t>
      </w:r>
      <w:r w:rsidR="003371E3">
        <w:rPr>
          <w:lang w:val="en-GB"/>
        </w:rPr>
        <w:t>suggest</w:t>
      </w:r>
      <w:r w:rsidR="000669BE">
        <w:rPr>
          <w:lang w:val="en-GB"/>
        </w:rPr>
        <w:t>s</w:t>
      </w:r>
      <w:r w:rsidR="003371E3">
        <w:rPr>
          <w:lang w:val="en-GB"/>
        </w:rPr>
        <w:t xml:space="preserve"> that </w:t>
      </w:r>
      <w:r w:rsidR="001F4544">
        <w:rPr>
          <w:lang w:val="en-GB"/>
        </w:rPr>
        <w:t>f</w:t>
      </w:r>
      <w:r w:rsidR="00F86E4F">
        <w:rPr>
          <w:lang w:val="en-GB"/>
        </w:rPr>
        <w:t>rom the 1970s, s</w:t>
      </w:r>
      <w:r w:rsidR="00A309DF" w:rsidRPr="00A309DF">
        <w:rPr>
          <w:lang w:val="en-GB"/>
        </w:rPr>
        <w:t xml:space="preserve">exually active people in Scotland </w:t>
      </w:r>
      <w:r w:rsidR="00600F09">
        <w:rPr>
          <w:lang w:val="en-GB"/>
        </w:rPr>
        <w:t>we</w:t>
      </w:r>
      <w:r w:rsidR="00A309DF" w:rsidRPr="00A309DF">
        <w:rPr>
          <w:lang w:val="en-GB"/>
        </w:rPr>
        <w:t>re more likely to adopt methods more effective at preventing pregnancy – specifically higher use of female sterilization and less use of barrier</w:t>
      </w:r>
      <w:r w:rsidR="00114E4E">
        <w:rPr>
          <w:lang w:val="en-GB"/>
        </w:rPr>
        <w:t xml:space="preserve"> or </w:t>
      </w:r>
      <w:r w:rsidR="00A309DF" w:rsidRPr="00A309DF">
        <w:rPr>
          <w:lang w:val="en-GB"/>
        </w:rPr>
        <w:t>traditional methods</w:t>
      </w:r>
      <w:r w:rsidR="00F86E4F">
        <w:rPr>
          <w:lang w:val="en-GB"/>
        </w:rPr>
        <w:t xml:space="preserve"> </w:t>
      </w:r>
      <w:r w:rsidR="001977F3">
        <w:rPr>
          <w:lang w:val="en-GB"/>
        </w:rPr>
        <w:fldChar w:fldCharType="begin">
          <w:fldData xml:space="preserve">PEVuZE5vdGU+PENpdGU+PEF1dGhvcj5Cb25lPC9BdXRob3I+PFllYXI+MTk4NTwvWWVhcj48UmVj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</w:fldData>
        </w:fldChar>
      </w:r>
      <w:r w:rsidR="001977F3">
        <w:rPr>
          <w:lang w:val="en-GB"/>
        </w:rPr>
        <w:instrText xml:space="preserve"> ADDIN EN.CITE </w:instrText>
      </w:r>
      <w:r w:rsidR="001977F3">
        <w:rPr>
          <w:lang w:val="en-GB"/>
        </w:rPr>
        <w:fldChar w:fldCharType="begin">
          <w:fldData xml:space="preserve">PEVuZE5vdGU+PENpdGU+PEF1dGhvcj5Cb25lPC9BdXRob3I+PFllYXI+MTk4NTwvWWVhcj48UmVj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</w:fldData>
        </w:fldChar>
      </w:r>
      <w:r w:rsidR="001977F3">
        <w:rPr>
          <w:lang w:val="en-GB"/>
        </w:rPr>
        <w:instrText xml:space="preserve"> ADDIN EN.CITE.DATA </w:instrText>
      </w:r>
      <w:r w:rsidR="001977F3">
        <w:rPr>
          <w:lang w:val="en-GB"/>
        </w:rPr>
      </w:r>
      <w:r w:rsidR="001977F3">
        <w:rPr>
          <w:lang w:val="en-GB"/>
        </w:rPr>
        <w:fldChar w:fldCharType="end"/>
      </w:r>
      <w:r w:rsidR="001977F3">
        <w:rPr>
          <w:lang w:val="en-GB"/>
        </w:rPr>
      </w:r>
      <w:r w:rsidR="001977F3">
        <w:rPr>
          <w:lang w:val="en-GB"/>
        </w:rPr>
        <w:fldChar w:fldCharType="separate"/>
      </w:r>
      <w:r w:rsidR="001977F3">
        <w:rPr>
          <w:noProof/>
          <w:lang w:val="en-GB"/>
        </w:rPr>
        <w:t>(Bone 1985, Kuang and Berrington 2023)</w:t>
      </w:r>
      <w:r w:rsidR="001977F3">
        <w:rPr>
          <w:lang w:val="en-GB"/>
        </w:rPr>
        <w:fldChar w:fldCharType="end"/>
      </w:r>
      <w:r w:rsidR="000669BE">
        <w:rPr>
          <w:lang w:val="en-GB"/>
        </w:rPr>
        <w:t>, which we</w:t>
      </w:r>
      <w:r w:rsidR="00A309DF" w:rsidRPr="00A309DF">
        <w:rPr>
          <w:lang w:val="en-GB"/>
        </w:rPr>
        <w:t xml:space="preserve"> would expect to lower fertilit</w:t>
      </w:r>
      <w:r w:rsidR="00FA0410">
        <w:rPr>
          <w:lang w:val="en-GB"/>
        </w:rPr>
        <w:t>y (particularly the progression to higher order births</w:t>
      </w:r>
      <w:r w:rsidR="000669BE">
        <w:rPr>
          <w:lang w:val="en-GB"/>
        </w:rPr>
        <w:t>)</w:t>
      </w:r>
      <w:r w:rsidR="00382E20">
        <w:rPr>
          <w:lang w:val="en-GB"/>
        </w:rPr>
        <w:t xml:space="preserve">. </w:t>
      </w:r>
      <w:r>
        <w:rPr>
          <w:lang w:val="en-GB"/>
        </w:rPr>
        <w:fldChar w:fldCharType="begin"/>
      </w:r>
      <w:r>
        <w:rPr>
          <w:lang w:val="en-GB"/>
        </w:rPr>
        <w:instrText xml:space="preserve"> ADDIN EN.CITE &lt;EndNote&gt;&lt;Cite AuthorYear="1"&gt;&lt;Author&gt;Compton&lt;/Author&gt;&lt;Year&gt;1989&lt;/Year&gt;&lt;RecNum&gt;328&lt;/RecNum&gt;&lt;DisplayText&gt;Compton and Coward (1989)&lt;/DisplayText&gt;&lt;record&gt;&lt;rec-number&gt;328&lt;/rec-number&gt;&lt;foreign-keys&gt;&lt;key app="EN" db-id="date2dst4vae0pe955kxa2tla9pzrxp00p95" timestamp="1704920150"&gt;328&lt;/key&gt;&lt;/foreign-keys&gt;&lt;ref-type name="Book"&gt;6&lt;/ref-type&gt;&lt;contributors&gt;&lt;authors&gt;&lt;author&gt;Compton, Paul &lt;/author&gt;&lt;author&gt;Coward, John&lt;/author&gt;&lt;/authors&gt;&lt;/contributors&gt;&lt;titles&gt;&lt;title&gt;Fertility and family planning in Northern Ireland&lt;/title&gt;&lt;/titles&gt;&lt;dates&gt;&lt;year&gt;1989&lt;/year&gt;&lt;/dates&gt;&lt;pub-location&gt;Aldershot&lt;/pub-location&gt;&lt;publisher&gt;Avebury&lt;/publisher&gt;&lt;urls&gt;&lt;/urls&gt;&lt;/record&gt;&lt;/Cite&gt;&lt;/EndNote&gt;</w:instrText>
      </w:r>
      <w:r>
        <w:rPr>
          <w:lang w:val="en-GB"/>
        </w:rPr>
        <w:fldChar w:fldCharType="separate"/>
      </w:r>
      <w:r>
        <w:rPr>
          <w:noProof/>
          <w:lang w:val="en-GB"/>
        </w:rPr>
        <w:t>Compton and Coward (1989)</w:t>
      </w:r>
      <w:r>
        <w:rPr>
          <w:lang w:val="en-GB"/>
        </w:rPr>
        <w:fldChar w:fldCharType="end"/>
      </w:r>
      <w:r>
        <w:rPr>
          <w:lang w:val="en-GB"/>
        </w:rPr>
        <w:t xml:space="preserve"> found lower contraceptive use rates in Northern Ireland than in Britain, and specifically </w:t>
      </w:r>
      <w:r>
        <w:t xml:space="preserve">higher use of less effective natural contraceptive methods (i.e. withdrawal, periodic abstinence) and lower use of male sterilization, which is more effective at preventing pregnancy. </w:t>
      </w:r>
      <w:r w:rsidR="00A848CC">
        <w:rPr>
          <w:lang w:val="en-GB"/>
        </w:rPr>
        <w:t>Abortion regulations</w:t>
      </w:r>
      <w:r w:rsidR="00CD757E">
        <w:rPr>
          <w:lang w:val="en-GB"/>
        </w:rPr>
        <w:t xml:space="preserve"> and</w:t>
      </w:r>
      <w:r w:rsidR="00A848CC">
        <w:rPr>
          <w:lang w:val="en-GB"/>
        </w:rPr>
        <w:t xml:space="preserve"> </w:t>
      </w:r>
      <w:r w:rsidR="00CD757E">
        <w:rPr>
          <w:lang w:val="en-GB"/>
        </w:rPr>
        <w:t xml:space="preserve">service use </w:t>
      </w:r>
      <w:r w:rsidR="00A848CC">
        <w:rPr>
          <w:lang w:val="en-GB"/>
        </w:rPr>
        <w:t xml:space="preserve">also differ between countries, with more restrictions </w:t>
      </w:r>
      <w:r w:rsidR="00CD757E">
        <w:rPr>
          <w:lang w:val="en-GB"/>
        </w:rPr>
        <w:t xml:space="preserve">yet higher abortion rates </w:t>
      </w:r>
      <w:r w:rsidR="00A848CC">
        <w:rPr>
          <w:lang w:val="en-GB"/>
        </w:rPr>
        <w:t>in England and Wales than in Scotland</w:t>
      </w:r>
      <w:r w:rsidR="00CD757E">
        <w:rPr>
          <w:lang w:val="en-GB"/>
        </w:rPr>
        <w:t>,</w:t>
      </w:r>
      <w:r w:rsidR="00A848CC">
        <w:rPr>
          <w:lang w:val="en-GB"/>
        </w:rPr>
        <w:t xml:space="preserve"> and the most </w:t>
      </w:r>
      <w:r w:rsidR="00A848CC" w:rsidRPr="00594CB5">
        <w:rPr>
          <w:lang w:val="en-GB"/>
        </w:rPr>
        <w:t xml:space="preserve">restrictive environment in Northern Ireland, where abortion </w:t>
      </w:r>
      <w:r w:rsidR="00DC5C0A" w:rsidRPr="00594CB5">
        <w:rPr>
          <w:lang w:val="en-GB"/>
        </w:rPr>
        <w:t>was</w:t>
      </w:r>
      <w:r w:rsidR="00A848CC" w:rsidRPr="00594CB5">
        <w:rPr>
          <w:lang w:val="en-GB"/>
        </w:rPr>
        <w:t xml:space="preserve"> criminalized until </w:t>
      </w:r>
      <w:r w:rsidR="00F86E4F" w:rsidRPr="00594CB5">
        <w:rPr>
          <w:lang w:val="en-GB"/>
        </w:rPr>
        <w:t>2019</w:t>
      </w:r>
      <w:r w:rsidR="00283271" w:rsidRPr="00594CB5">
        <w:rPr>
          <w:lang w:val="en-GB"/>
        </w:rPr>
        <w:t xml:space="preserve"> </w:t>
      </w:r>
      <w:r w:rsidR="001977F3">
        <w:rPr>
          <w:lang w:val="en-GB"/>
        </w:rPr>
        <w:fldChar w:fldCharType="begin">
          <w:fldData xml:space="preserve">PEVuZE5vdGU+PENpdGU+PEF1dGhvcj5BaWtlbjwvQXV0aG9yPjxZZWFyPjIwMTk8L1llYXI+PFJl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</w:fldData>
        </w:fldChar>
      </w:r>
      <w:r w:rsidR="001977F3">
        <w:rPr>
          <w:lang w:val="en-GB"/>
        </w:rPr>
        <w:instrText xml:space="preserve"> ADDIN EN.CITE </w:instrText>
      </w:r>
      <w:r w:rsidR="001977F3">
        <w:rPr>
          <w:lang w:val="en-GB"/>
        </w:rPr>
        <w:fldChar w:fldCharType="begin">
          <w:fldData xml:space="preserve">PEVuZE5vdGU+PENpdGU+PEF1dGhvcj5BaWtlbjwvQXV0aG9yPjxZZWFyPjIwMTk8L1llYXI+PFJl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</w:fldData>
        </w:fldChar>
      </w:r>
      <w:r w:rsidR="001977F3">
        <w:rPr>
          <w:lang w:val="en-GB"/>
        </w:rPr>
        <w:instrText xml:space="preserve"> ADDIN EN.CITE.DATA </w:instrText>
      </w:r>
      <w:r w:rsidR="001977F3">
        <w:rPr>
          <w:lang w:val="en-GB"/>
        </w:rPr>
      </w:r>
      <w:r w:rsidR="001977F3">
        <w:rPr>
          <w:lang w:val="en-GB"/>
        </w:rPr>
        <w:fldChar w:fldCharType="end"/>
      </w:r>
      <w:r w:rsidR="001977F3">
        <w:rPr>
          <w:lang w:val="en-GB"/>
        </w:rPr>
      </w:r>
      <w:r w:rsidR="001977F3">
        <w:rPr>
          <w:lang w:val="en-GB"/>
        </w:rPr>
        <w:fldChar w:fldCharType="separate"/>
      </w:r>
      <w:r w:rsidR="001977F3">
        <w:rPr>
          <w:noProof/>
          <w:lang w:val="en-GB"/>
        </w:rPr>
        <w:t>(Aiken and Bloomer 2019)</w:t>
      </w:r>
      <w:r w:rsidR="001977F3">
        <w:rPr>
          <w:lang w:val="en-GB"/>
        </w:rPr>
        <w:fldChar w:fldCharType="end"/>
      </w:r>
      <w:r w:rsidR="006A14BF" w:rsidRPr="00594CB5">
        <w:rPr>
          <w:lang w:val="en-GB"/>
        </w:rPr>
        <w:t xml:space="preserve"> th</w:t>
      </w:r>
      <w:r w:rsidR="006A14BF">
        <w:rPr>
          <w:lang w:val="en-GB"/>
        </w:rPr>
        <w:t xml:space="preserve">ough significant numbers of women travelled to the rest of the UK for terminations </w:t>
      </w:r>
      <w:r w:rsidR="001977F3">
        <w:rPr>
          <w:lang w:val="en-GB"/>
        </w:rPr>
        <w:fldChar w:fldCharType="begin"/>
      </w:r>
      <w:r w:rsidR="001977F3">
        <w:rPr>
          <w:lang w:val="en-GB"/>
        </w:rPr>
        <w:instrText xml:space="preserve"> ADDIN EN.CITE &lt;EndNote&gt;&lt;Cite&gt;&lt;Author&gt;Aiken&lt;/Author&gt;&lt;Year&gt;2019&lt;/Year&gt;&lt;RecNum&gt;364&lt;/RecNum&gt;&lt;DisplayText&gt;(Aiken, Johnson and Broussard 2019)&lt;/DisplayText&gt;&lt;record&gt;&lt;rec-number&gt;364&lt;/rec-number&gt;&lt;foreign-keys&gt;&lt;key app="EN" db-id="date2dst4vae0pe955kxa2tla9pzrxp00p95" timestamp="1706883030"&gt;364&lt;/key&gt;&lt;/foreign-keys&gt;&lt;ref-type name="Journal Article"&gt;17&lt;/ref-type&gt;&lt;contributors&gt;&lt;authors&gt;&lt;author&gt;Aiken, Abigail R. A.&lt;/author&gt;&lt;author&gt;Johnson, Dana M.&lt;/author&gt;&lt;author&gt;Broussard, Kathleen&lt;/author&gt;&lt;/authors&gt;&lt;/contributors&gt;&lt;titles&gt;&lt;title&gt;Abortion in Ireland and Northern Ireland&lt;/title&gt;&lt;secondary-title&gt;Obstetrics, Gynaecology &amp;amp; Reproductive Medicine&lt;/secondary-title&gt;&lt;/titles&gt;&lt;periodical&gt;&lt;full-title&gt;Obstetrics, Gynaecology &amp;amp; Reproductive Medicine&lt;/full-title&gt;&lt;/periodical&gt;&lt;pages&gt;326-327&lt;/pages&gt;&lt;volume&gt;29&lt;/volume&gt;&lt;number&gt;11&lt;/number&gt;&lt;keywords&gt;&lt;keyword&gt;abortion&lt;/keyword&gt;&lt;keyword&gt;Ireland&lt;/keyword&gt;&lt;keyword&gt;Northern Ireland&lt;/keyword&gt;&lt;keyword&gt;public policy&lt;/keyword&gt;&lt;/keywords&gt;&lt;dates&gt;&lt;year&gt;2019&lt;/year&gt;&lt;pub-dates&gt;&lt;date&gt;2019/11/01/&lt;/date&gt;&lt;/pub-dates&gt;&lt;/dates&gt;&lt;isbn&gt;1751-7214&lt;/isbn&gt;&lt;urls&gt;&lt;related-urls&gt;&lt;url&gt;https://www.sciencedirect.com/science/article/pii/S1751721419301666&lt;/url&gt;&lt;/related-urls&gt;&lt;/urls&gt;&lt;electronic-resource-num&gt;https://doi.org/10.1016/j.ogrm.2019.08.002&lt;/electronic-resource-num&gt;&lt;/record&gt;&lt;/Cite&gt;&lt;/EndNote&gt;</w:instrText>
      </w:r>
      <w:r w:rsidR="001977F3">
        <w:rPr>
          <w:lang w:val="en-GB"/>
        </w:rPr>
        <w:fldChar w:fldCharType="separate"/>
      </w:r>
      <w:r w:rsidR="001977F3">
        <w:rPr>
          <w:noProof/>
          <w:lang w:val="en-GB"/>
        </w:rPr>
        <w:t>(Aiken, Johnson and Broussard 2019)</w:t>
      </w:r>
      <w:r w:rsidR="001977F3">
        <w:rPr>
          <w:lang w:val="en-GB"/>
        </w:rPr>
        <w:fldChar w:fldCharType="end"/>
      </w:r>
      <w:r w:rsidR="000E441F" w:rsidRPr="000E441F">
        <w:rPr>
          <w:lang w:val="en-GB"/>
        </w:rPr>
        <w:t>.</w:t>
      </w:r>
      <w:r w:rsidR="001977F3">
        <w:rPr>
          <w:lang w:val="en-GB"/>
        </w:rPr>
        <w:t xml:space="preserve"> </w:t>
      </w:r>
      <w:r w:rsidR="009B17DA">
        <w:t>Th</w:t>
      </w:r>
      <w:r w:rsidR="00BA2F6A">
        <w:t>us</w:t>
      </w:r>
      <w:r w:rsidR="00EC5DD5">
        <w:t>,</w:t>
      </w:r>
      <w:r w:rsidR="00BA2F6A">
        <w:t xml:space="preserve"> differential</w:t>
      </w:r>
      <w:r w:rsidR="009B17DA">
        <w:t xml:space="preserve"> patterns of contraceptive </w:t>
      </w:r>
      <w:r w:rsidR="00BA2F6A">
        <w:t xml:space="preserve">and abortion will </w:t>
      </w:r>
      <w:r w:rsidR="009B17DA">
        <w:t xml:space="preserve">tend to </w:t>
      </w:r>
      <w:r w:rsidR="00BA2F6A">
        <w:t xml:space="preserve">reduce fertility rates in Scotland and increase them in Northern Ireland. </w:t>
      </w:r>
    </w:p>
    <w:p w14:paraId="31B9923D" w14:textId="342DCD0E" w:rsidR="000E4CBF" w:rsidRDefault="002B664A" w:rsidP="003F2706">
      <w:pPr>
        <w:spacing w:line="480" w:lineRule="auto"/>
        <w:rPr>
          <w:lang w:val="en-GB"/>
        </w:rPr>
      </w:pPr>
      <w:r>
        <w:t>Micro-economic theories highlight the direct costs of childbearing</w:t>
      </w:r>
      <w:r w:rsidR="005A53BB">
        <w:t xml:space="preserve">, of which childcare is a significant component. </w:t>
      </w:r>
      <w:r w:rsidR="00DE2B4A">
        <w:t>T</w:t>
      </w:r>
      <w:r w:rsidR="001B7CDC">
        <w:t>here have been persistent</w:t>
      </w:r>
      <w:r w:rsidR="00E64EAD">
        <w:t xml:space="preserve"> </w:t>
      </w:r>
      <w:r w:rsidR="00CB216C">
        <w:t>differences between UK countries</w:t>
      </w:r>
      <w:r w:rsidR="00045D4F">
        <w:t xml:space="preserve"> in </w:t>
      </w:r>
      <w:r w:rsidR="005F5915">
        <w:t xml:space="preserve">childcare </w:t>
      </w:r>
      <w:r w:rsidR="00045D4F">
        <w:t xml:space="preserve">provision and </w:t>
      </w:r>
      <w:r w:rsidR="007553B0">
        <w:t>Government subsidies which could potentially affect childbearing decisions</w:t>
      </w:r>
      <w:r w:rsidR="00F10773">
        <w:t>, although direct comparisons of costs are lacking</w:t>
      </w:r>
      <w:r w:rsidR="00CB216C">
        <w:t xml:space="preserve">. </w:t>
      </w:r>
      <w:r w:rsidR="00634522">
        <w:rPr>
          <w:lang w:val="en-GB"/>
        </w:rPr>
        <w:t xml:space="preserve">England, Wales, and Scotland </w:t>
      </w:r>
      <w:r w:rsidR="001D0E12">
        <w:rPr>
          <w:lang w:val="en-GB"/>
        </w:rPr>
        <w:t xml:space="preserve">have </w:t>
      </w:r>
      <w:r w:rsidR="00634522">
        <w:rPr>
          <w:lang w:val="en-GB"/>
        </w:rPr>
        <w:t>provide</w:t>
      </w:r>
      <w:r w:rsidR="001D0E12">
        <w:rPr>
          <w:lang w:val="en-GB"/>
        </w:rPr>
        <w:t>d</w:t>
      </w:r>
      <w:r w:rsidR="00634522">
        <w:rPr>
          <w:lang w:val="en-GB"/>
        </w:rPr>
        <w:t xml:space="preserve"> </w:t>
      </w:r>
      <w:r w:rsidR="007375CE">
        <w:rPr>
          <w:lang w:val="en-GB"/>
        </w:rPr>
        <w:t>between 10-30</w:t>
      </w:r>
      <w:r w:rsidR="00634522">
        <w:rPr>
          <w:lang w:val="en-GB"/>
        </w:rPr>
        <w:t xml:space="preserve"> hours</w:t>
      </w:r>
      <w:r w:rsidR="00B62041">
        <w:rPr>
          <w:lang w:val="en-GB"/>
        </w:rPr>
        <w:t xml:space="preserve"> per </w:t>
      </w:r>
      <w:r w:rsidR="00411C09">
        <w:rPr>
          <w:lang w:val="en-GB"/>
        </w:rPr>
        <w:t>week</w:t>
      </w:r>
      <w:r w:rsidR="00634522">
        <w:rPr>
          <w:lang w:val="en-GB"/>
        </w:rPr>
        <w:t xml:space="preserve"> of </w:t>
      </w:r>
      <w:r w:rsidR="00411C09">
        <w:rPr>
          <w:lang w:val="en-GB"/>
        </w:rPr>
        <w:t xml:space="preserve">funded </w:t>
      </w:r>
      <w:r w:rsidR="00634522">
        <w:rPr>
          <w:lang w:val="en-GB"/>
        </w:rPr>
        <w:t>childcare for</w:t>
      </w:r>
      <w:r w:rsidR="00F27A50">
        <w:rPr>
          <w:lang w:val="en-GB"/>
        </w:rPr>
        <w:t xml:space="preserve"> </w:t>
      </w:r>
      <w:r w:rsidR="00634522">
        <w:rPr>
          <w:lang w:val="en-GB"/>
        </w:rPr>
        <w:t>3-4 year</w:t>
      </w:r>
      <w:r w:rsidR="00B62041">
        <w:rPr>
          <w:lang w:val="en-GB"/>
        </w:rPr>
        <w:t>-</w:t>
      </w:r>
      <w:r w:rsidR="00634522">
        <w:rPr>
          <w:lang w:val="en-GB"/>
        </w:rPr>
        <w:t xml:space="preserve">olds </w:t>
      </w:r>
      <w:r w:rsidR="00411C09">
        <w:rPr>
          <w:lang w:val="en-GB"/>
        </w:rPr>
        <w:t xml:space="preserve">and </w:t>
      </w:r>
      <w:r w:rsidR="005F5915">
        <w:rPr>
          <w:lang w:val="en-GB"/>
        </w:rPr>
        <w:t xml:space="preserve">some </w:t>
      </w:r>
      <w:r w:rsidR="00411C09">
        <w:rPr>
          <w:lang w:val="en-GB"/>
        </w:rPr>
        <w:t>2 year</w:t>
      </w:r>
      <w:r w:rsidR="00582065">
        <w:rPr>
          <w:lang w:val="en-GB"/>
        </w:rPr>
        <w:t>-</w:t>
      </w:r>
      <w:r w:rsidR="00411C09">
        <w:rPr>
          <w:lang w:val="en-GB"/>
        </w:rPr>
        <w:t>old children</w:t>
      </w:r>
      <w:r w:rsidR="005F5915">
        <w:rPr>
          <w:lang w:val="en-GB"/>
        </w:rPr>
        <w:t>, while</w:t>
      </w:r>
      <w:r w:rsidR="00B62041">
        <w:rPr>
          <w:lang w:val="en-GB"/>
        </w:rPr>
        <w:t xml:space="preserve"> </w:t>
      </w:r>
      <w:r w:rsidR="00411C09">
        <w:rPr>
          <w:lang w:val="en-GB"/>
        </w:rPr>
        <w:t>Northern Irel</w:t>
      </w:r>
      <w:r w:rsidR="00411C09" w:rsidRPr="00A95346">
        <w:rPr>
          <w:rFonts w:cstheme="minorHAnsi"/>
          <w:lang w:val="en-GB"/>
        </w:rPr>
        <w:t xml:space="preserve">and </w:t>
      </w:r>
      <w:r w:rsidR="00725503">
        <w:rPr>
          <w:rFonts w:cstheme="minorHAnsi"/>
          <w:lang w:val="en-GB"/>
        </w:rPr>
        <w:t xml:space="preserve">has </w:t>
      </w:r>
      <w:r w:rsidR="001D0E12" w:rsidRPr="00A95346">
        <w:rPr>
          <w:rFonts w:cstheme="minorHAnsi"/>
          <w:lang w:val="en-GB"/>
        </w:rPr>
        <w:t xml:space="preserve">not </w:t>
      </w:r>
      <w:r w:rsidR="00411C09" w:rsidRPr="00A95346">
        <w:rPr>
          <w:rFonts w:cstheme="minorHAnsi"/>
          <w:lang w:val="en-GB"/>
        </w:rPr>
        <w:t>provide</w:t>
      </w:r>
      <w:r w:rsidR="00725503">
        <w:rPr>
          <w:rFonts w:cstheme="minorHAnsi"/>
          <w:lang w:val="en-GB"/>
        </w:rPr>
        <w:t>d</w:t>
      </w:r>
      <w:r w:rsidR="00411C09" w:rsidRPr="00A95346">
        <w:rPr>
          <w:rFonts w:cstheme="minorHAnsi"/>
          <w:lang w:val="en-GB"/>
        </w:rPr>
        <w:t xml:space="preserve"> </w:t>
      </w:r>
      <w:r w:rsidR="00634522" w:rsidRPr="00A95346">
        <w:rPr>
          <w:rFonts w:cstheme="minorHAnsi"/>
          <w:lang w:val="en-GB"/>
        </w:rPr>
        <w:t>a</w:t>
      </w:r>
      <w:r w:rsidR="00411C09" w:rsidRPr="00A95346">
        <w:rPr>
          <w:rFonts w:cstheme="minorHAnsi"/>
          <w:lang w:val="en-GB"/>
        </w:rPr>
        <w:t xml:space="preserve">ny </w:t>
      </w:r>
      <w:r w:rsidR="00045D4F" w:rsidRPr="00A95346">
        <w:rPr>
          <w:rFonts w:cstheme="minorHAnsi"/>
          <w:lang w:val="en-GB"/>
        </w:rPr>
        <w:t xml:space="preserve">Government </w:t>
      </w:r>
      <w:r w:rsidR="00411C09" w:rsidRPr="00A95346">
        <w:rPr>
          <w:rFonts w:cstheme="minorHAnsi"/>
          <w:lang w:val="en-GB"/>
        </w:rPr>
        <w:t>funded early years childcare</w:t>
      </w:r>
      <w:r w:rsidR="00725503" w:rsidRPr="00A95346">
        <w:rPr>
          <w:rFonts w:cstheme="minorHAnsi"/>
          <w:lang w:val="en-GB"/>
        </w:rPr>
        <w:t xml:space="preserve">. </w:t>
      </w:r>
      <w:r w:rsidR="00F27A50" w:rsidRPr="00A95346">
        <w:rPr>
          <w:rFonts w:cstheme="minorHAnsi"/>
          <w:lang w:val="en-GB"/>
        </w:rPr>
        <w:t xml:space="preserve">Instead, 3-4 year olds in Northern Ireland </w:t>
      </w:r>
      <w:r w:rsidR="001D0E12" w:rsidRPr="00A95346">
        <w:rPr>
          <w:rFonts w:cstheme="minorHAnsi"/>
          <w:lang w:val="en-GB"/>
        </w:rPr>
        <w:t>have been</w:t>
      </w:r>
      <w:r w:rsidR="00F27A50" w:rsidRPr="00A95346">
        <w:rPr>
          <w:rFonts w:cstheme="minorHAnsi"/>
          <w:lang w:val="en-GB"/>
        </w:rPr>
        <w:t xml:space="preserve"> entitled to 12 hours</w:t>
      </w:r>
      <w:r w:rsidR="0098492B" w:rsidRPr="00A95346">
        <w:rPr>
          <w:rFonts w:cstheme="minorHAnsi"/>
          <w:lang w:val="en-GB"/>
        </w:rPr>
        <w:t xml:space="preserve"> per </w:t>
      </w:r>
      <w:r w:rsidR="00F27A50" w:rsidRPr="00A95346">
        <w:rPr>
          <w:rFonts w:cstheme="minorHAnsi"/>
          <w:lang w:val="en-GB"/>
        </w:rPr>
        <w:t>week of pre-school,</w:t>
      </w:r>
      <w:r w:rsidR="007263F6" w:rsidRPr="00A95346">
        <w:rPr>
          <w:rFonts w:cstheme="minorHAnsi"/>
          <w:lang w:val="en-GB"/>
        </w:rPr>
        <w:t xml:space="preserve"> which most children </w:t>
      </w:r>
      <w:r w:rsidR="0098492B" w:rsidRPr="00A95346">
        <w:rPr>
          <w:rFonts w:cstheme="minorHAnsi"/>
          <w:lang w:val="en-GB"/>
        </w:rPr>
        <w:t>attend</w:t>
      </w:r>
      <w:r w:rsidR="007263F6" w:rsidRPr="00A95346">
        <w:rPr>
          <w:rFonts w:cstheme="minorHAnsi"/>
          <w:lang w:val="en-GB"/>
        </w:rPr>
        <w:t xml:space="preserve"> </w:t>
      </w:r>
      <w:r w:rsidR="001B64DD">
        <w:rPr>
          <w:rFonts w:cstheme="minorHAnsi"/>
          <w:lang w:val="en-GB"/>
        </w:rPr>
        <w:fldChar w:fldCharType="begin"/>
      </w:r>
      <w:r w:rsidR="001B64DD">
        <w:rPr>
          <w:rFonts w:cstheme="minorHAnsi"/>
          <w:lang w:val="en-GB"/>
        </w:rPr>
        <w:instrText xml:space="preserve"> ADDIN EN.CITE &lt;EndNote&gt;&lt;Cite&gt;&lt;Author&gt;Gray&lt;/Author&gt;&lt;Year&gt;2003&lt;/Year&gt;&lt;RecNum&gt;371&lt;/RecNum&gt;&lt;DisplayText&gt;(Gray and Bruegel 2003)&lt;/DisplayText&gt;&lt;record&gt;&lt;rec-number&gt;371&lt;/rec-number&gt;&lt;foreign-keys&gt;&lt;key app="EN" db-id="date2dst4vae0pe955kxa2tla9pzrxp00p95" timestamp="1706886737"&gt;371&lt;/key&gt;&lt;/foreign-keys&gt;&lt;ref-type name="Journal Article"&gt;17&lt;/ref-type&gt;&lt;contributors&gt;&lt;authors&gt;&lt;author&gt;Gray, Anne&lt;/author&gt;&lt;author&gt;Bruegel, Prof&lt;/author&gt;&lt;/authors&gt;&lt;/contributors&gt;&lt;titles&gt;&lt;title&gt;The availability, use of, and demand for Childcare Services among the parents of children aged 0-14 in Northern Ireland&lt;/title&gt;&lt;/titles&gt;&lt;dates&gt;&lt;year&gt;2003&lt;/year&gt;&lt;pub-dates&gt;&lt;date&gt;04/01&lt;/date&gt;&lt;/pub-dates&gt;&lt;/dates&gt;&lt;urls&gt;&lt;/urls&gt;&lt;/record&gt;&lt;/Cite&gt;&lt;/EndNote&gt;</w:instrText>
      </w:r>
      <w:r w:rsidR="001B64DD">
        <w:rPr>
          <w:rFonts w:cstheme="minorHAnsi"/>
          <w:lang w:val="en-GB"/>
        </w:rPr>
        <w:fldChar w:fldCharType="separate"/>
      </w:r>
      <w:r w:rsidR="001B64DD">
        <w:rPr>
          <w:rFonts w:cstheme="minorHAnsi"/>
          <w:noProof/>
          <w:lang w:val="en-GB"/>
        </w:rPr>
        <w:t>(Gray and Bruegel 2003)</w:t>
      </w:r>
      <w:r w:rsidR="001B64DD">
        <w:rPr>
          <w:rFonts w:cstheme="minorHAnsi"/>
          <w:lang w:val="en-GB"/>
        </w:rPr>
        <w:fldChar w:fldCharType="end"/>
      </w:r>
      <w:r w:rsidR="001D0E12" w:rsidRPr="0068194F">
        <w:rPr>
          <w:rFonts w:cstheme="minorHAnsi"/>
          <w:color w:val="222222"/>
          <w:shd w:val="clear" w:color="auto" w:fill="FFFFFF"/>
        </w:rPr>
        <w:t>.</w:t>
      </w:r>
      <w:r w:rsidR="00241DDD" w:rsidRPr="00A95346">
        <w:rPr>
          <w:rFonts w:cstheme="minorHAnsi"/>
          <w:lang w:val="en-GB"/>
        </w:rPr>
        <w:t xml:space="preserve"> </w:t>
      </w:r>
      <w:r w:rsidR="00033856" w:rsidRPr="00A95346">
        <w:rPr>
          <w:rFonts w:cstheme="minorHAnsi"/>
          <w:lang w:val="en-GB"/>
        </w:rPr>
        <w:t>The lack of early years funded childcare</w:t>
      </w:r>
      <w:r w:rsidR="0063747D" w:rsidRPr="00A95346">
        <w:rPr>
          <w:rFonts w:cstheme="minorHAnsi"/>
          <w:lang w:val="en-GB"/>
        </w:rPr>
        <w:t xml:space="preserve"> in Northern Ireland might be expected to place a downward pres</w:t>
      </w:r>
      <w:r w:rsidR="0063747D">
        <w:rPr>
          <w:lang w:val="en-GB"/>
        </w:rPr>
        <w:t>sure on childbearing there</w:t>
      </w:r>
      <w:r w:rsidR="00127E86">
        <w:rPr>
          <w:lang w:val="en-GB"/>
        </w:rPr>
        <w:t>, especially for low</w:t>
      </w:r>
      <w:r w:rsidR="00FE786D">
        <w:rPr>
          <w:lang w:val="en-GB"/>
        </w:rPr>
        <w:t>-</w:t>
      </w:r>
      <w:r w:rsidR="00127E86">
        <w:rPr>
          <w:lang w:val="en-GB"/>
        </w:rPr>
        <w:t>income households</w:t>
      </w:r>
      <w:r w:rsidR="00F2219F">
        <w:rPr>
          <w:lang w:val="en-GB"/>
        </w:rPr>
        <w:t xml:space="preserve"> but</w:t>
      </w:r>
      <w:r w:rsidR="00725503">
        <w:rPr>
          <w:lang w:val="en-GB"/>
        </w:rPr>
        <w:t xml:space="preserve"> </w:t>
      </w:r>
      <w:r w:rsidR="00F2219F">
        <w:rPr>
          <w:lang w:val="en-GB"/>
        </w:rPr>
        <w:t>t</w:t>
      </w:r>
      <w:r w:rsidR="001D0E12">
        <w:rPr>
          <w:lang w:val="en-GB"/>
        </w:rPr>
        <w:t xml:space="preserve">his effect may have been offset however, by the tendency </w:t>
      </w:r>
      <w:r w:rsidR="00FE786D">
        <w:rPr>
          <w:lang w:val="en-GB"/>
        </w:rPr>
        <w:t xml:space="preserve">in Northern Ireland to rely on friends and family for childcare </w:t>
      </w:r>
      <w:r w:rsidR="001B64DD">
        <w:rPr>
          <w:lang w:val="en-GB"/>
        </w:rPr>
        <w:fldChar w:fldCharType="begin"/>
      </w:r>
      <w:r w:rsidR="001B64DD">
        <w:rPr>
          <w:lang w:val="en-GB"/>
        </w:rPr>
        <w:instrText xml:space="preserve"> ADDIN EN.CITE &lt;EndNote&gt;&lt;Cite&gt;&lt;Author&gt;Gray&lt;/Author&gt;&lt;Year&gt;2003&lt;/Year&gt;&lt;RecNum&gt;371&lt;/RecNum&gt;&lt;DisplayText&gt;(Gray and Bruegel 2003)&lt;/DisplayText&gt;&lt;record&gt;&lt;rec-number&gt;371&lt;/rec-number&gt;&lt;foreign-keys&gt;&lt;key app="EN" db-id="date2dst4vae0pe955kxa2tla9pzrxp00p95" timestamp="1706886737"&gt;371&lt;/key&gt;&lt;/foreign-keys&gt;&lt;ref-type name="Journal Article"&gt;17&lt;/ref-type&gt;&lt;contributors&gt;&lt;authors&gt;&lt;author&gt;Gray, Anne&lt;/author&gt;&lt;author&gt;Bruegel, Prof&lt;/author&gt;&lt;/authors&gt;&lt;/contributors&gt;&lt;titles&gt;&lt;title&gt;The availability, use of, and demand for Childcare Services among the parents of children aged 0-14 in Northern Ireland&lt;/title&gt;&lt;/titles&gt;&lt;dates&gt;&lt;year&gt;2003&lt;/year&gt;&lt;pub-dates&gt;&lt;date&gt;04/01&lt;/date&gt;&lt;/pub-dates&gt;&lt;/dates&gt;&lt;urls&gt;&lt;/urls&gt;&lt;/record&gt;&lt;/Cite&gt;&lt;/EndNote&gt;</w:instrText>
      </w:r>
      <w:r w:rsidR="001B64DD">
        <w:rPr>
          <w:lang w:val="en-GB"/>
        </w:rPr>
        <w:fldChar w:fldCharType="separate"/>
      </w:r>
      <w:r w:rsidR="001B64DD">
        <w:rPr>
          <w:noProof/>
          <w:lang w:val="en-GB"/>
        </w:rPr>
        <w:t>(Gray and Bruegel 2003)</w:t>
      </w:r>
      <w:r w:rsidR="001B64DD">
        <w:rPr>
          <w:lang w:val="en-GB"/>
        </w:rPr>
        <w:fldChar w:fldCharType="end"/>
      </w:r>
      <w:r w:rsidR="00FE786D">
        <w:rPr>
          <w:lang w:val="en-GB"/>
        </w:rPr>
        <w:t>.</w:t>
      </w:r>
    </w:p>
    <w:p w14:paraId="08673004" w14:textId="1D2E0E2C" w:rsidR="00AD2631" w:rsidRPr="00343068" w:rsidRDefault="00AD2631" w:rsidP="00AD2631">
      <w:pPr>
        <w:spacing w:after="0" w:line="480" w:lineRule="auto"/>
        <w:rPr>
          <w:rFonts w:cstheme="minorHAnsi"/>
        </w:rPr>
      </w:pPr>
      <w:r>
        <w:rPr>
          <w:rFonts w:cstheme="minorHAnsi"/>
          <w:shd w:val="clear" w:color="auto" w:fill="FCFCFC"/>
        </w:rPr>
        <w:t>With respect to welfare policies, f</w:t>
      </w:r>
      <w:r w:rsidRPr="002B6FA5">
        <w:rPr>
          <w:rFonts w:cstheme="minorHAnsi"/>
          <w:shd w:val="clear" w:color="auto" w:fill="FCFCFC"/>
        </w:rPr>
        <w:t>ollowing the election of the Labour Government in 1997</w:t>
      </w:r>
      <w:r>
        <w:rPr>
          <w:rFonts w:cstheme="minorHAnsi"/>
          <w:shd w:val="clear" w:color="auto" w:fill="FCFCFC"/>
        </w:rPr>
        <w:t>,</w:t>
      </w:r>
      <w:r w:rsidRPr="002B6FA5">
        <w:rPr>
          <w:rFonts w:cstheme="minorHAnsi"/>
        </w:rPr>
        <w:t xml:space="preserve"> </w:t>
      </w:r>
      <w:r>
        <w:rPr>
          <w:rFonts w:cstheme="minorHAnsi"/>
        </w:rPr>
        <w:t>several</w:t>
      </w:r>
      <w:r w:rsidRPr="002B6FA5">
        <w:rPr>
          <w:rFonts w:cstheme="minorHAnsi"/>
        </w:rPr>
        <w:t xml:space="preserve"> </w:t>
      </w:r>
      <w:r>
        <w:rPr>
          <w:rFonts w:cstheme="minorHAnsi"/>
        </w:rPr>
        <w:t xml:space="preserve">family-friendly </w:t>
      </w:r>
      <w:r w:rsidRPr="002B6FA5">
        <w:rPr>
          <w:rFonts w:cstheme="minorHAnsi"/>
        </w:rPr>
        <w:t xml:space="preserve">policies were introduced or expanded </w:t>
      </w:r>
      <w:r>
        <w:rPr>
          <w:rFonts w:cstheme="minorHAnsi"/>
        </w:rPr>
        <w:t xml:space="preserve">across the whole of the UK </w:t>
      </w:r>
      <w:r>
        <w:rPr>
          <w:rFonts w:cstheme="minorHAnsi"/>
        </w:rPr>
        <w:fldChar w:fldCharType="begin"/>
      </w:r>
      <w:r>
        <w:rPr>
          <w:rFonts w:cstheme="minorHAnsi"/>
        </w:rPr>
        <w:instrText xml:space="preserve"> ADDIN EN.CITE &lt;EndNote&gt;&lt;Cite&gt;&lt;Author&gt;Sigle&lt;/Author&gt;&lt;Year&gt;2016&lt;/Year&gt;&lt;RecNum&gt;366&lt;/RecNum&gt;&lt;DisplayText&gt;(Sigle 2016)&lt;/DisplayText&gt;&lt;record&gt;&lt;rec-number&gt;366&lt;/rec-number&gt;&lt;foreign-keys&gt;&lt;key app="EN" db-id="date2dst4vae0pe955kxa2tla9pzrxp00p95" timestamp="1706883528"&gt;366&lt;/key&gt;&lt;/foreign-keys&gt;&lt;ref-type name="Book Section"&gt;5&lt;/ref-type&gt;&lt;contributors&gt;&lt;authors&gt;&lt;author&gt;Sigle, Wendy&lt;/author&gt;&lt;/authors&gt;&lt;secondary-authors&gt;&lt;author&gt;Rindfuss, Ronald R.&lt;/author&gt;&lt;author&gt;Choe, Minja Kim&lt;/author&gt;&lt;/secondary-authors&gt;&lt;/contributors&gt;&lt;titles&gt;&lt;title&gt;Fertility and Population Change in the United Kingdom&lt;/title&gt;&lt;secondary-title&gt;Low Fertility, Institutions, and their Policies: Variations Across Industrialized Countries&lt;/secondary-title&gt;&lt;/titles&gt;&lt;pages&gt;77-98&lt;/pages&gt;&lt;dates&gt;&lt;year&gt;2016&lt;/year&gt;&lt;pub-dates&gt;&lt;date&gt;2016//&lt;/date&gt;&lt;/pub-dates&gt;&lt;/dates&gt;&lt;pub-location&gt;Cham&lt;/pub-location&gt;&lt;publisher&gt;Springer International Publishing&lt;/publisher&gt;&lt;isbn&gt;978-3-319-32997-0&lt;/isbn&gt;&lt;urls&gt;&lt;related-urls&gt;&lt;url&gt;https://doi.org/10.1007/978-3-319-32997-0_4&lt;/url&gt;&lt;/related-urls&gt;&lt;/urls&gt;&lt;electronic-resource-num&gt;10.1007/978-3-319-32997-0_4&lt;/electronic-resource-num&gt;&lt;/record&gt;&lt;/Cite&gt;&lt;/EndNote&gt;</w:instrText>
      </w:r>
      <w:r>
        <w:rPr>
          <w:rFonts w:cstheme="minorHAnsi"/>
        </w:rPr>
        <w:fldChar w:fldCharType="separate"/>
      </w:r>
      <w:r>
        <w:rPr>
          <w:rFonts w:cstheme="minorHAnsi"/>
          <w:noProof/>
        </w:rPr>
        <w:t>(Sigle 2016)</w:t>
      </w:r>
      <w:r>
        <w:rPr>
          <w:rFonts w:cstheme="minorHAnsi"/>
        </w:rPr>
        <w:fldChar w:fldCharType="end"/>
      </w:r>
      <w:r>
        <w:rPr>
          <w:rFonts w:cstheme="minorHAnsi"/>
        </w:rPr>
        <w:t xml:space="preserve">, with a focus on poverty-reduction to target those on low incomes with children </w:t>
      </w:r>
      <w:r>
        <w:rPr>
          <w:rFonts w:cstheme="minorHAnsi"/>
        </w:rPr>
        <w:fldChar w:fldCharType="begin"/>
      </w:r>
      <w:r>
        <w:rPr>
          <w:rFonts w:cstheme="minorHAnsi"/>
        </w:rPr>
        <w:instrText xml:space="preserve"> ADDIN EN.CITE &lt;EndNote&gt;&lt;Cite&gt;&lt;Author&gt;Pezer&lt;/Author&gt;&lt;Year&gt;2022&lt;/Year&gt;&lt;RecNum&gt;367&lt;/RecNum&gt;&lt;DisplayText&gt;(Pezer 2022)&lt;/DisplayText&gt;&lt;record&gt;&lt;rec-number&gt;367&lt;/rec-number&gt;&lt;foreign-keys&gt;&lt;key app="EN" db-id="date2dst4vae0pe955kxa2tla9pzrxp00p95" timestamp="1706884274"&gt;367&lt;/key&gt;&lt;/foreign-keys&gt;&lt;ref-type name="Journal Article"&gt;17&lt;/ref-type&gt;&lt;contributors&gt;&lt;authors&gt;&lt;author&gt;Pezer, Martina&lt;/author&gt;&lt;/authors&gt;&lt;/contributors&gt;&lt;titles&gt;&lt;title&gt;Public policies supporting families with children across welfare regimes: An empirical assessment of six European countries&lt;/title&gt;&lt;secondary-title&gt;Journal of European Social Policy&lt;/secondary-title&gt;&lt;/titles&gt;&lt;periodical&gt;&lt;full-title&gt;Journal of European Social Policy&lt;/full-title&gt;&lt;/periodical&gt;&lt;pages&gt;254-269&lt;/pages&gt;&lt;volume&gt;32&lt;/volume&gt;&lt;number&gt;3&lt;/number&gt;&lt;keywords&gt;&lt;keyword&gt;Child benefits,income distribution,microsimulation,child-contingent payments&lt;/keyword&gt;&lt;/keywords&gt;&lt;dates&gt;&lt;year&gt;2022&lt;/year&gt;&lt;/dates&gt;&lt;urls&gt;&lt;related-urls&gt;&lt;url&gt;https://journals.sagepub.com/doi/abs/10.1177/09589287221080700&lt;/url&gt;&lt;/related-urls&gt;&lt;/urls&gt;&lt;electronic-resource-num&gt;10.1177/09589287221080700&lt;/electronic-resource-num&gt;&lt;/record&gt;&lt;/Cite&gt;&lt;/EndNote&gt;</w:instrText>
      </w:r>
      <w:r>
        <w:rPr>
          <w:rFonts w:cstheme="minorHAnsi"/>
        </w:rPr>
        <w:fldChar w:fldCharType="separate"/>
      </w:r>
      <w:r>
        <w:rPr>
          <w:rFonts w:cstheme="minorHAnsi"/>
          <w:noProof/>
        </w:rPr>
        <w:t>(Pezer 2022)</w:t>
      </w:r>
      <w:r>
        <w:rPr>
          <w:rFonts w:cstheme="minorHAnsi"/>
        </w:rPr>
        <w:fldChar w:fldCharType="end"/>
      </w:r>
      <w:r>
        <w:rPr>
          <w:rFonts w:cstheme="minorHAnsi"/>
        </w:rPr>
        <w:t>, meaning t</w:t>
      </w:r>
      <w:r>
        <w:t xml:space="preserve">hose with low levels of education and earning capacity had few incentives to delay childbearing </w:t>
      </w:r>
      <w:r>
        <w:fldChar w:fldCharType="begin">
          <w:fldData xml:space="preserve">PEVuZE5vdGU+PENpdGU+PEF1dGhvcj5SZW5kYWxsPC9BdXRob3I+PFllYXI+MjAwNTwvWWVhcj48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</w:fldData>
        </w:fldChar>
      </w:r>
      <w:r>
        <w:instrText xml:space="preserve"> ADDIN EN.CITE </w:instrText>
      </w:r>
      <w:r>
        <w:fldChar w:fldCharType="begin">
          <w:fldData xml:space="preserve">PEVuZE5vdGU+PENpdGU+PEF1dGhvcj5SZW5kYWxsPC9BdXRob3I+PFllYXI+MjAwNTwvWWVhcj48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</w:fldData>
        </w:fldChar>
      </w:r>
      <w:r>
        <w:instrText xml:space="preserve"> ADDIN EN.CITE.DATA </w:instrText>
      </w:r>
      <w:r>
        <w:fldChar w:fldCharType="end"/>
      </w:r>
      <w:r>
        <w:fldChar w:fldCharType="separate"/>
      </w:r>
      <w:r>
        <w:rPr>
          <w:noProof/>
        </w:rPr>
        <w:t>(Rendall, Couet et al. 2005, Sigle-Rushton 2008)</w:t>
      </w:r>
      <w:r>
        <w:fldChar w:fldCharType="end"/>
      </w:r>
      <w:r>
        <w:t xml:space="preserve">. Family policy changes announced as part of the Government’s austerity measures following the 2008 recession were also consistent across the UK, and </w:t>
      </w:r>
      <w:r w:rsidRPr="002B6FA5">
        <w:rPr>
          <w:rFonts w:cstheme="minorHAnsi"/>
          <w:color w:val="212529"/>
          <w:shd w:val="clear" w:color="auto" w:fill="FFFFFF"/>
        </w:rPr>
        <w:t>e</w:t>
      </w:r>
      <w:r w:rsidRPr="00343068">
        <w:rPr>
          <w:rFonts w:cstheme="minorHAnsi"/>
        </w:rPr>
        <w:t xml:space="preserve">vidence suggests </w:t>
      </w:r>
      <w:r>
        <w:rPr>
          <w:rFonts w:cstheme="minorHAnsi"/>
        </w:rPr>
        <w:t xml:space="preserve">the targeted withdrawal of support for third and higher order children </w:t>
      </w:r>
      <w:r w:rsidRPr="00343068">
        <w:rPr>
          <w:rFonts w:cstheme="minorHAnsi"/>
        </w:rPr>
        <w:t xml:space="preserve">had a very marginal effect on childbearing </w:t>
      </w:r>
      <w:r>
        <w:rPr>
          <w:rFonts w:cstheme="minorHAnsi"/>
        </w:rPr>
        <w:fldChar w:fldCharType="begin"/>
      </w:r>
      <w:r>
        <w:rPr>
          <w:rFonts w:cstheme="minorHAnsi"/>
        </w:rPr>
        <w:instrText xml:space="preserve"> ADDIN EN.CITE &lt;EndNote&gt;&lt;Cite&gt;&lt;Author&gt;Reader&lt;/Author&gt;&lt;Year&gt;2022&lt;/Year&gt;&lt;RecNum&gt;377&lt;/RecNum&gt;&lt;DisplayText&gt;(Reader, Portes and Patrick 2022)&lt;/DisplayText&gt;&lt;record&gt;&lt;rec-number&gt;377&lt;/rec-number&gt;&lt;foreign-keys&gt;&lt;key app="EN" db-id="date2dst4vae0pe955kxa2tla9pzrxp00p95" timestamp="1707223144"&gt;377&lt;/key&gt;&lt;/foreign-keys&gt;&lt;ref-type name="Serial"&gt;57&lt;/ref-type&gt;&lt;contributors&gt;&lt;authors&gt;&lt;author&gt;Reader, Mary&lt;/author&gt;&lt;author&gt;Portes, Jonathan&lt;/author&gt;&lt;author&gt;Patrick, Ruth&lt;/author&gt;&lt;/authors&gt;&lt;/contributors&gt;&lt;titles&gt;&lt;title&gt;Does cutting child benefits reduce fertility in larger families? Evidence from the UK&amp;apos;s two-child limit&lt;/title&gt;&lt;tertiary-title&gt;Discussion Paper Series&lt;/tertiary-title&gt;&lt;/titles&gt;&lt;volume&gt;15203&lt;/volume&gt;&lt;dates&gt;&lt;year&gt;2022&lt;/year&gt;&lt;/dates&gt;&lt;pub-location&gt;Bonn, Germany&lt;/pub-location&gt;&lt;publisher&gt;IZA Institute of Labor Economics&lt;/publisher&gt;&lt;urls&gt;&lt;/urls&gt;&lt;/record&gt;&lt;/Cite&gt;&lt;/EndNote&gt;</w:instrText>
      </w:r>
      <w:r>
        <w:rPr>
          <w:rFonts w:cstheme="minorHAnsi"/>
        </w:rPr>
        <w:fldChar w:fldCharType="separate"/>
      </w:r>
      <w:r>
        <w:rPr>
          <w:rFonts w:cstheme="minorHAnsi"/>
          <w:noProof/>
        </w:rPr>
        <w:t>(Reader, Portes and Patrick 2022)</w:t>
      </w:r>
      <w:r>
        <w:rPr>
          <w:rFonts w:cstheme="minorHAnsi"/>
        </w:rPr>
        <w:fldChar w:fldCharType="end"/>
      </w:r>
      <w:r>
        <w:rPr>
          <w:rFonts w:cstheme="minorHAnsi"/>
        </w:rPr>
        <w:t xml:space="preserve">, possibly due to </w:t>
      </w:r>
      <w:r w:rsidRPr="00343068">
        <w:rPr>
          <w:rFonts w:cstheme="minorHAnsi"/>
        </w:rPr>
        <w:t>a lack of knowledge about the policy, unplanned childbearing, or other socio-constraints influencing third and fourth births among low income women</w:t>
      </w:r>
      <w:r>
        <w:rPr>
          <w:rFonts w:cstheme="minorHAnsi"/>
        </w:rPr>
        <w:t xml:space="preserve"> </w:t>
      </w:r>
      <w:r>
        <w:rPr>
          <w:rFonts w:cstheme="minorHAnsi"/>
        </w:rPr>
        <w:fldChar w:fldCharType="begin"/>
      </w:r>
      <w:r>
        <w:rPr>
          <w:rFonts w:cstheme="minorHAnsi"/>
        </w:rPr>
        <w:instrText xml:space="preserve"> ADDIN EN.CITE &lt;EndNote&gt;&lt;Cite&gt;&lt;Author&gt;Patrick&lt;/Author&gt;&lt;Year&gt;2023&lt;/Year&gt;&lt;RecNum&gt;376&lt;/RecNum&gt;&lt;DisplayText&gt;(Patrick and Andersen 2023)&lt;/DisplayText&gt;&lt;record&gt;&lt;rec-number&gt;376&lt;/rec-number&gt;&lt;foreign-keys&gt;&lt;key app="EN" db-id="date2dst4vae0pe955kxa2tla9pzrxp00p95" timestamp="1707222316"&gt;376&lt;/key&gt;&lt;/foreign-keys&gt;&lt;ref-type name="Journal Article"&gt;17&lt;/ref-type&gt;&lt;contributors&gt;&lt;authors&gt;&lt;author&gt;Patrick, Ruth&lt;/author&gt;&lt;author&gt;Andersen, Kate&lt;/author&gt;&lt;/authors&gt;&lt;/contributors&gt;&lt;titles&gt;&lt;title&gt;The two-child limit and fertility decision making: When policy narratives and lived experiences collide&lt;/title&gt;&lt;secondary-title&gt;Social Policy &amp;amp; Administration&lt;/secondary-title&gt;&lt;/titles&gt;&lt;periodical&gt;&lt;full-title&gt;Social Policy &amp;amp; Administration&lt;/full-title&gt;&lt;/periodical&gt;&lt;pages&gt;580-595&lt;/pages&gt;&lt;volume&gt;57&lt;/volume&gt;&lt;number&gt;5&lt;/number&gt;&lt;dates&gt;&lt;year&gt;2023&lt;/year&gt;&lt;/dates&gt;&lt;isbn&gt;0144-5596&lt;/isbn&gt;&lt;urls&gt;&lt;related-urls&gt;&lt;url&gt;https://onlinelibrary.wiley.com/doi/abs/10.1111/spol.12877&lt;/url&gt;&lt;/related-urls&gt;&lt;/urls&gt;&lt;electronic-resource-num&gt;https://doi.org/10.1111/spol.12877&lt;/electronic-resource-num&gt;&lt;/record&gt;&lt;/Cite&gt;&lt;/EndNote&gt;</w:instrText>
      </w:r>
      <w:r>
        <w:rPr>
          <w:rFonts w:cstheme="minorHAnsi"/>
        </w:rPr>
        <w:fldChar w:fldCharType="separate"/>
      </w:r>
      <w:r>
        <w:rPr>
          <w:rFonts w:cstheme="minorHAnsi"/>
          <w:noProof/>
        </w:rPr>
        <w:t>(Patrick and Andersen 2023)</w:t>
      </w:r>
      <w:r>
        <w:rPr>
          <w:rFonts w:cstheme="minorHAnsi"/>
        </w:rPr>
        <w:fldChar w:fldCharType="end"/>
      </w:r>
      <w:r w:rsidRPr="00343068">
        <w:rPr>
          <w:rFonts w:cstheme="minorHAnsi"/>
        </w:rPr>
        <w:t xml:space="preserve">. </w:t>
      </w:r>
      <w:r w:rsidRPr="007447E8">
        <w:rPr>
          <w:rFonts w:cstheme="minorHAnsi"/>
        </w:rPr>
        <w:t xml:space="preserve"> </w:t>
      </w:r>
    </w:p>
    <w:p w14:paraId="003C6AD4" w14:textId="3D017989" w:rsidR="00B37523" w:rsidRDefault="0094295F" w:rsidP="007A39E8">
      <w:pPr>
        <w:spacing w:line="480" w:lineRule="auto"/>
        <w:rPr>
          <w:lang w:val="en-GB"/>
        </w:rPr>
      </w:pPr>
      <w:r>
        <w:t>Cross-national differences in the uptake of</w:t>
      </w:r>
      <w:r w:rsidR="004A2CD1" w:rsidRPr="004A2CD1">
        <w:t xml:space="preserve"> higher education </w:t>
      </w:r>
      <w:r w:rsidR="00F55310">
        <w:t xml:space="preserve">likely </w:t>
      </w:r>
      <w:r w:rsidR="004A2CD1" w:rsidRPr="004A2CD1">
        <w:t>shape patterns of postpone</w:t>
      </w:r>
      <w:r w:rsidR="004A2CD1" w:rsidRPr="007246C7">
        <w:rPr>
          <w:rFonts w:cstheme="minorHAnsi"/>
        </w:rPr>
        <w:t>ment</w:t>
      </w:r>
      <w:r w:rsidR="00334B01">
        <w:rPr>
          <w:rFonts w:cstheme="minorHAnsi"/>
        </w:rPr>
        <w:t xml:space="preserve"> and achieved family size</w:t>
      </w:r>
      <w:r w:rsidR="004A2CD1" w:rsidRPr="007246C7">
        <w:rPr>
          <w:rFonts w:cstheme="minorHAnsi"/>
        </w:rPr>
        <w:t xml:space="preserve">. </w:t>
      </w:r>
      <w:r w:rsidR="00CA31D3">
        <w:rPr>
          <w:rFonts w:cstheme="minorHAnsi"/>
        </w:rPr>
        <w:t xml:space="preserve">Devolution created distinct higher education systems in </w:t>
      </w:r>
      <w:r w:rsidR="00334B01">
        <w:rPr>
          <w:rFonts w:cstheme="minorHAnsi"/>
        </w:rPr>
        <w:t xml:space="preserve">the </w:t>
      </w:r>
      <w:r w:rsidR="00CA31D3">
        <w:rPr>
          <w:rFonts w:cstheme="minorHAnsi"/>
        </w:rPr>
        <w:t xml:space="preserve">UK’s countries, </w:t>
      </w:r>
      <w:r w:rsidR="008B33AA">
        <w:rPr>
          <w:rFonts w:cstheme="minorHAnsi"/>
        </w:rPr>
        <w:t>and</w:t>
      </w:r>
      <w:r w:rsidR="00CA31D3">
        <w:rPr>
          <w:rFonts w:cstheme="minorHAnsi"/>
        </w:rPr>
        <w:t xml:space="preserve"> students tend to stay within their own country for education </w:t>
      </w:r>
      <w:r w:rsidR="00CA31D3">
        <w:rPr>
          <w:rFonts w:cstheme="minorHAnsi"/>
        </w:rPr>
        <w:fldChar w:fldCharType="begin"/>
      </w:r>
      <w:r w:rsidR="00CA31D3">
        <w:rPr>
          <w:rFonts w:cstheme="minorHAnsi"/>
        </w:rPr>
        <w:instrText xml:space="preserve"> ADDIN EN.CITE &lt;EndNote&gt;&lt;Cite&gt;&lt;Author&gt;Donnelly&lt;/Author&gt;&lt;Year&gt;2018&lt;/Year&gt;&lt;RecNum&gt;324&lt;/RecNum&gt;&lt;DisplayText&gt;(Donnelly and Gamsu 2018)&lt;/DisplayText&gt;&lt;record&gt;&lt;rec-number&gt;324&lt;/rec-number&gt;&lt;foreign-keys&gt;&lt;key app="EN" db-id="date2dst4vae0pe955kxa2tla9pzrxp00p95" timestamp="1704905962"&gt;324&lt;/key&gt;&lt;/foreign-keys&gt;&lt;ref-type name="Journal Article"&gt;17&lt;/ref-type&gt;&lt;contributors&gt;&lt;authors&gt;&lt;author&gt;Donnelly, Michael&lt;/author&gt;&lt;author&gt;Gamsu, Sol&lt;/author&gt;&lt;/authors&gt;&lt;/contributors&gt;&lt;titles&gt;&lt;title&gt;Regional structures of feeling? A spatially and socially differentiated analysis of UK student im/mobility&lt;/title&gt;&lt;secondary-title&gt;British Journal of Sociology of Education&lt;/secondary-title&gt;&lt;/titles&gt;&lt;periodical&gt;&lt;full-title&gt;British Journal of Sociology of Education&lt;/full-title&gt;&lt;/periodical&gt;&lt;pages&gt;961-981&lt;/pages&gt;&lt;volume&gt;39&lt;/volume&gt;&lt;number&gt;7&lt;/number&gt;&lt;dates&gt;&lt;year&gt;2018&lt;/year&gt;&lt;pub-dates&gt;&lt;date&gt;2018/10/03&lt;/date&gt;&lt;/pub-dates&gt;&lt;/dates&gt;&lt;publisher&gt;Routledge&lt;/publisher&gt;&lt;isbn&gt;0142-5692&lt;/isbn&gt;&lt;urls&gt;&lt;related-urls&gt;&lt;url&gt;https://doi.org/10.1080/01425692.2018.1426442&lt;/url&gt;&lt;/related-urls&gt;&lt;/urls&gt;&lt;electronic-resource-num&gt;10.1080/01425692.2018.1426442&lt;/electronic-resource-num&gt;&lt;/record&gt;&lt;/Cite&gt;&lt;/EndNote&gt;</w:instrText>
      </w:r>
      <w:r w:rsidR="00CA31D3">
        <w:rPr>
          <w:rFonts w:cstheme="minorHAnsi"/>
        </w:rPr>
        <w:fldChar w:fldCharType="separate"/>
      </w:r>
      <w:r w:rsidR="00CA31D3">
        <w:rPr>
          <w:rFonts w:cstheme="minorHAnsi"/>
          <w:noProof/>
        </w:rPr>
        <w:t>(Donnelly and Gamsu 2018)</w:t>
      </w:r>
      <w:r w:rsidR="00CA31D3">
        <w:rPr>
          <w:rFonts w:cstheme="minorHAnsi"/>
        </w:rPr>
        <w:fldChar w:fldCharType="end"/>
      </w:r>
      <w:r w:rsidR="00CA31D3">
        <w:rPr>
          <w:rFonts w:cstheme="minorHAnsi"/>
        </w:rPr>
        <w:t xml:space="preserve">. </w:t>
      </w:r>
      <w:r w:rsidR="002C2511" w:rsidRPr="007246C7">
        <w:rPr>
          <w:rFonts w:cstheme="minorHAnsi"/>
        </w:rPr>
        <w:t xml:space="preserve">The </w:t>
      </w:r>
      <w:r w:rsidR="005E7E7E" w:rsidRPr="007246C7">
        <w:rPr>
          <w:rFonts w:cstheme="minorHAnsi"/>
        </w:rPr>
        <w:t>Scottish, Welsh</w:t>
      </w:r>
      <w:r w:rsidR="00334B01">
        <w:rPr>
          <w:rFonts w:cstheme="minorHAnsi"/>
        </w:rPr>
        <w:t>,</w:t>
      </w:r>
      <w:r w:rsidR="005E7E7E" w:rsidRPr="007246C7">
        <w:rPr>
          <w:rFonts w:cstheme="minorHAnsi"/>
        </w:rPr>
        <w:t xml:space="preserve"> and Northern Irish </w:t>
      </w:r>
      <w:r w:rsidR="002C2511" w:rsidRPr="007246C7">
        <w:rPr>
          <w:rFonts w:cstheme="minorHAnsi"/>
        </w:rPr>
        <w:t>approaches contrast with England’s wh</w:t>
      </w:r>
      <w:r w:rsidR="0068194F">
        <w:rPr>
          <w:rFonts w:cstheme="minorHAnsi"/>
        </w:rPr>
        <w:t>ich explicitly links higher</w:t>
      </w:r>
      <w:r w:rsidR="002C2511" w:rsidRPr="007246C7">
        <w:rPr>
          <w:rFonts w:cstheme="minorHAnsi"/>
        </w:rPr>
        <w:t xml:space="preserve"> education </w:t>
      </w:r>
      <w:r w:rsidR="0068194F">
        <w:rPr>
          <w:rFonts w:cstheme="minorHAnsi"/>
        </w:rPr>
        <w:t xml:space="preserve"> </w:t>
      </w:r>
      <w:r w:rsidR="001C38BD">
        <w:rPr>
          <w:rFonts w:cstheme="minorHAnsi"/>
        </w:rPr>
        <w:t xml:space="preserve">as a means to achieve </w:t>
      </w:r>
      <w:r w:rsidR="0068194F">
        <w:rPr>
          <w:rFonts w:cstheme="minorHAnsi"/>
        </w:rPr>
        <w:t>larger</w:t>
      </w:r>
      <w:r w:rsidR="002C2511" w:rsidRPr="007246C7">
        <w:rPr>
          <w:rFonts w:cstheme="minorHAnsi"/>
        </w:rPr>
        <w:t xml:space="preserve"> social and economic </w:t>
      </w:r>
      <w:r w:rsidR="0068194F">
        <w:rPr>
          <w:rFonts w:cstheme="minorHAnsi"/>
        </w:rPr>
        <w:t>aims</w:t>
      </w:r>
      <w:r w:rsidR="006F5D55">
        <w:rPr>
          <w:rFonts w:cstheme="minorHAnsi"/>
        </w:rPr>
        <w:t xml:space="preserve"> </w:t>
      </w:r>
      <w:r w:rsidR="006F5D55">
        <w:rPr>
          <w:rFonts w:cstheme="minorHAnsi"/>
        </w:rPr>
        <w:fldChar w:fldCharType="begin"/>
      </w:r>
      <w:r w:rsidR="006F5D55">
        <w:rPr>
          <w:rFonts w:cstheme="minorHAnsi"/>
        </w:rPr>
        <w:instrText xml:space="preserve"> ADDIN EN.CITE &lt;EndNote&gt;&lt;Cite&gt;&lt;Author&gt;Atherton&lt;/Author&gt;&lt;Year&gt;2023&lt;/Year&gt;&lt;RecNum&gt;322&lt;/RecNum&gt;&lt;DisplayText&gt;(Atherton, Lewis and Bolton 2023)&lt;/DisplayText&gt;&lt;record&gt;&lt;rec-number&gt;322&lt;/rec-number&gt;&lt;foreign-keys&gt;&lt;key app="EN" db-id="date2dst4vae0pe955kxa2tla9pzrxp00p95" timestamp="1704894969"&gt;322&lt;/key&gt;&lt;/foreign-keys&gt;&lt;ref-type name="Report"&gt;27&lt;/ref-type&gt;&lt;contributors&gt;&lt;authors&gt;&lt;author&gt;Atherton, Graeme&lt;/author&gt;&lt;author&gt;Lewis, Joe&lt;/author&gt;&lt;author&gt;Bolton, Paula&lt;/author&gt;&lt;/authors&gt;&lt;/contributors&gt;&lt;titles&gt;&lt;title&gt;Higher education in the UK: Systems, policy approaches, and challenges&lt;/title&gt;&lt;secondary-title&gt;Commons Library Research Briefing&lt;/secondary-title&gt;&lt;/titles&gt;&lt;volume&gt;9640&lt;/volume&gt;&lt;dates&gt;&lt;year&gt;2023&lt;/year&gt;&lt;/dates&gt;&lt;publisher&gt;House of Commons Library&lt;/publisher&gt;&lt;urls&gt;&lt;/urls&gt;&lt;/record&gt;&lt;/Cite&gt;&lt;/EndNote&gt;</w:instrText>
      </w:r>
      <w:r w:rsidR="006F5D55">
        <w:rPr>
          <w:rFonts w:cstheme="minorHAnsi"/>
        </w:rPr>
        <w:fldChar w:fldCharType="separate"/>
      </w:r>
      <w:r w:rsidR="006F5D55">
        <w:rPr>
          <w:rFonts w:cstheme="minorHAnsi"/>
          <w:noProof/>
        </w:rPr>
        <w:t>(Atherton, Lewis and Bolton 2023)</w:t>
      </w:r>
      <w:r w:rsidR="006F5D55">
        <w:rPr>
          <w:rFonts w:cstheme="minorHAnsi"/>
        </w:rPr>
        <w:fldChar w:fldCharType="end"/>
      </w:r>
      <w:r w:rsidR="002C2511" w:rsidRPr="007246C7">
        <w:rPr>
          <w:rFonts w:cstheme="minorHAnsi"/>
        </w:rPr>
        <w:t>.</w:t>
      </w:r>
      <w:r w:rsidR="00DE64FF" w:rsidRPr="007246C7">
        <w:rPr>
          <w:rFonts w:cstheme="minorHAnsi"/>
        </w:rPr>
        <w:t xml:space="preserve"> </w:t>
      </w:r>
      <w:r w:rsidR="002C2511" w:rsidRPr="007246C7">
        <w:rPr>
          <w:rFonts w:cstheme="minorHAnsi"/>
          <w:lang w:val="en-GB"/>
        </w:rPr>
        <w:t xml:space="preserve">The education system in Scotland </w:t>
      </w:r>
      <w:r w:rsidR="00334B01">
        <w:rPr>
          <w:rFonts w:cstheme="minorHAnsi"/>
          <w:lang w:val="en-GB"/>
        </w:rPr>
        <w:t xml:space="preserve">takes </w:t>
      </w:r>
      <w:r w:rsidR="002C2511" w:rsidRPr="007246C7">
        <w:rPr>
          <w:rFonts w:cstheme="minorHAnsi"/>
          <w:lang w:val="en-GB"/>
        </w:rPr>
        <w:t xml:space="preserve">a </w:t>
      </w:r>
      <w:r w:rsidR="00BF2E86">
        <w:rPr>
          <w:rFonts w:cstheme="minorHAnsi"/>
          <w:lang w:val="en-GB"/>
        </w:rPr>
        <w:t xml:space="preserve">more </w:t>
      </w:r>
      <w:r w:rsidR="002C2511" w:rsidRPr="007246C7">
        <w:rPr>
          <w:rFonts w:cstheme="minorHAnsi"/>
          <w:lang w:val="en-GB"/>
        </w:rPr>
        <w:t>comprehensive approach</w:t>
      </w:r>
      <w:r w:rsidR="001A74D9" w:rsidRPr="007246C7">
        <w:rPr>
          <w:rFonts w:cstheme="minorHAnsi"/>
          <w:lang w:val="en-GB"/>
        </w:rPr>
        <w:t xml:space="preserve"> aim</w:t>
      </w:r>
      <w:r w:rsidR="00453A2E">
        <w:rPr>
          <w:rFonts w:cstheme="minorHAnsi"/>
          <w:lang w:val="en-GB"/>
        </w:rPr>
        <w:t>ing</w:t>
      </w:r>
      <w:r w:rsidR="002C2511" w:rsidRPr="007246C7">
        <w:rPr>
          <w:rFonts w:cstheme="minorHAnsi"/>
          <w:lang w:val="en-GB"/>
        </w:rPr>
        <w:t xml:space="preserve"> to keep people in education</w:t>
      </w:r>
      <w:r w:rsidR="00BF2E86">
        <w:rPr>
          <w:rFonts w:cstheme="minorHAnsi"/>
          <w:lang w:val="en-GB"/>
        </w:rPr>
        <w:t xml:space="preserve"> for as long as possible</w:t>
      </w:r>
      <w:r w:rsidR="007F46B3" w:rsidRPr="007246C7">
        <w:rPr>
          <w:rFonts w:cstheme="minorHAnsi"/>
          <w:lang w:val="en-GB"/>
        </w:rPr>
        <w:t xml:space="preserve"> </w:t>
      </w:r>
      <w:r w:rsidR="00CE5905">
        <w:rPr>
          <w:rFonts w:cstheme="minorHAnsi"/>
          <w:lang w:val="en-GB"/>
        </w:rPr>
        <w:fldChar w:fldCharType="begin"/>
      </w:r>
      <w:r w:rsidR="00CE5905">
        <w:rPr>
          <w:rFonts w:cstheme="minorHAnsi"/>
          <w:lang w:val="en-GB"/>
        </w:rPr>
        <w:instrText xml:space="preserve"> ADDIN EN.CITE &lt;EndNote&gt;&lt;Cite&gt;&lt;Author&gt;Shattock&lt;/Author&gt;&lt;Year&gt;2020&lt;/Year&gt;&lt;RecNum&gt;323&lt;/RecNum&gt;&lt;DisplayText&gt;(Shattock and Horvath 2020)&lt;/DisplayText&gt;&lt;record&gt;&lt;rec-number&gt;323&lt;/rec-number&gt;&lt;foreign-keys&gt;&lt;key app="EN" db-id="date2dst4vae0pe955kxa2tla9pzrxp00p95" timestamp="1704901325"&gt;323&lt;/key&gt;&lt;/foreign-keys&gt;&lt;ref-type name="Journal Article"&gt;17&lt;/ref-type&gt;&lt;contributors&gt;&lt;authors&gt;&lt;author&gt;Shattock, Michael&lt;/author&gt;&lt;author&gt;Horvath, Aniko&lt;/author&gt;&lt;/authors&gt;&lt;/contributors&gt;&lt;titles&gt;&lt;title&gt;The decentralisation of the governance of UK higher education: the effects of devolution to Scotland, Wales and Northern Ireland, and on England&lt;/title&gt;&lt;secondary-title&gt;Policy Reviews in Higher Education&lt;/secondary-title&gt;&lt;/titles&gt;&lt;periodical&gt;&lt;full-title&gt;Policy Reviews in Higher Education&lt;/full-title&gt;&lt;/periodical&gt;&lt;pages&gt;164-178&lt;/pages&gt;&lt;volume&gt;4&lt;/volume&gt;&lt;number&gt;2&lt;/number&gt;&lt;dates&gt;&lt;year&gt;2020&lt;/year&gt;&lt;pub-dates&gt;&lt;date&gt;2020/07/02&lt;/date&gt;&lt;/pub-dates&gt;&lt;/dates&gt;&lt;publisher&gt;Routledge&lt;/publisher&gt;&lt;isbn&gt;2332-2969&lt;/isbn&gt;&lt;urls&gt;&lt;related-urls&gt;&lt;url&gt;https://doi.org/10.1080/23322969.2020.1751688&lt;/url&gt;&lt;/related-urls&gt;&lt;/urls&gt;&lt;electronic-resource-num&gt;10.1080/23322969.2020.1751688&lt;/electronic-resource-num&gt;&lt;/record&gt;&lt;/Cite&gt;&lt;/EndNote&gt;</w:instrText>
      </w:r>
      <w:r w:rsidR="00CE5905">
        <w:rPr>
          <w:rFonts w:cstheme="minorHAnsi"/>
          <w:lang w:val="en-GB"/>
        </w:rPr>
        <w:fldChar w:fldCharType="separate"/>
      </w:r>
      <w:r w:rsidR="00CE5905">
        <w:rPr>
          <w:rFonts w:cstheme="minorHAnsi"/>
          <w:noProof/>
          <w:lang w:val="en-GB"/>
        </w:rPr>
        <w:t>(Shattock and Horvath 2020)</w:t>
      </w:r>
      <w:r w:rsidR="00CE5905">
        <w:rPr>
          <w:rFonts w:cstheme="minorHAnsi"/>
          <w:lang w:val="en-GB"/>
        </w:rPr>
        <w:fldChar w:fldCharType="end"/>
      </w:r>
      <w:r w:rsidR="00495FD6" w:rsidRPr="007246C7">
        <w:rPr>
          <w:rFonts w:cstheme="minorHAnsi"/>
          <w:lang w:val="en-GB"/>
        </w:rPr>
        <w:t>.</w:t>
      </w:r>
      <w:r w:rsidR="001A74D9" w:rsidRPr="007246C7">
        <w:rPr>
          <w:rFonts w:cstheme="minorHAnsi"/>
          <w:lang w:val="en-GB"/>
        </w:rPr>
        <w:t xml:space="preserve"> </w:t>
      </w:r>
      <w:r w:rsidR="005F5915">
        <w:rPr>
          <w:rFonts w:cstheme="minorHAnsi"/>
          <w:lang w:val="en-GB"/>
        </w:rPr>
        <w:t>U</w:t>
      </w:r>
      <w:r w:rsidR="001A74D9" w:rsidRPr="007246C7">
        <w:rPr>
          <w:rFonts w:cstheme="minorHAnsi"/>
          <w:lang w:val="en-GB"/>
        </w:rPr>
        <w:t xml:space="preserve">niversity tuition is free in Scotland for students normally resident in Scotland and </w:t>
      </w:r>
      <w:r w:rsidR="00F320D6">
        <w:rPr>
          <w:rFonts w:cstheme="minorHAnsi"/>
          <w:lang w:val="en-GB"/>
        </w:rPr>
        <w:t>the population is</w:t>
      </w:r>
      <w:r w:rsidR="001A74D9" w:rsidRPr="007246C7">
        <w:rPr>
          <w:rFonts w:cstheme="minorHAnsi"/>
          <w:lang w:val="en-GB"/>
        </w:rPr>
        <w:t xml:space="preserve"> more highly educated than in Wales, Northern Ireland</w:t>
      </w:r>
      <w:r w:rsidR="00334B01">
        <w:rPr>
          <w:rFonts w:cstheme="minorHAnsi"/>
          <w:lang w:val="en-GB"/>
        </w:rPr>
        <w:t xml:space="preserve">, and </w:t>
      </w:r>
      <w:r w:rsidR="00334B01" w:rsidRPr="007246C7">
        <w:rPr>
          <w:rFonts w:cstheme="minorHAnsi"/>
          <w:lang w:val="en-GB"/>
        </w:rPr>
        <w:t>most regions of England</w:t>
      </w:r>
      <w:r w:rsidR="00FE7F39">
        <w:rPr>
          <w:rFonts w:cstheme="minorHAnsi"/>
          <w:lang w:val="en-GB"/>
        </w:rPr>
        <w:t xml:space="preserve"> </w:t>
      </w:r>
      <w:r w:rsidR="00FE7F39">
        <w:rPr>
          <w:rFonts w:cstheme="minorHAnsi"/>
          <w:lang w:val="en-GB"/>
        </w:rPr>
        <w:fldChar w:fldCharType="begin"/>
      </w:r>
      <w:r w:rsidR="00FE7F39">
        <w:rPr>
          <w:rFonts w:cstheme="minorHAnsi"/>
          <w:lang w:val="en-GB"/>
        </w:rPr>
        <w:instrText xml:space="preserve"> ADDIN EN.CITE &lt;EndNote&gt;&lt;Cite&gt;&lt;Author&gt;Atherton&lt;/Author&gt;&lt;Year&gt;2023&lt;/Year&gt;&lt;RecNum&gt;322&lt;/RecNum&gt;&lt;DisplayText&gt;(Atherton, Lewis and Bolton 2023)&lt;/DisplayText&gt;&lt;record&gt;&lt;rec-number&gt;322&lt;/rec-number&gt;&lt;foreign-keys&gt;&lt;key app="EN" db-id="date2dst4vae0pe955kxa2tla9pzrxp00p95" timestamp="1704894969"&gt;322&lt;/key&gt;&lt;/foreign-keys&gt;&lt;ref-type name="Report"&gt;27&lt;/ref-type&gt;&lt;contributors&gt;&lt;authors&gt;&lt;author&gt;Atherton, Graeme&lt;/author&gt;&lt;author&gt;Lewis, Joe&lt;/author&gt;&lt;author&gt;Bolton, Paula&lt;/author&gt;&lt;/authors&gt;&lt;/contributors&gt;&lt;titles&gt;&lt;title&gt;Higher education in the UK: Systems, policy approaches, and challenges&lt;/title&gt;&lt;secondary-title&gt;Commons Library Research Briefing&lt;/secondary-title&gt;&lt;/titles&gt;&lt;volume&gt;9640&lt;/volume&gt;&lt;dates&gt;&lt;year&gt;2023&lt;/year&gt;&lt;/dates&gt;&lt;publisher&gt;House of Commons Library&lt;/publisher&gt;&lt;urls&gt;&lt;/urls&gt;&lt;/record&gt;&lt;/Cite&gt;&lt;/EndNote&gt;</w:instrText>
      </w:r>
      <w:r w:rsidR="00FE7F39">
        <w:rPr>
          <w:rFonts w:cstheme="minorHAnsi"/>
          <w:lang w:val="en-GB"/>
        </w:rPr>
        <w:fldChar w:fldCharType="separate"/>
      </w:r>
      <w:r w:rsidR="00FE7F39">
        <w:rPr>
          <w:rFonts w:cstheme="minorHAnsi"/>
          <w:noProof/>
          <w:lang w:val="en-GB"/>
        </w:rPr>
        <w:t>(Atherton, Lewis and Bolton 2023)</w:t>
      </w:r>
      <w:r w:rsidR="00FE7F39">
        <w:rPr>
          <w:rFonts w:cstheme="minorHAnsi"/>
          <w:lang w:val="en-GB"/>
        </w:rPr>
        <w:fldChar w:fldCharType="end"/>
      </w:r>
      <w:r w:rsidR="001A74D9" w:rsidRPr="007246C7">
        <w:rPr>
          <w:rFonts w:cstheme="minorHAnsi"/>
          <w:lang w:val="en-GB"/>
        </w:rPr>
        <w:t xml:space="preserve">. </w:t>
      </w:r>
      <w:r w:rsidR="003C758B" w:rsidRPr="007246C7">
        <w:rPr>
          <w:rFonts w:cstheme="minorHAnsi"/>
          <w:lang w:val="en-GB"/>
        </w:rPr>
        <w:t xml:space="preserve">Higher education in </w:t>
      </w:r>
      <w:r w:rsidR="002C2511" w:rsidRPr="007246C7">
        <w:rPr>
          <w:rFonts w:cstheme="minorHAnsi"/>
          <w:lang w:val="en-GB"/>
        </w:rPr>
        <w:t xml:space="preserve">Northern Ireland </w:t>
      </w:r>
      <w:r w:rsidR="003C758B" w:rsidRPr="007246C7">
        <w:rPr>
          <w:rFonts w:cstheme="minorHAnsi"/>
          <w:lang w:val="en-GB"/>
        </w:rPr>
        <w:t>was historically</w:t>
      </w:r>
      <w:r w:rsidR="00E94797">
        <w:rPr>
          <w:rFonts w:cstheme="minorHAnsi"/>
          <w:lang w:val="en-GB"/>
        </w:rPr>
        <w:t xml:space="preserve"> </w:t>
      </w:r>
      <w:r w:rsidR="005708A3">
        <w:rPr>
          <w:rFonts w:cstheme="minorHAnsi"/>
          <w:lang w:val="en-GB"/>
        </w:rPr>
        <w:t>more prevalent among</w:t>
      </w:r>
      <w:r w:rsidR="001C38BD">
        <w:rPr>
          <w:rFonts w:cstheme="minorHAnsi"/>
          <w:lang w:val="en-GB"/>
        </w:rPr>
        <w:t xml:space="preserve"> wealthier</w:t>
      </w:r>
      <w:r w:rsidR="001D3037">
        <w:rPr>
          <w:rFonts w:cstheme="minorHAnsi"/>
          <w:lang w:val="en-GB"/>
        </w:rPr>
        <w:t xml:space="preserve"> </w:t>
      </w:r>
      <w:r w:rsidR="00E94797">
        <w:rPr>
          <w:rFonts w:cstheme="minorHAnsi"/>
          <w:lang w:val="en-GB"/>
        </w:rPr>
        <w:t>Protestants, who also tended to have smaller families</w:t>
      </w:r>
      <w:r w:rsidR="00334B01" w:rsidRPr="007246C7">
        <w:rPr>
          <w:rFonts w:cstheme="minorHAnsi"/>
          <w:lang w:val="en-GB"/>
        </w:rPr>
        <w:t xml:space="preserve">. </w:t>
      </w:r>
      <w:r w:rsidR="002A7B69" w:rsidRPr="007246C7">
        <w:rPr>
          <w:rFonts w:cstheme="minorHAnsi"/>
          <w:lang w:val="en-GB"/>
        </w:rPr>
        <w:t xml:space="preserve">The 1947 </w:t>
      </w:r>
      <w:r w:rsidR="003C758B" w:rsidRPr="007246C7">
        <w:rPr>
          <w:rFonts w:cstheme="minorHAnsi"/>
          <w:lang w:val="en-GB"/>
        </w:rPr>
        <w:t>Education Act</w:t>
      </w:r>
      <w:r w:rsidR="002A7B69" w:rsidRPr="007246C7">
        <w:rPr>
          <w:rFonts w:cstheme="minorHAnsi"/>
          <w:lang w:val="en-GB"/>
        </w:rPr>
        <w:t xml:space="preserve"> </w:t>
      </w:r>
      <w:r w:rsidR="00F85A98">
        <w:rPr>
          <w:rFonts w:cstheme="minorHAnsi"/>
          <w:lang w:val="en-GB"/>
        </w:rPr>
        <w:t>established</w:t>
      </w:r>
      <w:r w:rsidR="003A5575">
        <w:rPr>
          <w:rFonts w:cstheme="minorHAnsi"/>
          <w:lang w:val="en-GB"/>
        </w:rPr>
        <w:t xml:space="preserve"> </w:t>
      </w:r>
      <w:r w:rsidR="005F5915">
        <w:rPr>
          <w:rFonts w:cstheme="minorHAnsi"/>
          <w:lang w:val="en-GB"/>
        </w:rPr>
        <w:t>state</w:t>
      </w:r>
      <w:r w:rsidR="00E714BA">
        <w:rPr>
          <w:rFonts w:cstheme="minorHAnsi"/>
          <w:lang w:val="en-GB"/>
        </w:rPr>
        <w:t>-</w:t>
      </w:r>
      <w:r w:rsidR="005F5915">
        <w:rPr>
          <w:rFonts w:cstheme="minorHAnsi"/>
          <w:lang w:val="en-GB"/>
        </w:rPr>
        <w:t xml:space="preserve">funded </w:t>
      </w:r>
      <w:r w:rsidR="002A7B69" w:rsidRPr="007246C7">
        <w:rPr>
          <w:rFonts w:cstheme="minorHAnsi"/>
          <w:lang w:val="en-GB"/>
        </w:rPr>
        <w:t xml:space="preserve">grammar </w:t>
      </w:r>
      <w:r w:rsidR="004F5F66">
        <w:rPr>
          <w:rFonts w:cstheme="minorHAnsi"/>
          <w:lang w:val="en-GB"/>
        </w:rPr>
        <w:t xml:space="preserve">(selective) </w:t>
      </w:r>
      <w:r w:rsidR="002A7B69" w:rsidRPr="007246C7">
        <w:rPr>
          <w:rFonts w:cstheme="minorHAnsi"/>
          <w:lang w:val="en-GB"/>
        </w:rPr>
        <w:t xml:space="preserve">schools, </w:t>
      </w:r>
      <w:r w:rsidR="003C758B" w:rsidRPr="007246C7">
        <w:rPr>
          <w:rFonts w:cstheme="minorHAnsi"/>
          <w:lang w:val="en-GB"/>
        </w:rPr>
        <w:t>open</w:t>
      </w:r>
      <w:r w:rsidR="00882377">
        <w:rPr>
          <w:rFonts w:cstheme="minorHAnsi"/>
          <w:lang w:val="en-GB"/>
        </w:rPr>
        <w:t>ing</w:t>
      </w:r>
      <w:r w:rsidR="003C758B" w:rsidRPr="007246C7">
        <w:rPr>
          <w:rFonts w:cstheme="minorHAnsi"/>
          <w:lang w:val="en-GB"/>
        </w:rPr>
        <w:t xml:space="preserve"> </w:t>
      </w:r>
      <w:r w:rsidR="002A7B69" w:rsidRPr="007246C7">
        <w:rPr>
          <w:rFonts w:cstheme="minorHAnsi"/>
          <w:lang w:val="en-GB"/>
        </w:rPr>
        <w:t xml:space="preserve">pathways to higher education </w:t>
      </w:r>
      <w:r w:rsidR="003C758B" w:rsidRPr="007246C7">
        <w:rPr>
          <w:rFonts w:cstheme="minorHAnsi"/>
          <w:lang w:val="en-GB"/>
        </w:rPr>
        <w:t>for Catholics and working class Protestant</w:t>
      </w:r>
      <w:r w:rsidR="002A7B69" w:rsidRPr="007246C7">
        <w:rPr>
          <w:rFonts w:cstheme="minorHAnsi"/>
          <w:lang w:val="en-GB"/>
        </w:rPr>
        <w:t xml:space="preserve">s </w:t>
      </w:r>
      <w:r w:rsidR="0027299B">
        <w:rPr>
          <w:rFonts w:cstheme="minorHAnsi"/>
          <w:lang w:val="en-GB"/>
        </w:rPr>
        <w:fldChar w:fldCharType="begin"/>
      </w:r>
      <w:r w:rsidR="0027299B">
        <w:rPr>
          <w:rFonts w:cstheme="minorHAnsi"/>
          <w:lang w:val="en-GB"/>
        </w:rPr>
        <w:instrText xml:space="preserve"> ADDIN EN.CITE &lt;EndNote&gt;&lt;Cite&gt;&lt;Author&gt;Walker&lt;/Author&gt;&lt;Year&gt;2017&lt;/Year&gt;&lt;RecNum&gt;320&lt;/RecNum&gt;&lt;DisplayText&gt;(Walker 2017)&lt;/DisplayText&gt;&lt;record&gt;&lt;rec-number&gt;320&lt;/rec-number&gt;&lt;foreign-keys&gt;&lt;key app="EN" db-id="date2dst4vae0pe955kxa2tla9pzrxp00p95" timestamp="1704893985"&gt;320&lt;/key&gt;&lt;/foreign-keys&gt;&lt;ref-type name="Electronic Article"&gt;43&lt;/ref-type&gt;&lt;contributors&gt;&lt;authors&gt;&lt;author&gt;Walker, Graham&lt;/author&gt;&lt;/authors&gt;&lt;/contributors&gt;&lt;titles&gt;&lt;title&gt;The 1947 Education Act – a landmark in Northern Ireland’s history&lt;/title&gt;&lt;secondary-title&gt;Queen&amp;apos;s Policy Engagement&lt;/secondary-title&gt;&lt;/titles&gt;&lt;periodical&gt;&lt;full-title&gt;Queen&amp;apos;s Policy Engagement&lt;/full-title&gt;&lt;/periodical&gt;&lt;dates&gt;&lt;year&gt;2017&lt;/year&gt;&lt;/dates&gt;&lt;pub-location&gt;Queens University Belfast&lt;/pub-location&gt;&lt;urls&gt;&lt;/urls&gt;&lt;/record&gt;&lt;/Cite&gt;&lt;/EndNote&gt;</w:instrText>
      </w:r>
      <w:r w:rsidR="0027299B">
        <w:rPr>
          <w:rFonts w:cstheme="minorHAnsi"/>
          <w:lang w:val="en-GB"/>
        </w:rPr>
        <w:fldChar w:fldCharType="separate"/>
      </w:r>
      <w:r w:rsidR="0027299B">
        <w:rPr>
          <w:rFonts w:cstheme="minorHAnsi"/>
          <w:noProof/>
          <w:lang w:val="en-GB"/>
        </w:rPr>
        <w:t>(Walker 2017)</w:t>
      </w:r>
      <w:r w:rsidR="0027299B">
        <w:rPr>
          <w:rFonts w:cstheme="minorHAnsi"/>
          <w:lang w:val="en-GB"/>
        </w:rPr>
        <w:fldChar w:fldCharType="end"/>
      </w:r>
      <w:r w:rsidR="003C758B" w:rsidRPr="007246C7">
        <w:rPr>
          <w:rFonts w:cstheme="minorHAnsi"/>
          <w:lang w:val="en-GB"/>
        </w:rPr>
        <w:t xml:space="preserve">. </w:t>
      </w:r>
      <w:r w:rsidR="002A7B69" w:rsidRPr="007246C7">
        <w:rPr>
          <w:rFonts w:cstheme="minorHAnsi"/>
          <w:lang w:val="en-GB"/>
        </w:rPr>
        <w:t xml:space="preserve">Nonetheless, Northern Ireland has seen the </w:t>
      </w:r>
      <w:r w:rsidR="002C2511" w:rsidRPr="007246C7">
        <w:rPr>
          <w:rFonts w:cstheme="minorHAnsi"/>
          <w:lang w:val="en-GB"/>
        </w:rPr>
        <w:t>smallest increases in the percent of people going into higher edu</w:t>
      </w:r>
      <w:r w:rsidR="002C2511" w:rsidRPr="001A20E5">
        <w:rPr>
          <w:rFonts w:cstheme="minorHAnsi"/>
          <w:lang w:val="en-GB"/>
        </w:rPr>
        <w:t>cation</w:t>
      </w:r>
      <w:r w:rsidR="001D3BFF">
        <w:rPr>
          <w:rFonts w:cstheme="minorHAnsi"/>
          <w:lang w:val="en-GB"/>
        </w:rPr>
        <w:t xml:space="preserve"> </w:t>
      </w:r>
      <w:r w:rsidR="001D3BFF">
        <w:rPr>
          <w:rFonts w:cstheme="minorHAnsi"/>
          <w:lang w:val="en-GB"/>
        </w:rPr>
        <w:fldChar w:fldCharType="begin"/>
      </w:r>
      <w:r w:rsidR="001D3BFF">
        <w:rPr>
          <w:rFonts w:cstheme="minorHAnsi"/>
          <w:lang w:val="en-GB"/>
        </w:rPr>
        <w:instrText xml:space="preserve"> ADDIN EN.CITE &lt;EndNote&gt;&lt;Cite&gt;&lt;Author&gt;Atherton&lt;/Author&gt;&lt;Year&gt;2023&lt;/Year&gt;&lt;RecNum&gt;322&lt;/RecNum&gt;&lt;DisplayText&gt;(Atherton, Lewis and Bolton 2023)&lt;/DisplayText&gt;&lt;record&gt;&lt;rec-number&gt;322&lt;/rec-number&gt;&lt;foreign-keys&gt;&lt;key app="EN" db-id="date2dst4vae0pe955kxa2tla9pzrxp00p95" timestamp="1704894969"&gt;322&lt;/key&gt;&lt;/foreign-keys&gt;&lt;ref-type name="Report"&gt;27&lt;/ref-type&gt;&lt;contributors&gt;&lt;authors&gt;&lt;author&gt;Atherton, Graeme&lt;/author&gt;&lt;author&gt;Lewis, Joe&lt;/author&gt;&lt;author&gt;Bolton, Paula&lt;/author&gt;&lt;/authors&gt;&lt;/contributors&gt;&lt;titles&gt;&lt;title&gt;Higher education in the UK: Systems, policy approaches, and challenges&lt;/title&gt;&lt;secondary-title&gt;Commons Library Research Briefing&lt;/secondary-title&gt;&lt;/titles&gt;&lt;volume&gt;9640&lt;/volume&gt;&lt;dates&gt;&lt;year&gt;2023&lt;/year&gt;&lt;/dates&gt;&lt;publisher&gt;House of Commons Library&lt;/publisher&gt;&lt;urls&gt;&lt;/urls&gt;&lt;/record&gt;&lt;/Cite&gt;&lt;/EndNote&gt;</w:instrText>
      </w:r>
      <w:r w:rsidR="001D3BFF">
        <w:rPr>
          <w:rFonts w:cstheme="minorHAnsi"/>
          <w:lang w:val="en-GB"/>
        </w:rPr>
        <w:fldChar w:fldCharType="separate"/>
      </w:r>
      <w:r w:rsidR="001D3BFF">
        <w:rPr>
          <w:rFonts w:cstheme="minorHAnsi"/>
          <w:noProof/>
          <w:lang w:val="en-GB"/>
        </w:rPr>
        <w:t>(Atherton, Lewis and Bolton 2023)</w:t>
      </w:r>
      <w:r w:rsidR="001D3BFF">
        <w:rPr>
          <w:rFonts w:cstheme="minorHAnsi"/>
          <w:lang w:val="en-GB"/>
        </w:rPr>
        <w:fldChar w:fldCharType="end"/>
      </w:r>
      <w:r w:rsidR="002C2511" w:rsidRPr="001A20E5">
        <w:rPr>
          <w:rFonts w:cstheme="minorHAnsi"/>
          <w:lang w:val="en-GB"/>
        </w:rPr>
        <w:t>.</w:t>
      </w:r>
      <w:r w:rsidR="0078056D" w:rsidRPr="001A20E5">
        <w:rPr>
          <w:rFonts w:cstheme="minorHAnsi"/>
          <w:lang w:val="en-GB"/>
        </w:rPr>
        <w:t xml:space="preserve"> </w:t>
      </w:r>
      <w:r w:rsidR="00E500F5" w:rsidRPr="001A20E5">
        <w:rPr>
          <w:rFonts w:cstheme="minorHAnsi"/>
          <w:lang w:val="en-GB"/>
        </w:rPr>
        <w:t xml:space="preserve">Given these differences in </w:t>
      </w:r>
      <w:r w:rsidR="0027299B">
        <w:rPr>
          <w:rFonts w:cstheme="minorHAnsi"/>
          <w:lang w:val="en-GB"/>
        </w:rPr>
        <w:t xml:space="preserve">higher education </w:t>
      </w:r>
      <w:r w:rsidR="00E500F5" w:rsidRPr="001A20E5">
        <w:rPr>
          <w:rFonts w:cstheme="minorHAnsi"/>
          <w:lang w:val="en-GB"/>
        </w:rPr>
        <w:t>enrol</w:t>
      </w:r>
      <w:r w:rsidR="00BA7B86">
        <w:rPr>
          <w:rFonts w:cstheme="minorHAnsi"/>
          <w:lang w:val="en-GB"/>
        </w:rPr>
        <w:t>l</w:t>
      </w:r>
      <w:r w:rsidR="00E500F5" w:rsidRPr="001A20E5">
        <w:rPr>
          <w:rFonts w:cstheme="minorHAnsi"/>
          <w:lang w:val="en-GB"/>
        </w:rPr>
        <w:t>ment</w:t>
      </w:r>
      <w:r w:rsidR="0027299B">
        <w:rPr>
          <w:rFonts w:cstheme="minorHAnsi"/>
          <w:lang w:val="en-GB"/>
        </w:rPr>
        <w:t>,</w:t>
      </w:r>
      <w:r w:rsidR="00E500F5" w:rsidRPr="001A20E5">
        <w:rPr>
          <w:rFonts w:cstheme="minorHAnsi"/>
          <w:lang w:val="en-GB"/>
        </w:rPr>
        <w:t xml:space="preserve"> we might expect first births to be postponed more often in Scotland and less often in Northern Ireland, with England and</w:t>
      </w:r>
      <w:r w:rsidR="00E500F5">
        <w:rPr>
          <w:lang w:val="en-GB"/>
        </w:rPr>
        <w:t xml:space="preserve"> Wales holding an intermediate position.</w:t>
      </w:r>
    </w:p>
    <w:p w14:paraId="652E16B7" w14:textId="2724D4F9" w:rsidR="00453A0F" w:rsidRDefault="00453A0F" w:rsidP="007A39E8">
      <w:pPr>
        <w:spacing w:line="480" w:lineRule="auto"/>
        <w:rPr>
          <w:lang w:val="en-GB"/>
        </w:rPr>
      </w:pPr>
      <w:r>
        <w:rPr>
          <w:lang w:val="en-GB"/>
        </w:rPr>
        <w:t xml:space="preserve">For </w:t>
      </w:r>
      <w:r w:rsidR="00522E0D">
        <w:rPr>
          <w:lang w:val="en-GB"/>
        </w:rPr>
        <w:t>many</w:t>
      </w:r>
      <w:r>
        <w:rPr>
          <w:lang w:val="en-GB"/>
        </w:rPr>
        <w:t xml:space="preserve"> young adults</w:t>
      </w:r>
      <w:r w:rsidR="00E60521">
        <w:rPr>
          <w:lang w:val="en-GB"/>
        </w:rPr>
        <w:t>,</w:t>
      </w:r>
      <w:r>
        <w:rPr>
          <w:lang w:val="en-GB"/>
        </w:rPr>
        <w:t xml:space="preserve"> entry into higher education</w:t>
      </w:r>
      <w:r w:rsidR="00700E5B">
        <w:rPr>
          <w:lang w:val="en-GB"/>
        </w:rPr>
        <w:t xml:space="preserve"> also</w:t>
      </w:r>
      <w:r>
        <w:rPr>
          <w:lang w:val="en-GB"/>
        </w:rPr>
        <w:t xml:space="preserve"> co</w:t>
      </w:r>
      <w:r w:rsidR="00267DF0">
        <w:rPr>
          <w:lang w:val="en-GB"/>
        </w:rPr>
        <w:t>incides with a first</w:t>
      </w:r>
      <w:r>
        <w:rPr>
          <w:lang w:val="en-GB"/>
        </w:rPr>
        <w:t xml:space="preserve"> departure from the parental home, but this varies considerably across the UK. In Scotland</w:t>
      </w:r>
      <w:r w:rsidR="001D3BFF">
        <w:rPr>
          <w:lang w:val="en-GB"/>
        </w:rPr>
        <w:t>,</w:t>
      </w:r>
      <w:r>
        <w:rPr>
          <w:lang w:val="en-GB"/>
        </w:rPr>
        <w:t xml:space="preserve"> </w:t>
      </w:r>
      <w:r w:rsidR="000E6B95">
        <w:rPr>
          <w:lang w:val="en-GB"/>
        </w:rPr>
        <w:t xml:space="preserve">over one third of </w:t>
      </w:r>
      <w:r w:rsidR="001D3BFF">
        <w:rPr>
          <w:lang w:val="en-GB"/>
        </w:rPr>
        <w:t>higher education</w:t>
      </w:r>
      <w:r w:rsidR="000E6B95">
        <w:rPr>
          <w:lang w:val="en-GB"/>
        </w:rPr>
        <w:t xml:space="preserve"> students remain living with a parent whil</w:t>
      </w:r>
      <w:r w:rsidR="001D3BFF">
        <w:rPr>
          <w:lang w:val="en-GB"/>
        </w:rPr>
        <w:t>e</w:t>
      </w:r>
      <w:r w:rsidR="000E6B95">
        <w:rPr>
          <w:lang w:val="en-GB"/>
        </w:rPr>
        <w:t xml:space="preserve"> at university, whil</w:t>
      </w:r>
      <w:r w:rsidR="001D3BFF">
        <w:rPr>
          <w:lang w:val="en-GB"/>
        </w:rPr>
        <w:t>e</w:t>
      </w:r>
      <w:r w:rsidR="000E6B95">
        <w:rPr>
          <w:lang w:val="en-GB"/>
        </w:rPr>
        <w:t xml:space="preserve"> the figure for Wales is 22% and just 11% for students from the South</w:t>
      </w:r>
      <w:r w:rsidR="001D3BFF">
        <w:rPr>
          <w:lang w:val="en-GB"/>
        </w:rPr>
        <w:t>w</w:t>
      </w:r>
      <w:r w:rsidR="000E6B95">
        <w:rPr>
          <w:lang w:val="en-GB"/>
        </w:rPr>
        <w:t>est of England</w:t>
      </w:r>
      <w:r w:rsidR="00951AA8">
        <w:rPr>
          <w:lang w:val="en-GB"/>
        </w:rPr>
        <w:t xml:space="preserve"> (</w:t>
      </w:r>
      <w:r w:rsidR="006468FA">
        <w:rPr>
          <w:lang w:val="en-GB"/>
        </w:rPr>
        <w:t xml:space="preserve">Donnelly </w:t>
      </w:r>
      <w:r w:rsidR="00A82E25">
        <w:rPr>
          <w:lang w:val="en-GB"/>
        </w:rPr>
        <w:t>and</w:t>
      </w:r>
      <w:r w:rsidR="006468FA">
        <w:rPr>
          <w:lang w:val="en-GB"/>
        </w:rPr>
        <w:t xml:space="preserve"> Gamsu, 2018b)</w:t>
      </w:r>
      <w:r w:rsidR="000E6B95">
        <w:rPr>
          <w:lang w:val="en-GB"/>
        </w:rPr>
        <w:t xml:space="preserve">. </w:t>
      </w:r>
      <w:r w:rsidR="00951AA8">
        <w:rPr>
          <w:lang w:val="en-GB"/>
        </w:rPr>
        <w:t>Given that l</w:t>
      </w:r>
      <w:r>
        <w:rPr>
          <w:lang w:val="en-GB"/>
        </w:rPr>
        <w:t xml:space="preserve">iving away </w:t>
      </w:r>
      <w:r w:rsidR="006468FA">
        <w:rPr>
          <w:lang w:val="en-GB"/>
        </w:rPr>
        <w:t>from</w:t>
      </w:r>
      <w:r>
        <w:rPr>
          <w:lang w:val="en-GB"/>
        </w:rPr>
        <w:t xml:space="preserve"> the parental home facilitates partnership formation </w:t>
      </w:r>
      <w:r w:rsidR="00A82E25">
        <w:rPr>
          <w:lang w:val="en-GB"/>
        </w:rPr>
        <w:fldChar w:fldCharType="begin"/>
      </w:r>
      <w:r w:rsidR="00A82E25">
        <w:rPr>
          <w:lang w:val="en-GB"/>
        </w:rPr>
        <w:instrText xml:space="preserve"> ADDIN EN.CITE &lt;EndNote&gt;&lt;Cite&gt;&lt;Author&gt;Berrington&lt;/Author&gt;&lt;Year&gt;2000&lt;/Year&gt;&lt;RecNum&gt;372&lt;/RecNum&gt;&lt;DisplayText&gt;(Berrington and Diamond 2000)&lt;/DisplayText&gt;&lt;record&gt;&lt;rec-number&gt;372&lt;/rec-number&gt;&lt;foreign-keys&gt;&lt;key app="EN" db-id="date2dst4vae0pe955kxa2tla9pzrxp00p95" timestamp="1706888947"&gt;372&lt;/key&gt;&lt;/foreign-keys&gt;&lt;ref-type name="Journal Article"&gt;17&lt;/ref-type&gt;&lt;contributors&gt;&lt;authors&gt;&lt;author&gt;Berrington, Ann M.&lt;/author&gt;&lt;author&gt;Diamond, Ian&lt;/author&gt;&lt;/authors&gt;&lt;/contributors&gt;&lt;titles&gt;&lt;title&gt;Marriage or cohabitation: a competing risks analysis of first‐partnership formation among the 1958 British birth cohort&lt;/title&gt;&lt;secondary-title&gt;Journal of the Royal Statistical Society: Series A (Statistics in Society)&lt;/secondary-title&gt;&lt;/titles&gt;&lt;periodical&gt;&lt;full-title&gt;Journal of the Royal Statistical Society: Series A (Statistics in Society)&lt;/full-title&gt;&lt;/periodical&gt;&lt;volume&gt;163&lt;/volume&gt;&lt;dates&gt;&lt;year&gt;2000&lt;/year&gt;&lt;/dates&gt;&lt;urls&gt;&lt;/urls&gt;&lt;/record&gt;&lt;/Cite&gt;&lt;/EndNote&gt;</w:instrText>
      </w:r>
      <w:r w:rsidR="00A82E25">
        <w:rPr>
          <w:lang w:val="en-GB"/>
        </w:rPr>
        <w:fldChar w:fldCharType="separate"/>
      </w:r>
      <w:r w:rsidR="00A82E25">
        <w:rPr>
          <w:noProof/>
          <w:lang w:val="en-GB"/>
        </w:rPr>
        <w:t>(Berrington and Diamond 2000)</w:t>
      </w:r>
      <w:r w:rsidR="00A82E25">
        <w:rPr>
          <w:lang w:val="en-GB"/>
        </w:rPr>
        <w:fldChar w:fldCharType="end"/>
      </w:r>
      <w:r>
        <w:rPr>
          <w:lang w:val="en-GB"/>
        </w:rPr>
        <w:t xml:space="preserve"> </w:t>
      </w:r>
      <w:r w:rsidR="00951AA8">
        <w:rPr>
          <w:lang w:val="en-GB"/>
        </w:rPr>
        <w:t xml:space="preserve">we might expect the greater numbers living away from the parental home in England and Wales to be associated with </w:t>
      </w:r>
      <w:r>
        <w:rPr>
          <w:lang w:val="en-GB"/>
        </w:rPr>
        <w:t>an earlier transition to parenthood.</w:t>
      </w:r>
    </w:p>
    <w:p w14:paraId="1D6DDE0E" w14:textId="4096FEE2" w:rsidR="00932A2A" w:rsidRDefault="00A10712" w:rsidP="00932A2A">
      <w:pPr>
        <w:spacing w:line="480" w:lineRule="auto"/>
      </w:pPr>
      <w:r>
        <w:t xml:space="preserve">Economic </w:t>
      </w:r>
      <w:r w:rsidR="00FA4EB5">
        <w:t xml:space="preserve">and housing uncertainty increased in all </w:t>
      </w:r>
      <w:r w:rsidR="004B11FE">
        <w:t xml:space="preserve">the UK </w:t>
      </w:r>
      <w:r w:rsidR="00FA4EB5">
        <w:t>countries</w:t>
      </w:r>
      <w:r w:rsidR="001F20AF">
        <w:t>, but with some differences</w:t>
      </w:r>
      <w:r w:rsidR="0018339E">
        <w:t>.</w:t>
      </w:r>
      <w:r w:rsidR="00FA4EB5">
        <w:t xml:space="preserve"> </w:t>
      </w:r>
      <w:r w:rsidR="0018339E">
        <w:rPr>
          <w:rFonts w:cstheme="minorHAnsi"/>
          <w:lang w:val="en-GB"/>
        </w:rPr>
        <w:t>S</w:t>
      </w:r>
      <w:r w:rsidR="00C46ADF" w:rsidRPr="006A1542">
        <w:rPr>
          <w:rFonts w:cstheme="minorHAnsi"/>
          <w:lang w:val="en-GB"/>
        </w:rPr>
        <w:t xml:space="preserve">ignificant </w:t>
      </w:r>
      <w:r w:rsidR="0092539B" w:rsidRPr="006A1542">
        <w:rPr>
          <w:rFonts w:cstheme="minorHAnsi"/>
          <w:lang w:val="en-GB"/>
        </w:rPr>
        <w:t>de</w:t>
      </w:r>
      <w:r w:rsidR="00AE4ACC" w:rsidRPr="006A1542">
        <w:rPr>
          <w:rFonts w:cstheme="minorHAnsi"/>
          <w:lang w:val="en-GB"/>
        </w:rPr>
        <w:t xml:space="preserve">industrialization </w:t>
      </w:r>
      <w:r w:rsidR="0084771C">
        <w:rPr>
          <w:rFonts w:cstheme="minorHAnsi"/>
          <w:lang w:val="en-GB"/>
        </w:rPr>
        <w:t xml:space="preserve">occurred </w:t>
      </w:r>
      <w:r w:rsidR="0092539B" w:rsidRPr="006A1542">
        <w:rPr>
          <w:rFonts w:cstheme="minorHAnsi"/>
          <w:lang w:val="en-GB"/>
        </w:rPr>
        <w:t>in the la</w:t>
      </w:r>
      <w:r w:rsidR="00492566">
        <w:rPr>
          <w:rFonts w:cstheme="minorHAnsi"/>
          <w:lang w:val="en-GB"/>
        </w:rPr>
        <w:t>t</w:t>
      </w:r>
      <w:r w:rsidR="0092539B" w:rsidRPr="006A1542">
        <w:rPr>
          <w:rFonts w:cstheme="minorHAnsi"/>
          <w:lang w:val="en-GB"/>
        </w:rPr>
        <w:t>ter half of the 20</w:t>
      </w:r>
      <w:r w:rsidR="0092539B" w:rsidRPr="006A1542">
        <w:rPr>
          <w:rFonts w:cstheme="minorHAnsi"/>
          <w:vertAlign w:val="superscript"/>
          <w:lang w:val="en-GB"/>
        </w:rPr>
        <w:t>th</w:t>
      </w:r>
      <w:r w:rsidR="0092539B" w:rsidRPr="006A1542">
        <w:rPr>
          <w:rFonts w:cstheme="minorHAnsi"/>
          <w:lang w:val="en-GB"/>
        </w:rPr>
        <w:t xml:space="preserve"> century</w:t>
      </w:r>
      <w:r w:rsidR="00C46ADF" w:rsidRPr="006A1542">
        <w:rPr>
          <w:rFonts w:cstheme="minorHAnsi"/>
          <w:lang w:val="en-GB"/>
        </w:rPr>
        <w:t xml:space="preserve">, especially in </w:t>
      </w:r>
      <w:r w:rsidR="006A1542" w:rsidRPr="006A1542">
        <w:rPr>
          <w:rFonts w:cstheme="minorHAnsi"/>
          <w:lang w:val="en-GB"/>
        </w:rPr>
        <w:t xml:space="preserve">urban centres and the </w:t>
      </w:r>
      <w:r w:rsidR="00C46ADF" w:rsidRPr="006A1542">
        <w:rPr>
          <w:rFonts w:cstheme="minorHAnsi"/>
          <w:lang w:val="en-GB"/>
        </w:rPr>
        <w:t>coal</w:t>
      </w:r>
      <w:r w:rsidR="006A1542" w:rsidRPr="006A1542">
        <w:rPr>
          <w:rFonts w:cstheme="minorHAnsi"/>
          <w:lang w:val="en-GB"/>
        </w:rPr>
        <w:t xml:space="preserve">mining </w:t>
      </w:r>
      <w:r w:rsidR="00C46ADF" w:rsidRPr="006A1542">
        <w:rPr>
          <w:rFonts w:cstheme="minorHAnsi"/>
          <w:lang w:val="en-GB"/>
        </w:rPr>
        <w:t xml:space="preserve">areas of </w:t>
      </w:r>
      <w:r w:rsidR="00056A0D" w:rsidRPr="00470223">
        <w:rPr>
          <w:rFonts w:cstheme="minorHAnsi"/>
          <w:color w:val="212121"/>
          <w:shd w:val="clear" w:color="auto" w:fill="FFFFFF"/>
        </w:rPr>
        <w:t>the Midlands, North, Scotland</w:t>
      </w:r>
      <w:r w:rsidR="005363D7">
        <w:rPr>
          <w:rFonts w:cstheme="minorHAnsi"/>
          <w:color w:val="212121"/>
          <w:shd w:val="clear" w:color="auto" w:fill="FFFFFF"/>
        </w:rPr>
        <w:t>,</w:t>
      </w:r>
      <w:r w:rsidR="00056A0D" w:rsidRPr="00470223">
        <w:rPr>
          <w:rFonts w:cstheme="minorHAnsi"/>
          <w:color w:val="212121"/>
          <w:shd w:val="clear" w:color="auto" w:fill="FFFFFF"/>
        </w:rPr>
        <w:t xml:space="preserve"> and Wales </w:t>
      </w:r>
      <w:r w:rsidR="00123911">
        <w:rPr>
          <w:rFonts w:cstheme="minorHAnsi"/>
          <w:color w:val="212121"/>
          <w:shd w:val="clear" w:color="auto" w:fill="FFFFFF"/>
        </w:rPr>
        <w:fldChar w:fldCharType="begin"/>
      </w:r>
      <w:r w:rsidR="00123911">
        <w:rPr>
          <w:rFonts w:cstheme="minorHAnsi"/>
          <w:color w:val="212121"/>
          <w:shd w:val="clear" w:color="auto" w:fill="FFFFFF"/>
        </w:rPr>
        <w:instrText xml:space="preserve"> ADDIN EN.CITE &lt;EndNote&gt;&lt;Cite&gt;&lt;Author&gt;Beatty&lt;/Author&gt;&lt;Year&gt;2020&lt;/Year&gt;&lt;RecNum&gt;325&lt;/RecNum&gt;&lt;DisplayText&gt;(Beatty and Fothergill 2020)&lt;/DisplayText&gt;&lt;record&gt;&lt;rec-number&gt;325&lt;/rec-number&gt;&lt;foreign-keys&gt;&lt;key app="EN" db-id="date2dst4vae0pe955kxa2tla9pzrxp00p95" timestamp="1704908298"&gt;325&lt;/key&gt;&lt;/foreign-keys&gt;&lt;ref-type name="Journal Article"&gt;17&lt;/ref-type&gt;&lt;contributors&gt;&lt;authors&gt;&lt;author&gt;Beatty, C.&lt;/author&gt;&lt;author&gt;Fothergill, S.&lt;/author&gt;&lt;/authors&gt;&lt;/contributors&gt;&lt;auth-address&gt;Centre for Regional Economic and Social Research, Sheffield Hallam University, Sheffield, United Kingdom.&lt;/auth-address&gt;&lt;titles&gt;&lt;title&gt;The Long Shadow of Job Loss: Britain&amp;apos;s Older Industrial Towns in the 21st Century&lt;/title&gt;&lt;secondary-title&gt;Front Sociol&lt;/secondary-title&gt;&lt;/titles&gt;&lt;periodical&gt;&lt;full-title&gt;Front Sociol&lt;/full-title&gt;&lt;/periodical&gt;&lt;pages&gt;54&lt;/pages&gt;&lt;volume&gt;5&lt;/volume&gt;&lt;edition&gt;20200819&lt;/edition&gt;&lt;keywords&gt;&lt;keyword&gt;Uk&lt;/keyword&gt;&lt;keyword&gt;employment&lt;/keyword&gt;&lt;keyword&gt;industry&lt;/keyword&gt;&lt;keyword&gt;towns&lt;/keyword&gt;&lt;keyword&gt;welfare benefits&lt;/keyword&gt;&lt;/keywords&gt;&lt;dates&gt;&lt;year&gt;2020&lt;/year&gt;&lt;/dates&gt;&lt;isbn&gt;2297-7775&lt;/isbn&gt;&lt;accession-num&gt;33869461&lt;/accession-num&gt;&lt;urls&gt;&lt;/urls&gt;&lt;custom2&gt;PMC8022818&lt;/custom2&gt;&lt;electronic-resource-num&gt;10.3389/fsoc.2020.00054&lt;/electronic-resource-num&gt;&lt;remote-database-provider&gt;NLM&lt;/remote-database-provider&gt;&lt;language&gt;eng&lt;/language&gt;&lt;/record&gt;&lt;/Cite&gt;&lt;/EndNote&gt;</w:instrText>
      </w:r>
      <w:r w:rsidR="00123911">
        <w:rPr>
          <w:rFonts w:cstheme="minorHAnsi"/>
          <w:color w:val="212121"/>
          <w:shd w:val="clear" w:color="auto" w:fill="FFFFFF"/>
        </w:rPr>
        <w:fldChar w:fldCharType="separate"/>
      </w:r>
      <w:r w:rsidR="00123911">
        <w:rPr>
          <w:rFonts w:cstheme="minorHAnsi"/>
          <w:noProof/>
          <w:color w:val="212121"/>
          <w:shd w:val="clear" w:color="auto" w:fill="FFFFFF"/>
        </w:rPr>
        <w:t>(Beatty and Fothergill 2020)</w:t>
      </w:r>
      <w:r w:rsidR="00123911">
        <w:rPr>
          <w:rFonts w:cstheme="minorHAnsi"/>
          <w:color w:val="212121"/>
          <w:shd w:val="clear" w:color="auto" w:fill="FFFFFF"/>
        </w:rPr>
        <w:fldChar w:fldCharType="end"/>
      </w:r>
      <w:r w:rsidR="00C46ADF" w:rsidRPr="00470223">
        <w:rPr>
          <w:rFonts w:cstheme="minorHAnsi"/>
          <w:color w:val="212121"/>
          <w:shd w:val="clear" w:color="auto" w:fill="FFFFFF"/>
        </w:rPr>
        <w:t>.</w:t>
      </w:r>
      <w:r w:rsidR="00056A0D" w:rsidRPr="00470223">
        <w:rPr>
          <w:rFonts w:cstheme="minorHAnsi"/>
          <w:color w:val="212121"/>
          <w:shd w:val="clear" w:color="auto" w:fill="FFFFFF"/>
        </w:rPr>
        <w:t xml:space="preserve"> </w:t>
      </w:r>
      <w:r w:rsidR="00D25311" w:rsidRPr="006A1542">
        <w:rPr>
          <w:rFonts w:cstheme="minorHAnsi"/>
          <w:lang w:val="en-GB"/>
        </w:rPr>
        <w:t xml:space="preserve">While industries in </w:t>
      </w:r>
      <w:r w:rsidR="00A647CE" w:rsidRPr="006A1542">
        <w:rPr>
          <w:rFonts w:cstheme="minorHAnsi"/>
          <w:lang w:val="en-GB"/>
        </w:rPr>
        <w:t xml:space="preserve">many areas of </w:t>
      </w:r>
      <w:r w:rsidR="00D25311" w:rsidRPr="006A1542">
        <w:rPr>
          <w:rFonts w:cstheme="minorHAnsi"/>
          <w:lang w:val="en-GB"/>
        </w:rPr>
        <w:t xml:space="preserve">England shifted toward </w:t>
      </w:r>
      <w:r w:rsidR="005363D7">
        <w:rPr>
          <w:rFonts w:cstheme="minorHAnsi"/>
          <w:lang w:val="en-GB"/>
        </w:rPr>
        <w:t>information technology</w:t>
      </w:r>
      <w:r w:rsidR="006F76ED" w:rsidRPr="006A1542">
        <w:rPr>
          <w:rFonts w:cstheme="minorHAnsi"/>
          <w:lang w:val="en-GB"/>
        </w:rPr>
        <w:t>, finance and research</w:t>
      </w:r>
      <w:r w:rsidR="00D25311" w:rsidRPr="006A1542">
        <w:rPr>
          <w:rFonts w:cstheme="minorHAnsi"/>
          <w:lang w:val="en-GB"/>
        </w:rPr>
        <w:t xml:space="preserve">, </w:t>
      </w:r>
      <w:r w:rsidR="0092539B" w:rsidRPr="006A1542">
        <w:rPr>
          <w:rFonts w:cstheme="minorHAnsi"/>
          <w:lang w:val="en-GB"/>
        </w:rPr>
        <w:t xml:space="preserve">the job market </w:t>
      </w:r>
      <w:r w:rsidR="00D25311" w:rsidRPr="006A1542">
        <w:rPr>
          <w:rFonts w:cstheme="minorHAnsi"/>
          <w:lang w:val="en-GB"/>
        </w:rPr>
        <w:t xml:space="preserve">in Scotland </w:t>
      </w:r>
      <w:r w:rsidR="0092539B" w:rsidRPr="006A1542">
        <w:rPr>
          <w:rFonts w:cstheme="minorHAnsi"/>
          <w:lang w:val="en-GB"/>
        </w:rPr>
        <w:t>did not recalibrate</w:t>
      </w:r>
      <w:r w:rsidR="006F76ED" w:rsidRPr="006A1542">
        <w:rPr>
          <w:rFonts w:cstheme="minorHAnsi"/>
          <w:lang w:val="en-GB"/>
        </w:rPr>
        <w:t xml:space="preserve"> similarly</w:t>
      </w:r>
      <w:r w:rsidR="002F12ED" w:rsidRPr="006A1542">
        <w:rPr>
          <w:rFonts w:cstheme="minorHAnsi"/>
          <w:lang w:val="en-GB"/>
        </w:rPr>
        <w:t>.</w:t>
      </w:r>
      <w:r w:rsidR="006F76ED" w:rsidRPr="006A1542">
        <w:rPr>
          <w:rFonts w:cstheme="minorHAnsi"/>
          <w:lang w:val="en-GB"/>
        </w:rPr>
        <w:t xml:space="preserve"> </w:t>
      </w:r>
      <w:r w:rsidR="005B5206" w:rsidRPr="006A1542">
        <w:rPr>
          <w:rFonts w:cstheme="minorHAnsi"/>
          <w:lang w:val="en-GB"/>
        </w:rPr>
        <w:t xml:space="preserve">From the 1990s until the </w:t>
      </w:r>
      <w:r w:rsidR="00A23580" w:rsidRPr="006A1542">
        <w:rPr>
          <w:rFonts w:cstheme="minorHAnsi"/>
          <w:lang w:val="en-GB"/>
        </w:rPr>
        <w:t>2008 recession</w:t>
      </w:r>
      <w:r w:rsidR="005B5206" w:rsidRPr="006A1542">
        <w:rPr>
          <w:rFonts w:cstheme="minorHAnsi"/>
          <w:lang w:val="en-GB"/>
        </w:rPr>
        <w:t>, unemployment was hig</w:t>
      </w:r>
      <w:r w:rsidR="005B5206">
        <w:rPr>
          <w:lang w:val="en-GB"/>
        </w:rPr>
        <w:t xml:space="preserve">her in Scotland than in England and Wales </w:t>
      </w:r>
      <w:r w:rsidR="00E156AC">
        <w:rPr>
          <w:lang w:val="en-GB"/>
        </w:rPr>
        <w:fldChar w:fldCharType="begin"/>
      </w:r>
      <w:r w:rsidR="008F1DBD">
        <w:rPr>
          <w:lang w:val="en-GB"/>
        </w:rPr>
        <w:instrText xml:space="preserve"> ADDIN EN.CITE &lt;EndNote&gt;&lt;Cite&gt;&lt;Year&gt;2008&lt;/Year&gt;&lt;RecNum&gt;337&lt;/RecNum&gt;&lt;DisplayText&gt;(2008)&lt;/DisplayText&gt;&lt;record&gt;&lt;rec-number&gt;337&lt;/rec-number&gt;&lt;foreign-keys&gt;&lt;key app="EN" db-id="date2dst4vae0pe955kxa2tla9pzrxp00p95" timestamp="1705322761"&gt;337&lt;/key&gt;&lt;/foreign-keys&gt;&lt;ref-type name="Dataset"&gt;59&lt;/ref-type&gt;&lt;contributors&gt;&lt;/contributors&gt;&lt;titles&gt;&lt;title&gt;Labour Force Survey&lt;/title&gt;&lt;/titles&gt;&lt;dates&gt;&lt;year&gt;2008&lt;/year&gt;&lt;/dates&gt;&lt;publisher&gt;Office for National Statistics&lt;/publisher&gt;&lt;urls&gt;&lt;/urls&gt;&lt;/record&gt;&lt;/Cite&gt;&lt;Cite&gt;&lt;Year&gt;2008&lt;/Year&gt;&lt;RecNum&gt;337&lt;/RecNum&gt;&lt;record&gt;&lt;rec-number&gt;337&lt;/rec-number&gt;&lt;foreign-keys&gt;&lt;key app="EN" db-id="date2dst4vae0pe955kxa2tla9pzrxp00p95" timestamp="1705322761"&gt;337&lt;/key&gt;&lt;/foreign-keys&gt;&lt;ref-type name="Dataset"&gt;59&lt;/ref-type&gt;&lt;contributors&gt;&lt;/contributors&gt;&lt;titles&gt;&lt;title&gt;Labour Force Survey&lt;/title&gt;&lt;/titles&gt;&lt;dates&gt;&lt;year&gt;2008&lt;/year&gt;&lt;/dates&gt;&lt;publisher&gt;Office for National Statistics&lt;/publisher&gt;&lt;urls&gt;&lt;/urls&gt;&lt;/record&gt;&lt;/Cite&gt;&lt;Cite&gt;&lt;Year&gt;2008&lt;/Year&gt;&lt;RecNum&gt;337&lt;/RecNum&gt;&lt;record&gt;&lt;rec-number&gt;337&lt;/rec-number&gt;&lt;foreign-keys&gt;&lt;key app="EN" db-id="date2dst4vae0pe955kxa2tla9pzrxp00p95" timestamp="1705322761"&gt;337&lt;/key&gt;&lt;/foreign-keys&gt;&lt;ref-type name="Dataset"&gt;59&lt;/ref-type&gt;&lt;contributors&gt;&lt;/contributors&gt;&lt;titles&gt;&lt;title&gt;Labour Force Survey&lt;/title&gt;&lt;/titles&gt;&lt;dates&gt;&lt;year&gt;2008&lt;/year&gt;&lt;/dates&gt;&lt;publisher&gt;Office for National Statistics&lt;/publisher&gt;&lt;urls&gt;&lt;/urls&gt;&lt;/record&gt;&lt;/Cite&gt;&lt;/EndNote&gt;</w:instrText>
      </w:r>
      <w:r w:rsidR="00E156AC">
        <w:rPr>
          <w:lang w:val="en-GB"/>
        </w:rPr>
        <w:fldChar w:fldCharType="separate"/>
      </w:r>
      <w:r w:rsidR="00E156AC">
        <w:rPr>
          <w:noProof/>
          <w:lang w:val="en-GB"/>
        </w:rPr>
        <w:t>(2008)</w:t>
      </w:r>
      <w:r w:rsidR="00E156AC">
        <w:rPr>
          <w:lang w:val="en-GB"/>
        </w:rPr>
        <w:fldChar w:fldCharType="end"/>
      </w:r>
      <w:r w:rsidR="00FD39A1">
        <w:rPr>
          <w:lang w:val="en-GB"/>
        </w:rPr>
        <w:t>.</w:t>
      </w:r>
      <w:r w:rsidR="008841CF">
        <w:rPr>
          <w:lang w:val="en-GB"/>
        </w:rPr>
        <w:t xml:space="preserve"> S</w:t>
      </w:r>
      <w:r w:rsidR="003F2706">
        <w:rPr>
          <w:lang w:val="en-GB"/>
        </w:rPr>
        <w:t xml:space="preserve">ince </w:t>
      </w:r>
      <w:r w:rsidR="008841CF">
        <w:rPr>
          <w:lang w:val="en-GB"/>
        </w:rPr>
        <w:t xml:space="preserve">the </w:t>
      </w:r>
      <w:r w:rsidR="005A2D5F">
        <w:rPr>
          <w:lang w:val="en-GB"/>
        </w:rPr>
        <w:t xml:space="preserve">2008 </w:t>
      </w:r>
      <w:r w:rsidR="008841CF">
        <w:rPr>
          <w:lang w:val="en-GB"/>
        </w:rPr>
        <w:t>recession</w:t>
      </w:r>
      <w:r w:rsidR="005B5206">
        <w:rPr>
          <w:lang w:val="en-GB"/>
        </w:rPr>
        <w:t>, unemployment in Scotland has generally been at a lower level than in England</w:t>
      </w:r>
      <w:r w:rsidR="00D842D1">
        <w:rPr>
          <w:lang w:val="en-GB"/>
        </w:rPr>
        <w:t xml:space="preserve"> but persistently higher household worklessness </w:t>
      </w:r>
      <w:r w:rsidR="00123911">
        <w:rPr>
          <w:lang w:val="en-GB"/>
        </w:rPr>
        <w:t>has offset the</w:t>
      </w:r>
      <w:r w:rsidR="00D842D1">
        <w:rPr>
          <w:lang w:val="en-GB"/>
        </w:rPr>
        <w:t xml:space="preserve"> improvements in individual employment rates </w:t>
      </w:r>
      <w:r w:rsidR="00F74676">
        <w:rPr>
          <w:lang w:val="en-GB"/>
        </w:rPr>
        <w:fldChar w:fldCharType="begin"/>
      </w:r>
      <w:r w:rsidR="00F74676">
        <w:rPr>
          <w:lang w:val="en-GB"/>
        </w:rPr>
        <w:instrText xml:space="preserve"> ADDIN EN.CITE &lt;EndNote&gt;&lt;Cite&gt;&lt;Author&gt;Phillips&lt;/Author&gt;&lt;Year&gt;2023&lt;/Year&gt;&lt;RecNum&gt;327&lt;/RecNum&gt;&lt;DisplayText&gt;(Phillips, Waters and Wernham 2023)&lt;/DisplayText&gt;&lt;record&gt;&lt;rec-number&gt;327&lt;/rec-number&gt;&lt;foreign-keys&gt;&lt;key app="EN" db-id="date2dst4vae0pe955kxa2tla9pzrxp00p95" timestamp="1704910299"&gt;327&lt;/key&gt;&lt;/foreign-keys&gt;&lt;ref-type name="Report"&gt;27&lt;/ref-type&gt;&lt;contributors&gt;&lt;authors&gt;&lt;author&gt;Phillips, David&lt;/author&gt;&lt;author&gt;Waters, Tom&lt;/author&gt;&lt;author&gt;Wernham, Tom&lt;/author&gt;&lt;/authors&gt;&lt;/contributors&gt;&lt;titles&gt;&lt;title&gt;Employment, earnings, and incomes in Scotland&lt;/title&gt;&lt;/titles&gt;&lt;num-vols&gt;IFS Report R268&lt;/num-vols&gt;&lt;dates&gt;&lt;year&gt;2023&lt;/year&gt;&lt;/dates&gt;&lt;publisher&gt;Institute for Fiscal Studies &lt;/publisher&gt;&lt;urls&gt;&lt;/urls&gt;&lt;/record&gt;&lt;/Cite&gt;&lt;/EndNote&gt;</w:instrText>
      </w:r>
      <w:r w:rsidR="00F74676">
        <w:rPr>
          <w:lang w:val="en-GB"/>
        </w:rPr>
        <w:fldChar w:fldCharType="separate"/>
      </w:r>
      <w:r w:rsidR="00F74676">
        <w:rPr>
          <w:noProof/>
          <w:lang w:val="en-GB"/>
        </w:rPr>
        <w:t>(Phillips, Waters and Wernham 2023)</w:t>
      </w:r>
      <w:r w:rsidR="00F74676">
        <w:rPr>
          <w:lang w:val="en-GB"/>
        </w:rPr>
        <w:fldChar w:fldCharType="end"/>
      </w:r>
      <w:r w:rsidR="00D842D1">
        <w:rPr>
          <w:lang w:val="en-GB"/>
        </w:rPr>
        <w:t>.</w:t>
      </w:r>
      <w:r w:rsidR="00941F3B">
        <w:rPr>
          <w:lang w:val="en-GB"/>
        </w:rPr>
        <w:t xml:space="preserve"> </w:t>
      </w:r>
      <w:r w:rsidR="00250B0D">
        <w:rPr>
          <w:lang w:val="en-GB"/>
        </w:rPr>
        <w:t>In terms of housing,</w:t>
      </w:r>
      <w:r w:rsidR="00837940">
        <w:rPr>
          <w:lang w:val="en-GB"/>
        </w:rPr>
        <w:t xml:space="preserve"> </w:t>
      </w:r>
      <w:r w:rsidR="00730778">
        <w:rPr>
          <w:lang w:val="en-GB"/>
        </w:rPr>
        <w:t xml:space="preserve">Scotland has historically had a higher share of social renters than the rest of the UK, a tenure type associated with higher fertility </w:t>
      </w:r>
      <w:r w:rsidR="00730778">
        <w:rPr>
          <w:lang w:val="en-GB"/>
        </w:rPr>
        <w:fldChar w:fldCharType="begin"/>
      </w:r>
      <w:r w:rsidR="00730778">
        <w:rPr>
          <w:lang w:val="en-GB"/>
        </w:rPr>
        <w:instrText xml:space="preserve"> ADDIN EN.CITE &lt;EndNote&gt;&lt;Cite&gt;&lt;Author&gt;Tocchioni&lt;/Author&gt;&lt;Year&gt;2021&lt;/Year&gt;&lt;RecNum&gt;333&lt;/RecNum&gt;&lt;DisplayText&gt;(Tocchioni, Berrington et al. 2021)&lt;/DisplayText&gt;&lt;record&gt;&lt;rec-number&gt;333&lt;/rec-number&gt;&lt;foreign-keys&gt;&lt;key app="EN" db-id="date2dst4vae0pe955kxa2tla9pzrxp00p95" timestamp="1705320494"&gt;333&lt;/key&gt;&lt;/foreign-keys&gt;&lt;ref-type name="Journal Article"&gt;17&lt;/ref-type&gt;&lt;contributors&gt;&lt;authors&gt;&lt;author&gt;Tocchioni, Valentina&lt;/author&gt;&lt;author&gt;Berrington, Ann&lt;/author&gt;&lt;author&gt;Vignoli, Daniele&lt;/author&gt;&lt;author&gt;Vitali, Agnese&lt;/author&gt;&lt;/authors&gt;&lt;/contributors&gt;&lt;titles&gt;&lt;title&gt;The Changing Association Between Homeownership and the Transition to Parenthood&lt;/title&gt;&lt;secondary-title&gt;Demography&lt;/secondary-title&gt;&lt;/titles&gt;&lt;periodical&gt;&lt;full-title&gt;Demography&lt;/full-title&gt;&lt;/periodical&gt;&lt;pages&gt;1843-1865&lt;/pages&gt;&lt;volume&gt;58&lt;/volume&gt;&lt;number&gt;5&lt;/number&gt;&lt;dates&gt;&lt;year&gt;2021&lt;/year&gt;&lt;/dates&gt;&lt;isbn&gt;0070-3370&lt;/isbn&gt;&lt;urls&gt;&lt;related-urls&gt;&lt;url&gt;https://doi.org/10.1215/00703370-9420322&lt;/url&gt;&lt;/related-urls&gt;&lt;/urls&gt;&lt;electronic-resource-num&gt;10.1215/00703370-9420322&lt;/electronic-resource-num&gt;&lt;access-date&gt;1/15/2024&lt;/access-date&gt;&lt;/record&gt;&lt;/Cite&gt;&lt;/EndNote&gt;</w:instrText>
      </w:r>
      <w:r w:rsidR="00730778">
        <w:rPr>
          <w:lang w:val="en-GB"/>
        </w:rPr>
        <w:fldChar w:fldCharType="separate"/>
      </w:r>
      <w:r w:rsidR="00730778">
        <w:rPr>
          <w:noProof/>
          <w:lang w:val="en-GB"/>
        </w:rPr>
        <w:t>(Tocchioni, Berrington et al. 2021)</w:t>
      </w:r>
      <w:r w:rsidR="00730778">
        <w:rPr>
          <w:lang w:val="en-GB"/>
        </w:rPr>
        <w:fldChar w:fldCharType="end"/>
      </w:r>
      <w:r w:rsidR="00730778">
        <w:rPr>
          <w:lang w:val="en-GB"/>
        </w:rPr>
        <w:t xml:space="preserve">, but this share was </w:t>
      </w:r>
      <w:r w:rsidR="00312DA3">
        <w:rPr>
          <w:lang w:val="en-GB"/>
        </w:rPr>
        <w:t>significantly reduced with the Right to Buy scheme introduced in the 1980s</w:t>
      </w:r>
      <w:r w:rsidR="00730778">
        <w:rPr>
          <w:lang w:val="en-GB"/>
        </w:rPr>
        <w:t xml:space="preserve">. </w:t>
      </w:r>
      <w:r w:rsidR="00BA7B86">
        <w:rPr>
          <w:lang w:val="en-GB"/>
        </w:rPr>
        <w:t>H</w:t>
      </w:r>
      <w:r w:rsidR="00730778">
        <w:rPr>
          <w:lang w:val="en-GB"/>
        </w:rPr>
        <w:t>ousing prices increased</w:t>
      </w:r>
      <w:r w:rsidR="00CA6D47">
        <w:rPr>
          <w:lang w:val="en-GB"/>
        </w:rPr>
        <w:t>,</w:t>
      </w:r>
      <w:r w:rsidR="00730778">
        <w:rPr>
          <w:lang w:val="en-GB"/>
        </w:rPr>
        <w:t xml:space="preserve"> nearly doubl</w:t>
      </w:r>
      <w:r w:rsidR="00CA6D47">
        <w:rPr>
          <w:lang w:val="en-GB"/>
        </w:rPr>
        <w:t>ing</w:t>
      </w:r>
      <w:r w:rsidR="00730778">
        <w:rPr>
          <w:lang w:val="en-GB"/>
        </w:rPr>
        <w:t xml:space="preserve"> in areas</w:t>
      </w:r>
      <w:r w:rsidR="00CA6D47">
        <w:rPr>
          <w:lang w:val="en-GB"/>
        </w:rPr>
        <w:t xml:space="preserve"> </w:t>
      </w:r>
      <w:r w:rsidR="00730778">
        <w:rPr>
          <w:lang w:val="en-GB"/>
        </w:rPr>
        <w:t>such as Edinburgh</w:t>
      </w:r>
      <w:r w:rsidR="00CA6D47">
        <w:rPr>
          <w:lang w:val="en-GB"/>
        </w:rPr>
        <w:t xml:space="preserve"> and Aberdeen</w:t>
      </w:r>
      <w:r w:rsidR="00502884">
        <w:rPr>
          <w:lang w:val="en-GB"/>
        </w:rPr>
        <w:t xml:space="preserve">, </w:t>
      </w:r>
      <w:r w:rsidR="00502884">
        <w:rPr>
          <w:lang w:val="en-GB"/>
        </w:rPr>
        <w:fldChar w:fldCharType="begin"/>
      </w:r>
      <w:r w:rsidR="00502884">
        <w:rPr>
          <w:lang w:val="en-GB"/>
        </w:rPr>
        <w:instrText xml:space="preserve"> ADDIN EN.CITE &lt;EndNote&gt;&lt;Cite&gt;&lt;Author&gt;Graham&lt;/Author&gt;&lt;Year&gt;2017&lt;/Year&gt;&lt;RecNum&gt;335&lt;/RecNum&gt;&lt;DisplayText&gt;(Graham, Fiori and McKee 2017)&lt;/DisplayText&gt;&lt;record&gt;&lt;rec-number&gt;335&lt;/rec-number&gt;&lt;foreign-keys&gt;&lt;key app="EN" db-id="date2dst4vae0pe955kxa2tla9pzrxp00p95" timestamp="1705321293"&gt;335&lt;/key&gt;&lt;/foreign-keys&gt;&lt;ref-type name="Book Section"&gt;5&lt;/ref-type&gt;&lt;contributors&gt;&lt;authors&gt;&lt;author&gt;Graham, E.,&lt;/author&gt;&lt;author&gt;Fiori, F.&lt;/author&gt;&lt;author&gt;McKee, K.&lt;/author&gt;&lt;/authors&gt;&lt;/contributors&gt;&lt;titles&gt;&lt;title&gt;Household Changes and Housing Provision in Scotland &lt;/title&gt;&lt;secondary-title&gt;Scotland’s Population 2016 – The Registrar General’s Annual Review of Demographic Trends&lt;/secondary-title&gt;&lt;/titles&gt;&lt;pages&gt;85-109&lt;/pages&gt;&lt;dates&gt;&lt;year&gt;2017&lt;/year&gt;&lt;/dates&gt;&lt;pub-location&gt;Edinburgh&lt;/pub-location&gt;&lt;publisher&gt;National Records of Scotland&lt;/publisher&gt;&lt;urls&gt;&lt;/urls&gt;&lt;/record&gt;&lt;/Cite&gt;&lt;/EndNote&gt;</w:instrText>
      </w:r>
      <w:r w:rsidR="00502884">
        <w:rPr>
          <w:lang w:val="en-GB"/>
        </w:rPr>
        <w:fldChar w:fldCharType="separate"/>
      </w:r>
      <w:r w:rsidR="00502884">
        <w:rPr>
          <w:noProof/>
          <w:lang w:val="en-GB"/>
        </w:rPr>
        <w:t>(Graham, Fiori and McKee 2017)</w:t>
      </w:r>
      <w:r w:rsidR="00502884">
        <w:rPr>
          <w:lang w:val="en-GB"/>
        </w:rPr>
        <w:fldChar w:fldCharType="end"/>
      </w:r>
      <w:r w:rsidR="00BA7B86">
        <w:rPr>
          <w:lang w:val="en-GB"/>
        </w:rPr>
        <w:t xml:space="preserve">, and </w:t>
      </w:r>
      <w:r w:rsidR="00CA6D47">
        <w:rPr>
          <w:lang w:val="en-GB"/>
        </w:rPr>
        <w:t>tenement buildings historically for families</w:t>
      </w:r>
      <w:r w:rsidR="00BA7B86">
        <w:rPr>
          <w:lang w:val="en-GB"/>
        </w:rPr>
        <w:t xml:space="preserve"> were converted</w:t>
      </w:r>
      <w:r w:rsidR="00CA6D47">
        <w:rPr>
          <w:lang w:val="en-GB"/>
        </w:rPr>
        <w:t xml:space="preserve"> into flats aimed at childless couples</w:t>
      </w:r>
      <w:r w:rsidR="00BA7B86">
        <w:rPr>
          <w:lang w:val="en-GB"/>
        </w:rPr>
        <w:t>,</w:t>
      </w:r>
      <w:r w:rsidR="00CA6D47">
        <w:rPr>
          <w:lang w:val="en-GB"/>
        </w:rPr>
        <w:t xml:space="preserve"> correspond</w:t>
      </w:r>
      <w:r w:rsidR="00BA7B86">
        <w:rPr>
          <w:lang w:val="en-GB"/>
        </w:rPr>
        <w:t>ing</w:t>
      </w:r>
      <w:r w:rsidR="00CA6D47">
        <w:rPr>
          <w:lang w:val="en-GB"/>
        </w:rPr>
        <w:t xml:space="preserve"> with clusters of low fertility; the continued high house prices and economic benefits of owning such properties may discourage residential mobility among young owners and thus family building</w:t>
      </w:r>
      <w:r w:rsidR="00492566">
        <w:rPr>
          <w:lang w:val="en-GB"/>
        </w:rPr>
        <w:t>, including both first births and higher order births</w:t>
      </w:r>
      <w:r w:rsidR="00CA6D47">
        <w:rPr>
          <w:lang w:val="en-GB"/>
        </w:rPr>
        <w:t xml:space="preserve"> </w:t>
      </w:r>
      <w:r w:rsidR="00CA6D47">
        <w:rPr>
          <w:lang w:val="en-GB"/>
        </w:rPr>
        <w:fldChar w:fldCharType="begin"/>
      </w:r>
      <w:r w:rsidR="00CA6D47">
        <w:rPr>
          <w:lang w:val="en-GB"/>
        </w:rPr>
        <w:instrText xml:space="preserve"> ADDIN EN.CITE &lt;EndNote&gt;&lt;Cite&gt;&lt;Author&gt;Boyle&lt;/Author&gt;&lt;Year&gt;2007&lt;/Year&gt;&lt;RecNum&gt;336&lt;/RecNum&gt;&lt;DisplayText&gt;(Boyle, Graham and Feng 2007)&lt;/DisplayText&gt;&lt;record&gt;&lt;rec-number&gt;336&lt;/rec-number&gt;&lt;foreign-keys&gt;&lt;key app="EN" db-id="date2dst4vae0pe955kxa2tla9pzrxp00p95" timestamp="1705321747"&gt;336&lt;/key&gt;&lt;/foreign-keys&gt;&lt;ref-type name="Manuscript"&gt;36&lt;/ref-type&gt;&lt;contributors&gt;&lt;authors&gt;&lt;author&gt;Boyle, P.J.&lt;/author&gt;&lt;author&gt;Graham, E.&lt;/author&gt;&lt;author&gt;Feng, Z.&lt;/author&gt;&lt;/authors&gt;&lt;secondary-authors&gt;&lt;author&gt;Max Planck&lt;/author&gt;&lt;/secondary-authors&gt;&lt;/contributors&gt;&lt;titles&gt;&lt;title&gt;Contextualizing demography: The significance of local clusters of fertility in Scotland&lt;/title&gt;&lt;secondary-title&gt;MPIDR Working Paper&lt;/secondary-title&gt;&lt;/titles&gt;&lt;num-vols&gt;36&lt;/num-vols&gt;&lt;dates&gt;&lt;year&gt;2007&lt;/year&gt;&lt;/dates&gt;&lt;pub-location&gt;Rostock&lt;/pub-location&gt;&lt;urls&gt;&lt;/urls&gt;&lt;/record&gt;&lt;/Cite&gt;&lt;/EndNote&gt;</w:instrText>
      </w:r>
      <w:r w:rsidR="00CA6D47">
        <w:rPr>
          <w:lang w:val="en-GB"/>
        </w:rPr>
        <w:fldChar w:fldCharType="separate"/>
      </w:r>
      <w:r w:rsidR="00CA6D47">
        <w:rPr>
          <w:noProof/>
          <w:lang w:val="en-GB"/>
        </w:rPr>
        <w:t>(Boyle, Graham and Feng 2007)</w:t>
      </w:r>
      <w:r w:rsidR="00CA6D47">
        <w:rPr>
          <w:lang w:val="en-GB"/>
        </w:rPr>
        <w:fldChar w:fldCharType="end"/>
      </w:r>
      <w:r w:rsidR="00CA6D47">
        <w:rPr>
          <w:lang w:val="en-GB"/>
        </w:rPr>
        <w:t>.</w:t>
      </w:r>
      <w:r w:rsidR="00BA7B86">
        <w:rPr>
          <w:lang w:val="en-GB"/>
        </w:rPr>
        <w:t xml:space="preserve"> We might expect therefore that these housing and economic pressures act to decrease fertility in Scotland.</w:t>
      </w:r>
      <w:r w:rsidR="00837940">
        <w:rPr>
          <w:lang w:val="en-GB"/>
        </w:rPr>
        <w:t xml:space="preserve"> </w:t>
      </w:r>
      <w:r w:rsidR="0068123A">
        <w:t>I</w:t>
      </w:r>
      <w:r w:rsidR="007B27BF">
        <w:t>n</w:t>
      </w:r>
      <w:r w:rsidR="0068123A">
        <w:t xml:space="preserve"> </w:t>
      </w:r>
      <w:r w:rsidR="007807E3">
        <w:t>the 1980s and 1990s</w:t>
      </w:r>
      <w:r w:rsidR="00837940">
        <w:t>,</w:t>
      </w:r>
      <w:r w:rsidR="007807E3">
        <w:t xml:space="preserve"> </w:t>
      </w:r>
      <w:r w:rsidR="0068123A">
        <w:t xml:space="preserve">Northern Ireland </w:t>
      </w:r>
      <w:r w:rsidR="007B27BF">
        <w:t>contended with</w:t>
      </w:r>
      <w:r w:rsidR="00CA6E91">
        <w:t xml:space="preserve"> </w:t>
      </w:r>
      <w:r w:rsidR="007B27BF">
        <w:t xml:space="preserve">high </w:t>
      </w:r>
      <w:r w:rsidR="00932A2A">
        <w:t>unemployment</w:t>
      </w:r>
      <w:r w:rsidR="0000667F">
        <w:t>,</w:t>
      </w:r>
      <w:r w:rsidR="007B27BF">
        <w:t xml:space="preserve"> sectarian violence</w:t>
      </w:r>
      <w:r w:rsidR="00932A2A">
        <w:t xml:space="preserve"> and political unrest</w:t>
      </w:r>
      <w:r w:rsidR="00E431C7">
        <w:t xml:space="preserve">, as well as severe </w:t>
      </w:r>
      <w:bookmarkStart w:id="7" w:name="_Hlk155802988"/>
      <w:r w:rsidR="00932A2A">
        <w:t>housing price inflation</w:t>
      </w:r>
      <w:r w:rsidR="00932A2A">
        <w:rPr>
          <w:lang w:val="en-GB"/>
        </w:rPr>
        <w:t xml:space="preserve"> </w:t>
      </w:r>
      <w:r w:rsidR="004D7D25">
        <w:fldChar w:fldCharType="begin"/>
      </w:r>
      <w:r w:rsidR="004D7D25">
        <w:instrText xml:space="preserve"> ADDIN EN.CITE &lt;EndNote&gt;&lt;Cite&gt;&lt;Author&gt;McKenna&lt;/Author&gt;&lt;Year&gt;2023&lt;/Year&gt;&lt;RecNum&gt;374&lt;/RecNum&gt;&lt;DisplayText&gt;(McKenna 2023)&lt;/DisplayText&gt;&lt;record&gt;&lt;rec-number&gt;374&lt;/rec-number&gt;&lt;foreign-keys&gt;&lt;key app="EN" db-id="date2dst4vae0pe955kxa2tla9pzrxp00p95" timestamp="1706889870"&gt;374&lt;/key&gt;&lt;/foreign-keys&gt;&lt;ref-type name="Web Page"&gt;12&lt;/ref-type&gt;&lt;contributors&gt;&lt;authors&gt;&lt;author&gt;McKenna, Fionnuala&lt;/author&gt;&lt;/authors&gt;&lt;/contributors&gt;&lt;titles&gt;&lt;title&gt;Background Information on Northern Ireland- Housing&lt;/title&gt;&lt;/titles&gt;&lt;dates&gt;&lt;year&gt;2023&lt;/year&gt;&lt;/dates&gt;&lt;publisher&gt;CAIN Ulster University&lt;/publisher&gt;&lt;urls&gt;&lt;related-urls&gt;&lt;url&gt;https://cain.ulster.ac.uk/ni/housing.htm&lt;/url&gt;&lt;/related-urls&gt;&lt;/urls&gt;&lt;/record&gt;&lt;/Cite&gt;&lt;/EndNote&gt;</w:instrText>
      </w:r>
      <w:r w:rsidR="004D7D25">
        <w:fldChar w:fldCharType="separate"/>
      </w:r>
      <w:r w:rsidR="004D7D25">
        <w:rPr>
          <w:noProof/>
        </w:rPr>
        <w:t>(McKenna 2023)</w:t>
      </w:r>
      <w:r w:rsidR="004D7D25">
        <w:fldChar w:fldCharType="end"/>
      </w:r>
      <w:r w:rsidR="00932A2A">
        <w:t>. Comparison of tenure between N</w:t>
      </w:r>
      <w:r w:rsidR="007B27BF">
        <w:t>orther</w:t>
      </w:r>
      <w:r w:rsidR="00D079B1">
        <w:t>n</w:t>
      </w:r>
      <w:r w:rsidR="007B27BF">
        <w:t xml:space="preserve"> Ireland </w:t>
      </w:r>
      <w:r w:rsidR="00932A2A">
        <w:t xml:space="preserve">and Britain in the </w:t>
      </w:r>
      <w:r w:rsidR="007B27BF">
        <w:t>19</w:t>
      </w:r>
      <w:r w:rsidR="00932A2A">
        <w:t>90s show</w:t>
      </w:r>
      <w:r w:rsidR="00D676C2">
        <w:t>ed</w:t>
      </w:r>
      <w:r w:rsidR="00932A2A">
        <w:t xml:space="preserve"> more social renting in N</w:t>
      </w:r>
      <w:r w:rsidR="007B27BF">
        <w:t>orthern Ireland</w:t>
      </w:r>
      <w:r w:rsidR="00D676C2">
        <w:t xml:space="preserve">. However, rates of home </w:t>
      </w:r>
      <w:r w:rsidR="00932A2A">
        <w:t>ownership</w:t>
      </w:r>
      <w:r w:rsidR="00D676C2">
        <w:t xml:space="preserve"> increased substantially</w:t>
      </w:r>
      <w:r w:rsidR="0084771C">
        <w:t xml:space="preserve"> in the </w:t>
      </w:r>
      <w:r w:rsidR="00A82B94">
        <w:t xml:space="preserve">1980s and 1990s, </w:t>
      </w:r>
      <w:r w:rsidR="00D676C2">
        <w:t>along with a proportionately larger increase in overall housing</w:t>
      </w:r>
      <w:r w:rsidR="00932A2A">
        <w:t xml:space="preserve">, compared to the rest of the </w:t>
      </w:r>
      <w:r w:rsidR="00E936FB">
        <w:t>UK</w:t>
      </w:r>
      <w:r w:rsidR="00D676C2">
        <w:t xml:space="preserve"> stock </w:t>
      </w:r>
      <w:r w:rsidR="00D676C2">
        <w:fldChar w:fldCharType="begin"/>
      </w:r>
      <w:r w:rsidR="00D676C2">
        <w:instrText xml:space="preserve"> ADDIN EN.CITE &lt;EndNote&gt;&lt;Cite&gt;&lt;Author&gt;McKenna&lt;/Author&gt;&lt;Year&gt;2023&lt;/Year&gt;&lt;RecNum&gt;374&lt;/RecNum&gt;&lt;DisplayText&gt;(McKenna 2023)&lt;/DisplayText&gt;&lt;record&gt;&lt;rec-number&gt;374&lt;/rec-number&gt;&lt;foreign-keys&gt;&lt;key app="EN" db-id="date2dst4vae0pe955kxa2tla9pzrxp00p95" timestamp="1706889870"&gt;374&lt;/key&gt;&lt;/foreign-keys&gt;&lt;ref-type name="Web Page"&gt;12&lt;/ref-type&gt;&lt;contributors&gt;&lt;authors&gt;&lt;author&gt;McKenna, Fionnuala&lt;/author&gt;&lt;/authors&gt;&lt;/contributors&gt;&lt;titles&gt;&lt;title&gt;Background Information on Northern Ireland- Housing&lt;/title&gt;&lt;/titles&gt;&lt;dates&gt;&lt;year&gt;2023&lt;/year&gt;&lt;/dates&gt;&lt;publisher&gt;CAIN Ulster University&lt;/publisher&gt;&lt;urls&gt;&lt;related-urls&gt;&lt;url&gt;https://cain.ulster.ac.uk/ni/housing.htm&lt;/url&gt;&lt;/related-urls&gt;&lt;/urls&gt;&lt;/record&gt;&lt;/Cite&gt;&lt;/EndNote&gt;</w:instrText>
      </w:r>
      <w:r w:rsidR="00D676C2">
        <w:fldChar w:fldCharType="separate"/>
      </w:r>
      <w:r w:rsidR="00D676C2">
        <w:rPr>
          <w:noProof/>
        </w:rPr>
        <w:t>(McKenna 2023)</w:t>
      </w:r>
      <w:r w:rsidR="00D676C2">
        <w:fldChar w:fldCharType="end"/>
      </w:r>
      <w:r w:rsidR="00932A2A">
        <w:t>,</w:t>
      </w:r>
      <w:r w:rsidR="00D676C2">
        <w:t xml:space="preserve"> </w:t>
      </w:r>
      <w:r w:rsidR="00932A2A">
        <w:t xml:space="preserve"> </w:t>
      </w:r>
      <w:r w:rsidR="00785E61">
        <w:t xml:space="preserve">both of which may encourage </w:t>
      </w:r>
      <w:r w:rsidR="00932A2A">
        <w:t xml:space="preserve">family formation.  </w:t>
      </w:r>
    </w:p>
    <w:bookmarkEnd w:id="7"/>
    <w:p w14:paraId="7B511165" w14:textId="575D8CBD" w:rsidR="0052641E" w:rsidRDefault="004118D0" w:rsidP="00842F4D">
      <w:pPr>
        <w:spacing w:line="480" w:lineRule="auto"/>
        <w:rPr>
          <w:lang w:val="en-GB"/>
        </w:rPr>
      </w:pPr>
      <w:r>
        <w:t>R</w:t>
      </w:r>
      <w:r w:rsidR="1A5707B3">
        <w:t xml:space="preserve">eligion plays a </w:t>
      </w:r>
      <w:r w:rsidR="000F0E96">
        <w:t>particular</w:t>
      </w:r>
      <w:r w:rsidR="1A5707B3">
        <w:t xml:space="preserve"> role in </w:t>
      </w:r>
      <w:r w:rsidR="009563AF">
        <w:t xml:space="preserve">influencing reproductive behavior in </w:t>
      </w:r>
      <w:r w:rsidR="27526C43">
        <w:t>Northern Ireland</w:t>
      </w:r>
      <w:r w:rsidR="00E45D76">
        <w:t xml:space="preserve">, where there are </w:t>
      </w:r>
      <w:r w:rsidR="00613B4C">
        <w:t>large</w:t>
      </w:r>
      <w:r w:rsidR="00123911">
        <w:t xml:space="preserve"> </w:t>
      </w:r>
      <w:r w:rsidR="27526C43">
        <w:t xml:space="preserve">Protestant </w:t>
      </w:r>
      <w:r w:rsidR="00613B4C">
        <w:t xml:space="preserve">and </w:t>
      </w:r>
      <w:r w:rsidR="27526C43">
        <w:t xml:space="preserve">Catholic </w:t>
      </w:r>
      <w:r w:rsidR="00613B4C">
        <w:t xml:space="preserve">communities who </w:t>
      </w:r>
      <w:r w:rsidR="27526C43">
        <w:t>have historically demonstrated different fertility regimes</w:t>
      </w:r>
      <w:r w:rsidR="000F0E96">
        <w:t>.</w:t>
      </w:r>
      <w:r w:rsidR="27526C43">
        <w:t xml:space="preserve"> </w:t>
      </w:r>
      <w:r w:rsidR="000F0E96">
        <w:fldChar w:fldCharType="begin"/>
      </w:r>
      <w:r w:rsidR="000F0E96">
        <w:instrText xml:space="preserve"> ADDIN EN.CITE &lt;EndNote&gt;&lt;Cite AuthorYear="1"&gt;&lt;Author&gt;Compton&lt;/Author&gt;&lt;Year&gt;1989&lt;/Year&gt;&lt;RecNum&gt;328&lt;/RecNum&gt;&lt;DisplayText&gt;Compton and Coward (1989)&lt;/DisplayText&gt;&lt;record&gt;&lt;rec-number&gt;328&lt;/rec-number&gt;&lt;foreign-keys&gt;&lt;key app="EN" db-id="date2dst4vae0pe955kxa2tla9pzrxp00p95" timestamp="1704920150"&gt;328&lt;/key&gt;&lt;/foreign-keys&gt;&lt;ref-type name="Book"&gt;6&lt;/ref-type&gt;&lt;contributors&gt;&lt;authors&gt;&lt;author&gt;Compton, Paul &lt;/author&gt;&lt;author&gt;Coward, John&lt;/author&gt;&lt;/authors&gt;&lt;/contributors&gt;&lt;titles&gt;&lt;title&gt;Fertility and family planning in Northern Ireland&lt;/title&gt;&lt;/titles&gt;&lt;dates&gt;&lt;year&gt;1989&lt;/year&gt;&lt;/dates&gt;&lt;pub-location&gt;Aldershot&lt;/pub-location&gt;&lt;publisher&gt;Avebury&lt;/publisher&gt;&lt;urls&gt;&lt;/urls&gt;&lt;/record&gt;&lt;/Cite&gt;&lt;/EndNote&gt;</w:instrText>
      </w:r>
      <w:r w:rsidR="000F0E96">
        <w:fldChar w:fldCharType="separate"/>
      </w:r>
      <w:r w:rsidR="000F0E96">
        <w:rPr>
          <w:noProof/>
        </w:rPr>
        <w:t>Compton and Coward (1989)</w:t>
      </w:r>
      <w:r w:rsidR="000F0E96">
        <w:fldChar w:fldCharType="end"/>
      </w:r>
      <w:r w:rsidR="27526C43">
        <w:t xml:space="preserve"> draw parallels between the </w:t>
      </w:r>
      <w:r w:rsidR="00C26A1D">
        <w:t xml:space="preserve">Northern Irish </w:t>
      </w:r>
      <w:r w:rsidR="27526C43">
        <w:t>Catholic fertility practices and pre-</w:t>
      </w:r>
      <w:r w:rsidR="00794230">
        <w:t xml:space="preserve">demographic </w:t>
      </w:r>
      <w:r w:rsidR="27526C43">
        <w:t>transition Irish fertility,</w:t>
      </w:r>
      <w:r w:rsidR="00E45D76">
        <w:t xml:space="preserve"> which is</w:t>
      </w:r>
      <w:r w:rsidR="27526C43">
        <w:t xml:space="preserve"> characterized by less than universal marriage but high marital fertility, and </w:t>
      </w:r>
      <w:r w:rsidR="00E45D76">
        <w:t xml:space="preserve">also </w:t>
      </w:r>
      <w:r w:rsidR="27526C43">
        <w:t xml:space="preserve">between </w:t>
      </w:r>
      <w:r w:rsidR="00C26A1D">
        <w:t xml:space="preserve">Northern Irish </w:t>
      </w:r>
      <w:r w:rsidR="27526C43">
        <w:t xml:space="preserve">Protestant fertility and </w:t>
      </w:r>
      <w:r w:rsidR="00901E8A">
        <w:t xml:space="preserve">the </w:t>
      </w:r>
      <w:r w:rsidR="27526C43">
        <w:t xml:space="preserve">British regime, </w:t>
      </w:r>
      <w:r w:rsidR="000F0E96">
        <w:t xml:space="preserve">which is </w:t>
      </w:r>
      <w:r w:rsidR="27526C43">
        <w:t xml:space="preserve">characterized by nearly universal marriage but lower, planned fertility. </w:t>
      </w:r>
      <w:r w:rsidR="49F9D10F">
        <w:t xml:space="preserve">While the gap between Catholic and Protestant fertility has narrowed in other European countries and the US, it has persisted in Northern Ireland </w:t>
      </w:r>
      <w:r w:rsidR="00810A19">
        <w:t>due</w:t>
      </w:r>
      <w:r w:rsidR="00E45D76">
        <w:t xml:space="preserve"> to</w:t>
      </w:r>
      <w:r w:rsidR="00810A19">
        <w:t xml:space="preserve"> higher levels of religiosity, particularly among the medium educated </w:t>
      </w:r>
      <w:r w:rsidR="00810A19">
        <w:fldChar w:fldCharType="begin"/>
      </w:r>
      <w:r w:rsidR="00810A19">
        <w:instrText xml:space="preserve"> ADDIN EN.CITE &lt;EndNote&gt;&lt;Cite&gt;&lt;Author&gt;McGregor&lt;/Author&gt;&lt;Year&gt;2016&lt;/Year&gt;&lt;RecNum&gt;20&lt;/RecNum&gt;&lt;DisplayText&gt;(McGregor and McKee 2016)&lt;/DisplayText&gt;&lt;record&gt;&lt;rec-number&gt;20&lt;/rec-number&gt;&lt;foreign-keys&gt;&lt;key app="EN" db-id="date2dst4vae0pe955kxa2tla9pzrxp00p95" timestamp="1592990911"&gt;20&lt;/key&gt;&lt;/foreign-keys&gt;&lt;ref-type name="Journal Article"&gt;17&lt;/ref-type&gt;&lt;contributors&gt;&lt;authors&gt;&lt;author&gt;McGregor, Patrick&lt;/author&gt;&lt;author&gt;McKee, Patricia&lt;/author&gt;&lt;/authors&gt;&lt;/contributors&gt;&lt;titles&gt;&lt;title&gt;Religion and Fertility in Contemporary Northern Ireland&lt;/title&gt;&lt;secondary-title&gt;European Journal of Population&lt;/secondary-title&gt;&lt;/titles&gt;&lt;periodical&gt;&lt;full-title&gt;European Journal of Population&lt;/full-title&gt;&lt;/periodical&gt;&lt;pages&gt;599-622&lt;/pages&gt;&lt;volume&gt;32&lt;/volume&gt;&lt;dates&gt;&lt;year&gt;2016&lt;/year&gt;&lt;/dates&gt;&lt;urls&gt;&lt;/urls&gt;&lt;/record&gt;&lt;/Cite&gt;&lt;/EndNote&gt;</w:instrText>
      </w:r>
      <w:r w:rsidR="00810A19">
        <w:fldChar w:fldCharType="separate"/>
      </w:r>
      <w:r w:rsidR="00810A19">
        <w:rPr>
          <w:noProof/>
        </w:rPr>
        <w:t>(McGregor and McKee 2016)</w:t>
      </w:r>
      <w:r w:rsidR="00810A19">
        <w:fldChar w:fldCharType="end"/>
      </w:r>
      <w:r w:rsidR="00810A19">
        <w:t xml:space="preserve">, </w:t>
      </w:r>
      <w:r w:rsidR="49F9D10F">
        <w:t xml:space="preserve">and </w:t>
      </w:r>
      <w:r w:rsidR="003F2706">
        <w:t xml:space="preserve">because </w:t>
      </w:r>
      <w:r w:rsidR="49F9D10F">
        <w:t xml:space="preserve">religion </w:t>
      </w:r>
      <w:r w:rsidR="00875C98">
        <w:t xml:space="preserve">acts as </w:t>
      </w:r>
      <w:r w:rsidR="00837940">
        <w:t>a</w:t>
      </w:r>
      <w:r w:rsidR="00842F4D">
        <w:t xml:space="preserve"> larger marker of national</w:t>
      </w:r>
      <w:r w:rsidR="49F9D10F">
        <w:t xml:space="preserve"> identity, with Catholics identifying more as Irish and Protestants</w:t>
      </w:r>
      <w:r w:rsidR="0001666E">
        <w:t xml:space="preserve"> more</w:t>
      </w:r>
      <w:r w:rsidR="49F9D10F">
        <w:t xml:space="preserve"> as British.</w:t>
      </w:r>
      <w:r w:rsidR="00A82B94">
        <w:t xml:space="preserve">  T</w:t>
      </w:r>
      <w:r w:rsidR="760AA6FE">
        <w:t xml:space="preserve">he strong and persistent influence of religion, which has been shown to be linked to fertility preferences </w:t>
      </w:r>
      <w:r w:rsidR="00810A19">
        <w:fldChar w:fldCharType="begin">
          <w:fldData xml:space="preserve">PEVuZE5vdGU+PENpdGU+PEF1dGhvcj5Db21wdG9uPC9BdXRob3I+PFllYXI+MTk4OTwvWWVhcj48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</w:fldData>
        </w:fldChar>
      </w:r>
      <w:r w:rsidR="00810A19">
        <w:instrText xml:space="preserve"> ADDIN EN.CITE </w:instrText>
      </w:r>
      <w:r w:rsidR="00810A19">
        <w:fldChar w:fldCharType="begin">
          <w:fldData xml:space="preserve">PEVuZE5vdGU+PENpdGU+PEF1dGhvcj5Db21wdG9uPC9BdXRob3I+PFllYXI+MTk4OTwvWWVhcj48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</w:fldData>
        </w:fldChar>
      </w:r>
      <w:r w:rsidR="00810A19">
        <w:instrText xml:space="preserve"> ADDIN EN.CITE.DATA </w:instrText>
      </w:r>
      <w:r w:rsidR="00810A19">
        <w:fldChar w:fldCharType="end"/>
      </w:r>
      <w:r w:rsidR="00810A19">
        <w:fldChar w:fldCharType="separate"/>
      </w:r>
      <w:r w:rsidR="00810A19">
        <w:rPr>
          <w:noProof/>
        </w:rPr>
        <w:t>(Compton and Coward 1989, McGregor and McKee 2016, Peri-Rotem 2016)</w:t>
      </w:r>
      <w:r w:rsidR="00810A19">
        <w:fldChar w:fldCharType="end"/>
      </w:r>
      <w:r w:rsidR="00A82B94">
        <w:t>, has sustained consistently higher fertility in Northern Ireland, compared with the rest of the UK.</w:t>
      </w:r>
      <w:r w:rsidR="7A151F05" w:rsidRPr="6626A037">
        <w:rPr>
          <w:lang w:val="en-GB"/>
        </w:rPr>
        <w:t xml:space="preserve"> </w:t>
      </w:r>
    </w:p>
    <w:p w14:paraId="60E7BA42" w14:textId="53505139" w:rsidR="00912D99" w:rsidRPr="00B733DB" w:rsidRDefault="00CE3700" w:rsidP="00912D99">
      <w:pPr>
        <w:spacing w:line="480" w:lineRule="auto"/>
        <w:rPr>
          <w:rFonts w:cstheme="minorHAnsi"/>
          <w:lang w:val="en-GB"/>
        </w:rPr>
      </w:pPr>
      <w:r>
        <w:rPr>
          <w:lang w:val="en-GB"/>
        </w:rPr>
        <w:t xml:space="preserve">The impact of </w:t>
      </w:r>
      <w:r w:rsidR="00DE6D1E">
        <w:rPr>
          <w:lang w:val="en-GB"/>
        </w:rPr>
        <w:t xml:space="preserve">international </w:t>
      </w:r>
      <w:r>
        <w:rPr>
          <w:lang w:val="en-GB"/>
        </w:rPr>
        <w:t xml:space="preserve">migration on fertility depends on both the level of migration, </w:t>
      </w:r>
      <w:r w:rsidR="00706433">
        <w:rPr>
          <w:lang w:val="en-GB"/>
        </w:rPr>
        <w:t xml:space="preserve">how distinct the fertility behavior of migrants is compared </w:t>
      </w:r>
      <w:r w:rsidR="009F3B1A">
        <w:rPr>
          <w:lang w:val="en-GB"/>
        </w:rPr>
        <w:t xml:space="preserve">to </w:t>
      </w:r>
      <w:r w:rsidR="00706433">
        <w:rPr>
          <w:lang w:val="en-GB"/>
        </w:rPr>
        <w:t>the ho</w:t>
      </w:r>
      <w:r w:rsidR="009F3B1A">
        <w:rPr>
          <w:lang w:val="en-GB"/>
        </w:rPr>
        <w:t>s</w:t>
      </w:r>
      <w:r w:rsidR="00706433">
        <w:rPr>
          <w:lang w:val="en-GB"/>
        </w:rPr>
        <w:t xml:space="preserve">t population, and </w:t>
      </w:r>
      <w:r w:rsidR="006D3EA0">
        <w:rPr>
          <w:lang w:val="en-GB"/>
        </w:rPr>
        <w:t xml:space="preserve">whether </w:t>
      </w:r>
      <w:r w:rsidR="00E80703">
        <w:rPr>
          <w:lang w:val="en-GB"/>
        </w:rPr>
        <w:t>the</w:t>
      </w:r>
      <w:r w:rsidR="006D3EA0">
        <w:rPr>
          <w:lang w:val="en-GB"/>
        </w:rPr>
        <w:t xml:space="preserve"> childbearing patterns</w:t>
      </w:r>
      <w:r w:rsidR="00E80703">
        <w:rPr>
          <w:lang w:val="en-GB"/>
        </w:rPr>
        <w:t xml:space="preserve"> of </w:t>
      </w:r>
      <w:r w:rsidR="001B1BDE">
        <w:rPr>
          <w:lang w:val="en-GB"/>
        </w:rPr>
        <w:t xml:space="preserve">the descendants of immigrants </w:t>
      </w:r>
      <w:r w:rsidR="00E80703">
        <w:rPr>
          <w:lang w:val="en-GB"/>
        </w:rPr>
        <w:t xml:space="preserve">converges to </w:t>
      </w:r>
      <w:r w:rsidR="00D079B1">
        <w:rPr>
          <w:lang w:val="en-GB"/>
        </w:rPr>
        <w:t xml:space="preserve">non-migrants </w:t>
      </w:r>
      <w:r w:rsidR="00E80703">
        <w:rPr>
          <w:lang w:val="en-GB"/>
        </w:rPr>
        <w:t>in the host country</w:t>
      </w:r>
      <w:r>
        <w:rPr>
          <w:lang w:val="en-GB"/>
        </w:rPr>
        <w:t xml:space="preserve">. </w:t>
      </w:r>
      <w:r w:rsidRPr="00B733DB">
        <w:rPr>
          <w:rFonts w:cstheme="minorHAnsi"/>
          <w:lang w:val="en-GB"/>
        </w:rPr>
        <w:t>Th</w:t>
      </w:r>
      <w:r w:rsidR="00875C98">
        <w:rPr>
          <w:rFonts w:cstheme="minorHAnsi"/>
          <w:lang w:val="en-GB"/>
        </w:rPr>
        <w:t xml:space="preserve">ere are </w:t>
      </w:r>
      <w:r w:rsidRPr="00B733DB">
        <w:rPr>
          <w:rFonts w:cstheme="minorHAnsi"/>
          <w:lang w:val="en-GB"/>
        </w:rPr>
        <w:t>higher levels of migration to England and Wales</w:t>
      </w:r>
      <w:r w:rsidR="00283401" w:rsidRPr="00B733DB">
        <w:rPr>
          <w:rFonts w:cstheme="minorHAnsi"/>
          <w:lang w:val="en-GB"/>
        </w:rPr>
        <w:t xml:space="preserve"> than other countries of the UK</w:t>
      </w:r>
      <w:r w:rsidR="003D6142">
        <w:rPr>
          <w:rFonts w:cstheme="minorHAnsi"/>
          <w:lang w:val="en-GB"/>
        </w:rPr>
        <w:t xml:space="preserve">  and i</w:t>
      </w:r>
      <w:r w:rsidR="00283401" w:rsidRPr="00B733DB">
        <w:rPr>
          <w:rFonts w:cstheme="minorHAnsi"/>
          <w:lang w:val="en-GB"/>
        </w:rPr>
        <w:t>nternational migrants to England and Wales</w:t>
      </w:r>
      <w:r w:rsidR="00B344F5" w:rsidRPr="00B733DB">
        <w:rPr>
          <w:rFonts w:cstheme="minorHAnsi"/>
          <w:lang w:val="en-GB"/>
        </w:rPr>
        <w:t xml:space="preserve">, </w:t>
      </w:r>
      <w:r w:rsidR="009E249D">
        <w:rPr>
          <w:rFonts w:cstheme="minorHAnsi"/>
          <w:lang w:val="en-GB"/>
        </w:rPr>
        <w:t xml:space="preserve">particularly those </w:t>
      </w:r>
      <w:r w:rsidR="00B344F5" w:rsidRPr="00B733DB">
        <w:rPr>
          <w:rFonts w:cstheme="minorHAnsi"/>
          <w:lang w:val="en-GB"/>
        </w:rPr>
        <w:t>from Pakistan and Bangladesh,</w:t>
      </w:r>
      <w:r w:rsidR="00283401" w:rsidRPr="00B733DB">
        <w:rPr>
          <w:rFonts w:cstheme="minorHAnsi"/>
          <w:lang w:val="en-GB"/>
        </w:rPr>
        <w:t xml:space="preserve"> tend to have </w:t>
      </w:r>
      <w:r w:rsidR="00912D99" w:rsidRPr="00B733DB">
        <w:rPr>
          <w:rFonts w:cstheme="minorHAnsi"/>
          <w:lang w:val="en-GB"/>
        </w:rPr>
        <w:t xml:space="preserve">higher fertility than UK-born people </w:t>
      </w:r>
      <w:r w:rsidR="00693B4E">
        <w:rPr>
          <w:rFonts w:cstheme="minorHAnsi"/>
          <w:lang w:val="en-GB"/>
        </w:rPr>
        <w:fldChar w:fldCharType="begin"/>
      </w:r>
      <w:r w:rsidR="00693B4E">
        <w:rPr>
          <w:rFonts w:cstheme="minorHAnsi"/>
          <w:lang w:val="en-GB"/>
        </w:rPr>
        <w:instrText xml:space="preserve"> ADDIN EN.CITE &lt;EndNote&gt;&lt;Cite&gt;&lt;Author&gt;Coleman&lt;/Author&gt;&lt;Year&gt;2010&lt;/Year&gt;&lt;RecNum&gt;188&lt;/RecNum&gt;&lt;DisplayText&gt;(Coleman and Dubuc 2010)&lt;/DisplayText&gt;&lt;record&gt;&lt;rec-number&gt;188&lt;/rec-number&gt;&lt;foreign-keys&gt;&lt;key app="EN" db-id="date2dst4vae0pe955kxa2tla9pzrxp00p95" timestamp="1665058541"&gt;188&lt;/key&gt;&lt;/foreign-keys&gt;&lt;ref-type name="Journal Article"&gt;17&lt;/ref-type&gt;&lt;contributors&gt;&lt;authors&gt;&lt;author&gt;Coleman, D. A.&lt;/author&gt;&lt;author&gt;Dubuc, S.&lt;/author&gt;&lt;/authors&gt;&lt;/contributors&gt;&lt;titles&gt;&lt;title&gt;The fertility of ethnic minorities in the UK, 1960s–2006&lt;/title&gt;&lt;secondary-title&gt;Population Studies&lt;/secondary-title&gt;&lt;/titles&gt;&lt;periodical&gt;&lt;full-title&gt;Population Studies&lt;/full-title&gt;&lt;/periodical&gt;&lt;pages&gt;19-41&lt;/pages&gt;&lt;volume&gt;64&lt;/volume&gt;&lt;number&gt;1&lt;/number&gt;&lt;dates&gt;&lt;year&gt;2010&lt;/year&gt;&lt;pub-dates&gt;&lt;date&gt;2010/03/01&lt;/date&gt;&lt;/pub-dates&gt;&lt;/dates&gt;&lt;publisher&gt;Routledge&lt;/publisher&gt;&lt;isbn&gt;0032-4728&lt;/isbn&gt;&lt;urls&gt;&lt;related-urls&gt;&lt;url&gt;https://doi.org/10.1080/00324720903391201&lt;/url&gt;&lt;/related-urls&gt;&lt;/urls&gt;&lt;electronic-resource-num&gt;10.1080/00324720903391201&lt;/electronic-resource-num&gt;&lt;/record&gt;&lt;/Cite&gt;&lt;/EndNote&gt;</w:instrText>
      </w:r>
      <w:r w:rsidR="00693B4E">
        <w:rPr>
          <w:rFonts w:cstheme="minorHAnsi"/>
          <w:lang w:val="en-GB"/>
        </w:rPr>
        <w:fldChar w:fldCharType="separate"/>
      </w:r>
      <w:r w:rsidR="00693B4E">
        <w:rPr>
          <w:rFonts w:cstheme="minorHAnsi"/>
          <w:noProof/>
          <w:lang w:val="en-GB"/>
        </w:rPr>
        <w:t>(Coleman and Dubuc 2010)</w:t>
      </w:r>
      <w:r w:rsidR="00693B4E">
        <w:rPr>
          <w:rFonts w:cstheme="minorHAnsi"/>
          <w:lang w:val="en-GB"/>
        </w:rPr>
        <w:fldChar w:fldCharType="end"/>
      </w:r>
      <w:r w:rsidR="000E0184" w:rsidRPr="00B733DB">
        <w:rPr>
          <w:rFonts w:cstheme="minorHAnsi"/>
          <w:lang w:val="en-GB"/>
        </w:rPr>
        <w:t xml:space="preserve">. </w:t>
      </w:r>
      <w:r w:rsidR="00985195" w:rsidRPr="00B733DB">
        <w:rPr>
          <w:rFonts w:cstheme="minorHAnsi"/>
          <w:lang w:val="en-GB"/>
        </w:rPr>
        <w:t xml:space="preserve">Migrants from Europe </w:t>
      </w:r>
      <w:r w:rsidR="00E5493B" w:rsidRPr="00B733DB">
        <w:rPr>
          <w:rFonts w:cstheme="minorHAnsi"/>
          <w:lang w:val="en-GB"/>
        </w:rPr>
        <w:t xml:space="preserve">(who dominate migration streams to Scotland) </w:t>
      </w:r>
      <w:r w:rsidR="00985195" w:rsidRPr="00B733DB">
        <w:rPr>
          <w:rFonts w:cstheme="minorHAnsi"/>
          <w:lang w:val="en-GB"/>
        </w:rPr>
        <w:t>tend to have lower fertility rates</w:t>
      </w:r>
      <w:r w:rsidR="00D24EAF" w:rsidRPr="00B733DB">
        <w:rPr>
          <w:rFonts w:cstheme="minorHAnsi"/>
          <w:lang w:val="en-GB"/>
        </w:rPr>
        <w:t xml:space="preserve"> than other migrant groups</w:t>
      </w:r>
      <w:r w:rsidR="00985195" w:rsidRPr="00B733DB">
        <w:rPr>
          <w:rFonts w:cstheme="minorHAnsi"/>
          <w:lang w:val="en-GB"/>
        </w:rPr>
        <w:t xml:space="preserve"> </w:t>
      </w:r>
      <w:r w:rsidR="004D7D25">
        <w:rPr>
          <w:rFonts w:cstheme="minorHAnsi"/>
          <w:lang w:val="en-GB"/>
        </w:rPr>
        <w:fldChar w:fldCharType="begin"/>
      </w:r>
      <w:r w:rsidR="004D7D25">
        <w:rPr>
          <w:rFonts w:cstheme="minorHAnsi"/>
          <w:lang w:val="en-GB"/>
        </w:rPr>
        <w:instrText xml:space="preserve"> ADDIN EN.CITE &lt;EndNote&gt;&lt;Cite&gt;&lt;Author&gt;Marczak&lt;/Author&gt;&lt;Year&gt;2018&lt;/Year&gt;&lt;RecNum&gt;373&lt;/RecNum&gt;&lt;DisplayText&gt;(Marczak, Sigle and Coast 2018)&lt;/DisplayText&gt;&lt;record&gt;&lt;rec-number&gt;373&lt;/rec-number&gt;&lt;foreign-keys&gt;&lt;key app="EN" db-id="date2dst4vae0pe955kxa2tla9pzrxp00p95" timestamp="1706889522"&gt;373&lt;/key&gt;&lt;/foreign-keys&gt;&lt;ref-type name="Journal Article"&gt;17&lt;/ref-type&gt;&lt;contributors&gt;&lt;authors&gt;&lt;author&gt;Marczak, Joanna&lt;/author&gt;&lt;author&gt;Sigle, Wendy&lt;/author&gt;&lt;author&gt;Coast, Ernestina&lt;/author&gt;&lt;/authors&gt;&lt;/contributors&gt;&lt;titles&gt;&lt;title&gt;When the grass is greener: Fertility decisions in a cross-national context&lt;/title&gt;&lt;secondary-title&gt;Population Studies&lt;/secondary-title&gt;&lt;/titles&gt;&lt;periodical&gt;&lt;full-title&gt;Population Studies&lt;/full-title&gt;&lt;/periodical&gt;&lt;pages&gt;201-216&lt;/pages&gt;&lt;volume&gt;72&lt;/volume&gt;&lt;number&gt;2&lt;/number&gt;&lt;dates&gt;&lt;year&gt;2018&lt;/year&gt;&lt;pub-dates&gt;&lt;date&gt;2018/05/04&lt;/date&gt;&lt;/pub-dates&gt;&lt;/dates&gt;&lt;publisher&gt;Routledge&lt;/publisher&gt;&lt;isbn&gt;0032-4728&lt;/isbn&gt;&lt;urls&gt;&lt;related-urls&gt;&lt;url&gt;https://doi.org/10.1080/00324728.2018.1439181&lt;/url&gt;&lt;/related-urls&gt;&lt;/urls&gt;&lt;electronic-resource-num&gt;10.1080/00324728.2018.1439181&lt;/electronic-resource-num&gt;&lt;/record&gt;&lt;/Cite&gt;&lt;/EndNote&gt;</w:instrText>
      </w:r>
      <w:r w:rsidR="004D7D25">
        <w:rPr>
          <w:rFonts w:cstheme="minorHAnsi"/>
          <w:lang w:val="en-GB"/>
        </w:rPr>
        <w:fldChar w:fldCharType="separate"/>
      </w:r>
      <w:r w:rsidR="004D7D25">
        <w:rPr>
          <w:rFonts w:cstheme="minorHAnsi"/>
          <w:noProof/>
          <w:lang w:val="en-GB"/>
        </w:rPr>
        <w:t>(Marczak, Sigle and Coast 2018)</w:t>
      </w:r>
      <w:r w:rsidR="004D7D25">
        <w:rPr>
          <w:rFonts w:cstheme="minorHAnsi"/>
          <w:lang w:val="en-GB"/>
        </w:rPr>
        <w:fldChar w:fldCharType="end"/>
      </w:r>
      <w:r w:rsidR="00D24EAF" w:rsidRPr="00D079B1">
        <w:rPr>
          <w:rFonts w:cstheme="minorHAnsi"/>
          <w:color w:val="222222"/>
          <w:shd w:val="clear" w:color="auto" w:fill="FFFFFF"/>
        </w:rPr>
        <w:t xml:space="preserve"> and thus do not contribute as much to overall levels of fertility.</w:t>
      </w:r>
      <w:r w:rsidR="00912D99" w:rsidRPr="00B733DB">
        <w:rPr>
          <w:rFonts w:cstheme="minorHAnsi"/>
          <w:lang w:val="en-GB"/>
        </w:rPr>
        <w:t xml:space="preserve"> </w:t>
      </w:r>
      <w:r w:rsidR="002548E1">
        <w:rPr>
          <w:rFonts w:cstheme="minorHAnsi"/>
          <w:lang w:val="en-GB"/>
        </w:rPr>
        <w:t>There are also persistent</w:t>
      </w:r>
      <w:r w:rsidR="00912D99" w:rsidRPr="00B733DB">
        <w:rPr>
          <w:rFonts w:cstheme="minorHAnsi"/>
          <w:lang w:val="en-GB"/>
        </w:rPr>
        <w:t xml:space="preserve"> differences in childbearing behavior</w:t>
      </w:r>
      <w:r w:rsidR="002548E1">
        <w:rPr>
          <w:rFonts w:cstheme="minorHAnsi"/>
          <w:lang w:val="en-GB"/>
        </w:rPr>
        <w:t>s</w:t>
      </w:r>
      <w:r w:rsidR="00912D99" w:rsidRPr="00B733DB">
        <w:rPr>
          <w:rFonts w:cstheme="minorHAnsi"/>
          <w:lang w:val="en-GB"/>
        </w:rPr>
        <w:t xml:space="preserve"> for </w:t>
      </w:r>
      <w:r w:rsidR="002548E1">
        <w:rPr>
          <w:rFonts w:cstheme="minorHAnsi"/>
          <w:lang w:val="en-GB"/>
        </w:rPr>
        <w:t xml:space="preserve">some </w:t>
      </w:r>
      <w:r w:rsidR="006353CC">
        <w:rPr>
          <w:rFonts w:cstheme="minorHAnsi"/>
          <w:lang w:val="en-GB"/>
        </w:rPr>
        <w:t>migrant</w:t>
      </w:r>
      <w:r w:rsidR="002548E1">
        <w:rPr>
          <w:rFonts w:cstheme="minorHAnsi"/>
          <w:lang w:val="en-GB"/>
        </w:rPr>
        <w:t xml:space="preserve"> groups, such as the Pakistani population who are likelier to proceed to higher order births</w:t>
      </w:r>
      <w:r w:rsidR="00946CBB">
        <w:rPr>
          <w:rFonts w:cstheme="minorHAnsi"/>
          <w:lang w:val="en-GB"/>
        </w:rPr>
        <w:t>, even across migrant generations</w:t>
      </w:r>
      <w:r w:rsidR="006353CC">
        <w:rPr>
          <w:rFonts w:cstheme="minorHAnsi"/>
          <w:lang w:val="en-GB"/>
        </w:rPr>
        <w:t xml:space="preserve"> </w:t>
      </w:r>
      <w:r w:rsidR="006353CC">
        <w:rPr>
          <w:rFonts w:cstheme="minorHAnsi"/>
          <w:lang w:val="en-GB"/>
        </w:rPr>
        <w:fldChar w:fldCharType="begin">
          <w:fldData xml:space="preserve">PEVuZE5vdGU+PENpdGU+PEF1dGhvcj5IYXJyaXNvbjwvQXV0aG9yPjxZZWFyPjIwMjM8L1llYXI+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</w:fldData>
        </w:fldChar>
      </w:r>
      <w:r w:rsidR="006353CC">
        <w:rPr>
          <w:rFonts w:cstheme="minorHAnsi"/>
          <w:lang w:val="en-GB"/>
        </w:rPr>
        <w:instrText xml:space="preserve"> ADDIN EN.CITE </w:instrText>
      </w:r>
      <w:r w:rsidR="006353CC">
        <w:rPr>
          <w:rFonts w:cstheme="minorHAnsi"/>
          <w:lang w:val="en-GB"/>
        </w:rPr>
        <w:fldChar w:fldCharType="begin">
          <w:fldData xml:space="preserve">PEVuZE5vdGU+PENpdGU+PEF1dGhvcj5IYXJyaXNvbjwvQXV0aG9yPjxZZWFyPjIwMjM8L1llYXI+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</w:fldData>
        </w:fldChar>
      </w:r>
      <w:r w:rsidR="006353CC">
        <w:rPr>
          <w:rFonts w:cstheme="minorHAnsi"/>
          <w:lang w:val="en-GB"/>
        </w:rPr>
        <w:instrText xml:space="preserve"> ADDIN EN.CITE.DATA </w:instrText>
      </w:r>
      <w:r w:rsidR="006353CC">
        <w:rPr>
          <w:rFonts w:cstheme="minorHAnsi"/>
          <w:lang w:val="en-GB"/>
        </w:rPr>
      </w:r>
      <w:r w:rsidR="006353CC">
        <w:rPr>
          <w:rFonts w:cstheme="minorHAnsi"/>
          <w:lang w:val="en-GB"/>
        </w:rPr>
        <w:fldChar w:fldCharType="end"/>
      </w:r>
      <w:r w:rsidR="006353CC">
        <w:rPr>
          <w:rFonts w:cstheme="minorHAnsi"/>
          <w:lang w:val="en-GB"/>
        </w:rPr>
      </w:r>
      <w:r w:rsidR="006353CC">
        <w:rPr>
          <w:rFonts w:cstheme="minorHAnsi"/>
          <w:lang w:val="en-GB"/>
        </w:rPr>
        <w:fldChar w:fldCharType="separate"/>
      </w:r>
      <w:r w:rsidR="006353CC">
        <w:rPr>
          <w:rFonts w:cstheme="minorHAnsi"/>
          <w:noProof/>
          <w:lang w:val="en-GB"/>
        </w:rPr>
        <w:t>(Harrison, Kulu et al. 2023, Mikolai and Kulu 2023)</w:t>
      </w:r>
      <w:r w:rsidR="006353CC">
        <w:rPr>
          <w:rFonts w:cstheme="minorHAnsi"/>
          <w:lang w:val="en-GB"/>
        </w:rPr>
        <w:fldChar w:fldCharType="end"/>
      </w:r>
      <w:r w:rsidR="00912D99" w:rsidRPr="00B733DB">
        <w:rPr>
          <w:rFonts w:cstheme="minorHAnsi"/>
          <w:lang w:val="en-GB"/>
        </w:rPr>
        <w:t xml:space="preserve">. </w:t>
      </w:r>
      <w:r w:rsidR="00DC12EE" w:rsidRPr="00B733DB">
        <w:rPr>
          <w:rFonts w:cstheme="minorHAnsi"/>
          <w:lang w:val="en-GB"/>
        </w:rPr>
        <w:t>Thus, differential migration</w:t>
      </w:r>
      <w:r w:rsidR="00B733DB" w:rsidRPr="00B733DB">
        <w:rPr>
          <w:rFonts w:cstheme="minorHAnsi"/>
          <w:lang w:val="en-GB"/>
        </w:rPr>
        <w:t xml:space="preserve"> </w:t>
      </w:r>
      <w:r w:rsidR="00DC12EE" w:rsidRPr="00B733DB">
        <w:rPr>
          <w:rFonts w:cstheme="minorHAnsi"/>
          <w:lang w:val="en-GB"/>
        </w:rPr>
        <w:t>would tend to increase completed family sizes in England and Wales, and particularly the number of fourth and higher order births</w:t>
      </w:r>
      <w:r w:rsidR="00B733DB" w:rsidRPr="00B733DB">
        <w:rPr>
          <w:rFonts w:cstheme="minorHAnsi"/>
          <w:lang w:val="en-GB"/>
        </w:rPr>
        <w:t xml:space="preserve"> as compared to other regions of the UK</w:t>
      </w:r>
      <w:r w:rsidR="00DC12EE" w:rsidRPr="00B733DB">
        <w:rPr>
          <w:rFonts w:cstheme="minorHAnsi"/>
          <w:lang w:val="en-GB"/>
        </w:rPr>
        <w:t>.</w:t>
      </w:r>
    </w:p>
    <w:bookmarkEnd w:id="6"/>
    <w:p w14:paraId="76C0F8BC" w14:textId="56520B6D" w:rsidR="00F211EA" w:rsidRDefault="005B0BBC" w:rsidP="00091D4F">
      <w:pPr>
        <w:spacing w:line="480" w:lineRule="auto"/>
        <w:rPr>
          <w:rStyle w:val="Heading2Char"/>
        </w:rPr>
      </w:pPr>
      <w:r>
        <w:rPr>
          <w:rStyle w:val="Heading2Char"/>
        </w:rPr>
        <w:t xml:space="preserve">4. </w:t>
      </w:r>
      <w:r w:rsidR="00DE36F7" w:rsidRPr="005B5671">
        <w:rPr>
          <w:rStyle w:val="Heading2Char"/>
        </w:rPr>
        <w:t>Research Questions</w:t>
      </w:r>
    </w:p>
    <w:p w14:paraId="575BDD3A" w14:textId="514BE9E3" w:rsidR="00F211EA" w:rsidRPr="00F211EA" w:rsidRDefault="00F211EA" w:rsidP="00091D4F">
      <w:pPr>
        <w:spacing w:line="480" w:lineRule="auto"/>
      </w:pPr>
      <w:r>
        <w:t xml:space="preserve">1. </w:t>
      </w:r>
      <w:r w:rsidRPr="00F211EA">
        <w:t xml:space="preserve">Are there differences in </w:t>
      </w:r>
      <w:r w:rsidR="002B39FF">
        <w:t xml:space="preserve">average family size, </w:t>
      </w:r>
      <w:r w:rsidR="00A309DF">
        <w:t xml:space="preserve">mean age at first birth, </w:t>
      </w:r>
      <w:r w:rsidR="004E724F">
        <w:t xml:space="preserve">childlessness, </w:t>
      </w:r>
      <w:r w:rsidR="00A309DF">
        <w:t>and family size distributions a</w:t>
      </w:r>
      <w:r w:rsidRPr="00F211EA">
        <w:t>cross the countries of the UK and have they changed across cohorts in the same way?</w:t>
      </w:r>
      <w:r w:rsidR="00AE2441">
        <w:t xml:space="preserve"> </w:t>
      </w:r>
    </w:p>
    <w:p w14:paraId="7E7FD05E" w14:textId="410C45A8" w:rsidR="005B5671" w:rsidRDefault="00AE2441" w:rsidP="00091D4F">
      <w:pPr>
        <w:spacing w:line="480" w:lineRule="auto"/>
      </w:pPr>
      <w:r>
        <w:t xml:space="preserve">2. </w:t>
      </w:r>
      <w:r w:rsidR="00F211EA" w:rsidRPr="00F211EA">
        <w:t xml:space="preserve">Have </w:t>
      </w:r>
      <w:r>
        <w:t xml:space="preserve">the </w:t>
      </w:r>
      <w:r w:rsidR="00A309DF">
        <w:t>educational</w:t>
      </w:r>
      <w:r w:rsidR="00A309DF" w:rsidRPr="00F211EA">
        <w:t xml:space="preserve"> </w:t>
      </w:r>
      <w:r w:rsidR="00F211EA" w:rsidRPr="00F211EA">
        <w:t xml:space="preserve">patterns of </w:t>
      </w:r>
      <w:r>
        <w:t xml:space="preserve">fertility changed across UK cohorts </w:t>
      </w:r>
      <w:r w:rsidR="00F211EA" w:rsidRPr="00F211EA">
        <w:t xml:space="preserve">and does this differ by </w:t>
      </w:r>
      <w:r w:rsidR="00A309DF">
        <w:t>country</w:t>
      </w:r>
      <w:r w:rsidR="00F211EA" w:rsidRPr="00F211EA">
        <w:t>?</w:t>
      </w:r>
    </w:p>
    <w:p w14:paraId="6959440D" w14:textId="3657D8B2" w:rsidR="00DE36F7" w:rsidRPr="00CF4CE4" w:rsidRDefault="00DE36F7" w:rsidP="00E43CA9">
      <w:pPr>
        <w:pStyle w:val="Heading2"/>
        <w:rPr>
          <w:shd w:val="clear" w:color="auto" w:fill="FFFFFF"/>
        </w:rPr>
      </w:pPr>
      <w:r w:rsidRPr="00CF4CE4">
        <w:rPr>
          <w:shd w:val="clear" w:color="auto" w:fill="FFFFFF"/>
        </w:rPr>
        <w:t xml:space="preserve">Data and </w:t>
      </w:r>
      <w:r w:rsidR="00577FF7">
        <w:rPr>
          <w:shd w:val="clear" w:color="auto" w:fill="FFFFFF"/>
        </w:rPr>
        <w:t>m</w:t>
      </w:r>
      <w:r w:rsidRPr="00CF4CE4">
        <w:rPr>
          <w:shd w:val="clear" w:color="auto" w:fill="FFFFFF"/>
        </w:rPr>
        <w:t>ethods</w:t>
      </w:r>
    </w:p>
    <w:p w14:paraId="20948A9B" w14:textId="2EF9CFBD" w:rsidR="00DE36F7" w:rsidRDefault="00DE36F7" w:rsidP="00091D4F">
      <w:pPr>
        <w:spacing w:line="480" w:lineRule="auto"/>
      </w:pPr>
      <w:r w:rsidRPr="00CF4CE4">
        <w:t>We use</w:t>
      </w:r>
      <w:r w:rsidR="00986102">
        <w:t>d</w:t>
      </w:r>
      <w:r w:rsidRPr="00CF4CE4">
        <w:t xml:space="preserve"> linked administrative data from the O</w:t>
      </w:r>
      <w:r w:rsidR="004D7D25">
        <w:t xml:space="preserve">ffice for </w:t>
      </w:r>
      <w:r w:rsidRPr="00CF4CE4">
        <w:t>N</w:t>
      </w:r>
      <w:r w:rsidR="004D7D25">
        <w:t xml:space="preserve">ational </w:t>
      </w:r>
      <w:r w:rsidRPr="00CF4CE4">
        <w:t>S</w:t>
      </w:r>
      <w:r w:rsidR="004D7D25">
        <w:t>tatistics</w:t>
      </w:r>
      <w:r w:rsidRPr="00CF4CE4">
        <w:t xml:space="preserve"> Longitudinal Study (</w:t>
      </w:r>
      <w:r w:rsidR="004D7D25">
        <w:t xml:space="preserve">ONS </w:t>
      </w:r>
      <w:r w:rsidRPr="00CF4CE4">
        <w:t xml:space="preserve">LS), the Scottish Longitudinal Study (SLS), and the Northern Ireland Longitudinal Study (NILS). </w:t>
      </w:r>
      <w:r w:rsidR="00223C6C">
        <w:t>T</w:t>
      </w:r>
      <w:r w:rsidR="00AF2DE9">
        <w:t>he latest data</w:t>
      </w:r>
      <w:r w:rsidR="00223C6C">
        <w:t xml:space="preserve"> available for all three datasets were </w:t>
      </w:r>
      <w:r w:rsidR="00AF2DE9">
        <w:t xml:space="preserve">the 2011 censuses and 2017 vital events data. </w:t>
      </w:r>
      <w:r w:rsidRPr="00CF4CE4">
        <w:t xml:space="preserve">The ONS LS was initiated in 1971 and contains linked census and vital events data on a 1 percent sample of the population of England and Wales </w:t>
      </w:r>
      <w:r w:rsidR="006711E9">
        <w:t xml:space="preserve">and </w:t>
      </w:r>
      <w:r w:rsidRPr="00CF4CE4">
        <w:t>currently</w:t>
      </w:r>
      <w:r w:rsidR="006711E9">
        <w:t xml:space="preserve"> contains</w:t>
      </w:r>
      <w:r w:rsidRPr="00CF4CE4">
        <w:t xml:space="preserve"> more than 1 million records</w:t>
      </w:r>
      <w:r w:rsidR="00F94833">
        <w:t xml:space="preserve"> (ONS LS website)</w:t>
      </w:r>
      <w:r w:rsidRPr="00CF4CE4">
        <w:t>.</w:t>
      </w:r>
      <w:r w:rsidR="00AF2DE9">
        <w:t xml:space="preserve"> </w:t>
      </w:r>
      <w:r w:rsidRPr="00CF4CE4">
        <w:t xml:space="preserve">The dataset is </w:t>
      </w:r>
      <w:r w:rsidR="006711E9">
        <w:t xml:space="preserve">advantageous </w:t>
      </w:r>
      <w:r w:rsidRPr="00CF4CE4">
        <w:t xml:space="preserve">for fertility research as it contains full fertility histories for women who entered the study in 1971 </w:t>
      </w:r>
      <w:r w:rsidR="00CF5805">
        <w:t xml:space="preserve">at age 15, </w:t>
      </w:r>
      <w:r w:rsidRPr="00CF4CE4">
        <w:t xml:space="preserve">and </w:t>
      </w:r>
      <w:r w:rsidR="00CF5805">
        <w:t xml:space="preserve">for </w:t>
      </w:r>
      <w:r w:rsidRPr="00CF4CE4">
        <w:t>those who became 15 in subsequent years, as well as key demographic characteristics, including educational attainment</w:t>
      </w:r>
      <w:r w:rsidR="006711E9">
        <w:t xml:space="preserve"> from census records</w:t>
      </w:r>
      <w:r w:rsidRPr="00CF4CE4">
        <w:t xml:space="preserve">. The </w:t>
      </w:r>
      <w:r w:rsidR="000B2A36">
        <w:t xml:space="preserve">ONS </w:t>
      </w:r>
      <w:r w:rsidRPr="00CF4CE4">
        <w:t>LS thus allows us to c</w:t>
      </w:r>
      <w:r w:rsidR="003F35F6">
        <w:t xml:space="preserve">onstruct full fertility histories </w:t>
      </w:r>
      <w:r w:rsidR="003B6FA7">
        <w:t>s</w:t>
      </w:r>
      <w:r w:rsidR="00BC4659">
        <w:t>tandardized</w:t>
      </w:r>
      <w:r w:rsidRPr="00CF4CE4">
        <w:t xml:space="preserve"> for education starting from the 1956 cohort (i.e</w:t>
      </w:r>
      <w:r w:rsidR="00A1586C">
        <w:t>.</w:t>
      </w:r>
      <w:r w:rsidRPr="00CF4CE4">
        <w:t xml:space="preserve"> study members who were 15 in 1971)</w:t>
      </w:r>
      <w:r w:rsidR="00AF2DE9">
        <w:t>, up until the 1978 birth cohort</w:t>
      </w:r>
      <w:r w:rsidRPr="00CF4CE4">
        <w:t xml:space="preserve">.  </w:t>
      </w:r>
    </w:p>
    <w:p w14:paraId="7F4FED29" w14:textId="4EAC9970" w:rsidR="005028C3" w:rsidRPr="00CF4CE4" w:rsidRDefault="00DE36F7" w:rsidP="00091D4F">
      <w:pPr>
        <w:spacing w:line="480" w:lineRule="auto"/>
      </w:pPr>
      <w:r w:rsidRPr="00CF4CE4">
        <w:t xml:space="preserve">The SLS was initiated in 1991 by </w:t>
      </w:r>
      <w:r w:rsidR="004D7D25" w:rsidRPr="004D7D25">
        <w:t>National Records of Scotland</w:t>
      </w:r>
      <w:r w:rsidR="004D7D25" w:rsidRPr="009E39B1">
        <w:rPr>
          <w:i/>
          <w:iCs/>
        </w:rPr>
        <w:t xml:space="preserve"> </w:t>
      </w:r>
      <w:r w:rsidR="004D7D25">
        <w:t>(NRS)</w:t>
      </w:r>
      <w:r w:rsidRPr="00CF4CE4">
        <w:t xml:space="preserve"> and contains linked census and vital events data on a 5</w:t>
      </w:r>
      <w:r w:rsidR="00174BCB">
        <w:t>.3</w:t>
      </w:r>
      <w:r w:rsidRPr="00CF4CE4">
        <w:t xml:space="preserve"> percent sample of the population of Scotland</w:t>
      </w:r>
      <w:r>
        <w:t xml:space="preserve"> </w:t>
      </w:r>
      <w:r w:rsidR="006711E9">
        <w:t xml:space="preserve">and </w:t>
      </w:r>
      <w:r w:rsidRPr="00CF4CE4">
        <w:t xml:space="preserve">currently </w:t>
      </w:r>
      <w:r w:rsidR="006711E9">
        <w:t xml:space="preserve">contains </w:t>
      </w:r>
      <w:r w:rsidRPr="00CF4CE4">
        <w:t>more than 250,000 individuals</w:t>
      </w:r>
      <w:r w:rsidR="00F94833">
        <w:t xml:space="preserve"> (SLS Website)</w:t>
      </w:r>
      <w:r w:rsidRPr="00CF4CE4">
        <w:t>.</w:t>
      </w:r>
      <w:r w:rsidR="00062B0B">
        <w:t xml:space="preserve"> </w:t>
      </w:r>
      <w:r w:rsidRPr="00CF4CE4">
        <w:t>The datasets allow the construction of fertility histories for women who entered the study in 1991 and for those who became 16 in subsequent years.</w:t>
      </w:r>
      <w:r w:rsidR="00062B0B">
        <w:t xml:space="preserve"> </w:t>
      </w:r>
      <w:r w:rsidR="005028C3">
        <w:t>Because the SLS was initiated 20 years after the ONS LS, t</w:t>
      </w:r>
      <w:r>
        <w:t>o match the cohorts analyzed using the ONS LS, we use</w:t>
      </w:r>
      <w:r w:rsidR="005028C3">
        <w:t>d</w:t>
      </w:r>
      <w:r>
        <w:t xml:space="preserve"> the Own Child Method </w:t>
      </w:r>
      <w:r w:rsidR="004345F6">
        <w:t>to establish the parity of women in the sample at 1991. This was made possible using the household grid available as part of the SLS. As the oldest cohort were aged 35 in 1991</w:t>
      </w:r>
      <w:r w:rsidR="00E60501">
        <w:t xml:space="preserve"> (1956 birth cohort)</w:t>
      </w:r>
      <w:r w:rsidR="004345F6">
        <w:t>, we assumed that all children born to these women were still living in the same household as their mothers. We included children listed as son/daughter of sample members when constructing birth histories and excluded stepchildren. Dates of birth for the children living in households of sample members allowed us to assign birth order to each child. The births to women in the sample that occur</w:t>
      </w:r>
      <w:r w:rsidR="009B738C">
        <w:t>r</w:t>
      </w:r>
      <w:r w:rsidR="004345F6">
        <w:t xml:space="preserve">ed from 1991 onwards were linked to the SLS as vital events. This allowed us to create continuous birth histories for sample members who were present in the 1991 census onwards. </w:t>
      </w:r>
    </w:p>
    <w:p w14:paraId="01A33B4A" w14:textId="529AC105" w:rsidR="00DE36F7" w:rsidRDefault="00DE36F7" w:rsidP="00091D4F">
      <w:pPr>
        <w:spacing w:line="480" w:lineRule="auto"/>
      </w:pPr>
      <w:r w:rsidRPr="00CF4CE4">
        <w:t xml:space="preserve">The NILS was initiated in 2001 by </w:t>
      </w:r>
      <w:r w:rsidR="00275061">
        <w:t xml:space="preserve">Northern Ireland Statistics and Research Agency </w:t>
      </w:r>
      <w:r w:rsidR="00062B0B">
        <w:t xml:space="preserve">(NISRA) </w:t>
      </w:r>
      <w:r w:rsidRPr="00CF4CE4">
        <w:t>and contains Health Registration Card data linked to census</w:t>
      </w:r>
      <w:r>
        <w:t xml:space="preserve"> data</w:t>
      </w:r>
      <w:r w:rsidRPr="00CF4CE4">
        <w:t xml:space="preserve">, vital events, and </w:t>
      </w:r>
      <w:r w:rsidR="00BC1B51">
        <w:t>m</w:t>
      </w:r>
      <w:r w:rsidRPr="00CF4CE4">
        <w:t xml:space="preserve">igration and </w:t>
      </w:r>
      <w:r w:rsidR="00E60501">
        <w:t>p</w:t>
      </w:r>
      <w:r w:rsidRPr="00CF4CE4">
        <w:t>roperty data on a 28 percent sample of the population of Northern Ireland</w:t>
      </w:r>
      <w:r w:rsidR="00267150">
        <w:t xml:space="preserve">, </w:t>
      </w:r>
      <w:r w:rsidRPr="00CF4CE4">
        <w:t>approximately 500,000 individuals</w:t>
      </w:r>
      <w:r w:rsidR="00F94833">
        <w:t xml:space="preserve"> (NILS website)</w:t>
      </w:r>
      <w:r w:rsidRPr="00CF4CE4">
        <w:t>. The dataset allows the construction of fertility histories for women who lived in Northern Ireland between 2001 and 2017</w:t>
      </w:r>
      <w:r>
        <w:t>, but links census data starting from the 1981 census</w:t>
      </w:r>
      <w:r w:rsidR="00CF5805">
        <w:t xml:space="preserve"> and vital events birth data from 1974</w:t>
      </w:r>
      <w:r w:rsidRPr="00CF4CE4">
        <w:t xml:space="preserve">. NILS allows us to calculate </w:t>
      </w:r>
      <w:r w:rsidR="00BC1B51">
        <w:t>fertility histories</w:t>
      </w:r>
      <w:r w:rsidRPr="00CF4CE4">
        <w:t>, standardi</w:t>
      </w:r>
      <w:r w:rsidR="00FF16B1">
        <w:t>z</w:t>
      </w:r>
      <w:r w:rsidRPr="00CF4CE4">
        <w:t>ed for education starting from the 19</w:t>
      </w:r>
      <w:r>
        <w:t>6</w:t>
      </w:r>
      <w:r w:rsidRPr="00CF4CE4">
        <w:t xml:space="preserve">6 cohort (i.e study members who were 15 in </w:t>
      </w:r>
      <w:r>
        <w:t>1981</w:t>
      </w:r>
      <w:r w:rsidRPr="00CF4CE4">
        <w:t xml:space="preserve">).  </w:t>
      </w:r>
    </w:p>
    <w:p w14:paraId="686B8112" w14:textId="3D5F8A61" w:rsidR="00C72718" w:rsidRDefault="003F35F6" w:rsidP="005E61E8">
      <w:pPr>
        <w:spacing w:line="480" w:lineRule="auto"/>
      </w:pPr>
      <w:r>
        <w:t>W</w:t>
      </w:r>
      <w:r w:rsidRPr="00EF553F">
        <w:t>e restrict</w:t>
      </w:r>
      <w:r w:rsidR="009B738C">
        <w:t>ed</w:t>
      </w:r>
      <w:r>
        <w:t xml:space="preserve"> our sample </w:t>
      </w:r>
      <w:r w:rsidRPr="00EF553F">
        <w:t>to women who were continuously present in the country according to the census from age</w:t>
      </w:r>
      <w:r w:rsidR="00854C12">
        <w:t>s</w:t>
      </w:r>
      <w:r w:rsidRPr="00EF553F">
        <w:t xml:space="preserve"> 15-40, so that we </w:t>
      </w:r>
      <w:r w:rsidR="00531395">
        <w:t xml:space="preserve">have information on </w:t>
      </w:r>
      <w:r>
        <w:t xml:space="preserve">their </w:t>
      </w:r>
      <w:r w:rsidRPr="00EF553F">
        <w:t>entire fertility history</w:t>
      </w:r>
      <w:r w:rsidR="00C70C96">
        <w:t xml:space="preserve"> and can correctly assign birth order. Since birth order data were not historically collected in the birth registration data on which the LS, SLS, and NILS are based, we instead identif</w:t>
      </w:r>
      <w:r w:rsidR="009B738C">
        <w:t>ied</w:t>
      </w:r>
      <w:r w:rsidR="00C70C96">
        <w:t xml:space="preserve"> birth order by linking all children born to one mother and ordering them by their dates of birth. </w:t>
      </w:r>
      <w:r w:rsidRPr="00EF553F">
        <w:t>This means that</w:t>
      </w:r>
      <w:r w:rsidR="00C70C96">
        <w:t xml:space="preserve"> we cannot include migrants or people who leave the country (as indicated by absence in the census) who may have had births outside of the country because we would not be able to correctly ascertain birth order. T</w:t>
      </w:r>
      <w:r w:rsidRPr="00EF553F">
        <w:t xml:space="preserve">he only migrants </w:t>
      </w:r>
      <w:r>
        <w:t xml:space="preserve">in each country’s sample </w:t>
      </w:r>
      <w:r w:rsidRPr="00EF553F">
        <w:t xml:space="preserve">are those who </w:t>
      </w:r>
      <w:r>
        <w:t xml:space="preserve">entered </w:t>
      </w:r>
      <w:r w:rsidRPr="00EF553F">
        <w:t>the country before age 15 and then stayed</w:t>
      </w:r>
      <w:r w:rsidR="004A1309">
        <w:t xml:space="preserve"> continuously</w:t>
      </w:r>
      <w:r w:rsidRPr="00EF553F">
        <w:t xml:space="preserve"> in the country</w:t>
      </w:r>
      <w:r>
        <w:t xml:space="preserve">, as indicated by the census, </w:t>
      </w:r>
      <w:r w:rsidRPr="00EF553F">
        <w:t>until age 40</w:t>
      </w:r>
      <w:r w:rsidR="00C70C96">
        <w:t xml:space="preserve">, to ensure their reproductive window </w:t>
      </w:r>
      <w:r w:rsidR="009B738C">
        <w:t>wa</w:t>
      </w:r>
      <w:r w:rsidR="00C70C96">
        <w:t>s fully captured</w:t>
      </w:r>
      <w:r w:rsidRPr="00EF553F">
        <w:t>.</w:t>
      </w:r>
      <w:r w:rsidR="00854C12">
        <w:t xml:space="preserve"> </w:t>
      </w:r>
      <w:r w:rsidR="00C70C96">
        <w:t xml:space="preserve">The small share of migrants in our samples </w:t>
      </w:r>
      <w:r w:rsidR="00854C12">
        <w:t xml:space="preserve">addresses the questions about whether country differences are due </w:t>
      </w:r>
      <w:r w:rsidR="00531395">
        <w:t xml:space="preserve">mainly </w:t>
      </w:r>
      <w:r w:rsidR="00854C12">
        <w:t>to cross national variation in migration.</w:t>
      </w:r>
      <w:r w:rsidR="00F17949">
        <w:t xml:space="preserve"> Table 1 shows the sample size of each cohort from each dataset.</w:t>
      </w:r>
    </w:p>
    <w:p w14:paraId="1A273C6F" w14:textId="77777777" w:rsidR="00F17949" w:rsidRDefault="00F17949" w:rsidP="00F17949">
      <w:pPr>
        <w:pStyle w:val="Heading4"/>
      </w:pPr>
      <w:r>
        <w:t xml:space="preserve">Table 1. Sample sizes, by cohort </w:t>
      </w:r>
    </w:p>
    <w:tbl>
      <w:tblPr>
        <w:tblStyle w:val="PlainTable1"/>
        <w:tblW w:w="9495" w:type="dxa"/>
        <w:tblLayout w:type="fixed"/>
        <w:tblLook w:val="04A0" w:firstRow="1" w:lastRow="0" w:firstColumn="1" w:lastColumn="0" w:noHBand="0" w:noVBand="1"/>
      </w:tblPr>
      <w:tblGrid>
        <w:gridCol w:w="1582"/>
        <w:gridCol w:w="1583"/>
        <w:gridCol w:w="1582"/>
        <w:gridCol w:w="1583"/>
        <w:gridCol w:w="1582"/>
        <w:gridCol w:w="1583"/>
      </w:tblGrid>
      <w:tr w:rsidR="00F17949" w:rsidRPr="00586899" w14:paraId="6D83A29B" w14:textId="77777777" w:rsidTr="009908A5">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82" w:type="dxa"/>
            <w:noWrap/>
            <w:hideMark/>
          </w:tcPr>
          <w:p w14:paraId="6E4639E3" w14:textId="77777777" w:rsidR="00F17949" w:rsidRPr="00586899" w:rsidRDefault="00F17949" w:rsidP="009908A5">
            <w:pPr>
              <w:rPr>
                <w:rFonts w:ascii="Calibri" w:eastAsia="Times New Roman" w:hAnsi="Calibri" w:cs="Calibri"/>
                <w:color w:val="000000"/>
                <w:lang w:val="en-GB" w:eastAsia="en-GB"/>
              </w:rPr>
            </w:pPr>
          </w:p>
        </w:tc>
        <w:tc>
          <w:tcPr>
            <w:tcW w:w="1583" w:type="dxa"/>
          </w:tcPr>
          <w:p w14:paraId="1727AD92" w14:textId="77777777" w:rsidR="00F17949" w:rsidRPr="00586899" w:rsidRDefault="00F17949" w:rsidP="009908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1956-59</w:t>
            </w:r>
          </w:p>
        </w:tc>
        <w:tc>
          <w:tcPr>
            <w:tcW w:w="1582" w:type="dxa"/>
            <w:noWrap/>
            <w:hideMark/>
          </w:tcPr>
          <w:p w14:paraId="683A6BB7" w14:textId="77777777" w:rsidR="00F17949" w:rsidRPr="00586899" w:rsidRDefault="00F17949" w:rsidP="009908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1960-64</w:t>
            </w:r>
          </w:p>
        </w:tc>
        <w:tc>
          <w:tcPr>
            <w:tcW w:w="1583" w:type="dxa"/>
            <w:noWrap/>
            <w:hideMark/>
          </w:tcPr>
          <w:p w14:paraId="244335BB" w14:textId="77777777" w:rsidR="00F17949" w:rsidRPr="00586899" w:rsidRDefault="00F17949" w:rsidP="009908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1965-69*</w:t>
            </w:r>
          </w:p>
        </w:tc>
        <w:tc>
          <w:tcPr>
            <w:tcW w:w="1582" w:type="dxa"/>
            <w:noWrap/>
            <w:hideMark/>
          </w:tcPr>
          <w:p w14:paraId="41711024" w14:textId="77777777" w:rsidR="00F17949" w:rsidRPr="00586899" w:rsidRDefault="00F17949" w:rsidP="009908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1970-74</w:t>
            </w:r>
          </w:p>
        </w:tc>
        <w:tc>
          <w:tcPr>
            <w:tcW w:w="1583" w:type="dxa"/>
            <w:noWrap/>
            <w:hideMark/>
          </w:tcPr>
          <w:p w14:paraId="2984FA50" w14:textId="77777777" w:rsidR="00F17949" w:rsidRPr="00586899" w:rsidRDefault="00F17949" w:rsidP="009908A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1975-78</w:t>
            </w:r>
            <w:r w:rsidRPr="00586899">
              <w:rPr>
                <w:rFonts w:ascii="Calibri" w:eastAsia="Times New Roman" w:hAnsi="Calibri" w:cs="Calibri"/>
                <w:color w:val="000000"/>
                <w:lang w:val="en-GB" w:eastAsia="en-GB"/>
              </w:rPr>
              <w:t> </w:t>
            </w:r>
          </w:p>
        </w:tc>
      </w:tr>
      <w:tr w:rsidR="00F17949" w:rsidRPr="00586899" w14:paraId="5FA4F0FF" w14:textId="77777777" w:rsidTr="009908A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82" w:type="dxa"/>
            <w:noWrap/>
          </w:tcPr>
          <w:p w14:paraId="6E020273" w14:textId="77777777" w:rsidR="00F17949" w:rsidRPr="00586899" w:rsidRDefault="00F17949" w:rsidP="009908A5">
            <w:pPr>
              <w:rPr>
                <w:rFonts w:ascii="Calibri" w:eastAsia="Times New Roman" w:hAnsi="Calibri" w:cs="Calibri"/>
                <w:color w:val="000000"/>
                <w:lang w:val="en-GB" w:eastAsia="en-GB"/>
              </w:rPr>
            </w:pPr>
            <w:r>
              <w:rPr>
                <w:rFonts w:ascii="Calibri" w:eastAsia="Times New Roman" w:hAnsi="Calibri" w:cs="Calibri"/>
                <w:color w:val="000000"/>
                <w:lang w:val="en-GB" w:eastAsia="en-GB"/>
              </w:rPr>
              <w:t>ONS LS</w:t>
            </w:r>
            <w:r w:rsidRPr="00586899">
              <w:rPr>
                <w:rFonts w:ascii="Calibri" w:eastAsia="Times New Roman" w:hAnsi="Calibri" w:cs="Calibri"/>
                <w:color w:val="000000"/>
                <w:lang w:val="en-GB" w:eastAsia="en-GB"/>
              </w:rPr>
              <w:t xml:space="preserve"> </w:t>
            </w:r>
          </w:p>
        </w:tc>
        <w:tc>
          <w:tcPr>
            <w:tcW w:w="1583" w:type="dxa"/>
            <w:noWrap/>
          </w:tcPr>
          <w:p w14:paraId="5E24F694" w14:textId="77777777" w:rsidR="00F17949" w:rsidRPr="00586899" w:rsidRDefault="00F17949" w:rsidP="009908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586899">
              <w:rPr>
                <w:rFonts w:ascii="Calibri" w:eastAsia="Times New Roman" w:hAnsi="Calibri" w:cs="Calibri"/>
                <w:color w:val="000000"/>
                <w:lang w:val="en-GB" w:eastAsia="en-GB"/>
              </w:rPr>
              <w:t>11,471</w:t>
            </w:r>
          </w:p>
        </w:tc>
        <w:tc>
          <w:tcPr>
            <w:tcW w:w="1582" w:type="dxa"/>
            <w:noWrap/>
          </w:tcPr>
          <w:p w14:paraId="4B146EE5" w14:textId="77777777" w:rsidR="00F17949" w:rsidRPr="00586899" w:rsidRDefault="00F17949" w:rsidP="009908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586899">
              <w:rPr>
                <w:rFonts w:ascii="Calibri" w:eastAsia="Times New Roman" w:hAnsi="Calibri" w:cs="Calibri"/>
                <w:color w:val="000000"/>
                <w:lang w:val="en-GB" w:eastAsia="en-GB"/>
              </w:rPr>
              <w:t>15,607</w:t>
            </w:r>
          </w:p>
        </w:tc>
        <w:tc>
          <w:tcPr>
            <w:tcW w:w="1583" w:type="dxa"/>
            <w:noWrap/>
          </w:tcPr>
          <w:p w14:paraId="69EF2CF1" w14:textId="77777777" w:rsidR="00F17949" w:rsidRPr="00586899" w:rsidRDefault="00F17949" w:rsidP="009908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586899">
              <w:rPr>
                <w:rFonts w:ascii="Calibri" w:eastAsia="Times New Roman" w:hAnsi="Calibri" w:cs="Calibri"/>
                <w:color w:val="000000"/>
                <w:lang w:val="en-GB" w:eastAsia="en-GB"/>
              </w:rPr>
              <w:t>15,227</w:t>
            </w:r>
          </w:p>
        </w:tc>
        <w:tc>
          <w:tcPr>
            <w:tcW w:w="1582" w:type="dxa"/>
            <w:noWrap/>
          </w:tcPr>
          <w:p w14:paraId="179C0D05" w14:textId="77777777" w:rsidR="00F17949" w:rsidRPr="00586899" w:rsidRDefault="00F17949" w:rsidP="009908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586899">
              <w:rPr>
                <w:rFonts w:ascii="Calibri" w:eastAsia="Times New Roman" w:hAnsi="Calibri" w:cs="Calibri"/>
                <w:color w:val="000000"/>
                <w:lang w:val="en-GB" w:eastAsia="en-GB"/>
              </w:rPr>
              <w:t>13,226</w:t>
            </w:r>
          </w:p>
        </w:tc>
        <w:tc>
          <w:tcPr>
            <w:tcW w:w="1583" w:type="dxa"/>
            <w:noWrap/>
          </w:tcPr>
          <w:p w14:paraId="58AC28C5" w14:textId="77777777" w:rsidR="00F17949" w:rsidRPr="00586899" w:rsidRDefault="00F17949" w:rsidP="009908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586899">
              <w:rPr>
                <w:rFonts w:ascii="Calibri" w:eastAsia="Times New Roman" w:hAnsi="Calibri" w:cs="Calibri"/>
                <w:color w:val="000000"/>
                <w:lang w:val="en-GB" w:eastAsia="en-GB"/>
              </w:rPr>
              <w:t>8,568</w:t>
            </w:r>
          </w:p>
        </w:tc>
      </w:tr>
      <w:tr w:rsidR="00F17949" w:rsidRPr="00586899" w14:paraId="79B6B717" w14:textId="77777777" w:rsidTr="009908A5">
        <w:trPr>
          <w:trHeight w:val="307"/>
        </w:trPr>
        <w:tc>
          <w:tcPr>
            <w:cnfStyle w:val="001000000000" w:firstRow="0" w:lastRow="0" w:firstColumn="1" w:lastColumn="0" w:oddVBand="0" w:evenVBand="0" w:oddHBand="0" w:evenHBand="0" w:firstRowFirstColumn="0" w:firstRowLastColumn="0" w:lastRowFirstColumn="0" w:lastRowLastColumn="0"/>
            <w:tcW w:w="1582" w:type="dxa"/>
            <w:noWrap/>
          </w:tcPr>
          <w:p w14:paraId="55BE41E6" w14:textId="77777777" w:rsidR="00F17949" w:rsidRPr="00586899" w:rsidRDefault="00F17949" w:rsidP="009908A5">
            <w:pPr>
              <w:rPr>
                <w:rFonts w:ascii="Calibri" w:eastAsia="Times New Roman" w:hAnsi="Calibri" w:cs="Calibri"/>
                <w:color w:val="000000"/>
                <w:lang w:val="en-GB" w:eastAsia="en-GB"/>
              </w:rPr>
            </w:pPr>
            <w:r>
              <w:rPr>
                <w:rFonts w:ascii="Calibri" w:eastAsia="Times New Roman" w:hAnsi="Calibri" w:cs="Calibri"/>
                <w:color w:val="000000"/>
                <w:lang w:val="en-GB" w:eastAsia="en-GB"/>
              </w:rPr>
              <w:t>SLS</w:t>
            </w:r>
          </w:p>
        </w:tc>
        <w:tc>
          <w:tcPr>
            <w:tcW w:w="1583" w:type="dxa"/>
            <w:noWrap/>
          </w:tcPr>
          <w:p w14:paraId="7EF2F788" w14:textId="77777777" w:rsidR="00F17949" w:rsidRPr="00586899" w:rsidRDefault="00F17949" w:rsidP="009908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6,665</w:t>
            </w:r>
          </w:p>
        </w:tc>
        <w:tc>
          <w:tcPr>
            <w:tcW w:w="1582" w:type="dxa"/>
            <w:noWrap/>
          </w:tcPr>
          <w:p w14:paraId="4A0F1A96" w14:textId="77777777" w:rsidR="00F17949" w:rsidRPr="00586899" w:rsidRDefault="00F17949" w:rsidP="009908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8,551</w:t>
            </w:r>
          </w:p>
        </w:tc>
        <w:tc>
          <w:tcPr>
            <w:tcW w:w="1583" w:type="dxa"/>
            <w:noWrap/>
          </w:tcPr>
          <w:p w14:paraId="407BC1D6" w14:textId="77777777" w:rsidR="00F17949" w:rsidRPr="00586899" w:rsidRDefault="00F17949" w:rsidP="009908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7,084</w:t>
            </w:r>
          </w:p>
        </w:tc>
        <w:tc>
          <w:tcPr>
            <w:tcW w:w="1582" w:type="dxa"/>
            <w:noWrap/>
          </w:tcPr>
          <w:p w14:paraId="66C8044F" w14:textId="77777777" w:rsidR="00F17949" w:rsidRPr="00586899" w:rsidRDefault="00F17949" w:rsidP="009908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5,456</w:t>
            </w:r>
          </w:p>
        </w:tc>
        <w:tc>
          <w:tcPr>
            <w:tcW w:w="1583" w:type="dxa"/>
            <w:noWrap/>
          </w:tcPr>
          <w:p w14:paraId="225A352D" w14:textId="77777777" w:rsidR="00F17949" w:rsidRPr="00586899" w:rsidRDefault="00F17949" w:rsidP="009908A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3,512</w:t>
            </w:r>
          </w:p>
        </w:tc>
      </w:tr>
      <w:tr w:rsidR="00F17949" w:rsidRPr="00586899" w14:paraId="4DB04442" w14:textId="77777777" w:rsidTr="009908A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82" w:type="dxa"/>
            <w:noWrap/>
          </w:tcPr>
          <w:p w14:paraId="719AF2F3" w14:textId="77777777" w:rsidR="00F17949" w:rsidRPr="00586899" w:rsidRDefault="00F17949" w:rsidP="009908A5">
            <w:pPr>
              <w:rPr>
                <w:rFonts w:ascii="Calibri" w:eastAsia="Times New Roman" w:hAnsi="Calibri" w:cs="Calibri"/>
                <w:color w:val="000000"/>
                <w:lang w:val="en-GB" w:eastAsia="en-GB"/>
              </w:rPr>
            </w:pPr>
            <w:r>
              <w:rPr>
                <w:rFonts w:ascii="Calibri" w:eastAsia="Times New Roman" w:hAnsi="Calibri" w:cs="Calibri"/>
                <w:color w:val="000000"/>
                <w:lang w:val="en-GB" w:eastAsia="en-GB"/>
              </w:rPr>
              <w:t>NILS</w:t>
            </w:r>
          </w:p>
        </w:tc>
        <w:tc>
          <w:tcPr>
            <w:tcW w:w="1583" w:type="dxa"/>
            <w:noWrap/>
          </w:tcPr>
          <w:p w14:paraId="60674F62" w14:textId="77777777" w:rsidR="00F17949" w:rsidRPr="00586899" w:rsidRDefault="00F17949" w:rsidP="009908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1582" w:type="dxa"/>
            <w:noWrap/>
          </w:tcPr>
          <w:p w14:paraId="765D4D39" w14:textId="77777777" w:rsidR="00F17949" w:rsidRPr="00586899" w:rsidRDefault="00F17949" w:rsidP="009908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1583" w:type="dxa"/>
            <w:noWrap/>
          </w:tcPr>
          <w:p w14:paraId="74686FC0" w14:textId="77777777" w:rsidR="00F17949" w:rsidRPr="00586899" w:rsidRDefault="00F17949" w:rsidP="009908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9,312</w:t>
            </w:r>
          </w:p>
        </w:tc>
        <w:tc>
          <w:tcPr>
            <w:tcW w:w="1582" w:type="dxa"/>
            <w:noWrap/>
          </w:tcPr>
          <w:p w14:paraId="65941641" w14:textId="77777777" w:rsidR="00F17949" w:rsidRPr="00586899" w:rsidRDefault="00F17949" w:rsidP="009908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11,682</w:t>
            </w:r>
          </w:p>
        </w:tc>
        <w:tc>
          <w:tcPr>
            <w:tcW w:w="1583" w:type="dxa"/>
            <w:noWrap/>
          </w:tcPr>
          <w:p w14:paraId="7D269F0A" w14:textId="77777777" w:rsidR="00F17949" w:rsidRPr="00586899" w:rsidRDefault="00F17949" w:rsidP="009908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Pr>
                <w:rFonts w:ascii="Calibri" w:eastAsia="Times New Roman" w:hAnsi="Calibri" w:cs="Calibri"/>
                <w:color w:val="000000"/>
                <w:lang w:val="en-GB" w:eastAsia="en-GB"/>
              </w:rPr>
              <w:t>11,202</w:t>
            </w:r>
          </w:p>
        </w:tc>
      </w:tr>
    </w:tbl>
    <w:p w14:paraId="7E377B1A" w14:textId="77777777" w:rsidR="00F17949" w:rsidRPr="00984C2D" w:rsidRDefault="00F17949" w:rsidP="00F17949">
      <w:pPr>
        <w:rPr>
          <w:lang w:val="en-GB"/>
        </w:rPr>
      </w:pPr>
      <w:r>
        <w:rPr>
          <w:lang w:val="en-GB"/>
        </w:rPr>
        <w:t>* The first NILS cohort analysed in this study is the 1966-69 birth cohort</w:t>
      </w:r>
    </w:p>
    <w:p w14:paraId="591F06AA" w14:textId="43ECA86E" w:rsidR="00233524" w:rsidRDefault="00DE36F7" w:rsidP="005E61E8">
      <w:pPr>
        <w:spacing w:line="480" w:lineRule="auto"/>
      </w:pPr>
      <w:r w:rsidRPr="00CF4CE4">
        <w:t>Using the LS, SLS, and NILS, we calculate</w:t>
      </w:r>
      <w:r>
        <w:t>d</w:t>
      </w:r>
      <w:r w:rsidR="009B738C">
        <w:t xml:space="preserve"> cohort</w:t>
      </w:r>
      <w:r w:rsidRPr="00CF4CE4">
        <w:t xml:space="preserve"> </w:t>
      </w:r>
      <w:r w:rsidR="009B738C">
        <w:t xml:space="preserve">average family size, </w:t>
      </w:r>
      <w:r w:rsidR="00AA29C6">
        <w:t xml:space="preserve">mean age at first childbearing, </w:t>
      </w:r>
      <w:r w:rsidRPr="00CF4CE4">
        <w:t>level</w:t>
      </w:r>
      <w:r>
        <w:t>s</w:t>
      </w:r>
      <w:r w:rsidRPr="00CF4CE4">
        <w:t xml:space="preserve"> of childlessness</w:t>
      </w:r>
      <w:r w:rsidR="00EF553F">
        <w:t xml:space="preserve"> at age 40</w:t>
      </w:r>
      <w:r w:rsidR="00AA29C6">
        <w:t>,</w:t>
      </w:r>
      <w:r w:rsidRPr="00CF4CE4">
        <w:t xml:space="preserve"> </w:t>
      </w:r>
      <w:r w:rsidR="00AA29C6">
        <w:t xml:space="preserve">and family size </w:t>
      </w:r>
      <w:r w:rsidR="00EF553F">
        <w:t xml:space="preserve">at age 40 </w:t>
      </w:r>
      <w:r w:rsidRPr="00CF4CE4">
        <w:t>by country</w:t>
      </w:r>
      <w:r w:rsidR="00EF553F">
        <w:t xml:space="preserve">. We then </w:t>
      </w:r>
      <w:r w:rsidRPr="00CF4CE4">
        <w:t>investigate</w:t>
      </w:r>
      <w:r>
        <w:t>d</w:t>
      </w:r>
      <w:r w:rsidR="00AA29C6">
        <w:t xml:space="preserve"> their</w:t>
      </w:r>
      <w:r w:rsidRPr="00CF4CE4">
        <w:t xml:space="preserve"> cross-national educational patterns</w:t>
      </w:r>
      <w:r w:rsidR="00AA29C6">
        <w:t xml:space="preserve"> </w:t>
      </w:r>
      <w:r w:rsidRPr="00CF4CE4">
        <w:t xml:space="preserve">in the last two decades by comparing levels of </w:t>
      </w:r>
      <w:r w:rsidR="00AA29C6">
        <w:t xml:space="preserve">average family size, mean age at first birth, </w:t>
      </w:r>
      <w:r w:rsidRPr="00CF4CE4">
        <w:t>childlessness</w:t>
      </w:r>
      <w:r w:rsidR="00AA29C6">
        <w:t>, and family size</w:t>
      </w:r>
      <w:r w:rsidRPr="00CF4CE4">
        <w:t xml:space="preserve"> by educational groups in each country, across time.</w:t>
      </w:r>
      <w:r w:rsidR="006353CC">
        <w:t xml:space="preserve"> In addition to family sizes, we also calculated parity progression ratios (</w:t>
      </w:r>
      <w:r w:rsidR="00233524">
        <w:t xml:space="preserve">PPRs, </w:t>
      </w:r>
      <w:r w:rsidR="006353CC">
        <w:t>shown in Appendix</w:t>
      </w:r>
      <w:r w:rsidR="00233524">
        <w:t xml:space="preserve"> </w:t>
      </w:r>
      <w:r w:rsidR="00D32653">
        <w:t>2</w:t>
      </w:r>
      <w:r w:rsidR="00233524">
        <w:t>.</w:t>
      </w:r>
      <w:r w:rsidR="006353CC">
        <w:t xml:space="preserve">) and discuss them alongside family size distributions. </w:t>
      </w:r>
      <w:r w:rsidR="00233524">
        <w:t xml:space="preserve">PPRs are distinct but related to the family size distribution and both provide insight on patterns by birth order. </w:t>
      </w:r>
      <w:r w:rsidR="005E61E8">
        <w:t>For example, t</w:t>
      </w:r>
      <w:r w:rsidR="00233524">
        <w:t>he share of one child families may increase</w:t>
      </w:r>
      <w:r w:rsidR="00946CBB">
        <w:t xml:space="preserve"> </w:t>
      </w:r>
      <w:r w:rsidR="00233524">
        <w:t>because of</w:t>
      </w:r>
      <w:r w:rsidR="007562AD">
        <w:t xml:space="preserve"> either</w:t>
      </w:r>
      <w:r w:rsidR="00233524">
        <w:t xml:space="preserve"> a decline in </w:t>
      </w:r>
      <w:r w:rsidR="005E61E8">
        <w:t xml:space="preserve">the transition from first to second births or an increase in the transition from childlessness to the first birth. PPR </w:t>
      </w:r>
      <w:r w:rsidR="00946CBB">
        <w:t xml:space="preserve">patterns </w:t>
      </w:r>
      <w:r w:rsidR="005E61E8">
        <w:t xml:space="preserve">describe changes from a behavioral point of view while the distributions provide a perspective on the outcome of behavioral changes. </w:t>
      </w:r>
    </w:p>
    <w:p w14:paraId="2E11EE50" w14:textId="2CFB2275" w:rsidR="008D1514" w:rsidRDefault="00531395" w:rsidP="00586899">
      <w:pPr>
        <w:spacing w:line="480" w:lineRule="auto"/>
      </w:pPr>
      <w:r>
        <w:t>For each country, we used education</w:t>
      </w:r>
      <w:r w:rsidR="007C7ED0">
        <w:t>al attainment</w:t>
      </w:r>
      <w:r>
        <w:t xml:space="preserve"> information from the census taken closest to age 30, to account for non-continuous higher education</w:t>
      </w:r>
      <w:r w:rsidR="007C7ED0">
        <w:t xml:space="preserve"> and</w:t>
      </w:r>
      <w:r w:rsidR="00D866E0">
        <w:t xml:space="preserve"> recall bias as education completion becomes a more distant event</w:t>
      </w:r>
      <w:r>
        <w:t>.</w:t>
      </w:r>
      <w:r w:rsidR="008D1514">
        <w:t xml:space="preserve"> We used either the 2001 and 2011 census depending on whether the respondent was closer to age 30 in 2001 or 2011 and because these censuses were most comparable across countries</w:t>
      </w:r>
      <w:r w:rsidR="00F1144C">
        <w:t xml:space="preserve"> and across census years</w:t>
      </w:r>
      <w:r w:rsidR="008D1514">
        <w:t>. We are also aware that notions of education may change over time, which may influence how respondents report their own education over the lifecourse – for example, certain occupations like teaching or nursing may not</w:t>
      </w:r>
      <w:r w:rsidR="0045707B">
        <w:t xml:space="preserve"> have</w:t>
      </w:r>
      <w:r w:rsidR="008D1514">
        <w:t xml:space="preserve"> required a university degree historically, even though they now do. </w:t>
      </w:r>
      <w:r w:rsidR="008D1514" w:rsidRPr="008D1514">
        <w:t xml:space="preserve">We </w:t>
      </w:r>
      <w:r w:rsidR="008D1514">
        <w:t xml:space="preserve">specify </w:t>
      </w:r>
      <w:r w:rsidR="008D1514" w:rsidRPr="008D1514">
        <w:t>three levels of educational attainment</w:t>
      </w:r>
      <w:r w:rsidR="008D1514">
        <w:t xml:space="preserve"> – low</w:t>
      </w:r>
      <w:r w:rsidR="00BC1B51">
        <w:t xml:space="preserve"> </w:t>
      </w:r>
      <w:r w:rsidR="00F70CCA">
        <w:t>(secondary), medium (upper secondary and vocational training), and high (bachelors or higher), respectively</w:t>
      </w:r>
      <w:r w:rsidR="008D1514" w:rsidRPr="008D1514">
        <w:t>.</w:t>
      </w:r>
      <w:r w:rsidR="0045707B">
        <w:t xml:space="preserve"> </w:t>
      </w:r>
      <w:r w:rsidR="00A305C3">
        <w:t>D</w:t>
      </w:r>
      <w:r w:rsidR="0045707B">
        <w:t xml:space="preserve">etails may be found in Appendix 1. </w:t>
      </w:r>
    </w:p>
    <w:p w14:paraId="37704B19" w14:textId="0AAC60F0" w:rsidR="00586899" w:rsidRDefault="00664BBE" w:rsidP="00586899">
      <w:pPr>
        <w:spacing w:line="480" w:lineRule="auto"/>
      </w:pPr>
      <w:r>
        <w:t xml:space="preserve">Over time, cohorts have become more educated across all </w:t>
      </w:r>
      <w:r w:rsidR="0033452F">
        <w:t xml:space="preserve">constituent countries </w:t>
      </w:r>
      <w:r w:rsidR="004B44D5">
        <w:t>(Figure 2)</w:t>
      </w:r>
      <w:r>
        <w:t>. It is likely that the low educated in the most recent cohorts are a more selective group than those in older cohorts. Scotland is generally more educated than England and Wales and Northern Ireland slightly less. This is consistent with the differences in the Scottish and English education systems discussed in the background section.</w:t>
      </w:r>
    </w:p>
    <w:p w14:paraId="68C64FD9" w14:textId="0B614943" w:rsidR="00664BBE" w:rsidRDefault="0090777B" w:rsidP="0037557C">
      <w:pPr>
        <w:pStyle w:val="Heading4"/>
      </w:pPr>
      <w:r>
        <w:rPr>
          <w:noProof/>
        </w:rPr>
        <mc:AlternateContent>
          <mc:Choice Requires="wps">
            <w:drawing>
              <wp:anchor distT="45720" distB="45720" distL="114300" distR="114300" simplePos="0" relativeHeight="251648000" behindDoc="0" locked="0" layoutInCell="1" allowOverlap="1" wp14:anchorId="19F3B6ED" wp14:editId="1E7741E2">
                <wp:simplePos x="0" y="0"/>
                <wp:positionH relativeFrom="column">
                  <wp:posOffset>3570327</wp:posOffset>
                </wp:positionH>
                <wp:positionV relativeFrom="paragraph">
                  <wp:posOffset>3032405</wp:posOffset>
                </wp:positionV>
                <wp:extent cx="434961" cy="193146"/>
                <wp:effectExtent l="19050" t="133350" r="22860" b="130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0013">
                          <a:off x="0" y="0"/>
                          <a:ext cx="434961" cy="193146"/>
                        </a:xfrm>
                        <a:prstGeom prst="rect">
                          <a:avLst/>
                        </a:prstGeom>
                        <a:solidFill>
                          <a:srgbClr val="FFFFFF"/>
                        </a:solidFill>
                        <a:ln w="9525">
                          <a:noFill/>
                          <a:miter lim="800000"/>
                          <a:headEnd/>
                          <a:tailEnd/>
                        </a:ln>
                      </wps:spPr>
                      <wps:txbx>
                        <w:txbxContent>
                          <w:p w14:paraId="17FDCC6C" w14:textId="53C75AEB" w:rsidR="0090777B" w:rsidRPr="0090777B" w:rsidRDefault="0090777B">
                            <w:pPr>
                              <w:rPr>
                                <w:rFonts w:ascii="Arial" w:hAnsi="Arial" w:cs="Arial"/>
                                <w:sz w:val="15"/>
                                <w:szCs w:val="15"/>
                              </w:rPr>
                            </w:pPr>
                            <w:r w:rsidRPr="0090777B">
                              <w:rPr>
                                <w:rFonts w:ascii="Arial" w:hAnsi="Arial" w:cs="Arial"/>
                                <w:sz w:val="15"/>
                                <w:szCs w:val="15"/>
                              </w:rPr>
                              <w:t>196</w:t>
                            </w:r>
                            <w:r w:rsidR="006A0CB3">
                              <w:rPr>
                                <w:rFonts w:ascii="Arial" w:hAnsi="Arial" w:cs="Arial"/>
                                <w:sz w:val="15"/>
                                <w:szCs w:val="15"/>
                              </w:rPr>
                              <w:t>6</w:t>
                            </w:r>
                            <w:r w:rsidRPr="0090777B">
                              <w:rPr>
                                <w:rFonts w:ascii="Arial" w:hAnsi="Arial" w:cs="Arial"/>
                                <w:sz w:val="15"/>
                                <w:szCs w:val="15"/>
                              </w:rPr>
                              <w:t>-69</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3B6ED" id="_x0000_t202" coordsize="21600,21600" o:spt="202" path="m,l,21600r21600,l21600,xe">
                <v:stroke joinstyle="miter"/>
                <v:path gradientshapeok="t" o:connecttype="rect"/>
              </v:shapetype>
              <v:shape id="Text Box 2" o:spid="_x0000_s1026" type="#_x0000_t202" style="position:absolute;margin-left:281.15pt;margin-top:238.75pt;width:34.25pt;height:15.2pt;rotation:-2872647fd;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" stroked="f">
                <v:textbox inset="1mm,1mm,1mm,1mm">
                  <w:txbxContent>
                    <w:p w14:paraId="17FDCC6C" w14:textId="53C75AEB" w:rsidR="0090777B" w:rsidRPr="0090777B" w:rsidRDefault="0090777B">
                      <w:pPr>
                        <w:rPr>
                          <w:rFonts w:ascii="Arial" w:hAnsi="Arial" w:cs="Arial"/>
                          <w:sz w:val="15"/>
                          <w:szCs w:val="15"/>
                        </w:rPr>
                      </w:pPr>
                      <w:r w:rsidRPr="0090777B">
                        <w:rPr>
                          <w:rFonts w:ascii="Arial" w:hAnsi="Arial" w:cs="Arial"/>
                          <w:sz w:val="15"/>
                          <w:szCs w:val="15"/>
                        </w:rPr>
                        <w:t>196</w:t>
                      </w:r>
                      <w:r w:rsidR="006A0CB3">
                        <w:rPr>
                          <w:rFonts w:ascii="Arial" w:hAnsi="Arial" w:cs="Arial"/>
                          <w:sz w:val="15"/>
                          <w:szCs w:val="15"/>
                        </w:rPr>
                        <w:t>6</w:t>
                      </w:r>
                      <w:r w:rsidRPr="0090777B">
                        <w:rPr>
                          <w:rFonts w:ascii="Arial" w:hAnsi="Arial" w:cs="Arial"/>
                          <w:sz w:val="15"/>
                          <w:szCs w:val="15"/>
                        </w:rPr>
                        <w:t>-69</w:t>
                      </w:r>
                    </w:p>
                  </w:txbxContent>
                </v:textbox>
              </v:shape>
            </w:pict>
          </mc:Fallback>
        </mc:AlternateContent>
      </w:r>
      <w:r w:rsidR="00664BBE">
        <w:t xml:space="preserve">Figure </w:t>
      </w:r>
      <w:r w:rsidR="00C86F93">
        <w:t>2</w:t>
      </w:r>
      <w:r w:rsidR="00664BBE">
        <w:t xml:space="preserve">. Educational </w:t>
      </w:r>
      <w:r w:rsidR="00173C60">
        <w:t xml:space="preserve">attainment </w:t>
      </w:r>
      <w:r w:rsidR="00664BBE" w:rsidRPr="00C86F93">
        <w:t>distribution</w:t>
      </w:r>
      <w:r w:rsidR="00664BBE">
        <w:t xml:space="preserve"> by </w:t>
      </w:r>
      <w:r w:rsidR="00173C60">
        <w:t xml:space="preserve">birth </w:t>
      </w:r>
      <w:r w:rsidR="00664BBE">
        <w:t>cohort</w:t>
      </w:r>
      <w:r w:rsidR="009664FB">
        <w:rPr>
          <w:noProof/>
        </w:rPr>
        <w:drawing>
          <wp:inline distT="0" distB="0" distL="0" distR="0" wp14:anchorId="4728F556" wp14:editId="48439959">
            <wp:extent cx="5762625" cy="360426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3604260"/>
                    </a:xfrm>
                    <a:prstGeom prst="rect">
                      <a:avLst/>
                    </a:prstGeom>
                    <a:noFill/>
                    <a:ln>
                      <a:noFill/>
                    </a:ln>
                  </pic:spPr>
                </pic:pic>
              </a:graphicData>
            </a:graphic>
          </wp:inline>
        </w:drawing>
      </w:r>
    </w:p>
    <w:p w14:paraId="46B2DDAD" w14:textId="77777777" w:rsidR="00D90C11" w:rsidRPr="00580A53" w:rsidRDefault="009664FB" w:rsidP="00D90C11">
      <w:pPr>
        <w:rPr>
          <w:i/>
          <w:iCs/>
        </w:rPr>
      </w:pPr>
      <w:r w:rsidRPr="00580A53">
        <w:rPr>
          <w:i/>
          <w:iCs/>
        </w:rPr>
        <w:t>Sources: ONS L</w:t>
      </w:r>
      <w:r w:rsidR="009E39B1">
        <w:rPr>
          <w:i/>
          <w:iCs/>
        </w:rPr>
        <w:t>ongitudinal Study</w:t>
      </w:r>
      <w:r w:rsidRPr="00580A53">
        <w:rPr>
          <w:i/>
          <w:iCs/>
        </w:rPr>
        <w:t>, S</w:t>
      </w:r>
      <w:r w:rsidR="009E39B1">
        <w:rPr>
          <w:i/>
          <w:iCs/>
        </w:rPr>
        <w:t>cottish Longitudinal Study</w:t>
      </w:r>
      <w:r w:rsidRPr="00580A53">
        <w:rPr>
          <w:i/>
          <w:iCs/>
        </w:rPr>
        <w:t>, N</w:t>
      </w:r>
      <w:r w:rsidR="009E39B1">
        <w:rPr>
          <w:i/>
          <w:iCs/>
        </w:rPr>
        <w:t>orthern Ireland Longitudinal Study</w:t>
      </w:r>
      <w:r w:rsidR="00D90C11">
        <w:rPr>
          <w:i/>
          <w:iCs/>
        </w:rPr>
        <w:t xml:space="preserve"> (NB NILS earliest data point is for 1966-69 birth cohort)</w:t>
      </w:r>
    </w:p>
    <w:p w14:paraId="05BC62D3" w14:textId="7D3AA17A" w:rsidR="00617580" w:rsidRDefault="00617580" w:rsidP="00E43CA9">
      <w:pPr>
        <w:pStyle w:val="Heading2"/>
        <w:rPr>
          <w:shd w:val="clear" w:color="auto" w:fill="FFFFFF"/>
        </w:rPr>
      </w:pPr>
      <w:r>
        <w:rPr>
          <w:shd w:val="clear" w:color="auto" w:fill="FFFFFF"/>
        </w:rPr>
        <w:t>Results</w:t>
      </w:r>
    </w:p>
    <w:p w14:paraId="691D2461" w14:textId="00A9A524" w:rsidR="00AE2441" w:rsidRDefault="00586899" w:rsidP="00837940">
      <w:pPr>
        <w:pStyle w:val="Heading3"/>
      </w:pPr>
      <w:r>
        <w:t>4</w:t>
      </w:r>
      <w:r w:rsidR="005B0BBC">
        <w:t>.</w:t>
      </w:r>
      <w:r w:rsidR="00531395">
        <w:t>1</w:t>
      </w:r>
      <w:r w:rsidR="005B0BBC">
        <w:t xml:space="preserve"> </w:t>
      </w:r>
      <w:r w:rsidR="00AE2441">
        <w:t xml:space="preserve">Average family size </w:t>
      </w:r>
    </w:p>
    <w:p w14:paraId="6C9DC894" w14:textId="66CC9313" w:rsidR="00AE2441" w:rsidRDefault="00F116CB" w:rsidP="005B0BBC">
      <w:pPr>
        <w:spacing w:line="480" w:lineRule="auto"/>
      </w:pPr>
      <w:r>
        <w:t>W</w:t>
      </w:r>
      <w:r w:rsidR="00A27FC0">
        <w:t>e</w:t>
      </w:r>
      <w:r>
        <w:t xml:space="preserve"> first</w:t>
      </w:r>
      <w:r w:rsidR="00A27FC0">
        <w:t xml:space="preserve"> </w:t>
      </w:r>
      <w:r>
        <w:t>present</w:t>
      </w:r>
      <w:r w:rsidR="00A27FC0">
        <w:t xml:space="preserve"> the average family size at age 40 of each educational group, across cohorts, for each country</w:t>
      </w:r>
      <w:r w:rsidR="004B44D5">
        <w:t xml:space="preserve"> (Figure 3, top panel)</w:t>
      </w:r>
      <w:r w:rsidR="00A27FC0">
        <w:t>. We also show average family size calculated among parents only</w:t>
      </w:r>
      <w:r w:rsidR="004B44D5">
        <w:t xml:space="preserve"> (Figure 3, bottom panel)</w:t>
      </w:r>
      <w:r w:rsidR="00E10AC3">
        <w:t>.</w:t>
      </w:r>
      <w:r w:rsidR="0070659A">
        <w:t xml:space="preserve"> </w:t>
      </w:r>
      <w:r w:rsidR="00AE2441">
        <w:t xml:space="preserve">Calculating average family size for </w:t>
      </w:r>
      <w:r w:rsidR="00D866E0">
        <w:t xml:space="preserve">only </w:t>
      </w:r>
      <w:r w:rsidR="00AE2441">
        <w:t>parents</w:t>
      </w:r>
      <w:r w:rsidR="00D866E0">
        <w:t xml:space="preserve"> </w:t>
      </w:r>
      <w:r w:rsidR="00AE2441">
        <w:t xml:space="preserve">adjusts for the depressive effect of childlessness and gives us a better </w:t>
      </w:r>
      <w:r w:rsidR="00BE2C19">
        <w:t>under</w:t>
      </w:r>
      <w:r w:rsidR="002308EF">
        <w:t>st</w:t>
      </w:r>
      <w:r w:rsidR="00BE2C19">
        <w:t>anding</w:t>
      </w:r>
      <w:r w:rsidR="00AE2441">
        <w:t xml:space="preserve"> of typical family sizes among those who</w:t>
      </w:r>
      <w:r w:rsidR="00D866E0">
        <w:t xml:space="preserve"> do</w:t>
      </w:r>
      <w:r w:rsidR="00AE2441">
        <w:t xml:space="preserve"> have children. </w:t>
      </w:r>
      <w:r w:rsidR="0030466A">
        <w:t>It also shows us to what extent educational differences in family size are attributed to educational differences in childlessness.</w:t>
      </w:r>
      <w:r w:rsidR="0070659A">
        <w:t xml:space="preserve"> Corresponding tables may be found in Appendix 2.</w:t>
      </w:r>
    </w:p>
    <w:p w14:paraId="4614D62E" w14:textId="482085C5" w:rsidR="00A27FC0" w:rsidRDefault="0030466A" w:rsidP="005B0BBC">
      <w:pPr>
        <w:spacing w:line="480" w:lineRule="auto"/>
      </w:pPr>
      <w:r>
        <w:t xml:space="preserve">Figure </w:t>
      </w:r>
      <w:r w:rsidR="004B44D5">
        <w:t>3</w:t>
      </w:r>
      <w:r>
        <w:t xml:space="preserve"> show</w:t>
      </w:r>
      <w:r w:rsidR="000F31DD">
        <w:t>s</w:t>
      </w:r>
      <w:bookmarkStart w:id="8" w:name="_Hlk158131331"/>
      <w:r>
        <w:t xml:space="preserve"> marked and widening educational differences in family size in Scotland and England and Wales.</w:t>
      </w:r>
      <w:r w:rsidR="00D866E0">
        <w:t xml:space="preserve"> </w:t>
      </w:r>
      <w:bookmarkEnd w:id="8"/>
      <w:r w:rsidR="00D866E0">
        <w:t>Additionally, family size levels and patterns across cohorts are relatively similar among the highly educated in Scotland and England and Wales. I</w:t>
      </w:r>
      <w:r>
        <w:t>n Northern Ireland, not only is average family size higher</w:t>
      </w:r>
      <w:r w:rsidR="00D866E0">
        <w:t xml:space="preserve"> than in the rest of the UK</w:t>
      </w:r>
      <w:r>
        <w:t>, but the educational differences are narrow</w:t>
      </w:r>
      <w:r w:rsidR="00D866E0">
        <w:t>er</w:t>
      </w:r>
      <w:r>
        <w:t xml:space="preserve"> and family size has remained more consistent.</w:t>
      </w:r>
      <w:r w:rsidR="004844EE">
        <w:t xml:space="preserve"> </w:t>
      </w:r>
      <w:r w:rsidR="00A27FC0">
        <w:t xml:space="preserve">In all the countries, less educated </w:t>
      </w:r>
      <w:r>
        <w:t xml:space="preserve">women </w:t>
      </w:r>
      <w:r w:rsidR="00A27FC0">
        <w:t xml:space="preserve">have bigger families and more educated </w:t>
      </w:r>
      <w:r>
        <w:t xml:space="preserve">women </w:t>
      </w:r>
      <w:r w:rsidR="00A27FC0">
        <w:t>have smaller families</w:t>
      </w:r>
      <w:r>
        <w:t xml:space="preserve"> and each country shows </w:t>
      </w:r>
      <w:r w:rsidR="00A27FC0">
        <w:t>declin</w:t>
      </w:r>
      <w:r>
        <w:t xml:space="preserve">e in family size with a trough at </w:t>
      </w:r>
      <w:r w:rsidR="00A27FC0">
        <w:t xml:space="preserve">the 1970-74 cohort, </w:t>
      </w:r>
      <w:r>
        <w:t xml:space="preserve">which roughly </w:t>
      </w:r>
      <w:r w:rsidR="00A27FC0">
        <w:t xml:space="preserve">corresponds with the period of lowest </w:t>
      </w:r>
      <w:r w:rsidR="00D866E0">
        <w:t xml:space="preserve">total </w:t>
      </w:r>
      <w:r w:rsidR="00A27FC0">
        <w:t>fertility</w:t>
      </w:r>
      <w:r w:rsidR="00D866E0">
        <w:t xml:space="preserve"> rates</w:t>
      </w:r>
      <w:r w:rsidR="00A27FC0">
        <w:t xml:space="preserve"> (2000)</w:t>
      </w:r>
      <w:r>
        <w:t xml:space="preserve">. </w:t>
      </w:r>
    </w:p>
    <w:p w14:paraId="03EDD36C" w14:textId="6D9EFD5E" w:rsidR="0030466A" w:rsidRDefault="004844EE" w:rsidP="005B0BBC">
      <w:pPr>
        <w:spacing w:line="480" w:lineRule="auto"/>
      </w:pPr>
      <w:r>
        <w:t>Figure</w:t>
      </w:r>
      <w:r w:rsidR="000F31DD">
        <w:t xml:space="preserve"> </w:t>
      </w:r>
      <w:r w:rsidR="004B44D5">
        <w:t>3</w:t>
      </w:r>
      <w:r w:rsidR="000F31DD">
        <w:t xml:space="preserve"> also shows average family size among parents only; </w:t>
      </w:r>
      <w:r w:rsidR="0030466A" w:rsidRPr="0030466A">
        <w:t xml:space="preserve">educational </w:t>
      </w:r>
      <w:r>
        <w:t xml:space="preserve">differences </w:t>
      </w:r>
      <w:r w:rsidR="000F31DD">
        <w:t xml:space="preserve">in average family size </w:t>
      </w:r>
      <w:r w:rsidR="0030466A" w:rsidRPr="0030466A">
        <w:t>narrow once childlessness is accounted for</w:t>
      </w:r>
      <w:r>
        <w:t>,</w:t>
      </w:r>
      <w:r w:rsidR="0030466A" w:rsidRPr="0030466A">
        <w:t xml:space="preserve"> meaning childlessness drives some of the educational patterns of average family size</w:t>
      </w:r>
      <w:r w:rsidR="000F31DD">
        <w:t>, albeit not all</w:t>
      </w:r>
      <w:r w:rsidR="00D866E0">
        <w:t>.</w:t>
      </w:r>
      <w:r w:rsidR="000F31DD">
        <w:t xml:space="preserve"> In other words, educational differences in childlessness translate into educational differences in average completed family size.</w:t>
      </w:r>
    </w:p>
    <w:p w14:paraId="54155ACD" w14:textId="3C0E90DE" w:rsidR="00B21ECC" w:rsidRDefault="00A27FC0" w:rsidP="0037557C">
      <w:pPr>
        <w:pStyle w:val="Heading4"/>
      </w:pPr>
      <w:r>
        <w:t xml:space="preserve">Figure </w:t>
      </w:r>
      <w:r w:rsidR="00C86F93">
        <w:t>3</w:t>
      </w:r>
      <w:r>
        <w:t>. Average family size at age 40</w:t>
      </w:r>
      <w:r w:rsidR="00577FF7">
        <w:t>,</w:t>
      </w:r>
      <w:r w:rsidR="00F338F1">
        <w:t xml:space="preserve"> by educational attainment</w:t>
      </w:r>
      <w:r w:rsidR="004D4D1C">
        <w:t xml:space="preserve"> and birth cohort</w:t>
      </w:r>
      <w:r>
        <w:t xml:space="preserve"> </w:t>
      </w:r>
    </w:p>
    <w:p w14:paraId="64AD12D9" w14:textId="77B0BB9B" w:rsidR="00252133" w:rsidRDefault="0016714A" w:rsidP="00252133">
      <w:pPr>
        <w:pStyle w:val="NormalWeb"/>
      </w:pPr>
      <w:r>
        <w:rPr>
          <w:noProof/>
        </w:rPr>
        <mc:AlternateContent>
          <mc:Choice Requires="wps">
            <w:drawing>
              <wp:anchor distT="45720" distB="45720" distL="114300" distR="114300" simplePos="0" relativeHeight="251651072" behindDoc="0" locked="0" layoutInCell="1" allowOverlap="1" wp14:anchorId="7EDFBD0F" wp14:editId="1EAC47A3">
                <wp:simplePos x="0" y="0"/>
                <wp:positionH relativeFrom="column">
                  <wp:posOffset>4243717</wp:posOffset>
                </wp:positionH>
                <wp:positionV relativeFrom="paragraph">
                  <wp:posOffset>4799605</wp:posOffset>
                </wp:positionV>
                <wp:extent cx="502182" cy="204418"/>
                <wp:effectExtent l="0" t="152400" r="12700" b="1581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0013">
                          <a:off x="0" y="0"/>
                          <a:ext cx="502182" cy="204418"/>
                        </a:xfrm>
                        <a:prstGeom prst="rect">
                          <a:avLst/>
                        </a:prstGeom>
                        <a:solidFill>
                          <a:srgbClr val="FFFFFF"/>
                        </a:solidFill>
                        <a:ln w="9525">
                          <a:noFill/>
                          <a:miter lim="800000"/>
                          <a:headEnd/>
                          <a:tailEnd/>
                        </a:ln>
                      </wps:spPr>
                      <wps:txbx>
                        <w:txbxContent>
                          <w:p w14:paraId="53A30BC2" w14:textId="7E540EBF" w:rsidR="00067D30" w:rsidRPr="00D90C11" w:rsidRDefault="00067D30" w:rsidP="00067D30">
                            <w:pPr>
                              <w:rPr>
                                <w:rFonts w:ascii="Arial" w:hAnsi="Arial" w:cs="Arial"/>
                                <w:sz w:val="18"/>
                                <w:szCs w:val="18"/>
                              </w:rPr>
                            </w:pPr>
                            <w:r w:rsidRPr="00D90C11">
                              <w:rPr>
                                <w:rFonts w:ascii="Arial" w:hAnsi="Arial" w:cs="Arial"/>
                                <w:sz w:val="18"/>
                                <w:szCs w:val="18"/>
                              </w:rPr>
                              <w:t>196</w:t>
                            </w:r>
                            <w:r w:rsidR="006A0CB3" w:rsidRPr="00D90C11">
                              <w:rPr>
                                <w:rFonts w:ascii="Arial" w:hAnsi="Arial" w:cs="Arial"/>
                                <w:sz w:val="18"/>
                                <w:szCs w:val="18"/>
                              </w:rPr>
                              <w:t>6</w:t>
                            </w:r>
                            <w:r w:rsidRPr="00D90C11">
                              <w:rPr>
                                <w:rFonts w:ascii="Arial" w:hAnsi="Arial" w:cs="Arial"/>
                                <w:sz w:val="18"/>
                                <w:szCs w:val="18"/>
                              </w:rPr>
                              <w:t>-69</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FBD0F" id="_x0000_s1027" type="#_x0000_t202" style="position:absolute;margin-left:334.15pt;margin-top:377.9pt;width:39.55pt;height:16.1pt;rotation:-2872647fd;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" stroked="f">
                <v:textbox inset="1mm,1mm,1mm,1mm">
                  <w:txbxContent>
                    <w:p w14:paraId="53A30BC2" w14:textId="7E540EBF" w:rsidR="00067D30" w:rsidRPr="00D90C11" w:rsidRDefault="00067D30" w:rsidP="00067D30">
                      <w:pPr>
                        <w:rPr>
                          <w:rFonts w:ascii="Arial" w:hAnsi="Arial" w:cs="Arial"/>
                          <w:sz w:val="18"/>
                          <w:szCs w:val="18"/>
                        </w:rPr>
                      </w:pPr>
                      <w:r w:rsidRPr="00D90C11">
                        <w:rPr>
                          <w:rFonts w:ascii="Arial" w:hAnsi="Arial" w:cs="Arial"/>
                          <w:sz w:val="18"/>
                          <w:szCs w:val="18"/>
                        </w:rPr>
                        <w:t>196</w:t>
                      </w:r>
                      <w:r w:rsidR="006A0CB3" w:rsidRPr="00D90C11">
                        <w:rPr>
                          <w:rFonts w:ascii="Arial" w:hAnsi="Arial" w:cs="Arial"/>
                          <w:sz w:val="18"/>
                          <w:szCs w:val="18"/>
                        </w:rPr>
                        <w:t>6</w:t>
                      </w:r>
                      <w:r w:rsidRPr="00D90C11">
                        <w:rPr>
                          <w:rFonts w:ascii="Arial" w:hAnsi="Arial" w:cs="Arial"/>
                          <w:sz w:val="18"/>
                          <w:szCs w:val="18"/>
                        </w:rPr>
                        <w:t>-69</w:t>
                      </w:r>
                    </w:p>
                  </w:txbxContent>
                </v:textbox>
              </v:shape>
            </w:pict>
          </mc:Fallback>
        </mc:AlternateContent>
      </w:r>
      <w:r w:rsidR="00252133">
        <w:rPr>
          <w:noProof/>
        </w:rPr>
        <w:drawing>
          <wp:inline distT="0" distB="0" distL="0" distR="0" wp14:anchorId="0D5DDB27" wp14:editId="636F2E08">
            <wp:extent cx="5710687" cy="5710687"/>
            <wp:effectExtent l="0" t="0" r="444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2008" cy="5712008"/>
                    </a:xfrm>
                    <a:prstGeom prst="rect">
                      <a:avLst/>
                    </a:prstGeom>
                    <a:noFill/>
                    <a:ln>
                      <a:noFill/>
                    </a:ln>
                  </pic:spPr>
                </pic:pic>
              </a:graphicData>
            </a:graphic>
          </wp:inline>
        </w:drawing>
      </w:r>
    </w:p>
    <w:p w14:paraId="5FFBBECF" w14:textId="77777777" w:rsidR="00D90C11" w:rsidRPr="00580A53" w:rsidRDefault="00D43B32" w:rsidP="00D90C11">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orthern Ireland Longitudinal Study</w:t>
      </w:r>
      <w:r w:rsidR="00D90C11">
        <w:rPr>
          <w:i/>
          <w:iCs/>
        </w:rPr>
        <w:t xml:space="preserve"> (NB NILS earliest data point is for 1966-69 birth cohort)</w:t>
      </w:r>
    </w:p>
    <w:p w14:paraId="6D17D1BC" w14:textId="7E5CA8DC" w:rsidR="00F251F2" w:rsidRDefault="00586899" w:rsidP="00837940">
      <w:pPr>
        <w:pStyle w:val="Heading3"/>
      </w:pPr>
      <w:r>
        <w:t>4</w:t>
      </w:r>
      <w:r w:rsidR="005B0BBC">
        <w:t>.</w:t>
      </w:r>
      <w:r w:rsidR="00531395">
        <w:t>2</w:t>
      </w:r>
      <w:r w:rsidR="005B0BBC">
        <w:t xml:space="preserve"> </w:t>
      </w:r>
      <w:r w:rsidR="00F251F2">
        <w:t xml:space="preserve">Mean age at first birth </w:t>
      </w:r>
    </w:p>
    <w:p w14:paraId="6BEEC96F" w14:textId="246D0023" w:rsidR="006C5006" w:rsidRDefault="006C5006" w:rsidP="006C5006">
      <w:pPr>
        <w:pStyle w:val="Heading4"/>
      </w:pPr>
      <w:r>
        <w:t>Figure 4. Mean age at first birth, by educational attainment and birth cohort</w:t>
      </w:r>
    </w:p>
    <w:p w14:paraId="275FD351" w14:textId="04AB07C6" w:rsidR="00EB6FB4" w:rsidRDefault="00252133" w:rsidP="00EB6FB4">
      <w:pPr>
        <w:pStyle w:val="NormalWeb"/>
      </w:pPr>
      <w:r>
        <w:rPr>
          <w:noProof/>
        </w:rPr>
        <mc:AlternateContent>
          <mc:Choice Requires="wps">
            <w:drawing>
              <wp:anchor distT="45720" distB="45720" distL="114300" distR="114300" simplePos="0" relativeHeight="251675648" behindDoc="0" locked="0" layoutInCell="1" allowOverlap="1" wp14:anchorId="55C9F1BA" wp14:editId="6A18DF8F">
                <wp:simplePos x="0" y="0"/>
                <wp:positionH relativeFrom="column">
                  <wp:posOffset>4104640</wp:posOffset>
                </wp:positionH>
                <wp:positionV relativeFrom="paragraph">
                  <wp:posOffset>2742829</wp:posOffset>
                </wp:positionV>
                <wp:extent cx="502182" cy="204418"/>
                <wp:effectExtent l="0" t="152400" r="12700" b="1581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0013">
                          <a:off x="0" y="0"/>
                          <a:ext cx="502182" cy="204418"/>
                        </a:xfrm>
                        <a:prstGeom prst="rect">
                          <a:avLst/>
                        </a:prstGeom>
                        <a:solidFill>
                          <a:srgbClr val="FFFFFF"/>
                        </a:solidFill>
                        <a:ln w="9525">
                          <a:noFill/>
                          <a:miter lim="800000"/>
                          <a:headEnd/>
                          <a:tailEnd/>
                        </a:ln>
                      </wps:spPr>
                      <wps:txbx>
                        <w:txbxContent>
                          <w:p w14:paraId="3686EA47" w14:textId="77777777" w:rsidR="006C5006" w:rsidRPr="00067D30" w:rsidRDefault="006C5006" w:rsidP="006C5006">
                            <w:pPr>
                              <w:rPr>
                                <w:rFonts w:ascii="Arial" w:hAnsi="Arial" w:cs="Arial"/>
                                <w:sz w:val="16"/>
                                <w:szCs w:val="16"/>
                              </w:rPr>
                            </w:pPr>
                            <w:r w:rsidRPr="00067D30">
                              <w:rPr>
                                <w:rFonts w:ascii="Arial" w:hAnsi="Arial" w:cs="Arial"/>
                                <w:sz w:val="16"/>
                                <w:szCs w:val="16"/>
                              </w:rPr>
                              <w:t>196</w:t>
                            </w:r>
                            <w:r>
                              <w:rPr>
                                <w:rFonts w:ascii="Arial" w:hAnsi="Arial" w:cs="Arial"/>
                                <w:sz w:val="16"/>
                                <w:szCs w:val="16"/>
                              </w:rPr>
                              <w:t>6</w:t>
                            </w:r>
                            <w:r w:rsidRPr="00067D30">
                              <w:rPr>
                                <w:rFonts w:ascii="Arial" w:hAnsi="Arial" w:cs="Arial"/>
                                <w:sz w:val="16"/>
                                <w:szCs w:val="16"/>
                              </w:rPr>
                              <w:t>-69</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9F1BA" id="Text Box 3" o:spid="_x0000_s1028" type="#_x0000_t202" style="position:absolute;margin-left:323.2pt;margin-top:215.95pt;width:39.55pt;height:16.1pt;rotation:-2872647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" stroked="f">
                <v:textbox inset="1mm,1mm,1mm,1mm">
                  <w:txbxContent>
                    <w:p w14:paraId="3686EA47" w14:textId="77777777" w:rsidR="006C5006" w:rsidRPr="00067D30" w:rsidRDefault="006C5006" w:rsidP="006C5006">
                      <w:pPr>
                        <w:rPr>
                          <w:rFonts w:ascii="Arial" w:hAnsi="Arial" w:cs="Arial"/>
                          <w:sz w:val="16"/>
                          <w:szCs w:val="16"/>
                        </w:rPr>
                      </w:pPr>
                      <w:r w:rsidRPr="00067D30">
                        <w:rPr>
                          <w:rFonts w:ascii="Arial" w:hAnsi="Arial" w:cs="Arial"/>
                          <w:sz w:val="16"/>
                          <w:szCs w:val="16"/>
                        </w:rPr>
                        <w:t>196</w:t>
                      </w:r>
                      <w:r>
                        <w:rPr>
                          <w:rFonts w:ascii="Arial" w:hAnsi="Arial" w:cs="Arial"/>
                          <w:sz w:val="16"/>
                          <w:szCs w:val="16"/>
                        </w:rPr>
                        <w:t>6</w:t>
                      </w:r>
                      <w:r w:rsidRPr="00067D30">
                        <w:rPr>
                          <w:rFonts w:ascii="Arial" w:hAnsi="Arial" w:cs="Arial"/>
                          <w:sz w:val="16"/>
                          <w:szCs w:val="16"/>
                        </w:rPr>
                        <w:t>-69</w:t>
                      </w:r>
                    </w:p>
                  </w:txbxContent>
                </v:textbox>
              </v:shape>
            </w:pict>
          </mc:Fallback>
        </mc:AlternateContent>
      </w:r>
      <w:r w:rsidR="00EB6FB4">
        <w:rPr>
          <w:noProof/>
        </w:rPr>
        <w:drawing>
          <wp:inline distT="0" distB="0" distL="0" distR="0" wp14:anchorId="7484D803" wp14:editId="7FA7D9E2">
            <wp:extent cx="5347941" cy="356472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2842" cy="3574654"/>
                    </a:xfrm>
                    <a:prstGeom prst="rect">
                      <a:avLst/>
                    </a:prstGeom>
                    <a:noFill/>
                    <a:ln>
                      <a:noFill/>
                    </a:ln>
                  </pic:spPr>
                </pic:pic>
              </a:graphicData>
            </a:graphic>
          </wp:inline>
        </w:drawing>
      </w:r>
    </w:p>
    <w:p w14:paraId="42B285F5" w14:textId="77777777" w:rsidR="006C5006" w:rsidRPr="00580A53" w:rsidRDefault="006C5006" w:rsidP="006C5006">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orthern Ireland Longitudinal Study</w:t>
      </w:r>
    </w:p>
    <w:p w14:paraId="38F14A76" w14:textId="397F0B73" w:rsidR="00F251F2" w:rsidRDefault="008E7915" w:rsidP="00F338F1">
      <w:pPr>
        <w:spacing w:line="480" w:lineRule="auto"/>
      </w:pPr>
      <w:bookmarkStart w:id="9" w:name="_Hlk158131417"/>
      <w:r>
        <w:t>Overall, the mean age at first birth has increased across cohorts for all the UK’s countries</w:t>
      </w:r>
      <w:r w:rsidR="004B44D5">
        <w:t xml:space="preserve"> (</w:t>
      </w:r>
      <w:r w:rsidR="0070659A">
        <w:t>Figure 4, Appendix 3</w:t>
      </w:r>
      <w:r w:rsidR="004B44D5">
        <w:t>)</w:t>
      </w:r>
      <w:r w:rsidR="00065BB5">
        <w:t xml:space="preserve">. </w:t>
      </w:r>
      <w:r>
        <w:t>However, t</w:t>
      </w:r>
      <w:r w:rsidR="004844EE">
        <w:t xml:space="preserve">here are </w:t>
      </w:r>
      <w:r w:rsidR="00777EE6">
        <w:t xml:space="preserve">persistent, </w:t>
      </w:r>
      <w:r w:rsidR="004844EE">
        <w:t>significant</w:t>
      </w:r>
      <w:r w:rsidR="00777EE6">
        <w:t>, and widening</w:t>
      </w:r>
      <w:r w:rsidR="004844EE">
        <w:t xml:space="preserve"> educational differences in the mean age at first birth</w:t>
      </w:r>
      <w:r w:rsidR="00343099">
        <w:t>.</w:t>
      </w:r>
      <w:r w:rsidR="00065BB5">
        <w:t xml:space="preserve"> </w:t>
      </w:r>
      <w:bookmarkEnd w:id="9"/>
      <w:r w:rsidR="00065BB5">
        <w:t xml:space="preserve">Broadly, there has been </w:t>
      </w:r>
      <w:r w:rsidR="00033AE7">
        <w:t>only limited (if any)</w:t>
      </w:r>
      <w:r w:rsidR="00065BB5">
        <w:t xml:space="preserve"> increase in mean age at first birth among the lea</w:t>
      </w:r>
      <w:r w:rsidR="0089163F">
        <w:t>st educated, while medium and highly educated groups have experienced consistent increase</w:t>
      </w:r>
      <w:r w:rsidR="00D066C9">
        <w:t xml:space="preserve"> or stabilization</w:t>
      </w:r>
      <w:r w:rsidR="0089163F">
        <w:t>. The one exception is for the youngest highly and medium educated cohorts in Scotland and Northern Ireland, whose mean age at first birth decreased.</w:t>
      </w:r>
      <w:r w:rsidR="00E53EA2">
        <w:t xml:space="preserve"> </w:t>
      </w:r>
      <w:r w:rsidR="00D066C9" w:rsidRPr="00D066C9">
        <w:t>Interesting</w:t>
      </w:r>
      <w:r w:rsidR="00D066C9">
        <w:t xml:space="preserve">ly, </w:t>
      </w:r>
      <w:r w:rsidR="00D066C9" w:rsidRPr="00D066C9">
        <w:t xml:space="preserve">the overall mean age at first birth </w:t>
      </w:r>
      <w:r w:rsidR="00D066C9">
        <w:t xml:space="preserve">has increased across each cohort for all countries, </w:t>
      </w:r>
      <w:r w:rsidR="00D066C9" w:rsidRPr="00D066C9">
        <w:t>despite some decrease</w:t>
      </w:r>
      <w:r w:rsidR="00D066C9">
        <w:t>s</w:t>
      </w:r>
      <w:r w:rsidR="00D066C9" w:rsidRPr="00D066C9">
        <w:t xml:space="preserve"> or stabilization</w:t>
      </w:r>
      <w:r w:rsidR="00BF0D90">
        <w:t xml:space="preserve"> in individual</w:t>
      </w:r>
      <w:r w:rsidR="00D066C9">
        <w:t xml:space="preserve"> educational groups, </w:t>
      </w:r>
      <w:r w:rsidR="00D066C9" w:rsidRPr="00D066C9">
        <w:t xml:space="preserve">presumably due to shifting composition of population towards being higher educated. </w:t>
      </w:r>
      <w:r w:rsidR="00E53EA2">
        <w:t xml:space="preserve">Across </w:t>
      </w:r>
      <w:r w:rsidR="00BF0D90">
        <w:t xml:space="preserve">the </w:t>
      </w:r>
      <w:r w:rsidR="00E53EA2">
        <w:t xml:space="preserve">countries, the </w:t>
      </w:r>
      <w:r w:rsidR="00BF0D90">
        <w:t xml:space="preserve">overall </w:t>
      </w:r>
      <w:r w:rsidR="00E53EA2">
        <w:t>average mean age at first birth was lower in Northern Ireland, compared with the rest of the UK</w:t>
      </w:r>
      <w:r w:rsidR="00BF0D90">
        <w:t xml:space="preserve"> as well as lower in each educational group when compared with England and Wales, meaning </w:t>
      </w:r>
      <w:r w:rsidR="0099507F">
        <w:t xml:space="preserve">larger families </w:t>
      </w:r>
      <w:r w:rsidR="00BF0D90">
        <w:t>in Northern Ireland</w:t>
      </w:r>
      <w:r w:rsidR="0099507F">
        <w:t xml:space="preserve"> </w:t>
      </w:r>
      <w:r w:rsidR="004B44D5">
        <w:t xml:space="preserve">(Figure 3) </w:t>
      </w:r>
      <w:r w:rsidR="00BF0D90">
        <w:t>may be linked to earl</w:t>
      </w:r>
      <w:r w:rsidR="0099507F">
        <w:t>ier</w:t>
      </w:r>
      <w:r w:rsidR="00BF0D90">
        <w:t xml:space="preserve"> entry into motherhood. </w:t>
      </w:r>
    </w:p>
    <w:p w14:paraId="2727FE43" w14:textId="720F5508" w:rsidR="00617580" w:rsidRDefault="00586899" w:rsidP="00837940">
      <w:pPr>
        <w:pStyle w:val="Heading3"/>
      </w:pPr>
      <w:r>
        <w:t>4</w:t>
      </w:r>
      <w:r w:rsidR="005B0BBC">
        <w:t>.</w:t>
      </w:r>
      <w:r w:rsidR="00531395">
        <w:t>3</w:t>
      </w:r>
      <w:r w:rsidR="005B0BBC">
        <w:t xml:space="preserve"> </w:t>
      </w:r>
      <w:r w:rsidR="00617580">
        <w:t xml:space="preserve">Childlessness </w:t>
      </w:r>
    </w:p>
    <w:p w14:paraId="6C2712E7" w14:textId="2C622018" w:rsidR="00D33551" w:rsidRPr="0033688D" w:rsidRDefault="00D33551" w:rsidP="00F338F1">
      <w:pPr>
        <w:spacing w:line="480" w:lineRule="auto"/>
      </w:pPr>
      <w:r>
        <w:t xml:space="preserve">Figure </w:t>
      </w:r>
      <w:r w:rsidR="0070659A">
        <w:t>5</w:t>
      </w:r>
      <w:r>
        <w:t xml:space="preserve"> </w:t>
      </w:r>
      <w:r w:rsidRPr="0033688D">
        <w:t>shows the p</w:t>
      </w:r>
      <w:r w:rsidR="007645D5">
        <w:t xml:space="preserve">roportion </w:t>
      </w:r>
      <w:r w:rsidRPr="0033688D">
        <w:t>of women without children at age 40, by cohort</w:t>
      </w:r>
      <w:r w:rsidR="008B57DA">
        <w:t xml:space="preserve"> and by educational attainment</w:t>
      </w:r>
      <w:r w:rsidRPr="0033688D">
        <w:t xml:space="preserve">. </w:t>
      </w:r>
      <w:r w:rsidR="008B57DA">
        <w:t>Overall c</w:t>
      </w:r>
      <w:r w:rsidRPr="0033688D">
        <w:t xml:space="preserve">hildlessness </w:t>
      </w:r>
      <w:r>
        <w:t>was historically</w:t>
      </w:r>
      <w:r w:rsidRPr="0033688D">
        <w:t xml:space="preserve"> highe</w:t>
      </w:r>
      <w:r>
        <w:t>st</w:t>
      </w:r>
      <w:r w:rsidRPr="0033688D">
        <w:t xml:space="preserve"> in England and Wales </w:t>
      </w:r>
      <w:r w:rsidR="00295449">
        <w:t>but the youngest Scottish cohorts have caught up and now have similar levels of childlessness</w:t>
      </w:r>
      <w:r w:rsidRPr="0033688D">
        <w:t xml:space="preserve">. </w:t>
      </w:r>
      <w:r w:rsidR="00295449">
        <w:t>B</w:t>
      </w:r>
      <w:r w:rsidRPr="0033688D">
        <w:t>oth peaked at about 23</w:t>
      </w:r>
      <w:r w:rsidR="00492566">
        <w:t>%</w:t>
      </w:r>
      <w:r w:rsidRPr="0033688D">
        <w:t xml:space="preserve"> and then</w:t>
      </w:r>
      <w:r w:rsidR="00DF6058">
        <w:t xml:space="preserve"> declined slightly for the youngest cohort</w:t>
      </w:r>
      <w:r w:rsidRPr="0033688D">
        <w:t>. This tells us that although cohort fertility is lower in Scotland, it</w:t>
      </w:r>
      <w:r w:rsidR="00DF6058">
        <w:t xml:space="preserve"> is</w:t>
      </w:r>
      <w:r w:rsidRPr="0033688D">
        <w:t xml:space="preserve"> not because of childlessness.</w:t>
      </w:r>
      <w:r>
        <w:t xml:space="preserve"> Northern Ireland has lower </w:t>
      </w:r>
      <w:r w:rsidR="008B57DA">
        <w:t xml:space="preserve">overall </w:t>
      </w:r>
      <w:r>
        <w:t xml:space="preserve">childlessness than the other countries but </w:t>
      </w:r>
      <w:r w:rsidR="00194E7E">
        <w:t>childlessness has</w:t>
      </w:r>
      <w:r>
        <w:t xml:space="preserve"> also been </w:t>
      </w:r>
      <w:r w:rsidR="00194E7E">
        <w:t>rising</w:t>
      </w:r>
      <w:r w:rsidR="00EE562D">
        <w:t xml:space="preserve"> to a high of nearly 20</w:t>
      </w:r>
      <w:r w:rsidR="00492566">
        <w:t>%</w:t>
      </w:r>
      <w:r w:rsidR="00194E7E">
        <w:t xml:space="preserve">; however, it does not </w:t>
      </w:r>
      <w:r>
        <w:t>decrease with th</w:t>
      </w:r>
      <w:r w:rsidR="00194E7E">
        <w:t>e</w:t>
      </w:r>
      <w:r>
        <w:t xml:space="preserve"> youngest cohort like</w:t>
      </w:r>
      <w:r w:rsidR="00194E7E">
        <w:t xml:space="preserve"> </w:t>
      </w:r>
      <w:r w:rsidR="0099507F">
        <w:t xml:space="preserve">in </w:t>
      </w:r>
      <w:r w:rsidR="00194E7E">
        <w:t>England and Wales and Scotland</w:t>
      </w:r>
      <w:r w:rsidR="0054665B">
        <w:t xml:space="preserve"> and the rise across cohorts is not significant</w:t>
      </w:r>
      <w:r w:rsidR="00194E7E">
        <w:t>.</w:t>
      </w:r>
      <w:r w:rsidR="007645D5">
        <w:t xml:space="preserve"> The PPR from childless to first birth also shows a similar pattern across countries</w:t>
      </w:r>
      <w:r w:rsidR="0070659A">
        <w:t xml:space="preserve"> (Appendix 4</w:t>
      </w:r>
      <w:r w:rsidR="003B4ABD">
        <w:t>, Table 1</w:t>
      </w:r>
      <w:r w:rsidR="0070659A">
        <w:t>)</w:t>
      </w:r>
      <w:r w:rsidR="007645D5">
        <w:t xml:space="preserve">. </w:t>
      </w:r>
    </w:p>
    <w:p w14:paraId="1DB06954" w14:textId="1A942625" w:rsidR="00617580" w:rsidRDefault="00617580" w:rsidP="0037557C">
      <w:pPr>
        <w:pStyle w:val="Heading4"/>
      </w:pPr>
      <w:r w:rsidRPr="00E413AC">
        <w:t xml:space="preserve">Figure </w:t>
      </w:r>
      <w:r w:rsidR="006C5006">
        <w:t>5</w:t>
      </w:r>
      <w:r w:rsidRPr="00E413AC">
        <w:t xml:space="preserve"> – </w:t>
      </w:r>
      <w:r w:rsidR="00E67FD4" w:rsidRPr="00E413AC">
        <w:t>P</w:t>
      </w:r>
      <w:r w:rsidR="00E67FD4">
        <w:t>roportion</w:t>
      </w:r>
      <w:r w:rsidR="00E67FD4" w:rsidRPr="00E413AC">
        <w:t xml:space="preserve"> of women without children at age 40, by </w:t>
      </w:r>
      <w:r w:rsidR="00E67FD4">
        <w:t xml:space="preserve">birth </w:t>
      </w:r>
      <w:r w:rsidR="00E67FD4" w:rsidRPr="00E413AC">
        <w:t>cohort and education</w:t>
      </w:r>
      <w:r w:rsidR="00E67FD4">
        <w:t>al attainment</w:t>
      </w:r>
      <w:r w:rsidR="00E67FD4" w:rsidRPr="00E413AC">
        <w:t xml:space="preserve"> with 95% confidence interval</w:t>
      </w:r>
      <w:r w:rsidR="00E67FD4">
        <w:t xml:space="preserve"> </w:t>
      </w:r>
    </w:p>
    <w:p w14:paraId="27AC1E4C" w14:textId="40880905" w:rsidR="0036638F" w:rsidRDefault="0036638F" w:rsidP="0036638F">
      <w:pPr>
        <w:pStyle w:val="NormalWeb"/>
      </w:pPr>
      <w:r>
        <w:rPr>
          <w:noProof/>
        </w:rPr>
        <mc:AlternateContent>
          <mc:Choice Requires="wps">
            <w:drawing>
              <wp:anchor distT="45720" distB="45720" distL="114300" distR="114300" simplePos="0" relativeHeight="251673600" behindDoc="0" locked="0" layoutInCell="1" allowOverlap="1" wp14:anchorId="5A70CDCC" wp14:editId="26271268">
                <wp:simplePos x="0" y="0"/>
                <wp:positionH relativeFrom="column">
                  <wp:posOffset>4432671</wp:posOffset>
                </wp:positionH>
                <wp:positionV relativeFrom="paragraph">
                  <wp:posOffset>2888615</wp:posOffset>
                </wp:positionV>
                <wp:extent cx="524074" cy="222776"/>
                <wp:effectExtent l="0" t="152400" r="9525" b="1587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0013">
                          <a:off x="0" y="0"/>
                          <a:ext cx="524074" cy="222776"/>
                        </a:xfrm>
                        <a:prstGeom prst="rect">
                          <a:avLst/>
                        </a:prstGeom>
                        <a:solidFill>
                          <a:srgbClr val="FFFFFF"/>
                        </a:solidFill>
                        <a:ln w="9525">
                          <a:noFill/>
                          <a:miter lim="800000"/>
                          <a:headEnd/>
                          <a:tailEnd/>
                        </a:ln>
                      </wps:spPr>
                      <wps:txbx>
                        <w:txbxContent>
                          <w:p w14:paraId="6AB337DA" w14:textId="77777777" w:rsidR="00EC31A5" w:rsidRPr="00D90C11" w:rsidRDefault="00EC31A5" w:rsidP="00EC31A5">
                            <w:pPr>
                              <w:rPr>
                                <w:rFonts w:ascii="Arial" w:hAnsi="Arial" w:cs="Arial"/>
                                <w:sz w:val="18"/>
                                <w:szCs w:val="18"/>
                              </w:rPr>
                            </w:pPr>
                            <w:r w:rsidRPr="00D90C11">
                              <w:rPr>
                                <w:rFonts w:ascii="Arial" w:hAnsi="Arial" w:cs="Arial"/>
                                <w:sz w:val="18"/>
                                <w:szCs w:val="18"/>
                              </w:rPr>
                              <w:t>1966-69</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0CDCC" id="Text Box 21" o:spid="_x0000_s1029" type="#_x0000_t202" style="position:absolute;margin-left:349.05pt;margin-top:227.45pt;width:41.25pt;height:17.55pt;rotation:-2872647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" stroked="f">
                <v:textbox inset="1mm,1mm,1mm,1mm">
                  <w:txbxContent>
                    <w:p w14:paraId="6AB337DA" w14:textId="77777777" w:rsidR="00EC31A5" w:rsidRPr="00D90C11" w:rsidRDefault="00EC31A5" w:rsidP="00EC31A5">
                      <w:pPr>
                        <w:rPr>
                          <w:rFonts w:ascii="Arial" w:hAnsi="Arial" w:cs="Arial"/>
                          <w:sz w:val="18"/>
                          <w:szCs w:val="18"/>
                        </w:rPr>
                      </w:pPr>
                      <w:r w:rsidRPr="00D90C11">
                        <w:rPr>
                          <w:rFonts w:ascii="Arial" w:hAnsi="Arial" w:cs="Arial"/>
                          <w:sz w:val="18"/>
                          <w:szCs w:val="18"/>
                        </w:rPr>
                        <w:t>1966-69</w:t>
                      </w:r>
                    </w:p>
                  </w:txbxContent>
                </v:textbox>
              </v:shape>
            </w:pict>
          </mc:Fallback>
        </mc:AlternateContent>
      </w:r>
      <w:r>
        <w:rPr>
          <w:noProof/>
        </w:rPr>
        <w:drawing>
          <wp:inline distT="0" distB="0" distL="0" distR="0" wp14:anchorId="091938FE" wp14:editId="48C0B26E">
            <wp:extent cx="5732253" cy="3821502"/>
            <wp:effectExtent l="0" t="0" r="190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597" cy="3822398"/>
                    </a:xfrm>
                    <a:prstGeom prst="rect">
                      <a:avLst/>
                    </a:prstGeom>
                    <a:noFill/>
                    <a:ln>
                      <a:noFill/>
                    </a:ln>
                  </pic:spPr>
                </pic:pic>
              </a:graphicData>
            </a:graphic>
          </wp:inline>
        </w:drawing>
      </w:r>
    </w:p>
    <w:p w14:paraId="298F69FF" w14:textId="488AB439" w:rsidR="00D43B32" w:rsidRPr="00580A53" w:rsidRDefault="00D43B32" w:rsidP="00D43B32">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orthern Ireland Longitudinal Study</w:t>
      </w:r>
      <w:r w:rsidR="00577FF7">
        <w:rPr>
          <w:i/>
          <w:iCs/>
        </w:rPr>
        <w:t xml:space="preserve"> (NB NILS </w:t>
      </w:r>
      <w:r w:rsidR="005818AE">
        <w:rPr>
          <w:i/>
          <w:iCs/>
        </w:rPr>
        <w:t xml:space="preserve">earliest </w:t>
      </w:r>
      <w:r w:rsidR="00577FF7">
        <w:rPr>
          <w:i/>
          <w:iCs/>
        </w:rPr>
        <w:t>data point is for 1966-69 birth cohort)</w:t>
      </w:r>
    </w:p>
    <w:p w14:paraId="5942EFB8" w14:textId="1F6CDDE9" w:rsidR="00E40A0A" w:rsidRDefault="00EE562D" w:rsidP="00F338F1">
      <w:pPr>
        <w:spacing w:line="480" w:lineRule="auto"/>
      </w:pPr>
      <w:r>
        <w:t>However, childlessness follow</w:t>
      </w:r>
      <w:r w:rsidR="007645D5">
        <w:t>ed</w:t>
      </w:r>
      <w:r>
        <w:t xml:space="preserve"> different patterns depending on educational group (Figure </w:t>
      </w:r>
      <w:r w:rsidR="003B4ABD">
        <w:t>5</w:t>
      </w:r>
      <w:r>
        <w:t xml:space="preserve">). </w:t>
      </w:r>
      <w:bookmarkStart w:id="10" w:name="_Hlk158132110"/>
      <w:r w:rsidR="00E40A0A" w:rsidRPr="00EE562D">
        <w:t>For all countries, there is a significant difference in childlessness between educational groups, showing a positive educational gradient of childlessness- the more educated</w:t>
      </w:r>
      <w:r w:rsidR="00E40A0A">
        <w:t xml:space="preserve"> being more </w:t>
      </w:r>
      <w:r w:rsidR="00E40A0A" w:rsidRPr="00EE562D">
        <w:t xml:space="preserve">likely </w:t>
      </w:r>
      <w:r w:rsidR="00E40A0A">
        <w:t xml:space="preserve">to be </w:t>
      </w:r>
      <w:r w:rsidR="00E40A0A" w:rsidRPr="00EE562D">
        <w:t>childless</w:t>
      </w:r>
      <w:r w:rsidR="007645D5">
        <w:t>, also reflected in a persistently negative educational pattern of parity progression from childless to first birth</w:t>
      </w:r>
      <w:r w:rsidR="00E40A0A" w:rsidRPr="00EE562D">
        <w:t xml:space="preserve">. </w:t>
      </w:r>
      <w:bookmarkEnd w:id="10"/>
      <w:r w:rsidRPr="00EE562D">
        <w:t>In both Scotland</w:t>
      </w:r>
      <w:r w:rsidR="00EB0245">
        <w:t>,</w:t>
      </w:r>
      <w:r w:rsidRPr="00EE562D">
        <w:t xml:space="preserve"> </w:t>
      </w:r>
      <w:r w:rsidR="00BD5F92">
        <w:t xml:space="preserve">and </w:t>
      </w:r>
      <w:r w:rsidRPr="00EE562D">
        <w:t xml:space="preserve">England </w:t>
      </w:r>
      <w:r w:rsidR="00BD5F92">
        <w:t>and</w:t>
      </w:r>
      <w:r w:rsidRPr="00EE562D">
        <w:t xml:space="preserve"> Wales, there </w:t>
      </w:r>
      <w:r w:rsidR="00BD5F92">
        <w:t xml:space="preserve">was </w:t>
      </w:r>
      <w:r w:rsidRPr="00EE562D">
        <w:t>an upside</w:t>
      </w:r>
      <w:r w:rsidR="003B4ABD">
        <w:t>-</w:t>
      </w:r>
      <w:r w:rsidRPr="00EE562D">
        <w:t>down U</w:t>
      </w:r>
      <w:r w:rsidR="00A91909">
        <w:t>-</w:t>
      </w:r>
      <w:r w:rsidRPr="00EE562D">
        <w:t>shaped pattern</w:t>
      </w:r>
      <w:r>
        <w:t xml:space="preserve"> for highly and medium educated groups where </w:t>
      </w:r>
      <w:r w:rsidR="007645D5">
        <w:t xml:space="preserve">the proportion </w:t>
      </w:r>
      <w:r w:rsidRPr="00EE562D">
        <w:t xml:space="preserve">childless peaked and then came back down. For low educated people, the pattern </w:t>
      </w:r>
      <w:r w:rsidR="00BD5F92">
        <w:t xml:space="preserve">of change across cohorts was </w:t>
      </w:r>
      <w:r w:rsidRPr="00EE562D">
        <w:t>flatter and d</w:t>
      </w:r>
      <w:r w:rsidR="00BD5F92">
        <w:t xml:space="preserve">id not have the same distinct </w:t>
      </w:r>
      <w:r w:rsidR="001A7D2E">
        <w:t>upside</w:t>
      </w:r>
      <w:r w:rsidR="003B4ABD">
        <w:t>-</w:t>
      </w:r>
      <w:r w:rsidR="001A7D2E">
        <w:t xml:space="preserve">down </w:t>
      </w:r>
      <w:r w:rsidR="005042F4">
        <w:t>U</w:t>
      </w:r>
      <w:r w:rsidR="001A7D2E">
        <w:t xml:space="preserve"> shape. Childlessness trends among the low educated in S</w:t>
      </w:r>
      <w:r w:rsidRPr="00EE562D">
        <w:t>cotland</w:t>
      </w:r>
      <w:r w:rsidR="001A7D2E">
        <w:t xml:space="preserve"> remained </w:t>
      </w:r>
      <w:r w:rsidRPr="00EE562D">
        <w:t>generally flat</w:t>
      </w:r>
      <w:r w:rsidR="001A7D2E">
        <w:t xml:space="preserve"> with one peak </w:t>
      </w:r>
      <w:r w:rsidRPr="00EE562D">
        <w:t xml:space="preserve">in the 1970-74 birth cohort. In Northern Ireland, </w:t>
      </w:r>
      <w:r w:rsidR="009A2B0F">
        <w:t xml:space="preserve">trends for </w:t>
      </w:r>
      <w:r w:rsidRPr="00EE562D">
        <w:t>the</w:t>
      </w:r>
      <w:r w:rsidR="001A7D2E">
        <w:t xml:space="preserve"> 1966-1979 </w:t>
      </w:r>
      <w:r w:rsidR="009A2B0F">
        <w:t>cohorts</w:t>
      </w:r>
      <w:r w:rsidR="001A7D2E">
        <w:t xml:space="preserve"> correspond with </w:t>
      </w:r>
      <w:r w:rsidR="009A2B0F">
        <w:t xml:space="preserve">those of </w:t>
      </w:r>
      <w:r w:rsidR="001A7D2E">
        <w:t>the comparable cohorts in England and Wales</w:t>
      </w:r>
      <w:r w:rsidR="00E40A0A">
        <w:t>.</w:t>
      </w:r>
      <w:r w:rsidR="00A76836">
        <w:t xml:space="preserve"> Although </w:t>
      </w:r>
      <w:r w:rsidR="00E40A0A">
        <w:t xml:space="preserve">overall childlessness has increased </w:t>
      </w:r>
      <w:r w:rsidR="00A76836">
        <w:t xml:space="preserve">in Northern Ireland, within each educational group, childlessness has declined or been flat. </w:t>
      </w:r>
      <w:r w:rsidR="006E4E5F">
        <w:t>Similar to the patterns of mean age at childbearing, t</w:t>
      </w:r>
      <w:r w:rsidR="00E40A0A">
        <w:t xml:space="preserve">his is likely because the population in Northern Ireland has become </w:t>
      </w:r>
      <w:r w:rsidR="00A76836">
        <w:t xml:space="preserve">compositionally </w:t>
      </w:r>
      <w:r w:rsidR="00E40A0A">
        <w:t xml:space="preserve">more highly educated, bringing the population share of childlessness up, even while </w:t>
      </w:r>
      <w:r w:rsidR="00F1204E">
        <w:t xml:space="preserve">childlessness </w:t>
      </w:r>
      <w:r w:rsidR="006E4E5F">
        <w:t xml:space="preserve">levels within </w:t>
      </w:r>
      <w:r w:rsidR="00E40A0A">
        <w:t xml:space="preserve">individual educational groups are dropping. </w:t>
      </w:r>
    </w:p>
    <w:p w14:paraId="2A489ADC" w14:textId="44345D19" w:rsidR="00617580" w:rsidRDefault="00586899" w:rsidP="00837940">
      <w:pPr>
        <w:pStyle w:val="Heading3"/>
      </w:pPr>
      <w:r>
        <w:t>4</w:t>
      </w:r>
      <w:r w:rsidR="005B0BBC">
        <w:t>.</w:t>
      </w:r>
      <w:r w:rsidR="00531395">
        <w:t>4</w:t>
      </w:r>
      <w:r w:rsidR="005B0BBC">
        <w:t xml:space="preserve"> </w:t>
      </w:r>
      <w:r w:rsidR="00617580">
        <w:t xml:space="preserve">Family size distribution </w:t>
      </w:r>
    </w:p>
    <w:p w14:paraId="3E69B5F9" w14:textId="7D7F8A65" w:rsidR="00617580" w:rsidRPr="00CF4CE4" w:rsidRDefault="00617580" w:rsidP="00F338F1">
      <w:pPr>
        <w:spacing w:line="480" w:lineRule="auto"/>
      </w:pPr>
      <w:r>
        <w:t xml:space="preserve">Figure </w:t>
      </w:r>
      <w:r w:rsidR="003B4ABD">
        <w:t>6</w:t>
      </w:r>
      <w:r>
        <w:t xml:space="preserve"> shows the distribution of family sizes at age 40 and their change across cohorts for </w:t>
      </w:r>
      <w:r w:rsidR="00E40A0A">
        <w:t xml:space="preserve">each of the UK’s countries. </w:t>
      </w:r>
      <w:r>
        <w:t>Strikingly, in Scotland, there</w:t>
      </w:r>
      <w:r w:rsidR="00C61CA8">
        <w:t xml:space="preserve"> have been </w:t>
      </w:r>
      <w:r>
        <w:t>significant changes at all parities which show how family size has decreased across cohorts, with an increasing share of both smaller families (childless</w:t>
      </w:r>
      <w:r w:rsidR="00C61CA8">
        <w:t xml:space="preserve"> women</w:t>
      </w:r>
      <w:r>
        <w:t xml:space="preserve"> and </w:t>
      </w:r>
      <w:r w:rsidR="00E40A0A">
        <w:t>one</w:t>
      </w:r>
      <w:r>
        <w:t xml:space="preserve"> child</w:t>
      </w:r>
      <w:r w:rsidR="00E40A0A">
        <w:t xml:space="preserve"> families</w:t>
      </w:r>
      <w:r>
        <w:t xml:space="preserve">) and a decrease in </w:t>
      </w:r>
      <w:r w:rsidR="00E40A0A">
        <w:t>families with two or more children</w:t>
      </w:r>
      <w:r>
        <w:t xml:space="preserve">. </w:t>
      </w:r>
      <w:r w:rsidR="00C61CA8">
        <w:t xml:space="preserve">There is also a very slight rebound in two and four child families with the </w:t>
      </w:r>
      <w:r w:rsidR="0054665B">
        <w:t>youngest</w:t>
      </w:r>
      <w:r w:rsidR="00C61CA8">
        <w:t xml:space="preserve"> cohort</w:t>
      </w:r>
      <w:r w:rsidR="006E4E5F">
        <w:t xml:space="preserve">, which may be attributed to the least and most educated, whose average family sizes have increased slightly (Figure </w:t>
      </w:r>
      <w:r w:rsidR="00A91909">
        <w:t>3</w:t>
      </w:r>
      <w:r w:rsidR="006E4E5F">
        <w:t>)</w:t>
      </w:r>
      <w:r w:rsidR="0054665B">
        <w:t>.</w:t>
      </w:r>
      <w:r w:rsidR="0054665B" w:rsidRPr="0054665B">
        <w:rPr>
          <w:color w:val="FF0000"/>
        </w:rPr>
        <w:t xml:space="preserve"> </w:t>
      </w:r>
      <w:r>
        <w:t xml:space="preserve">Conversely, in England </w:t>
      </w:r>
      <w:r w:rsidR="0054665B">
        <w:t>and</w:t>
      </w:r>
      <w:r>
        <w:t xml:space="preserve"> Wales, the only significant change</w:t>
      </w:r>
      <w:r w:rsidR="0054665B">
        <w:t xml:space="preserve"> in family size</w:t>
      </w:r>
      <w:r>
        <w:t xml:space="preserve"> (barring </w:t>
      </w:r>
      <w:r w:rsidR="0054665B">
        <w:t xml:space="preserve">increased </w:t>
      </w:r>
      <w:r>
        <w:t>childlessness) is a declining share of 3 child families</w:t>
      </w:r>
      <w:r w:rsidR="006E4E5F">
        <w:t xml:space="preserve">. </w:t>
      </w:r>
      <w:r w:rsidR="0054665B">
        <w:t xml:space="preserve">There is </w:t>
      </w:r>
      <w:r w:rsidR="00F33EFC">
        <w:t xml:space="preserve">a small decline in two child families in Northern Ireland but </w:t>
      </w:r>
      <w:r w:rsidR="0054665B">
        <w:t>no significant change</w:t>
      </w:r>
      <w:r w:rsidR="00F33EFC">
        <w:t>s</w:t>
      </w:r>
      <w:r w:rsidR="0054665B">
        <w:t xml:space="preserve"> in the family size distributio</w:t>
      </w:r>
      <w:r w:rsidR="00F33EFC">
        <w:t>n</w:t>
      </w:r>
      <w:r w:rsidR="00F45C3C">
        <w:t>, including in childlessness</w:t>
      </w:r>
      <w:r w:rsidR="006E4E5F">
        <w:t xml:space="preserve">, which is consistent with the average family size trends from </w:t>
      </w:r>
      <w:r w:rsidR="00A91909">
        <w:t>F</w:t>
      </w:r>
      <w:r w:rsidR="006E4E5F">
        <w:t>igure</w:t>
      </w:r>
      <w:r w:rsidR="00A91909">
        <w:t xml:space="preserve"> 3</w:t>
      </w:r>
      <w:r w:rsidR="006E4E5F">
        <w:t xml:space="preserve">. </w:t>
      </w:r>
    </w:p>
    <w:p w14:paraId="61F7B48E" w14:textId="77777777" w:rsidR="008F54B5" w:rsidRDefault="008F54B5" w:rsidP="00396604"/>
    <w:p w14:paraId="2394E10D" w14:textId="77777777" w:rsidR="008F54B5" w:rsidRDefault="008F54B5" w:rsidP="00396604"/>
    <w:p w14:paraId="5F7C6B55" w14:textId="2B5DE6D9" w:rsidR="00396604" w:rsidRPr="00580A53" w:rsidRDefault="00617580" w:rsidP="00D90C11">
      <w:pPr>
        <w:pStyle w:val="Heading4"/>
      </w:pPr>
      <w:r w:rsidRPr="00E413AC">
        <w:t>Figure</w:t>
      </w:r>
      <w:r w:rsidR="00965FEB">
        <w:t xml:space="preserve"> </w:t>
      </w:r>
      <w:r w:rsidR="006C5006">
        <w:t>6</w:t>
      </w:r>
      <w:r w:rsidRPr="00E413AC">
        <w:t xml:space="preserve"> – </w:t>
      </w:r>
      <w:r w:rsidR="00F30F4C">
        <w:t>Distribution of c</w:t>
      </w:r>
      <w:r w:rsidRPr="00E413AC">
        <w:t xml:space="preserve">ompleted family size at age 40, by </w:t>
      </w:r>
      <w:r w:rsidR="006B7485">
        <w:t xml:space="preserve">birth </w:t>
      </w:r>
      <w:r w:rsidRPr="00E413AC">
        <w:t>cohort with 95% confidence interval</w:t>
      </w:r>
      <w:r w:rsidR="00EC31A5">
        <w:rPr>
          <w:noProof/>
        </w:rPr>
        <w:drawing>
          <wp:inline distT="0" distB="0" distL="0" distR="0" wp14:anchorId="45404001" wp14:editId="3BE3A8BA">
            <wp:extent cx="5943600" cy="3302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02635"/>
                    </a:xfrm>
                    <a:prstGeom prst="rect">
                      <a:avLst/>
                    </a:prstGeom>
                    <a:noFill/>
                    <a:ln>
                      <a:noFill/>
                    </a:ln>
                  </pic:spPr>
                </pic:pic>
              </a:graphicData>
            </a:graphic>
          </wp:inline>
        </w:drawing>
      </w:r>
      <w:r w:rsidR="00DB74EB">
        <w:br/>
      </w:r>
      <w:r w:rsidR="00396604" w:rsidRPr="00D90C11">
        <w:rPr>
          <w:rFonts w:asciiTheme="minorHAnsi" w:hAnsiTheme="minorHAnsi" w:cstheme="minorHAnsi"/>
        </w:rPr>
        <w:t>Sources: ONS Longitudinal Study, Scottish Longitudinal Study, Northern Ireland Longitudinal Study</w:t>
      </w:r>
      <w:r w:rsidR="005818AE" w:rsidRPr="00D90C11">
        <w:rPr>
          <w:rFonts w:asciiTheme="minorHAnsi" w:hAnsiTheme="minorHAnsi" w:cstheme="minorHAnsi"/>
        </w:rPr>
        <w:t xml:space="preserve"> (NB NILS’ oldest birth cohort is 1966-69)</w:t>
      </w:r>
    </w:p>
    <w:p w14:paraId="2DE65E07" w14:textId="0025DC8F" w:rsidR="00CD7A39" w:rsidRDefault="00586899" w:rsidP="00837940">
      <w:pPr>
        <w:pStyle w:val="Heading3"/>
      </w:pPr>
      <w:r>
        <w:t>4</w:t>
      </w:r>
      <w:r w:rsidR="005B0BBC">
        <w:t>.</w:t>
      </w:r>
      <w:r w:rsidR="00531395">
        <w:t>5</w:t>
      </w:r>
      <w:r w:rsidR="005B0BBC">
        <w:t xml:space="preserve"> </w:t>
      </w:r>
      <w:r w:rsidR="00617580">
        <w:t xml:space="preserve">Educational differences in </w:t>
      </w:r>
      <w:r w:rsidR="00ED582F">
        <w:t>family size</w:t>
      </w:r>
      <w:r w:rsidR="00617580">
        <w:t xml:space="preserve"> </w:t>
      </w:r>
    </w:p>
    <w:p w14:paraId="162ECD3B" w14:textId="3F6F00F0" w:rsidR="00F45C3C" w:rsidRDefault="00F45C3C" w:rsidP="00F338F1">
      <w:pPr>
        <w:spacing w:line="480" w:lineRule="auto"/>
        <w:rPr>
          <w:color w:val="FF0000"/>
        </w:rPr>
      </w:pPr>
      <w:r>
        <w:t xml:space="preserve">Figures </w:t>
      </w:r>
      <w:r w:rsidR="003B4ABD">
        <w:t>7</w:t>
      </w:r>
      <w:r>
        <w:t xml:space="preserve"> through </w:t>
      </w:r>
      <w:r w:rsidR="003B4ABD">
        <w:t>10</w:t>
      </w:r>
      <w:r>
        <w:t xml:space="preserve"> show the cohort trends in family size by educational group, separately for each country</w:t>
      </w:r>
      <w:r w:rsidR="006E4E5F">
        <w:t>, starting from 1 child families and ending with 4 or more child</w:t>
      </w:r>
      <w:r w:rsidR="00B9505A">
        <w:t xml:space="preserve"> </w:t>
      </w:r>
      <w:r w:rsidR="006E4E5F">
        <w:t>families</w:t>
      </w:r>
      <w:r>
        <w:t xml:space="preserve">. </w:t>
      </w:r>
      <w:r w:rsidR="003F345D">
        <w:t>In contrast to average family size, mean age at first birth, and childlessness, f</w:t>
      </w:r>
      <w:r>
        <w:t xml:space="preserve">or the share of one child families, there has not been a </w:t>
      </w:r>
      <w:r w:rsidRPr="00F45C3C">
        <w:t>clear, consistent educational gradient for any country</w:t>
      </w:r>
      <w:r w:rsidR="00C9016A">
        <w:t>; similarly, the PPR from 1 to 2 births has not had a clear educational pattern either</w:t>
      </w:r>
      <w:r w:rsidR="003B4ABD">
        <w:t xml:space="preserve"> (Appendix 4, Table 2)</w:t>
      </w:r>
      <w:r w:rsidRPr="00F45C3C">
        <w:t xml:space="preserve">. </w:t>
      </w:r>
      <w:r>
        <w:t xml:space="preserve">This is evident from </w:t>
      </w:r>
      <w:r w:rsidR="00A91909">
        <w:t>F</w:t>
      </w:r>
      <w:r>
        <w:t xml:space="preserve">igure </w:t>
      </w:r>
      <w:r w:rsidR="003B4ABD">
        <w:t>7</w:t>
      </w:r>
      <w:r>
        <w:t xml:space="preserve"> where the </w:t>
      </w:r>
      <w:r w:rsidRPr="00F45C3C">
        <w:t xml:space="preserve">lines </w:t>
      </w:r>
      <w:r>
        <w:t xml:space="preserve">intersect with </w:t>
      </w:r>
      <w:r w:rsidRPr="00F45C3C">
        <w:t>each other</w:t>
      </w:r>
      <w:r>
        <w:t xml:space="preserve">, meaning </w:t>
      </w:r>
      <w:r w:rsidRPr="00F45C3C">
        <w:t>the educational gradient is shifting over cohorts</w:t>
      </w:r>
      <w:r>
        <w:t xml:space="preserve">, with no </w:t>
      </w:r>
      <w:r w:rsidR="009D6179">
        <w:t>consistency</w:t>
      </w:r>
      <w:r>
        <w:t>. However,</w:t>
      </w:r>
      <w:r w:rsidR="003F345D">
        <w:t xml:space="preserve"> the country patterns in the share of one child families are different. I</w:t>
      </w:r>
      <w:r>
        <w:t xml:space="preserve">n </w:t>
      </w:r>
      <w:r w:rsidRPr="00F45C3C">
        <w:t>Scotland</w:t>
      </w:r>
      <w:r w:rsidR="00D86F7A">
        <w:t>,</w:t>
      </w:r>
      <w:r w:rsidRPr="00F45C3C">
        <w:t xml:space="preserve"> there </w:t>
      </w:r>
      <w:r w:rsidR="003F345D">
        <w:t xml:space="preserve">has been </w:t>
      </w:r>
      <w:r w:rsidRPr="00F45C3C">
        <w:t xml:space="preserve">a rise in </w:t>
      </w:r>
      <w:r>
        <w:t>one</w:t>
      </w:r>
      <w:r w:rsidRPr="00F45C3C">
        <w:t xml:space="preserve"> child families</w:t>
      </w:r>
      <w:r w:rsidR="00C9016A">
        <w:t xml:space="preserve"> (and a decline in PPR from one to two births)</w:t>
      </w:r>
      <w:r w:rsidR="00D86F7A">
        <w:t xml:space="preserve"> for all educational groups</w:t>
      </w:r>
      <w:r w:rsidRPr="00F45C3C">
        <w:t xml:space="preserve"> that </w:t>
      </w:r>
      <w:r w:rsidR="003F345D">
        <w:t>has</w:t>
      </w:r>
      <w:r w:rsidRPr="00F45C3C">
        <w:t xml:space="preserve"> not</w:t>
      </w:r>
      <w:r w:rsidR="003F345D">
        <w:t xml:space="preserve"> been</w:t>
      </w:r>
      <w:r w:rsidRPr="00F45C3C">
        <w:t xml:space="preserve"> </w:t>
      </w:r>
      <w:r w:rsidR="00744952">
        <w:t xml:space="preserve">as marked </w:t>
      </w:r>
      <w:r w:rsidRPr="00F45C3C">
        <w:t xml:space="preserve">in </w:t>
      </w:r>
      <w:r w:rsidR="009D6179">
        <w:t xml:space="preserve">either </w:t>
      </w:r>
      <w:r w:rsidRPr="00F45C3C">
        <w:t xml:space="preserve">England and Wales </w:t>
      </w:r>
      <w:r w:rsidR="009D6179">
        <w:t>n</w:t>
      </w:r>
      <w:r w:rsidRPr="00F45C3C">
        <w:t>or Northern Ireland</w:t>
      </w:r>
      <w:r w:rsidR="009D6179">
        <w:t>, echoing the overall rise in Scottish one child families in figure</w:t>
      </w:r>
      <w:r w:rsidR="006712A1">
        <w:t xml:space="preserve"> </w:t>
      </w:r>
      <w:r w:rsidR="00433AAB">
        <w:t>6</w:t>
      </w:r>
      <w:r w:rsidR="003F345D">
        <w:t>; not only are one</w:t>
      </w:r>
      <w:r w:rsidRPr="009D6179">
        <w:rPr>
          <w:color w:val="FF0000"/>
        </w:rPr>
        <w:t xml:space="preserve"> </w:t>
      </w:r>
      <w:r w:rsidRPr="00D86F7A">
        <w:t>child families on the rise in Scotland</w:t>
      </w:r>
      <w:r w:rsidR="003F345D" w:rsidRPr="00D86F7A">
        <w:t xml:space="preserve"> but the rise is</w:t>
      </w:r>
      <w:r w:rsidR="009D6179" w:rsidRPr="00D86F7A">
        <w:t xml:space="preserve"> attributable to increases across educational groups.</w:t>
      </w:r>
      <w:r w:rsidR="00824952">
        <w:t xml:space="preserve"> Compared to Britain, Northern Ireland also has a consistently higher overall PPR from one to two births</w:t>
      </w:r>
      <w:r w:rsidR="00433AAB">
        <w:t xml:space="preserve"> (Appendix 4, Table 2)</w:t>
      </w:r>
      <w:r w:rsidR="00824952">
        <w:t>.</w:t>
      </w:r>
      <w:r w:rsidR="009D6179" w:rsidRPr="00D86F7A">
        <w:t xml:space="preserve"> </w:t>
      </w:r>
    </w:p>
    <w:p w14:paraId="43A7CD3E" w14:textId="3D249DA6" w:rsidR="00E14215" w:rsidRDefault="00DF6058" w:rsidP="0037557C">
      <w:pPr>
        <w:pStyle w:val="Heading4"/>
      </w:pPr>
      <w:r w:rsidRPr="00E413AC">
        <w:t>Figure</w:t>
      </w:r>
      <w:r w:rsidR="00C86F93">
        <w:t xml:space="preserve"> </w:t>
      </w:r>
      <w:r w:rsidR="006C5006">
        <w:t>7</w:t>
      </w:r>
      <w:r w:rsidRPr="00E413AC">
        <w:t xml:space="preserve"> – </w:t>
      </w:r>
      <w:r w:rsidR="00F30F4C">
        <w:t>Proportion</w:t>
      </w:r>
      <w:r>
        <w:t xml:space="preserve"> of 1 child families </w:t>
      </w:r>
      <w:r w:rsidRPr="00E413AC">
        <w:t xml:space="preserve">at age 40, by </w:t>
      </w:r>
      <w:r w:rsidR="006B7485">
        <w:t xml:space="preserve">birth </w:t>
      </w:r>
      <w:r w:rsidRPr="00E413AC">
        <w:t xml:space="preserve">cohort </w:t>
      </w:r>
      <w:r w:rsidR="00F30F4C">
        <w:t xml:space="preserve">and educational attainment </w:t>
      </w:r>
      <w:r w:rsidRPr="00E413AC">
        <w:t>with 95% confidence interval</w:t>
      </w:r>
    </w:p>
    <w:p w14:paraId="3FE40FC8" w14:textId="40C0B97A" w:rsidR="00DA74DD" w:rsidRDefault="00DA74DD" w:rsidP="00DA74DD">
      <w:pPr>
        <w:pStyle w:val="NormalWeb"/>
      </w:pPr>
      <w:r>
        <w:rPr>
          <w:noProof/>
        </w:rPr>
        <mc:AlternateContent>
          <mc:Choice Requires="wps">
            <w:drawing>
              <wp:anchor distT="45720" distB="45720" distL="114300" distR="114300" simplePos="0" relativeHeight="251660288" behindDoc="0" locked="0" layoutInCell="1" allowOverlap="1" wp14:anchorId="45BE593F" wp14:editId="072D0E64">
                <wp:simplePos x="0" y="0"/>
                <wp:positionH relativeFrom="column">
                  <wp:posOffset>4472676</wp:posOffset>
                </wp:positionH>
                <wp:positionV relativeFrom="paragraph">
                  <wp:posOffset>2912110</wp:posOffset>
                </wp:positionV>
                <wp:extent cx="502182" cy="229869"/>
                <wp:effectExtent l="19050" t="152400" r="12700" b="1517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0013">
                          <a:off x="0" y="0"/>
                          <a:ext cx="502182" cy="229869"/>
                        </a:xfrm>
                        <a:prstGeom prst="rect">
                          <a:avLst/>
                        </a:prstGeom>
                        <a:solidFill>
                          <a:srgbClr val="FFFFFF"/>
                        </a:solidFill>
                        <a:ln w="9525">
                          <a:noFill/>
                          <a:miter lim="800000"/>
                          <a:headEnd/>
                          <a:tailEnd/>
                        </a:ln>
                      </wps:spPr>
                      <wps:txbx>
                        <w:txbxContent>
                          <w:p w14:paraId="59446738" w14:textId="2C606145" w:rsidR="006A0CB3" w:rsidRPr="00D90C11" w:rsidRDefault="006A0CB3" w:rsidP="006A0CB3">
                            <w:pPr>
                              <w:rPr>
                                <w:rFonts w:ascii="Arial" w:hAnsi="Arial" w:cs="Arial"/>
                                <w:sz w:val="18"/>
                                <w:szCs w:val="18"/>
                              </w:rPr>
                            </w:pPr>
                            <w:r w:rsidRPr="00D90C11">
                              <w:rPr>
                                <w:rFonts w:ascii="Arial" w:hAnsi="Arial" w:cs="Arial"/>
                                <w:sz w:val="18"/>
                                <w:szCs w:val="18"/>
                              </w:rPr>
                              <w:t>1966-69</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E593F" id="Text Box 5" o:spid="_x0000_s1030" type="#_x0000_t202" style="position:absolute;margin-left:352.2pt;margin-top:229.3pt;width:39.55pt;height:18.1pt;rotation:-2872647fd;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" stroked="f">
                <v:textbox inset="1mm,1mm,1mm,1mm">
                  <w:txbxContent>
                    <w:p w14:paraId="59446738" w14:textId="2C606145" w:rsidR="006A0CB3" w:rsidRPr="00D90C11" w:rsidRDefault="006A0CB3" w:rsidP="006A0CB3">
                      <w:pPr>
                        <w:rPr>
                          <w:rFonts w:ascii="Arial" w:hAnsi="Arial" w:cs="Arial"/>
                          <w:sz w:val="18"/>
                          <w:szCs w:val="18"/>
                        </w:rPr>
                      </w:pPr>
                      <w:r w:rsidRPr="00D90C11">
                        <w:rPr>
                          <w:rFonts w:ascii="Arial" w:hAnsi="Arial" w:cs="Arial"/>
                          <w:sz w:val="18"/>
                          <w:szCs w:val="18"/>
                        </w:rPr>
                        <w:t>1966-69</w:t>
                      </w:r>
                    </w:p>
                  </w:txbxContent>
                </v:textbox>
              </v:shape>
            </w:pict>
          </mc:Fallback>
        </mc:AlternateContent>
      </w:r>
      <w:r>
        <w:rPr>
          <w:noProof/>
        </w:rPr>
        <w:drawing>
          <wp:inline distT="0" distB="0" distL="0" distR="0" wp14:anchorId="3D7EADF3" wp14:editId="32C29D60">
            <wp:extent cx="5753819" cy="3835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763" cy="3841843"/>
                    </a:xfrm>
                    <a:prstGeom prst="rect">
                      <a:avLst/>
                    </a:prstGeom>
                    <a:noFill/>
                    <a:ln>
                      <a:noFill/>
                    </a:ln>
                  </pic:spPr>
                </pic:pic>
              </a:graphicData>
            </a:graphic>
          </wp:inline>
        </w:drawing>
      </w:r>
    </w:p>
    <w:p w14:paraId="7535CA16" w14:textId="19BCAC46" w:rsidR="00D90C11" w:rsidRPr="00580A53" w:rsidRDefault="00396604" w:rsidP="00D90C11">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 xml:space="preserve">orthern Ireland Longitudinal </w:t>
      </w:r>
      <w:r w:rsidR="00FB12D9">
        <w:rPr>
          <w:i/>
          <w:iCs/>
        </w:rPr>
        <w:t>S</w:t>
      </w:r>
      <w:r>
        <w:rPr>
          <w:i/>
          <w:iCs/>
        </w:rPr>
        <w:t>tudy</w:t>
      </w:r>
      <w:r w:rsidR="00D90C11">
        <w:rPr>
          <w:i/>
          <w:iCs/>
        </w:rPr>
        <w:t xml:space="preserve"> (NB NILS earliest data point is for 1966-69 birth cohort)</w:t>
      </w:r>
    </w:p>
    <w:p w14:paraId="44DD179D" w14:textId="2CC86ED3" w:rsidR="003F345D" w:rsidRDefault="003F345D" w:rsidP="00F338F1">
      <w:pPr>
        <w:spacing w:line="480" w:lineRule="auto"/>
      </w:pPr>
      <w:r>
        <w:t>Among women with two children at age 40, there is also no clear and stable educational gradient</w:t>
      </w:r>
      <w:r w:rsidR="00F548E0">
        <w:t xml:space="preserve"> (</w:t>
      </w:r>
      <w:r w:rsidR="00EF263A">
        <w:t>F</w:t>
      </w:r>
      <w:r w:rsidR="00F548E0">
        <w:t xml:space="preserve">igure </w:t>
      </w:r>
      <w:r w:rsidR="00433AAB">
        <w:t>8</w:t>
      </w:r>
      <w:r w:rsidR="00F548E0">
        <w:t>).</w:t>
      </w:r>
      <w:r>
        <w:t xml:space="preserve"> However, like one child families (</w:t>
      </w:r>
      <w:r w:rsidR="00EF263A">
        <w:t>F</w:t>
      </w:r>
      <w:r>
        <w:t xml:space="preserve">igure </w:t>
      </w:r>
      <w:r w:rsidR="00433AAB">
        <w:t>7</w:t>
      </w:r>
      <w:r>
        <w:t>), there are differences between countries.</w:t>
      </w:r>
      <w:r w:rsidR="000A0506">
        <w:t xml:space="preserve"> </w:t>
      </w:r>
      <w:r>
        <w:t>The</w:t>
      </w:r>
      <w:r w:rsidR="00F33EFC">
        <w:t xml:space="preserve"> share of two child families has declined in </w:t>
      </w:r>
      <w:r>
        <w:t xml:space="preserve">low </w:t>
      </w:r>
      <w:r w:rsidR="00F33EFC">
        <w:t>and</w:t>
      </w:r>
      <w:r>
        <w:t xml:space="preserve"> medium educated groups in Scotland and Northern </w:t>
      </w:r>
      <w:r w:rsidR="00EB0245">
        <w:t>Ireland and</w:t>
      </w:r>
      <w:r>
        <w:t xml:space="preserve"> </w:t>
      </w:r>
      <w:r w:rsidR="00F33EFC">
        <w:t>rebounded among highly educated people.</w:t>
      </w:r>
      <w:r w:rsidR="00F548E0">
        <w:t xml:space="preserve"> T</w:t>
      </w:r>
      <w:r>
        <w:t>h</w:t>
      </w:r>
      <w:r w:rsidR="00F548E0">
        <w:t xml:space="preserve">erefore, the (small, not significant) </w:t>
      </w:r>
      <w:r>
        <w:t xml:space="preserve">rebound </w:t>
      </w:r>
      <w:r w:rsidR="00F548E0">
        <w:t>in two child families among the youngest cohort in Scotland (</w:t>
      </w:r>
      <w:r w:rsidR="00EF263A">
        <w:t>F</w:t>
      </w:r>
      <w:r w:rsidR="00F548E0">
        <w:t>igure</w:t>
      </w:r>
      <w:r w:rsidR="00EF263A">
        <w:t xml:space="preserve"> </w:t>
      </w:r>
      <w:r w:rsidR="00433AAB">
        <w:t>6</w:t>
      </w:r>
      <w:r w:rsidR="00F548E0">
        <w:t xml:space="preserve">) has likely been </w:t>
      </w:r>
      <w:r>
        <w:t xml:space="preserve">driven by </w:t>
      </w:r>
      <w:r w:rsidR="00F548E0">
        <w:t>h</w:t>
      </w:r>
      <w:r>
        <w:t xml:space="preserve">ighly educated </w:t>
      </w:r>
      <w:r w:rsidR="00F548E0">
        <w:t xml:space="preserve">women </w:t>
      </w:r>
      <w:r>
        <w:t xml:space="preserve">having more </w:t>
      </w:r>
      <w:r w:rsidR="00F548E0">
        <w:t>two</w:t>
      </w:r>
      <w:r>
        <w:t xml:space="preserve"> child families</w:t>
      </w:r>
      <w:r w:rsidR="000A0506">
        <w:t>, which is also reflected in declining PPR from two to three births among the highly educated</w:t>
      </w:r>
      <w:r w:rsidR="00433AAB">
        <w:t xml:space="preserve"> (Appendix 4, Table 3)</w:t>
      </w:r>
      <w:r w:rsidR="00F548E0">
        <w:t xml:space="preserve">. Additionally, </w:t>
      </w:r>
      <w:r>
        <w:t xml:space="preserve">the </w:t>
      </w:r>
      <w:r w:rsidR="00F548E0">
        <w:t xml:space="preserve">(small, not significant) </w:t>
      </w:r>
      <w:r>
        <w:t xml:space="preserve">decline in </w:t>
      </w:r>
      <w:r w:rsidR="00F548E0">
        <w:t xml:space="preserve">two </w:t>
      </w:r>
      <w:r>
        <w:t xml:space="preserve">child families in Northern Ireland </w:t>
      </w:r>
      <w:r w:rsidR="00F548E0">
        <w:t>has likely been attributable to t</w:t>
      </w:r>
      <w:r>
        <w:t xml:space="preserve">he less educated. </w:t>
      </w:r>
    </w:p>
    <w:p w14:paraId="126FC43F" w14:textId="2105DC18" w:rsidR="003F345D" w:rsidRPr="003F345D" w:rsidRDefault="003F345D" w:rsidP="00F338F1">
      <w:pPr>
        <w:spacing w:line="480" w:lineRule="auto"/>
      </w:pPr>
      <w:r>
        <w:t xml:space="preserve">For the </w:t>
      </w:r>
      <w:r w:rsidR="00F548E0">
        <w:t xml:space="preserve">youngest </w:t>
      </w:r>
      <w:r>
        <w:t>cohort in E</w:t>
      </w:r>
      <w:r w:rsidR="00F548E0">
        <w:t xml:space="preserve">ngland and Wales, </w:t>
      </w:r>
      <w:r>
        <w:t xml:space="preserve">there </w:t>
      </w:r>
      <w:r w:rsidR="00F548E0">
        <w:t xml:space="preserve">has been </w:t>
      </w:r>
      <w:r>
        <w:t xml:space="preserve">a decline in two child families for the lowest educated group </w:t>
      </w:r>
      <w:r w:rsidR="00F548E0">
        <w:t xml:space="preserve">which is not evident in </w:t>
      </w:r>
      <w:r>
        <w:t xml:space="preserve">the </w:t>
      </w:r>
      <w:r w:rsidR="00F548E0">
        <w:t xml:space="preserve">other </w:t>
      </w:r>
      <w:r>
        <w:t>educational other groups</w:t>
      </w:r>
      <w:r w:rsidR="000A0506">
        <w:t xml:space="preserve">. At the same time, the </w:t>
      </w:r>
      <w:r w:rsidR="00A4233A">
        <w:t>PPR from two to three births</w:t>
      </w:r>
      <w:r w:rsidR="000A0506">
        <w:t xml:space="preserve"> has increased</w:t>
      </w:r>
      <w:r w:rsidR="00A4233A">
        <w:t xml:space="preserve"> among the low educated</w:t>
      </w:r>
      <w:r w:rsidR="00433AAB">
        <w:t xml:space="preserve"> (Appendix 4, Table 3)</w:t>
      </w:r>
      <w:r w:rsidR="00A4233A">
        <w:t xml:space="preserve">, </w:t>
      </w:r>
      <w:r w:rsidR="000A0506">
        <w:t>leading to</w:t>
      </w:r>
      <w:r>
        <w:t xml:space="preserve"> an </w:t>
      </w:r>
      <w:r w:rsidR="000A0506">
        <w:t xml:space="preserve">offsetting </w:t>
      </w:r>
      <w:r>
        <w:t>increase in larger families</w:t>
      </w:r>
      <w:r w:rsidR="00F548E0">
        <w:t xml:space="preserve"> (</w:t>
      </w:r>
      <w:r w:rsidR="00EF263A">
        <w:t>F</w:t>
      </w:r>
      <w:r w:rsidR="00F548E0">
        <w:t xml:space="preserve">igures </w:t>
      </w:r>
      <w:r w:rsidR="00433AAB">
        <w:t xml:space="preserve">9 </w:t>
      </w:r>
      <w:r w:rsidR="00F548E0">
        <w:t xml:space="preserve">and </w:t>
      </w:r>
      <w:r w:rsidR="00433AAB">
        <w:t>10</w:t>
      </w:r>
      <w:r w:rsidR="00F548E0">
        <w:t>)</w:t>
      </w:r>
      <w:r w:rsidR="000A0506">
        <w:t>,</w:t>
      </w:r>
      <w:r w:rsidR="00ED582F">
        <w:t xml:space="preserve"> </w:t>
      </w:r>
      <w:r w:rsidR="00D86F7A">
        <w:t>which has then led to</w:t>
      </w:r>
      <w:r w:rsidR="00ED582F">
        <w:t xml:space="preserve"> increased average family size among the youngest cohort</w:t>
      </w:r>
      <w:r w:rsidR="00B9505A">
        <w:t>s</w:t>
      </w:r>
      <w:r>
        <w:t xml:space="preserve">. </w:t>
      </w:r>
      <w:bookmarkStart w:id="11" w:name="_Hlk158134004"/>
      <w:r w:rsidR="00B9505A">
        <w:t xml:space="preserve">Opposite to the low educated, </w:t>
      </w:r>
      <w:r w:rsidR="00ED582F">
        <w:t>medium and highly educated</w:t>
      </w:r>
      <w:r w:rsidR="00B9505A">
        <w:t xml:space="preserve"> groups</w:t>
      </w:r>
      <w:r w:rsidR="00ED582F">
        <w:t xml:space="preserve"> have experienced </w:t>
      </w:r>
      <w:r w:rsidR="00ED582F" w:rsidRPr="00EF263A">
        <w:t xml:space="preserve">an </w:t>
      </w:r>
      <w:r w:rsidRPr="00EF263A">
        <w:t xml:space="preserve">increase </w:t>
      </w:r>
      <w:r w:rsidR="00ED582F" w:rsidRPr="00EF263A">
        <w:t>in two child families</w:t>
      </w:r>
      <w:r w:rsidR="000A0506">
        <w:t xml:space="preserve"> and decreased PPR from two to three births</w:t>
      </w:r>
      <w:r w:rsidR="00ED582F" w:rsidRPr="00EF263A">
        <w:t xml:space="preserve"> </w:t>
      </w:r>
      <w:r w:rsidR="00ED582F">
        <w:t xml:space="preserve">so that in sum, </w:t>
      </w:r>
      <w:r>
        <w:t xml:space="preserve">the </w:t>
      </w:r>
      <w:r w:rsidR="00D86F7A">
        <w:t xml:space="preserve">overall </w:t>
      </w:r>
      <w:r>
        <w:t>share of two child families</w:t>
      </w:r>
      <w:r w:rsidR="00ED582F">
        <w:t xml:space="preserve"> has remained </w:t>
      </w:r>
      <w:r>
        <w:t>stable</w:t>
      </w:r>
      <w:r w:rsidR="00ED582F">
        <w:t xml:space="preserve"> (</w:t>
      </w:r>
      <w:r w:rsidR="00EF263A">
        <w:t>F</w:t>
      </w:r>
      <w:r w:rsidR="00ED582F">
        <w:t xml:space="preserve">igure </w:t>
      </w:r>
      <w:r w:rsidR="00433AAB">
        <w:t>6</w:t>
      </w:r>
      <w:r w:rsidR="00ED582F">
        <w:t>), despite polarization of behaviors between educational groups</w:t>
      </w:r>
      <w:r w:rsidR="00D86F7A">
        <w:t>.</w:t>
      </w:r>
      <w:bookmarkEnd w:id="11"/>
    </w:p>
    <w:p w14:paraId="51E69A97" w14:textId="0FD503AF" w:rsidR="00E14215" w:rsidRDefault="00DF6058" w:rsidP="0037557C">
      <w:pPr>
        <w:pStyle w:val="Heading4"/>
      </w:pPr>
      <w:r w:rsidRPr="00E413AC">
        <w:t>Figure</w:t>
      </w:r>
      <w:r w:rsidR="00C86F93">
        <w:t xml:space="preserve"> </w:t>
      </w:r>
      <w:r w:rsidR="006C5006">
        <w:t>8</w:t>
      </w:r>
      <w:r w:rsidRPr="00E413AC">
        <w:t xml:space="preserve"> – </w:t>
      </w:r>
      <w:r w:rsidR="00F30F4C">
        <w:t xml:space="preserve">Proportion </w:t>
      </w:r>
      <w:r>
        <w:t xml:space="preserve">of 2 child families </w:t>
      </w:r>
      <w:r w:rsidRPr="00E413AC">
        <w:t>at age 40, by</w:t>
      </w:r>
      <w:r w:rsidR="006B7485">
        <w:t xml:space="preserve"> birth</w:t>
      </w:r>
      <w:r w:rsidRPr="00E413AC">
        <w:t xml:space="preserve"> cohort </w:t>
      </w:r>
      <w:r w:rsidR="00F30F4C">
        <w:t xml:space="preserve">and educational attainment </w:t>
      </w:r>
      <w:r w:rsidRPr="00E413AC">
        <w:t>with 95% confidence interval</w:t>
      </w:r>
    </w:p>
    <w:p w14:paraId="407FC6E1" w14:textId="79FB16A1" w:rsidR="00DA74DD" w:rsidRDefault="00DA74DD" w:rsidP="00DA74DD">
      <w:pPr>
        <w:pStyle w:val="NormalWeb"/>
      </w:pPr>
      <w:r>
        <w:rPr>
          <w:noProof/>
        </w:rPr>
        <mc:AlternateContent>
          <mc:Choice Requires="wps">
            <w:drawing>
              <wp:anchor distT="45720" distB="45720" distL="114300" distR="114300" simplePos="0" relativeHeight="251663360" behindDoc="0" locked="0" layoutInCell="1" allowOverlap="1" wp14:anchorId="2B1FBC53" wp14:editId="77E8E9E1">
                <wp:simplePos x="0" y="0"/>
                <wp:positionH relativeFrom="column">
                  <wp:posOffset>4465955</wp:posOffset>
                </wp:positionH>
                <wp:positionV relativeFrom="paragraph">
                  <wp:posOffset>2909306</wp:posOffset>
                </wp:positionV>
                <wp:extent cx="502182" cy="204418"/>
                <wp:effectExtent l="0" t="152400" r="12700" b="1581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0013">
                          <a:off x="0" y="0"/>
                          <a:ext cx="502182" cy="204418"/>
                        </a:xfrm>
                        <a:prstGeom prst="rect">
                          <a:avLst/>
                        </a:prstGeom>
                        <a:solidFill>
                          <a:srgbClr val="FFFFFF"/>
                        </a:solidFill>
                        <a:ln w="9525">
                          <a:noFill/>
                          <a:miter lim="800000"/>
                          <a:headEnd/>
                          <a:tailEnd/>
                        </a:ln>
                      </wps:spPr>
                      <wps:txbx>
                        <w:txbxContent>
                          <w:p w14:paraId="0B52C3CE" w14:textId="3A7ED77D" w:rsidR="00BD5271" w:rsidRPr="00D90C11" w:rsidRDefault="00BD5271" w:rsidP="00BD5271">
                            <w:pPr>
                              <w:rPr>
                                <w:rFonts w:ascii="Arial" w:hAnsi="Arial" w:cs="Arial"/>
                                <w:sz w:val="18"/>
                                <w:szCs w:val="18"/>
                              </w:rPr>
                            </w:pPr>
                            <w:r w:rsidRPr="00D90C11">
                              <w:rPr>
                                <w:rFonts w:ascii="Arial" w:hAnsi="Arial" w:cs="Arial"/>
                                <w:sz w:val="18"/>
                                <w:szCs w:val="18"/>
                              </w:rPr>
                              <w:t>1966-69</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FBC53" id="Text Box 6" o:spid="_x0000_s1031" type="#_x0000_t202" style="position:absolute;margin-left:351.65pt;margin-top:229.1pt;width:39.55pt;height:16.1pt;rotation:-2872647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" stroked="f">
                <v:textbox inset="1mm,1mm,1mm,1mm">
                  <w:txbxContent>
                    <w:p w14:paraId="0B52C3CE" w14:textId="3A7ED77D" w:rsidR="00BD5271" w:rsidRPr="00D90C11" w:rsidRDefault="00BD5271" w:rsidP="00BD5271">
                      <w:pPr>
                        <w:rPr>
                          <w:rFonts w:ascii="Arial" w:hAnsi="Arial" w:cs="Arial"/>
                          <w:sz w:val="18"/>
                          <w:szCs w:val="18"/>
                        </w:rPr>
                      </w:pPr>
                      <w:r w:rsidRPr="00D90C11">
                        <w:rPr>
                          <w:rFonts w:ascii="Arial" w:hAnsi="Arial" w:cs="Arial"/>
                          <w:sz w:val="18"/>
                          <w:szCs w:val="18"/>
                        </w:rPr>
                        <w:t>1966-69</w:t>
                      </w:r>
                    </w:p>
                  </w:txbxContent>
                </v:textbox>
              </v:shape>
            </w:pict>
          </mc:Fallback>
        </mc:AlternateContent>
      </w:r>
      <w:r>
        <w:rPr>
          <w:noProof/>
        </w:rPr>
        <w:drawing>
          <wp:inline distT="0" distB="0" distL="0" distR="0" wp14:anchorId="785DC5F2" wp14:editId="126E7672">
            <wp:extent cx="5753819" cy="38358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379" cy="3836919"/>
                    </a:xfrm>
                    <a:prstGeom prst="rect">
                      <a:avLst/>
                    </a:prstGeom>
                    <a:noFill/>
                    <a:ln>
                      <a:noFill/>
                    </a:ln>
                  </pic:spPr>
                </pic:pic>
              </a:graphicData>
            </a:graphic>
          </wp:inline>
        </w:drawing>
      </w:r>
    </w:p>
    <w:p w14:paraId="6BD0BE33" w14:textId="4DA64636" w:rsidR="00396604" w:rsidRPr="00580A53" w:rsidRDefault="00396604" w:rsidP="00396604">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orthern Ireland Longitudinal Study</w:t>
      </w:r>
      <w:r w:rsidR="00D90C11">
        <w:rPr>
          <w:i/>
          <w:iCs/>
        </w:rPr>
        <w:t xml:space="preserve"> (NB NILS earliest data point is for 1966-69 birth cohort)</w:t>
      </w:r>
    </w:p>
    <w:p w14:paraId="248B4B9C" w14:textId="5D9509A9" w:rsidR="00C31AF6" w:rsidRDefault="005417B7" w:rsidP="00F338F1">
      <w:pPr>
        <w:spacing w:line="480" w:lineRule="auto"/>
      </w:pPr>
      <w:r>
        <w:t>In England and Wales and Scotland</w:t>
      </w:r>
      <w:r w:rsidR="00C31AF6">
        <w:t xml:space="preserve">, </w:t>
      </w:r>
      <w:r w:rsidR="00C31AF6" w:rsidRPr="00C31AF6">
        <w:t>m</w:t>
      </w:r>
      <w:r w:rsidR="000A0506">
        <w:t>edium and highly</w:t>
      </w:r>
      <w:r w:rsidR="00C31AF6" w:rsidRPr="00C31AF6">
        <w:t xml:space="preserve"> educated </w:t>
      </w:r>
      <w:r w:rsidR="00807025">
        <w:t>women</w:t>
      </w:r>
      <w:r w:rsidR="00C31AF6" w:rsidRPr="00C31AF6">
        <w:t xml:space="preserve"> in both countries</w:t>
      </w:r>
      <w:r w:rsidR="000A0506">
        <w:t xml:space="preserve"> </w:t>
      </w:r>
      <w:r w:rsidR="00C31AF6" w:rsidRPr="00C31AF6">
        <w:t>have</w:t>
      </w:r>
      <w:r>
        <w:t xml:space="preserve"> experienced a </w:t>
      </w:r>
      <w:r w:rsidR="009B2DC6">
        <w:t xml:space="preserve">clear </w:t>
      </w:r>
      <w:r w:rsidR="00C31AF6" w:rsidRPr="00C31AF6">
        <w:t xml:space="preserve">decline in </w:t>
      </w:r>
      <w:r>
        <w:t xml:space="preserve">three </w:t>
      </w:r>
      <w:r w:rsidR="00C31AF6" w:rsidRPr="00C31AF6">
        <w:t>child families</w:t>
      </w:r>
      <w:r>
        <w:t>, across cohorts</w:t>
      </w:r>
      <w:r w:rsidR="009B2DC6">
        <w:t xml:space="preserve"> (</w:t>
      </w:r>
      <w:r w:rsidR="00EF263A">
        <w:t>F</w:t>
      </w:r>
      <w:r w:rsidR="009B2DC6">
        <w:t xml:space="preserve">igure </w:t>
      </w:r>
      <w:r w:rsidR="00433AAB">
        <w:t>9</w:t>
      </w:r>
      <w:r w:rsidR="009B2DC6">
        <w:t>)</w:t>
      </w:r>
      <w:r w:rsidR="00C31AF6" w:rsidRPr="00C31AF6">
        <w:t>. At the same time, the</w:t>
      </w:r>
      <w:r>
        <w:t xml:space="preserve">re has been </w:t>
      </w:r>
      <w:r w:rsidR="009B2DC6">
        <w:t xml:space="preserve">much more gradual decline </w:t>
      </w:r>
      <w:r>
        <w:t>in three child families among the</w:t>
      </w:r>
      <w:r w:rsidR="009B2DC6">
        <w:t xml:space="preserve"> </w:t>
      </w:r>
      <w:r>
        <w:t>lowest educated</w:t>
      </w:r>
      <w:r w:rsidR="009B2DC6">
        <w:t xml:space="preserve"> women</w:t>
      </w:r>
      <w:r w:rsidR="00763E00">
        <w:t xml:space="preserve">. </w:t>
      </w:r>
      <w:r w:rsidR="00727249">
        <w:t>T</w:t>
      </w:r>
      <w:r>
        <w:t xml:space="preserve">he </w:t>
      </w:r>
      <w:r w:rsidR="00C31AF6" w:rsidRPr="00C31AF6">
        <w:t>youngest cohort</w:t>
      </w:r>
      <w:r w:rsidR="009B2DC6">
        <w:t xml:space="preserve"> of low </w:t>
      </w:r>
      <w:r w:rsidR="00763E00">
        <w:t xml:space="preserve">and medium educated </w:t>
      </w:r>
      <w:r w:rsidR="00727249">
        <w:t xml:space="preserve">women </w:t>
      </w:r>
      <w:r w:rsidR="00763E00">
        <w:t xml:space="preserve">in Scotland </w:t>
      </w:r>
      <w:r w:rsidR="009B2DC6">
        <w:t xml:space="preserve">have </w:t>
      </w:r>
      <w:r w:rsidR="00763E00">
        <w:t xml:space="preserve">even </w:t>
      </w:r>
      <w:r w:rsidR="009B2DC6">
        <w:t>increased their share of three child families</w:t>
      </w:r>
      <w:r w:rsidR="00727249">
        <w:t xml:space="preserve"> and the PPR from two to three births</w:t>
      </w:r>
      <w:r w:rsidR="00433AAB">
        <w:t xml:space="preserve"> (Appendix 4, Table 3)</w:t>
      </w:r>
      <w:r w:rsidR="009B2DC6">
        <w:t>.</w:t>
      </w:r>
      <w:r w:rsidR="00727249">
        <w:t xml:space="preserve"> </w:t>
      </w:r>
      <w:r w:rsidR="009B2DC6">
        <w:t>Th</w:t>
      </w:r>
      <w:r w:rsidR="00C31AF6" w:rsidRPr="00C31AF6">
        <w:t xml:space="preserve">e decline in two child families </w:t>
      </w:r>
      <w:r w:rsidR="009B2DC6">
        <w:t>(</w:t>
      </w:r>
      <w:r w:rsidR="00EF263A">
        <w:t>F</w:t>
      </w:r>
      <w:r w:rsidR="009B2DC6">
        <w:t xml:space="preserve">igure </w:t>
      </w:r>
      <w:r w:rsidR="00433AAB">
        <w:t>8</w:t>
      </w:r>
      <w:r w:rsidR="009B2DC6">
        <w:t>) has indeed been</w:t>
      </w:r>
      <w:r w:rsidR="00C31AF6" w:rsidRPr="00C31AF6">
        <w:t xml:space="preserve"> offset by the increase in 3 child families in the</w:t>
      </w:r>
      <w:r w:rsidR="00763E00">
        <w:t>se</w:t>
      </w:r>
      <w:r w:rsidR="00C31AF6" w:rsidRPr="00C31AF6">
        <w:t xml:space="preserve"> same group</w:t>
      </w:r>
      <w:r w:rsidR="00763E00">
        <w:t>s</w:t>
      </w:r>
      <w:r w:rsidR="009B2DC6">
        <w:t>.</w:t>
      </w:r>
    </w:p>
    <w:p w14:paraId="4C625947" w14:textId="48C15B4C" w:rsidR="00C31AF6" w:rsidRDefault="005417B7" w:rsidP="00F338F1">
      <w:pPr>
        <w:spacing w:line="480" w:lineRule="auto"/>
      </w:pPr>
      <w:r>
        <w:t>Moreover, the</w:t>
      </w:r>
      <w:r w:rsidR="00C31AF6" w:rsidRPr="00C31AF6">
        <w:t xml:space="preserve"> educational gradient</w:t>
      </w:r>
      <w:r w:rsidR="009B2DC6">
        <w:t xml:space="preserve"> of the proportion of three child families has been widening</w:t>
      </w:r>
      <w:r w:rsidR="00C31AF6" w:rsidRPr="00C31AF6">
        <w:t xml:space="preserve"> for both Scotland </w:t>
      </w:r>
      <w:r w:rsidR="009B2DC6">
        <w:t>and</w:t>
      </w:r>
      <w:r w:rsidR="00C31AF6" w:rsidRPr="00C31AF6">
        <w:t xml:space="preserve"> England and Wales</w:t>
      </w:r>
      <w:r w:rsidR="009B2DC6">
        <w:t>, especially when compared with the lack of educational pattern for one and two child families.</w:t>
      </w:r>
      <w:r w:rsidR="00C31AF6" w:rsidRPr="00C31AF6">
        <w:t xml:space="preserve"> </w:t>
      </w:r>
      <w:r w:rsidR="009B2DC6">
        <w:t>However, in Northern Ireland, t</w:t>
      </w:r>
      <w:r w:rsidR="00C31AF6" w:rsidRPr="00C31AF6">
        <w:t>he</w:t>
      </w:r>
      <w:r w:rsidR="009B2DC6">
        <w:t>re is not a</w:t>
      </w:r>
      <w:r w:rsidR="001C426E">
        <w:t xml:space="preserve"> comparable</w:t>
      </w:r>
      <w:r w:rsidR="009B2DC6">
        <w:t xml:space="preserve"> educational gra</w:t>
      </w:r>
      <w:r w:rsidR="00C31AF6" w:rsidRPr="00C31AF6">
        <w:t>dient</w:t>
      </w:r>
      <w:r w:rsidR="009B2DC6">
        <w:t xml:space="preserve"> in the proportion of three child families. </w:t>
      </w:r>
      <w:r w:rsidR="00FD7E98">
        <w:t>For the two older cohorts in No</w:t>
      </w:r>
      <w:r w:rsidR="00383D4E">
        <w:t>r</w:t>
      </w:r>
      <w:r w:rsidR="00FD7E98">
        <w:t xml:space="preserve">thern Ireland, the share of three child families was the same across educational groups, whereas for </w:t>
      </w:r>
      <w:r w:rsidR="00C31AF6" w:rsidRPr="00C31AF6">
        <w:t>the youngest cohort</w:t>
      </w:r>
      <w:r w:rsidR="00FD7E98">
        <w:t xml:space="preserve">, </w:t>
      </w:r>
      <w:r w:rsidR="00C31AF6" w:rsidRPr="00C31AF6">
        <w:t xml:space="preserve">the lowest and highest educated </w:t>
      </w:r>
      <w:r w:rsidR="00FD7E98">
        <w:t>women experienced an increase in three</w:t>
      </w:r>
      <w:r w:rsidR="00C31AF6" w:rsidRPr="00C31AF6">
        <w:t xml:space="preserve"> child families</w:t>
      </w:r>
      <w:r w:rsidR="00FD7E98">
        <w:t xml:space="preserve"> while the medium educated group had a </w:t>
      </w:r>
      <w:r w:rsidR="00C31AF6" w:rsidRPr="00C31AF6">
        <w:t>decline</w:t>
      </w:r>
      <w:r w:rsidR="00FD7E98">
        <w:t xml:space="preserve">. This pattern is very </w:t>
      </w:r>
      <w:r w:rsidR="00C31AF6" w:rsidRPr="00C31AF6">
        <w:t xml:space="preserve">distinct from Scotland </w:t>
      </w:r>
      <w:r w:rsidR="00FD7E98">
        <w:t>and</w:t>
      </w:r>
      <w:r w:rsidR="00C31AF6" w:rsidRPr="00C31AF6">
        <w:t xml:space="preserve"> England and Wales</w:t>
      </w:r>
      <w:r w:rsidR="00FD7E98">
        <w:t xml:space="preserve"> and </w:t>
      </w:r>
      <w:r w:rsidR="00B54E8A">
        <w:t>suggests that perhaps there is a three</w:t>
      </w:r>
      <w:r w:rsidR="00245262">
        <w:t>-</w:t>
      </w:r>
      <w:r w:rsidR="00B54E8A">
        <w:t xml:space="preserve">child norm or ideal in Northern </w:t>
      </w:r>
      <w:r w:rsidR="00FD7E98">
        <w:t>Ire</w:t>
      </w:r>
      <w:r w:rsidR="00B54E8A">
        <w:t xml:space="preserve">land, absent in the other </w:t>
      </w:r>
      <w:r w:rsidR="0033452F">
        <w:t>constituent countries</w:t>
      </w:r>
      <w:r w:rsidR="007F1DEC">
        <w:t>, which may relate to higher levels of religiosity</w:t>
      </w:r>
      <w:r w:rsidR="00B54E8A">
        <w:t xml:space="preserve">. </w:t>
      </w:r>
    </w:p>
    <w:p w14:paraId="298EBCD2" w14:textId="1BD02308" w:rsidR="00763E00" w:rsidRDefault="00763E00" w:rsidP="0037557C">
      <w:pPr>
        <w:pStyle w:val="Heading4"/>
      </w:pPr>
      <w:r w:rsidRPr="00E413AC">
        <w:t>Figure</w:t>
      </w:r>
      <w:r>
        <w:t xml:space="preserve"> </w:t>
      </w:r>
      <w:r w:rsidR="006C5006">
        <w:t>9</w:t>
      </w:r>
      <w:r>
        <w:t xml:space="preserve"> </w:t>
      </w:r>
      <w:r w:rsidRPr="00E413AC">
        <w:t>–</w:t>
      </w:r>
      <w:r w:rsidR="00F30F4C">
        <w:t xml:space="preserve"> Proportion </w:t>
      </w:r>
      <w:r>
        <w:t xml:space="preserve">of 3 child families </w:t>
      </w:r>
      <w:r w:rsidRPr="00E413AC">
        <w:t xml:space="preserve">age 40, by </w:t>
      </w:r>
      <w:r w:rsidR="006B7485">
        <w:t xml:space="preserve">birth </w:t>
      </w:r>
      <w:r w:rsidRPr="00E413AC">
        <w:t xml:space="preserve">cohort </w:t>
      </w:r>
      <w:r w:rsidR="00F30F4C">
        <w:t xml:space="preserve">and educational attainment </w:t>
      </w:r>
      <w:r w:rsidRPr="00E413AC">
        <w:t>with 95% confidence interval</w:t>
      </w:r>
    </w:p>
    <w:p w14:paraId="4CBAF419" w14:textId="022D9DD3" w:rsidR="00334559" w:rsidRDefault="00EC31A5" w:rsidP="00334559">
      <w:pPr>
        <w:pStyle w:val="NormalWeb"/>
      </w:pPr>
      <w:r>
        <w:rPr>
          <w:noProof/>
        </w:rPr>
        <mc:AlternateContent>
          <mc:Choice Requires="wps">
            <w:drawing>
              <wp:anchor distT="45720" distB="45720" distL="114300" distR="114300" simplePos="0" relativeHeight="251671552" behindDoc="0" locked="0" layoutInCell="1" allowOverlap="1" wp14:anchorId="04B04867" wp14:editId="22AE8A78">
                <wp:simplePos x="0" y="0"/>
                <wp:positionH relativeFrom="column">
                  <wp:posOffset>4434661</wp:posOffset>
                </wp:positionH>
                <wp:positionV relativeFrom="paragraph">
                  <wp:posOffset>2878778</wp:posOffset>
                </wp:positionV>
                <wp:extent cx="502182" cy="204418"/>
                <wp:effectExtent l="0" t="152400" r="12700" b="1581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0013">
                          <a:off x="0" y="0"/>
                          <a:ext cx="502182" cy="204418"/>
                        </a:xfrm>
                        <a:prstGeom prst="rect">
                          <a:avLst/>
                        </a:prstGeom>
                        <a:solidFill>
                          <a:srgbClr val="FFFFFF"/>
                        </a:solidFill>
                        <a:ln w="9525">
                          <a:noFill/>
                          <a:miter lim="800000"/>
                          <a:headEnd/>
                          <a:tailEnd/>
                        </a:ln>
                      </wps:spPr>
                      <wps:txbx>
                        <w:txbxContent>
                          <w:p w14:paraId="645F6AC6" w14:textId="77777777" w:rsidR="00EC31A5" w:rsidRPr="00D90C11" w:rsidRDefault="00EC31A5" w:rsidP="00EC31A5">
                            <w:pPr>
                              <w:rPr>
                                <w:rFonts w:ascii="Arial" w:hAnsi="Arial" w:cs="Arial"/>
                                <w:sz w:val="18"/>
                                <w:szCs w:val="18"/>
                              </w:rPr>
                            </w:pPr>
                            <w:r w:rsidRPr="00D90C11">
                              <w:rPr>
                                <w:rFonts w:ascii="Arial" w:hAnsi="Arial" w:cs="Arial"/>
                                <w:sz w:val="18"/>
                                <w:szCs w:val="18"/>
                              </w:rPr>
                              <w:t>1966-69</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04867" id="Text Box 20" o:spid="_x0000_s1032" type="#_x0000_t202" style="position:absolute;margin-left:349.2pt;margin-top:226.7pt;width:39.55pt;height:16.1pt;rotation:-2872647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" stroked="f">
                <v:textbox inset="1mm,1mm,1mm,1mm">
                  <w:txbxContent>
                    <w:p w14:paraId="645F6AC6" w14:textId="77777777" w:rsidR="00EC31A5" w:rsidRPr="00D90C11" w:rsidRDefault="00EC31A5" w:rsidP="00EC31A5">
                      <w:pPr>
                        <w:rPr>
                          <w:rFonts w:ascii="Arial" w:hAnsi="Arial" w:cs="Arial"/>
                          <w:sz w:val="18"/>
                          <w:szCs w:val="18"/>
                        </w:rPr>
                      </w:pPr>
                      <w:r w:rsidRPr="00D90C11">
                        <w:rPr>
                          <w:rFonts w:ascii="Arial" w:hAnsi="Arial" w:cs="Arial"/>
                          <w:sz w:val="18"/>
                          <w:szCs w:val="18"/>
                        </w:rPr>
                        <w:t>1966-69</w:t>
                      </w:r>
                    </w:p>
                  </w:txbxContent>
                </v:textbox>
              </v:shape>
            </w:pict>
          </mc:Fallback>
        </mc:AlternateContent>
      </w:r>
      <w:r w:rsidR="00334559">
        <w:rPr>
          <w:noProof/>
        </w:rPr>
        <w:drawing>
          <wp:inline distT="0" distB="0" distL="0" distR="0" wp14:anchorId="7AB3546E" wp14:editId="6F7D88AC">
            <wp:extent cx="5710687" cy="38071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9239" cy="3812826"/>
                    </a:xfrm>
                    <a:prstGeom prst="rect">
                      <a:avLst/>
                    </a:prstGeom>
                    <a:noFill/>
                    <a:ln>
                      <a:noFill/>
                    </a:ln>
                  </pic:spPr>
                </pic:pic>
              </a:graphicData>
            </a:graphic>
          </wp:inline>
        </w:drawing>
      </w:r>
    </w:p>
    <w:p w14:paraId="55A9150C" w14:textId="61C60A53" w:rsidR="00D90C11" w:rsidRPr="00580A53" w:rsidRDefault="00396604" w:rsidP="00D90C11">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orthern Ireland Longitudinal Study</w:t>
      </w:r>
      <w:r w:rsidR="00D90C11">
        <w:rPr>
          <w:i/>
          <w:iCs/>
        </w:rPr>
        <w:t xml:space="preserve"> (NB NILS earliest data point is for 1966-69 birth cohort)</w:t>
      </w:r>
    </w:p>
    <w:p w14:paraId="5BAF2F4D" w14:textId="27B8B72D" w:rsidR="00383D4E" w:rsidRPr="00383D4E" w:rsidRDefault="00383D4E" w:rsidP="00F338F1">
      <w:pPr>
        <w:spacing w:line="480" w:lineRule="auto"/>
      </w:pPr>
      <w:r>
        <w:t xml:space="preserve">Lastly, in all countries, the </w:t>
      </w:r>
      <w:r w:rsidR="00600C71">
        <w:t>share</w:t>
      </w:r>
      <w:r>
        <w:t xml:space="preserve"> of women with four or more children has increased for low and </w:t>
      </w:r>
      <w:r w:rsidRPr="00383D4E">
        <w:t>medium ed</w:t>
      </w:r>
      <w:r>
        <w:t>ucated</w:t>
      </w:r>
      <w:r w:rsidRPr="00383D4E">
        <w:t xml:space="preserve"> groups</w:t>
      </w:r>
      <w:r>
        <w:t xml:space="preserve">, while for </w:t>
      </w:r>
      <w:r w:rsidRPr="00383D4E">
        <w:t>the highly educated, there</w:t>
      </w:r>
      <w:r>
        <w:t xml:space="preserve"> has</w:t>
      </w:r>
      <w:r w:rsidRPr="00383D4E">
        <w:t xml:space="preserve"> been a consistent decline</w:t>
      </w:r>
      <w:r w:rsidR="00EF263A">
        <w:t xml:space="preserve"> (Figure </w:t>
      </w:r>
      <w:r w:rsidR="00A63021">
        <w:t>10</w:t>
      </w:r>
      <w:r w:rsidR="00EF263A">
        <w:t>)</w:t>
      </w:r>
      <w:r>
        <w:t xml:space="preserve">. </w:t>
      </w:r>
      <w:r w:rsidR="00A15E47" w:rsidRPr="00383D4E">
        <w:t>At this parity, there is an educational gradient for all countries and it</w:t>
      </w:r>
      <w:r w:rsidR="00A15E47">
        <w:t xml:space="preserve"> is</w:t>
      </w:r>
      <w:r w:rsidR="00A15E47" w:rsidRPr="00383D4E">
        <w:t xml:space="preserve"> widening in England and Wales and Northern Ireland.</w:t>
      </w:r>
      <w:r w:rsidR="00BF336A">
        <w:t xml:space="preserve"> </w:t>
      </w:r>
      <w:r w:rsidRPr="00383D4E">
        <w:t xml:space="preserve">The one </w:t>
      </w:r>
      <w:r>
        <w:t xml:space="preserve">exception </w:t>
      </w:r>
      <w:r w:rsidRPr="00383D4E">
        <w:t xml:space="preserve">is that the youngest cohort of highly educated </w:t>
      </w:r>
      <w:r>
        <w:t xml:space="preserve">women </w:t>
      </w:r>
      <w:r w:rsidRPr="00383D4E">
        <w:t>in Scotland have seen a rise in families</w:t>
      </w:r>
      <w:r>
        <w:t xml:space="preserve"> with four or more children, indicating that the </w:t>
      </w:r>
      <w:r w:rsidRPr="00383D4E">
        <w:t>slight</w:t>
      </w:r>
      <w:r>
        <w:t xml:space="preserve"> (not significant)</w:t>
      </w:r>
      <w:r w:rsidRPr="00383D4E">
        <w:t xml:space="preserve"> </w:t>
      </w:r>
      <w:r>
        <w:t xml:space="preserve">overall </w:t>
      </w:r>
      <w:r w:rsidRPr="00383D4E">
        <w:t xml:space="preserve">rebound in families </w:t>
      </w:r>
      <w:r>
        <w:t>with four or more children in the youngest cohort (</w:t>
      </w:r>
      <w:r w:rsidR="00EF263A">
        <w:t>F</w:t>
      </w:r>
      <w:r>
        <w:t xml:space="preserve">igure </w:t>
      </w:r>
      <w:r w:rsidR="00A63021">
        <w:t>6</w:t>
      </w:r>
      <w:r>
        <w:t xml:space="preserve">) was </w:t>
      </w:r>
      <w:r w:rsidRPr="00383D4E">
        <w:t xml:space="preserve">driven by all </w:t>
      </w:r>
      <w:r>
        <w:t xml:space="preserve">educational </w:t>
      </w:r>
      <w:r w:rsidRPr="00383D4E">
        <w:t xml:space="preserve">groups in Scotland. </w:t>
      </w:r>
      <w:r>
        <w:t>In contrast, t</w:t>
      </w:r>
      <w:r w:rsidRPr="00383D4E">
        <w:t xml:space="preserve">he stability </w:t>
      </w:r>
      <w:r>
        <w:t xml:space="preserve">of families with four or more children in England and Wales is attributable to </w:t>
      </w:r>
      <w:r w:rsidRPr="00383D4E">
        <w:t>rises and declines</w:t>
      </w:r>
      <w:r>
        <w:t xml:space="preserve"> in differen</w:t>
      </w:r>
      <w:r w:rsidR="00A30C07">
        <w:t>t</w:t>
      </w:r>
      <w:r>
        <w:t xml:space="preserve"> educational groups</w:t>
      </w:r>
      <w:r w:rsidRPr="00383D4E">
        <w:t xml:space="preserve"> offsetting each other. </w:t>
      </w:r>
    </w:p>
    <w:p w14:paraId="41379E90" w14:textId="11448B64" w:rsidR="004B7121" w:rsidRDefault="00DF6058" w:rsidP="0037557C">
      <w:pPr>
        <w:pStyle w:val="Heading4"/>
      </w:pPr>
      <w:r w:rsidRPr="00E413AC">
        <w:t>Figure</w:t>
      </w:r>
      <w:r>
        <w:t xml:space="preserve"> </w:t>
      </w:r>
      <w:r w:rsidR="006C5006">
        <w:t>10</w:t>
      </w:r>
      <w:r>
        <w:t xml:space="preserve"> </w:t>
      </w:r>
      <w:r w:rsidRPr="00E413AC">
        <w:t xml:space="preserve">– </w:t>
      </w:r>
      <w:r w:rsidR="00F30F4C">
        <w:t xml:space="preserve">Proportion </w:t>
      </w:r>
      <w:r>
        <w:t xml:space="preserve">of 4+ child families </w:t>
      </w:r>
      <w:r w:rsidRPr="00E413AC">
        <w:t xml:space="preserve">age 40, by </w:t>
      </w:r>
      <w:r w:rsidR="006B7485">
        <w:t xml:space="preserve">birth </w:t>
      </w:r>
      <w:r w:rsidRPr="00E413AC">
        <w:t>cohort</w:t>
      </w:r>
      <w:r w:rsidR="00F30F4C">
        <w:t xml:space="preserve"> and educational attainment</w:t>
      </w:r>
      <w:r w:rsidRPr="00E413AC">
        <w:t xml:space="preserve"> with 95% confidence interval</w:t>
      </w:r>
    </w:p>
    <w:p w14:paraId="34460762" w14:textId="088BB876" w:rsidR="00A51A24" w:rsidRDefault="00333386" w:rsidP="00A51A24">
      <w:pPr>
        <w:pStyle w:val="NormalWeb"/>
      </w:pPr>
      <w:r>
        <w:rPr>
          <w:noProof/>
        </w:rPr>
        <mc:AlternateContent>
          <mc:Choice Requires="wps">
            <w:drawing>
              <wp:anchor distT="45720" distB="45720" distL="114300" distR="114300" simplePos="0" relativeHeight="251669504" behindDoc="0" locked="0" layoutInCell="1" allowOverlap="1" wp14:anchorId="5A9BD32C" wp14:editId="3FC8C7F2">
                <wp:simplePos x="0" y="0"/>
                <wp:positionH relativeFrom="column">
                  <wp:posOffset>4442460</wp:posOffset>
                </wp:positionH>
                <wp:positionV relativeFrom="paragraph">
                  <wp:posOffset>2911739</wp:posOffset>
                </wp:positionV>
                <wp:extent cx="502182" cy="204418"/>
                <wp:effectExtent l="0" t="152400" r="12700" b="1581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0013">
                          <a:off x="0" y="0"/>
                          <a:ext cx="502182" cy="204418"/>
                        </a:xfrm>
                        <a:prstGeom prst="rect">
                          <a:avLst/>
                        </a:prstGeom>
                        <a:solidFill>
                          <a:srgbClr val="FFFFFF"/>
                        </a:solidFill>
                        <a:ln w="9525">
                          <a:noFill/>
                          <a:miter lim="800000"/>
                          <a:headEnd/>
                          <a:tailEnd/>
                        </a:ln>
                      </wps:spPr>
                      <wps:txbx>
                        <w:txbxContent>
                          <w:p w14:paraId="3E178362" w14:textId="6F65D43A" w:rsidR="00BD5271" w:rsidRPr="00D90C11" w:rsidRDefault="00BD5271" w:rsidP="00BD5271">
                            <w:pPr>
                              <w:rPr>
                                <w:rFonts w:ascii="Arial" w:hAnsi="Arial" w:cs="Arial"/>
                                <w:sz w:val="18"/>
                                <w:szCs w:val="18"/>
                              </w:rPr>
                            </w:pPr>
                            <w:r w:rsidRPr="00D90C11">
                              <w:rPr>
                                <w:rFonts w:ascii="Arial" w:hAnsi="Arial" w:cs="Arial"/>
                                <w:sz w:val="18"/>
                                <w:szCs w:val="18"/>
                              </w:rPr>
                              <w:t>1966-69</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BD32C" id="Text Box 8" o:spid="_x0000_s1033" type="#_x0000_t202" style="position:absolute;margin-left:349.8pt;margin-top:229.25pt;width:39.55pt;height:16.1pt;rotation:-2872647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" stroked="f">
                <v:textbox inset="1mm,1mm,1mm,1mm">
                  <w:txbxContent>
                    <w:p w14:paraId="3E178362" w14:textId="6F65D43A" w:rsidR="00BD5271" w:rsidRPr="00D90C11" w:rsidRDefault="00BD5271" w:rsidP="00BD5271">
                      <w:pPr>
                        <w:rPr>
                          <w:rFonts w:ascii="Arial" w:hAnsi="Arial" w:cs="Arial"/>
                          <w:sz w:val="18"/>
                          <w:szCs w:val="18"/>
                        </w:rPr>
                      </w:pPr>
                      <w:r w:rsidRPr="00D90C11">
                        <w:rPr>
                          <w:rFonts w:ascii="Arial" w:hAnsi="Arial" w:cs="Arial"/>
                          <w:sz w:val="18"/>
                          <w:szCs w:val="18"/>
                        </w:rPr>
                        <w:t>1966-69</w:t>
                      </w:r>
                    </w:p>
                  </w:txbxContent>
                </v:textbox>
              </v:shape>
            </w:pict>
          </mc:Fallback>
        </mc:AlternateContent>
      </w:r>
      <w:r w:rsidR="00A51A24">
        <w:rPr>
          <w:noProof/>
        </w:rPr>
        <w:drawing>
          <wp:inline distT="0" distB="0" distL="0" distR="0" wp14:anchorId="1C4593DB" wp14:editId="6D9E5DB3">
            <wp:extent cx="5736566" cy="3824377"/>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5602" cy="3830401"/>
                    </a:xfrm>
                    <a:prstGeom prst="rect">
                      <a:avLst/>
                    </a:prstGeom>
                    <a:noFill/>
                    <a:ln>
                      <a:noFill/>
                    </a:ln>
                  </pic:spPr>
                </pic:pic>
              </a:graphicData>
            </a:graphic>
          </wp:inline>
        </w:drawing>
      </w:r>
    </w:p>
    <w:p w14:paraId="108537F0" w14:textId="77777777" w:rsidR="00D90C11" w:rsidRPr="00580A53" w:rsidRDefault="00396604" w:rsidP="00D90C11">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orthern Ireland Longitudinal Study</w:t>
      </w:r>
      <w:r w:rsidR="00D90C11">
        <w:rPr>
          <w:i/>
          <w:iCs/>
        </w:rPr>
        <w:t xml:space="preserve"> (NB NILS earliest data point is for 1966-69 birth cohort)</w:t>
      </w:r>
    </w:p>
    <w:p w14:paraId="59217E83" w14:textId="165D12CF" w:rsidR="00DE36F7" w:rsidRDefault="00CD7A39" w:rsidP="00E43CA9">
      <w:pPr>
        <w:pStyle w:val="Heading2"/>
      </w:pPr>
      <w:r>
        <w:t>Discussion</w:t>
      </w:r>
    </w:p>
    <w:p w14:paraId="4379CD44" w14:textId="60C91BB9" w:rsidR="00592999" w:rsidRDefault="00592999" w:rsidP="00592999">
      <w:pPr>
        <w:spacing w:line="480" w:lineRule="auto"/>
      </w:pPr>
      <w:r>
        <w:t>For all UK countries, t</w:t>
      </w:r>
      <w:r w:rsidR="00965FEB" w:rsidRPr="0033688D">
        <w:t xml:space="preserve">he clearest educational differences </w:t>
      </w:r>
      <w:r w:rsidR="0086685C">
        <w:t xml:space="preserve">in </w:t>
      </w:r>
      <w:r w:rsidR="007849D8">
        <w:t xml:space="preserve">family size </w:t>
      </w:r>
      <w:r w:rsidR="0086685C">
        <w:t xml:space="preserve">are observed in the </w:t>
      </w:r>
      <w:r w:rsidR="007849D8">
        <w:t>share of childlessness,</w:t>
      </w:r>
      <w:r w:rsidR="0086685C">
        <w:t xml:space="preserve"> </w:t>
      </w:r>
      <w:r w:rsidR="0021731E">
        <w:t>which is</w:t>
      </w:r>
      <w:r w:rsidR="001830A6">
        <w:t xml:space="preserve"> consistent with </w:t>
      </w:r>
      <w:r w:rsidR="00757DAE">
        <w:t xml:space="preserve">past </w:t>
      </w:r>
      <w:r w:rsidR="0086685C">
        <w:t>UK</w:t>
      </w:r>
      <w:r w:rsidR="00871A0A">
        <w:t xml:space="preserve"> </w:t>
      </w:r>
      <w:r w:rsidR="00757DAE">
        <w:t>trends</w:t>
      </w:r>
      <w:r w:rsidR="001830A6">
        <w:t xml:space="preserve"> but</w:t>
      </w:r>
      <w:r w:rsidR="00710EFD">
        <w:t xml:space="preserve"> contrasts </w:t>
      </w:r>
      <w:r w:rsidR="00757DAE">
        <w:t xml:space="preserve">with recent narrowing of </w:t>
      </w:r>
      <w:r w:rsidR="001830A6">
        <w:t xml:space="preserve">educational </w:t>
      </w:r>
      <w:r w:rsidR="00757DAE">
        <w:t xml:space="preserve">differences in childlessness seen </w:t>
      </w:r>
      <w:r w:rsidR="001830A6">
        <w:t>in other European countries</w:t>
      </w:r>
      <w:r w:rsidR="00871A0A">
        <w:t xml:space="preserve"> </w:t>
      </w:r>
      <w:r w:rsidR="00871A0A">
        <w:fldChar w:fldCharType="begin">
          <w:fldData xml:space="preserve">PEVuZE5vdGU+PENpdGU+PEF1dGhvcj5KYWxvdmFhcmE8L0F1dGhvcj48WWVhcj4yMDIxPC9ZZWFy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</w:fldData>
        </w:fldChar>
      </w:r>
      <w:r w:rsidR="004F110B">
        <w:instrText xml:space="preserve"> ADDIN EN.CITE </w:instrText>
      </w:r>
      <w:r w:rsidR="004F110B">
        <w:fldChar w:fldCharType="begin">
          <w:fldData xml:space="preserve">PEVuZE5vdGU+PENpdGU+PEF1dGhvcj5KYWxvdmFhcmE8L0F1dGhvcj48WWVhcj4yMDIxPC9ZZWFy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</w:fldData>
        </w:fldChar>
      </w:r>
      <w:r w:rsidR="004F110B">
        <w:instrText xml:space="preserve"> ADDIN EN.CITE.DATA </w:instrText>
      </w:r>
      <w:r w:rsidR="004F110B">
        <w:fldChar w:fldCharType="end"/>
      </w:r>
      <w:r w:rsidR="00871A0A">
        <w:fldChar w:fldCharType="separate"/>
      </w:r>
      <w:r w:rsidR="004F110B">
        <w:rPr>
          <w:noProof/>
        </w:rPr>
        <w:t>(Reher and Requena 2019, Jalovaara, Andersson and Miettinen 2021, Compans, Beaujouan and Dutreuilh 2022)</w:t>
      </w:r>
      <w:r w:rsidR="00871A0A">
        <w:fldChar w:fldCharType="end"/>
      </w:r>
      <w:r w:rsidR="005A1D53">
        <w:t xml:space="preserve">. </w:t>
      </w:r>
      <w:r>
        <w:t xml:space="preserve">There is also an educational gradient of the proportion of 3 and 4 child families, albeit not as steep as the pattern for childlessness, which does echo the </w:t>
      </w:r>
      <w:r w:rsidR="00A84509">
        <w:t>higher</w:t>
      </w:r>
      <w:r>
        <w:t xml:space="preserve"> transition to </w:t>
      </w:r>
      <w:r w:rsidR="00A84509">
        <w:t xml:space="preserve">additional </w:t>
      </w:r>
      <w:r>
        <w:t>births among the less educated in Nordic countries</w:t>
      </w:r>
      <w:r w:rsidR="00871A0A">
        <w:t xml:space="preserve"> </w:t>
      </w:r>
      <w:r w:rsidR="00871A0A">
        <w:fldChar w:fldCharType="begin"/>
      </w:r>
      <w:r w:rsidR="00871A0A">
        <w:instrText xml:space="preserve"> ADDIN EN.CITE &lt;EndNote&gt;&lt;Cite&gt;&lt;Author&gt;Jalovaara&lt;/Author&gt;&lt;Year&gt;2021&lt;/Year&gt;&lt;RecNum&gt;107&lt;/RecNum&gt;&lt;DisplayText&gt;(Jalovaara, Andersson and Miettinen 2021)&lt;/DisplayText&gt;&lt;record&gt;&lt;rec-number&gt;107&lt;/rec-number&gt;&lt;foreign-keys&gt;&lt;key app="EN" db-id="date2dst4vae0pe955kxa2tla9pzrxp00p95" timestamp="1665058417"&gt;107&lt;/key&gt;&lt;/foreign-keys&gt;&lt;ref-type name="Journal Article"&gt;17&lt;/ref-type&gt;&lt;contributors&gt;&lt;authors&gt;&lt;author&gt;Jalovaara, Marika&lt;/author&gt;&lt;author&gt;Andersson, Linus&lt;/author&gt;&lt;author&gt;Miettinen, Anneli&lt;/author&gt;&lt;/authors&gt;&lt;/contributors&gt;&lt;titles&gt;&lt;title&gt;Parity disparity: Educational differences in Nordic fertility across parities and number of reproductive partners&lt;/title&gt;&lt;secondary-title&gt;Population Studies&lt;/secondary-title&gt;&lt;/titles&gt;&lt;periodical&gt;&lt;full-title&gt;Population Studies&lt;/full-title&gt;&lt;/periodical&gt;&lt;pages&gt;1-18&lt;/pages&gt;&lt;dates&gt;&lt;year&gt;2021&lt;/year&gt;&lt;/dates&gt;&lt;publisher&gt;Routledge&lt;/publisher&gt;&lt;isbn&gt;0032-4728&lt;/isbn&gt;&lt;urls&gt;&lt;related-urls&gt;&lt;url&gt;https://doi.org/10.1080/00324728.2021.1887506&lt;/url&gt;&lt;/related-urls&gt;&lt;/urls&gt;&lt;electronic-resource-num&gt;10.1080/00324728.2021.1887506&lt;/electronic-resource-num&gt;&lt;/record&gt;&lt;/Cite&gt;&lt;/EndNote&gt;</w:instrText>
      </w:r>
      <w:r w:rsidR="00871A0A">
        <w:fldChar w:fldCharType="separate"/>
      </w:r>
      <w:r w:rsidR="00871A0A">
        <w:rPr>
          <w:noProof/>
        </w:rPr>
        <w:t>(Jalovaara, Andersson and Miettinen 2021)</w:t>
      </w:r>
      <w:r w:rsidR="00871A0A">
        <w:fldChar w:fldCharType="end"/>
      </w:r>
      <w:r w:rsidR="00C01C38">
        <w:t xml:space="preserve">, and provides some evidence for rising polarization of family size in high-income low fertility countries, as predicted by </w:t>
      </w:r>
      <w:r w:rsidR="00C01C38">
        <w:fldChar w:fldCharType="begin"/>
      </w:r>
      <w:r w:rsidR="00C01C38">
        <w:instrText xml:space="preserve"> ADDIN EN.CITE &lt;EndNote&gt;&lt;Cite&gt;&lt;Author&gt;Brzozowska&lt;/Author&gt;&lt;Year&gt;2022&lt;/Year&gt;&lt;RecNum&gt;2&lt;/RecNum&gt;&lt;DisplayText&gt;(Brzozowska, Beaujouan and Zeman 2022)&lt;/DisplayText&gt;&lt;record&gt;&lt;rec-number&gt;2&lt;/rec-number&gt;&lt;foreign-keys&gt;&lt;key app="EN" db-id="s2s9rw0t5t9s2newzxnpzatafpexrve2dzev" timestamp="1707222090"&gt;2&lt;/key&gt;&lt;/foreign-keys&gt;&lt;ref-type name="Journal Article"&gt;17&lt;/ref-type&gt;&lt;contributors&gt;&lt;authors&gt;&lt;author&gt;Brzozowska, Zuzanna&lt;/author&gt;&lt;author&gt;Beaujouan, Eva&lt;/author&gt;&lt;author&gt;Zeman, Kryštof&lt;/author&gt;&lt;/authors&gt;&lt;/contributors&gt;&lt;titles&gt;&lt;title&gt;Is Two Still Best? Change in Parity-Specific Fertility Across Education in Low-Fertility Countries&lt;/title&gt;&lt;secondary-title&gt;Population Research and Policy Review&lt;/secondary-title&gt;&lt;/titles&gt;&lt;pages&gt;2085-2114&lt;/pages&gt;&lt;volume&gt;41&lt;/volume&gt;&lt;number&gt;5&lt;/number&gt;&lt;dates&gt;&lt;year&gt;2022&lt;/year&gt;&lt;pub-dates&gt;&lt;date&gt;2022/10/01&lt;/date&gt;&lt;/pub-dates&gt;&lt;/dates&gt;&lt;urls&gt;&lt;related-urls&gt;&lt;url&gt;https://doi.org/10.1007/s11113-022-09716-4&lt;/url&gt;&lt;/related-urls&gt;&lt;/urls&gt;&lt;electronic-resource-num&gt;10.1007/s11113-022-09716-4&lt;/electronic-resource-num&gt;&lt;/record&gt;&lt;/Cite&gt;&lt;/EndNote&gt;</w:instrText>
      </w:r>
      <w:r w:rsidR="00C01C38">
        <w:fldChar w:fldCharType="separate"/>
      </w:r>
      <w:r w:rsidR="00C01C38">
        <w:rPr>
          <w:noProof/>
        </w:rPr>
        <w:t>(Brzozowska, Beaujouan and Zeman 2022)</w:t>
      </w:r>
      <w:r w:rsidR="00C01C38">
        <w:fldChar w:fldCharType="end"/>
      </w:r>
      <w:r>
        <w:t>.</w:t>
      </w:r>
      <w:r w:rsidR="00A84509">
        <w:t xml:space="preserve"> </w:t>
      </w:r>
      <w:r w:rsidR="006F5CB0">
        <w:rPr>
          <w:lang w:val="en-GB"/>
        </w:rPr>
        <w:t>To date</w:t>
      </w:r>
      <w:r w:rsidR="00A84509">
        <w:rPr>
          <w:lang w:val="en-GB"/>
        </w:rPr>
        <w:t xml:space="preserve"> however</w:t>
      </w:r>
      <w:r w:rsidR="006F5CB0">
        <w:rPr>
          <w:lang w:val="en-GB"/>
        </w:rPr>
        <w:t>, there is n</w:t>
      </w:r>
      <w:r w:rsidR="006F5CB0" w:rsidRPr="00CD7A39">
        <w:rPr>
          <w:lang w:val="en-GB"/>
        </w:rPr>
        <w:t xml:space="preserve">o evidence of </w:t>
      </w:r>
      <w:r w:rsidR="00B30DB8">
        <w:rPr>
          <w:lang w:val="en-GB"/>
        </w:rPr>
        <w:t xml:space="preserve">both increased childlessness and higher order births </w:t>
      </w:r>
      <w:r w:rsidR="006F5CB0">
        <w:rPr>
          <w:lang w:val="en-GB"/>
        </w:rPr>
        <w:t>within lower educated groups</w:t>
      </w:r>
      <w:r w:rsidR="00B30DB8">
        <w:rPr>
          <w:lang w:val="en-GB"/>
        </w:rPr>
        <w:t>,</w:t>
      </w:r>
      <w:r w:rsidR="006F5CB0">
        <w:rPr>
          <w:lang w:val="en-GB"/>
        </w:rPr>
        <w:t xml:space="preserve"> and no tendency</w:t>
      </w:r>
      <w:r w:rsidR="00B30DB8">
        <w:rPr>
          <w:lang w:val="en-GB"/>
        </w:rPr>
        <w:t xml:space="preserve"> at all</w:t>
      </w:r>
      <w:r w:rsidR="006F5CB0">
        <w:rPr>
          <w:lang w:val="en-GB"/>
        </w:rPr>
        <w:t xml:space="preserve"> for </w:t>
      </w:r>
      <w:r w:rsidR="00B30DB8">
        <w:rPr>
          <w:lang w:val="en-GB"/>
        </w:rPr>
        <w:t>rising c</w:t>
      </w:r>
      <w:r w:rsidR="006F5CB0">
        <w:rPr>
          <w:lang w:val="en-GB"/>
        </w:rPr>
        <w:t>hildlessness among this group either</w:t>
      </w:r>
      <w:r w:rsidR="00A84509">
        <w:rPr>
          <w:lang w:val="en-GB"/>
        </w:rPr>
        <w:t xml:space="preserve"> in any UK country</w:t>
      </w:r>
      <w:r w:rsidR="006F5CB0">
        <w:rPr>
          <w:lang w:val="en-GB"/>
        </w:rPr>
        <w:t xml:space="preserve">. </w:t>
      </w:r>
    </w:p>
    <w:p w14:paraId="64475B8A" w14:textId="7280287C" w:rsidR="00592999" w:rsidRDefault="00576D0F" w:rsidP="00267425">
      <w:pPr>
        <w:spacing w:line="480" w:lineRule="auto"/>
      </w:pPr>
      <w:r>
        <w:t>Compared to Scotland and England and Wales, educational differences in Northern Ireland are narrow</w:t>
      </w:r>
      <w:r w:rsidR="00DB74EB">
        <w:t>er</w:t>
      </w:r>
      <w:r>
        <w:t>, but have widened at higher parities and narrowed for childlessness.</w:t>
      </w:r>
      <w:r w:rsidR="005A1D53">
        <w:t xml:space="preserve"> A narrowing educational pattern of childlessness in Northern Ireland is in direct contrast with </w:t>
      </w:r>
      <w:r w:rsidR="00097AB6">
        <w:t>the rest of the UK</w:t>
      </w:r>
      <w:r w:rsidR="00592999">
        <w:t xml:space="preserve"> and more similar</w:t>
      </w:r>
      <w:r w:rsidR="00A84509">
        <w:t xml:space="preserve"> </w:t>
      </w:r>
      <w:r w:rsidR="00592999">
        <w:t xml:space="preserve">to </w:t>
      </w:r>
      <w:r w:rsidR="00710EFD">
        <w:t>aforementioned</w:t>
      </w:r>
      <w:r w:rsidR="00592999">
        <w:t xml:space="preserve"> European countries</w:t>
      </w:r>
      <w:r w:rsidR="000202F2">
        <w:t>. However, in this case the narrowing</w:t>
      </w:r>
      <w:r w:rsidR="00FA0997">
        <w:t xml:space="preserve"> </w:t>
      </w:r>
      <w:r w:rsidR="000D6D72">
        <w:t>is due to decrease</w:t>
      </w:r>
      <w:r w:rsidR="000202F2">
        <w:t>d childlessness</w:t>
      </w:r>
      <w:r w:rsidR="000D6D72">
        <w:t xml:space="preserve"> among the highly educated</w:t>
      </w:r>
      <w:r w:rsidR="007849D8">
        <w:t>, not</w:t>
      </w:r>
      <w:r w:rsidR="000D6D72">
        <w:t xml:space="preserve"> increases among the low educated</w:t>
      </w:r>
      <w:r w:rsidR="00710EFD">
        <w:t xml:space="preserve">. </w:t>
      </w:r>
    </w:p>
    <w:p w14:paraId="2BDE0DDF" w14:textId="5088C6C3" w:rsidR="0009478C" w:rsidRDefault="007A3075" w:rsidP="008A12EB">
      <w:pPr>
        <w:spacing w:line="480" w:lineRule="auto"/>
      </w:pPr>
      <w:r>
        <w:t>There are v</w:t>
      </w:r>
      <w:r w:rsidR="004C00D6">
        <w:t>ery clear</w:t>
      </w:r>
      <w:r>
        <w:t xml:space="preserve">, </w:t>
      </w:r>
      <w:r w:rsidR="00EC6B1E">
        <w:t>sometimes widening</w:t>
      </w:r>
      <w:r w:rsidR="00EB0245">
        <w:t>,</w:t>
      </w:r>
      <w:r w:rsidR="00EC6B1E">
        <w:t xml:space="preserve"> </w:t>
      </w:r>
      <w:r w:rsidR="004C00D6">
        <w:t>educational differences in average family size</w:t>
      </w:r>
      <w:r w:rsidR="00710EFD">
        <w:t xml:space="preserve"> </w:t>
      </w:r>
      <w:r w:rsidR="004C00D6">
        <w:t>and</w:t>
      </w:r>
      <w:r w:rsidR="007849D8">
        <w:t xml:space="preserve"> educational differences in the</w:t>
      </w:r>
      <w:r w:rsidR="004C00D6">
        <w:t xml:space="preserve"> mean age at first birth</w:t>
      </w:r>
      <w:r w:rsidR="00EC6B1E">
        <w:t xml:space="preserve"> for cohorts born </w:t>
      </w:r>
      <w:r w:rsidR="00EC6B1E" w:rsidRPr="00B30DB8">
        <w:t xml:space="preserve">between </w:t>
      </w:r>
      <w:r w:rsidR="00B30DB8" w:rsidRPr="00B30DB8">
        <w:t>1956-59 and 1975-78</w:t>
      </w:r>
      <w:r w:rsidR="004C00D6" w:rsidRPr="00B30DB8">
        <w:t>.</w:t>
      </w:r>
      <w:r w:rsidR="004C00D6">
        <w:t xml:space="preserve"> Some of the </w:t>
      </w:r>
      <w:r>
        <w:t xml:space="preserve">educational </w:t>
      </w:r>
      <w:r w:rsidR="004C00D6">
        <w:t xml:space="preserve">differences in average family size are due to </w:t>
      </w:r>
      <w:r>
        <w:t xml:space="preserve">educational </w:t>
      </w:r>
      <w:r w:rsidR="004C00D6">
        <w:t>differences in childlessness, but not all.</w:t>
      </w:r>
      <w:r w:rsidR="0009478C">
        <w:t xml:space="preserve"> However, across countries, the mean ages at first birth</w:t>
      </w:r>
      <w:r w:rsidR="00777EE6">
        <w:t xml:space="preserve"> (overall and for each educational group)</w:t>
      </w:r>
      <w:r w:rsidR="0009478C">
        <w:t xml:space="preserve"> are not that different. This suggests that </w:t>
      </w:r>
      <w:r w:rsidR="0009478C" w:rsidRPr="00CD7A39">
        <w:rPr>
          <w:lang w:val="en-GB"/>
        </w:rPr>
        <w:t xml:space="preserve">differences in </w:t>
      </w:r>
      <w:r w:rsidR="009136AB">
        <w:rPr>
          <w:lang w:val="en-GB"/>
        </w:rPr>
        <w:t xml:space="preserve">entry into motherhood </w:t>
      </w:r>
      <w:r w:rsidR="0009478C">
        <w:rPr>
          <w:lang w:val="en-GB"/>
        </w:rPr>
        <w:t xml:space="preserve">are unlikely to drive differences in cohort fertility between countries, especially the lower fertility in Scotland and higher fertility in Northern Ireland. </w:t>
      </w:r>
      <w:r w:rsidR="003F71E1">
        <w:rPr>
          <w:lang w:val="en-GB"/>
        </w:rPr>
        <w:t xml:space="preserve">And even though the Scottish population has higher levels of education </w:t>
      </w:r>
      <w:r w:rsidR="00B30DB8">
        <w:rPr>
          <w:lang w:val="en-GB"/>
        </w:rPr>
        <w:t xml:space="preserve">than the rest of the UK, which is </w:t>
      </w:r>
      <w:r w:rsidR="003F71E1">
        <w:rPr>
          <w:lang w:val="en-GB"/>
        </w:rPr>
        <w:t>usually linked to</w:t>
      </w:r>
      <w:r w:rsidR="009136AB">
        <w:rPr>
          <w:lang w:val="en-GB"/>
        </w:rPr>
        <w:t xml:space="preserve"> delayed first births</w:t>
      </w:r>
      <w:r w:rsidR="00B30DB8">
        <w:rPr>
          <w:lang w:val="en-GB"/>
        </w:rPr>
        <w:t>,</w:t>
      </w:r>
      <w:r w:rsidR="003F71E1">
        <w:rPr>
          <w:lang w:val="en-GB"/>
        </w:rPr>
        <w:t xml:space="preserve"> </w:t>
      </w:r>
      <w:r w:rsidR="00D1548A">
        <w:rPr>
          <w:lang w:val="en-GB"/>
        </w:rPr>
        <w:t>in fact, the highly educated</w:t>
      </w:r>
      <w:r w:rsidR="009136AB">
        <w:rPr>
          <w:lang w:val="en-GB"/>
        </w:rPr>
        <w:t xml:space="preserve"> in Scotland</w:t>
      </w:r>
      <w:r w:rsidR="00D1548A">
        <w:rPr>
          <w:lang w:val="en-GB"/>
        </w:rPr>
        <w:t xml:space="preserve"> have a younger mean age at first birth, compared to the rest of the UK</w:t>
      </w:r>
      <w:r w:rsidR="003F71E1">
        <w:rPr>
          <w:lang w:val="en-GB"/>
        </w:rPr>
        <w:t xml:space="preserve">. </w:t>
      </w:r>
    </w:p>
    <w:p w14:paraId="540D7423" w14:textId="76EE3DD5" w:rsidR="00965FEB" w:rsidRDefault="00A84509" w:rsidP="008A12EB">
      <w:pPr>
        <w:spacing w:line="480" w:lineRule="auto"/>
      </w:pPr>
      <w:r>
        <w:t>We found c</w:t>
      </w:r>
      <w:r w:rsidR="004C00D6">
        <w:t xml:space="preserve">ountry </w:t>
      </w:r>
      <w:r w:rsidR="00965FEB" w:rsidRPr="00C83AAE">
        <w:t>differences</w:t>
      </w:r>
      <w:r w:rsidR="004C00D6">
        <w:t xml:space="preserve"> in </w:t>
      </w:r>
      <w:r w:rsidR="00563C48">
        <w:t xml:space="preserve">family size distribution </w:t>
      </w:r>
      <w:r>
        <w:t xml:space="preserve">that </w:t>
      </w:r>
      <w:r w:rsidR="000B24CF">
        <w:t xml:space="preserve">suggest country context may play a role </w:t>
      </w:r>
      <w:r w:rsidR="004E53AB">
        <w:t xml:space="preserve">in </w:t>
      </w:r>
      <w:r w:rsidR="000B24CF">
        <w:t xml:space="preserve">family </w:t>
      </w:r>
      <w:r w:rsidR="00060163">
        <w:t>building</w:t>
      </w:r>
      <w:r w:rsidR="004C00D6">
        <w:t xml:space="preserve">. There are clearly </w:t>
      </w:r>
      <w:r w:rsidR="00965FEB" w:rsidRPr="0033688D">
        <w:t>smaller family sizes in Scotland</w:t>
      </w:r>
      <w:r w:rsidR="0009478C">
        <w:t>, with an increasing proportion of one child families</w:t>
      </w:r>
      <w:r w:rsidR="00576D0F">
        <w:t xml:space="preserve"> for all educational groups</w:t>
      </w:r>
      <w:r w:rsidR="00965FEB" w:rsidRPr="0033688D">
        <w:t>.</w:t>
      </w:r>
      <w:r w:rsidR="0009478C">
        <w:t xml:space="preserve"> In England and Wales</w:t>
      </w:r>
      <w:r w:rsidR="000B24CF">
        <w:t xml:space="preserve"> and Northern Ireland</w:t>
      </w:r>
      <w:r w:rsidR="0009478C">
        <w:t>, the share of two child families has been relatively consistent across educational groups</w:t>
      </w:r>
      <w:r w:rsidR="000B24CF">
        <w:t xml:space="preserve">, while it </w:t>
      </w:r>
      <w:r w:rsidR="00576D0F">
        <w:t>has declined in Scotland</w:t>
      </w:r>
      <w:r w:rsidR="002802CF">
        <w:t xml:space="preserve"> for all educational groups</w:t>
      </w:r>
      <w:r w:rsidR="00576D0F">
        <w:t xml:space="preserve">. </w:t>
      </w:r>
      <w:r w:rsidR="000B24CF">
        <w:t xml:space="preserve">Despite </w:t>
      </w:r>
      <w:r w:rsidR="00060163">
        <w:t xml:space="preserve">similar fertility intentions across the UK countries </w:t>
      </w:r>
      <w:r w:rsidR="008D298C">
        <w:fldChar w:fldCharType="begin"/>
      </w:r>
      <w:r w:rsidR="008D298C">
        <w:instrText xml:space="preserve"> ADDIN EN.CITE &lt;EndNote&gt;&lt;Cite&gt;&lt;Author&gt;Berrington&lt;/Author&gt;&lt;Year&gt;2023&lt;/Year&gt;&lt;RecNum&gt;319&lt;/RecNum&gt;&lt;DisplayText&gt;(Berrington, Kuang et al. 2023)&lt;/DisplayText&gt;&lt;record&gt;&lt;rec-number&gt;319&lt;/rec-number&gt;&lt;foreign-keys&gt;&lt;key app="EN" db-id="date2dst4vae0pe955kxa2tla9pzrxp00p95" timestamp="1702593955"&gt;319&lt;/key&gt;&lt;/foreign-keys&gt;&lt;ref-type name="Electronic Article"&gt;43&lt;/ref-type&gt;&lt;contributors&gt;&lt;authors&gt;&lt;author&gt;Berrington, Ann&lt;/author&gt;&lt;author&gt;Kuang, Bernice&lt;/author&gt;&lt;author&gt;Christison, Sarah&lt;/author&gt;&lt;author&gt;Kulu, Hill&lt;/author&gt;&lt;/authors&gt;&lt;/contributors&gt;&lt;titles&gt;&lt;title&gt;Understanding fertility trends in Britain: Do fertility intentions differ across England, Wales and Scotland?&lt;/title&gt;&lt;secondary-title&gt;ESRC Centre for Population Change Working Paper Series&lt;/secondary-title&gt;&lt;/titles&gt;&lt;periodical&gt;&lt;full-title&gt;ESRC Centre for Population Change Working Paper Series&lt;/full-title&gt;&lt;/periodical&gt;&lt;number&gt;105&lt;/number&gt;&lt;section&gt;April 2023&lt;/section&gt;&lt;dates&gt;&lt;year&gt;2023&lt;/year&gt;&lt;/dates&gt;&lt;publisher&gt;Centre for Population Change &lt;/publisher&gt;&lt;urls&gt;&lt;/urls&gt;&lt;/record&gt;&lt;/Cite&gt;&lt;/EndNote&gt;</w:instrText>
      </w:r>
      <w:r w:rsidR="008D298C">
        <w:fldChar w:fldCharType="separate"/>
      </w:r>
      <w:r w:rsidR="008D298C">
        <w:rPr>
          <w:noProof/>
        </w:rPr>
        <w:t>(Berrington, Kuang et al. 2023)</w:t>
      </w:r>
      <w:r w:rsidR="008D298C">
        <w:fldChar w:fldCharType="end"/>
      </w:r>
      <w:r w:rsidR="00060163">
        <w:t xml:space="preserve">, </w:t>
      </w:r>
      <w:r w:rsidR="000B24CF">
        <w:t xml:space="preserve">smaller families </w:t>
      </w:r>
      <w:r w:rsidR="00060163">
        <w:t>are an</w:t>
      </w:r>
      <w:r w:rsidR="000B24CF">
        <w:t xml:space="preserve"> emerging feature of Scottish fertility</w:t>
      </w:r>
      <w:r w:rsidR="00BE6689">
        <w:t xml:space="preserve"> and are a more important driver </w:t>
      </w:r>
      <w:r w:rsidR="00D1548A">
        <w:t xml:space="preserve">of </w:t>
      </w:r>
      <w:r w:rsidR="006141F2">
        <w:t xml:space="preserve">Scotland’s lower fertility rates than childlessness. </w:t>
      </w:r>
      <w:r w:rsidR="001830A6">
        <w:t>Norther</w:t>
      </w:r>
      <w:r w:rsidR="00563C48">
        <w:t>n</w:t>
      </w:r>
      <w:r w:rsidR="001830A6">
        <w:t xml:space="preserve"> Ireland on the other hand shows higher shares of 3 and 4 child families,</w:t>
      </w:r>
      <w:r w:rsidR="00661A94">
        <w:t xml:space="preserve"> perhaps a “three child norm”,</w:t>
      </w:r>
      <w:r w:rsidR="001830A6">
        <w:t xml:space="preserve"> compared with England and Wales and Scotland, in some cases double the proportion, which together with relatively lower levels of childlessness explain the higher fertility level in Northern Ireland. </w:t>
      </w:r>
      <w:r w:rsidR="00710EFD">
        <w:t xml:space="preserve">Moreover, the </w:t>
      </w:r>
      <w:r w:rsidR="002802CF">
        <w:t xml:space="preserve">generally </w:t>
      </w:r>
      <w:r w:rsidR="00710EFD">
        <w:t xml:space="preserve">flatter educational pattern </w:t>
      </w:r>
      <w:r w:rsidR="0028591A">
        <w:t xml:space="preserve">of family size distribution </w:t>
      </w:r>
      <w:r w:rsidR="00710EFD">
        <w:t xml:space="preserve">in Northern Ireland </w:t>
      </w:r>
      <w:r w:rsidR="0028591A">
        <w:t>(excluding childless</w:t>
      </w:r>
      <w:r w:rsidR="002802CF">
        <w:t>ness</w:t>
      </w:r>
      <w:r w:rsidR="0028591A">
        <w:t xml:space="preserve">) </w:t>
      </w:r>
      <w:r w:rsidR="00710EFD">
        <w:t xml:space="preserve">suggests that once the decision to become a parent is made, ultimate family size is not a feature of disadvantage </w:t>
      </w:r>
      <w:r w:rsidR="007849D8">
        <w:t xml:space="preserve">in </w:t>
      </w:r>
      <w:r w:rsidR="00710EFD">
        <w:t xml:space="preserve">the way it may be in England and Wales. </w:t>
      </w:r>
      <w:r w:rsidR="0028591A">
        <w:t xml:space="preserve">  </w:t>
      </w:r>
    </w:p>
    <w:p w14:paraId="31198620" w14:textId="084C2B88" w:rsidR="00B81FA4" w:rsidRDefault="006F5CB0" w:rsidP="001830A6">
      <w:pPr>
        <w:spacing w:line="480" w:lineRule="auto"/>
      </w:pPr>
      <w:r>
        <w:t xml:space="preserve">The UK’s countries </w:t>
      </w:r>
      <w:r w:rsidR="00245843">
        <w:t>e</w:t>
      </w:r>
      <w:r>
        <w:t>ach display different fertility patterns</w:t>
      </w:r>
      <w:r w:rsidR="00A84509">
        <w:t xml:space="preserve"> with respect to parity and education. </w:t>
      </w:r>
      <w:r w:rsidR="00F230B8">
        <w:t>The two</w:t>
      </w:r>
      <w:r w:rsidR="00B2277A">
        <w:t>-</w:t>
      </w:r>
      <w:r w:rsidR="00F230B8">
        <w:t>child norm in England and Wales seems firmly entrenched and has not changed</w:t>
      </w:r>
      <w:r w:rsidR="00B2277A">
        <w:t xml:space="preserve"> noticeably</w:t>
      </w:r>
      <w:r w:rsidR="00F230B8">
        <w:t xml:space="preserve"> across cohorts.</w:t>
      </w:r>
      <w:r w:rsidR="00B2277A">
        <w:t xml:space="preserve"> Instead, fertility decline is due to increased childlessness and a declining share of 3 and 4 child families</w:t>
      </w:r>
      <w:r w:rsidR="00C96C9D">
        <w:t xml:space="preserve"> particularly</w:t>
      </w:r>
      <w:r w:rsidR="004E53AB">
        <w:t xml:space="preserve"> among the highly educated</w:t>
      </w:r>
      <w:r w:rsidR="00C96C9D">
        <w:t>; in contrast, the less educated have increasingly had 3 and 4 child families across cohorts</w:t>
      </w:r>
      <w:r w:rsidR="00B2277A">
        <w:t xml:space="preserve">. The persistently wide educational differences in England and Wales indicate that fertility behavior, particularly with respect to birth order differences, </w:t>
      </w:r>
      <w:r w:rsidR="004E53AB">
        <w:t>remains</w:t>
      </w:r>
      <w:r w:rsidR="00B2277A">
        <w:t xml:space="preserve"> strongly tied to disadvantage</w:t>
      </w:r>
      <w:r w:rsidR="00A76E53">
        <w:t xml:space="preserve"> and features of family complexity such as multi partner fertility and nonmarital fertility</w:t>
      </w:r>
      <w:r w:rsidR="00B2277A">
        <w:t>.</w:t>
      </w:r>
      <w:r w:rsidR="00C96C9D">
        <w:t xml:space="preserve"> </w:t>
      </w:r>
      <w:r>
        <w:t xml:space="preserve">In </w:t>
      </w:r>
      <w:r w:rsidR="001830A6">
        <w:t xml:space="preserve">Scotland, </w:t>
      </w:r>
      <w:r>
        <w:t xml:space="preserve">it is not </w:t>
      </w:r>
      <w:r w:rsidR="00A76E53">
        <w:t>h</w:t>
      </w:r>
      <w:r>
        <w:t>igh</w:t>
      </w:r>
      <w:r w:rsidR="00A76E53">
        <w:t>er</w:t>
      </w:r>
      <w:r>
        <w:t xml:space="preserve"> level</w:t>
      </w:r>
      <w:r w:rsidR="00A76E53">
        <w:t>s</w:t>
      </w:r>
      <w:r>
        <w:t xml:space="preserve"> of childlessness</w:t>
      </w:r>
      <w:r w:rsidR="0010019E">
        <w:t xml:space="preserve"> or</w:t>
      </w:r>
      <w:r w:rsidR="00446418">
        <w:t xml:space="preserve"> later age at first bi</w:t>
      </w:r>
      <w:r w:rsidR="00EB3449">
        <w:t>r</w:t>
      </w:r>
      <w:r w:rsidR="00446418">
        <w:t>th</w:t>
      </w:r>
      <w:r>
        <w:t xml:space="preserve"> but </w:t>
      </w:r>
      <w:r w:rsidR="001830A6">
        <w:t>smaller families</w:t>
      </w:r>
      <w:r>
        <w:t xml:space="preserve"> across educational</w:t>
      </w:r>
      <w:r w:rsidR="00A76E53">
        <w:t xml:space="preserve"> groups</w:t>
      </w:r>
      <w:r>
        <w:t xml:space="preserve"> </w:t>
      </w:r>
      <w:r w:rsidR="00754C86">
        <w:t xml:space="preserve">which </w:t>
      </w:r>
      <w:r>
        <w:t xml:space="preserve">drive the lower fertility rate, suggesting that low fertility </w:t>
      </w:r>
      <w:r w:rsidR="00A76E53">
        <w:t>does not r</w:t>
      </w:r>
      <w:r>
        <w:t>eflect</w:t>
      </w:r>
      <w:r w:rsidR="00B81FA4">
        <w:t xml:space="preserve"> exclusion from family life</w:t>
      </w:r>
      <w:r w:rsidR="007B0BE7">
        <w:t xml:space="preserve"> among the less advantaged </w:t>
      </w:r>
      <w:r w:rsidR="00754C86">
        <w:t>as in other European countries.</w:t>
      </w:r>
      <w:r w:rsidR="00A76E53">
        <w:t xml:space="preserve"> Otherwise, the highly educated in Scotland have </w:t>
      </w:r>
      <w:r w:rsidR="0010019E">
        <w:t xml:space="preserve">broadly </w:t>
      </w:r>
      <w:r w:rsidR="00A76E53">
        <w:t>similar behaviors to the highly educated in England and Wales.</w:t>
      </w:r>
      <w:r w:rsidR="009C6587">
        <w:t xml:space="preserve"> </w:t>
      </w:r>
      <w:r w:rsidR="00754C86">
        <w:t>In contrast is Northern Ireland where larger families are significantly more common, despite the high cost of housing</w:t>
      </w:r>
      <w:r w:rsidR="0065507F">
        <w:t>,</w:t>
      </w:r>
      <w:r w:rsidR="00754C86">
        <w:t xml:space="preserve"> higher levels of unemployment, </w:t>
      </w:r>
      <w:r w:rsidR="0065507F">
        <w:t>and political conflict</w:t>
      </w:r>
      <w:r w:rsidR="00A76E53">
        <w:t xml:space="preserve"> in the 1990s</w:t>
      </w:r>
      <w:r w:rsidR="0065507F">
        <w:t xml:space="preserve">. Furthermore, </w:t>
      </w:r>
      <w:r w:rsidR="00754C86">
        <w:t>levels of childlessness are lower and fertility patterns generally have a weaker educational pattern, suggesting a</w:t>
      </w:r>
      <w:r w:rsidR="0065507F">
        <w:t xml:space="preserve"> norm of larger families</w:t>
      </w:r>
      <w:r w:rsidR="004E53AB">
        <w:t xml:space="preserve"> </w:t>
      </w:r>
      <w:r w:rsidR="00754C86">
        <w:t>across social groups</w:t>
      </w:r>
      <w:r w:rsidR="0065507F">
        <w:t xml:space="preserve"> possibly attributable to religiosity, high valuation of children, and lack of abortion access.  </w:t>
      </w:r>
    </w:p>
    <w:p w14:paraId="6DFEB455" w14:textId="68B33DD7" w:rsidR="00DB6EA2" w:rsidRDefault="00576D0F" w:rsidP="008A12EB">
      <w:pPr>
        <w:spacing w:line="480" w:lineRule="auto"/>
        <w:rPr>
          <w:lang w:val="en-GB"/>
        </w:rPr>
      </w:pPr>
      <w:r>
        <w:rPr>
          <w:lang w:val="en-GB"/>
        </w:rPr>
        <w:t>There are some things to keep in mind with respect to interpreting these results</w:t>
      </w:r>
      <w:r w:rsidR="00CD5A97">
        <w:rPr>
          <w:lang w:val="en-GB"/>
        </w:rPr>
        <w:t xml:space="preserve">. </w:t>
      </w:r>
      <w:r>
        <w:rPr>
          <w:lang w:val="en-GB"/>
        </w:rPr>
        <w:t>One, our sample population is</w:t>
      </w:r>
      <w:r w:rsidR="00CD5A97">
        <w:rPr>
          <w:lang w:val="en-GB"/>
        </w:rPr>
        <w:t xml:space="preserve"> largely</w:t>
      </w:r>
      <w:r>
        <w:rPr>
          <w:lang w:val="en-GB"/>
        </w:rPr>
        <w:t xml:space="preserve"> composed of non-migrants, due to data limitations of collecting</w:t>
      </w:r>
      <w:r w:rsidR="00261FC1">
        <w:rPr>
          <w:lang w:val="en-GB"/>
        </w:rPr>
        <w:t xml:space="preserve"> full fertility histories for </w:t>
      </w:r>
      <w:r>
        <w:rPr>
          <w:lang w:val="en-GB"/>
        </w:rPr>
        <w:t xml:space="preserve">a large sample of </w:t>
      </w:r>
      <w:r w:rsidR="00261FC1">
        <w:rPr>
          <w:lang w:val="en-GB"/>
        </w:rPr>
        <w:t>migrant women</w:t>
      </w:r>
      <w:r w:rsidR="00784F41">
        <w:rPr>
          <w:lang w:val="en-GB"/>
        </w:rPr>
        <w:t xml:space="preserve"> from each UK country, which to date is not available</w:t>
      </w:r>
      <w:r w:rsidR="007C5D38">
        <w:rPr>
          <w:lang w:val="en-GB"/>
        </w:rPr>
        <w:t xml:space="preserve"> as we are unable to accurately record births which may have occurred overseas</w:t>
      </w:r>
      <w:r w:rsidR="00261FC1">
        <w:rPr>
          <w:lang w:val="en-GB"/>
        </w:rPr>
        <w:t>.</w:t>
      </w:r>
      <w:r w:rsidR="00784F41">
        <w:rPr>
          <w:lang w:val="en-GB"/>
        </w:rPr>
        <w:t xml:space="preserve">  </w:t>
      </w:r>
      <w:r w:rsidR="007837B5" w:rsidRPr="007837B5">
        <w:t xml:space="preserve">However, </w:t>
      </w:r>
      <w:r w:rsidR="006168E2">
        <w:t>this paper</w:t>
      </w:r>
      <w:r w:rsidR="007837B5" w:rsidRPr="007837B5">
        <w:t xml:space="preserve"> confirm</w:t>
      </w:r>
      <w:r w:rsidR="006168E2">
        <w:t>s</w:t>
      </w:r>
      <w:r w:rsidR="007837B5" w:rsidRPr="007837B5">
        <w:t xml:space="preserve"> that </w:t>
      </w:r>
      <w:r w:rsidR="007849D8">
        <w:t xml:space="preserve">fertility differences </w:t>
      </w:r>
      <w:r w:rsidR="007837B5" w:rsidRPr="007837B5">
        <w:t>between the UK’s countries are not due solely to the fact that England has a larger immigrant and ethnic minority population, since country differences remain in our predominantly non-migrant analysis.</w:t>
      </w:r>
      <w:r w:rsidR="00DB6EA2">
        <w:t xml:space="preserve"> </w:t>
      </w:r>
      <w:r w:rsidR="00784F41">
        <w:rPr>
          <w:lang w:val="en-GB"/>
        </w:rPr>
        <w:t xml:space="preserve">Second, the </w:t>
      </w:r>
      <w:r w:rsidR="00261FC1">
        <w:rPr>
          <w:lang w:val="en-GB"/>
        </w:rPr>
        <w:t>composition</w:t>
      </w:r>
      <w:r w:rsidR="00DC02A6">
        <w:rPr>
          <w:lang w:val="en-GB"/>
        </w:rPr>
        <w:t>s</w:t>
      </w:r>
      <w:r w:rsidR="00261FC1">
        <w:rPr>
          <w:lang w:val="en-GB"/>
        </w:rPr>
        <w:t xml:space="preserve"> of the populations are also changing over time. </w:t>
      </w:r>
      <w:r w:rsidR="00784F41">
        <w:rPr>
          <w:lang w:val="en-GB"/>
        </w:rPr>
        <w:t xml:space="preserve">This is evident when you see </w:t>
      </w:r>
      <w:r w:rsidR="00DC02A6">
        <w:rPr>
          <w:lang w:val="en-GB"/>
        </w:rPr>
        <w:t xml:space="preserve">childlessness rising in Northern Ireland yet declining for most </w:t>
      </w:r>
      <w:r w:rsidR="00FF1B92">
        <w:rPr>
          <w:lang w:val="en-GB"/>
        </w:rPr>
        <w:t xml:space="preserve">individual </w:t>
      </w:r>
      <w:r w:rsidR="00DC02A6">
        <w:rPr>
          <w:lang w:val="en-GB"/>
        </w:rPr>
        <w:t>educational groups</w:t>
      </w:r>
      <w:r w:rsidR="002F4FDA">
        <w:rPr>
          <w:lang w:val="en-GB"/>
        </w:rPr>
        <w:t xml:space="preserve">. </w:t>
      </w:r>
      <w:r w:rsidR="00DC02A6">
        <w:rPr>
          <w:lang w:val="en-GB"/>
        </w:rPr>
        <w:t>This means that childlessness has increased because the population is becoming more highly educated, which is typically perceived as a positive social development</w:t>
      </w:r>
      <w:r w:rsidR="002F4FDA">
        <w:rPr>
          <w:lang w:val="en-GB"/>
        </w:rPr>
        <w:t xml:space="preserve">. </w:t>
      </w:r>
      <w:r w:rsidR="006929D7">
        <w:rPr>
          <w:lang w:val="en-GB"/>
        </w:rPr>
        <w:t xml:space="preserve">Moreover, </w:t>
      </w:r>
      <w:r w:rsidR="00CD7A39" w:rsidRPr="00CD7A39">
        <w:rPr>
          <w:lang w:val="en-GB"/>
        </w:rPr>
        <w:t xml:space="preserve">Scotland </w:t>
      </w:r>
      <w:r w:rsidR="006929D7">
        <w:rPr>
          <w:lang w:val="en-GB"/>
        </w:rPr>
        <w:t xml:space="preserve">is </w:t>
      </w:r>
      <w:r w:rsidR="00CD7A39" w:rsidRPr="00CD7A39">
        <w:rPr>
          <w:lang w:val="en-GB"/>
        </w:rPr>
        <w:t>more educated</w:t>
      </w:r>
      <w:r w:rsidR="006929D7">
        <w:rPr>
          <w:lang w:val="en-GB"/>
        </w:rPr>
        <w:t xml:space="preserve"> so some of the </w:t>
      </w:r>
      <w:r w:rsidR="00965FEB">
        <w:rPr>
          <w:lang w:val="en-GB"/>
        </w:rPr>
        <w:t xml:space="preserve">lower </w:t>
      </w:r>
      <w:r w:rsidR="006929D7">
        <w:rPr>
          <w:lang w:val="en-GB"/>
        </w:rPr>
        <w:t xml:space="preserve">cohort and total </w:t>
      </w:r>
      <w:r w:rsidR="00965FEB">
        <w:rPr>
          <w:lang w:val="en-GB"/>
        </w:rPr>
        <w:t>fertility</w:t>
      </w:r>
      <w:r w:rsidR="006929D7">
        <w:rPr>
          <w:lang w:val="en-GB"/>
        </w:rPr>
        <w:t xml:space="preserve"> may be a </w:t>
      </w:r>
      <w:r w:rsidR="00965FEB">
        <w:rPr>
          <w:lang w:val="en-GB"/>
        </w:rPr>
        <w:t>compositional effect</w:t>
      </w:r>
      <w:r w:rsidR="002F4FDA">
        <w:rPr>
          <w:lang w:val="en-GB"/>
        </w:rPr>
        <w:t xml:space="preserve">. </w:t>
      </w:r>
    </w:p>
    <w:p w14:paraId="1FEEE62E" w14:textId="37FCDF19" w:rsidR="007837B5" w:rsidRDefault="00DB6EA2" w:rsidP="008A12EB">
      <w:pPr>
        <w:spacing w:line="480" w:lineRule="auto"/>
      </w:pPr>
      <w:r>
        <w:rPr>
          <w:lang w:val="en-GB"/>
        </w:rPr>
        <w:t xml:space="preserve">The findings of </w:t>
      </w:r>
      <w:r w:rsidR="00B87452">
        <w:rPr>
          <w:lang w:val="en-GB"/>
        </w:rPr>
        <w:t xml:space="preserve">this paper can be used to inform policy making and demonstrate the need </w:t>
      </w:r>
      <w:r w:rsidR="00782616">
        <w:rPr>
          <w:lang w:val="en-GB"/>
        </w:rPr>
        <w:t xml:space="preserve">for policies </w:t>
      </w:r>
      <w:r w:rsidR="00B87452">
        <w:rPr>
          <w:lang w:val="en-GB"/>
        </w:rPr>
        <w:t xml:space="preserve">to consider heterogeneities in childbearing behavior. </w:t>
      </w:r>
      <w:r w:rsidR="004535C6">
        <w:rPr>
          <w:lang w:val="en-GB"/>
        </w:rPr>
        <w:t xml:space="preserve">For example, </w:t>
      </w:r>
      <w:r w:rsidR="004535C6">
        <w:t>t</w:t>
      </w:r>
      <w:r w:rsidR="00F020B1" w:rsidRPr="007837B5">
        <w:t>he Scottish Government</w:t>
      </w:r>
      <w:r w:rsidR="007837B5" w:rsidRPr="007837B5">
        <w:t xml:space="preserve">’s concern over persistently </w:t>
      </w:r>
      <w:r w:rsidR="00F020B1" w:rsidRPr="007837B5">
        <w:t xml:space="preserve">low levels of fertility </w:t>
      </w:r>
      <w:r w:rsidR="007837B5" w:rsidRPr="007837B5">
        <w:t xml:space="preserve">has led to the implementation of a </w:t>
      </w:r>
      <w:r w:rsidR="00F020B1" w:rsidRPr="007837B5">
        <w:t xml:space="preserve">population strategy </w:t>
      </w:r>
      <w:r w:rsidR="007837B5" w:rsidRPr="007837B5">
        <w:t xml:space="preserve">with the objective of </w:t>
      </w:r>
      <w:r w:rsidR="00F020B1" w:rsidRPr="007837B5">
        <w:t>remov</w:t>
      </w:r>
      <w:r w:rsidR="007837B5" w:rsidRPr="007837B5">
        <w:t>ing</w:t>
      </w:r>
      <w:r w:rsidR="00F020B1" w:rsidRPr="007837B5">
        <w:t xml:space="preserve"> barriers to </w:t>
      </w:r>
      <w:r w:rsidR="00782616">
        <w:t>parenthood</w:t>
      </w:r>
      <w:r w:rsidR="007837B5" w:rsidRPr="007837B5">
        <w:t xml:space="preserve"> – such as </w:t>
      </w:r>
      <w:r w:rsidR="00F020B1" w:rsidRPr="007837B5">
        <w:t xml:space="preserve">building more affordable homes, providing additional childcare places, and introducing the Scottish Child Payment (Scottish Government, 2021). </w:t>
      </w:r>
      <w:r w:rsidR="007837B5" w:rsidRPr="007837B5">
        <w:t xml:space="preserve"> </w:t>
      </w:r>
      <w:r w:rsidR="001A02EA">
        <w:t xml:space="preserve">This </w:t>
      </w:r>
      <w:r w:rsidR="00782616">
        <w:t>work</w:t>
      </w:r>
      <w:r w:rsidR="001A02EA">
        <w:t xml:space="preserve"> has</w:t>
      </w:r>
      <w:r w:rsidR="001E589E">
        <w:t xml:space="preserve"> highlighted a rise in one child families unique to Scotland, suggesting that policies also need </w:t>
      </w:r>
      <w:r w:rsidR="007837B5">
        <w:t xml:space="preserve">to </w:t>
      </w:r>
      <w:r w:rsidR="006F5CB0">
        <w:t xml:space="preserve">support </w:t>
      </w:r>
      <w:r w:rsidR="0024125A">
        <w:t>parents</w:t>
      </w:r>
      <w:r w:rsidR="006F5CB0">
        <w:t>’ transition to</w:t>
      </w:r>
      <w:r w:rsidR="004535C6">
        <w:t xml:space="preserve"> second birth</w:t>
      </w:r>
      <w:r w:rsidR="006F5CB0">
        <w:t xml:space="preserve"> higher order births </w:t>
      </w:r>
      <w:r w:rsidR="001E589E">
        <w:t xml:space="preserve">where they are desired. </w:t>
      </w:r>
    </w:p>
    <w:p w14:paraId="5A4C89AD" w14:textId="11DBC08C" w:rsidR="003D500B" w:rsidRDefault="006532D0" w:rsidP="00E43CA9">
      <w:pPr>
        <w:pStyle w:val="Heading2"/>
      </w:pPr>
      <w:r>
        <w:t xml:space="preserve">Acknowledgements </w:t>
      </w:r>
    </w:p>
    <w:p w14:paraId="11CD1E22" w14:textId="446BE079" w:rsidR="006532D0" w:rsidRPr="006532D0" w:rsidRDefault="006532D0" w:rsidP="006532D0">
      <w:r w:rsidRPr="008D298C">
        <w:rPr>
          <w:b/>
          <w:bCs/>
          <w:u w:val="single"/>
        </w:rPr>
        <w:t xml:space="preserve">ONS Longitudinal Study </w:t>
      </w:r>
      <w:r w:rsidR="008D298C" w:rsidRPr="008D298C">
        <w:rPr>
          <w:b/>
          <w:bCs/>
          <w:u w:val="single"/>
        </w:rPr>
        <w:br/>
      </w:r>
      <w:r w:rsidRPr="006532D0">
        <w:t>The permission of the Office for National Statistics to use the Longitudinal Study is gratefully acknowledged, as is the help provided by staff of the Centre for Longitudinal Study Information &amp; User Support (CeLSIUS). CeLSIUS is funded by the ESRC under project ES/V003488/1. The authors alone are responsible for the interpretation of the data. This work contains statistical data from ONS which is Crown Copyright. The use of the ONS statistical data in this work does not imply the endorsement of the ONS in relation to the interpretation or analysis of the statistical data. This work uses research datasets which may not exactly reproduce National Statistics aggregates.</w:t>
      </w:r>
    </w:p>
    <w:p w14:paraId="0E3D7993" w14:textId="5427D97A" w:rsidR="006532D0" w:rsidRPr="006532D0" w:rsidRDefault="006532D0" w:rsidP="006532D0">
      <w:r w:rsidRPr="008D298C">
        <w:rPr>
          <w:b/>
          <w:bCs/>
          <w:u w:val="single"/>
        </w:rPr>
        <w:t>Scottish Longitudinal Study</w:t>
      </w:r>
      <w:r w:rsidR="008D298C">
        <w:rPr>
          <w:b/>
          <w:bCs/>
          <w:u w:val="single"/>
        </w:rPr>
        <w:br/>
      </w:r>
      <w:r w:rsidRPr="006532D0">
        <w:t xml:space="preserve">The help provided by staff of the Longitudinal Studies Centre - Scotland (LSCS) is acknowledged. The LSCS is supported by the ESRC, National Records of Scotland and the Scottish Government. The authors alone are responsible for the interpretation of the data. Census output is Crown copyright and is reproduced with the permission of the Controller of HMSO and the Queen's Printer for Scotland. </w:t>
      </w:r>
    </w:p>
    <w:p w14:paraId="391402AA" w14:textId="0DE6C1A6" w:rsidR="006532D0" w:rsidRPr="006532D0" w:rsidRDefault="006532D0" w:rsidP="006532D0">
      <w:r w:rsidRPr="008D298C">
        <w:rPr>
          <w:b/>
          <w:bCs/>
          <w:u w:val="single"/>
        </w:rPr>
        <w:t>Northern Ireland Longitudinal Study</w:t>
      </w:r>
      <w:r w:rsidR="008D298C">
        <w:rPr>
          <w:b/>
          <w:bCs/>
          <w:u w:val="single"/>
        </w:rPr>
        <w:br/>
      </w:r>
      <w:r w:rsidRPr="006532D0">
        <w:t>The help provided by the staff of the Northern Ireland Longitudinal Study/Northern Ireland Mortality Study (NILS/NIMS) and the NILS Research Support Unit is acknowledged. The NILS/NIMS is funded by the Health and Social Care Research and Development Division of the Public Health Agency (HSC R&amp;D Division) and NISRA. The NILS-RSU is funded by the ESRC and the Northern Ireland Government. The authors alone are responsible for the interpretation of the data and any views or opinions presented are solely those of the author and do not necessarily represent those of NISRA/NILS.</w:t>
      </w:r>
    </w:p>
    <w:p w14:paraId="0CE4A026" w14:textId="6C17D5F3" w:rsidR="000B10FA" w:rsidRDefault="006532D0" w:rsidP="00241698">
      <w:r w:rsidRPr="006532D0">
        <w:t>Dermot O’Reilly, Michael Rosato, Gemma Catney, Fiona Johnston, Maire Brolly. Cohort description: The Northern Ireland Longitudinal Study (NILS), International Journal of Epidemiology, Volume 41, Issue 3, June 2012, Pages 634–</w:t>
      </w:r>
      <w:r w:rsidR="00241698">
        <w:t>6</w:t>
      </w:r>
      <w:r w:rsidRPr="006532D0">
        <w:t>41, </w:t>
      </w:r>
      <w:hyperlink r:id="rId19" w:history="1">
        <w:r w:rsidR="00241698" w:rsidRPr="008F5F5B">
          <w:rPr>
            <w:rStyle w:val="Hyperlink"/>
          </w:rPr>
          <w:t>https://doi.org/10.1093/ije/dyq271</w:t>
        </w:r>
      </w:hyperlink>
    </w:p>
    <w:p w14:paraId="010D877B" w14:textId="15120308" w:rsidR="00E43CA9" w:rsidRPr="00717FFE" w:rsidRDefault="000B10FA" w:rsidP="00E43CA9">
      <w:pPr>
        <w:rPr>
          <w:lang w:val="en-GB"/>
        </w:rPr>
      </w:pPr>
      <w:r>
        <w:t xml:space="preserve">The authors thank the four peer reviewers of earlier versions of this paper for their helpful comments and suggestions. </w:t>
      </w:r>
      <w:r w:rsidR="00E43CA9">
        <w:rPr>
          <w:lang w:val="en-GB"/>
        </w:rPr>
        <w:t>We also thank Dr. Joanne Ellison for her editorial assistance</w:t>
      </w:r>
      <w:r w:rsidR="008F54B5">
        <w:rPr>
          <w:lang w:val="en-GB"/>
        </w:rPr>
        <w:t xml:space="preserve"> and analytical support</w:t>
      </w:r>
      <w:r w:rsidR="00E43CA9">
        <w:rPr>
          <w:lang w:val="en-GB"/>
        </w:rPr>
        <w:t xml:space="preserve"> with earlier versions of this manuscript.</w:t>
      </w:r>
    </w:p>
    <w:p w14:paraId="46ADED13" w14:textId="05484239" w:rsidR="008D3F53" w:rsidRDefault="008D3F53" w:rsidP="00E43CA9">
      <w:pPr>
        <w:pStyle w:val="Heading2"/>
        <w:rPr>
          <w:sz w:val="24"/>
          <w:szCs w:val="24"/>
        </w:rPr>
      </w:pPr>
      <w:r>
        <w:t xml:space="preserve">References </w:t>
      </w:r>
    </w:p>
    <w:p w14:paraId="3B5A64F7" w14:textId="4766C850" w:rsidR="00837940" w:rsidRPr="00837940" w:rsidRDefault="003F0A78" w:rsidP="00837940">
      <w:pPr>
        <w:pStyle w:val="EndNoteBibliography"/>
        <w:spacing w:after="0"/>
      </w:pPr>
      <w:r>
        <w:rPr>
          <w:lang w:val="en-GB"/>
        </w:rPr>
        <w:fldChar w:fldCharType="begin"/>
      </w:r>
      <w:r>
        <w:rPr>
          <w:lang w:val="en-GB"/>
        </w:rPr>
        <w:instrText xml:space="preserve"> ADDIN EN.REFLIST </w:instrText>
      </w:r>
      <w:r>
        <w:rPr>
          <w:lang w:val="en-GB"/>
        </w:rPr>
        <w:fldChar w:fldCharType="separate"/>
      </w:r>
      <w:r w:rsidR="00837940" w:rsidRPr="00837940">
        <w:t xml:space="preserve"> "Human Fertility Database."   Retrieved June 25, 2024, from Available at </w:t>
      </w:r>
      <w:hyperlink r:id="rId20" w:history="1">
        <w:r w:rsidR="00837940" w:rsidRPr="00837940">
          <w:rPr>
            <w:rStyle w:val="Hyperlink"/>
          </w:rPr>
          <w:t>www.humanfertility.org</w:t>
        </w:r>
      </w:hyperlink>
      <w:r w:rsidR="00837940" w:rsidRPr="00837940">
        <w:t>.</w:t>
      </w:r>
    </w:p>
    <w:p w14:paraId="55DD3412" w14:textId="77777777" w:rsidR="00837940" w:rsidRPr="00837940" w:rsidRDefault="00837940" w:rsidP="00837940">
      <w:pPr>
        <w:pStyle w:val="EndNoteBibliography"/>
        <w:spacing w:after="0"/>
      </w:pPr>
      <w:r w:rsidRPr="00837940">
        <w:t>(2008). Labour Force Survey, Office for National Statistics.</w:t>
      </w:r>
    </w:p>
    <w:p w14:paraId="467275B3" w14:textId="77777777" w:rsidR="00837940" w:rsidRPr="00837940" w:rsidRDefault="00837940" w:rsidP="00837940">
      <w:pPr>
        <w:pStyle w:val="EndNoteBibliography"/>
        <w:spacing w:after="0"/>
      </w:pPr>
      <w:r w:rsidRPr="00837940">
        <w:t xml:space="preserve">(2021). A Scotland for the Future E. A. Directorate, Scottish Government </w:t>
      </w:r>
    </w:p>
    <w:p w14:paraId="55240D67" w14:textId="77777777" w:rsidR="00837940" w:rsidRPr="00837940" w:rsidRDefault="00837940" w:rsidP="00837940">
      <w:pPr>
        <w:pStyle w:val="EndNoteBibliography"/>
        <w:spacing w:after="0"/>
      </w:pPr>
      <w:r w:rsidRPr="00837940">
        <w:t xml:space="preserve">Aiken, A. R. and F. Bloomer (2019). "Abortion decriminalised in Northern Ireland." </w:t>
      </w:r>
      <w:r w:rsidRPr="00837940">
        <w:rPr>
          <w:u w:val="single"/>
        </w:rPr>
        <w:t>Bmj</w:t>
      </w:r>
      <w:r w:rsidRPr="00837940">
        <w:t xml:space="preserve"> </w:t>
      </w:r>
      <w:r w:rsidRPr="00837940">
        <w:rPr>
          <w:b/>
        </w:rPr>
        <w:t>367</w:t>
      </w:r>
      <w:r w:rsidRPr="00837940">
        <w:t>: l6330.</w:t>
      </w:r>
    </w:p>
    <w:p w14:paraId="544ACAEB" w14:textId="77777777" w:rsidR="00837940" w:rsidRPr="00837940" w:rsidRDefault="00837940" w:rsidP="00837940">
      <w:pPr>
        <w:pStyle w:val="EndNoteBibliography"/>
        <w:spacing w:after="0"/>
      </w:pPr>
      <w:r w:rsidRPr="00837940">
        <w:t xml:space="preserve">Aiken, A. R. A., D. M. Johnson and K. Broussard (2019). "Abortion in Ireland and Northern Ireland." </w:t>
      </w:r>
      <w:r w:rsidRPr="00837940">
        <w:rPr>
          <w:u w:val="single"/>
        </w:rPr>
        <w:t>Obstetrics, Gynaecology &amp; Reproductive Medicine</w:t>
      </w:r>
      <w:r w:rsidRPr="00837940">
        <w:t xml:space="preserve"> </w:t>
      </w:r>
      <w:r w:rsidRPr="00837940">
        <w:rPr>
          <w:b/>
        </w:rPr>
        <w:t>29</w:t>
      </w:r>
      <w:r w:rsidRPr="00837940">
        <w:t>(11): 326-327.</w:t>
      </w:r>
    </w:p>
    <w:p w14:paraId="1980A161" w14:textId="77777777" w:rsidR="00837940" w:rsidRPr="00837940" w:rsidRDefault="00837940" w:rsidP="00837940">
      <w:pPr>
        <w:pStyle w:val="EndNoteBibliography"/>
        <w:spacing w:after="0"/>
      </w:pPr>
      <w:r w:rsidRPr="00837940">
        <w:t xml:space="preserve">Atherton, G., J. Lewis and P. Bolton (2023). Higher education in the UK: Systems, policy approaches, and challenges. </w:t>
      </w:r>
      <w:r w:rsidRPr="00837940">
        <w:rPr>
          <w:u w:val="single"/>
        </w:rPr>
        <w:t>Commons Library Research Briefing</w:t>
      </w:r>
      <w:r w:rsidRPr="00837940">
        <w:t xml:space="preserve">, House of Commons Library. </w:t>
      </w:r>
      <w:r w:rsidRPr="00837940">
        <w:rPr>
          <w:b/>
        </w:rPr>
        <w:t>9640</w:t>
      </w:r>
      <w:r w:rsidRPr="00837940">
        <w:t>.</w:t>
      </w:r>
    </w:p>
    <w:p w14:paraId="41E5910E" w14:textId="77777777" w:rsidR="00837940" w:rsidRPr="00837940" w:rsidRDefault="00837940" w:rsidP="00837940">
      <w:pPr>
        <w:pStyle w:val="EndNoteBibliography"/>
        <w:spacing w:after="0"/>
      </w:pPr>
      <w:r w:rsidRPr="00837940">
        <w:t xml:space="preserve">Balbo, N., F. Billari and M. Mills (2013). "Fertility in advanced societies: A review of research " </w:t>
      </w:r>
      <w:r w:rsidRPr="00837940">
        <w:rPr>
          <w:u w:val="single"/>
        </w:rPr>
        <w:t>European Journal of Population</w:t>
      </w:r>
      <w:r w:rsidRPr="00837940">
        <w:t xml:space="preserve"> </w:t>
      </w:r>
      <w:r w:rsidRPr="00837940">
        <w:rPr>
          <w:b/>
        </w:rPr>
        <w:t>29</w:t>
      </w:r>
      <w:r w:rsidRPr="00837940">
        <w:t>: 1-38.</w:t>
      </w:r>
    </w:p>
    <w:p w14:paraId="4696EBDB" w14:textId="77777777" w:rsidR="00837940" w:rsidRPr="00837940" w:rsidRDefault="00837940" w:rsidP="00837940">
      <w:pPr>
        <w:pStyle w:val="EndNoteBibliography"/>
        <w:spacing w:after="0"/>
      </w:pPr>
      <w:r w:rsidRPr="00837940">
        <w:t xml:space="preserve">Bartus, T., L. Murinkó, B. Szél and I. Szalma (2013). "The effect of education on second births in Hungary: A test of the time-squeeze, self-selection and partner-effect hypotheses." </w:t>
      </w:r>
      <w:r w:rsidRPr="00837940">
        <w:rPr>
          <w:u w:val="single"/>
        </w:rPr>
        <w:t>Demographic Research</w:t>
      </w:r>
      <w:r w:rsidRPr="00837940">
        <w:t xml:space="preserve"> </w:t>
      </w:r>
      <w:r w:rsidRPr="00837940">
        <w:rPr>
          <w:b/>
        </w:rPr>
        <w:t>28</w:t>
      </w:r>
      <w:r w:rsidRPr="00837940">
        <w:t>(1): 1-32.</w:t>
      </w:r>
    </w:p>
    <w:p w14:paraId="6CAB9866" w14:textId="77777777" w:rsidR="00837940" w:rsidRPr="00837940" w:rsidRDefault="00837940" w:rsidP="00837940">
      <w:pPr>
        <w:pStyle w:val="EndNoteBibliography"/>
        <w:spacing w:after="0"/>
      </w:pPr>
      <w:r w:rsidRPr="00837940">
        <w:t xml:space="preserve">Beatty, C. and S. Fothergill (2020). "The Long Shadow of Job Loss: Britain's Older Industrial Towns in the 21st Century." </w:t>
      </w:r>
      <w:r w:rsidRPr="00837940">
        <w:rPr>
          <w:u w:val="single"/>
        </w:rPr>
        <w:t>Front Sociol</w:t>
      </w:r>
      <w:r w:rsidRPr="00837940">
        <w:t xml:space="preserve"> </w:t>
      </w:r>
      <w:r w:rsidRPr="00837940">
        <w:rPr>
          <w:b/>
        </w:rPr>
        <w:t>5</w:t>
      </w:r>
      <w:r w:rsidRPr="00837940">
        <w:t>: 54.</w:t>
      </w:r>
    </w:p>
    <w:p w14:paraId="3E2DACE1" w14:textId="77777777" w:rsidR="00837940" w:rsidRPr="00837940" w:rsidRDefault="00837940" w:rsidP="00837940">
      <w:pPr>
        <w:pStyle w:val="EndNoteBibliography"/>
        <w:spacing w:after="0"/>
      </w:pPr>
      <w:r w:rsidRPr="00837940">
        <w:t xml:space="preserve">Beaujouan, E. and C. Berghammer (2019). "The Gap Between Lifetime Fertility Intentions and Completed Fertility in Europe and the United States: A Cohort Approach." </w:t>
      </w:r>
      <w:r w:rsidRPr="00837940">
        <w:rPr>
          <w:u w:val="single"/>
        </w:rPr>
        <w:t>Population Research and Policy Review</w:t>
      </w:r>
      <w:r w:rsidRPr="00837940">
        <w:t xml:space="preserve"> </w:t>
      </w:r>
      <w:r w:rsidRPr="00837940">
        <w:rPr>
          <w:b/>
        </w:rPr>
        <w:t>38</w:t>
      </w:r>
      <w:r w:rsidRPr="00837940">
        <w:t>(4): 507-535.</w:t>
      </w:r>
    </w:p>
    <w:p w14:paraId="3F639B5B" w14:textId="77777777" w:rsidR="00837940" w:rsidRPr="00837940" w:rsidRDefault="00837940" w:rsidP="00837940">
      <w:pPr>
        <w:pStyle w:val="EndNoteBibliography"/>
        <w:spacing w:after="0"/>
      </w:pPr>
      <w:r w:rsidRPr="00837940">
        <w:t>Becker, G. (1981). A treatise on marriage, Cambridge: Harvard University Press.</w:t>
      </w:r>
    </w:p>
    <w:p w14:paraId="6F60CB0B" w14:textId="77777777" w:rsidR="00837940" w:rsidRPr="00837940" w:rsidRDefault="00837940" w:rsidP="00837940">
      <w:pPr>
        <w:pStyle w:val="EndNoteBibliography"/>
        <w:spacing w:after="0"/>
      </w:pPr>
      <w:r w:rsidRPr="00837940">
        <w:t xml:space="preserve">Berrington, A. (2017). Childlessness in the UK. </w:t>
      </w:r>
      <w:r w:rsidRPr="00837940">
        <w:rPr>
          <w:u w:val="single"/>
        </w:rPr>
        <w:t xml:space="preserve">Childlessness in Europe: Contexts, causes, and consequences </w:t>
      </w:r>
      <w:r w:rsidRPr="00837940">
        <w:t>Springer</w:t>
      </w:r>
      <w:r w:rsidRPr="00837940">
        <w:rPr>
          <w:b/>
        </w:rPr>
        <w:t xml:space="preserve">: </w:t>
      </w:r>
      <w:r w:rsidRPr="00837940">
        <w:t>57-76.</w:t>
      </w:r>
    </w:p>
    <w:p w14:paraId="3D9DF588" w14:textId="77777777" w:rsidR="00837940" w:rsidRPr="00837940" w:rsidRDefault="00837940" w:rsidP="00837940">
      <w:pPr>
        <w:pStyle w:val="EndNoteBibliography"/>
        <w:spacing w:after="0"/>
      </w:pPr>
      <w:r w:rsidRPr="00837940">
        <w:t xml:space="preserve">Berrington, A., B. Kuang, S. Christison and H. Kulu (2023) "Understanding fertility trends in Britain: Do fertility intentions differ across England, Wales and Scotland?" </w:t>
      </w:r>
      <w:r w:rsidRPr="00837940">
        <w:rPr>
          <w:u w:val="single"/>
        </w:rPr>
        <w:t>ESRC Centre for Population Change Working Paper Series</w:t>
      </w:r>
      <w:r w:rsidRPr="00837940">
        <w:t>.</w:t>
      </w:r>
    </w:p>
    <w:p w14:paraId="2D839D90" w14:textId="77777777" w:rsidR="00837940" w:rsidRPr="00837940" w:rsidRDefault="00837940" w:rsidP="00837940">
      <w:pPr>
        <w:pStyle w:val="EndNoteBibliography"/>
        <w:spacing w:after="0"/>
      </w:pPr>
      <w:r w:rsidRPr="00837940">
        <w:t xml:space="preserve">Berrington, A., J. Stone and E. Beaujouan (2015). "Educational differences in timing and quantum of childbearing in Britain: A study of cohorts born 1940−1969." </w:t>
      </w:r>
      <w:r w:rsidRPr="00837940">
        <w:rPr>
          <w:u w:val="single"/>
        </w:rPr>
        <w:t>Demographic Research</w:t>
      </w:r>
      <w:r w:rsidRPr="00837940">
        <w:t xml:space="preserve"> </w:t>
      </w:r>
      <w:r w:rsidRPr="00837940">
        <w:rPr>
          <w:b/>
        </w:rPr>
        <w:t>33</w:t>
      </w:r>
      <w:r w:rsidRPr="00837940">
        <w:t>(23): 733-764.</w:t>
      </w:r>
    </w:p>
    <w:p w14:paraId="017F141D" w14:textId="77777777" w:rsidR="00837940" w:rsidRPr="00837940" w:rsidRDefault="00837940" w:rsidP="00837940">
      <w:pPr>
        <w:pStyle w:val="EndNoteBibliography"/>
        <w:spacing w:after="0"/>
      </w:pPr>
      <w:r w:rsidRPr="00837940">
        <w:t xml:space="preserve">Berrington, A. M. and I. Diamond (2000). "Marriage or cohabitation: a competing risks analysis of first‐partnership formation among the 1958 British birth cohort." </w:t>
      </w:r>
      <w:r w:rsidRPr="00837940">
        <w:rPr>
          <w:u w:val="single"/>
        </w:rPr>
        <w:t>Journal of the Royal Statistical Society: Series A (Statistics in Society)</w:t>
      </w:r>
      <w:r w:rsidRPr="00837940">
        <w:t xml:space="preserve"> </w:t>
      </w:r>
      <w:r w:rsidRPr="00837940">
        <w:rPr>
          <w:b/>
        </w:rPr>
        <w:t>163</w:t>
      </w:r>
      <w:r w:rsidRPr="00837940">
        <w:t>.</w:t>
      </w:r>
    </w:p>
    <w:p w14:paraId="4D33C5CE" w14:textId="77777777" w:rsidR="00837940" w:rsidRPr="00837940" w:rsidRDefault="00837940" w:rsidP="00837940">
      <w:pPr>
        <w:pStyle w:val="EndNoteBibliography"/>
        <w:spacing w:after="0"/>
      </w:pPr>
      <w:r w:rsidRPr="00837940">
        <w:t xml:space="preserve">Blossfeld, H. P. and J. Huinink (1991). "Human capital investments or norms of role transition? How women's schooling and career affect the process of family formation." </w:t>
      </w:r>
      <w:r w:rsidRPr="00837940">
        <w:rPr>
          <w:u w:val="single"/>
        </w:rPr>
        <w:t>American journal of Sociology</w:t>
      </w:r>
      <w:r w:rsidRPr="00837940">
        <w:t xml:space="preserve"> </w:t>
      </w:r>
      <w:r w:rsidRPr="00837940">
        <w:rPr>
          <w:b/>
        </w:rPr>
        <w:t>97</w:t>
      </w:r>
      <w:r w:rsidRPr="00837940">
        <w:t>(1): 143-168.</w:t>
      </w:r>
    </w:p>
    <w:p w14:paraId="7B069431" w14:textId="77777777" w:rsidR="00837940" w:rsidRPr="00837940" w:rsidRDefault="00837940" w:rsidP="00837940">
      <w:pPr>
        <w:pStyle w:val="EndNoteBibliography"/>
        <w:spacing w:after="0"/>
      </w:pPr>
      <w:r w:rsidRPr="00837940">
        <w:t xml:space="preserve">Bone, M. (1985). </w:t>
      </w:r>
      <w:r w:rsidRPr="00837940">
        <w:rPr>
          <w:u w:val="single"/>
        </w:rPr>
        <w:t>Family planning in Scotland in 1982 : a survey carried out on behalf of the Scottish Home and Health Department</w:t>
      </w:r>
      <w:r w:rsidRPr="00837940">
        <w:t>. London, Home Health Department.</w:t>
      </w:r>
    </w:p>
    <w:p w14:paraId="3A7D8CE9" w14:textId="77777777" w:rsidR="00837940" w:rsidRPr="00837940" w:rsidRDefault="00837940" w:rsidP="00837940">
      <w:pPr>
        <w:pStyle w:val="EndNoteBibliography"/>
        <w:spacing w:after="0"/>
      </w:pPr>
      <w:r w:rsidRPr="00837940">
        <w:t xml:space="preserve">Boyle, P. J., E. Graham and Z. Feng (2007). Contextualizing demography: The significance of local clusters of fertility in Scotland. </w:t>
      </w:r>
      <w:r w:rsidRPr="00837940">
        <w:rPr>
          <w:u w:val="single"/>
        </w:rPr>
        <w:t>MPIDR Working Paper</w:t>
      </w:r>
      <w:r w:rsidRPr="00837940">
        <w:t>. M. Planck. Rostock.</w:t>
      </w:r>
    </w:p>
    <w:p w14:paraId="2055EB31" w14:textId="77777777" w:rsidR="00837940" w:rsidRPr="00837940" w:rsidRDefault="00837940" w:rsidP="00837940">
      <w:pPr>
        <w:pStyle w:val="EndNoteBibliography"/>
        <w:spacing w:after="0"/>
      </w:pPr>
      <w:r w:rsidRPr="00837940">
        <w:t xml:space="preserve">Brzozowska, Z., E. Beaujouan and K. Zeman (2022). "Is Two Still Best? Change in Parity-Specific Fertility Across Education in Low-Fertility Countries." </w:t>
      </w:r>
      <w:r w:rsidRPr="00837940">
        <w:rPr>
          <w:u w:val="single"/>
        </w:rPr>
        <w:t>Population Research and Policy Review</w:t>
      </w:r>
      <w:r w:rsidRPr="00837940">
        <w:t xml:space="preserve"> </w:t>
      </w:r>
      <w:r w:rsidRPr="00837940">
        <w:rPr>
          <w:b/>
        </w:rPr>
        <w:t>41</w:t>
      </w:r>
      <w:r w:rsidRPr="00837940">
        <w:t>(5): 2085-2114.</w:t>
      </w:r>
    </w:p>
    <w:p w14:paraId="2BBEF9E1" w14:textId="77777777" w:rsidR="00837940" w:rsidRPr="00837940" w:rsidRDefault="00837940" w:rsidP="00837940">
      <w:pPr>
        <w:pStyle w:val="EndNoteBibliography"/>
        <w:spacing w:after="0"/>
      </w:pPr>
      <w:r w:rsidRPr="00837940">
        <w:t xml:space="preserve">Chudnovskaya, M. and R. Kashyap (2019). "Is the End of Educational Hypergamy the End of Status Hypergamy? Evidence from Sweden." </w:t>
      </w:r>
      <w:r w:rsidRPr="00837940">
        <w:rPr>
          <w:u w:val="single"/>
        </w:rPr>
        <w:t>European Sociological Review</w:t>
      </w:r>
      <w:r w:rsidRPr="00837940">
        <w:t xml:space="preserve"> </w:t>
      </w:r>
      <w:r w:rsidRPr="00837940">
        <w:rPr>
          <w:b/>
        </w:rPr>
        <w:t>36</w:t>
      </w:r>
      <w:r w:rsidRPr="00837940">
        <w:t>(3): 351-365.</w:t>
      </w:r>
    </w:p>
    <w:p w14:paraId="204E1F44" w14:textId="77777777" w:rsidR="00837940" w:rsidRPr="00837940" w:rsidRDefault="00837940" w:rsidP="00837940">
      <w:pPr>
        <w:pStyle w:val="EndNoteBibliography"/>
        <w:spacing w:after="0"/>
      </w:pPr>
      <w:r w:rsidRPr="00837940">
        <w:t xml:space="preserve">Coleman, D. A. and S. Dubuc (2010). "The fertility of ethnic minorities in the UK, 1960s–2006." </w:t>
      </w:r>
      <w:r w:rsidRPr="00837940">
        <w:rPr>
          <w:u w:val="single"/>
        </w:rPr>
        <w:t>Population Studies</w:t>
      </w:r>
      <w:r w:rsidRPr="00837940">
        <w:t xml:space="preserve"> </w:t>
      </w:r>
      <w:r w:rsidRPr="00837940">
        <w:rPr>
          <w:b/>
        </w:rPr>
        <w:t>64</w:t>
      </w:r>
      <w:r w:rsidRPr="00837940">
        <w:t>(1): 19-41.</w:t>
      </w:r>
    </w:p>
    <w:p w14:paraId="1B2299E6" w14:textId="77777777" w:rsidR="00837940" w:rsidRPr="00837940" w:rsidRDefault="00837940" w:rsidP="00837940">
      <w:pPr>
        <w:pStyle w:val="EndNoteBibliography"/>
        <w:spacing w:after="0"/>
      </w:pPr>
      <w:r w:rsidRPr="00837940">
        <w:t xml:space="preserve">Comolli, C. L., G. Neyer, G. Andersson, L. Dommermuth, P. Fallesen, M. Jalovaara, A. K. Jónsson, M. Kolk and T. Lappegård (2021). "Beyond the Economic Gaze: Childbearing During and After Recessions in the Nordic Countries." </w:t>
      </w:r>
      <w:r w:rsidRPr="00837940">
        <w:rPr>
          <w:u w:val="single"/>
        </w:rPr>
        <w:t>Eur J Popul</w:t>
      </w:r>
      <w:r w:rsidRPr="00837940">
        <w:t xml:space="preserve"> </w:t>
      </w:r>
      <w:r w:rsidRPr="00837940">
        <w:rPr>
          <w:b/>
        </w:rPr>
        <w:t>37</w:t>
      </w:r>
      <w:r w:rsidRPr="00837940">
        <w:t>(2): 473-520.</w:t>
      </w:r>
    </w:p>
    <w:p w14:paraId="7C94DA5C" w14:textId="77777777" w:rsidR="00837940" w:rsidRPr="00837940" w:rsidRDefault="00837940" w:rsidP="00837940">
      <w:pPr>
        <w:pStyle w:val="EndNoteBibliography"/>
        <w:spacing w:after="0"/>
      </w:pPr>
      <w:r w:rsidRPr="00837940">
        <w:t xml:space="preserve">Compans, M.-C. (2021). "Late motherhood, late fatherhood, and permanent childlessness: Trends by educational level and cohorts (1950–1970) in France." </w:t>
      </w:r>
      <w:r w:rsidRPr="00837940">
        <w:rPr>
          <w:u w:val="single"/>
        </w:rPr>
        <w:t>Demographic Research</w:t>
      </w:r>
      <w:r w:rsidRPr="00837940">
        <w:t xml:space="preserve"> </w:t>
      </w:r>
      <w:r w:rsidRPr="00837940">
        <w:rPr>
          <w:b/>
        </w:rPr>
        <w:t>45</w:t>
      </w:r>
      <w:r w:rsidRPr="00837940">
        <w:t>(10): 329-344.</w:t>
      </w:r>
    </w:p>
    <w:p w14:paraId="022CC375" w14:textId="77777777" w:rsidR="00837940" w:rsidRPr="00837940" w:rsidRDefault="00837940" w:rsidP="00837940">
      <w:pPr>
        <w:pStyle w:val="EndNoteBibliography"/>
        <w:spacing w:after="0"/>
      </w:pPr>
      <w:r w:rsidRPr="00837940">
        <w:t xml:space="preserve">Compans, M.-C., É. Beaujouan and C. Dutreuilh (2022). "From union formation to first birth: The role of age at first cohabitation in the transition to motherhood and fatherhood." </w:t>
      </w:r>
      <w:r w:rsidRPr="00837940">
        <w:rPr>
          <w:u w:val="single"/>
        </w:rPr>
        <w:t>Population</w:t>
      </w:r>
      <w:r w:rsidRPr="00837940">
        <w:t xml:space="preserve"> </w:t>
      </w:r>
      <w:r w:rsidRPr="00837940">
        <w:rPr>
          <w:b/>
        </w:rPr>
        <w:t>77</w:t>
      </w:r>
      <w:r w:rsidRPr="00837940">
        <w:t>(3): 411-436.</w:t>
      </w:r>
    </w:p>
    <w:p w14:paraId="0F132A30" w14:textId="77777777" w:rsidR="00837940" w:rsidRPr="00837940" w:rsidRDefault="00837940" w:rsidP="00837940">
      <w:pPr>
        <w:pStyle w:val="EndNoteBibliography"/>
        <w:spacing w:after="0"/>
      </w:pPr>
      <w:r w:rsidRPr="00837940">
        <w:t xml:space="preserve">Compton, P. and J. Coward (1989). </w:t>
      </w:r>
      <w:r w:rsidRPr="00837940">
        <w:rPr>
          <w:u w:val="single"/>
        </w:rPr>
        <w:t>Fertility and family planning in Northern Ireland</w:t>
      </w:r>
      <w:r w:rsidRPr="00837940">
        <w:t>. Aldershot, Avebury.</w:t>
      </w:r>
    </w:p>
    <w:p w14:paraId="3759C03A" w14:textId="77777777" w:rsidR="00837940" w:rsidRPr="00837940" w:rsidRDefault="00837940" w:rsidP="00837940">
      <w:pPr>
        <w:pStyle w:val="EndNoteBibliography"/>
        <w:spacing w:after="0"/>
      </w:pPr>
      <w:r w:rsidRPr="00837940">
        <w:t xml:space="preserve">Donnelly, M. and S. Gamsu (2018). "Regional structures of feeling? A spatially and socially differentiated analysis of UK student im/mobility." </w:t>
      </w:r>
      <w:r w:rsidRPr="00837940">
        <w:rPr>
          <w:u w:val="single"/>
        </w:rPr>
        <w:t>British Journal of Sociology of Education</w:t>
      </w:r>
      <w:r w:rsidRPr="00837940">
        <w:t xml:space="preserve"> </w:t>
      </w:r>
      <w:r w:rsidRPr="00837940">
        <w:rPr>
          <w:b/>
        </w:rPr>
        <w:t>39</w:t>
      </w:r>
      <w:r w:rsidRPr="00837940">
        <w:t>(7): 961-981.</w:t>
      </w:r>
    </w:p>
    <w:p w14:paraId="20D8607A" w14:textId="77777777" w:rsidR="00837940" w:rsidRPr="00837940" w:rsidRDefault="00837940" w:rsidP="00837940">
      <w:pPr>
        <w:pStyle w:val="EndNoteBibliography"/>
        <w:spacing w:after="0"/>
      </w:pPr>
      <w:r w:rsidRPr="00837940">
        <w:t xml:space="preserve">Ermisch, J. (2021). "English fertility heads south." </w:t>
      </w:r>
      <w:r w:rsidRPr="00837940">
        <w:rPr>
          <w:u w:val="single"/>
        </w:rPr>
        <w:t>Demographic Research</w:t>
      </w:r>
      <w:r w:rsidRPr="00837940">
        <w:t xml:space="preserve"> </w:t>
      </w:r>
      <w:r w:rsidRPr="00837940">
        <w:rPr>
          <w:b/>
        </w:rPr>
        <w:t>45</w:t>
      </w:r>
      <w:r w:rsidRPr="00837940">
        <w:t>: 903-916.</w:t>
      </w:r>
    </w:p>
    <w:p w14:paraId="38F60153" w14:textId="77777777" w:rsidR="00837940" w:rsidRPr="00837940" w:rsidRDefault="00837940" w:rsidP="00837940">
      <w:pPr>
        <w:pStyle w:val="EndNoteBibliography"/>
        <w:spacing w:after="0"/>
      </w:pPr>
      <w:r w:rsidRPr="00837940">
        <w:t xml:space="preserve">Ermisch, J. (2023). "The recent decline in period fertility in England and Wales: Differences associated with family background and intergenerational educational mobility." </w:t>
      </w:r>
      <w:r w:rsidRPr="00837940">
        <w:rPr>
          <w:u w:val="single"/>
        </w:rPr>
        <w:t>Population Studies</w:t>
      </w:r>
      <w:r w:rsidRPr="00837940">
        <w:t>: 1-15.</w:t>
      </w:r>
    </w:p>
    <w:p w14:paraId="4911670F" w14:textId="77777777" w:rsidR="00837940" w:rsidRPr="00837940" w:rsidRDefault="00837940" w:rsidP="00837940">
      <w:pPr>
        <w:pStyle w:val="EndNoteBibliography"/>
        <w:spacing w:after="0"/>
      </w:pPr>
      <w:r w:rsidRPr="00837940">
        <w:t xml:space="preserve">Esping-Andersen, G. (2009). </w:t>
      </w:r>
      <w:r w:rsidRPr="00837940">
        <w:rPr>
          <w:u w:val="single"/>
        </w:rPr>
        <w:t>Incomplete revolution: Adapting welfare states to women's new roles</w:t>
      </w:r>
      <w:r w:rsidRPr="00837940">
        <w:t>, Polity.</w:t>
      </w:r>
    </w:p>
    <w:p w14:paraId="638759C2" w14:textId="77777777" w:rsidR="00837940" w:rsidRPr="00837940" w:rsidRDefault="00837940" w:rsidP="00837940">
      <w:pPr>
        <w:pStyle w:val="EndNoteBibliography"/>
        <w:spacing w:after="0"/>
      </w:pPr>
      <w:r w:rsidRPr="00837940">
        <w:t xml:space="preserve">Frejka, T. (2012). "The Role of Contemporary Childbearing Postponement and Recuperation in Shaping Period Fertility Trends." </w:t>
      </w:r>
      <w:r w:rsidRPr="00837940">
        <w:rPr>
          <w:u w:val="single"/>
        </w:rPr>
        <w:t>Comparative Population Studies</w:t>
      </w:r>
      <w:r w:rsidRPr="00837940">
        <w:t xml:space="preserve"> </w:t>
      </w:r>
      <w:r w:rsidRPr="00837940">
        <w:rPr>
          <w:b/>
        </w:rPr>
        <w:t>36</w:t>
      </w:r>
      <w:r w:rsidRPr="00837940">
        <w:t>(4).</w:t>
      </w:r>
    </w:p>
    <w:p w14:paraId="2D4C9B78" w14:textId="77777777" w:rsidR="00837940" w:rsidRPr="00837940" w:rsidRDefault="00837940" w:rsidP="00837940">
      <w:pPr>
        <w:pStyle w:val="EndNoteBibliography"/>
        <w:spacing w:after="0"/>
      </w:pPr>
      <w:r w:rsidRPr="00837940">
        <w:t xml:space="preserve">Gorry, D. (2019). "Heterogeneous Consequences of Teenage Childbearing." </w:t>
      </w:r>
      <w:r w:rsidRPr="00837940">
        <w:rPr>
          <w:u w:val="single"/>
        </w:rPr>
        <w:t>Demography</w:t>
      </w:r>
      <w:r w:rsidRPr="00837940">
        <w:t xml:space="preserve"> </w:t>
      </w:r>
      <w:r w:rsidRPr="00837940">
        <w:rPr>
          <w:b/>
        </w:rPr>
        <w:t>56</w:t>
      </w:r>
      <w:r w:rsidRPr="00837940">
        <w:t>(6): 2147-2168.</w:t>
      </w:r>
    </w:p>
    <w:p w14:paraId="05DF727B" w14:textId="77777777" w:rsidR="00837940" w:rsidRPr="00837940" w:rsidRDefault="00837940" w:rsidP="00837940">
      <w:pPr>
        <w:pStyle w:val="EndNoteBibliography"/>
        <w:spacing w:after="0"/>
      </w:pPr>
      <w:r w:rsidRPr="00837940">
        <w:t xml:space="preserve">Graham, E., F. Fiori and K. McKee (2017). Household Changes and Housing Provision in Scotland </w:t>
      </w:r>
      <w:r w:rsidRPr="00837940">
        <w:rPr>
          <w:u w:val="single"/>
        </w:rPr>
        <w:t>Scotland’s Population 2016 – The Registrar General’s Annual Review of Demographic Trends</w:t>
      </w:r>
      <w:r w:rsidRPr="00837940">
        <w:t>. Edinburgh, National Records of Scotland</w:t>
      </w:r>
      <w:r w:rsidRPr="00837940">
        <w:rPr>
          <w:b/>
        </w:rPr>
        <w:t xml:space="preserve">: </w:t>
      </w:r>
      <w:r w:rsidRPr="00837940">
        <w:t>85-109.</w:t>
      </w:r>
    </w:p>
    <w:p w14:paraId="3508FE14" w14:textId="77777777" w:rsidR="00837940" w:rsidRPr="00837940" w:rsidRDefault="00837940" w:rsidP="00837940">
      <w:pPr>
        <w:pStyle w:val="EndNoteBibliography"/>
        <w:spacing w:after="0"/>
      </w:pPr>
      <w:r w:rsidRPr="00837940">
        <w:t>Gray, A. and P. Bruegel (2003). "The availability, use of, and demand for Childcare Services among the parents of children aged 0-14 in Northern Ireland."</w:t>
      </w:r>
    </w:p>
    <w:p w14:paraId="32C75B55" w14:textId="77777777" w:rsidR="00837940" w:rsidRPr="00837940" w:rsidRDefault="00837940" w:rsidP="00837940">
      <w:pPr>
        <w:pStyle w:val="EndNoteBibliography"/>
        <w:spacing w:after="0"/>
      </w:pPr>
      <w:r w:rsidRPr="00837940">
        <w:t xml:space="preserve">Grow, A. and J. Van Bavel (2015). "Assortative Mating and the Reversal of Gender Inequality in Education in Europe: An Agent-Based Model." </w:t>
      </w:r>
      <w:r w:rsidRPr="00837940">
        <w:rPr>
          <w:u w:val="single"/>
        </w:rPr>
        <w:t>PLOS ONE</w:t>
      </w:r>
      <w:r w:rsidRPr="00837940">
        <w:t xml:space="preserve"> </w:t>
      </w:r>
      <w:r w:rsidRPr="00837940">
        <w:rPr>
          <w:b/>
        </w:rPr>
        <w:t>10</w:t>
      </w:r>
      <w:r w:rsidRPr="00837940">
        <w:t>(6).</w:t>
      </w:r>
    </w:p>
    <w:p w14:paraId="17CC359E" w14:textId="77777777" w:rsidR="00837940" w:rsidRPr="00837940" w:rsidRDefault="00837940" w:rsidP="00837940">
      <w:pPr>
        <w:pStyle w:val="EndNoteBibliography"/>
        <w:spacing w:after="0"/>
      </w:pPr>
      <w:r w:rsidRPr="00837940">
        <w:t xml:space="preserve">Härkönen, J. (2018). Single-mother poverty: how much do educational differences in single motherhood matter? </w:t>
      </w:r>
      <w:r w:rsidRPr="00837940">
        <w:rPr>
          <w:u w:val="single"/>
        </w:rPr>
        <w:t>The triple bind of single parent families: resources, employment and policies to improve wellbring</w:t>
      </w:r>
      <w:r w:rsidRPr="00837940">
        <w:t>. R. Nieuwenhuis and L. Maldonado. Bristol, Policy Press</w:t>
      </w:r>
      <w:r w:rsidRPr="00837940">
        <w:rPr>
          <w:b/>
        </w:rPr>
        <w:t xml:space="preserve">: </w:t>
      </w:r>
      <w:r w:rsidRPr="00837940">
        <w:t>31-50.</w:t>
      </w:r>
    </w:p>
    <w:p w14:paraId="3BF4C11B" w14:textId="77777777" w:rsidR="00837940" w:rsidRPr="00837940" w:rsidRDefault="00837940" w:rsidP="00837940">
      <w:pPr>
        <w:pStyle w:val="EndNoteBibliography"/>
        <w:spacing w:after="0"/>
      </w:pPr>
      <w:r w:rsidRPr="00837940">
        <w:t xml:space="preserve">Harrison, J., H. Kulu, K. L. Keenan and F. Sullivan (2023). "Union formation and fertility amongst immigrants from Pakistan and their descendants in the United Kingdom: A multichannel sequence analysis." </w:t>
      </w:r>
      <w:r w:rsidRPr="00837940">
        <w:rPr>
          <w:u w:val="single"/>
        </w:rPr>
        <w:t>Demographic Research</w:t>
      </w:r>
      <w:r w:rsidRPr="00837940">
        <w:t xml:space="preserve"> </w:t>
      </w:r>
      <w:r w:rsidRPr="00837940">
        <w:rPr>
          <w:b/>
        </w:rPr>
        <w:t>48</w:t>
      </w:r>
      <w:r w:rsidRPr="00837940">
        <w:t>(10): 271-320.</w:t>
      </w:r>
    </w:p>
    <w:p w14:paraId="58DC82F6" w14:textId="77777777" w:rsidR="00837940" w:rsidRPr="00837940" w:rsidRDefault="00837940" w:rsidP="00837940">
      <w:pPr>
        <w:pStyle w:val="EndNoteBibliography"/>
        <w:spacing w:after="0"/>
      </w:pPr>
      <w:r w:rsidRPr="00837940">
        <w:t xml:space="preserve">Hellstrand, J., J. Nisen and J. Myrskyla (2020). "All-time low period fertility in Finland: Demographic drivers, tempo effects, cohort implications." </w:t>
      </w:r>
      <w:r w:rsidRPr="00837940">
        <w:rPr>
          <w:u w:val="single"/>
        </w:rPr>
        <w:t>Population Studies</w:t>
      </w:r>
      <w:r w:rsidRPr="00837940">
        <w:t xml:space="preserve"> </w:t>
      </w:r>
      <w:r w:rsidRPr="00837940">
        <w:rPr>
          <w:b/>
        </w:rPr>
        <w:t>74</w:t>
      </w:r>
      <w:r w:rsidRPr="00837940">
        <w:t>(3): 315-329.</w:t>
      </w:r>
    </w:p>
    <w:p w14:paraId="3AEE9635" w14:textId="77777777" w:rsidR="00837940" w:rsidRPr="00837940" w:rsidRDefault="00837940" w:rsidP="00837940">
      <w:pPr>
        <w:pStyle w:val="EndNoteBibliography"/>
        <w:spacing w:after="0"/>
      </w:pPr>
      <w:r w:rsidRPr="00837940">
        <w:t xml:space="preserve">Jalovaara, M., L. Andersson and A. Miettinen (2021). "Parity disparity: Educational differences in Nordic fertility across parities and number of reproductive partners." </w:t>
      </w:r>
      <w:r w:rsidRPr="00837940">
        <w:rPr>
          <w:u w:val="single"/>
        </w:rPr>
        <w:t>Population Studies</w:t>
      </w:r>
      <w:r w:rsidRPr="00837940">
        <w:t>: 1-18.</w:t>
      </w:r>
    </w:p>
    <w:p w14:paraId="4F70DC1C" w14:textId="77777777" w:rsidR="00837940" w:rsidRPr="00837940" w:rsidRDefault="00837940" w:rsidP="00837940">
      <w:pPr>
        <w:pStyle w:val="EndNoteBibliography"/>
        <w:spacing w:after="0"/>
      </w:pPr>
      <w:r w:rsidRPr="00837940">
        <w:t xml:space="preserve">Jalovaara, M. and M. Kreyenfeld (2020). Childbearing Across Partnerships in Finland and Germany. </w:t>
      </w:r>
      <w:r w:rsidRPr="00837940">
        <w:rPr>
          <w:u w:val="single"/>
        </w:rPr>
        <w:t>Divorce in Europe: New Insights in Trends, Causes and Consequences of Relation Break-ups</w:t>
      </w:r>
      <w:r w:rsidRPr="00837940">
        <w:t>. D. Mortelmans. Cham, Springer International Publishing</w:t>
      </w:r>
      <w:r w:rsidRPr="00837940">
        <w:rPr>
          <w:b/>
        </w:rPr>
        <w:t xml:space="preserve">: </w:t>
      </w:r>
      <w:r w:rsidRPr="00837940">
        <w:t>315-335.</w:t>
      </w:r>
    </w:p>
    <w:p w14:paraId="50066621" w14:textId="77777777" w:rsidR="00837940" w:rsidRPr="00837940" w:rsidRDefault="00837940" w:rsidP="00837940">
      <w:pPr>
        <w:pStyle w:val="EndNoteBibliography"/>
        <w:spacing w:after="0"/>
      </w:pPr>
      <w:r w:rsidRPr="00837940">
        <w:t xml:space="preserve">Jalovaara, M., G. Neyer, G. Andersson, J. Dahlberg, L. Dommermuth, P. Fallesen and T. Lappegård (2019). "Education, gender, and cohort fertility in the Nordic countries." </w:t>
      </w:r>
      <w:r w:rsidRPr="00837940">
        <w:rPr>
          <w:u w:val="single"/>
        </w:rPr>
        <w:t>European Journal of Population</w:t>
      </w:r>
      <w:r w:rsidRPr="00837940">
        <w:t xml:space="preserve"> </w:t>
      </w:r>
      <w:r w:rsidRPr="00837940">
        <w:rPr>
          <w:b/>
        </w:rPr>
        <w:t>35</w:t>
      </w:r>
      <w:r w:rsidRPr="00837940">
        <w:t>(3): 563-586.</w:t>
      </w:r>
    </w:p>
    <w:p w14:paraId="5BF337B8" w14:textId="77777777" w:rsidR="00837940" w:rsidRPr="00837940" w:rsidRDefault="00837940" w:rsidP="00837940">
      <w:pPr>
        <w:pStyle w:val="EndNoteBibliography"/>
        <w:spacing w:after="0"/>
      </w:pPr>
      <w:r w:rsidRPr="00837940">
        <w:t xml:space="preserve">Joshi, H. (2002). "Production, Reproduction, and Education: Women, Children, and Work in a British Perspective." </w:t>
      </w:r>
      <w:r w:rsidRPr="00837940">
        <w:rPr>
          <w:u w:val="single"/>
        </w:rPr>
        <w:t>Population and Development Review</w:t>
      </w:r>
      <w:r w:rsidRPr="00837940">
        <w:t xml:space="preserve"> </w:t>
      </w:r>
      <w:r w:rsidRPr="00837940">
        <w:rPr>
          <w:b/>
        </w:rPr>
        <w:t>28</w:t>
      </w:r>
      <w:r w:rsidRPr="00837940">
        <w:t>(3): 445-474.</w:t>
      </w:r>
    </w:p>
    <w:p w14:paraId="4CDCA832" w14:textId="77777777" w:rsidR="00837940" w:rsidRPr="00837940" w:rsidRDefault="00837940" w:rsidP="00837940">
      <w:pPr>
        <w:pStyle w:val="EndNoteBibliography"/>
        <w:spacing w:after="0"/>
      </w:pPr>
      <w:r w:rsidRPr="00837940">
        <w:t xml:space="preserve">Kohler, H.-P., F. C. Billari and J. A. Ortega (2002). "The Emergence of Lowest-Low Fertility in Europe during the 1990s." </w:t>
      </w:r>
      <w:r w:rsidRPr="00837940">
        <w:rPr>
          <w:u w:val="single"/>
        </w:rPr>
        <w:t>Population and Development Review</w:t>
      </w:r>
      <w:r w:rsidRPr="00837940">
        <w:t xml:space="preserve"> </w:t>
      </w:r>
      <w:r w:rsidRPr="00837940">
        <w:rPr>
          <w:b/>
        </w:rPr>
        <w:t>28</w:t>
      </w:r>
      <w:r w:rsidRPr="00837940">
        <w:t>(4): 641-680.</w:t>
      </w:r>
    </w:p>
    <w:p w14:paraId="0F52FD57" w14:textId="77777777" w:rsidR="00837940" w:rsidRPr="00837940" w:rsidRDefault="00837940" w:rsidP="00837940">
      <w:pPr>
        <w:pStyle w:val="EndNoteBibliography"/>
        <w:spacing w:after="0"/>
      </w:pPr>
      <w:r w:rsidRPr="00837940">
        <w:t>Kolk, M. (2019). "The relationship between lifecourse accumulated income and childbearing of Swedish men and women born 1940-1970."</w:t>
      </w:r>
    </w:p>
    <w:p w14:paraId="57DD9876" w14:textId="77777777" w:rsidR="00837940" w:rsidRPr="00837940" w:rsidRDefault="00837940" w:rsidP="00837940">
      <w:pPr>
        <w:pStyle w:val="EndNoteBibliography"/>
        <w:spacing w:after="0"/>
      </w:pPr>
      <w:r w:rsidRPr="00837940">
        <w:t xml:space="preserve">Konietzka, D. and M. Kreyenfeld (2010). "The growing educational divide in mothers’ employment: an investigation based on the German micro-censuses 1976-2004." </w:t>
      </w:r>
      <w:r w:rsidRPr="00837940">
        <w:rPr>
          <w:u w:val="single"/>
        </w:rPr>
        <w:t>Work, Employment and Society</w:t>
      </w:r>
      <w:r w:rsidRPr="00837940">
        <w:t xml:space="preserve"> </w:t>
      </w:r>
      <w:r w:rsidRPr="00837940">
        <w:rPr>
          <w:b/>
        </w:rPr>
        <w:t>24</w:t>
      </w:r>
      <w:r w:rsidRPr="00837940">
        <w:t>(2): 260-278.</w:t>
      </w:r>
    </w:p>
    <w:p w14:paraId="7ABADBE6" w14:textId="77777777" w:rsidR="00837940" w:rsidRPr="00837940" w:rsidRDefault="00837940" w:rsidP="00837940">
      <w:pPr>
        <w:pStyle w:val="EndNoteBibliography"/>
        <w:spacing w:after="0"/>
      </w:pPr>
      <w:r w:rsidRPr="00837940">
        <w:t xml:space="preserve">Köppen, K. (2006). "Second births in western Germany and France." </w:t>
      </w:r>
      <w:r w:rsidRPr="00837940">
        <w:rPr>
          <w:u w:val="single"/>
        </w:rPr>
        <w:t>Demographic Research</w:t>
      </w:r>
      <w:r w:rsidRPr="00837940">
        <w:t xml:space="preserve"> </w:t>
      </w:r>
      <w:r w:rsidRPr="00837940">
        <w:rPr>
          <w:b/>
        </w:rPr>
        <w:t>14</w:t>
      </w:r>
      <w:r w:rsidRPr="00837940">
        <w:t>(14): 295-330.</w:t>
      </w:r>
    </w:p>
    <w:p w14:paraId="2F8D9A6B" w14:textId="77777777" w:rsidR="00837940" w:rsidRPr="00837940" w:rsidRDefault="00837940" w:rsidP="00837940">
      <w:pPr>
        <w:pStyle w:val="EndNoteBibliography"/>
        <w:spacing w:after="0"/>
      </w:pPr>
      <w:r w:rsidRPr="00837940">
        <w:t xml:space="preserve">Kossek, E. E. and B. A. Lautsch (2018). "Work–life flexibility for whom? Occupational status and work–life inequality in upper, middle, and lower level jobs." </w:t>
      </w:r>
      <w:r w:rsidRPr="00837940">
        <w:rPr>
          <w:u w:val="single"/>
        </w:rPr>
        <w:t>The Academy of Management Annals</w:t>
      </w:r>
      <w:r w:rsidRPr="00837940">
        <w:t xml:space="preserve"> </w:t>
      </w:r>
      <w:r w:rsidRPr="00837940">
        <w:rPr>
          <w:b/>
        </w:rPr>
        <w:t>12</w:t>
      </w:r>
      <w:r w:rsidRPr="00837940">
        <w:t>(1): 5-36.</w:t>
      </w:r>
    </w:p>
    <w:p w14:paraId="7C1B8AF5" w14:textId="77777777" w:rsidR="00837940" w:rsidRPr="00837940" w:rsidRDefault="00837940" w:rsidP="00837940">
      <w:pPr>
        <w:pStyle w:val="EndNoteBibliography"/>
        <w:spacing w:after="0"/>
      </w:pPr>
      <w:r w:rsidRPr="00837940">
        <w:t xml:space="preserve">Kravdal, Ø. (1992). "The Weak Impact of Female Labour Force Participation on Norwegian Third-Birth Rates." </w:t>
      </w:r>
      <w:r w:rsidRPr="00837940">
        <w:rPr>
          <w:u w:val="single"/>
        </w:rPr>
        <w:t>European Journal of Population / Revue Européenne de Démographie</w:t>
      </w:r>
      <w:r w:rsidRPr="00837940">
        <w:t xml:space="preserve"> </w:t>
      </w:r>
      <w:r w:rsidRPr="00837940">
        <w:rPr>
          <w:b/>
        </w:rPr>
        <w:t>8</w:t>
      </w:r>
      <w:r w:rsidRPr="00837940">
        <w:t>(3): 247-263.</w:t>
      </w:r>
    </w:p>
    <w:p w14:paraId="7B33D967" w14:textId="77777777" w:rsidR="00837940" w:rsidRPr="00837940" w:rsidRDefault="00837940" w:rsidP="00837940">
      <w:pPr>
        <w:pStyle w:val="EndNoteBibliography"/>
        <w:spacing w:after="0"/>
      </w:pPr>
      <w:r w:rsidRPr="00837940">
        <w:t xml:space="preserve">Kravdal, Ø. (2001). "The High Fertility of College Educated Women in Norway: An Artefact of the Separate Modelling of Each Parity Transition." </w:t>
      </w:r>
      <w:r w:rsidRPr="00837940">
        <w:rPr>
          <w:u w:val="single"/>
        </w:rPr>
        <w:t>Demographic Research</w:t>
      </w:r>
      <w:r w:rsidRPr="00837940">
        <w:t xml:space="preserve"> </w:t>
      </w:r>
      <w:r w:rsidRPr="00837940">
        <w:rPr>
          <w:b/>
        </w:rPr>
        <w:t>5</w:t>
      </w:r>
      <w:r w:rsidRPr="00837940">
        <w:t>(6): 187-216.</w:t>
      </w:r>
    </w:p>
    <w:p w14:paraId="18478937" w14:textId="77777777" w:rsidR="00837940" w:rsidRPr="00837940" w:rsidRDefault="00837940" w:rsidP="00837940">
      <w:pPr>
        <w:pStyle w:val="EndNoteBibliography"/>
        <w:spacing w:after="0"/>
      </w:pPr>
      <w:r w:rsidRPr="00837940">
        <w:t xml:space="preserve">Kreyenfeld, M. (2002). "Time Squeeze, Partner Effect or Self-Selection?: An Investigation into the Positive Effect of Women’s Education on Second Birth Risks in West Germany." </w:t>
      </w:r>
      <w:r w:rsidRPr="00837940">
        <w:rPr>
          <w:u w:val="single"/>
        </w:rPr>
        <w:t>Demographic Research</w:t>
      </w:r>
      <w:r w:rsidRPr="00837940">
        <w:t xml:space="preserve"> </w:t>
      </w:r>
      <w:r w:rsidRPr="00837940">
        <w:rPr>
          <w:b/>
        </w:rPr>
        <w:t>7</w:t>
      </w:r>
      <w:r w:rsidRPr="00837940">
        <w:t>(2): 15-48.</w:t>
      </w:r>
    </w:p>
    <w:p w14:paraId="45A69E34" w14:textId="77777777" w:rsidR="00837940" w:rsidRPr="00837940" w:rsidRDefault="00837940" w:rsidP="00837940">
      <w:pPr>
        <w:pStyle w:val="EndNoteBibliography"/>
        <w:spacing w:after="0"/>
      </w:pPr>
      <w:r w:rsidRPr="00837940">
        <w:t xml:space="preserve">Kuang, B. and A. Berrington (2023). "Cross-national differences in the use of contraception and abortion services between England, Wales, and Scotland." </w:t>
      </w:r>
      <w:r w:rsidRPr="00837940">
        <w:rPr>
          <w:u w:val="single"/>
        </w:rPr>
        <w:t>BMJ Sex Reprod Health</w:t>
      </w:r>
      <w:r w:rsidRPr="00837940">
        <w:t xml:space="preserve"> </w:t>
      </w:r>
      <w:r w:rsidRPr="00837940">
        <w:rPr>
          <w:b/>
        </w:rPr>
        <w:t>49</w:t>
      </w:r>
      <w:r w:rsidRPr="00837940">
        <w:t>(2): 143-144.</w:t>
      </w:r>
    </w:p>
    <w:p w14:paraId="38B6BBEA" w14:textId="77777777" w:rsidR="00837940" w:rsidRPr="00837940" w:rsidRDefault="00837940" w:rsidP="00837940">
      <w:pPr>
        <w:pStyle w:val="EndNoteBibliography"/>
        <w:spacing w:after="0"/>
      </w:pPr>
      <w:r w:rsidRPr="00837940">
        <w:t xml:space="preserve">Lazzari, E., R. Mogi and V. Canudas-Romo (2021). "Educational composition and parity contribution to completed cohort fertility change in low-fertility settings." </w:t>
      </w:r>
      <w:r w:rsidRPr="00837940">
        <w:rPr>
          <w:u w:val="single"/>
        </w:rPr>
        <w:t>Population Studies</w:t>
      </w:r>
      <w:r w:rsidRPr="00837940">
        <w:t xml:space="preserve"> </w:t>
      </w:r>
      <w:r w:rsidRPr="00837940">
        <w:rPr>
          <w:b/>
        </w:rPr>
        <w:t>75</w:t>
      </w:r>
      <w:r w:rsidRPr="00837940">
        <w:t>(2): 153-167.</w:t>
      </w:r>
    </w:p>
    <w:p w14:paraId="23D3F84D" w14:textId="77777777" w:rsidR="00837940" w:rsidRPr="00837940" w:rsidRDefault="00837940" w:rsidP="00837940">
      <w:pPr>
        <w:pStyle w:val="EndNoteBibliography"/>
        <w:spacing w:after="0"/>
      </w:pPr>
      <w:r w:rsidRPr="00837940">
        <w:t xml:space="preserve">Lesthaeghe, R. (2010). "The Unfolding Story of the Second Demographic Transition." </w:t>
      </w:r>
      <w:r w:rsidRPr="00837940">
        <w:rPr>
          <w:u w:val="single"/>
        </w:rPr>
        <w:t>Population and Development Review</w:t>
      </w:r>
      <w:r w:rsidRPr="00837940">
        <w:t xml:space="preserve"> </w:t>
      </w:r>
      <w:r w:rsidRPr="00837940">
        <w:rPr>
          <w:b/>
        </w:rPr>
        <w:t>36</w:t>
      </w:r>
      <w:r w:rsidRPr="00837940">
        <w:t>(2): 211-251.</w:t>
      </w:r>
    </w:p>
    <w:p w14:paraId="39062ED2" w14:textId="77777777" w:rsidR="00837940" w:rsidRPr="00837940" w:rsidRDefault="00837940" w:rsidP="00837940">
      <w:pPr>
        <w:pStyle w:val="EndNoteBibliography"/>
        <w:spacing w:after="0"/>
      </w:pPr>
      <w:r w:rsidRPr="00837940">
        <w:t xml:space="preserve">Marczak, J., W. Sigle and E. Coast (2018). "When the grass is greener: Fertility decisions in a cross-national context." </w:t>
      </w:r>
      <w:r w:rsidRPr="00837940">
        <w:rPr>
          <w:u w:val="single"/>
        </w:rPr>
        <w:t>Population Studies</w:t>
      </w:r>
      <w:r w:rsidRPr="00837940">
        <w:t xml:space="preserve"> </w:t>
      </w:r>
      <w:r w:rsidRPr="00837940">
        <w:rPr>
          <w:b/>
        </w:rPr>
        <w:t>72</w:t>
      </w:r>
      <w:r w:rsidRPr="00837940">
        <w:t>(2): 201-216.</w:t>
      </w:r>
    </w:p>
    <w:p w14:paraId="36F0E29C" w14:textId="77777777" w:rsidR="00837940" w:rsidRPr="00837940" w:rsidRDefault="00837940" w:rsidP="00837940">
      <w:pPr>
        <w:pStyle w:val="EndNoteBibliography"/>
        <w:spacing w:after="0"/>
      </w:pPr>
      <w:r w:rsidRPr="00837940">
        <w:t xml:space="preserve">Maslow, A. H. (1943). "A theory of human motivation." </w:t>
      </w:r>
      <w:r w:rsidRPr="00837940">
        <w:rPr>
          <w:u w:val="single"/>
        </w:rPr>
        <w:t>Psychological Review</w:t>
      </w:r>
      <w:r w:rsidRPr="00837940">
        <w:t xml:space="preserve"> </w:t>
      </w:r>
      <w:r w:rsidRPr="00837940">
        <w:rPr>
          <w:b/>
        </w:rPr>
        <w:t>50</w:t>
      </w:r>
      <w:r w:rsidRPr="00837940">
        <w:t>: 370-396.</w:t>
      </w:r>
    </w:p>
    <w:p w14:paraId="79AA1C77" w14:textId="77777777" w:rsidR="00837940" w:rsidRPr="00837940" w:rsidRDefault="00837940" w:rsidP="00837940">
      <w:pPr>
        <w:pStyle w:val="EndNoteBibliography"/>
        <w:spacing w:after="0"/>
      </w:pPr>
      <w:r w:rsidRPr="00837940">
        <w:t xml:space="preserve">McGregor, P. and P. McKee (2016). "Religion and Fertility in Contemporary Northern Ireland." </w:t>
      </w:r>
      <w:r w:rsidRPr="00837940">
        <w:rPr>
          <w:u w:val="single"/>
        </w:rPr>
        <w:t>European Journal of Population</w:t>
      </w:r>
      <w:r w:rsidRPr="00837940">
        <w:t xml:space="preserve"> </w:t>
      </w:r>
      <w:r w:rsidRPr="00837940">
        <w:rPr>
          <w:b/>
        </w:rPr>
        <w:t>32</w:t>
      </w:r>
      <w:r w:rsidRPr="00837940">
        <w:t>: 599-622.</w:t>
      </w:r>
    </w:p>
    <w:p w14:paraId="21B0997E" w14:textId="32E49D60" w:rsidR="00837940" w:rsidRPr="00837940" w:rsidRDefault="00837940" w:rsidP="00837940">
      <w:pPr>
        <w:pStyle w:val="EndNoteBibliography"/>
        <w:spacing w:after="0"/>
      </w:pPr>
      <w:r w:rsidRPr="00837940">
        <w:t xml:space="preserve">McKenna, F. (2023). "Background Information on Northern Ireland- Housing." from </w:t>
      </w:r>
      <w:hyperlink r:id="rId21" w:history="1">
        <w:r w:rsidRPr="00837940">
          <w:rPr>
            <w:rStyle w:val="Hyperlink"/>
          </w:rPr>
          <w:t>https://cain.ulster.ac.uk/ni/housing.htm</w:t>
        </w:r>
      </w:hyperlink>
      <w:r w:rsidRPr="00837940">
        <w:t>.</w:t>
      </w:r>
    </w:p>
    <w:p w14:paraId="25EAF5A4" w14:textId="77777777" w:rsidR="00837940" w:rsidRPr="00837940" w:rsidRDefault="00837940" w:rsidP="00837940">
      <w:pPr>
        <w:pStyle w:val="EndNoteBibliography"/>
        <w:spacing w:after="0"/>
      </w:pPr>
      <w:r w:rsidRPr="00837940">
        <w:t xml:space="preserve">Mikolai, J. and H. Kulu (2023). "Partnership and fertility trajectories of immigrants and descendants in the United Kingdom: A multilevel multistate event history approach." </w:t>
      </w:r>
      <w:r w:rsidRPr="00837940">
        <w:rPr>
          <w:u w:val="single"/>
        </w:rPr>
        <w:t>Population Studies</w:t>
      </w:r>
      <w:r w:rsidRPr="00837940">
        <w:t xml:space="preserve"> </w:t>
      </w:r>
      <w:r w:rsidRPr="00837940">
        <w:rPr>
          <w:b/>
        </w:rPr>
        <w:t>77</w:t>
      </w:r>
      <w:r w:rsidRPr="00837940">
        <w:t>(3): 359-378.</w:t>
      </w:r>
    </w:p>
    <w:p w14:paraId="4BDE28F9" w14:textId="77777777" w:rsidR="00837940" w:rsidRPr="00837940" w:rsidRDefault="00837940" w:rsidP="00837940">
      <w:pPr>
        <w:pStyle w:val="EndNoteBibliography"/>
        <w:spacing w:after="0"/>
      </w:pPr>
      <w:r w:rsidRPr="00837940">
        <w:t xml:space="preserve">Neyer, G. (2013). Welfare states, family policies, and fertility in Europe. </w:t>
      </w:r>
      <w:r w:rsidRPr="00837940">
        <w:rPr>
          <w:u w:val="single"/>
        </w:rPr>
        <w:t>The Demography of Europe</w:t>
      </w:r>
      <w:r w:rsidRPr="00837940">
        <w:t>. G. Neyer, G. Andersson, H. Kulu, L. Bernardi and C. Buhler. Dordrecht, Springer.</w:t>
      </w:r>
    </w:p>
    <w:p w14:paraId="61F8B0F9" w14:textId="77777777" w:rsidR="00837940" w:rsidRPr="00837940" w:rsidRDefault="00837940" w:rsidP="00837940">
      <w:pPr>
        <w:pStyle w:val="EndNoteBibliography"/>
        <w:spacing w:after="0"/>
      </w:pPr>
      <w:r w:rsidRPr="00837940">
        <w:t xml:space="preserve">Ní Bhrolcháin, M. and E. Beaujouan (2012). "Fertility postponement is largely due to rising educational enrolment." </w:t>
      </w:r>
      <w:r w:rsidRPr="00837940">
        <w:rPr>
          <w:u w:val="single"/>
        </w:rPr>
        <w:t>Population Studies</w:t>
      </w:r>
      <w:r w:rsidRPr="00837940">
        <w:t xml:space="preserve"> </w:t>
      </w:r>
      <w:r w:rsidRPr="00837940">
        <w:rPr>
          <w:b/>
        </w:rPr>
        <w:t>66</w:t>
      </w:r>
      <w:r w:rsidRPr="00837940">
        <w:t>(3): 311-327.</w:t>
      </w:r>
    </w:p>
    <w:p w14:paraId="3E379D9E" w14:textId="77777777" w:rsidR="00837940" w:rsidRPr="00837940" w:rsidRDefault="00837940" w:rsidP="00837940">
      <w:pPr>
        <w:pStyle w:val="EndNoteBibliography"/>
        <w:spacing w:after="0"/>
      </w:pPr>
      <w:r w:rsidRPr="00837940">
        <w:t xml:space="preserve">Nisén, J., S. Klüsener, J. Dahlberg, L. Dommermuth, A. Jasilioniene, M. Kreyenfeld, T. Lappegård, P. Li, P. Martikainen, K. Neels, B. Riederer, S. Te Riele, L. Szabó, A. Trimarchi, F. Viciana, B. Wilson and M. Myrskylä (2021). "Educational Differences in Cohort Fertility Across Sub-national Regions in Europe." </w:t>
      </w:r>
      <w:r w:rsidRPr="00837940">
        <w:rPr>
          <w:u w:val="single"/>
        </w:rPr>
        <w:t>Eur J Popul</w:t>
      </w:r>
      <w:r w:rsidRPr="00837940">
        <w:t xml:space="preserve"> </w:t>
      </w:r>
      <w:r w:rsidRPr="00837940">
        <w:rPr>
          <w:b/>
        </w:rPr>
        <w:t>37</w:t>
      </w:r>
      <w:r w:rsidRPr="00837940">
        <w:t>(1): 263-295.</w:t>
      </w:r>
    </w:p>
    <w:p w14:paraId="78E1B41B" w14:textId="77777777" w:rsidR="00837940" w:rsidRPr="00837940" w:rsidRDefault="00837940" w:rsidP="00837940">
      <w:pPr>
        <w:pStyle w:val="EndNoteBibliography"/>
        <w:spacing w:after="0"/>
      </w:pPr>
      <w:r w:rsidRPr="00837940">
        <w:t xml:space="preserve">Ohlsson-Wijk, S. and G. Andersson (2022). "Disentangling the Swedish fertility decline of the 2010s." </w:t>
      </w:r>
      <w:r w:rsidRPr="00837940">
        <w:rPr>
          <w:u w:val="single"/>
        </w:rPr>
        <w:t>Demographic Research</w:t>
      </w:r>
      <w:r w:rsidRPr="00837940">
        <w:t xml:space="preserve"> </w:t>
      </w:r>
      <w:r w:rsidRPr="00837940">
        <w:rPr>
          <w:b/>
        </w:rPr>
        <w:t>47</w:t>
      </w:r>
      <w:r w:rsidRPr="00837940">
        <w:t>: 345-358.</w:t>
      </w:r>
    </w:p>
    <w:p w14:paraId="4C4115F2" w14:textId="77777777" w:rsidR="00837940" w:rsidRPr="00837940" w:rsidRDefault="00837940" w:rsidP="00837940">
      <w:pPr>
        <w:pStyle w:val="EndNoteBibliography"/>
        <w:spacing w:after="0"/>
      </w:pPr>
      <w:r w:rsidRPr="00837940">
        <w:t xml:space="preserve">Patrick, R. and K. Andersen (2023). "The two-child limit and fertility decision making: When policy narratives and lived experiences collide." </w:t>
      </w:r>
      <w:r w:rsidRPr="00837940">
        <w:rPr>
          <w:u w:val="single"/>
        </w:rPr>
        <w:t>Social Policy &amp; Administration</w:t>
      </w:r>
      <w:r w:rsidRPr="00837940">
        <w:t xml:space="preserve"> </w:t>
      </w:r>
      <w:r w:rsidRPr="00837940">
        <w:rPr>
          <w:b/>
        </w:rPr>
        <w:t>57</w:t>
      </w:r>
      <w:r w:rsidRPr="00837940">
        <w:t>(5): 580-595.</w:t>
      </w:r>
    </w:p>
    <w:p w14:paraId="428CE7F6" w14:textId="77777777" w:rsidR="00837940" w:rsidRPr="00837940" w:rsidRDefault="00837940" w:rsidP="00837940">
      <w:pPr>
        <w:pStyle w:val="EndNoteBibliography"/>
        <w:spacing w:after="0"/>
      </w:pPr>
      <w:r w:rsidRPr="00837940">
        <w:t xml:space="preserve">Peri-Rotem, N. (2016). "Religion and Fertility in Western Europe: Trends Across Cohorts in Britain, France and the Netherlands." </w:t>
      </w:r>
      <w:r w:rsidRPr="00837940">
        <w:rPr>
          <w:u w:val="single"/>
        </w:rPr>
        <w:t>European Journal of Population</w:t>
      </w:r>
      <w:r w:rsidRPr="00837940">
        <w:t xml:space="preserve"> </w:t>
      </w:r>
      <w:r w:rsidRPr="00837940">
        <w:rPr>
          <w:b/>
        </w:rPr>
        <w:t>32</w:t>
      </w:r>
      <w:r w:rsidRPr="00837940">
        <w:t>(2): 231-265.</w:t>
      </w:r>
    </w:p>
    <w:p w14:paraId="4A116EB2" w14:textId="77777777" w:rsidR="00837940" w:rsidRPr="00837940" w:rsidRDefault="00837940" w:rsidP="00837940">
      <w:pPr>
        <w:pStyle w:val="EndNoteBibliography"/>
        <w:spacing w:after="0"/>
      </w:pPr>
      <w:r w:rsidRPr="00837940">
        <w:t xml:space="preserve">Pezer, M. (2022). "Public policies supporting families with children across welfare regimes: An empirical assessment of six European countries." </w:t>
      </w:r>
      <w:r w:rsidRPr="00837940">
        <w:rPr>
          <w:u w:val="single"/>
        </w:rPr>
        <w:t>Journal of European Social Policy</w:t>
      </w:r>
      <w:r w:rsidRPr="00837940">
        <w:t xml:space="preserve"> </w:t>
      </w:r>
      <w:r w:rsidRPr="00837940">
        <w:rPr>
          <w:b/>
        </w:rPr>
        <w:t>32</w:t>
      </w:r>
      <w:r w:rsidRPr="00837940">
        <w:t>(3): 254-269.</w:t>
      </w:r>
    </w:p>
    <w:p w14:paraId="6D5F3CE1" w14:textId="77777777" w:rsidR="00837940" w:rsidRPr="00837940" w:rsidRDefault="00837940" w:rsidP="00837940">
      <w:pPr>
        <w:pStyle w:val="EndNoteBibliography"/>
        <w:spacing w:after="0"/>
      </w:pPr>
      <w:r w:rsidRPr="00837940">
        <w:t xml:space="preserve">Phillips, D., T. Waters and T. Wernham (2023). Employment, earnings, and incomes in Scotland, Institute for Fiscal Studies </w:t>
      </w:r>
    </w:p>
    <w:p w14:paraId="6C016D70" w14:textId="77777777" w:rsidR="00837940" w:rsidRPr="00837940" w:rsidRDefault="00837940" w:rsidP="00837940">
      <w:pPr>
        <w:pStyle w:val="EndNoteBibliography"/>
        <w:spacing w:after="0"/>
      </w:pPr>
      <w:r w:rsidRPr="00837940">
        <w:t xml:space="preserve">Raz-Yurovich, L. (2016). "Outsourcing of Housework and the Transition to a Second Birth in Germany." </w:t>
      </w:r>
      <w:r w:rsidRPr="00837940">
        <w:rPr>
          <w:u w:val="single"/>
        </w:rPr>
        <w:t>Population Research and Policy Review</w:t>
      </w:r>
      <w:r w:rsidRPr="00837940">
        <w:t xml:space="preserve"> </w:t>
      </w:r>
      <w:r w:rsidRPr="00837940">
        <w:rPr>
          <w:b/>
        </w:rPr>
        <w:t>35</w:t>
      </w:r>
      <w:r w:rsidRPr="00837940">
        <w:t>(3): 401-419.</w:t>
      </w:r>
    </w:p>
    <w:p w14:paraId="4CFD50B6" w14:textId="77777777" w:rsidR="00837940" w:rsidRPr="00837940" w:rsidRDefault="00837940" w:rsidP="00837940">
      <w:pPr>
        <w:pStyle w:val="EndNoteBibliography"/>
        <w:spacing w:after="0"/>
      </w:pPr>
      <w:r w:rsidRPr="00837940">
        <w:t xml:space="preserve">Reader, M., J. Portes and R. Patrick (2022). Does cutting child benefits reduce fertility in larger families? Evidence from the UK's two-child limit. Bonn, Germany, IZA Institute of Labor Economics. </w:t>
      </w:r>
      <w:r w:rsidRPr="00837940">
        <w:rPr>
          <w:b/>
        </w:rPr>
        <w:t>15203</w:t>
      </w:r>
      <w:r w:rsidRPr="00837940">
        <w:t>.</w:t>
      </w:r>
    </w:p>
    <w:p w14:paraId="14EDD4B2" w14:textId="77777777" w:rsidR="00837940" w:rsidRPr="00837940" w:rsidRDefault="00837940" w:rsidP="00837940">
      <w:pPr>
        <w:pStyle w:val="EndNoteBibliography"/>
        <w:spacing w:after="0"/>
      </w:pPr>
      <w:r w:rsidRPr="00837940">
        <w:t xml:space="preserve">Reher, D. and M. Requena (2019). "Childlessness in twentieth-century Spain: A cohort analysis for women born 1920–1969." </w:t>
      </w:r>
      <w:r w:rsidRPr="00837940">
        <w:rPr>
          <w:u w:val="single"/>
        </w:rPr>
        <w:t>European Journal of Population</w:t>
      </w:r>
      <w:r w:rsidRPr="00837940">
        <w:t xml:space="preserve"> </w:t>
      </w:r>
      <w:r w:rsidRPr="00837940">
        <w:rPr>
          <w:b/>
        </w:rPr>
        <w:t>35</w:t>
      </w:r>
      <w:r w:rsidRPr="00837940">
        <w:t>: 133-160.</w:t>
      </w:r>
    </w:p>
    <w:p w14:paraId="754276A4" w14:textId="77777777" w:rsidR="00837940" w:rsidRPr="00837940" w:rsidRDefault="00837940" w:rsidP="00837940">
      <w:pPr>
        <w:pStyle w:val="EndNoteBibliography"/>
        <w:spacing w:after="0"/>
      </w:pPr>
      <w:r w:rsidRPr="00837940">
        <w:t xml:space="preserve">Rendall, M., C. Couet, T. Lappegard, I. Robert-Bobée, M. Rønsen and S. Smallwood (2005). "First births by age and education in Britain, France and Norway." </w:t>
      </w:r>
      <w:r w:rsidRPr="00837940">
        <w:rPr>
          <w:u w:val="single"/>
        </w:rPr>
        <w:t>Popul Trends</w:t>
      </w:r>
      <w:r w:rsidRPr="00837940">
        <w:t>(121): 27-34.</w:t>
      </w:r>
    </w:p>
    <w:p w14:paraId="31441D10" w14:textId="77777777" w:rsidR="00837940" w:rsidRPr="00837940" w:rsidRDefault="00837940" w:rsidP="00837940">
      <w:pPr>
        <w:pStyle w:val="EndNoteBibliography"/>
        <w:spacing w:after="0"/>
      </w:pPr>
      <w:r w:rsidRPr="00837940">
        <w:t xml:space="preserve">Rindfuss, R. R., D. Guilkey, S. P. Morgan, K. øystein and G. Karen Benjamin (2007). "Child Care Availability and First-Birth Timing in Norway." </w:t>
      </w:r>
      <w:r w:rsidRPr="00837940">
        <w:rPr>
          <w:u w:val="single"/>
        </w:rPr>
        <w:t>Demography</w:t>
      </w:r>
      <w:r w:rsidRPr="00837940">
        <w:t xml:space="preserve"> </w:t>
      </w:r>
      <w:r w:rsidRPr="00837940">
        <w:rPr>
          <w:b/>
        </w:rPr>
        <w:t>44</w:t>
      </w:r>
      <w:r w:rsidRPr="00837940">
        <w:t>(2): 345-372.</w:t>
      </w:r>
    </w:p>
    <w:p w14:paraId="23C5D2BE" w14:textId="77777777" w:rsidR="00837940" w:rsidRPr="00837940" w:rsidRDefault="00837940" w:rsidP="00837940">
      <w:pPr>
        <w:pStyle w:val="EndNoteBibliography"/>
        <w:spacing w:after="0"/>
      </w:pPr>
      <w:r w:rsidRPr="00837940">
        <w:t xml:space="preserve">Shattock, M. and A. Horvath (2020). "The decentralisation of the governance of UK higher education: the effects of devolution to Scotland, Wales and Northern Ireland, and on England." </w:t>
      </w:r>
      <w:r w:rsidRPr="00837940">
        <w:rPr>
          <w:u w:val="single"/>
        </w:rPr>
        <w:t>Policy Reviews in Higher Education</w:t>
      </w:r>
      <w:r w:rsidRPr="00837940">
        <w:t xml:space="preserve"> </w:t>
      </w:r>
      <w:r w:rsidRPr="00837940">
        <w:rPr>
          <w:b/>
        </w:rPr>
        <w:t>4</w:t>
      </w:r>
      <w:r w:rsidRPr="00837940">
        <w:t>(2): 164-178.</w:t>
      </w:r>
    </w:p>
    <w:p w14:paraId="67A52AE6" w14:textId="77777777" w:rsidR="00837940" w:rsidRPr="00837940" w:rsidRDefault="00837940" w:rsidP="00837940">
      <w:pPr>
        <w:pStyle w:val="EndNoteBibliography"/>
      </w:pPr>
      <w:r w:rsidRPr="00837940">
        <w:t>Sigle-Rushton, W. (2008). "England and Wales</w:t>
      </w:r>
    </w:p>
    <w:p w14:paraId="2DAB1A2F" w14:textId="77777777" w:rsidR="00837940" w:rsidRPr="00837940" w:rsidRDefault="00837940" w:rsidP="00837940">
      <w:pPr>
        <w:pStyle w:val="EndNoteBibliography"/>
        <w:spacing w:after="0"/>
      </w:pPr>
      <w:r w:rsidRPr="00837940">
        <w:t xml:space="preserve">Stable fertility and pronounced social status differences." </w:t>
      </w:r>
      <w:r w:rsidRPr="00837940">
        <w:rPr>
          <w:u w:val="single"/>
        </w:rPr>
        <w:t>Demographic Research</w:t>
      </w:r>
      <w:r w:rsidRPr="00837940">
        <w:t xml:space="preserve"> </w:t>
      </w:r>
      <w:r w:rsidRPr="00837940">
        <w:rPr>
          <w:b/>
        </w:rPr>
        <w:t>19</w:t>
      </w:r>
      <w:r w:rsidRPr="00837940">
        <w:t>: 455-502.</w:t>
      </w:r>
    </w:p>
    <w:p w14:paraId="0A3D4922" w14:textId="77777777" w:rsidR="00837940" w:rsidRPr="00837940" w:rsidRDefault="00837940" w:rsidP="00837940">
      <w:pPr>
        <w:pStyle w:val="EndNoteBibliography"/>
        <w:spacing w:after="0"/>
      </w:pPr>
      <w:r w:rsidRPr="00837940">
        <w:t xml:space="preserve">Sigle, W. (2016). Fertility and Population Change in the United Kingdom. </w:t>
      </w:r>
      <w:r w:rsidRPr="00837940">
        <w:rPr>
          <w:u w:val="single"/>
        </w:rPr>
        <w:t>Low Fertility, Institutions, and their Policies: Variations Across Industrialized Countries</w:t>
      </w:r>
      <w:r w:rsidRPr="00837940">
        <w:t>. R. R. Rindfuss and M. K. Choe. Cham, Springer International Publishing</w:t>
      </w:r>
      <w:r w:rsidRPr="00837940">
        <w:rPr>
          <w:b/>
        </w:rPr>
        <w:t xml:space="preserve">: </w:t>
      </w:r>
      <w:r w:rsidRPr="00837940">
        <w:t>77-98.</w:t>
      </w:r>
    </w:p>
    <w:p w14:paraId="67E24AF9" w14:textId="77777777" w:rsidR="00837940" w:rsidRPr="00837940" w:rsidRDefault="00837940" w:rsidP="00837940">
      <w:pPr>
        <w:pStyle w:val="EndNoteBibliography"/>
        <w:spacing w:after="0"/>
      </w:pPr>
      <w:r w:rsidRPr="00837940">
        <w:t xml:space="preserve">Sobotka, T. and É. Beaujouan (2014). "Two Is Best? The Persistence of a Two-Child Family Ideal in Europe." </w:t>
      </w:r>
      <w:r w:rsidRPr="00837940">
        <w:rPr>
          <w:u w:val="single"/>
        </w:rPr>
        <w:t>Population and Development Review</w:t>
      </w:r>
      <w:r w:rsidRPr="00837940">
        <w:t xml:space="preserve"> </w:t>
      </w:r>
      <w:r w:rsidRPr="00837940">
        <w:rPr>
          <w:b/>
        </w:rPr>
        <w:t>40</w:t>
      </w:r>
      <w:r w:rsidRPr="00837940">
        <w:t>(3): 391-419.</w:t>
      </w:r>
    </w:p>
    <w:p w14:paraId="0EB9BCBF" w14:textId="77777777" w:rsidR="00837940" w:rsidRPr="00837940" w:rsidRDefault="00837940" w:rsidP="00837940">
      <w:pPr>
        <w:pStyle w:val="EndNoteBibliography"/>
        <w:spacing w:after="0"/>
      </w:pPr>
      <w:r w:rsidRPr="00837940">
        <w:t xml:space="preserve">Sobotka, T., E. Beaujouan and Z. Brzozowska (2017). Reversals, diminishing differentials, or stable patterns? Long-term trends in educational gradient in fertility across developed countries. </w:t>
      </w:r>
      <w:r w:rsidRPr="00837940">
        <w:rPr>
          <w:u w:val="single"/>
        </w:rPr>
        <w:t>International Population Conference (IUSSP)</w:t>
      </w:r>
      <w:r w:rsidRPr="00837940">
        <w:t>. Cape Town, South Africa.</w:t>
      </w:r>
    </w:p>
    <w:p w14:paraId="128C8CF7" w14:textId="77777777" w:rsidR="00837940" w:rsidRPr="00837940" w:rsidRDefault="00837940" w:rsidP="00837940">
      <w:pPr>
        <w:pStyle w:val="EndNoteBibliography"/>
        <w:spacing w:after="0"/>
      </w:pPr>
      <w:r w:rsidRPr="00837940">
        <w:t xml:space="preserve">Surkyn, J. and R. Lesthaeghe (2004). "Value Orientations and the Second Demographic Transition (SDT) in Northern, Western and Southern Europe: An Update." </w:t>
      </w:r>
      <w:r w:rsidRPr="00837940">
        <w:rPr>
          <w:u w:val="single"/>
        </w:rPr>
        <w:t>Demographic Research</w:t>
      </w:r>
      <w:r w:rsidRPr="00837940">
        <w:t xml:space="preserve"> </w:t>
      </w:r>
      <w:r w:rsidRPr="00837940">
        <w:rPr>
          <w:b/>
        </w:rPr>
        <w:t>S3</w:t>
      </w:r>
      <w:r w:rsidRPr="00837940">
        <w:t>: 45-86.</w:t>
      </w:r>
    </w:p>
    <w:p w14:paraId="74B59C18" w14:textId="77777777" w:rsidR="00837940" w:rsidRPr="00837940" w:rsidRDefault="00837940" w:rsidP="00837940">
      <w:pPr>
        <w:pStyle w:val="EndNoteBibliography"/>
        <w:spacing w:after="0"/>
      </w:pPr>
      <w:r w:rsidRPr="00837940">
        <w:t xml:space="preserve">Thomson, E., T. Lappegård, M. Carlson, A. Evans and E. Gray (2014). "Childbearing Across Partnerships in Australia, the United States, Norway, and Sweden." </w:t>
      </w:r>
      <w:r w:rsidRPr="00837940">
        <w:rPr>
          <w:u w:val="single"/>
        </w:rPr>
        <w:t>Demography</w:t>
      </w:r>
      <w:r w:rsidRPr="00837940">
        <w:t xml:space="preserve"> </w:t>
      </w:r>
      <w:r w:rsidRPr="00837940">
        <w:rPr>
          <w:b/>
        </w:rPr>
        <w:t>51</w:t>
      </w:r>
      <w:r w:rsidRPr="00837940">
        <w:t>(2): 485-508.</w:t>
      </w:r>
    </w:p>
    <w:p w14:paraId="7041691A" w14:textId="77777777" w:rsidR="00837940" w:rsidRPr="00837940" w:rsidRDefault="00837940" w:rsidP="00837940">
      <w:pPr>
        <w:pStyle w:val="EndNoteBibliography"/>
        <w:spacing w:after="0"/>
      </w:pPr>
      <w:r w:rsidRPr="00837940">
        <w:t xml:space="preserve">Timaeus, I. M. and T. A. Moultrie (2015). "Teenage Childbearing and Educational Attainment in South Africa." </w:t>
      </w:r>
      <w:r w:rsidRPr="00837940">
        <w:rPr>
          <w:u w:val="single"/>
        </w:rPr>
        <w:t>Stud Fam Plann</w:t>
      </w:r>
      <w:r w:rsidRPr="00837940">
        <w:t xml:space="preserve"> </w:t>
      </w:r>
      <w:r w:rsidRPr="00837940">
        <w:rPr>
          <w:b/>
        </w:rPr>
        <w:t>46</w:t>
      </w:r>
      <w:r w:rsidRPr="00837940">
        <w:t>(2): 143-160.</w:t>
      </w:r>
    </w:p>
    <w:p w14:paraId="3521EB55" w14:textId="77777777" w:rsidR="00837940" w:rsidRPr="00837940" w:rsidRDefault="00837940" w:rsidP="00837940">
      <w:pPr>
        <w:pStyle w:val="EndNoteBibliography"/>
        <w:spacing w:after="0"/>
      </w:pPr>
      <w:r w:rsidRPr="00837940">
        <w:t xml:space="preserve">Tocchioni, V., A. Berrington, D. Vignoli and A. Vitali (2021). "The Changing Association Between Homeownership and the Transition to Parenthood." </w:t>
      </w:r>
      <w:r w:rsidRPr="00837940">
        <w:rPr>
          <w:u w:val="single"/>
        </w:rPr>
        <w:t>Demography</w:t>
      </w:r>
      <w:r w:rsidRPr="00837940">
        <w:t xml:space="preserve"> </w:t>
      </w:r>
      <w:r w:rsidRPr="00837940">
        <w:rPr>
          <w:b/>
        </w:rPr>
        <w:t>58</w:t>
      </w:r>
      <w:r w:rsidRPr="00837940">
        <w:t>(5): 1843-1865.</w:t>
      </w:r>
    </w:p>
    <w:p w14:paraId="4B24AC14" w14:textId="77777777" w:rsidR="00837940" w:rsidRPr="00837940" w:rsidRDefault="00837940" w:rsidP="00837940">
      <w:pPr>
        <w:pStyle w:val="EndNoteBibliography"/>
        <w:spacing w:after="0"/>
      </w:pPr>
      <w:r w:rsidRPr="00837940">
        <w:t xml:space="preserve">Van Bavel, J., M. Klesment, E. Beaujouan, Z. Brzozowska, A. Puur, D. Reher, M. Requena, G. Sandström, T. Sobotka and K. Zeman (2018). "Seeding the gender revolution: Women's education and cohort fertility among the baby boom generations." </w:t>
      </w:r>
      <w:r w:rsidRPr="00837940">
        <w:rPr>
          <w:u w:val="single"/>
        </w:rPr>
        <w:t>Popul Stud (Camb)</w:t>
      </w:r>
      <w:r w:rsidRPr="00837940">
        <w:t xml:space="preserve"> </w:t>
      </w:r>
      <w:r w:rsidRPr="00837940">
        <w:rPr>
          <w:b/>
        </w:rPr>
        <w:t>72</w:t>
      </w:r>
      <w:r w:rsidRPr="00837940">
        <w:t>(3): 283-304.</w:t>
      </w:r>
    </w:p>
    <w:p w14:paraId="3447C139" w14:textId="77777777" w:rsidR="00837940" w:rsidRPr="00837940" w:rsidRDefault="00837940" w:rsidP="00837940">
      <w:pPr>
        <w:pStyle w:val="EndNoteBibliography"/>
        <w:spacing w:after="0"/>
      </w:pPr>
      <w:r w:rsidRPr="00837940">
        <w:t xml:space="preserve">Vasireddy, S., A. Berrington, B. Kuang and H. Kulu (2023). "Education and Fertility: A Review of Recent Research in Europe." </w:t>
      </w:r>
      <w:r w:rsidRPr="00837940">
        <w:rPr>
          <w:u w:val="single"/>
        </w:rPr>
        <w:t>Comparative Population Studies</w:t>
      </w:r>
      <w:r w:rsidRPr="00837940">
        <w:t xml:space="preserve"> </w:t>
      </w:r>
      <w:r w:rsidRPr="00837940">
        <w:rPr>
          <w:b/>
        </w:rPr>
        <w:t>48</w:t>
      </w:r>
      <w:r w:rsidRPr="00837940">
        <w:t>.</w:t>
      </w:r>
    </w:p>
    <w:p w14:paraId="13A33273" w14:textId="77777777" w:rsidR="00837940" w:rsidRPr="00837940" w:rsidRDefault="00837940" w:rsidP="00837940">
      <w:pPr>
        <w:pStyle w:val="EndNoteBibliography"/>
        <w:spacing w:after="0"/>
      </w:pPr>
      <w:r w:rsidRPr="00837940">
        <w:t xml:space="preserve">Vignoli, D., R. Guetto, G. Bazzani, E. Pirani and A. Minello (2020). "A reflection on economic uncertainty and fertility in Europe: The Narrative Framework." </w:t>
      </w:r>
      <w:r w:rsidRPr="00837940">
        <w:rPr>
          <w:u w:val="single"/>
        </w:rPr>
        <w:t>Genus</w:t>
      </w:r>
      <w:r w:rsidRPr="00837940">
        <w:t xml:space="preserve"> </w:t>
      </w:r>
      <w:r w:rsidRPr="00837940">
        <w:rPr>
          <w:b/>
        </w:rPr>
        <w:t>76</w:t>
      </w:r>
      <w:r w:rsidRPr="00837940">
        <w:t>(1): 28.</w:t>
      </w:r>
    </w:p>
    <w:p w14:paraId="1DB8AA8D" w14:textId="77777777" w:rsidR="00837940" w:rsidRPr="00837940" w:rsidRDefault="00837940" w:rsidP="00837940">
      <w:pPr>
        <w:pStyle w:val="EndNoteBibliography"/>
        <w:spacing w:after="0"/>
      </w:pPr>
      <w:r w:rsidRPr="00837940">
        <w:t xml:space="preserve">Walker, G. (2017) "The 1947 Education Act – a landmark in Northern Ireland’s history." </w:t>
      </w:r>
      <w:r w:rsidRPr="00837940">
        <w:rPr>
          <w:u w:val="single"/>
        </w:rPr>
        <w:t>Queen's Policy Engagement</w:t>
      </w:r>
      <w:r w:rsidRPr="00837940">
        <w:t>.</w:t>
      </w:r>
    </w:p>
    <w:p w14:paraId="5B4E64C4" w14:textId="77777777" w:rsidR="00837940" w:rsidRPr="00837940" w:rsidRDefault="00837940" w:rsidP="00837940">
      <w:pPr>
        <w:pStyle w:val="EndNoteBibliography"/>
        <w:spacing w:after="0"/>
      </w:pPr>
      <w:r w:rsidRPr="00837940">
        <w:t xml:space="preserve">Wellings, K., K. G. Jones, C. H. Mercer, C. Tanton, S. Clifton, J. Datta, A. J. Copas, B. Erens, L. J. Gibson, W. Macdowall, P. Sonnenberg, A. Phelps and A. M. Johnson (2013). "The prevalence of unplanned pregnancy and associated factors in Britain: findings from the third National Survey of Sexual Attitudes and Lifestyles (Natsal-3)." </w:t>
      </w:r>
      <w:r w:rsidRPr="00837940">
        <w:rPr>
          <w:u w:val="single"/>
        </w:rPr>
        <w:t>Lancet</w:t>
      </w:r>
      <w:r w:rsidRPr="00837940">
        <w:t xml:space="preserve"> </w:t>
      </w:r>
      <w:r w:rsidRPr="00837940">
        <w:rPr>
          <w:b/>
        </w:rPr>
        <w:t>382</w:t>
      </w:r>
      <w:r w:rsidRPr="00837940">
        <w:t>(9907): 1807-1816.</w:t>
      </w:r>
    </w:p>
    <w:p w14:paraId="6ADB3987" w14:textId="77777777" w:rsidR="00837940" w:rsidRPr="00837940" w:rsidRDefault="00837940" w:rsidP="00837940">
      <w:pPr>
        <w:pStyle w:val="EndNoteBibliography"/>
        <w:spacing w:after="0"/>
      </w:pPr>
      <w:r w:rsidRPr="00837940">
        <w:t xml:space="preserve">Wood, J., K. Neels and T. Kil (2014). "The educational gradient of childlessness and cohort parity progression in 14 low fertility countries." </w:t>
      </w:r>
      <w:r w:rsidRPr="00837940">
        <w:rPr>
          <w:u w:val="single"/>
        </w:rPr>
        <w:t>Demographic Research</w:t>
      </w:r>
      <w:r w:rsidRPr="00837940">
        <w:t xml:space="preserve"> </w:t>
      </w:r>
      <w:r w:rsidRPr="00837940">
        <w:rPr>
          <w:b/>
        </w:rPr>
        <w:t>31</w:t>
      </w:r>
      <w:r w:rsidRPr="00837940">
        <w:t>: 1365-1416.</w:t>
      </w:r>
    </w:p>
    <w:p w14:paraId="3C2A9AB5" w14:textId="77777777" w:rsidR="00837940" w:rsidRPr="00837940" w:rsidRDefault="00837940" w:rsidP="00837940">
      <w:pPr>
        <w:pStyle w:val="EndNoteBibliography"/>
        <w:spacing w:after="0"/>
      </w:pPr>
      <w:r w:rsidRPr="00837940">
        <w:t xml:space="preserve">Wright, R. E., J. F. Ermisch, P. R. Hinde and H. E. Joshi (1988). "The third birth in Great Britain." </w:t>
      </w:r>
      <w:r w:rsidRPr="00837940">
        <w:rPr>
          <w:u w:val="single"/>
        </w:rPr>
        <w:t>J Biosoc Sci</w:t>
      </w:r>
      <w:r w:rsidRPr="00837940">
        <w:t xml:space="preserve"> </w:t>
      </w:r>
      <w:r w:rsidRPr="00837940">
        <w:rPr>
          <w:b/>
        </w:rPr>
        <w:t>20</w:t>
      </w:r>
      <w:r w:rsidRPr="00837940">
        <w:t>(4): 489-496.</w:t>
      </w:r>
    </w:p>
    <w:p w14:paraId="068BA931" w14:textId="77777777" w:rsidR="00837940" w:rsidRPr="00837940" w:rsidRDefault="00837940" w:rsidP="00837940">
      <w:pPr>
        <w:pStyle w:val="EndNoteBibliography"/>
      </w:pPr>
      <w:r w:rsidRPr="00837940">
        <w:t xml:space="preserve">Zeman, K., T. Sobotka, E. Beaujouan and Z. Brzozowska (2018). "Cohort fertility decline in low fertility countries: Decomposition using parity progression ratios." </w:t>
      </w:r>
      <w:r w:rsidRPr="00837940">
        <w:rPr>
          <w:u w:val="single"/>
        </w:rPr>
        <w:t>Demographic Research</w:t>
      </w:r>
      <w:r w:rsidRPr="00837940">
        <w:t xml:space="preserve"> </w:t>
      </w:r>
      <w:r w:rsidRPr="00837940">
        <w:rPr>
          <w:b/>
        </w:rPr>
        <w:t>38</w:t>
      </w:r>
      <w:r w:rsidRPr="00837940">
        <w:t>(25): 651-690.</w:t>
      </w:r>
    </w:p>
    <w:p w14:paraId="683E1AEB" w14:textId="3FDF058F" w:rsidR="001B0248" w:rsidRDefault="003F0A78" w:rsidP="007F1DEC">
      <w:r>
        <w:rPr>
          <w:lang w:val="en-GB"/>
        </w:rPr>
        <w:fldChar w:fldCharType="end"/>
      </w:r>
    </w:p>
    <w:p w14:paraId="0F5FC610" w14:textId="78221F09" w:rsidR="001B0248" w:rsidRDefault="001B0248" w:rsidP="00E43CA9">
      <w:pPr>
        <w:pStyle w:val="Heading2"/>
      </w:pPr>
      <w:r>
        <w:t>Appendix</w:t>
      </w:r>
    </w:p>
    <w:p w14:paraId="3E00DFC7" w14:textId="4AD483CA" w:rsidR="000673AC" w:rsidRDefault="00C23FE0" w:rsidP="000673AC">
      <w:pPr>
        <w:pStyle w:val="Heading3"/>
      </w:pPr>
      <w:r>
        <w:t xml:space="preserve">Appendix 1. </w:t>
      </w:r>
      <w:r w:rsidR="00E2315D">
        <w:t xml:space="preserve"> </w:t>
      </w:r>
      <w:r w:rsidR="000673AC">
        <w:t>Education variable construction</w:t>
      </w:r>
    </w:p>
    <w:p w14:paraId="7E7068A2" w14:textId="0217BBF1" w:rsidR="00C23FE0" w:rsidRDefault="00C23FE0" w:rsidP="000673AC">
      <w:r>
        <w:t>Educational attainment variable</w:t>
      </w:r>
      <w:r w:rsidR="00BC1B51">
        <w:t>, based on 2011 census</w:t>
      </w:r>
    </w:p>
    <w:p w14:paraId="37547A47" w14:textId="4EB6750F" w:rsidR="00D32653" w:rsidRDefault="000E5ED7" w:rsidP="00C23FE0">
      <w:pPr>
        <w:rPr>
          <w:lang w:val="en-GB"/>
        </w:rPr>
      </w:pPr>
      <w:r w:rsidRPr="000E5ED7">
        <w:rPr>
          <w:noProof/>
        </w:rPr>
        <w:drawing>
          <wp:inline distT="0" distB="0" distL="0" distR="0" wp14:anchorId="20A89EC0" wp14:editId="744FC5C0">
            <wp:extent cx="6365999" cy="3572713"/>
            <wp:effectExtent l="19050" t="19050" r="1587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7831" cy="3573741"/>
                    </a:xfrm>
                    <a:prstGeom prst="rect">
                      <a:avLst/>
                    </a:prstGeom>
                    <a:noFill/>
                    <a:ln w="3175">
                      <a:solidFill>
                        <a:schemeClr val="tx1"/>
                      </a:solidFill>
                    </a:ln>
                  </pic:spPr>
                </pic:pic>
              </a:graphicData>
            </a:graphic>
          </wp:inline>
        </w:drawing>
      </w:r>
    </w:p>
    <w:p w14:paraId="24CD5998" w14:textId="4F6EED9C" w:rsidR="000E5ED7" w:rsidRDefault="00A51A24" w:rsidP="000E5ED7">
      <w:pPr>
        <w:rPr>
          <w:lang w:val="en-GB"/>
        </w:rPr>
      </w:pPr>
      <w:r>
        <w:rPr>
          <w:lang w:val="en-GB"/>
        </w:rPr>
        <w:br/>
      </w:r>
      <w:r w:rsidR="000E5ED7">
        <w:rPr>
          <w:lang w:val="en-GB"/>
        </w:rPr>
        <w:t>Educational attainment variable, based on 2001 census</w:t>
      </w:r>
    </w:p>
    <w:p w14:paraId="354C1392" w14:textId="3C6A7CA4" w:rsidR="000E5ED7" w:rsidRDefault="00E2315D" w:rsidP="000E5ED7">
      <w:pPr>
        <w:rPr>
          <w:lang w:val="en-GB"/>
        </w:rPr>
      </w:pPr>
      <w:r w:rsidRPr="00E2315D">
        <w:rPr>
          <w:noProof/>
        </w:rPr>
        <w:drawing>
          <wp:inline distT="0" distB="0" distL="0" distR="0" wp14:anchorId="2DF47755" wp14:editId="3EF6ABDE">
            <wp:extent cx="6441852" cy="2070202"/>
            <wp:effectExtent l="19050" t="19050" r="1651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3740" cy="2080450"/>
                    </a:xfrm>
                    <a:prstGeom prst="rect">
                      <a:avLst/>
                    </a:prstGeom>
                    <a:noFill/>
                    <a:ln w="3175">
                      <a:solidFill>
                        <a:schemeClr val="tx1"/>
                      </a:solidFill>
                    </a:ln>
                  </pic:spPr>
                </pic:pic>
              </a:graphicData>
            </a:graphic>
          </wp:inline>
        </w:drawing>
      </w:r>
    </w:p>
    <w:p w14:paraId="1236969C" w14:textId="083A58AC" w:rsidR="00C23FE0" w:rsidRDefault="00C23FE0" w:rsidP="00837940">
      <w:pPr>
        <w:pStyle w:val="Heading3"/>
      </w:pPr>
      <w:r>
        <w:t xml:space="preserve">Appendix 2. </w:t>
      </w:r>
      <w:r w:rsidR="007675FC">
        <w:t>Average family size</w:t>
      </w:r>
      <w:r w:rsidR="00B3571B">
        <w:t xml:space="preserve">, by educational attainment and birth cohort </w:t>
      </w:r>
    </w:p>
    <w:p w14:paraId="11AA4FAE" w14:textId="4CA8F4CE" w:rsidR="00E846E0" w:rsidRDefault="00B3571B" w:rsidP="00E846E0">
      <w:pPr>
        <w:pStyle w:val="Heading4"/>
      </w:pPr>
      <w:r>
        <w:t xml:space="preserve">England and Wales </w:t>
      </w:r>
    </w:p>
    <w:tbl>
      <w:tblPr>
        <w:tblW w:w="8971" w:type="dxa"/>
        <w:tblLayout w:type="fixed"/>
        <w:tblLook w:val="04A0" w:firstRow="1" w:lastRow="0" w:firstColumn="1" w:lastColumn="0" w:noHBand="0" w:noVBand="1"/>
      </w:tblPr>
      <w:tblGrid>
        <w:gridCol w:w="2830"/>
        <w:gridCol w:w="1228"/>
        <w:gridCol w:w="1228"/>
        <w:gridCol w:w="1228"/>
        <w:gridCol w:w="1228"/>
        <w:gridCol w:w="1229"/>
      </w:tblGrid>
      <w:tr w:rsidR="00B3571B" w:rsidRPr="00B3571B" w14:paraId="15FB1496" w14:textId="77777777" w:rsidTr="00047E64">
        <w:trPr>
          <w:trHeight w:val="328"/>
        </w:trPr>
        <w:tc>
          <w:tcPr>
            <w:tcW w:w="2830" w:type="dxa"/>
            <w:tcBorders>
              <w:top w:val="single" w:sz="4" w:space="0" w:color="auto"/>
              <w:left w:val="single" w:sz="4" w:space="0" w:color="auto"/>
              <w:bottom w:val="nil"/>
              <w:right w:val="nil"/>
            </w:tcBorders>
            <w:shd w:val="clear" w:color="auto" w:fill="auto"/>
            <w:noWrap/>
            <w:vAlign w:val="bottom"/>
            <w:hideMark/>
          </w:tcPr>
          <w:p w14:paraId="3CE330C4"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 </w:t>
            </w:r>
          </w:p>
        </w:tc>
        <w:tc>
          <w:tcPr>
            <w:tcW w:w="6141" w:type="dxa"/>
            <w:gridSpan w:val="5"/>
            <w:tcBorders>
              <w:top w:val="single" w:sz="4" w:space="0" w:color="auto"/>
              <w:left w:val="nil"/>
              <w:bottom w:val="nil"/>
              <w:right w:val="single" w:sz="4" w:space="0" w:color="000000"/>
            </w:tcBorders>
            <w:shd w:val="clear" w:color="auto" w:fill="auto"/>
            <w:noWrap/>
            <w:vAlign w:val="center"/>
            <w:hideMark/>
          </w:tcPr>
          <w:p w14:paraId="72D2A46E" w14:textId="77777777" w:rsidR="00B3571B" w:rsidRPr="00B3571B" w:rsidRDefault="00B3571B" w:rsidP="00B3571B">
            <w:pPr>
              <w:spacing w:after="0" w:line="240" w:lineRule="auto"/>
              <w:jc w:val="center"/>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Birth cohort</w:t>
            </w:r>
          </w:p>
        </w:tc>
      </w:tr>
      <w:tr w:rsidR="00047E64" w:rsidRPr="00B3571B" w14:paraId="334BD1C6" w14:textId="77777777" w:rsidTr="00047E64">
        <w:trPr>
          <w:trHeight w:val="328"/>
        </w:trPr>
        <w:tc>
          <w:tcPr>
            <w:tcW w:w="2830" w:type="dxa"/>
            <w:tcBorders>
              <w:top w:val="nil"/>
              <w:left w:val="single" w:sz="4" w:space="0" w:color="auto"/>
              <w:bottom w:val="nil"/>
              <w:right w:val="nil"/>
            </w:tcBorders>
            <w:shd w:val="clear" w:color="auto" w:fill="auto"/>
            <w:noWrap/>
            <w:vAlign w:val="bottom"/>
            <w:hideMark/>
          </w:tcPr>
          <w:p w14:paraId="5C518573"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All women</w:t>
            </w:r>
          </w:p>
        </w:tc>
        <w:tc>
          <w:tcPr>
            <w:tcW w:w="1228" w:type="dxa"/>
            <w:tcBorders>
              <w:top w:val="nil"/>
              <w:left w:val="nil"/>
              <w:bottom w:val="nil"/>
              <w:right w:val="nil"/>
            </w:tcBorders>
            <w:shd w:val="clear" w:color="auto" w:fill="auto"/>
            <w:noWrap/>
            <w:vAlign w:val="center"/>
            <w:hideMark/>
          </w:tcPr>
          <w:p w14:paraId="3E796724"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1956-59</w:t>
            </w:r>
          </w:p>
        </w:tc>
        <w:tc>
          <w:tcPr>
            <w:tcW w:w="1228" w:type="dxa"/>
            <w:tcBorders>
              <w:top w:val="nil"/>
              <w:left w:val="nil"/>
              <w:bottom w:val="nil"/>
              <w:right w:val="nil"/>
            </w:tcBorders>
            <w:shd w:val="clear" w:color="auto" w:fill="auto"/>
            <w:noWrap/>
            <w:vAlign w:val="center"/>
            <w:hideMark/>
          </w:tcPr>
          <w:p w14:paraId="5276AC2A"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1960-64</w:t>
            </w:r>
          </w:p>
        </w:tc>
        <w:tc>
          <w:tcPr>
            <w:tcW w:w="1228" w:type="dxa"/>
            <w:tcBorders>
              <w:top w:val="nil"/>
              <w:left w:val="nil"/>
              <w:bottom w:val="nil"/>
              <w:right w:val="nil"/>
            </w:tcBorders>
            <w:shd w:val="clear" w:color="auto" w:fill="auto"/>
            <w:noWrap/>
            <w:vAlign w:val="center"/>
            <w:hideMark/>
          </w:tcPr>
          <w:p w14:paraId="2DB7AA2A"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1965-69</w:t>
            </w:r>
          </w:p>
        </w:tc>
        <w:tc>
          <w:tcPr>
            <w:tcW w:w="1228" w:type="dxa"/>
            <w:tcBorders>
              <w:top w:val="nil"/>
              <w:left w:val="nil"/>
              <w:bottom w:val="nil"/>
              <w:right w:val="nil"/>
            </w:tcBorders>
            <w:shd w:val="clear" w:color="auto" w:fill="auto"/>
            <w:noWrap/>
            <w:vAlign w:val="center"/>
            <w:hideMark/>
          </w:tcPr>
          <w:p w14:paraId="7A07DE1A"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1970-74</w:t>
            </w:r>
          </w:p>
        </w:tc>
        <w:tc>
          <w:tcPr>
            <w:tcW w:w="1229" w:type="dxa"/>
            <w:tcBorders>
              <w:top w:val="nil"/>
              <w:left w:val="nil"/>
              <w:bottom w:val="nil"/>
              <w:right w:val="single" w:sz="4" w:space="0" w:color="auto"/>
            </w:tcBorders>
            <w:shd w:val="clear" w:color="auto" w:fill="auto"/>
            <w:noWrap/>
            <w:vAlign w:val="center"/>
            <w:hideMark/>
          </w:tcPr>
          <w:p w14:paraId="1AE08B47"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1975-78</w:t>
            </w:r>
          </w:p>
        </w:tc>
      </w:tr>
      <w:tr w:rsidR="00047E64" w:rsidRPr="00B3571B" w14:paraId="1808AC41" w14:textId="77777777" w:rsidTr="00047E64">
        <w:trPr>
          <w:trHeight w:val="328"/>
        </w:trPr>
        <w:tc>
          <w:tcPr>
            <w:tcW w:w="2830" w:type="dxa"/>
            <w:tcBorders>
              <w:top w:val="nil"/>
              <w:left w:val="single" w:sz="4" w:space="0" w:color="auto"/>
              <w:bottom w:val="nil"/>
              <w:right w:val="nil"/>
            </w:tcBorders>
            <w:shd w:val="clear" w:color="auto" w:fill="auto"/>
            <w:noWrap/>
            <w:vAlign w:val="center"/>
            <w:hideMark/>
          </w:tcPr>
          <w:p w14:paraId="7EBB6E7F"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Low</w:t>
            </w:r>
          </w:p>
        </w:tc>
        <w:tc>
          <w:tcPr>
            <w:tcW w:w="1228" w:type="dxa"/>
            <w:tcBorders>
              <w:top w:val="nil"/>
              <w:left w:val="nil"/>
              <w:bottom w:val="nil"/>
              <w:right w:val="nil"/>
            </w:tcBorders>
            <w:shd w:val="clear" w:color="auto" w:fill="auto"/>
            <w:noWrap/>
            <w:vAlign w:val="center"/>
            <w:hideMark/>
          </w:tcPr>
          <w:p w14:paraId="778AE89B"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1.91</w:t>
            </w:r>
          </w:p>
        </w:tc>
        <w:tc>
          <w:tcPr>
            <w:tcW w:w="1228" w:type="dxa"/>
            <w:tcBorders>
              <w:top w:val="nil"/>
              <w:left w:val="nil"/>
              <w:bottom w:val="nil"/>
              <w:right w:val="nil"/>
            </w:tcBorders>
            <w:shd w:val="clear" w:color="auto" w:fill="auto"/>
            <w:noWrap/>
            <w:vAlign w:val="center"/>
            <w:hideMark/>
          </w:tcPr>
          <w:p w14:paraId="270A86DC"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1.85</w:t>
            </w:r>
          </w:p>
        </w:tc>
        <w:tc>
          <w:tcPr>
            <w:tcW w:w="1228" w:type="dxa"/>
            <w:tcBorders>
              <w:top w:val="nil"/>
              <w:left w:val="nil"/>
              <w:bottom w:val="nil"/>
              <w:right w:val="nil"/>
            </w:tcBorders>
            <w:shd w:val="clear" w:color="auto" w:fill="auto"/>
            <w:noWrap/>
            <w:vAlign w:val="center"/>
            <w:hideMark/>
          </w:tcPr>
          <w:p w14:paraId="59E465D6"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1.86</w:t>
            </w:r>
          </w:p>
        </w:tc>
        <w:tc>
          <w:tcPr>
            <w:tcW w:w="1228" w:type="dxa"/>
            <w:tcBorders>
              <w:top w:val="nil"/>
              <w:left w:val="nil"/>
              <w:bottom w:val="nil"/>
              <w:right w:val="nil"/>
            </w:tcBorders>
            <w:shd w:val="clear" w:color="auto" w:fill="auto"/>
            <w:noWrap/>
            <w:vAlign w:val="center"/>
            <w:hideMark/>
          </w:tcPr>
          <w:p w14:paraId="2A239A43"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1.87</w:t>
            </w:r>
          </w:p>
        </w:tc>
        <w:tc>
          <w:tcPr>
            <w:tcW w:w="1229" w:type="dxa"/>
            <w:tcBorders>
              <w:top w:val="nil"/>
              <w:left w:val="nil"/>
              <w:bottom w:val="nil"/>
              <w:right w:val="single" w:sz="4" w:space="0" w:color="auto"/>
            </w:tcBorders>
            <w:shd w:val="clear" w:color="auto" w:fill="auto"/>
            <w:noWrap/>
            <w:vAlign w:val="center"/>
            <w:hideMark/>
          </w:tcPr>
          <w:p w14:paraId="32E1B5D0"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2.03</w:t>
            </w:r>
          </w:p>
        </w:tc>
      </w:tr>
      <w:tr w:rsidR="00047E64" w:rsidRPr="00B3571B" w14:paraId="66037EB1" w14:textId="77777777" w:rsidTr="00047E64">
        <w:trPr>
          <w:trHeight w:val="328"/>
        </w:trPr>
        <w:tc>
          <w:tcPr>
            <w:tcW w:w="2830" w:type="dxa"/>
            <w:tcBorders>
              <w:top w:val="nil"/>
              <w:left w:val="single" w:sz="4" w:space="0" w:color="auto"/>
              <w:bottom w:val="nil"/>
              <w:right w:val="nil"/>
            </w:tcBorders>
            <w:shd w:val="clear" w:color="auto" w:fill="auto"/>
            <w:noWrap/>
            <w:vAlign w:val="center"/>
            <w:hideMark/>
          </w:tcPr>
          <w:p w14:paraId="1FC4FC3A"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Medium</w:t>
            </w:r>
          </w:p>
        </w:tc>
        <w:tc>
          <w:tcPr>
            <w:tcW w:w="1228" w:type="dxa"/>
            <w:tcBorders>
              <w:top w:val="nil"/>
              <w:left w:val="nil"/>
              <w:bottom w:val="nil"/>
              <w:right w:val="nil"/>
            </w:tcBorders>
            <w:shd w:val="clear" w:color="auto" w:fill="auto"/>
            <w:noWrap/>
            <w:vAlign w:val="center"/>
            <w:hideMark/>
          </w:tcPr>
          <w:p w14:paraId="630D02E7"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1.78</w:t>
            </w:r>
          </w:p>
        </w:tc>
        <w:tc>
          <w:tcPr>
            <w:tcW w:w="1228" w:type="dxa"/>
            <w:tcBorders>
              <w:top w:val="nil"/>
              <w:left w:val="nil"/>
              <w:bottom w:val="nil"/>
              <w:right w:val="nil"/>
            </w:tcBorders>
            <w:shd w:val="clear" w:color="auto" w:fill="auto"/>
            <w:noWrap/>
            <w:vAlign w:val="center"/>
            <w:hideMark/>
          </w:tcPr>
          <w:p w14:paraId="05353CDA"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1.63</w:t>
            </w:r>
          </w:p>
        </w:tc>
        <w:tc>
          <w:tcPr>
            <w:tcW w:w="1228" w:type="dxa"/>
            <w:tcBorders>
              <w:top w:val="nil"/>
              <w:left w:val="nil"/>
              <w:bottom w:val="nil"/>
              <w:right w:val="nil"/>
            </w:tcBorders>
            <w:shd w:val="clear" w:color="auto" w:fill="auto"/>
            <w:noWrap/>
            <w:vAlign w:val="center"/>
            <w:hideMark/>
          </w:tcPr>
          <w:p w14:paraId="666C1E02"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1.60</w:t>
            </w:r>
          </w:p>
        </w:tc>
        <w:tc>
          <w:tcPr>
            <w:tcW w:w="1228" w:type="dxa"/>
            <w:tcBorders>
              <w:top w:val="nil"/>
              <w:left w:val="nil"/>
              <w:bottom w:val="nil"/>
              <w:right w:val="nil"/>
            </w:tcBorders>
            <w:shd w:val="clear" w:color="auto" w:fill="auto"/>
            <w:noWrap/>
            <w:vAlign w:val="center"/>
            <w:hideMark/>
          </w:tcPr>
          <w:p w14:paraId="5CC81003"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1.68</w:t>
            </w:r>
          </w:p>
        </w:tc>
        <w:tc>
          <w:tcPr>
            <w:tcW w:w="1229" w:type="dxa"/>
            <w:tcBorders>
              <w:top w:val="nil"/>
              <w:left w:val="nil"/>
              <w:bottom w:val="nil"/>
              <w:right w:val="single" w:sz="4" w:space="0" w:color="auto"/>
            </w:tcBorders>
            <w:shd w:val="clear" w:color="auto" w:fill="auto"/>
            <w:noWrap/>
            <w:vAlign w:val="center"/>
            <w:hideMark/>
          </w:tcPr>
          <w:p w14:paraId="021B2267"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1.69</w:t>
            </w:r>
          </w:p>
        </w:tc>
      </w:tr>
      <w:tr w:rsidR="00047E64" w:rsidRPr="00B3571B" w14:paraId="6E658360" w14:textId="77777777" w:rsidTr="00047E64">
        <w:trPr>
          <w:trHeight w:val="328"/>
        </w:trPr>
        <w:tc>
          <w:tcPr>
            <w:tcW w:w="2830" w:type="dxa"/>
            <w:tcBorders>
              <w:top w:val="nil"/>
              <w:left w:val="single" w:sz="4" w:space="0" w:color="auto"/>
              <w:bottom w:val="nil"/>
              <w:right w:val="nil"/>
            </w:tcBorders>
            <w:shd w:val="clear" w:color="auto" w:fill="auto"/>
            <w:noWrap/>
            <w:vAlign w:val="center"/>
            <w:hideMark/>
          </w:tcPr>
          <w:p w14:paraId="2F202BC3"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High</w:t>
            </w:r>
          </w:p>
        </w:tc>
        <w:tc>
          <w:tcPr>
            <w:tcW w:w="1228" w:type="dxa"/>
            <w:tcBorders>
              <w:top w:val="nil"/>
              <w:left w:val="nil"/>
              <w:bottom w:val="nil"/>
              <w:right w:val="nil"/>
            </w:tcBorders>
            <w:shd w:val="clear" w:color="auto" w:fill="auto"/>
            <w:noWrap/>
            <w:vAlign w:val="center"/>
            <w:hideMark/>
          </w:tcPr>
          <w:p w14:paraId="003BB20F"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1.65</w:t>
            </w:r>
          </w:p>
        </w:tc>
        <w:tc>
          <w:tcPr>
            <w:tcW w:w="1228" w:type="dxa"/>
            <w:tcBorders>
              <w:top w:val="nil"/>
              <w:left w:val="nil"/>
              <w:bottom w:val="nil"/>
              <w:right w:val="nil"/>
            </w:tcBorders>
            <w:shd w:val="clear" w:color="auto" w:fill="auto"/>
            <w:noWrap/>
            <w:vAlign w:val="center"/>
            <w:hideMark/>
          </w:tcPr>
          <w:p w14:paraId="0D2A913D"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1.53</w:t>
            </w:r>
          </w:p>
        </w:tc>
        <w:tc>
          <w:tcPr>
            <w:tcW w:w="1228" w:type="dxa"/>
            <w:tcBorders>
              <w:top w:val="nil"/>
              <w:left w:val="nil"/>
              <w:bottom w:val="nil"/>
              <w:right w:val="nil"/>
            </w:tcBorders>
            <w:shd w:val="clear" w:color="auto" w:fill="auto"/>
            <w:noWrap/>
            <w:vAlign w:val="center"/>
            <w:hideMark/>
          </w:tcPr>
          <w:p w14:paraId="351295F2"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1.42</w:t>
            </w:r>
          </w:p>
        </w:tc>
        <w:tc>
          <w:tcPr>
            <w:tcW w:w="1228" w:type="dxa"/>
            <w:tcBorders>
              <w:top w:val="nil"/>
              <w:left w:val="nil"/>
              <w:bottom w:val="nil"/>
              <w:right w:val="nil"/>
            </w:tcBorders>
            <w:shd w:val="clear" w:color="auto" w:fill="auto"/>
            <w:noWrap/>
            <w:vAlign w:val="center"/>
            <w:hideMark/>
          </w:tcPr>
          <w:p w14:paraId="250F4364"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1.43</w:t>
            </w:r>
          </w:p>
        </w:tc>
        <w:tc>
          <w:tcPr>
            <w:tcW w:w="1229" w:type="dxa"/>
            <w:tcBorders>
              <w:top w:val="nil"/>
              <w:left w:val="nil"/>
              <w:bottom w:val="nil"/>
              <w:right w:val="single" w:sz="4" w:space="0" w:color="auto"/>
            </w:tcBorders>
            <w:shd w:val="clear" w:color="auto" w:fill="auto"/>
            <w:noWrap/>
            <w:vAlign w:val="center"/>
            <w:hideMark/>
          </w:tcPr>
          <w:p w14:paraId="55991FCB"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1.47</w:t>
            </w:r>
          </w:p>
        </w:tc>
      </w:tr>
      <w:tr w:rsidR="00047E64" w:rsidRPr="00B3571B" w14:paraId="40EB5F4A" w14:textId="77777777" w:rsidTr="00047E64">
        <w:trPr>
          <w:trHeight w:val="328"/>
        </w:trPr>
        <w:tc>
          <w:tcPr>
            <w:tcW w:w="2830" w:type="dxa"/>
            <w:tcBorders>
              <w:top w:val="nil"/>
              <w:left w:val="single" w:sz="4" w:space="0" w:color="auto"/>
              <w:bottom w:val="nil"/>
              <w:right w:val="nil"/>
            </w:tcBorders>
            <w:shd w:val="clear" w:color="auto" w:fill="auto"/>
            <w:noWrap/>
            <w:vAlign w:val="center"/>
            <w:hideMark/>
          </w:tcPr>
          <w:p w14:paraId="476DED1D"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All</w:t>
            </w:r>
          </w:p>
        </w:tc>
        <w:tc>
          <w:tcPr>
            <w:tcW w:w="1228" w:type="dxa"/>
            <w:tcBorders>
              <w:top w:val="nil"/>
              <w:left w:val="nil"/>
              <w:bottom w:val="nil"/>
              <w:right w:val="nil"/>
            </w:tcBorders>
            <w:shd w:val="clear" w:color="auto" w:fill="auto"/>
            <w:noWrap/>
            <w:vAlign w:val="center"/>
            <w:hideMark/>
          </w:tcPr>
          <w:p w14:paraId="5F2E5976"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1.83</w:t>
            </w:r>
          </w:p>
        </w:tc>
        <w:tc>
          <w:tcPr>
            <w:tcW w:w="1228" w:type="dxa"/>
            <w:tcBorders>
              <w:top w:val="nil"/>
              <w:left w:val="nil"/>
              <w:bottom w:val="nil"/>
              <w:right w:val="nil"/>
            </w:tcBorders>
            <w:shd w:val="clear" w:color="auto" w:fill="auto"/>
            <w:noWrap/>
            <w:vAlign w:val="center"/>
            <w:hideMark/>
          </w:tcPr>
          <w:p w14:paraId="102ADB3D"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1.75</w:t>
            </w:r>
          </w:p>
        </w:tc>
        <w:tc>
          <w:tcPr>
            <w:tcW w:w="1228" w:type="dxa"/>
            <w:tcBorders>
              <w:top w:val="nil"/>
              <w:left w:val="nil"/>
              <w:bottom w:val="nil"/>
              <w:right w:val="nil"/>
            </w:tcBorders>
            <w:shd w:val="clear" w:color="auto" w:fill="auto"/>
            <w:noWrap/>
            <w:vAlign w:val="center"/>
            <w:hideMark/>
          </w:tcPr>
          <w:p w14:paraId="57295EB1"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1.73</w:t>
            </w:r>
          </w:p>
        </w:tc>
        <w:tc>
          <w:tcPr>
            <w:tcW w:w="1228" w:type="dxa"/>
            <w:tcBorders>
              <w:top w:val="nil"/>
              <w:left w:val="nil"/>
              <w:bottom w:val="nil"/>
              <w:right w:val="nil"/>
            </w:tcBorders>
            <w:shd w:val="clear" w:color="auto" w:fill="auto"/>
            <w:noWrap/>
            <w:vAlign w:val="center"/>
            <w:hideMark/>
          </w:tcPr>
          <w:p w14:paraId="69229A98"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1.68</w:t>
            </w:r>
          </w:p>
        </w:tc>
        <w:tc>
          <w:tcPr>
            <w:tcW w:w="1229" w:type="dxa"/>
            <w:tcBorders>
              <w:top w:val="nil"/>
              <w:left w:val="nil"/>
              <w:bottom w:val="nil"/>
              <w:right w:val="single" w:sz="4" w:space="0" w:color="auto"/>
            </w:tcBorders>
            <w:shd w:val="clear" w:color="auto" w:fill="auto"/>
            <w:noWrap/>
            <w:vAlign w:val="center"/>
            <w:hideMark/>
          </w:tcPr>
          <w:p w14:paraId="6F91A171"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1.71</w:t>
            </w:r>
          </w:p>
        </w:tc>
      </w:tr>
      <w:tr w:rsidR="00047E64" w:rsidRPr="00B3571B" w14:paraId="19B9C25A" w14:textId="77777777" w:rsidTr="00047E64">
        <w:trPr>
          <w:trHeight w:val="328"/>
        </w:trPr>
        <w:tc>
          <w:tcPr>
            <w:tcW w:w="2830" w:type="dxa"/>
            <w:tcBorders>
              <w:top w:val="nil"/>
              <w:left w:val="single" w:sz="4" w:space="0" w:color="auto"/>
              <w:bottom w:val="nil"/>
              <w:right w:val="nil"/>
            </w:tcBorders>
            <w:shd w:val="clear" w:color="auto" w:fill="auto"/>
            <w:noWrap/>
            <w:vAlign w:val="bottom"/>
            <w:hideMark/>
          </w:tcPr>
          <w:p w14:paraId="20B381D0"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 </w:t>
            </w:r>
          </w:p>
        </w:tc>
        <w:tc>
          <w:tcPr>
            <w:tcW w:w="1228" w:type="dxa"/>
            <w:tcBorders>
              <w:top w:val="nil"/>
              <w:left w:val="nil"/>
              <w:bottom w:val="nil"/>
              <w:right w:val="nil"/>
            </w:tcBorders>
            <w:shd w:val="clear" w:color="auto" w:fill="auto"/>
            <w:noWrap/>
            <w:vAlign w:val="bottom"/>
            <w:hideMark/>
          </w:tcPr>
          <w:p w14:paraId="2187B991"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p>
        </w:tc>
        <w:tc>
          <w:tcPr>
            <w:tcW w:w="1228" w:type="dxa"/>
            <w:tcBorders>
              <w:top w:val="nil"/>
              <w:left w:val="nil"/>
              <w:bottom w:val="nil"/>
              <w:right w:val="nil"/>
            </w:tcBorders>
            <w:shd w:val="clear" w:color="auto" w:fill="auto"/>
            <w:noWrap/>
            <w:vAlign w:val="bottom"/>
            <w:hideMark/>
          </w:tcPr>
          <w:p w14:paraId="6EE6C192" w14:textId="77777777" w:rsidR="00B3571B" w:rsidRPr="00B3571B" w:rsidRDefault="00B3571B" w:rsidP="00B3571B">
            <w:pPr>
              <w:spacing w:after="0" w:line="240" w:lineRule="auto"/>
              <w:rPr>
                <w:rFonts w:ascii="Times New Roman" w:eastAsia="Times New Roman" w:hAnsi="Times New Roman" w:cs="Times New Roman"/>
                <w:szCs w:val="24"/>
                <w:lang w:val="en-GB" w:eastAsia="en-GB"/>
              </w:rPr>
            </w:pPr>
          </w:p>
        </w:tc>
        <w:tc>
          <w:tcPr>
            <w:tcW w:w="1228" w:type="dxa"/>
            <w:tcBorders>
              <w:top w:val="nil"/>
              <w:left w:val="nil"/>
              <w:bottom w:val="nil"/>
              <w:right w:val="nil"/>
            </w:tcBorders>
            <w:shd w:val="clear" w:color="auto" w:fill="auto"/>
            <w:noWrap/>
            <w:vAlign w:val="bottom"/>
            <w:hideMark/>
          </w:tcPr>
          <w:p w14:paraId="259CEC56" w14:textId="77777777" w:rsidR="00B3571B" w:rsidRPr="00B3571B" w:rsidRDefault="00B3571B" w:rsidP="00B3571B">
            <w:pPr>
              <w:spacing w:after="0" w:line="240" w:lineRule="auto"/>
              <w:rPr>
                <w:rFonts w:ascii="Times New Roman" w:eastAsia="Times New Roman" w:hAnsi="Times New Roman" w:cs="Times New Roman"/>
                <w:szCs w:val="24"/>
                <w:lang w:val="en-GB" w:eastAsia="en-GB"/>
              </w:rPr>
            </w:pPr>
          </w:p>
        </w:tc>
        <w:tc>
          <w:tcPr>
            <w:tcW w:w="1228" w:type="dxa"/>
            <w:tcBorders>
              <w:top w:val="nil"/>
              <w:left w:val="nil"/>
              <w:bottom w:val="nil"/>
              <w:right w:val="nil"/>
            </w:tcBorders>
            <w:shd w:val="clear" w:color="auto" w:fill="auto"/>
            <w:noWrap/>
            <w:vAlign w:val="bottom"/>
            <w:hideMark/>
          </w:tcPr>
          <w:p w14:paraId="1023611B" w14:textId="77777777" w:rsidR="00B3571B" w:rsidRPr="00B3571B" w:rsidRDefault="00B3571B" w:rsidP="00B3571B">
            <w:pPr>
              <w:spacing w:after="0" w:line="240" w:lineRule="auto"/>
              <w:rPr>
                <w:rFonts w:ascii="Times New Roman" w:eastAsia="Times New Roman" w:hAnsi="Times New Roman" w:cs="Times New Roman"/>
                <w:szCs w:val="24"/>
                <w:lang w:val="en-GB" w:eastAsia="en-GB"/>
              </w:rPr>
            </w:pPr>
          </w:p>
        </w:tc>
        <w:tc>
          <w:tcPr>
            <w:tcW w:w="1229" w:type="dxa"/>
            <w:tcBorders>
              <w:top w:val="nil"/>
              <w:left w:val="nil"/>
              <w:bottom w:val="nil"/>
              <w:right w:val="single" w:sz="4" w:space="0" w:color="auto"/>
            </w:tcBorders>
            <w:shd w:val="clear" w:color="auto" w:fill="auto"/>
            <w:noWrap/>
            <w:vAlign w:val="bottom"/>
            <w:hideMark/>
          </w:tcPr>
          <w:p w14:paraId="385115B0"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 </w:t>
            </w:r>
          </w:p>
        </w:tc>
      </w:tr>
      <w:tr w:rsidR="00047E64" w:rsidRPr="00B3571B" w14:paraId="721B5E18" w14:textId="77777777" w:rsidTr="00047E64">
        <w:trPr>
          <w:trHeight w:val="328"/>
        </w:trPr>
        <w:tc>
          <w:tcPr>
            <w:tcW w:w="2830" w:type="dxa"/>
            <w:tcBorders>
              <w:top w:val="nil"/>
              <w:left w:val="single" w:sz="4" w:space="0" w:color="auto"/>
              <w:bottom w:val="nil"/>
              <w:right w:val="nil"/>
            </w:tcBorders>
            <w:shd w:val="clear" w:color="auto" w:fill="auto"/>
            <w:noWrap/>
            <w:vAlign w:val="center"/>
            <w:hideMark/>
          </w:tcPr>
          <w:p w14:paraId="0661C021" w14:textId="74EC4033"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Excluding childless</w:t>
            </w:r>
            <w:r w:rsidR="00811309" w:rsidRPr="00047E64">
              <w:rPr>
                <w:rFonts w:ascii="Calibri" w:eastAsia="Times New Roman" w:hAnsi="Calibri" w:cs="Calibri"/>
                <w:color w:val="000000"/>
                <w:szCs w:val="24"/>
                <w:lang w:val="en-GB" w:eastAsia="en-GB"/>
              </w:rPr>
              <w:t xml:space="preserve"> women</w:t>
            </w:r>
          </w:p>
        </w:tc>
        <w:tc>
          <w:tcPr>
            <w:tcW w:w="1228" w:type="dxa"/>
            <w:tcBorders>
              <w:top w:val="nil"/>
              <w:left w:val="nil"/>
              <w:bottom w:val="nil"/>
              <w:right w:val="nil"/>
            </w:tcBorders>
            <w:shd w:val="clear" w:color="auto" w:fill="auto"/>
            <w:noWrap/>
            <w:vAlign w:val="bottom"/>
            <w:hideMark/>
          </w:tcPr>
          <w:p w14:paraId="6F1465C3"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p>
        </w:tc>
        <w:tc>
          <w:tcPr>
            <w:tcW w:w="1228" w:type="dxa"/>
            <w:tcBorders>
              <w:top w:val="nil"/>
              <w:left w:val="nil"/>
              <w:bottom w:val="nil"/>
              <w:right w:val="nil"/>
            </w:tcBorders>
            <w:shd w:val="clear" w:color="auto" w:fill="auto"/>
            <w:noWrap/>
            <w:vAlign w:val="bottom"/>
            <w:hideMark/>
          </w:tcPr>
          <w:p w14:paraId="7C90D762" w14:textId="77777777" w:rsidR="00B3571B" w:rsidRPr="00B3571B" w:rsidRDefault="00B3571B" w:rsidP="00B3571B">
            <w:pPr>
              <w:spacing w:after="0" w:line="240" w:lineRule="auto"/>
              <w:rPr>
                <w:rFonts w:ascii="Times New Roman" w:eastAsia="Times New Roman" w:hAnsi="Times New Roman" w:cs="Times New Roman"/>
                <w:szCs w:val="24"/>
                <w:lang w:val="en-GB" w:eastAsia="en-GB"/>
              </w:rPr>
            </w:pPr>
          </w:p>
        </w:tc>
        <w:tc>
          <w:tcPr>
            <w:tcW w:w="1228" w:type="dxa"/>
            <w:tcBorders>
              <w:top w:val="nil"/>
              <w:left w:val="nil"/>
              <w:bottom w:val="nil"/>
              <w:right w:val="nil"/>
            </w:tcBorders>
            <w:shd w:val="clear" w:color="auto" w:fill="auto"/>
            <w:noWrap/>
            <w:vAlign w:val="bottom"/>
            <w:hideMark/>
          </w:tcPr>
          <w:p w14:paraId="5BA3BA05" w14:textId="77777777" w:rsidR="00B3571B" w:rsidRPr="00B3571B" w:rsidRDefault="00B3571B" w:rsidP="00B3571B">
            <w:pPr>
              <w:spacing w:after="0" w:line="240" w:lineRule="auto"/>
              <w:rPr>
                <w:rFonts w:ascii="Times New Roman" w:eastAsia="Times New Roman" w:hAnsi="Times New Roman" w:cs="Times New Roman"/>
                <w:szCs w:val="24"/>
                <w:lang w:val="en-GB" w:eastAsia="en-GB"/>
              </w:rPr>
            </w:pPr>
          </w:p>
        </w:tc>
        <w:tc>
          <w:tcPr>
            <w:tcW w:w="1228" w:type="dxa"/>
            <w:tcBorders>
              <w:top w:val="nil"/>
              <w:left w:val="nil"/>
              <w:bottom w:val="nil"/>
              <w:right w:val="nil"/>
            </w:tcBorders>
            <w:shd w:val="clear" w:color="auto" w:fill="auto"/>
            <w:noWrap/>
            <w:vAlign w:val="bottom"/>
            <w:hideMark/>
          </w:tcPr>
          <w:p w14:paraId="33242F8E" w14:textId="77777777" w:rsidR="00B3571B" w:rsidRPr="00B3571B" w:rsidRDefault="00B3571B" w:rsidP="00B3571B">
            <w:pPr>
              <w:spacing w:after="0" w:line="240" w:lineRule="auto"/>
              <w:rPr>
                <w:rFonts w:ascii="Times New Roman" w:eastAsia="Times New Roman" w:hAnsi="Times New Roman" w:cs="Times New Roman"/>
                <w:szCs w:val="24"/>
                <w:lang w:val="en-GB" w:eastAsia="en-GB"/>
              </w:rPr>
            </w:pPr>
          </w:p>
        </w:tc>
        <w:tc>
          <w:tcPr>
            <w:tcW w:w="1229" w:type="dxa"/>
            <w:tcBorders>
              <w:top w:val="nil"/>
              <w:left w:val="nil"/>
              <w:bottom w:val="nil"/>
              <w:right w:val="single" w:sz="4" w:space="0" w:color="auto"/>
            </w:tcBorders>
            <w:shd w:val="clear" w:color="auto" w:fill="auto"/>
            <w:noWrap/>
            <w:vAlign w:val="bottom"/>
            <w:hideMark/>
          </w:tcPr>
          <w:p w14:paraId="0E4116FB"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 </w:t>
            </w:r>
          </w:p>
        </w:tc>
      </w:tr>
      <w:tr w:rsidR="00047E64" w:rsidRPr="00B3571B" w14:paraId="6F90EE6D" w14:textId="77777777" w:rsidTr="00047E64">
        <w:trPr>
          <w:trHeight w:val="328"/>
        </w:trPr>
        <w:tc>
          <w:tcPr>
            <w:tcW w:w="2830" w:type="dxa"/>
            <w:tcBorders>
              <w:top w:val="nil"/>
              <w:left w:val="single" w:sz="4" w:space="0" w:color="auto"/>
              <w:bottom w:val="nil"/>
              <w:right w:val="nil"/>
            </w:tcBorders>
            <w:shd w:val="clear" w:color="auto" w:fill="auto"/>
            <w:noWrap/>
            <w:vAlign w:val="center"/>
            <w:hideMark/>
          </w:tcPr>
          <w:p w14:paraId="1EF5A06D"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Low</w:t>
            </w:r>
          </w:p>
        </w:tc>
        <w:tc>
          <w:tcPr>
            <w:tcW w:w="1228" w:type="dxa"/>
            <w:tcBorders>
              <w:top w:val="nil"/>
              <w:left w:val="nil"/>
              <w:bottom w:val="nil"/>
              <w:right w:val="nil"/>
            </w:tcBorders>
            <w:shd w:val="clear" w:color="auto" w:fill="auto"/>
            <w:noWrap/>
            <w:vAlign w:val="center"/>
            <w:hideMark/>
          </w:tcPr>
          <w:p w14:paraId="50184A0B"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2.27</w:t>
            </w:r>
          </w:p>
        </w:tc>
        <w:tc>
          <w:tcPr>
            <w:tcW w:w="1228" w:type="dxa"/>
            <w:tcBorders>
              <w:top w:val="nil"/>
              <w:left w:val="nil"/>
              <w:bottom w:val="nil"/>
              <w:right w:val="nil"/>
            </w:tcBorders>
            <w:shd w:val="clear" w:color="auto" w:fill="auto"/>
            <w:noWrap/>
            <w:vAlign w:val="center"/>
            <w:hideMark/>
          </w:tcPr>
          <w:p w14:paraId="4EDD56AC"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2.24</w:t>
            </w:r>
          </w:p>
        </w:tc>
        <w:tc>
          <w:tcPr>
            <w:tcW w:w="1228" w:type="dxa"/>
            <w:tcBorders>
              <w:top w:val="nil"/>
              <w:left w:val="nil"/>
              <w:bottom w:val="nil"/>
              <w:right w:val="nil"/>
            </w:tcBorders>
            <w:shd w:val="clear" w:color="auto" w:fill="auto"/>
            <w:noWrap/>
            <w:vAlign w:val="center"/>
            <w:hideMark/>
          </w:tcPr>
          <w:p w14:paraId="1C52D3B0"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2.24</w:t>
            </w:r>
          </w:p>
        </w:tc>
        <w:tc>
          <w:tcPr>
            <w:tcW w:w="1228" w:type="dxa"/>
            <w:tcBorders>
              <w:top w:val="nil"/>
              <w:left w:val="nil"/>
              <w:bottom w:val="nil"/>
              <w:right w:val="nil"/>
            </w:tcBorders>
            <w:shd w:val="clear" w:color="auto" w:fill="auto"/>
            <w:noWrap/>
            <w:vAlign w:val="center"/>
            <w:hideMark/>
          </w:tcPr>
          <w:p w14:paraId="308FBA31"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2.28</w:t>
            </w:r>
          </w:p>
        </w:tc>
        <w:tc>
          <w:tcPr>
            <w:tcW w:w="1229" w:type="dxa"/>
            <w:tcBorders>
              <w:top w:val="nil"/>
              <w:left w:val="nil"/>
              <w:bottom w:val="nil"/>
              <w:right w:val="single" w:sz="4" w:space="0" w:color="auto"/>
            </w:tcBorders>
            <w:shd w:val="clear" w:color="auto" w:fill="auto"/>
            <w:noWrap/>
            <w:vAlign w:val="center"/>
            <w:hideMark/>
          </w:tcPr>
          <w:p w14:paraId="14E6A692"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2.41</w:t>
            </w:r>
          </w:p>
        </w:tc>
      </w:tr>
      <w:tr w:rsidR="00047E64" w:rsidRPr="00B3571B" w14:paraId="03E1E7A9" w14:textId="77777777" w:rsidTr="00047E64">
        <w:trPr>
          <w:trHeight w:val="328"/>
        </w:trPr>
        <w:tc>
          <w:tcPr>
            <w:tcW w:w="2830" w:type="dxa"/>
            <w:tcBorders>
              <w:top w:val="nil"/>
              <w:left w:val="single" w:sz="4" w:space="0" w:color="auto"/>
              <w:bottom w:val="nil"/>
              <w:right w:val="nil"/>
            </w:tcBorders>
            <w:shd w:val="clear" w:color="auto" w:fill="auto"/>
            <w:noWrap/>
            <w:vAlign w:val="center"/>
            <w:hideMark/>
          </w:tcPr>
          <w:p w14:paraId="2617BF10"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Medium</w:t>
            </w:r>
          </w:p>
        </w:tc>
        <w:tc>
          <w:tcPr>
            <w:tcW w:w="1228" w:type="dxa"/>
            <w:tcBorders>
              <w:top w:val="nil"/>
              <w:left w:val="nil"/>
              <w:bottom w:val="nil"/>
              <w:right w:val="nil"/>
            </w:tcBorders>
            <w:shd w:val="clear" w:color="auto" w:fill="auto"/>
            <w:noWrap/>
            <w:vAlign w:val="center"/>
            <w:hideMark/>
          </w:tcPr>
          <w:p w14:paraId="78099F34"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2.18</w:t>
            </w:r>
          </w:p>
        </w:tc>
        <w:tc>
          <w:tcPr>
            <w:tcW w:w="1228" w:type="dxa"/>
            <w:tcBorders>
              <w:top w:val="nil"/>
              <w:left w:val="nil"/>
              <w:bottom w:val="nil"/>
              <w:right w:val="nil"/>
            </w:tcBorders>
            <w:shd w:val="clear" w:color="auto" w:fill="auto"/>
            <w:noWrap/>
            <w:vAlign w:val="center"/>
            <w:hideMark/>
          </w:tcPr>
          <w:p w14:paraId="242D784A"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2.10</w:t>
            </w:r>
          </w:p>
        </w:tc>
        <w:tc>
          <w:tcPr>
            <w:tcW w:w="1228" w:type="dxa"/>
            <w:tcBorders>
              <w:top w:val="nil"/>
              <w:left w:val="nil"/>
              <w:bottom w:val="nil"/>
              <w:right w:val="nil"/>
            </w:tcBorders>
            <w:shd w:val="clear" w:color="auto" w:fill="auto"/>
            <w:noWrap/>
            <w:vAlign w:val="center"/>
            <w:hideMark/>
          </w:tcPr>
          <w:p w14:paraId="7F6C8605"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2.11</w:t>
            </w:r>
          </w:p>
        </w:tc>
        <w:tc>
          <w:tcPr>
            <w:tcW w:w="1228" w:type="dxa"/>
            <w:tcBorders>
              <w:top w:val="nil"/>
              <w:left w:val="nil"/>
              <w:bottom w:val="nil"/>
              <w:right w:val="nil"/>
            </w:tcBorders>
            <w:shd w:val="clear" w:color="auto" w:fill="auto"/>
            <w:noWrap/>
            <w:vAlign w:val="center"/>
            <w:hideMark/>
          </w:tcPr>
          <w:p w14:paraId="015E778A"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2.14</w:t>
            </w:r>
          </w:p>
        </w:tc>
        <w:tc>
          <w:tcPr>
            <w:tcW w:w="1229" w:type="dxa"/>
            <w:tcBorders>
              <w:top w:val="nil"/>
              <w:left w:val="nil"/>
              <w:bottom w:val="nil"/>
              <w:right w:val="single" w:sz="4" w:space="0" w:color="auto"/>
            </w:tcBorders>
            <w:shd w:val="clear" w:color="auto" w:fill="auto"/>
            <w:noWrap/>
            <w:vAlign w:val="center"/>
            <w:hideMark/>
          </w:tcPr>
          <w:p w14:paraId="201C9737"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2.09</w:t>
            </w:r>
          </w:p>
        </w:tc>
      </w:tr>
      <w:tr w:rsidR="00047E64" w:rsidRPr="00B3571B" w14:paraId="4EDFA0E6" w14:textId="77777777" w:rsidTr="00047E64">
        <w:trPr>
          <w:trHeight w:val="328"/>
        </w:trPr>
        <w:tc>
          <w:tcPr>
            <w:tcW w:w="2830" w:type="dxa"/>
            <w:tcBorders>
              <w:top w:val="nil"/>
              <w:left w:val="single" w:sz="4" w:space="0" w:color="auto"/>
              <w:bottom w:val="nil"/>
              <w:right w:val="nil"/>
            </w:tcBorders>
            <w:shd w:val="clear" w:color="auto" w:fill="auto"/>
            <w:noWrap/>
            <w:vAlign w:val="center"/>
            <w:hideMark/>
          </w:tcPr>
          <w:p w14:paraId="0C80F2BC"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High</w:t>
            </w:r>
          </w:p>
        </w:tc>
        <w:tc>
          <w:tcPr>
            <w:tcW w:w="1228" w:type="dxa"/>
            <w:tcBorders>
              <w:top w:val="nil"/>
              <w:left w:val="nil"/>
              <w:bottom w:val="nil"/>
              <w:right w:val="nil"/>
            </w:tcBorders>
            <w:shd w:val="clear" w:color="auto" w:fill="auto"/>
            <w:noWrap/>
            <w:vAlign w:val="center"/>
            <w:hideMark/>
          </w:tcPr>
          <w:p w14:paraId="49ECD832"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2.17</w:t>
            </w:r>
          </w:p>
        </w:tc>
        <w:tc>
          <w:tcPr>
            <w:tcW w:w="1228" w:type="dxa"/>
            <w:tcBorders>
              <w:top w:val="nil"/>
              <w:left w:val="nil"/>
              <w:bottom w:val="nil"/>
              <w:right w:val="nil"/>
            </w:tcBorders>
            <w:shd w:val="clear" w:color="auto" w:fill="auto"/>
            <w:noWrap/>
            <w:vAlign w:val="center"/>
            <w:hideMark/>
          </w:tcPr>
          <w:p w14:paraId="1E2ED9B5"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2.09</w:t>
            </w:r>
          </w:p>
        </w:tc>
        <w:tc>
          <w:tcPr>
            <w:tcW w:w="1228" w:type="dxa"/>
            <w:tcBorders>
              <w:top w:val="nil"/>
              <w:left w:val="nil"/>
              <w:bottom w:val="nil"/>
              <w:right w:val="nil"/>
            </w:tcBorders>
            <w:shd w:val="clear" w:color="auto" w:fill="auto"/>
            <w:noWrap/>
            <w:vAlign w:val="center"/>
            <w:hideMark/>
          </w:tcPr>
          <w:p w14:paraId="0662C754"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1.99</w:t>
            </w:r>
          </w:p>
        </w:tc>
        <w:tc>
          <w:tcPr>
            <w:tcW w:w="1228" w:type="dxa"/>
            <w:tcBorders>
              <w:top w:val="nil"/>
              <w:left w:val="nil"/>
              <w:bottom w:val="nil"/>
              <w:right w:val="nil"/>
            </w:tcBorders>
            <w:shd w:val="clear" w:color="auto" w:fill="auto"/>
            <w:noWrap/>
            <w:vAlign w:val="center"/>
            <w:hideMark/>
          </w:tcPr>
          <w:p w14:paraId="16859B70"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1.98</w:t>
            </w:r>
          </w:p>
        </w:tc>
        <w:tc>
          <w:tcPr>
            <w:tcW w:w="1229" w:type="dxa"/>
            <w:tcBorders>
              <w:top w:val="nil"/>
              <w:left w:val="nil"/>
              <w:bottom w:val="nil"/>
              <w:right w:val="single" w:sz="4" w:space="0" w:color="auto"/>
            </w:tcBorders>
            <w:shd w:val="clear" w:color="auto" w:fill="auto"/>
            <w:noWrap/>
            <w:vAlign w:val="center"/>
            <w:hideMark/>
          </w:tcPr>
          <w:p w14:paraId="1EA8DAD3"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1.98</w:t>
            </w:r>
          </w:p>
        </w:tc>
      </w:tr>
      <w:tr w:rsidR="00047E64" w:rsidRPr="00B3571B" w14:paraId="46FCBD28" w14:textId="77777777" w:rsidTr="00047E64">
        <w:trPr>
          <w:trHeight w:val="328"/>
        </w:trPr>
        <w:tc>
          <w:tcPr>
            <w:tcW w:w="2830" w:type="dxa"/>
            <w:tcBorders>
              <w:top w:val="nil"/>
              <w:left w:val="single" w:sz="4" w:space="0" w:color="auto"/>
              <w:bottom w:val="single" w:sz="4" w:space="0" w:color="auto"/>
              <w:right w:val="nil"/>
            </w:tcBorders>
            <w:shd w:val="clear" w:color="auto" w:fill="auto"/>
            <w:noWrap/>
            <w:vAlign w:val="center"/>
            <w:hideMark/>
          </w:tcPr>
          <w:p w14:paraId="742C85FF" w14:textId="77777777" w:rsidR="00B3571B" w:rsidRPr="00B3571B" w:rsidRDefault="00B3571B" w:rsidP="00B3571B">
            <w:pPr>
              <w:spacing w:after="0" w:line="240" w:lineRule="auto"/>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All</w:t>
            </w:r>
          </w:p>
        </w:tc>
        <w:tc>
          <w:tcPr>
            <w:tcW w:w="1228" w:type="dxa"/>
            <w:tcBorders>
              <w:top w:val="nil"/>
              <w:left w:val="nil"/>
              <w:bottom w:val="single" w:sz="4" w:space="0" w:color="auto"/>
              <w:right w:val="nil"/>
            </w:tcBorders>
            <w:shd w:val="clear" w:color="auto" w:fill="auto"/>
            <w:noWrap/>
            <w:vAlign w:val="center"/>
            <w:hideMark/>
          </w:tcPr>
          <w:p w14:paraId="6B1D7DCC"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2.24</w:t>
            </w:r>
          </w:p>
        </w:tc>
        <w:tc>
          <w:tcPr>
            <w:tcW w:w="1228" w:type="dxa"/>
            <w:tcBorders>
              <w:top w:val="nil"/>
              <w:left w:val="nil"/>
              <w:bottom w:val="single" w:sz="4" w:space="0" w:color="auto"/>
              <w:right w:val="nil"/>
            </w:tcBorders>
            <w:shd w:val="clear" w:color="auto" w:fill="auto"/>
            <w:noWrap/>
            <w:vAlign w:val="center"/>
            <w:hideMark/>
          </w:tcPr>
          <w:p w14:paraId="656FE62E"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2.20</w:t>
            </w:r>
          </w:p>
        </w:tc>
        <w:tc>
          <w:tcPr>
            <w:tcW w:w="1228" w:type="dxa"/>
            <w:tcBorders>
              <w:top w:val="nil"/>
              <w:left w:val="nil"/>
              <w:bottom w:val="single" w:sz="4" w:space="0" w:color="auto"/>
              <w:right w:val="nil"/>
            </w:tcBorders>
            <w:shd w:val="clear" w:color="auto" w:fill="auto"/>
            <w:noWrap/>
            <w:vAlign w:val="center"/>
            <w:hideMark/>
          </w:tcPr>
          <w:p w14:paraId="10DE6248"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2.18</w:t>
            </w:r>
          </w:p>
        </w:tc>
        <w:tc>
          <w:tcPr>
            <w:tcW w:w="1228" w:type="dxa"/>
            <w:tcBorders>
              <w:top w:val="nil"/>
              <w:left w:val="nil"/>
              <w:bottom w:val="single" w:sz="4" w:space="0" w:color="auto"/>
              <w:right w:val="nil"/>
            </w:tcBorders>
            <w:shd w:val="clear" w:color="auto" w:fill="auto"/>
            <w:noWrap/>
            <w:vAlign w:val="center"/>
            <w:hideMark/>
          </w:tcPr>
          <w:p w14:paraId="3E6D2964"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2.17</w:t>
            </w:r>
          </w:p>
        </w:tc>
        <w:tc>
          <w:tcPr>
            <w:tcW w:w="1229" w:type="dxa"/>
            <w:tcBorders>
              <w:top w:val="nil"/>
              <w:left w:val="nil"/>
              <w:bottom w:val="single" w:sz="4" w:space="0" w:color="auto"/>
              <w:right w:val="single" w:sz="4" w:space="0" w:color="auto"/>
            </w:tcBorders>
            <w:shd w:val="clear" w:color="auto" w:fill="auto"/>
            <w:noWrap/>
            <w:vAlign w:val="center"/>
            <w:hideMark/>
          </w:tcPr>
          <w:p w14:paraId="7CD9B4DF" w14:textId="77777777" w:rsidR="00B3571B" w:rsidRPr="00B3571B" w:rsidRDefault="00B3571B" w:rsidP="00B3571B">
            <w:pPr>
              <w:spacing w:after="0" w:line="240" w:lineRule="auto"/>
              <w:jc w:val="right"/>
              <w:rPr>
                <w:rFonts w:ascii="Calibri" w:eastAsia="Times New Roman" w:hAnsi="Calibri" w:cs="Calibri"/>
                <w:color w:val="000000"/>
                <w:szCs w:val="24"/>
                <w:lang w:val="en-GB" w:eastAsia="en-GB"/>
              </w:rPr>
            </w:pPr>
            <w:r w:rsidRPr="00B3571B">
              <w:rPr>
                <w:rFonts w:ascii="Calibri" w:eastAsia="Times New Roman" w:hAnsi="Calibri" w:cs="Calibri"/>
                <w:color w:val="000000"/>
                <w:szCs w:val="24"/>
                <w:lang w:val="en-GB" w:eastAsia="en-GB"/>
              </w:rPr>
              <w:t>2.18</w:t>
            </w:r>
          </w:p>
        </w:tc>
      </w:tr>
    </w:tbl>
    <w:p w14:paraId="6110A335" w14:textId="15402A14" w:rsidR="00B3571B" w:rsidRPr="00B3571B" w:rsidRDefault="001C7826" w:rsidP="00B3571B">
      <w:pPr>
        <w:rPr>
          <w:lang w:val="en-GB"/>
        </w:rPr>
      </w:pPr>
      <w:r w:rsidRPr="00D90C11">
        <w:rPr>
          <w:i/>
          <w:iCs/>
        </w:rPr>
        <w:t>Source: ONS Longitudinal Study</w:t>
      </w:r>
    </w:p>
    <w:p w14:paraId="44F21E34" w14:textId="173D6D00" w:rsidR="00B3571B" w:rsidRDefault="001C7826" w:rsidP="001C7826">
      <w:pPr>
        <w:pStyle w:val="Heading4"/>
      </w:pPr>
      <w:r>
        <w:t xml:space="preserve">Scotland </w:t>
      </w:r>
    </w:p>
    <w:tbl>
      <w:tblPr>
        <w:tblW w:w="8962" w:type="dxa"/>
        <w:tblLayout w:type="fixed"/>
        <w:tblLook w:val="04A0" w:firstRow="1" w:lastRow="0" w:firstColumn="1" w:lastColumn="0" w:noHBand="0" w:noVBand="1"/>
      </w:tblPr>
      <w:tblGrid>
        <w:gridCol w:w="2830"/>
        <w:gridCol w:w="1226"/>
        <w:gridCol w:w="1226"/>
        <w:gridCol w:w="1227"/>
        <w:gridCol w:w="1226"/>
        <w:gridCol w:w="1227"/>
      </w:tblGrid>
      <w:tr w:rsidR="001C7826" w:rsidRPr="001C7826" w14:paraId="4A81A682" w14:textId="77777777" w:rsidTr="00047E64">
        <w:trPr>
          <w:trHeight w:val="401"/>
        </w:trPr>
        <w:tc>
          <w:tcPr>
            <w:tcW w:w="2830" w:type="dxa"/>
            <w:tcBorders>
              <w:top w:val="single" w:sz="4" w:space="0" w:color="auto"/>
              <w:left w:val="single" w:sz="4" w:space="0" w:color="auto"/>
              <w:bottom w:val="nil"/>
              <w:right w:val="nil"/>
            </w:tcBorders>
            <w:shd w:val="clear" w:color="auto" w:fill="auto"/>
            <w:noWrap/>
            <w:vAlign w:val="bottom"/>
            <w:hideMark/>
          </w:tcPr>
          <w:p w14:paraId="1D666EBB"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 </w:t>
            </w:r>
          </w:p>
        </w:tc>
        <w:tc>
          <w:tcPr>
            <w:tcW w:w="6132" w:type="dxa"/>
            <w:gridSpan w:val="5"/>
            <w:tcBorders>
              <w:top w:val="single" w:sz="4" w:space="0" w:color="auto"/>
              <w:left w:val="nil"/>
              <w:bottom w:val="nil"/>
              <w:right w:val="single" w:sz="4" w:space="0" w:color="000000"/>
            </w:tcBorders>
            <w:shd w:val="clear" w:color="auto" w:fill="auto"/>
            <w:noWrap/>
            <w:vAlign w:val="center"/>
            <w:hideMark/>
          </w:tcPr>
          <w:p w14:paraId="7DB2AC1C" w14:textId="77777777" w:rsidR="001C7826" w:rsidRPr="001C7826" w:rsidRDefault="001C7826" w:rsidP="001C7826">
            <w:pPr>
              <w:spacing w:after="0" w:line="240" w:lineRule="auto"/>
              <w:jc w:val="center"/>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Birth cohort</w:t>
            </w:r>
          </w:p>
        </w:tc>
      </w:tr>
      <w:tr w:rsidR="001C7826" w:rsidRPr="001C7826" w14:paraId="45633D46" w14:textId="77777777" w:rsidTr="00047E64">
        <w:trPr>
          <w:trHeight w:val="401"/>
        </w:trPr>
        <w:tc>
          <w:tcPr>
            <w:tcW w:w="2830" w:type="dxa"/>
            <w:tcBorders>
              <w:top w:val="nil"/>
              <w:left w:val="single" w:sz="4" w:space="0" w:color="auto"/>
              <w:bottom w:val="nil"/>
              <w:right w:val="nil"/>
            </w:tcBorders>
            <w:shd w:val="clear" w:color="auto" w:fill="auto"/>
            <w:noWrap/>
            <w:vAlign w:val="bottom"/>
            <w:hideMark/>
          </w:tcPr>
          <w:p w14:paraId="6ADD9846"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All women</w:t>
            </w:r>
          </w:p>
        </w:tc>
        <w:tc>
          <w:tcPr>
            <w:tcW w:w="1226" w:type="dxa"/>
            <w:tcBorders>
              <w:top w:val="nil"/>
              <w:left w:val="nil"/>
              <w:bottom w:val="nil"/>
              <w:right w:val="nil"/>
            </w:tcBorders>
            <w:shd w:val="clear" w:color="auto" w:fill="auto"/>
            <w:noWrap/>
            <w:vAlign w:val="center"/>
            <w:hideMark/>
          </w:tcPr>
          <w:p w14:paraId="5227A778"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1956-59</w:t>
            </w:r>
          </w:p>
        </w:tc>
        <w:tc>
          <w:tcPr>
            <w:tcW w:w="1226" w:type="dxa"/>
            <w:tcBorders>
              <w:top w:val="nil"/>
              <w:left w:val="nil"/>
              <w:bottom w:val="nil"/>
              <w:right w:val="nil"/>
            </w:tcBorders>
            <w:shd w:val="clear" w:color="auto" w:fill="auto"/>
            <w:noWrap/>
            <w:vAlign w:val="center"/>
            <w:hideMark/>
          </w:tcPr>
          <w:p w14:paraId="5650921D"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1960-64</w:t>
            </w:r>
          </w:p>
        </w:tc>
        <w:tc>
          <w:tcPr>
            <w:tcW w:w="1227" w:type="dxa"/>
            <w:tcBorders>
              <w:top w:val="nil"/>
              <w:left w:val="nil"/>
              <w:bottom w:val="nil"/>
              <w:right w:val="nil"/>
            </w:tcBorders>
            <w:shd w:val="clear" w:color="auto" w:fill="auto"/>
            <w:noWrap/>
            <w:vAlign w:val="center"/>
            <w:hideMark/>
          </w:tcPr>
          <w:p w14:paraId="6C025579"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1965-69</w:t>
            </w:r>
          </w:p>
        </w:tc>
        <w:tc>
          <w:tcPr>
            <w:tcW w:w="1226" w:type="dxa"/>
            <w:tcBorders>
              <w:top w:val="nil"/>
              <w:left w:val="nil"/>
              <w:bottom w:val="nil"/>
              <w:right w:val="nil"/>
            </w:tcBorders>
            <w:shd w:val="clear" w:color="auto" w:fill="auto"/>
            <w:noWrap/>
            <w:vAlign w:val="center"/>
            <w:hideMark/>
          </w:tcPr>
          <w:p w14:paraId="3095F539"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1970-74</w:t>
            </w:r>
          </w:p>
        </w:tc>
        <w:tc>
          <w:tcPr>
            <w:tcW w:w="1227" w:type="dxa"/>
            <w:tcBorders>
              <w:top w:val="nil"/>
              <w:left w:val="nil"/>
              <w:bottom w:val="nil"/>
              <w:right w:val="single" w:sz="4" w:space="0" w:color="auto"/>
            </w:tcBorders>
            <w:shd w:val="clear" w:color="auto" w:fill="auto"/>
            <w:noWrap/>
            <w:vAlign w:val="center"/>
            <w:hideMark/>
          </w:tcPr>
          <w:p w14:paraId="03ED65B3"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1975-78</w:t>
            </w:r>
          </w:p>
        </w:tc>
      </w:tr>
      <w:tr w:rsidR="001C7826" w:rsidRPr="001C7826" w14:paraId="266E6CF0" w14:textId="77777777" w:rsidTr="00047E64">
        <w:trPr>
          <w:trHeight w:val="401"/>
        </w:trPr>
        <w:tc>
          <w:tcPr>
            <w:tcW w:w="2830" w:type="dxa"/>
            <w:tcBorders>
              <w:top w:val="nil"/>
              <w:left w:val="single" w:sz="4" w:space="0" w:color="auto"/>
              <w:bottom w:val="nil"/>
              <w:right w:val="nil"/>
            </w:tcBorders>
            <w:shd w:val="clear" w:color="auto" w:fill="auto"/>
            <w:noWrap/>
            <w:vAlign w:val="center"/>
            <w:hideMark/>
          </w:tcPr>
          <w:p w14:paraId="0B327795"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Low</w:t>
            </w:r>
          </w:p>
        </w:tc>
        <w:tc>
          <w:tcPr>
            <w:tcW w:w="1226" w:type="dxa"/>
            <w:tcBorders>
              <w:top w:val="nil"/>
              <w:left w:val="nil"/>
              <w:bottom w:val="nil"/>
              <w:right w:val="nil"/>
            </w:tcBorders>
            <w:shd w:val="clear" w:color="auto" w:fill="auto"/>
            <w:noWrap/>
            <w:vAlign w:val="center"/>
            <w:hideMark/>
          </w:tcPr>
          <w:p w14:paraId="2A2237BE"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1.91</w:t>
            </w:r>
          </w:p>
        </w:tc>
        <w:tc>
          <w:tcPr>
            <w:tcW w:w="1226" w:type="dxa"/>
            <w:tcBorders>
              <w:top w:val="nil"/>
              <w:left w:val="nil"/>
              <w:bottom w:val="nil"/>
              <w:right w:val="nil"/>
            </w:tcBorders>
            <w:shd w:val="clear" w:color="auto" w:fill="auto"/>
            <w:noWrap/>
            <w:vAlign w:val="center"/>
            <w:hideMark/>
          </w:tcPr>
          <w:p w14:paraId="7DC138BB"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1.88</w:t>
            </w:r>
          </w:p>
        </w:tc>
        <w:tc>
          <w:tcPr>
            <w:tcW w:w="1227" w:type="dxa"/>
            <w:tcBorders>
              <w:top w:val="nil"/>
              <w:left w:val="nil"/>
              <w:bottom w:val="nil"/>
              <w:right w:val="nil"/>
            </w:tcBorders>
            <w:shd w:val="clear" w:color="auto" w:fill="auto"/>
            <w:noWrap/>
            <w:vAlign w:val="center"/>
            <w:hideMark/>
          </w:tcPr>
          <w:p w14:paraId="78AA4D6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1.83</w:t>
            </w:r>
          </w:p>
        </w:tc>
        <w:tc>
          <w:tcPr>
            <w:tcW w:w="1226" w:type="dxa"/>
            <w:tcBorders>
              <w:top w:val="nil"/>
              <w:left w:val="nil"/>
              <w:bottom w:val="nil"/>
              <w:right w:val="nil"/>
            </w:tcBorders>
            <w:shd w:val="clear" w:color="auto" w:fill="auto"/>
            <w:noWrap/>
            <w:vAlign w:val="center"/>
            <w:hideMark/>
          </w:tcPr>
          <w:p w14:paraId="3869333A"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1.77</w:t>
            </w:r>
          </w:p>
        </w:tc>
        <w:tc>
          <w:tcPr>
            <w:tcW w:w="1227" w:type="dxa"/>
            <w:tcBorders>
              <w:top w:val="nil"/>
              <w:left w:val="nil"/>
              <w:bottom w:val="nil"/>
              <w:right w:val="single" w:sz="4" w:space="0" w:color="auto"/>
            </w:tcBorders>
            <w:shd w:val="clear" w:color="auto" w:fill="auto"/>
            <w:noWrap/>
            <w:vAlign w:val="center"/>
            <w:hideMark/>
          </w:tcPr>
          <w:p w14:paraId="36DF0FD0"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1.88</w:t>
            </w:r>
          </w:p>
        </w:tc>
      </w:tr>
      <w:tr w:rsidR="001C7826" w:rsidRPr="001C7826" w14:paraId="44A530C8" w14:textId="77777777" w:rsidTr="00047E64">
        <w:trPr>
          <w:trHeight w:val="401"/>
        </w:trPr>
        <w:tc>
          <w:tcPr>
            <w:tcW w:w="2830" w:type="dxa"/>
            <w:tcBorders>
              <w:top w:val="nil"/>
              <w:left w:val="single" w:sz="4" w:space="0" w:color="auto"/>
              <w:bottom w:val="nil"/>
              <w:right w:val="nil"/>
            </w:tcBorders>
            <w:shd w:val="clear" w:color="auto" w:fill="auto"/>
            <w:noWrap/>
            <w:vAlign w:val="center"/>
            <w:hideMark/>
          </w:tcPr>
          <w:p w14:paraId="75560CE0"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Medium</w:t>
            </w:r>
          </w:p>
        </w:tc>
        <w:tc>
          <w:tcPr>
            <w:tcW w:w="1226" w:type="dxa"/>
            <w:tcBorders>
              <w:top w:val="nil"/>
              <w:left w:val="nil"/>
              <w:bottom w:val="nil"/>
              <w:right w:val="nil"/>
            </w:tcBorders>
            <w:shd w:val="clear" w:color="auto" w:fill="auto"/>
            <w:noWrap/>
            <w:vAlign w:val="center"/>
            <w:hideMark/>
          </w:tcPr>
          <w:p w14:paraId="0138D77A"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1.74</w:t>
            </w:r>
          </w:p>
        </w:tc>
        <w:tc>
          <w:tcPr>
            <w:tcW w:w="1226" w:type="dxa"/>
            <w:tcBorders>
              <w:top w:val="nil"/>
              <w:left w:val="nil"/>
              <w:bottom w:val="nil"/>
              <w:right w:val="nil"/>
            </w:tcBorders>
            <w:shd w:val="clear" w:color="auto" w:fill="auto"/>
            <w:noWrap/>
            <w:vAlign w:val="center"/>
            <w:hideMark/>
          </w:tcPr>
          <w:p w14:paraId="7CAF1E96"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1.67</w:t>
            </w:r>
          </w:p>
        </w:tc>
        <w:tc>
          <w:tcPr>
            <w:tcW w:w="1227" w:type="dxa"/>
            <w:tcBorders>
              <w:top w:val="nil"/>
              <w:left w:val="nil"/>
              <w:bottom w:val="nil"/>
              <w:right w:val="nil"/>
            </w:tcBorders>
            <w:shd w:val="clear" w:color="auto" w:fill="auto"/>
            <w:noWrap/>
            <w:vAlign w:val="center"/>
            <w:hideMark/>
          </w:tcPr>
          <w:p w14:paraId="65355455"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1.58</w:t>
            </w:r>
          </w:p>
        </w:tc>
        <w:tc>
          <w:tcPr>
            <w:tcW w:w="1226" w:type="dxa"/>
            <w:tcBorders>
              <w:top w:val="nil"/>
              <w:left w:val="nil"/>
              <w:bottom w:val="nil"/>
              <w:right w:val="nil"/>
            </w:tcBorders>
            <w:shd w:val="clear" w:color="auto" w:fill="auto"/>
            <w:noWrap/>
            <w:vAlign w:val="center"/>
            <w:hideMark/>
          </w:tcPr>
          <w:p w14:paraId="49F11F37"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1.56</w:t>
            </w:r>
          </w:p>
        </w:tc>
        <w:tc>
          <w:tcPr>
            <w:tcW w:w="1227" w:type="dxa"/>
            <w:tcBorders>
              <w:top w:val="nil"/>
              <w:left w:val="nil"/>
              <w:bottom w:val="nil"/>
              <w:right w:val="single" w:sz="4" w:space="0" w:color="auto"/>
            </w:tcBorders>
            <w:shd w:val="clear" w:color="auto" w:fill="auto"/>
            <w:noWrap/>
            <w:vAlign w:val="center"/>
            <w:hideMark/>
          </w:tcPr>
          <w:p w14:paraId="42474EC2"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1.57</w:t>
            </w:r>
          </w:p>
        </w:tc>
      </w:tr>
      <w:tr w:rsidR="001C7826" w:rsidRPr="001C7826" w14:paraId="6836D650" w14:textId="77777777" w:rsidTr="00047E64">
        <w:trPr>
          <w:trHeight w:val="401"/>
        </w:trPr>
        <w:tc>
          <w:tcPr>
            <w:tcW w:w="2830" w:type="dxa"/>
            <w:tcBorders>
              <w:top w:val="nil"/>
              <w:left w:val="single" w:sz="4" w:space="0" w:color="auto"/>
              <w:bottom w:val="nil"/>
              <w:right w:val="nil"/>
            </w:tcBorders>
            <w:shd w:val="clear" w:color="auto" w:fill="auto"/>
            <w:noWrap/>
            <w:vAlign w:val="center"/>
            <w:hideMark/>
          </w:tcPr>
          <w:p w14:paraId="104D4D5D"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High</w:t>
            </w:r>
          </w:p>
        </w:tc>
        <w:tc>
          <w:tcPr>
            <w:tcW w:w="1226" w:type="dxa"/>
            <w:tcBorders>
              <w:top w:val="nil"/>
              <w:left w:val="nil"/>
              <w:bottom w:val="nil"/>
              <w:right w:val="nil"/>
            </w:tcBorders>
            <w:shd w:val="clear" w:color="auto" w:fill="auto"/>
            <w:noWrap/>
            <w:vAlign w:val="center"/>
            <w:hideMark/>
          </w:tcPr>
          <w:p w14:paraId="009DA10F"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1.69</w:t>
            </w:r>
          </w:p>
        </w:tc>
        <w:tc>
          <w:tcPr>
            <w:tcW w:w="1226" w:type="dxa"/>
            <w:tcBorders>
              <w:top w:val="nil"/>
              <w:left w:val="nil"/>
              <w:bottom w:val="nil"/>
              <w:right w:val="nil"/>
            </w:tcBorders>
            <w:shd w:val="clear" w:color="auto" w:fill="auto"/>
            <w:noWrap/>
            <w:vAlign w:val="center"/>
            <w:hideMark/>
          </w:tcPr>
          <w:p w14:paraId="3A387FB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1.63</w:t>
            </w:r>
          </w:p>
        </w:tc>
        <w:tc>
          <w:tcPr>
            <w:tcW w:w="1227" w:type="dxa"/>
            <w:tcBorders>
              <w:top w:val="nil"/>
              <w:left w:val="nil"/>
              <w:bottom w:val="nil"/>
              <w:right w:val="nil"/>
            </w:tcBorders>
            <w:shd w:val="clear" w:color="auto" w:fill="auto"/>
            <w:noWrap/>
            <w:vAlign w:val="center"/>
            <w:hideMark/>
          </w:tcPr>
          <w:p w14:paraId="24892D7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1.46</w:t>
            </w:r>
          </w:p>
        </w:tc>
        <w:tc>
          <w:tcPr>
            <w:tcW w:w="1226" w:type="dxa"/>
            <w:tcBorders>
              <w:top w:val="nil"/>
              <w:left w:val="nil"/>
              <w:bottom w:val="nil"/>
              <w:right w:val="nil"/>
            </w:tcBorders>
            <w:shd w:val="clear" w:color="auto" w:fill="auto"/>
            <w:noWrap/>
            <w:vAlign w:val="center"/>
            <w:hideMark/>
          </w:tcPr>
          <w:p w14:paraId="3DA2B95A"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1.43</w:t>
            </w:r>
          </w:p>
        </w:tc>
        <w:tc>
          <w:tcPr>
            <w:tcW w:w="1227" w:type="dxa"/>
            <w:tcBorders>
              <w:top w:val="nil"/>
              <w:left w:val="nil"/>
              <w:bottom w:val="nil"/>
              <w:right w:val="single" w:sz="4" w:space="0" w:color="auto"/>
            </w:tcBorders>
            <w:shd w:val="clear" w:color="auto" w:fill="auto"/>
            <w:noWrap/>
            <w:vAlign w:val="center"/>
            <w:hideMark/>
          </w:tcPr>
          <w:p w14:paraId="26AD7A3A"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1.48</w:t>
            </w:r>
          </w:p>
        </w:tc>
      </w:tr>
      <w:tr w:rsidR="001C7826" w:rsidRPr="001C7826" w14:paraId="4CB8C249" w14:textId="77777777" w:rsidTr="00047E64">
        <w:trPr>
          <w:trHeight w:val="401"/>
        </w:trPr>
        <w:tc>
          <w:tcPr>
            <w:tcW w:w="2830" w:type="dxa"/>
            <w:tcBorders>
              <w:top w:val="nil"/>
              <w:left w:val="single" w:sz="4" w:space="0" w:color="auto"/>
              <w:bottom w:val="nil"/>
              <w:right w:val="nil"/>
            </w:tcBorders>
            <w:shd w:val="clear" w:color="auto" w:fill="auto"/>
            <w:noWrap/>
            <w:vAlign w:val="center"/>
            <w:hideMark/>
          </w:tcPr>
          <w:p w14:paraId="1AC8B3B3"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All</w:t>
            </w:r>
          </w:p>
        </w:tc>
        <w:tc>
          <w:tcPr>
            <w:tcW w:w="1226" w:type="dxa"/>
            <w:tcBorders>
              <w:top w:val="nil"/>
              <w:left w:val="nil"/>
              <w:bottom w:val="nil"/>
              <w:right w:val="nil"/>
            </w:tcBorders>
            <w:shd w:val="clear" w:color="auto" w:fill="auto"/>
            <w:noWrap/>
            <w:vAlign w:val="center"/>
            <w:hideMark/>
          </w:tcPr>
          <w:p w14:paraId="20A29E70"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1.83</w:t>
            </w:r>
          </w:p>
        </w:tc>
        <w:tc>
          <w:tcPr>
            <w:tcW w:w="1226" w:type="dxa"/>
            <w:tcBorders>
              <w:top w:val="nil"/>
              <w:left w:val="nil"/>
              <w:bottom w:val="nil"/>
              <w:right w:val="nil"/>
            </w:tcBorders>
            <w:shd w:val="clear" w:color="auto" w:fill="auto"/>
            <w:noWrap/>
            <w:vAlign w:val="center"/>
            <w:hideMark/>
          </w:tcPr>
          <w:p w14:paraId="19A5024F"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1.78</w:t>
            </w:r>
          </w:p>
        </w:tc>
        <w:tc>
          <w:tcPr>
            <w:tcW w:w="1227" w:type="dxa"/>
            <w:tcBorders>
              <w:top w:val="nil"/>
              <w:left w:val="nil"/>
              <w:bottom w:val="nil"/>
              <w:right w:val="nil"/>
            </w:tcBorders>
            <w:shd w:val="clear" w:color="auto" w:fill="auto"/>
            <w:noWrap/>
            <w:vAlign w:val="center"/>
            <w:hideMark/>
          </w:tcPr>
          <w:p w14:paraId="6A565F72"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1.69</w:t>
            </w:r>
          </w:p>
        </w:tc>
        <w:tc>
          <w:tcPr>
            <w:tcW w:w="1226" w:type="dxa"/>
            <w:tcBorders>
              <w:top w:val="nil"/>
              <w:left w:val="nil"/>
              <w:bottom w:val="nil"/>
              <w:right w:val="nil"/>
            </w:tcBorders>
            <w:shd w:val="clear" w:color="auto" w:fill="auto"/>
            <w:noWrap/>
            <w:vAlign w:val="center"/>
            <w:hideMark/>
          </w:tcPr>
          <w:p w14:paraId="0E9894F3"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1.60</w:t>
            </w:r>
          </w:p>
        </w:tc>
        <w:tc>
          <w:tcPr>
            <w:tcW w:w="1227" w:type="dxa"/>
            <w:tcBorders>
              <w:top w:val="nil"/>
              <w:left w:val="nil"/>
              <w:bottom w:val="nil"/>
              <w:right w:val="single" w:sz="4" w:space="0" w:color="auto"/>
            </w:tcBorders>
            <w:shd w:val="clear" w:color="auto" w:fill="auto"/>
            <w:noWrap/>
            <w:vAlign w:val="center"/>
            <w:hideMark/>
          </w:tcPr>
          <w:p w14:paraId="0E96DD69"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1.62</w:t>
            </w:r>
          </w:p>
        </w:tc>
      </w:tr>
      <w:tr w:rsidR="001C7826" w:rsidRPr="001C7826" w14:paraId="3F768688" w14:textId="77777777" w:rsidTr="00047E64">
        <w:trPr>
          <w:trHeight w:val="401"/>
        </w:trPr>
        <w:tc>
          <w:tcPr>
            <w:tcW w:w="2830" w:type="dxa"/>
            <w:tcBorders>
              <w:top w:val="nil"/>
              <w:left w:val="single" w:sz="4" w:space="0" w:color="auto"/>
              <w:bottom w:val="nil"/>
              <w:right w:val="nil"/>
            </w:tcBorders>
            <w:shd w:val="clear" w:color="auto" w:fill="auto"/>
            <w:noWrap/>
            <w:vAlign w:val="bottom"/>
            <w:hideMark/>
          </w:tcPr>
          <w:p w14:paraId="67024CC0"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 </w:t>
            </w:r>
          </w:p>
        </w:tc>
        <w:tc>
          <w:tcPr>
            <w:tcW w:w="1226" w:type="dxa"/>
            <w:tcBorders>
              <w:top w:val="nil"/>
              <w:left w:val="nil"/>
              <w:bottom w:val="nil"/>
              <w:right w:val="nil"/>
            </w:tcBorders>
            <w:shd w:val="clear" w:color="auto" w:fill="auto"/>
            <w:noWrap/>
            <w:vAlign w:val="bottom"/>
            <w:hideMark/>
          </w:tcPr>
          <w:p w14:paraId="5E47409C"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26" w:type="dxa"/>
            <w:tcBorders>
              <w:top w:val="nil"/>
              <w:left w:val="nil"/>
              <w:bottom w:val="nil"/>
              <w:right w:val="nil"/>
            </w:tcBorders>
            <w:shd w:val="clear" w:color="auto" w:fill="auto"/>
            <w:noWrap/>
            <w:vAlign w:val="bottom"/>
            <w:hideMark/>
          </w:tcPr>
          <w:p w14:paraId="6E8678DC"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27" w:type="dxa"/>
            <w:tcBorders>
              <w:top w:val="nil"/>
              <w:left w:val="nil"/>
              <w:bottom w:val="nil"/>
              <w:right w:val="nil"/>
            </w:tcBorders>
            <w:shd w:val="clear" w:color="auto" w:fill="auto"/>
            <w:noWrap/>
            <w:vAlign w:val="bottom"/>
            <w:hideMark/>
          </w:tcPr>
          <w:p w14:paraId="37D7881C"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26" w:type="dxa"/>
            <w:tcBorders>
              <w:top w:val="nil"/>
              <w:left w:val="nil"/>
              <w:bottom w:val="nil"/>
              <w:right w:val="nil"/>
            </w:tcBorders>
            <w:shd w:val="clear" w:color="auto" w:fill="auto"/>
            <w:noWrap/>
            <w:vAlign w:val="bottom"/>
            <w:hideMark/>
          </w:tcPr>
          <w:p w14:paraId="628D5B22"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27" w:type="dxa"/>
            <w:tcBorders>
              <w:top w:val="nil"/>
              <w:left w:val="nil"/>
              <w:bottom w:val="nil"/>
              <w:right w:val="single" w:sz="4" w:space="0" w:color="auto"/>
            </w:tcBorders>
            <w:shd w:val="clear" w:color="auto" w:fill="auto"/>
            <w:noWrap/>
            <w:vAlign w:val="bottom"/>
            <w:hideMark/>
          </w:tcPr>
          <w:p w14:paraId="63EE13B2"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 </w:t>
            </w:r>
          </w:p>
        </w:tc>
      </w:tr>
      <w:tr w:rsidR="001C7826" w:rsidRPr="001C7826" w14:paraId="7265944D" w14:textId="77777777" w:rsidTr="00047E64">
        <w:trPr>
          <w:trHeight w:val="401"/>
        </w:trPr>
        <w:tc>
          <w:tcPr>
            <w:tcW w:w="2830" w:type="dxa"/>
            <w:tcBorders>
              <w:top w:val="nil"/>
              <w:left w:val="single" w:sz="4" w:space="0" w:color="auto"/>
              <w:bottom w:val="nil"/>
              <w:right w:val="nil"/>
            </w:tcBorders>
            <w:shd w:val="clear" w:color="auto" w:fill="auto"/>
            <w:noWrap/>
            <w:vAlign w:val="center"/>
            <w:hideMark/>
          </w:tcPr>
          <w:p w14:paraId="4113D457"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Excluding childless women</w:t>
            </w:r>
          </w:p>
        </w:tc>
        <w:tc>
          <w:tcPr>
            <w:tcW w:w="1226" w:type="dxa"/>
            <w:tcBorders>
              <w:top w:val="nil"/>
              <w:left w:val="nil"/>
              <w:bottom w:val="nil"/>
              <w:right w:val="nil"/>
            </w:tcBorders>
            <w:shd w:val="clear" w:color="auto" w:fill="auto"/>
            <w:noWrap/>
            <w:vAlign w:val="bottom"/>
            <w:hideMark/>
          </w:tcPr>
          <w:p w14:paraId="30C5EBA4"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26" w:type="dxa"/>
            <w:tcBorders>
              <w:top w:val="nil"/>
              <w:left w:val="nil"/>
              <w:bottom w:val="nil"/>
              <w:right w:val="nil"/>
            </w:tcBorders>
            <w:shd w:val="clear" w:color="auto" w:fill="auto"/>
            <w:noWrap/>
            <w:vAlign w:val="bottom"/>
            <w:hideMark/>
          </w:tcPr>
          <w:p w14:paraId="33EDCAD8"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27" w:type="dxa"/>
            <w:tcBorders>
              <w:top w:val="nil"/>
              <w:left w:val="nil"/>
              <w:bottom w:val="nil"/>
              <w:right w:val="nil"/>
            </w:tcBorders>
            <w:shd w:val="clear" w:color="auto" w:fill="auto"/>
            <w:noWrap/>
            <w:vAlign w:val="bottom"/>
            <w:hideMark/>
          </w:tcPr>
          <w:p w14:paraId="448B9942"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26" w:type="dxa"/>
            <w:tcBorders>
              <w:top w:val="nil"/>
              <w:left w:val="nil"/>
              <w:bottom w:val="nil"/>
              <w:right w:val="nil"/>
            </w:tcBorders>
            <w:shd w:val="clear" w:color="auto" w:fill="auto"/>
            <w:noWrap/>
            <w:vAlign w:val="bottom"/>
            <w:hideMark/>
          </w:tcPr>
          <w:p w14:paraId="3A835C2F"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27" w:type="dxa"/>
            <w:tcBorders>
              <w:top w:val="nil"/>
              <w:left w:val="nil"/>
              <w:bottom w:val="nil"/>
              <w:right w:val="single" w:sz="4" w:space="0" w:color="auto"/>
            </w:tcBorders>
            <w:shd w:val="clear" w:color="auto" w:fill="auto"/>
            <w:noWrap/>
            <w:vAlign w:val="bottom"/>
            <w:hideMark/>
          </w:tcPr>
          <w:p w14:paraId="5C743D6E"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 </w:t>
            </w:r>
          </w:p>
        </w:tc>
      </w:tr>
      <w:tr w:rsidR="001C7826" w:rsidRPr="001C7826" w14:paraId="38DDF70F" w14:textId="77777777" w:rsidTr="00047E64">
        <w:trPr>
          <w:trHeight w:val="401"/>
        </w:trPr>
        <w:tc>
          <w:tcPr>
            <w:tcW w:w="2830" w:type="dxa"/>
            <w:tcBorders>
              <w:top w:val="nil"/>
              <w:left w:val="single" w:sz="4" w:space="0" w:color="auto"/>
              <w:bottom w:val="nil"/>
              <w:right w:val="nil"/>
            </w:tcBorders>
            <w:shd w:val="clear" w:color="auto" w:fill="auto"/>
            <w:noWrap/>
            <w:vAlign w:val="center"/>
            <w:hideMark/>
          </w:tcPr>
          <w:p w14:paraId="3DF74B07"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Low</w:t>
            </w:r>
          </w:p>
        </w:tc>
        <w:tc>
          <w:tcPr>
            <w:tcW w:w="1226" w:type="dxa"/>
            <w:tcBorders>
              <w:top w:val="nil"/>
              <w:left w:val="nil"/>
              <w:bottom w:val="nil"/>
              <w:right w:val="nil"/>
            </w:tcBorders>
            <w:shd w:val="clear" w:color="auto" w:fill="auto"/>
            <w:noWrap/>
            <w:vAlign w:val="center"/>
            <w:hideMark/>
          </w:tcPr>
          <w:p w14:paraId="53062B86"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2.23</w:t>
            </w:r>
          </w:p>
        </w:tc>
        <w:tc>
          <w:tcPr>
            <w:tcW w:w="1226" w:type="dxa"/>
            <w:tcBorders>
              <w:top w:val="nil"/>
              <w:left w:val="nil"/>
              <w:bottom w:val="nil"/>
              <w:right w:val="nil"/>
            </w:tcBorders>
            <w:shd w:val="clear" w:color="auto" w:fill="auto"/>
            <w:noWrap/>
            <w:vAlign w:val="center"/>
            <w:hideMark/>
          </w:tcPr>
          <w:p w14:paraId="2EC0A7A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2.20</w:t>
            </w:r>
          </w:p>
        </w:tc>
        <w:tc>
          <w:tcPr>
            <w:tcW w:w="1227" w:type="dxa"/>
            <w:tcBorders>
              <w:top w:val="nil"/>
              <w:left w:val="nil"/>
              <w:bottom w:val="nil"/>
              <w:right w:val="nil"/>
            </w:tcBorders>
            <w:shd w:val="clear" w:color="auto" w:fill="auto"/>
            <w:noWrap/>
            <w:vAlign w:val="center"/>
            <w:hideMark/>
          </w:tcPr>
          <w:p w14:paraId="2FED2BDB"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2.16</w:t>
            </w:r>
          </w:p>
        </w:tc>
        <w:tc>
          <w:tcPr>
            <w:tcW w:w="1226" w:type="dxa"/>
            <w:tcBorders>
              <w:top w:val="nil"/>
              <w:left w:val="nil"/>
              <w:bottom w:val="nil"/>
              <w:right w:val="nil"/>
            </w:tcBorders>
            <w:shd w:val="clear" w:color="auto" w:fill="auto"/>
            <w:noWrap/>
            <w:vAlign w:val="center"/>
            <w:hideMark/>
          </w:tcPr>
          <w:p w14:paraId="38B83724"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2.16</w:t>
            </w:r>
          </w:p>
        </w:tc>
        <w:tc>
          <w:tcPr>
            <w:tcW w:w="1227" w:type="dxa"/>
            <w:tcBorders>
              <w:top w:val="nil"/>
              <w:left w:val="nil"/>
              <w:bottom w:val="nil"/>
              <w:right w:val="single" w:sz="4" w:space="0" w:color="auto"/>
            </w:tcBorders>
            <w:shd w:val="clear" w:color="auto" w:fill="auto"/>
            <w:noWrap/>
            <w:vAlign w:val="center"/>
            <w:hideMark/>
          </w:tcPr>
          <w:p w14:paraId="0E283DF7"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2.21</w:t>
            </w:r>
          </w:p>
        </w:tc>
      </w:tr>
      <w:tr w:rsidR="001C7826" w:rsidRPr="001C7826" w14:paraId="7313AC64" w14:textId="77777777" w:rsidTr="00047E64">
        <w:trPr>
          <w:trHeight w:val="401"/>
        </w:trPr>
        <w:tc>
          <w:tcPr>
            <w:tcW w:w="2830" w:type="dxa"/>
            <w:tcBorders>
              <w:top w:val="nil"/>
              <w:left w:val="single" w:sz="4" w:space="0" w:color="auto"/>
              <w:bottom w:val="nil"/>
              <w:right w:val="nil"/>
            </w:tcBorders>
            <w:shd w:val="clear" w:color="auto" w:fill="auto"/>
            <w:noWrap/>
            <w:vAlign w:val="center"/>
            <w:hideMark/>
          </w:tcPr>
          <w:p w14:paraId="365BDB7B"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Medium</w:t>
            </w:r>
          </w:p>
        </w:tc>
        <w:tc>
          <w:tcPr>
            <w:tcW w:w="1226" w:type="dxa"/>
            <w:tcBorders>
              <w:top w:val="nil"/>
              <w:left w:val="nil"/>
              <w:bottom w:val="nil"/>
              <w:right w:val="nil"/>
            </w:tcBorders>
            <w:shd w:val="clear" w:color="auto" w:fill="auto"/>
            <w:noWrap/>
            <w:vAlign w:val="center"/>
            <w:hideMark/>
          </w:tcPr>
          <w:p w14:paraId="7CFFE023"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2.13</w:t>
            </w:r>
          </w:p>
        </w:tc>
        <w:tc>
          <w:tcPr>
            <w:tcW w:w="1226" w:type="dxa"/>
            <w:tcBorders>
              <w:top w:val="nil"/>
              <w:left w:val="nil"/>
              <w:bottom w:val="nil"/>
              <w:right w:val="nil"/>
            </w:tcBorders>
            <w:shd w:val="clear" w:color="auto" w:fill="auto"/>
            <w:noWrap/>
            <w:vAlign w:val="center"/>
            <w:hideMark/>
          </w:tcPr>
          <w:p w14:paraId="7F46927A"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2.10</w:t>
            </w:r>
          </w:p>
        </w:tc>
        <w:tc>
          <w:tcPr>
            <w:tcW w:w="1227" w:type="dxa"/>
            <w:tcBorders>
              <w:top w:val="nil"/>
              <w:left w:val="nil"/>
              <w:bottom w:val="nil"/>
              <w:right w:val="nil"/>
            </w:tcBorders>
            <w:shd w:val="clear" w:color="auto" w:fill="auto"/>
            <w:noWrap/>
            <w:vAlign w:val="center"/>
            <w:hideMark/>
          </w:tcPr>
          <w:p w14:paraId="516E4496"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2.03</w:t>
            </w:r>
          </w:p>
        </w:tc>
        <w:tc>
          <w:tcPr>
            <w:tcW w:w="1226" w:type="dxa"/>
            <w:tcBorders>
              <w:top w:val="nil"/>
              <w:left w:val="nil"/>
              <w:bottom w:val="nil"/>
              <w:right w:val="nil"/>
            </w:tcBorders>
            <w:shd w:val="clear" w:color="auto" w:fill="auto"/>
            <w:noWrap/>
            <w:vAlign w:val="center"/>
            <w:hideMark/>
          </w:tcPr>
          <w:p w14:paraId="0E4A087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2.03</w:t>
            </w:r>
          </w:p>
        </w:tc>
        <w:tc>
          <w:tcPr>
            <w:tcW w:w="1227" w:type="dxa"/>
            <w:tcBorders>
              <w:top w:val="nil"/>
              <w:left w:val="nil"/>
              <w:bottom w:val="nil"/>
              <w:right w:val="single" w:sz="4" w:space="0" w:color="auto"/>
            </w:tcBorders>
            <w:shd w:val="clear" w:color="auto" w:fill="auto"/>
            <w:noWrap/>
            <w:vAlign w:val="center"/>
            <w:hideMark/>
          </w:tcPr>
          <w:p w14:paraId="4934364B"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2.01</w:t>
            </w:r>
          </w:p>
        </w:tc>
      </w:tr>
      <w:tr w:rsidR="001C7826" w:rsidRPr="001C7826" w14:paraId="7E21FCF1" w14:textId="77777777" w:rsidTr="00047E64">
        <w:trPr>
          <w:trHeight w:val="401"/>
        </w:trPr>
        <w:tc>
          <w:tcPr>
            <w:tcW w:w="2830" w:type="dxa"/>
            <w:tcBorders>
              <w:top w:val="nil"/>
              <w:left w:val="single" w:sz="4" w:space="0" w:color="auto"/>
              <w:bottom w:val="nil"/>
              <w:right w:val="nil"/>
            </w:tcBorders>
            <w:shd w:val="clear" w:color="auto" w:fill="auto"/>
            <w:noWrap/>
            <w:vAlign w:val="center"/>
            <w:hideMark/>
          </w:tcPr>
          <w:p w14:paraId="54C96DAA"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High</w:t>
            </w:r>
          </w:p>
        </w:tc>
        <w:tc>
          <w:tcPr>
            <w:tcW w:w="1226" w:type="dxa"/>
            <w:tcBorders>
              <w:top w:val="nil"/>
              <w:left w:val="nil"/>
              <w:bottom w:val="nil"/>
              <w:right w:val="nil"/>
            </w:tcBorders>
            <w:shd w:val="clear" w:color="auto" w:fill="auto"/>
            <w:noWrap/>
            <w:vAlign w:val="center"/>
            <w:hideMark/>
          </w:tcPr>
          <w:p w14:paraId="4E80FDFB"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2.14</w:t>
            </w:r>
          </w:p>
        </w:tc>
        <w:tc>
          <w:tcPr>
            <w:tcW w:w="1226" w:type="dxa"/>
            <w:tcBorders>
              <w:top w:val="nil"/>
              <w:left w:val="nil"/>
              <w:bottom w:val="nil"/>
              <w:right w:val="nil"/>
            </w:tcBorders>
            <w:shd w:val="clear" w:color="auto" w:fill="auto"/>
            <w:noWrap/>
            <w:vAlign w:val="center"/>
            <w:hideMark/>
          </w:tcPr>
          <w:p w14:paraId="459C5D40"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2.12</w:t>
            </w:r>
          </w:p>
        </w:tc>
        <w:tc>
          <w:tcPr>
            <w:tcW w:w="1227" w:type="dxa"/>
            <w:tcBorders>
              <w:top w:val="nil"/>
              <w:left w:val="nil"/>
              <w:bottom w:val="nil"/>
              <w:right w:val="nil"/>
            </w:tcBorders>
            <w:shd w:val="clear" w:color="auto" w:fill="auto"/>
            <w:noWrap/>
            <w:vAlign w:val="center"/>
            <w:hideMark/>
          </w:tcPr>
          <w:p w14:paraId="1AB23CA4"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2.00</w:t>
            </w:r>
          </w:p>
        </w:tc>
        <w:tc>
          <w:tcPr>
            <w:tcW w:w="1226" w:type="dxa"/>
            <w:tcBorders>
              <w:top w:val="nil"/>
              <w:left w:val="nil"/>
              <w:bottom w:val="nil"/>
              <w:right w:val="nil"/>
            </w:tcBorders>
            <w:shd w:val="clear" w:color="auto" w:fill="auto"/>
            <w:noWrap/>
            <w:vAlign w:val="center"/>
            <w:hideMark/>
          </w:tcPr>
          <w:p w14:paraId="42CD11A1"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1.95</w:t>
            </w:r>
          </w:p>
        </w:tc>
        <w:tc>
          <w:tcPr>
            <w:tcW w:w="1227" w:type="dxa"/>
            <w:tcBorders>
              <w:top w:val="nil"/>
              <w:left w:val="nil"/>
              <w:bottom w:val="nil"/>
              <w:right w:val="single" w:sz="4" w:space="0" w:color="auto"/>
            </w:tcBorders>
            <w:shd w:val="clear" w:color="auto" w:fill="auto"/>
            <w:noWrap/>
            <w:vAlign w:val="center"/>
            <w:hideMark/>
          </w:tcPr>
          <w:p w14:paraId="502A3437"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1.97</w:t>
            </w:r>
          </w:p>
        </w:tc>
      </w:tr>
      <w:tr w:rsidR="001C7826" w:rsidRPr="001C7826" w14:paraId="6F61DFC0" w14:textId="77777777" w:rsidTr="00047E64">
        <w:trPr>
          <w:trHeight w:val="401"/>
        </w:trPr>
        <w:tc>
          <w:tcPr>
            <w:tcW w:w="2830" w:type="dxa"/>
            <w:tcBorders>
              <w:top w:val="nil"/>
              <w:left w:val="single" w:sz="4" w:space="0" w:color="auto"/>
              <w:bottom w:val="single" w:sz="4" w:space="0" w:color="auto"/>
              <w:right w:val="nil"/>
            </w:tcBorders>
            <w:shd w:val="clear" w:color="auto" w:fill="auto"/>
            <w:noWrap/>
            <w:vAlign w:val="center"/>
            <w:hideMark/>
          </w:tcPr>
          <w:p w14:paraId="78F19705"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All</w:t>
            </w:r>
          </w:p>
        </w:tc>
        <w:tc>
          <w:tcPr>
            <w:tcW w:w="1226" w:type="dxa"/>
            <w:tcBorders>
              <w:top w:val="nil"/>
              <w:left w:val="nil"/>
              <w:bottom w:val="single" w:sz="4" w:space="0" w:color="auto"/>
              <w:right w:val="nil"/>
            </w:tcBorders>
            <w:shd w:val="clear" w:color="auto" w:fill="auto"/>
            <w:noWrap/>
            <w:vAlign w:val="center"/>
            <w:hideMark/>
          </w:tcPr>
          <w:p w14:paraId="673B8331"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2.20</w:t>
            </w:r>
          </w:p>
        </w:tc>
        <w:tc>
          <w:tcPr>
            <w:tcW w:w="1226" w:type="dxa"/>
            <w:tcBorders>
              <w:top w:val="nil"/>
              <w:left w:val="nil"/>
              <w:bottom w:val="single" w:sz="4" w:space="0" w:color="auto"/>
              <w:right w:val="nil"/>
            </w:tcBorders>
            <w:shd w:val="clear" w:color="auto" w:fill="auto"/>
            <w:noWrap/>
            <w:vAlign w:val="center"/>
            <w:hideMark/>
          </w:tcPr>
          <w:p w14:paraId="7124C9B0"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2.17</w:t>
            </w:r>
          </w:p>
        </w:tc>
        <w:tc>
          <w:tcPr>
            <w:tcW w:w="1227" w:type="dxa"/>
            <w:tcBorders>
              <w:top w:val="nil"/>
              <w:left w:val="nil"/>
              <w:bottom w:val="single" w:sz="4" w:space="0" w:color="auto"/>
              <w:right w:val="nil"/>
            </w:tcBorders>
            <w:shd w:val="clear" w:color="auto" w:fill="auto"/>
            <w:noWrap/>
            <w:vAlign w:val="center"/>
            <w:hideMark/>
          </w:tcPr>
          <w:p w14:paraId="2B5A4B71"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2.10</w:t>
            </w:r>
          </w:p>
        </w:tc>
        <w:tc>
          <w:tcPr>
            <w:tcW w:w="1226" w:type="dxa"/>
            <w:tcBorders>
              <w:top w:val="nil"/>
              <w:left w:val="nil"/>
              <w:bottom w:val="single" w:sz="4" w:space="0" w:color="auto"/>
              <w:right w:val="nil"/>
            </w:tcBorders>
            <w:shd w:val="clear" w:color="auto" w:fill="auto"/>
            <w:noWrap/>
            <w:vAlign w:val="center"/>
            <w:hideMark/>
          </w:tcPr>
          <w:p w14:paraId="420CF41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2.06</w:t>
            </w:r>
          </w:p>
        </w:tc>
        <w:tc>
          <w:tcPr>
            <w:tcW w:w="1227" w:type="dxa"/>
            <w:tcBorders>
              <w:top w:val="nil"/>
              <w:left w:val="nil"/>
              <w:bottom w:val="single" w:sz="4" w:space="0" w:color="auto"/>
              <w:right w:val="single" w:sz="4" w:space="0" w:color="auto"/>
            </w:tcBorders>
            <w:shd w:val="clear" w:color="auto" w:fill="auto"/>
            <w:noWrap/>
            <w:vAlign w:val="center"/>
            <w:hideMark/>
          </w:tcPr>
          <w:p w14:paraId="05FDA9A5"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2.06</w:t>
            </w:r>
          </w:p>
        </w:tc>
      </w:tr>
    </w:tbl>
    <w:p w14:paraId="573EA5D3" w14:textId="6CB29C19" w:rsidR="001C7826" w:rsidRDefault="001C7826" w:rsidP="001C7826">
      <w:pPr>
        <w:rPr>
          <w:lang w:val="en-GB"/>
        </w:rPr>
      </w:pPr>
      <w:r w:rsidRPr="00D90C11">
        <w:rPr>
          <w:i/>
          <w:iCs/>
        </w:rPr>
        <w:t>Source: Scottish Longitudinal Study</w:t>
      </w:r>
    </w:p>
    <w:p w14:paraId="5402A47D" w14:textId="5B21A907" w:rsidR="001C7826" w:rsidRDefault="001C7826" w:rsidP="001C7826">
      <w:pPr>
        <w:pStyle w:val="Heading4"/>
      </w:pPr>
      <w:r>
        <w:t>Northern Ireland</w:t>
      </w:r>
    </w:p>
    <w:tbl>
      <w:tblPr>
        <w:tblW w:w="8897" w:type="dxa"/>
        <w:tblLayout w:type="fixed"/>
        <w:tblLook w:val="04A0" w:firstRow="1" w:lastRow="0" w:firstColumn="1" w:lastColumn="0" w:noHBand="0" w:noVBand="1"/>
      </w:tblPr>
      <w:tblGrid>
        <w:gridCol w:w="2830"/>
        <w:gridCol w:w="1213"/>
        <w:gridCol w:w="1213"/>
        <w:gridCol w:w="1214"/>
        <w:gridCol w:w="1213"/>
        <w:gridCol w:w="1214"/>
      </w:tblGrid>
      <w:tr w:rsidR="001C7826" w:rsidRPr="001C7826" w14:paraId="4DC629FF" w14:textId="77777777" w:rsidTr="00047E64">
        <w:trPr>
          <w:trHeight w:val="390"/>
        </w:trPr>
        <w:tc>
          <w:tcPr>
            <w:tcW w:w="2830" w:type="dxa"/>
            <w:tcBorders>
              <w:top w:val="single" w:sz="4" w:space="0" w:color="auto"/>
              <w:left w:val="single" w:sz="4" w:space="0" w:color="auto"/>
              <w:bottom w:val="nil"/>
              <w:right w:val="nil"/>
            </w:tcBorders>
            <w:shd w:val="clear" w:color="auto" w:fill="auto"/>
            <w:noWrap/>
            <w:vAlign w:val="bottom"/>
            <w:hideMark/>
          </w:tcPr>
          <w:p w14:paraId="1C4DACCC"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 </w:t>
            </w:r>
          </w:p>
        </w:tc>
        <w:tc>
          <w:tcPr>
            <w:tcW w:w="6067" w:type="dxa"/>
            <w:gridSpan w:val="5"/>
            <w:tcBorders>
              <w:top w:val="single" w:sz="4" w:space="0" w:color="auto"/>
              <w:left w:val="nil"/>
              <w:bottom w:val="nil"/>
              <w:right w:val="single" w:sz="4" w:space="0" w:color="000000"/>
            </w:tcBorders>
            <w:shd w:val="clear" w:color="auto" w:fill="auto"/>
            <w:noWrap/>
            <w:vAlign w:val="center"/>
            <w:hideMark/>
          </w:tcPr>
          <w:p w14:paraId="6AEAD3A4" w14:textId="77777777" w:rsidR="001C7826" w:rsidRPr="001C7826" w:rsidRDefault="001C7826" w:rsidP="001C7826">
            <w:pPr>
              <w:spacing w:after="0" w:line="240" w:lineRule="auto"/>
              <w:jc w:val="center"/>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Birth cohort</w:t>
            </w:r>
          </w:p>
        </w:tc>
      </w:tr>
      <w:tr w:rsidR="001C7826" w:rsidRPr="001C7826" w14:paraId="20B42932" w14:textId="77777777" w:rsidTr="00047E64">
        <w:trPr>
          <w:trHeight w:val="390"/>
        </w:trPr>
        <w:tc>
          <w:tcPr>
            <w:tcW w:w="2830" w:type="dxa"/>
            <w:tcBorders>
              <w:top w:val="nil"/>
              <w:left w:val="single" w:sz="4" w:space="0" w:color="auto"/>
              <w:bottom w:val="nil"/>
              <w:right w:val="nil"/>
            </w:tcBorders>
            <w:shd w:val="clear" w:color="auto" w:fill="auto"/>
            <w:noWrap/>
            <w:vAlign w:val="bottom"/>
            <w:hideMark/>
          </w:tcPr>
          <w:p w14:paraId="4645F95F"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All women</w:t>
            </w:r>
          </w:p>
        </w:tc>
        <w:tc>
          <w:tcPr>
            <w:tcW w:w="1213" w:type="dxa"/>
            <w:tcBorders>
              <w:top w:val="nil"/>
              <w:left w:val="nil"/>
              <w:bottom w:val="nil"/>
              <w:right w:val="nil"/>
            </w:tcBorders>
            <w:shd w:val="clear" w:color="auto" w:fill="auto"/>
            <w:noWrap/>
            <w:vAlign w:val="center"/>
            <w:hideMark/>
          </w:tcPr>
          <w:p w14:paraId="057C9445"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1956-59</w:t>
            </w:r>
          </w:p>
        </w:tc>
        <w:tc>
          <w:tcPr>
            <w:tcW w:w="1213" w:type="dxa"/>
            <w:tcBorders>
              <w:top w:val="nil"/>
              <w:left w:val="nil"/>
              <w:bottom w:val="nil"/>
              <w:right w:val="nil"/>
            </w:tcBorders>
            <w:shd w:val="clear" w:color="auto" w:fill="auto"/>
            <w:noWrap/>
            <w:vAlign w:val="center"/>
            <w:hideMark/>
          </w:tcPr>
          <w:p w14:paraId="1750DDFB"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1960-64</w:t>
            </w:r>
          </w:p>
        </w:tc>
        <w:tc>
          <w:tcPr>
            <w:tcW w:w="1214" w:type="dxa"/>
            <w:tcBorders>
              <w:top w:val="nil"/>
              <w:left w:val="nil"/>
              <w:bottom w:val="nil"/>
              <w:right w:val="nil"/>
            </w:tcBorders>
            <w:shd w:val="clear" w:color="auto" w:fill="auto"/>
            <w:noWrap/>
            <w:vAlign w:val="center"/>
            <w:hideMark/>
          </w:tcPr>
          <w:p w14:paraId="1460A188"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1966-69</w:t>
            </w:r>
          </w:p>
        </w:tc>
        <w:tc>
          <w:tcPr>
            <w:tcW w:w="1213" w:type="dxa"/>
            <w:tcBorders>
              <w:top w:val="nil"/>
              <w:left w:val="nil"/>
              <w:bottom w:val="nil"/>
              <w:right w:val="nil"/>
            </w:tcBorders>
            <w:shd w:val="clear" w:color="auto" w:fill="auto"/>
            <w:noWrap/>
            <w:vAlign w:val="center"/>
            <w:hideMark/>
          </w:tcPr>
          <w:p w14:paraId="5A218C7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1970-74</w:t>
            </w:r>
          </w:p>
        </w:tc>
        <w:tc>
          <w:tcPr>
            <w:tcW w:w="1214" w:type="dxa"/>
            <w:tcBorders>
              <w:top w:val="nil"/>
              <w:left w:val="nil"/>
              <w:bottom w:val="nil"/>
              <w:right w:val="single" w:sz="4" w:space="0" w:color="auto"/>
            </w:tcBorders>
            <w:shd w:val="clear" w:color="auto" w:fill="auto"/>
            <w:noWrap/>
            <w:vAlign w:val="center"/>
            <w:hideMark/>
          </w:tcPr>
          <w:p w14:paraId="54176615"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1975-78</w:t>
            </w:r>
          </w:p>
        </w:tc>
      </w:tr>
      <w:tr w:rsidR="001C7826" w:rsidRPr="001C7826" w14:paraId="09853DCD" w14:textId="77777777" w:rsidTr="00047E64">
        <w:trPr>
          <w:trHeight w:val="390"/>
        </w:trPr>
        <w:tc>
          <w:tcPr>
            <w:tcW w:w="2830" w:type="dxa"/>
            <w:tcBorders>
              <w:top w:val="nil"/>
              <w:left w:val="single" w:sz="4" w:space="0" w:color="auto"/>
              <w:bottom w:val="nil"/>
              <w:right w:val="nil"/>
            </w:tcBorders>
            <w:shd w:val="clear" w:color="auto" w:fill="auto"/>
            <w:noWrap/>
            <w:vAlign w:val="center"/>
            <w:hideMark/>
          </w:tcPr>
          <w:p w14:paraId="3A9D166A"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Low</w:t>
            </w:r>
          </w:p>
        </w:tc>
        <w:tc>
          <w:tcPr>
            <w:tcW w:w="1213" w:type="dxa"/>
            <w:tcBorders>
              <w:top w:val="nil"/>
              <w:left w:val="nil"/>
              <w:bottom w:val="nil"/>
              <w:right w:val="nil"/>
            </w:tcBorders>
            <w:shd w:val="clear" w:color="auto" w:fill="auto"/>
            <w:noWrap/>
            <w:vAlign w:val="center"/>
            <w:hideMark/>
          </w:tcPr>
          <w:p w14:paraId="3771C3A4"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13" w:type="dxa"/>
            <w:tcBorders>
              <w:top w:val="nil"/>
              <w:left w:val="nil"/>
              <w:bottom w:val="nil"/>
              <w:right w:val="nil"/>
            </w:tcBorders>
            <w:shd w:val="clear" w:color="auto" w:fill="auto"/>
            <w:noWrap/>
            <w:vAlign w:val="center"/>
            <w:hideMark/>
          </w:tcPr>
          <w:p w14:paraId="226B29F8" w14:textId="77777777" w:rsidR="001C7826" w:rsidRPr="001C7826" w:rsidRDefault="001C7826" w:rsidP="001C7826">
            <w:pPr>
              <w:spacing w:after="0" w:line="240" w:lineRule="auto"/>
              <w:jc w:val="right"/>
              <w:rPr>
                <w:rFonts w:ascii="Times New Roman" w:eastAsia="Times New Roman" w:hAnsi="Times New Roman" w:cs="Times New Roman"/>
                <w:szCs w:val="24"/>
                <w:lang w:val="en-GB" w:eastAsia="en-GB"/>
              </w:rPr>
            </w:pPr>
          </w:p>
        </w:tc>
        <w:tc>
          <w:tcPr>
            <w:tcW w:w="1214" w:type="dxa"/>
            <w:tcBorders>
              <w:top w:val="nil"/>
              <w:left w:val="nil"/>
              <w:bottom w:val="nil"/>
              <w:right w:val="nil"/>
            </w:tcBorders>
            <w:shd w:val="clear" w:color="auto" w:fill="auto"/>
            <w:noWrap/>
            <w:vAlign w:val="center"/>
            <w:hideMark/>
          </w:tcPr>
          <w:p w14:paraId="0435DC33"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2.01</w:t>
            </w:r>
          </w:p>
        </w:tc>
        <w:tc>
          <w:tcPr>
            <w:tcW w:w="1213" w:type="dxa"/>
            <w:tcBorders>
              <w:top w:val="nil"/>
              <w:left w:val="nil"/>
              <w:bottom w:val="nil"/>
              <w:right w:val="nil"/>
            </w:tcBorders>
            <w:shd w:val="clear" w:color="auto" w:fill="auto"/>
            <w:noWrap/>
            <w:vAlign w:val="center"/>
            <w:hideMark/>
          </w:tcPr>
          <w:p w14:paraId="214D407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1.97</w:t>
            </w:r>
          </w:p>
        </w:tc>
        <w:tc>
          <w:tcPr>
            <w:tcW w:w="1214" w:type="dxa"/>
            <w:tcBorders>
              <w:top w:val="nil"/>
              <w:left w:val="nil"/>
              <w:bottom w:val="nil"/>
              <w:right w:val="single" w:sz="4" w:space="0" w:color="auto"/>
            </w:tcBorders>
            <w:shd w:val="clear" w:color="auto" w:fill="auto"/>
            <w:noWrap/>
            <w:vAlign w:val="center"/>
            <w:hideMark/>
          </w:tcPr>
          <w:p w14:paraId="2BAF921D"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2.05</w:t>
            </w:r>
          </w:p>
        </w:tc>
      </w:tr>
      <w:tr w:rsidR="001C7826" w:rsidRPr="001C7826" w14:paraId="61A996D1" w14:textId="77777777" w:rsidTr="00047E64">
        <w:trPr>
          <w:trHeight w:val="390"/>
        </w:trPr>
        <w:tc>
          <w:tcPr>
            <w:tcW w:w="2830" w:type="dxa"/>
            <w:tcBorders>
              <w:top w:val="nil"/>
              <w:left w:val="single" w:sz="4" w:space="0" w:color="auto"/>
              <w:bottom w:val="nil"/>
              <w:right w:val="nil"/>
            </w:tcBorders>
            <w:shd w:val="clear" w:color="auto" w:fill="auto"/>
            <w:noWrap/>
            <w:vAlign w:val="center"/>
            <w:hideMark/>
          </w:tcPr>
          <w:p w14:paraId="57A09E17"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Medium</w:t>
            </w:r>
          </w:p>
        </w:tc>
        <w:tc>
          <w:tcPr>
            <w:tcW w:w="1213" w:type="dxa"/>
            <w:tcBorders>
              <w:top w:val="nil"/>
              <w:left w:val="nil"/>
              <w:bottom w:val="nil"/>
              <w:right w:val="nil"/>
            </w:tcBorders>
            <w:shd w:val="clear" w:color="auto" w:fill="auto"/>
            <w:noWrap/>
            <w:vAlign w:val="center"/>
            <w:hideMark/>
          </w:tcPr>
          <w:p w14:paraId="47DDB02C"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13" w:type="dxa"/>
            <w:tcBorders>
              <w:top w:val="nil"/>
              <w:left w:val="nil"/>
              <w:bottom w:val="nil"/>
              <w:right w:val="nil"/>
            </w:tcBorders>
            <w:shd w:val="clear" w:color="auto" w:fill="auto"/>
            <w:noWrap/>
            <w:vAlign w:val="center"/>
            <w:hideMark/>
          </w:tcPr>
          <w:p w14:paraId="1EBC5D54" w14:textId="77777777" w:rsidR="001C7826" w:rsidRPr="001C7826" w:rsidRDefault="001C7826" w:rsidP="001C7826">
            <w:pPr>
              <w:spacing w:after="0" w:line="240" w:lineRule="auto"/>
              <w:jc w:val="right"/>
              <w:rPr>
                <w:rFonts w:ascii="Times New Roman" w:eastAsia="Times New Roman" w:hAnsi="Times New Roman" w:cs="Times New Roman"/>
                <w:szCs w:val="24"/>
                <w:lang w:val="en-GB" w:eastAsia="en-GB"/>
              </w:rPr>
            </w:pPr>
          </w:p>
        </w:tc>
        <w:tc>
          <w:tcPr>
            <w:tcW w:w="1214" w:type="dxa"/>
            <w:tcBorders>
              <w:top w:val="nil"/>
              <w:left w:val="nil"/>
              <w:bottom w:val="nil"/>
              <w:right w:val="nil"/>
            </w:tcBorders>
            <w:shd w:val="clear" w:color="auto" w:fill="auto"/>
            <w:noWrap/>
            <w:vAlign w:val="center"/>
            <w:hideMark/>
          </w:tcPr>
          <w:p w14:paraId="3B553516"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1.85</w:t>
            </w:r>
          </w:p>
        </w:tc>
        <w:tc>
          <w:tcPr>
            <w:tcW w:w="1213" w:type="dxa"/>
            <w:tcBorders>
              <w:top w:val="nil"/>
              <w:left w:val="nil"/>
              <w:bottom w:val="nil"/>
              <w:right w:val="nil"/>
            </w:tcBorders>
            <w:shd w:val="clear" w:color="auto" w:fill="auto"/>
            <w:noWrap/>
            <w:vAlign w:val="center"/>
            <w:hideMark/>
          </w:tcPr>
          <w:p w14:paraId="4EE2511A"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1.84</w:t>
            </w:r>
          </w:p>
        </w:tc>
        <w:tc>
          <w:tcPr>
            <w:tcW w:w="1214" w:type="dxa"/>
            <w:tcBorders>
              <w:top w:val="nil"/>
              <w:left w:val="nil"/>
              <w:bottom w:val="nil"/>
              <w:right w:val="single" w:sz="4" w:space="0" w:color="auto"/>
            </w:tcBorders>
            <w:shd w:val="clear" w:color="auto" w:fill="auto"/>
            <w:noWrap/>
            <w:vAlign w:val="center"/>
            <w:hideMark/>
          </w:tcPr>
          <w:p w14:paraId="5B4E308E"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1.93</w:t>
            </w:r>
          </w:p>
        </w:tc>
      </w:tr>
      <w:tr w:rsidR="001C7826" w:rsidRPr="001C7826" w14:paraId="78A260CF" w14:textId="77777777" w:rsidTr="00047E64">
        <w:trPr>
          <w:trHeight w:val="390"/>
        </w:trPr>
        <w:tc>
          <w:tcPr>
            <w:tcW w:w="2830" w:type="dxa"/>
            <w:tcBorders>
              <w:top w:val="nil"/>
              <w:left w:val="single" w:sz="4" w:space="0" w:color="auto"/>
              <w:bottom w:val="nil"/>
              <w:right w:val="nil"/>
            </w:tcBorders>
            <w:shd w:val="clear" w:color="auto" w:fill="auto"/>
            <w:noWrap/>
            <w:vAlign w:val="center"/>
            <w:hideMark/>
          </w:tcPr>
          <w:p w14:paraId="420BCAF5"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High</w:t>
            </w:r>
          </w:p>
        </w:tc>
        <w:tc>
          <w:tcPr>
            <w:tcW w:w="1213" w:type="dxa"/>
            <w:tcBorders>
              <w:top w:val="nil"/>
              <w:left w:val="nil"/>
              <w:bottom w:val="nil"/>
              <w:right w:val="nil"/>
            </w:tcBorders>
            <w:shd w:val="clear" w:color="auto" w:fill="auto"/>
            <w:noWrap/>
            <w:vAlign w:val="center"/>
            <w:hideMark/>
          </w:tcPr>
          <w:p w14:paraId="5975FC95"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13" w:type="dxa"/>
            <w:tcBorders>
              <w:top w:val="nil"/>
              <w:left w:val="nil"/>
              <w:bottom w:val="nil"/>
              <w:right w:val="nil"/>
            </w:tcBorders>
            <w:shd w:val="clear" w:color="auto" w:fill="auto"/>
            <w:noWrap/>
            <w:vAlign w:val="center"/>
            <w:hideMark/>
          </w:tcPr>
          <w:p w14:paraId="1E67C955" w14:textId="77777777" w:rsidR="001C7826" w:rsidRPr="001C7826" w:rsidRDefault="001C7826" w:rsidP="001C7826">
            <w:pPr>
              <w:spacing w:after="0" w:line="240" w:lineRule="auto"/>
              <w:jc w:val="right"/>
              <w:rPr>
                <w:rFonts w:ascii="Times New Roman" w:eastAsia="Times New Roman" w:hAnsi="Times New Roman" w:cs="Times New Roman"/>
                <w:szCs w:val="24"/>
                <w:lang w:val="en-GB" w:eastAsia="en-GB"/>
              </w:rPr>
            </w:pPr>
          </w:p>
        </w:tc>
        <w:tc>
          <w:tcPr>
            <w:tcW w:w="1214" w:type="dxa"/>
            <w:tcBorders>
              <w:top w:val="nil"/>
              <w:left w:val="nil"/>
              <w:bottom w:val="nil"/>
              <w:right w:val="nil"/>
            </w:tcBorders>
            <w:shd w:val="clear" w:color="auto" w:fill="auto"/>
            <w:noWrap/>
            <w:vAlign w:val="center"/>
            <w:hideMark/>
          </w:tcPr>
          <w:p w14:paraId="0EA37642"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1.75</w:t>
            </w:r>
          </w:p>
        </w:tc>
        <w:tc>
          <w:tcPr>
            <w:tcW w:w="1213" w:type="dxa"/>
            <w:tcBorders>
              <w:top w:val="nil"/>
              <w:left w:val="nil"/>
              <w:bottom w:val="nil"/>
              <w:right w:val="nil"/>
            </w:tcBorders>
            <w:shd w:val="clear" w:color="auto" w:fill="auto"/>
            <w:noWrap/>
            <w:vAlign w:val="center"/>
            <w:hideMark/>
          </w:tcPr>
          <w:p w14:paraId="2FFC742E"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1.76</w:t>
            </w:r>
          </w:p>
        </w:tc>
        <w:tc>
          <w:tcPr>
            <w:tcW w:w="1214" w:type="dxa"/>
            <w:tcBorders>
              <w:top w:val="nil"/>
              <w:left w:val="nil"/>
              <w:bottom w:val="nil"/>
              <w:right w:val="single" w:sz="4" w:space="0" w:color="auto"/>
            </w:tcBorders>
            <w:shd w:val="clear" w:color="auto" w:fill="auto"/>
            <w:noWrap/>
            <w:vAlign w:val="center"/>
            <w:hideMark/>
          </w:tcPr>
          <w:p w14:paraId="0301D704"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1.78</w:t>
            </w:r>
          </w:p>
        </w:tc>
      </w:tr>
      <w:tr w:rsidR="001C7826" w:rsidRPr="001C7826" w14:paraId="6A264D83" w14:textId="77777777" w:rsidTr="00047E64">
        <w:trPr>
          <w:trHeight w:val="390"/>
        </w:trPr>
        <w:tc>
          <w:tcPr>
            <w:tcW w:w="2830" w:type="dxa"/>
            <w:tcBorders>
              <w:top w:val="nil"/>
              <w:left w:val="single" w:sz="4" w:space="0" w:color="auto"/>
              <w:bottom w:val="nil"/>
              <w:right w:val="nil"/>
            </w:tcBorders>
            <w:shd w:val="clear" w:color="auto" w:fill="auto"/>
            <w:noWrap/>
            <w:vAlign w:val="center"/>
            <w:hideMark/>
          </w:tcPr>
          <w:p w14:paraId="0868D36D"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All</w:t>
            </w:r>
          </w:p>
        </w:tc>
        <w:tc>
          <w:tcPr>
            <w:tcW w:w="1213" w:type="dxa"/>
            <w:tcBorders>
              <w:top w:val="nil"/>
              <w:left w:val="nil"/>
              <w:bottom w:val="nil"/>
              <w:right w:val="nil"/>
            </w:tcBorders>
            <w:shd w:val="clear" w:color="auto" w:fill="auto"/>
            <w:noWrap/>
            <w:vAlign w:val="center"/>
            <w:hideMark/>
          </w:tcPr>
          <w:p w14:paraId="3883A822"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13" w:type="dxa"/>
            <w:tcBorders>
              <w:top w:val="nil"/>
              <w:left w:val="nil"/>
              <w:bottom w:val="nil"/>
              <w:right w:val="nil"/>
            </w:tcBorders>
            <w:shd w:val="clear" w:color="auto" w:fill="auto"/>
            <w:noWrap/>
            <w:vAlign w:val="center"/>
            <w:hideMark/>
          </w:tcPr>
          <w:p w14:paraId="2DD5E849" w14:textId="77777777" w:rsidR="001C7826" w:rsidRPr="001C7826" w:rsidRDefault="001C7826" w:rsidP="001C7826">
            <w:pPr>
              <w:spacing w:after="0" w:line="240" w:lineRule="auto"/>
              <w:jc w:val="right"/>
              <w:rPr>
                <w:rFonts w:ascii="Times New Roman" w:eastAsia="Times New Roman" w:hAnsi="Times New Roman" w:cs="Times New Roman"/>
                <w:szCs w:val="24"/>
                <w:lang w:val="en-GB" w:eastAsia="en-GB"/>
              </w:rPr>
            </w:pPr>
          </w:p>
        </w:tc>
        <w:tc>
          <w:tcPr>
            <w:tcW w:w="1214" w:type="dxa"/>
            <w:tcBorders>
              <w:top w:val="nil"/>
              <w:left w:val="nil"/>
              <w:bottom w:val="nil"/>
              <w:right w:val="nil"/>
            </w:tcBorders>
            <w:shd w:val="clear" w:color="auto" w:fill="auto"/>
            <w:noWrap/>
            <w:vAlign w:val="center"/>
            <w:hideMark/>
          </w:tcPr>
          <w:p w14:paraId="023CFA63"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1.95</w:t>
            </w:r>
          </w:p>
        </w:tc>
        <w:tc>
          <w:tcPr>
            <w:tcW w:w="1213" w:type="dxa"/>
            <w:tcBorders>
              <w:top w:val="nil"/>
              <w:left w:val="nil"/>
              <w:bottom w:val="nil"/>
              <w:right w:val="nil"/>
            </w:tcBorders>
            <w:shd w:val="clear" w:color="auto" w:fill="auto"/>
            <w:noWrap/>
            <w:vAlign w:val="center"/>
            <w:hideMark/>
          </w:tcPr>
          <w:p w14:paraId="785E4E7A"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1.90</w:t>
            </w:r>
          </w:p>
        </w:tc>
        <w:tc>
          <w:tcPr>
            <w:tcW w:w="1214" w:type="dxa"/>
            <w:tcBorders>
              <w:top w:val="nil"/>
              <w:left w:val="nil"/>
              <w:bottom w:val="nil"/>
              <w:right w:val="single" w:sz="4" w:space="0" w:color="auto"/>
            </w:tcBorders>
            <w:shd w:val="clear" w:color="auto" w:fill="auto"/>
            <w:noWrap/>
            <w:vAlign w:val="center"/>
            <w:hideMark/>
          </w:tcPr>
          <w:p w14:paraId="54F58619"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1.92</w:t>
            </w:r>
          </w:p>
        </w:tc>
      </w:tr>
      <w:tr w:rsidR="001C7826" w:rsidRPr="001C7826" w14:paraId="5CA38DC2" w14:textId="77777777" w:rsidTr="00047E64">
        <w:trPr>
          <w:trHeight w:val="390"/>
        </w:trPr>
        <w:tc>
          <w:tcPr>
            <w:tcW w:w="2830" w:type="dxa"/>
            <w:tcBorders>
              <w:top w:val="nil"/>
              <w:left w:val="single" w:sz="4" w:space="0" w:color="auto"/>
              <w:bottom w:val="nil"/>
              <w:right w:val="nil"/>
            </w:tcBorders>
            <w:shd w:val="clear" w:color="auto" w:fill="auto"/>
            <w:noWrap/>
            <w:vAlign w:val="bottom"/>
            <w:hideMark/>
          </w:tcPr>
          <w:p w14:paraId="5A789206"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 </w:t>
            </w:r>
          </w:p>
        </w:tc>
        <w:tc>
          <w:tcPr>
            <w:tcW w:w="1213" w:type="dxa"/>
            <w:tcBorders>
              <w:top w:val="nil"/>
              <w:left w:val="nil"/>
              <w:bottom w:val="nil"/>
              <w:right w:val="nil"/>
            </w:tcBorders>
            <w:shd w:val="clear" w:color="auto" w:fill="auto"/>
            <w:noWrap/>
            <w:vAlign w:val="bottom"/>
            <w:hideMark/>
          </w:tcPr>
          <w:p w14:paraId="5E86DE8C"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13" w:type="dxa"/>
            <w:tcBorders>
              <w:top w:val="nil"/>
              <w:left w:val="nil"/>
              <w:bottom w:val="nil"/>
              <w:right w:val="nil"/>
            </w:tcBorders>
            <w:shd w:val="clear" w:color="auto" w:fill="auto"/>
            <w:noWrap/>
            <w:vAlign w:val="bottom"/>
            <w:hideMark/>
          </w:tcPr>
          <w:p w14:paraId="7714900D"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14" w:type="dxa"/>
            <w:tcBorders>
              <w:top w:val="nil"/>
              <w:left w:val="nil"/>
              <w:bottom w:val="nil"/>
              <w:right w:val="nil"/>
            </w:tcBorders>
            <w:shd w:val="clear" w:color="auto" w:fill="auto"/>
            <w:noWrap/>
            <w:vAlign w:val="bottom"/>
            <w:hideMark/>
          </w:tcPr>
          <w:p w14:paraId="6AE731D7"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13" w:type="dxa"/>
            <w:tcBorders>
              <w:top w:val="nil"/>
              <w:left w:val="nil"/>
              <w:bottom w:val="nil"/>
              <w:right w:val="nil"/>
            </w:tcBorders>
            <w:shd w:val="clear" w:color="auto" w:fill="auto"/>
            <w:noWrap/>
            <w:vAlign w:val="bottom"/>
            <w:hideMark/>
          </w:tcPr>
          <w:p w14:paraId="426FED55"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14" w:type="dxa"/>
            <w:tcBorders>
              <w:top w:val="nil"/>
              <w:left w:val="nil"/>
              <w:bottom w:val="nil"/>
              <w:right w:val="single" w:sz="4" w:space="0" w:color="auto"/>
            </w:tcBorders>
            <w:shd w:val="clear" w:color="auto" w:fill="auto"/>
            <w:noWrap/>
            <w:vAlign w:val="bottom"/>
            <w:hideMark/>
          </w:tcPr>
          <w:p w14:paraId="5AF0A2D4"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 </w:t>
            </w:r>
          </w:p>
        </w:tc>
      </w:tr>
      <w:tr w:rsidR="001C7826" w:rsidRPr="001C7826" w14:paraId="343A21EB" w14:textId="77777777" w:rsidTr="00047E64">
        <w:trPr>
          <w:trHeight w:val="390"/>
        </w:trPr>
        <w:tc>
          <w:tcPr>
            <w:tcW w:w="2830" w:type="dxa"/>
            <w:tcBorders>
              <w:top w:val="nil"/>
              <w:left w:val="single" w:sz="4" w:space="0" w:color="auto"/>
              <w:bottom w:val="nil"/>
              <w:right w:val="nil"/>
            </w:tcBorders>
            <w:shd w:val="clear" w:color="auto" w:fill="auto"/>
            <w:noWrap/>
            <w:vAlign w:val="center"/>
            <w:hideMark/>
          </w:tcPr>
          <w:p w14:paraId="09823727"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Excluding childless women</w:t>
            </w:r>
          </w:p>
        </w:tc>
        <w:tc>
          <w:tcPr>
            <w:tcW w:w="1213" w:type="dxa"/>
            <w:tcBorders>
              <w:top w:val="nil"/>
              <w:left w:val="nil"/>
              <w:bottom w:val="nil"/>
              <w:right w:val="nil"/>
            </w:tcBorders>
            <w:shd w:val="clear" w:color="auto" w:fill="auto"/>
            <w:noWrap/>
            <w:vAlign w:val="bottom"/>
            <w:hideMark/>
          </w:tcPr>
          <w:p w14:paraId="638A8751"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13" w:type="dxa"/>
            <w:tcBorders>
              <w:top w:val="nil"/>
              <w:left w:val="nil"/>
              <w:bottom w:val="nil"/>
              <w:right w:val="nil"/>
            </w:tcBorders>
            <w:shd w:val="clear" w:color="auto" w:fill="auto"/>
            <w:noWrap/>
            <w:vAlign w:val="bottom"/>
            <w:hideMark/>
          </w:tcPr>
          <w:p w14:paraId="54761873"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14" w:type="dxa"/>
            <w:tcBorders>
              <w:top w:val="nil"/>
              <w:left w:val="nil"/>
              <w:bottom w:val="nil"/>
              <w:right w:val="nil"/>
            </w:tcBorders>
            <w:shd w:val="clear" w:color="auto" w:fill="auto"/>
            <w:noWrap/>
            <w:vAlign w:val="bottom"/>
            <w:hideMark/>
          </w:tcPr>
          <w:p w14:paraId="5194CE71"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13" w:type="dxa"/>
            <w:tcBorders>
              <w:top w:val="nil"/>
              <w:left w:val="nil"/>
              <w:bottom w:val="nil"/>
              <w:right w:val="nil"/>
            </w:tcBorders>
            <w:shd w:val="clear" w:color="auto" w:fill="auto"/>
            <w:noWrap/>
            <w:vAlign w:val="bottom"/>
            <w:hideMark/>
          </w:tcPr>
          <w:p w14:paraId="54C096A6" w14:textId="77777777" w:rsidR="001C7826" w:rsidRPr="001C7826" w:rsidRDefault="001C7826" w:rsidP="001C7826">
            <w:pPr>
              <w:spacing w:after="0" w:line="240" w:lineRule="auto"/>
              <w:rPr>
                <w:rFonts w:ascii="Times New Roman" w:eastAsia="Times New Roman" w:hAnsi="Times New Roman" w:cs="Times New Roman"/>
                <w:szCs w:val="24"/>
                <w:lang w:val="en-GB" w:eastAsia="en-GB"/>
              </w:rPr>
            </w:pPr>
          </w:p>
        </w:tc>
        <w:tc>
          <w:tcPr>
            <w:tcW w:w="1214" w:type="dxa"/>
            <w:tcBorders>
              <w:top w:val="nil"/>
              <w:left w:val="nil"/>
              <w:bottom w:val="nil"/>
              <w:right w:val="single" w:sz="4" w:space="0" w:color="auto"/>
            </w:tcBorders>
            <w:shd w:val="clear" w:color="auto" w:fill="auto"/>
            <w:noWrap/>
            <w:vAlign w:val="bottom"/>
            <w:hideMark/>
          </w:tcPr>
          <w:p w14:paraId="7B6030B9"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 </w:t>
            </w:r>
          </w:p>
        </w:tc>
      </w:tr>
      <w:tr w:rsidR="001C7826" w:rsidRPr="001C7826" w14:paraId="43F22E03" w14:textId="77777777" w:rsidTr="00047E64">
        <w:trPr>
          <w:trHeight w:val="390"/>
        </w:trPr>
        <w:tc>
          <w:tcPr>
            <w:tcW w:w="2830" w:type="dxa"/>
            <w:tcBorders>
              <w:top w:val="nil"/>
              <w:left w:val="single" w:sz="4" w:space="0" w:color="auto"/>
              <w:bottom w:val="nil"/>
              <w:right w:val="nil"/>
            </w:tcBorders>
            <w:shd w:val="clear" w:color="auto" w:fill="auto"/>
            <w:noWrap/>
            <w:vAlign w:val="center"/>
            <w:hideMark/>
          </w:tcPr>
          <w:p w14:paraId="3533FFD3"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Low</w:t>
            </w:r>
          </w:p>
        </w:tc>
        <w:tc>
          <w:tcPr>
            <w:tcW w:w="1213" w:type="dxa"/>
            <w:tcBorders>
              <w:top w:val="nil"/>
              <w:left w:val="nil"/>
              <w:bottom w:val="nil"/>
              <w:right w:val="nil"/>
            </w:tcBorders>
            <w:shd w:val="clear" w:color="auto" w:fill="auto"/>
            <w:noWrap/>
            <w:vAlign w:val="center"/>
            <w:hideMark/>
          </w:tcPr>
          <w:p w14:paraId="26EA181F"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13" w:type="dxa"/>
            <w:tcBorders>
              <w:top w:val="nil"/>
              <w:left w:val="nil"/>
              <w:bottom w:val="nil"/>
              <w:right w:val="nil"/>
            </w:tcBorders>
            <w:shd w:val="clear" w:color="auto" w:fill="auto"/>
            <w:noWrap/>
            <w:vAlign w:val="center"/>
            <w:hideMark/>
          </w:tcPr>
          <w:p w14:paraId="7DAC2843" w14:textId="77777777" w:rsidR="001C7826" w:rsidRPr="001C7826" w:rsidRDefault="001C7826" w:rsidP="001C7826">
            <w:pPr>
              <w:spacing w:after="0" w:line="240" w:lineRule="auto"/>
              <w:jc w:val="right"/>
              <w:rPr>
                <w:rFonts w:ascii="Times New Roman" w:eastAsia="Times New Roman" w:hAnsi="Times New Roman" w:cs="Times New Roman"/>
                <w:szCs w:val="24"/>
                <w:lang w:val="en-GB" w:eastAsia="en-GB"/>
              </w:rPr>
            </w:pPr>
          </w:p>
        </w:tc>
        <w:tc>
          <w:tcPr>
            <w:tcW w:w="1214" w:type="dxa"/>
            <w:tcBorders>
              <w:top w:val="nil"/>
              <w:left w:val="nil"/>
              <w:bottom w:val="nil"/>
              <w:right w:val="nil"/>
            </w:tcBorders>
            <w:shd w:val="clear" w:color="auto" w:fill="auto"/>
            <w:noWrap/>
            <w:vAlign w:val="center"/>
            <w:hideMark/>
          </w:tcPr>
          <w:p w14:paraId="50918BB9"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2.38</w:t>
            </w:r>
          </w:p>
        </w:tc>
        <w:tc>
          <w:tcPr>
            <w:tcW w:w="1213" w:type="dxa"/>
            <w:tcBorders>
              <w:top w:val="nil"/>
              <w:left w:val="nil"/>
              <w:bottom w:val="nil"/>
              <w:right w:val="nil"/>
            </w:tcBorders>
            <w:shd w:val="clear" w:color="auto" w:fill="auto"/>
            <w:noWrap/>
            <w:vAlign w:val="center"/>
            <w:hideMark/>
          </w:tcPr>
          <w:p w14:paraId="7AAA1BEF"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2.35</w:t>
            </w:r>
          </w:p>
        </w:tc>
        <w:tc>
          <w:tcPr>
            <w:tcW w:w="1214" w:type="dxa"/>
            <w:tcBorders>
              <w:top w:val="nil"/>
              <w:left w:val="nil"/>
              <w:bottom w:val="nil"/>
              <w:right w:val="single" w:sz="4" w:space="0" w:color="auto"/>
            </w:tcBorders>
            <w:shd w:val="clear" w:color="auto" w:fill="auto"/>
            <w:noWrap/>
            <w:vAlign w:val="center"/>
            <w:hideMark/>
          </w:tcPr>
          <w:p w14:paraId="6AFE96F5"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2.43</w:t>
            </w:r>
          </w:p>
        </w:tc>
      </w:tr>
      <w:tr w:rsidR="001C7826" w:rsidRPr="001C7826" w14:paraId="17EDCD4B" w14:textId="77777777" w:rsidTr="00047E64">
        <w:trPr>
          <w:trHeight w:val="390"/>
        </w:trPr>
        <w:tc>
          <w:tcPr>
            <w:tcW w:w="2830" w:type="dxa"/>
            <w:tcBorders>
              <w:top w:val="nil"/>
              <w:left w:val="single" w:sz="4" w:space="0" w:color="auto"/>
              <w:bottom w:val="nil"/>
              <w:right w:val="nil"/>
            </w:tcBorders>
            <w:shd w:val="clear" w:color="auto" w:fill="auto"/>
            <w:noWrap/>
            <w:vAlign w:val="center"/>
            <w:hideMark/>
          </w:tcPr>
          <w:p w14:paraId="3CDC106B"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Medium</w:t>
            </w:r>
          </w:p>
        </w:tc>
        <w:tc>
          <w:tcPr>
            <w:tcW w:w="1213" w:type="dxa"/>
            <w:tcBorders>
              <w:top w:val="nil"/>
              <w:left w:val="nil"/>
              <w:bottom w:val="nil"/>
              <w:right w:val="nil"/>
            </w:tcBorders>
            <w:shd w:val="clear" w:color="auto" w:fill="auto"/>
            <w:noWrap/>
            <w:vAlign w:val="center"/>
            <w:hideMark/>
          </w:tcPr>
          <w:p w14:paraId="616E9EDA"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13" w:type="dxa"/>
            <w:tcBorders>
              <w:top w:val="nil"/>
              <w:left w:val="nil"/>
              <w:bottom w:val="nil"/>
              <w:right w:val="nil"/>
            </w:tcBorders>
            <w:shd w:val="clear" w:color="auto" w:fill="auto"/>
            <w:noWrap/>
            <w:vAlign w:val="center"/>
            <w:hideMark/>
          </w:tcPr>
          <w:p w14:paraId="6BD1040F" w14:textId="77777777" w:rsidR="001C7826" w:rsidRPr="001C7826" w:rsidRDefault="001C7826" w:rsidP="001C7826">
            <w:pPr>
              <w:spacing w:after="0" w:line="240" w:lineRule="auto"/>
              <w:jc w:val="right"/>
              <w:rPr>
                <w:rFonts w:ascii="Times New Roman" w:eastAsia="Times New Roman" w:hAnsi="Times New Roman" w:cs="Times New Roman"/>
                <w:szCs w:val="24"/>
                <w:lang w:val="en-GB" w:eastAsia="en-GB"/>
              </w:rPr>
            </w:pPr>
          </w:p>
        </w:tc>
        <w:tc>
          <w:tcPr>
            <w:tcW w:w="1214" w:type="dxa"/>
            <w:tcBorders>
              <w:top w:val="nil"/>
              <w:left w:val="nil"/>
              <w:bottom w:val="nil"/>
              <w:right w:val="nil"/>
            </w:tcBorders>
            <w:shd w:val="clear" w:color="auto" w:fill="auto"/>
            <w:noWrap/>
            <w:vAlign w:val="center"/>
            <w:hideMark/>
          </w:tcPr>
          <w:p w14:paraId="4C959EBF"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2.33</w:t>
            </w:r>
          </w:p>
        </w:tc>
        <w:tc>
          <w:tcPr>
            <w:tcW w:w="1213" w:type="dxa"/>
            <w:tcBorders>
              <w:top w:val="nil"/>
              <w:left w:val="nil"/>
              <w:bottom w:val="nil"/>
              <w:right w:val="nil"/>
            </w:tcBorders>
            <w:shd w:val="clear" w:color="auto" w:fill="auto"/>
            <w:noWrap/>
            <w:vAlign w:val="center"/>
            <w:hideMark/>
          </w:tcPr>
          <w:p w14:paraId="22F7E36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2.30</w:t>
            </w:r>
          </w:p>
        </w:tc>
        <w:tc>
          <w:tcPr>
            <w:tcW w:w="1214" w:type="dxa"/>
            <w:tcBorders>
              <w:top w:val="nil"/>
              <w:left w:val="nil"/>
              <w:bottom w:val="nil"/>
              <w:right w:val="single" w:sz="4" w:space="0" w:color="auto"/>
            </w:tcBorders>
            <w:shd w:val="clear" w:color="auto" w:fill="auto"/>
            <w:noWrap/>
            <w:vAlign w:val="center"/>
            <w:hideMark/>
          </w:tcPr>
          <w:p w14:paraId="1ADC7E81"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2.35</w:t>
            </w:r>
          </w:p>
        </w:tc>
      </w:tr>
      <w:tr w:rsidR="001C7826" w:rsidRPr="001C7826" w14:paraId="32C37E9F" w14:textId="77777777" w:rsidTr="00047E64">
        <w:trPr>
          <w:trHeight w:val="390"/>
        </w:trPr>
        <w:tc>
          <w:tcPr>
            <w:tcW w:w="2830" w:type="dxa"/>
            <w:tcBorders>
              <w:top w:val="nil"/>
              <w:left w:val="single" w:sz="4" w:space="0" w:color="auto"/>
              <w:bottom w:val="nil"/>
              <w:right w:val="nil"/>
            </w:tcBorders>
            <w:shd w:val="clear" w:color="auto" w:fill="auto"/>
            <w:noWrap/>
            <w:vAlign w:val="center"/>
            <w:hideMark/>
          </w:tcPr>
          <w:p w14:paraId="18E97317"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High</w:t>
            </w:r>
          </w:p>
        </w:tc>
        <w:tc>
          <w:tcPr>
            <w:tcW w:w="1213" w:type="dxa"/>
            <w:tcBorders>
              <w:top w:val="nil"/>
              <w:left w:val="nil"/>
              <w:bottom w:val="nil"/>
              <w:right w:val="nil"/>
            </w:tcBorders>
            <w:shd w:val="clear" w:color="auto" w:fill="auto"/>
            <w:noWrap/>
            <w:vAlign w:val="center"/>
            <w:hideMark/>
          </w:tcPr>
          <w:p w14:paraId="4EF0FFB6"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p>
        </w:tc>
        <w:tc>
          <w:tcPr>
            <w:tcW w:w="1213" w:type="dxa"/>
            <w:tcBorders>
              <w:top w:val="nil"/>
              <w:left w:val="nil"/>
              <w:bottom w:val="nil"/>
              <w:right w:val="nil"/>
            </w:tcBorders>
            <w:shd w:val="clear" w:color="auto" w:fill="auto"/>
            <w:noWrap/>
            <w:vAlign w:val="center"/>
            <w:hideMark/>
          </w:tcPr>
          <w:p w14:paraId="0E8ED877" w14:textId="77777777" w:rsidR="001C7826" w:rsidRPr="001C7826" w:rsidRDefault="001C7826" w:rsidP="001C7826">
            <w:pPr>
              <w:spacing w:after="0" w:line="240" w:lineRule="auto"/>
              <w:jc w:val="right"/>
              <w:rPr>
                <w:rFonts w:ascii="Times New Roman" w:eastAsia="Times New Roman" w:hAnsi="Times New Roman" w:cs="Times New Roman"/>
                <w:szCs w:val="24"/>
                <w:lang w:val="en-GB" w:eastAsia="en-GB"/>
              </w:rPr>
            </w:pPr>
          </w:p>
        </w:tc>
        <w:tc>
          <w:tcPr>
            <w:tcW w:w="1214" w:type="dxa"/>
            <w:tcBorders>
              <w:top w:val="nil"/>
              <w:left w:val="nil"/>
              <w:bottom w:val="nil"/>
              <w:right w:val="nil"/>
            </w:tcBorders>
            <w:shd w:val="clear" w:color="auto" w:fill="auto"/>
            <w:noWrap/>
            <w:vAlign w:val="center"/>
            <w:hideMark/>
          </w:tcPr>
          <w:p w14:paraId="1912FD90"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2.30</w:t>
            </w:r>
          </w:p>
        </w:tc>
        <w:tc>
          <w:tcPr>
            <w:tcW w:w="1213" w:type="dxa"/>
            <w:tcBorders>
              <w:top w:val="nil"/>
              <w:left w:val="nil"/>
              <w:bottom w:val="nil"/>
              <w:right w:val="nil"/>
            </w:tcBorders>
            <w:shd w:val="clear" w:color="auto" w:fill="auto"/>
            <w:noWrap/>
            <w:vAlign w:val="center"/>
            <w:hideMark/>
          </w:tcPr>
          <w:p w14:paraId="089636D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2.28</w:t>
            </w:r>
          </w:p>
        </w:tc>
        <w:tc>
          <w:tcPr>
            <w:tcW w:w="1214" w:type="dxa"/>
            <w:tcBorders>
              <w:top w:val="nil"/>
              <w:left w:val="nil"/>
              <w:bottom w:val="nil"/>
              <w:right w:val="single" w:sz="4" w:space="0" w:color="auto"/>
            </w:tcBorders>
            <w:shd w:val="clear" w:color="auto" w:fill="auto"/>
            <w:noWrap/>
            <w:vAlign w:val="center"/>
            <w:hideMark/>
          </w:tcPr>
          <w:p w14:paraId="05C35C95"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2.29</w:t>
            </w:r>
          </w:p>
        </w:tc>
      </w:tr>
      <w:tr w:rsidR="001C7826" w:rsidRPr="001C7826" w14:paraId="6BB29D99" w14:textId="77777777" w:rsidTr="00047E64">
        <w:trPr>
          <w:trHeight w:val="390"/>
        </w:trPr>
        <w:tc>
          <w:tcPr>
            <w:tcW w:w="2830" w:type="dxa"/>
            <w:tcBorders>
              <w:top w:val="nil"/>
              <w:left w:val="single" w:sz="4" w:space="0" w:color="auto"/>
              <w:bottom w:val="single" w:sz="4" w:space="0" w:color="auto"/>
              <w:right w:val="nil"/>
            </w:tcBorders>
            <w:shd w:val="clear" w:color="auto" w:fill="auto"/>
            <w:noWrap/>
            <w:vAlign w:val="center"/>
            <w:hideMark/>
          </w:tcPr>
          <w:p w14:paraId="10DD5FF9" w14:textId="77777777" w:rsidR="001C7826" w:rsidRPr="001C7826" w:rsidRDefault="001C7826" w:rsidP="001C7826">
            <w:pPr>
              <w:spacing w:after="0" w:line="240" w:lineRule="auto"/>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All</w:t>
            </w:r>
          </w:p>
        </w:tc>
        <w:tc>
          <w:tcPr>
            <w:tcW w:w="1213" w:type="dxa"/>
            <w:tcBorders>
              <w:top w:val="nil"/>
              <w:left w:val="nil"/>
              <w:bottom w:val="single" w:sz="4" w:space="0" w:color="auto"/>
              <w:right w:val="nil"/>
            </w:tcBorders>
            <w:shd w:val="clear" w:color="auto" w:fill="auto"/>
            <w:noWrap/>
            <w:vAlign w:val="center"/>
            <w:hideMark/>
          </w:tcPr>
          <w:p w14:paraId="17B78E81"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 </w:t>
            </w:r>
          </w:p>
        </w:tc>
        <w:tc>
          <w:tcPr>
            <w:tcW w:w="1213" w:type="dxa"/>
            <w:tcBorders>
              <w:top w:val="nil"/>
              <w:left w:val="nil"/>
              <w:bottom w:val="single" w:sz="4" w:space="0" w:color="auto"/>
              <w:right w:val="nil"/>
            </w:tcBorders>
            <w:shd w:val="clear" w:color="auto" w:fill="auto"/>
            <w:noWrap/>
            <w:vAlign w:val="center"/>
            <w:hideMark/>
          </w:tcPr>
          <w:p w14:paraId="77E2A36E"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 </w:t>
            </w:r>
          </w:p>
        </w:tc>
        <w:tc>
          <w:tcPr>
            <w:tcW w:w="1214" w:type="dxa"/>
            <w:tcBorders>
              <w:top w:val="nil"/>
              <w:left w:val="nil"/>
              <w:bottom w:val="single" w:sz="4" w:space="0" w:color="auto"/>
              <w:right w:val="nil"/>
            </w:tcBorders>
            <w:shd w:val="clear" w:color="auto" w:fill="auto"/>
            <w:noWrap/>
            <w:vAlign w:val="center"/>
            <w:hideMark/>
          </w:tcPr>
          <w:p w14:paraId="4CA4B87C"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2.36</w:t>
            </w:r>
          </w:p>
        </w:tc>
        <w:tc>
          <w:tcPr>
            <w:tcW w:w="1213" w:type="dxa"/>
            <w:tcBorders>
              <w:top w:val="nil"/>
              <w:left w:val="nil"/>
              <w:bottom w:val="single" w:sz="4" w:space="0" w:color="auto"/>
              <w:right w:val="nil"/>
            </w:tcBorders>
            <w:shd w:val="clear" w:color="auto" w:fill="auto"/>
            <w:noWrap/>
            <w:vAlign w:val="center"/>
            <w:hideMark/>
          </w:tcPr>
          <w:p w14:paraId="66463AE5"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2.32</w:t>
            </w:r>
          </w:p>
        </w:tc>
        <w:tc>
          <w:tcPr>
            <w:tcW w:w="1214" w:type="dxa"/>
            <w:tcBorders>
              <w:top w:val="nil"/>
              <w:left w:val="nil"/>
              <w:bottom w:val="single" w:sz="4" w:space="0" w:color="auto"/>
              <w:right w:val="single" w:sz="4" w:space="0" w:color="auto"/>
            </w:tcBorders>
            <w:shd w:val="clear" w:color="auto" w:fill="auto"/>
            <w:noWrap/>
            <w:vAlign w:val="center"/>
            <w:hideMark/>
          </w:tcPr>
          <w:p w14:paraId="2F4E58D5" w14:textId="77777777" w:rsidR="001C7826" w:rsidRPr="001C7826" w:rsidRDefault="001C7826" w:rsidP="001C7826">
            <w:pPr>
              <w:spacing w:after="0" w:line="240" w:lineRule="auto"/>
              <w:jc w:val="right"/>
              <w:rPr>
                <w:rFonts w:ascii="Calibri" w:eastAsia="Times New Roman" w:hAnsi="Calibri" w:cs="Calibri"/>
                <w:color w:val="000000"/>
                <w:szCs w:val="24"/>
                <w:lang w:val="en-GB" w:eastAsia="en-GB"/>
              </w:rPr>
            </w:pPr>
            <w:r w:rsidRPr="001C7826">
              <w:rPr>
                <w:rFonts w:ascii="Calibri" w:eastAsia="Times New Roman" w:hAnsi="Calibri" w:cs="Calibri"/>
                <w:color w:val="000000"/>
                <w:szCs w:val="24"/>
                <w:lang w:val="en-GB" w:eastAsia="en-GB"/>
              </w:rPr>
              <w:t>2.36</w:t>
            </w:r>
          </w:p>
        </w:tc>
      </w:tr>
    </w:tbl>
    <w:p w14:paraId="0E137CA2" w14:textId="76D0A344" w:rsidR="001C7826" w:rsidRPr="00580A53" w:rsidRDefault="001C7826" w:rsidP="001C7826">
      <w:pPr>
        <w:rPr>
          <w:i/>
          <w:iCs/>
        </w:rPr>
      </w:pPr>
      <w:r w:rsidRPr="00D90C11">
        <w:rPr>
          <w:i/>
          <w:iCs/>
        </w:rPr>
        <w:t>Source: Northern Ireland Longitudinal Study</w:t>
      </w:r>
      <w:r>
        <w:rPr>
          <w:i/>
          <w:iCs/>
        </w:rPr>
        <w:t xml:space="preserve"> </w:t>
      </w:r>
    </w:p>
    <w:p w14:paraId="7EA35482" w14:textId="3A926354" w:rsidR="000673AC" w:rsidRDefault="000673AC" w:rsidP="000673AC">
      <w:pPr>
        <w:pStyle w:val="Heading3"/>
      </w:pPr>
      <w:r>
        <w:t xml:space="preserve">Appendix 3. Mean age at first birth </w:t>
      </w:r>
    </w:p>
    <w:p w14:paraId="3CA5DE50" w14:textId="428DF2BC" w:rsidR="00E846E0" w:rsidRDefault="00E846E0" w:rsidP="00E846E0">
      <w:pPr>
        <w:pStyle w:val="Heading4"/>
      </w:pPr>
      <w:r>
        <w:t>Mean age at first birth, by educational attainment and birth cohort</w:t>
      </w:r>
    </w:p>
    <w:tbl>
      <w:tblPr>
        <w:tblW w:w="8985" w:type="dxa"/>
        <w:tblLayout w:type="fixed"/>
        <w:tblLook w:val="04A0" w:firstRow="1" w:lastRow="0" w:firstColumn="1" w:lastColumn="0" w:noHBand="0" w:noVBand="1"/>
      </w:tblPr>
      <w:tblGrid>
        <w:gridCol w:w="1266"/>
        <w:gridCol w:w="1543"/>
        <w:gridCol w:w="1544"/>
        <w:gridCol w:w="1544"/>
        <w:gridCol w:w="1544"/>
        <w:gridCol w:w="1544"/>
      </w:tblGrid>
      <w:tr w:rsidR="00E846E0" w:rsidRPr="00E67FD4" w14:paraId="49D27D00" w14:textId="77777777" w:rsidTr="009908A5">
        <w:trPr>
          <w:trHeight w:val="291"/>
        </w:trPr>
        <w:tc>
          <w:tcPr>
            <w:tcW w:w="1266" w:type="dxa"/>
            <w:tcBorders>
              <w:top w:val="single" w:sz="4" w:space="0" w:color="auto"/>
              <w:left w:val="single" w:sz="4" w:space="0" w:color="auto"/>
              <w:bottom w:val="nil"/>
              <w:right w:val="nil"/>
            </w:tcBorders>
            <w:shd w:val="clear" w:color="auto" w:fill="auto"/>
            <w:noWrap/>
            <w:vAlign w:val="bottom"/>
            <w:hideMark/>
          </w:tcPr>
          <w:p w14:paraId="424E854B"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p>
        </w:tc>
        <w:tc>
          <w:tcPr>
            <w:tcW w:w="7719" w:type="dxa"/>
            <w:gridSpan w:val="5"/>
            <w:tcBorders>
              <w:top w:val="single" w:sz="4" w:space="0" w:color="auto"/>
              <w:left w:val="nil"/>
              <w:bottom w:val="nil"/>
              <w:right w:val="single" w:sz="4" w:space="0" w:color="auto"/>
            </w:tcBorders>
            <w:shd w:val="clear" w:color="auto" w:fill="auto"/>
            <w:noWrap/>
            <w:vAlign w:val="bottom"/>
            <w:hideMark/>
          </w:tcPr>
          <w:p w14:paraId="595C6D1B" w14:textId="77777777" w:rsidR="00E846E0" w:rsidRPr="00047E64" w:rsidRDefault="00E846E0" w:rsidP="009908A5">
            <w:pPr>
              <w:spacing w:after="0" w:line="240" w:lineRule="auto"/>
              <w:jc w:val="center"/>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Birth cohort</w:t>
            </w:r>
          </w:p>
        </w:tc>
      </w:tr>
      <w:tr w:rsidR="00E846E0" w:rsidRPr="00E67FD4" w14:paraId="59898F1E"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2B123AD3"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p>
        </w:tc>
        <w:tc>
          <w:tcPr>
            <w:tcW w:w="1543" w:type="dxa"/>
            <w:tcBorders>
              <w:top w:val="nil"/>
              <w:left w:val="nil"/>
              <w:bottom w:val="nil"/>
              <w:right w:val="nil"/>
            </w:tcBorders>
            <w:shd w:val="clear" w:color="auto" w:fill="auto"/>
            <w:noWrap/>
            <w:vAlign w:val="bottom"/>
            <w:hideMark/>
          </w:tcPr>
          <w:p w14:paraId="7567719D"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1956-59</w:t>
            </w:r>
          </w:p>
        </w:tc>
        <w:tc>
          <w:tcPr>
            <w:tcW w:w="1544" w:type="dxa"/>
            <w:tcBorders>
              <w:top w:val="nil"/>
              <w:left w:val="nil"/>
              <w:bottom w:val="nil"/>
              <w:right w:val="nil"/>
            </w:tcBorders>
            <w:shd w:val="clear" w:color="auto" w:fill="auto"/>
            <w:noWrap/>
            <w:vAlign w:val="bottom"/>
            <w:hideMark/>
          </w:tcPr>
          <w:p w14:paraId="1C7E8062"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1960-64</w:t>
            </w:r>
          </w:p>
        </w:tc>
        <w:tc>
          <w:tcPr>
            <w:tcW w:w="1544" w:type="dxa"/>
            <w:tcBorders>
              <w:top w:val="nil"/>
              <w:left w:val="nil"/>
              <w:bottom w:val="nil"/>
              <w:right w:val="nil"/>
            </w:tcBorders>
            <w:shd w:val="clear" w:color="auto" w:fill="auto"/>
            <w:noWrap/>
            <w:vAlign w:val="bottom"/>
            <w:hideMark/>
          </w:tcPr>
          <w:p w14:paraId="3C0FFC41"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1965-69</w:t>
            </w:r>
          </w:p>
        </w:tc>
        <w:tc>
          <w:tcPr>
            <w:tcW w:w="1544" w:type="dxa"/>
            <w:tcBorders>
              <w:top w:val="nil"/>
              <w:left w:val="nil"/>
              <w:bottom w:val="nil"/>
              <w:right w:val="nil"/>
            </w:tcBorders>
            <w:shd w:val="clear" w:color="auto" w:fill="auto"/>
            <w:noWrap/>
            <w:vAlign w:val="bottom"/>
            <w:hideMark/>
          </w:tcPr>
          <w:p w14:paraId="4C4D1C7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1970-74</w:t>
            </w:r>
          </w:p>
        </w:tc>
        <w:tc>
          <w:tcPr>
            <w:tcW w:w="1544" w:type="dxa"/>
            <w:tcBorders>
              <w:top w:val="nil"/>
              <w:left w:val="nil"/>
              <w:bottom w:val="nil"/>
              <w:right w:val="single" w:sz="4" w:space="0" w:color="auto"/>
            </w:tcBorders>
            <w:shd w:val="clear" w:color="auto" w:fill="auto"/>
            <w:noWrap/>
            <w:vAlign w:val="bottom"/>
            <w:hideMark/>
          </w:tcPr>
          <w:p w14:paraId="454A96D7"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1975-78</w:t>
            </w:r>
          </w:p>
        </w:tc>
      </w:tr>
      <w:tr w:rsidR="00E846E0" w:rsidRPr="00E67FD4" w14:paraId="060C7542" w14:textId="77777777" w:rsidTr="009908A5">
        <w:trPr>
          <w:trHeight w:val="291"/>
        </w:trPr>
        <w:tc>
          <w:tcPr>
            <w:tcW w:w="2809" w:type="dxa"/>
            <w:gridSpan w:val="2"/>
            <w:tcBorders>
              <w:top w:val="nil"/>
              <w:left w:val="single" w:sz="4" w:space="0" w:color="auto"/>
              <w:bottom w:val="nil"/>
              <w:right w:val="nil"/>
            </w:tcBorders>
            <w:shd w:val="clear" w:color="auto" w:fill="auto"/>
            <w:noWrap/>
            <w:vAlign w:val="bottom"/>
            <w:hideMark/>
          </w:tcPr>
          <w:p w14:paraId="0D446A03"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England &amp; Wales</w:t>
            </w:r>
          </w:p>
        </w:tc>
        <w:tc>
          <w:tcPr>
            <w:tcW w:w="1544" w:type="dxa"/>
            <w:tcBorders>
              <w:top w:val="nil"/>
              <w:left w:val="nil"/>
              <w:bottom w:val="nil"/>
              <w:right w:val="nil"/>
            </w:tcBorders>
            <w:shd w:val="clear" w:color="auto" w:fill="auto"/>
            <w:noWrap/>
            <w:vAlign w:val="bottom"/>
            <w:hideMark/>
          </w:tcPr>
          <w:p w14:paraId="14A3AF16"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p>
        </w:tc>
        <w:tc>
          <w:tcPr>
            <w:tcW w:w="1544" w:type="dxa"/>
            <w:tcBorders>
              <w:top w:val="nil"/>
              <w:left w:val="nil"/>
              <w:bottom w:val="nil"/>
              <w:right w:val="nil"/>
            </w:tcBorders>
            <w:shd w:val="clear" w:color="auto" w:fill="auto"/>
            <w:noWrap/>
            <w:vAlign w:val="bottom"/>
            <w:hideMark/>
          </w:tcPr>
          <w:p w14:paraId="6680A918"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70E3F035"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single" w:sz="4" w:space="0" w:color="auto"/>
            </w:tcBorders>
            <w:shd w:val="clear" w:color="auto" w:fill="auto"/>
            <w:noWrap/>
            <w:vAlign w:val="bottom"/>
            <w:hideMark/>
          </w:tcPr>
          <w:p w14:paraId="73831012"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p>
        </w:tc>
      </w:tr>
      <w:tr w:rsidR="00E846E0" w:rsidRPr="00E67FD4" w14:paraId="39D12B49"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26FB1C0D"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Low</w:t>
            </w:r>
          </w:p>
        </w:tc>
        <w:tc>
          <w:tcPr>
            <w:tcW w:w="1543" w:type="dxa"/>
            <w:tcBorders>
              <w:top w:val="nil"/>
              <w:left w:val="nil"/>
              <w:bottom w:val="nil"/>
              <w:right w:val="nil"/>
            </w:tcBorders>
            <w:shd w:val="clear" w:color="auto" w:fill="auto"/>
            <w:noWrap/>
            <w:vAlign w:val="bottom"/>
            <w:hideMark/>
          </w:tcPr>
          <w:p w14:paraId="0A6FE59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24.7</w:t>
            </w:r>
          </w:p>
        </w:tc>
        <w:tc>
          <w:tcPr>
            <w:tcW w:w="1544" w:type="dxa"/>
            <w:tcBorders>
              <w:top w:val="nil"/>
              <w:left w:val="nil"/>
              <w:bottom w:val="nil"/>
              <w:right w:val="nil"/>
            </w:tcBorders>
            <w:shd w:val="clear" w:color="auto" w:fill="auto"/>
            <w:noWrap/>
            <w:vAlign w:val="bottom"/>
            <w:hideMark/>
          </w:tcPr>
          <w:p w14:paraId="01C83EB5"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25.4</w:t>
            </w:r>
          </w:p>
        </w:tc>
        <w:tc>
          <w:tcPr>
            <w:tcW w:w="1544" w:type="dxa"/>
            <w:tcBorders>
              <w:top w:val="nil"/>
              <w:left w:val="nil"/>
              <w:bottom w:val="nil"/>
              <w:right w:val="nil"/>
            </w:tcBorders>
            <w:shd w:val="clear" w:color="auto" w:fill="auto"/>
            <w:noWrap/>
            <w:vAlign w:val="bottom"/>
            <w:hideMark/>
          </w:tcPr>
          <w:p w14:paraId="7A1A5F98"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25.5</w:t>
            </w:r>
          </w:p>
        </w:tc>
        <w:tc>
          <w:tcPr>
            <w:tcW w:w="1544" w:type="dxa"/>
            <w:tcBorders>
              <w:top w:val="nil"/>
              <w:left w:val="nil"/>
              <w:bottom w:val="nil"/>
              <w:right w:val="nil"/>
            </w:tcBorders>
            <w:shd w:val="clear" w:color="auto" w:fill="auto"/>
            <w:noWrap/>
            <w:vAlign w:val="bottom"/>
            <w:hideMark/>
          </w:tcPr>
          <w:p w14:paraId="60D2531D"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25.4</w:t>
            </w:r>
          </w:p>
        </w:tc>
        <w:tc>
          <w:tcPr>
            <w:tcW w:w="1544" w:type="dxa"/>
            <w:tcBorders>
              <w:top w:val="nil"/>
              <w:left w:val="nil"/>
              <w:bottom w:val="nil"/>
              <w:right w:val="single" w:sz="4" w:space="0" w:color="auto"/>
            </w:tcBorders>
            <w:shd w:val="clear" w:color="auto" w:fill="auto"/>
            <w:noWrap/>
            <w:vAlign w:val="bottom"/>
            <w:hideMark/>
          </w:tcPr>
          <w:p w14:paraId="7FCB6AE7"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24.4</w:t>
            </w:r>
          </w:p>
        </w:tc>
      </w:tr>
      <w:tr w:rsidR="00E846E0" w:rsidRPr="00E67FD4" w14:paraId="57A1067D"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287663AA"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Medium</w:t>
            </w:r>
          </w:p>
        </w:tc>
        <w:tc>
          <w:tcPr>
            <w:tcW w:w="1543" w:type="dxa"/>
            <w:tcBorders>
              <w:top w:val="nil"/>
              <w:left w:val="nil"/>
              <w:bottom w:val="nil"/>
              <w:right w:val="nil"/>
            </w:tcBorders>
            <w:shd w:val="clear" w:color="auto" w:fill="auto"/>
            <w:noWrap/>
            <w:vAlign w:val="bottom"/>
            <w:hideMark/>
          </w:tcPr>
          <w:p w14:paraId="60DA49E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25.6</w:t>
            </w:r>
          </w:p>
        </w:tc>
        <w:tc>
          <w:tcPr>
            <w:tcW w:w="1544" w:type="dxa"/>
            <w:tcBorders>
              <w:top w:val="nil"/>
              <w:left w:val="nil"/>
              <w:bottom w:val="nil"/>
              <w:right w:val="nil"/>
            </w:tcBorders>
            <w:shd w:val="clear" w:color="auto" w:fill="auto"/>
            <w:noWrap/>
            <w:vAlign w:val="bottom"/>
            <w:hideMark/>
          </w:tcPr>
          <w:p w14:paraId="3152C26B"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26.7</w:t>
            </w:r>
          </w:p>
        </w:tc>
        <w:tc>
          <w:tcPr>
            <w:tcW w:w="1544" w:type="dxa"/>
            <w:tcBorders>
              <w:top w:val="nil"/>
              <w:left w:val="nil"/>
              <w:bottom w:val="nil"/>
              <w:right w:val="nil"/>
            </w:tcBorders>
            <w:shd w:val="clear" w:color="auto" w:fill="auto"/>
            <w:noWrap/>
            <w:vAlign w:val="bottom"/>
            <w:hideMark/>
          </w:tcPr>
          <w:p w14:paraId="4EF95AF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26.9</w:t>
            </w:r>
          </w:p>
        </w:tc>
        <w:tc>
          <w:tcPr>
            <w:tcW w:w="1544" w:type="dxa"/>
            <w:tcBorders>
              <w:top w:val="nil"/>
              <w:left w:val="nil"/>
              <w:bottom w:val="nil"/>
              <w:right w:val="nil"/>
            </w:tcBorders>
            <w:shd w:val="clear" w:color="auto" w:fill="auto"/>
            <w:noWrap/>
            <w:vAlign w:val="bottom"/>
            <w:hideMark/>
          </w:tcPr>
          <w:p w14:paraId="4F2466C3"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27</w:t>
            </w:r>
          </w:p>
        </w:tc>
        <w:tc>
          <w:tcPr>
            <w:tcW w:w="1544" w:type="dxa"/>
            <w:tcBorders>
              <w:top w:val="nil"/>
              <w:left w:val="nil"/>
              <w:bottom w:val="nil"/>
              <w:right w:val="single" w:sz="4" w:space="0" w:color="auto"/>
            </w:tcBorders>
            <w:shd w:val="clear" w:color="auto" w:fill="auto"/>
            <w:noWrap/>
            <w:vAlign w:val="bottom"/>
            <w:hideMark/>
          </w:tcPr>
          <w:p w14:paraId="4287324A"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26.8</w:t>
            </w:r>
          </w:p>
        </w:tc>
      </w:tr>
      <w:tr w:rsidR="00E846E0" w:rsidRPr="00E67FD4" w14:paraId="145E1459"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5782DFCC"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High</w:t>
            </w:r>
          </w:p>
        </w:tc>
        <w:tc>
          <w:tcPr>
            <w:tcW w:w="1543" w:type="dxa"/>
            <w:tcBorders>
              <w:top w:val="nil"/>
              <w:left w:val="nil"/>
              <w:bottom w:val="nil"/>
              <w:right w:val="nil"/>
            </w:tcBorders>
            <w:shd w:val="clear" w:color="auto" w:fill="auto"/>
            <w:noWrap/>
            <w:vAlign w:val="bottom"/>
            <w:hideMark/>
          </w:tcPr>
          <w:p w14:paraId="52D06EA6"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28.2</w:t>
            </w:r>
          </w:p>
        </w:tc>
        <w:tc>
          <w:tcPr>
            <w:tcW w:w="1544" w:type="dxa"/>
            <w:tcBorders>
              <w:top w:val="nil"/>
              <w:left w:val="nil"/>
              <w:bottom w:val="nil"/>
              <w:right w:val="nil"/>
            </w:tcBorders>
            <w:shd w:val="clear" w:color="auto" w:fill="auto"/>
            <w:noWrap/>
            <w:vAlign w:val="bottom"/>
            <w:hideMark/>
          </w:tcPr>
          <w:p w14:paraId="2131B278"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29.3</w:t>
            </w:r>
          </w:p>
        </w:tc>
        <w:tc>
          <w:tcPr>
            <w:tcW w:w="1544" w:type="dxa"/>
            <w:tcBorders>
              <w:top w:val="nil"/>
              <w:left w:val="nil"/>
              <w:bottom w:val="nil"/>
              <w:right w:val="nil"/>
            </w:tcBorders>
            <w:shd w:val="clear" w:color="auto" w:fill="auto"/>
            <w:noWrap/>
            <w:vAlign w:val="bottom"/>
            <w:hideMark/>
          </w:tcPr>
          <w:p w14:paraId="0A98691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30.5</w:t>
            </w:r>
          </w:p>
        </w:tc>
        <w:tc>
          <w:tcPr>
            <w:tcW w:w="1544" w:type="dxa"/>
            <w:tcBorders>
              <w:top w:val="nil"/>
              <w:left w:val="nil"/>
              <w:bottom w:val="nil"/>
              <w:right w:val="nil"/>
            </w:tcBorders>
            <w:shd w:val="clear" w:color="auto" w:fill="auto"/>
            <w:noWrap/>
            <w:vAlign w:val="bottom"/>
            <w:hideMark/>
          </w:tcPr>
          <w:p w14:paraId="1404FD8A"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30.8</w:t>
            </w:r>
          </w:p>
        </w:tc>
        <w:tc>
          <w:tcPr>
            <w:tcW w:w="1544" w:type="dxa"/>
            <w:tcBorders>
              <w:top w:val="nil"/>
              <w:left w:val="nil"/>
              <w:bottom w:val="nil"/>
              <w:right w:val="single" w:sz="4" w:space="0" w:color="auto"/>
            </w:tcBorders>
            <w:shd w:val="clear" w:color="auto" w:fill="auto"/>
            <w:noWrap/>
            <w:vAlign w:val="bottom"/>
            <w:hideMark/>
          </w:tcPr>
          <w:p w14:paraId="1E7F4A9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30.8</w:t>
            </w:r>
          </w:p>
        </w:tc>
      </w:tr>
      <w:tr w:rsidR="00E846E0" w:rsidRPr="00E67FD4" w14:paraId="33D52451"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783F4D5B"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All</w:t>
            </w:r>
          </w:p>
        </w:tc>
        <w:tc>
          <w:tcPr>
            <w:tcW w:w="1543" w:type="dxa"/>
            <w:tcBorders>
              <w:top w:val="nil"/>
              <w:left w:val="nil"/>
              <w:bottom w:val="nil"/>
              <w:right w:val="nil"/>
            </w:tcBorders>
            <w:shd w:val="clear" w:color="auto" w:fill="auto"/>
            <w:noWrap/>
            <w:vAlign w:val="bottom"/>
            <w:hideMark/>
          </w:tcPr>
          <w:p w14:paraId="2F8790A6"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25.5</w:t>
            </w:r>
          </w:p>
        </w:tc>
        <w:tc>
          <w:tcPr>
            <w:tcW w:w="1544" w:type="dxa"/>
            <w:tcBorders>
              <w:top w:val="nil"/>
              <w:left w:val="nil"/>
              <w:bottom w:val="nil"/>
              <w:right w:val="nil"/>
            </w:tcBorders>
            <w:shd w:val="clear" w:color="auto" w:fill="auto"/>
            <w:noWrap/>
            <w:vAlign w:val="bottom"/>
            <w:hideMark/>
          </w:tcPr>
          <w:p w14:paraId="7EC4FC0E"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26.3</w:t>
            </w:r>
          </w:p>
        </w:tc>
        <w:tc>
          <w:tcPr>
            <w:tcW w:w="1544" w:type="dxa"/>
            <w:tcBorders>
              <w:top w:val="nil"/>
              <w:left w:val="nil"/>
              <w:bottom w:val="nil"/>
              <w:right w:val="nil"/>
            </w:tcBorders>
            <w:shd w:val="clear" w:color="auto" w:fill="auto"/>
            <w:noWrap/>
            <w:vAlign w:val="bottom"/>
            <w:hideMark/>
          </w:tcPr>
          <w:p w14:paraId="6606976D"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26.6</w:t>
            </w:r>
          </w:p>
        </w:tc>
        <w:tc>
          <w:tcPr>
            <w:tcW w:w="1544" w:type="dxa"/>
            <w:tcBorders>
              <w:top w:val="nil"/>
              <w:left w:val="nil"/>
              <w:bottom w:val="nil"/>
              <w:right w:val="nil"/>
            </w:tcBorders>
            <w:shd w:val="clear" w:color="auto" w:fill="auto"/>
            <w:noWrap/>
            <w:vAlign w:val="bottom"/>
            <w:hideMark/>
          </w:tcPr>
          <w:p w14:paraId="25EC11A2"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27.3</w:t>
            </w:r>
          </w:p>
        </w:tc>
        <w:tc>
          <w:tcPr>
            <w:tcW w:w="1544" w:type="dxa"/>
            <w:tcBorders>
              <w:top w:val="nil"/>
              <w:left w:val="nil"/>
              <w:bottom w:val="nil"/>
              <w:right w:val="single" w:sz="4" w:space="0" w:color="auto"/>
            </w:tcBorders>
            <w:shd w:val="clear" w:color="auto" w:fill="auto"/>
            <w:noWrap/>
            <w:vAlign w:val="bottom"/>
            <w:hideMark/>
          </w:tcPr>
          <w:p w14:paraId="6C6D2FF1"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27.4</w:t>
            </w:r>
          </w:p>
        </w:tc>
      </w:tr>
      <w:tr w:rsidR="00E846E0" w:rsidRPr="00E67FD4" w14:paraId="59730ECF"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12DF0355"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p>
        </w:tc>
        <w:tc>
          <w:tcPr>
            <w:tcW w:w="1543" w:type="dxa"/>
            <w:tcBorders>
              <w:top w:val="nil"/>
              <w:left w:val="nil"/>
              <w:bottom w:val="nil"/>
              <w:right w:val="nil"/>
            </w:tcBorders>
            <w:shd w:val="clear" w:color="auto" w:fill="auto"/>
            <w:noWrap/>
            <w:vAlign w:val="bottom"/>
            <w:hideMark/>
          </w:tcPr>
          <w:p w14:paraId="108F876F"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p>
        </w:tc>
        <w:tc>
          <w:tcPr>
            <w:tcW w:w="1544" w:type="dxa"/>
            <w:tcBorders>
              <w:top w:val="nil"/>
              <w:left w:val="nil"/>
              <w:bottom w:val="nil"/>
              <w:right w:val="nil"/>
            </w:tcBorders>
            <w:shd w:val="clear" w:color="auto" w:fill="auto"/>
            <w:noWrap/>
            <w:vAlign w:val="bottom"/>
            <w:hideMark/>
          </w:tcPr>
          <w:p w14:paraId="6D4B5F99"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7F9F6C36"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220748BB"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single" w:sz="4" w:space="0" w:color="auto"/>
            </w:tcBorders>
            <w:shd w:val="clear" w:color="auto" w:fill="auto"/>
            <w:noWrap/>
            <w:vAlign w:val="bottom"/>
            <w:hideMark/>
          </w:tcPr>
          <w:p w14:paraId="0C7E042E"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p>
        </w:tc>
      </w:tr>
      <w:tr w:rsidR="00E846E0" w:rsidRPr="00E67FD4" w14:paraId="3C4A8186"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2E0BFA96"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 xml:space="preserve">Scotland </w:t>
            </w:r>
          </w:p>
        </w:tc>
        <w:tc>
          <w:tcPr>
            <w:tcW w:w="1543" w:type="dxa"/>
            <w:tcBorders>
              <w:top w:val="nil"/>
              <w:left w:val="nil"/>
              <w:bottom w:val="nil"/>
              <w:right w:val="nil"/>
            </w:tcBorders>
            <w:shd w:val="clear" w:color="auto" w:fill="auto"/>
            <w:noWrap/>
            <w:vAlign w:val="bottom"/>
            <w:hideMark/>
          </w:tcPr>
          <w:p w14:paraId="1C9908BD"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p>
        </w:tc>
        <w:tc>
          <w:tcPr>
            <w:tcW w:w="1544" w:type="dxa"/>
            <w:tcBorders>
              <w:top w:val="nil"/>
              <w:left w:val="nil"/>
              <w:bottom w:val="nil"/>
              <w:right w:val="nil"/>
            </w:tcBorders>
            <w:shd w:val="clear" w:color="auto" w:fill="auto"/>
            <w:noWrap/>
            <w:vAlign w:val="bottom"/>
            <w:hideMark/>
          </w:tcPr>
          <w:p w14:paraId="35F0EFA3"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772603CC"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086CA32C"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single" w:sz="4" w:space="0" w:color="auto"/>
            </w:tcBorders>
            <w:shd w:val="clear" w:color="auto" w:fill="auto"/>
            <w:noWrap/>
            <w:vAlign w:val="bottom"/>
            <w:hideMark/>
          </w:tcPr>
          <w:p w14:paraId="4ABC7E6A"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p>
        </w:tc>
      </w:tr>
      <w:tr w:rsidR="00E846E0" w:rsidRPr="00E67FD4" w14:paraId="016637D6"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1157C36E"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Low</w:t>
            </w:r>
          </w:p>
        </w:tc>
        <w:tc>
          <w:tcPr>
            <w:tcW w:w="1543" w:type="dxa"/>
            <w:tcBorders>
              <w:top w:val="nil"/>
              <w:left w:val="nil"/>
              <w:bottom w:val="nil"/>
              <w:right w:val="nil"/>
            </w:tcBorders>
            <w:shd w:val="clear" w:color="auto" w:fill="auto"/>
            <w:noWrap/>
            <w:vAlign w:val="bottom"/>
            <w:hideMark/>
          </w:tcPr>
          <w:p w14:paraId="6EF10CF4"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24</w:t>
            </w:r>
          </w:p>
        </w:tc>
        <w:tc>
          <w:tcPr>
            <w:tcW w:w="1544" w:type="dxa"/>
            <w:tcBorders>
              <w:top w:val="nil"/>
              <w:left w:val="nil"/>
              <w:bottom w:val="nil"/>
              <w:right w:val="nil"/>
            </w:tcBorders>
            <w:shd w:val="clear" w:color="auto" w:fill="auto"/>
            <w:noWrap/>
            <w:vAlign w:val="bottom"/>
            <w:hideMark/>
          </w:tcPr>
          <w:p w14:paraId="308ADD1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24.5</w:t>
            </w:r>
          </w:p>
        </w:tc>
        <w:tc>
          <w:tcPr>
            <w:tcW w:w="1544" w:type="dxa"/>
            <w:tcBorders>
              <w:top w:val="nil"/>
              <w:left w:val="nil"/>
              <w:bottom w:val="nil"/>
              <w:right w:val="nil"/>
            </w:tcBorders>
            <w:shd w:val="clear" w:color="auto" w:fill="auto"/>
            <w:noWrap/>
            <w:vAlign w:val="bottom"/>
            <w:hideMark/>
          </w:tcPr>
          <w:p w14:paraId="5A51475F"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24.7</w:t>
            </w:r>
          </w:p>
        </w:tc>
        <w:tc>
          <w:tcPr>
            <w:tcW w:w="1544" w:type="dxa"/>
            <w:tcBorders>
              <w:top w:val="nil"/>
              <w:left w:val="nil"/>
              <w:bottom w:val="nil"/>
              <w:right w:val="nil"/>
            </w:tcBorders>
            <w:shd w:val="clear" w:color="auto" w:fill="auto"/>
            <w:noWrap/>
            <w:vAlign w:val="bottom"/>
            <w:hideMark/>
          </w:tcPr>
          <w:p w14:paraId="7B2BFD4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24.8</w:t>
            </w:r>
          </w:p>
        </w:tc>
        <w:tc>
          <w:tcPr>
            <w:tcW w:w="1544" w:type="dxa"/>
            <w:tcBorders>
              <w:top w:val="nil"/>
              <w:left w:val="nil"/>
              <w:bottom w:val="nil"/>
              <w:right w:val="single" w:sz="4" w:space="0" w:color="auto"/>
            </w:tcBorders>
            <w:shd w:val="clear" w:color="auto" w:fill="auto"/>
            <w:noWrap/>
            <w:vAlign w:val="bottom"/>
            <w:hideMark/>
          </w:tcPr>
          <w:p w14:paraId="61A13B20"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24.1</w:t>
            </w:r>
          </w:p>
        </w:tc>
      </w:tr>
      <w:tr w:rsidR="00E846E0" w:rsidRPr="00E67FD4" w14:paraId="1D281F55"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4978ADDC"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Medium</w:t>
            </w:r>
          </w:p>
        </w:tc>
        <w:tc>
          <w:tcPr>
            <w:tcW w:w="1543" w:type="dxa"/>
            <w:tcBorders>
              <w:top w:val="nil"/>
              <w:left w:val="nil"/>
              <w:bottom w:val="nil"/>
              <w:right w:val="nil"/>
            </w:tcBorders>
            <w:shd w:val="clear" w:color="auto" w:fill="auto"/>
            <w:noWrap/>
            <w:vAlign w:val="bottom"/>
            <w:hideMark/>
          </w:tcPr>
          <w:p w14:paraId="35B2B5B4"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26.1</w:t>
            </w:r>
          </w:p>
        </w:tc>
        <w:tc>
          <w:tcPr>
            <w:tcW w:w="1544" w:type="dxa"/>
            <w:tcBorders>
              <w:top w:val="nil"/>
              <w:left w:val="nil"/>
              <w:bottom w:val="nil"/>
              <w:right w:val="nil"/>
            </w:tcBorders>
            <w:shd w:val="clear" w:color="auto" w:fill="auto"/>
            <w:noWrap/>
            <w:vAlign w:val="bottom"/>
            <w:hideMark/>
          </w:tcPr>
          <w:p w14:paraId="23F18519"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26.9</w:t>
            </w:r>
          </w:p>
        </w:tc>
        <w:tc>
          <w:tcPr>
            <w:tcW w:w="1544" w:type="dxa"/>
            <w:tcBorders>
              <w:top w:val="nil"/>
              <w:left w:val="nil"/>
              <w:bottom w:val="nil"/>
              <w:right w:val="nil"/>
            </w:tcBorders>
            <w:shd w:val="clear" w:color="auto" w:fill="auto"/>
            <w:noWrap/>
            <w:vAlign w:val="bottom"/>
            <w:hideMark/>
          </w:tcPr>
          <w:p w14:paraId="038BC73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27.5</w:t>
            </w:r>
          </w:p>
        </w:tc>
        <w:tc>
          <w:tcPr>
            <w:tcW w:w="1544" w:type="dxa"/>
            <w:tcBorders>
              <w:top w:val="nil"/>
              <w:left w:val="nil"/>
              <w:bottom w:val="nil"/>
              <w:right w:val="nil"/>
            </w:tcBorders>
            <w:shd w:val="clear" w:color="auto" w:fill="auto"/>
            <w:noWrap/>
            <w:vAlign w:val="bottom"/>
            <w:hideMark/>
          </w:tcPr>
          <w:p w14:paraId="2466F049"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27.8</w:t>
            </w:r>
          </w:p>
        </w:tc>
        <w:tc>
          <w:tcPr>
            <w:tcW w:w="1544" w:type="dxa"/>
            <w:tcBorders>
              <w:top w:val="nil"/>
              <w:left w:val="nil"/>
              <w:bottom w:val="nil"/>
              <w:right w:val="single" w:sz="4" w:space="0" w:color="auto"/>
            </w:tcBorders>
            <w:shd w:val="clear" w:color="auto" w:fill="auto"/>
            <w:noWrap/>
            <w:vAlign w:val="bottom"/>
            <w:hideMark/>
          </w:tcPr>
          <w:p w14:paraId="1C1CEFC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26.5</w:t>
            </w:r>
          </w:p>
        </w:tc>
      </w:tr>
      <w:tr w:rsidR="00E846E0" w:rsidRPr="00E67FD4" w14:paraId="525346CA"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2746B887"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High</w:t>
            </w:r>
          </w:p>
        </w:tc>
        <w:tc>
          <w:tcPr>
            <w:tcW w:w="1543" w:type="dxa"/>
            <w:tcBorders>
              <w:top w:val="nil"/>
              <w:left w:val="nil"/>
              <w:bottom w:val="nil"/>
              <w:right w:val="nil"/>
            </w:tcBorders>
            <w:shd w:val="clear" w:color="auto" w:fill="auto"/>
            <w:noWrap/>
            <w:vAlign w:val="bottom"/>
            <w:hideMark/>
          </w:tcPr>
          <w:p w14:paraId="5F21D2CE"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27.3</w:t>
            </w:r>
          </w:p>
        </w:tc>
        <w:tc>
          <w:tcPr>
            <w:tcW w:w="1544" w:type="dxa"/>
            <w:tcBorders>
              <w:top w:val="nil"/>
              <w:left w:val="nil"/>
              <w:bottom w:val="nil"/>
              <w:right w:val="nil"/>
            </w:tcBorders>
            <w:shd w:val="clear" w:color="auto" w:fill="auto"/>
            <w:noWrap/>
            <w:vAlign w:val="bottom"/>
            <w:hideMark/>
          </w:tcPr>
          <w:p w14:paraId="2FA118C8"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27.9</w:t>
            </w:r>
          </w:p>
        </w:tc>
        <w:tc>
          <w:tcPr>
            <w:tcW w:w="1544" w:type="dxa"/>
            <w:tcBorders>
              <w:top w:val="nil"/>
              <w:left w:val="nil"/>
              <w:bottom w:val="nil"/>
              <w:right w:val="nil"/>
            </w:tcBorders>
            <w:shd w:val="clear" w:color="auto" w:fill="auto"/>
            <w:noWrap/>
            <w:vAlign w:val="bottom"/>
            <w:hideMark/>
          </w:tcPr>
          <w:p w14:paraId="5240725E"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28.9</w:t>
            </w:r>
          </w:p>
        </w:tc>
        <w:tc>
          <w:tcPr>
            <w:tcW w:w="1544" w:type="dxa"/>
            <w:tcBorders>
              <w:top w:val="nil"/>
              <w:left w:val="nil"/>
              <w:bottom w:val="nil"/>
              <w:right w:val="nil"/>
            </w:tcBorders>
            <w:shd w:val="clear" w:color="auto" w:fill="auto"/>
            <w:noWrap/>
            <w:vAlign w:val="bottom"/>
            <w:hideMark/>
          </w:tcPr>
          <w:p w14:paraId="0D706574"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30</w:t>
            </w:r>
          </w:p>
        </w:tc>
        <w:tc>
          <w:tcPr>
            <w:tcW w:w="1544" w:type="dxa"/>
            <w:tcBorders>
              <w:top w:val="nil"/>
              <w:left w:val="nil"/>
              <w:bottom w:val="nil"/>
              <w:right w:val="single" w:sz="4" w:space="0" w:color="auto"/>
            </w:tcBorders>
            <w:shd w:val="clear" w:color="auto" w:fill="auto"/>
            <w:noWrap/>
            <w:vAlign w:val="bottom"/>
            <w:hideMark/>
          </w:tcPr>
          <w:p w14:paraId="2BF0DCC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29.3</w:t>
            </w:r>
          </w:p>
        </w:tc>
      </w:tr>
      <w:tr w:rsidR="00E846E0" w:rsidRPr="00E67FD4" w14:paraId="6EF185E1"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5FCF9490"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All</w:t>
            </w:r>
          </w:p>
        </w:tc>
        <w:tc>
          <w:tcPr>
            <w:tcW w:w="1543" w:type="dxa"/>
            <w:tcBorders>
              <w:top w:val="nil"/>
              <w:left w:val="nil"/>
              <w:bottom w:val="nil"/>
              <w:right w:val="nil"/>
            </w:tcBorders>
            <w:shd w:val="clear" w:color="auto" w:fill="auto"/>
            <w:noWrap/>
            <w:vAlign w:val="bottom"/>
            <w:hideMark/>
          </w:tcPr>
          <w:p w14:paraId="398348B5"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25.1</w:t>
            </w:r>
          </w:p>
        </w:tc>
        <w:tc>
          <w:tcPr>
            <w:tcW w:w="1544" w:type="dxa"/>
            <w:tcBorders>
              <w:top w:val="nil"/>
              <w:left w:val="nil"/>
              <w:bottom w:val="nil"/>
              <w:right w:val="nil"/>
            </w:tcBorders>
            <w:shd w:val="clear" w:color="auto" w:fill="auto"/>
            <w:noWrap/>
            <w:vAlign w:val="bottom"/>
            <w:hideMark/>
          </w:tcPr>
          <w:p w14:paraId="7C890CE9"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25.7</w:t>
            </w:r>
          </w:p>
        </w:tc>
        <w:tc>
          <w:tcPr>
            <w:tcW w:w="1544" w:type="dxa"/>
            <w:tcBorders>
              <w:top w:val="nil"/>
              <w:left w:val="nil"/>
              <w:bottom w:val="nil"/>
              <w:right w:val="nil"/>
            </w:tcBorders>
            <w:shd w:val="clear" w:color="auto" w:fill="auto"/>
            <w:noWrap/>
            <w:vAlign w:val="bottom"/>
            <w:hideMark/>
          </w:tcPr>
          <w:p w14:paraId="30C13996"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26.2</w:t>
            </w:r>
          </w:p>
        </w:tc>
        <w:tc>
          <w:tcPr>
            <w:tcW w:w="1544" w:type="dxa"/>
            <w:tcBorders>
              <w:top w:val="nil"/>
              <w:left w:val="nil"/>
              <w:bottom w:val="nil"/>
              <w:right w:val="nil"/>
            </w:tcBorders>
            <w:shd w:val="clear" w:color="auto" w:fill="auto"/>
            <w:noWrap/>
            <w:vAlign w:val="bottom"/>
            <w:hideMark/>
          </w:tcPr>
          <w:p w14:paraId="7FCAFB8A"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27.4</w:t>
            </w:r>
          </w:p>
        </w:tc>
        <w:tc>
          <w:tcPr>
            <w:tcW w:w="1544" w:type="dxa"/>
            <w:tcBorders>
              <w:top w:val="nil"/>
              <w:left w:val="nil"/>
              <w:bottom w:val="nil"/>
              <w:right w:val="single" w:sz="4" w:space="0" w:color="auto"/>
            </w:tcBorders>
            <w:shd w:val="clear" w:color="auto" w:fill="auto"/>
            <w:noWrap/>
            <w:vAlign w:val="bottom"/>
            <w:hideMark/>
          </w:tcPr>
          <w:p w14:paraId="2920EB59"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27.1</w:t>
            </w:r>
          </w:p>
        </w:tc>
      </w:tr>
      <w:tr w:rsidR="00E846E0" w:rsidRPr="00E67FD4" w14:paraId="5624435D"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42A9ECB1"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p>
        </w:tc>
        <w:tc>
          <w:tcPr>
            <w:tcW w:w="1543" w:type="dxa"/>
            <w:tcBorders>
              <w:top w:val="nil"/>
              <w:left w:val="nil"/>
              <w:bottom w:val="nil"/>
              <w:right w:val="nil"/>
            </w:tcBorders>
            <w:shd w:val="clear" w:color="auto" w:fill="auto"/>
            <w:noWrap/>
            <w:vAlign w:val="bottom"/>
            <w:hideMark/>
          </w:tcPr>
          <w:p w14:paraId="0BEA2822"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p>
        </w:tc>
        <w:tc>
          <w:tcPr>
            <w:tcW w:w="1544" w:type="dxa"/>
            <w:tcBorders>
              <w:top w:val="nil"/>
              <w:left w:val="nil"/>
              <w:bottom w:val="nil"/>
              <w:right w:val="nil"/>
            </w:tcBorders>
            <w:shd w:val="clear" w:color="auto" w:fill="auto"/>
            <w:noWrap/>
            <w:vAlign w:val="bottom"/>
            <w:hideMark/>
          </w:tcPr>
          <w:p w14:paraId="31124E0F" w14:textId="77777777" w:rsidR="00E846E0" w:rsidRPr="00047E64" w:rsidRDefault="00E846E0" w:rsidP="009908A5">
            <w:pPr>
              <w:spacing w:after="0" w:line="240" w:lineRule="auto"/>
              <w:jc w:val="both"/>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264967A6"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691A08BE"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single" w:sz="4" w:space="0" w:color="auto"/>
            </w:tcBorders>
            <w:shd w:val="clear" w:color="auto" w:fill="auto"/>
            <w:noWrap/>
            <w:vAlign w:val="bottom"/>
            <w:hideMark/>
          </w:tcPr>
          <w:p w14:paraId="26CE5F21"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p>
        </w:tc>
      </w:tr>
      <w:tr w:rsidR="00E846E0" w:rsidRPr="00E67FD4" w14:paraId="6A282351" w14:textId="77777777" w:rsidTr="009908A5">
        <w:trPr>
          <w:trHeight w:val="291"/>
        </w:trPr>
        <w:tc>
          <w:tcPr>
            <w:tcW w:w="2809" w:type="dxa"/>
            <w:gridSpan w:val="2"/>
            <w:tcBorders>
              <w:top w:val="nil"/>
              <w:left w:val="single" w:sz="4" w:space="0" w:color="auto"/>
              <w:bottom w:val="nil"/>
              <w:right w:val="nil"/>
            </w:tcBorders>
            <w:shd w:val="clear" w:color="auto" w:fill="auto"/>
            <w:noWrap/>
            <w:vAlign w:val="bottom"/>
            <w:hideMark/>
          </w:tcPr>
          <w:p w14:paraId="48392079"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 xml:space="preserve">Northern Ireland </w:t>
            </w:r>
          </w:p>
        </w:tc>
        <w:tc>
          <w:tcPr>
            <w:tcW w:w="1544" w:type="dxa"/>
            <w:tcBorders>
              <w:top w:val="nil"/>
              <w:left w:val="nil"/>
              <w:bottom w:val="nil"/>
              <w:right w:val="nil"/>
            </w:tcBorders>
            <w:shd w:val="clear" w:color="auto" w:fill="auto"/>
            <w:noWrap/>
            <w:vAlign w:val="bottom"/>
            <w:hideMark/>
          </w:tcPr>
          <w:p w14:paraId="529FAC0E" w14:textId="77777777" w:rsidR="00E846E0" w:rsidRPr="00047E64" w:rsidRDefault="00E846E0" w:rsidP="009908A5">
            <w:pPr>
              <w:spacing w:after="0" w:line="240" w:lineRule="auto"/>
              <w:jc w:val="both"/>
              <w:rPr>
                <w:rFonts w:ascii="Calibri" w:eastAsia="Times New Roman" w:hAnsi="Calibri" w:cs="Calibri"/>
                <w:color w:val="000000"/>
                <w:szCs w:val="24"/>
                <w:lang w:val="en-GB" w:eastAsia="en-GB"/>
              </w:rPr>
            </w:pPr>
          </w:p>
        </w:tc>
        <w:tc>
          <w:tcPr>
            <w:tcW w:w="1544" w:type="dxa"/>
            <w:tcBorders>
              <w:top w:val="nil"/>
              <w:left w:val="nil"/>
              <w:bottom w:val="nil"/>
              <w:right w:val="nil"/>
            </w:tcBorders>
            <w:shd w:val="clear" w:color="auto" w:fill="auto"/>
            <w:noWrap/>
            <w:vAlign w:val="bottom"/>
            <w:hideMark/>
          </w:tcPr>
          <w:p w14:paraId="529876B7"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3E0F3E52" w14:textId="77777777" w:rsidR="00E846E0" w:rsidRPr="00047E64" w:rsidRDefault="00E846E0" w:rsidP="009908A5">
            <w:pPr>
              <w:spacing w:after="0" w:line="240" w:lineRule="auto"/>
              <w:jc w:val="right"/>
              <w:rPr>
                <w:rFonts w:ascii="Times New Roman" w:eastAsia="Times New Roman" w:hAnsi="Times New Roman" w:cs="Times New Roman"/>
                <w:szCs w:val="24"/>
                <w:lang w:val="en-GB" w:eastAsia="en-GB"/>
              </w:rPr>
            </w:pPr>
          </w:p>
        </w:tc>
        <w:tc>
          <w:tcPr>
            <w:tcW w:w="1544" w:type="dxa"/>
            <w:tcBorders>
              <w:top w:val="nil"/>
              <w:left w:val="nil"/>
              <w:bottom w:val="nil"/>
              <w:right w:val="single" w:sz="4" w:space="0" w:color="auto"/>
            </w:tcBorders>
            <w:shd w:val="clear" w:color="auto" w:fill="auto"/>
            <w:noWrap/>
            <w:vAlign w:val="bottom"/>
            <w:hideMark/>
          </w:tcPr>
          <w:p w14:paraId="69D6A295"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p>
        </w:tc>
      </w:tr>
      <w:tr w:rsidR="00E846E0" w:rsidRPr="00E67FD4" w14:paraId="2307E9AF"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20DFB790"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Low</w:t>
            </w:r>
          </w:p>
        </w:tc>
        <w:tc>
          <w:tcPr>
            <w:tcW w:w="1543" w:type="dxa"/>
            <w:tcBorders>
              <w:top w:val="nil"/>
              <w:left w:val="nil"/>
              <w:bottom w:val="nil"/>
              <w:right w:val="nil"/>
            </w:tcBorders>
            <w:shd w:val="clear" w:color="auto" w:fill="auto"/>
            <w:noWrap/>
            <w:vAlign w:val="bottom"/>
            <w:hideMark/>
          </w:tcPr>
          <w:p w14:paraId="4191E0AF"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p>
        </w:tc>
        <w:tc>
          <w:tcPr>
            <w:tcW w:w="1544" w:type="dxa"/>
            <w:tcBorders>
              <w:top w:val="nil"/>
              <w:left w:val="nil"/>
              <w:bottom w:val="nil"/>
              <w:right w:val="nil"/>
            </w:tcBorders>
            <w:shd w:val="clear" w:color="auto" w:fill="auto"/>
            <w:noWrap/>
            <w:vAlign w:val="bottom"/>
            <w:hideMark/>
          </w:tcPr>
          <w:p w14:paraId="14657D75" w14:textId="77777777" w:rsidR="00E846E0" w:rsidRPr="00047E64" w:rsidRDefault="00E846E0" w:rsidP="009908A5">
            <w:pPr>
              <w:spacing w:after="0" w:line="240" w:lineRule="auto"/>
              <w:jc w:val="both"/>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148AA9DA"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24.9</w:t>
            </w:r>
          </w:p>
        </w:tc>
        <w:tc>
          <w:tcPr>
            <w:tcW w:w="1544" w:type="dxa"/>
            <w:tcBorders>
              <w:top w:val="nil"/>
              <w:left w:val="nil"/>
              <w:bottom w:val="nil"/>
              <w:right w:val="nil"/>
            </w:tcBorders>
            <w:shd w:val="clear" w:color="auto" w:fill="auto"/>
            <w:noWrap/>
            <w:vAlign w:val="bottom"/>
            <w:hideMark/>
          </w:tcPr>
          <w:p w14:paraId="26A2DA73"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24.9</w:t>
            </w:r>
          </w:p>
        </w:tc>
        <w:tc>
          <w:tcPr>
            <w:tcW w:w="1544" w:type="dxa"/>
            <w:tcBorders>
              <w:top w:val="nil"/>
              <w:left w:val="nil"/>
              <w:bottom w:val="nil"/>
              <w:right w:val="single" w:sz="4" w:space="0" w:color="auto"/>
            </w:tcBorders>
            <w:shd w:val="clear" w:color="auto" w:fill="auto"/>
            <w:noWrap/>
            <w:vAlign w:val="bottom"/>
            <w:hideMark/>
          </w:tcPr>
          <w:p w14:paraId="50A347D7"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24.0</w:t>
            </w:r>
          </w:p>
        </w:tc>
      </w:tr>
      <w:tr w:rsidR="00E846E0" w:rsidRPr="00E67FD4" w14:paraId="36150F69"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019CAB9B"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Medium</w:t>
            </w:r>
          </w:p>
        </w:tc>
        <w:tc>
          <w:tcPr>
            <w:tcW w:w="1543" w:type="dxa"/>
            <w:tcBorders>
              <w:top w:val="nil"/>
              <w:left w:val="nil"/>
              <w:bottom w:val="nil"/>
              <w:right w:val="nil"/>
            </w:tcBorders>
            <w:shd w:val="clear" w:color="auto" w:fill="auto"/>
            <w:noWrap/>
            <w:vAlign w:val="bottom"/>
            <w:hideMark/>
          </w:tcPr>
          <w:p w14:paraId="7270024B"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p>
        </w:tc>
        <w:tc>
          <w:tcPr>
            <w:tcW w:w="1544" w:type="dxa"/>
            <w:tcBorders>
              <w:top w:val="nil"/>
              <w:left w:val="nil"/>
              <w:bottom w:val="nil"/>
              <w:right w:val="nil"/>
            </w:tcBorders>
            <w:shd w:val="clear" w:color="auto" w:fill="auto"/>
            <w:noWrap/>
            <w:vAlign w:val="bottom"/>
            <w:hideMark/>
          </w:tcPr>
          <w:p w14:paraId="4E14DECC" w14:textId="77777777" w:rsidR="00E846E0" w:rsidRPr="00047E64" w:rsidRDefault="00E846E0" w:rsidP="009908A5">
            <w:pPr>
              <w:spacing w:after="0" w:line="240" w:lineRule="auto"/>
              <w:jc w:val="both"/>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11B41E8A"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26.2</w:t>
            </w:r>
          </w:p>
        </w:tc>
        <w:tc>
          <w:tcPr>
            <w:tcW w:w="1544" w:type="dxa"/>
            <w:tcBorders>
              <w:top w:val="nil"/>
              <w:left w:val="nil"/>
              <w:bottom w:val="nil"/>
              <w:right w:val="nil"/>
            </w:tcBorders>
            <w:shd w:val="clear" w:color="auto" w:fill="auto"/>
            <w:noWrap/>
            <w:vAlign w:val="bottom"/>
            <w:hideMark/>
          </w:tcPr>
          <w:p w14:paraId="46045339"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27.1</w:t>
            </w:r>
          </w:p>
        </w:tc>
        <w:tc>
          <w:tcPr>
            <w:tcW w:w="1544" w:type="dxa"/>
            <w:tcBorders>
              <w:top w:val="nil"/>
              <w:left w:val="nil"/>
              <w:bottom w:val="nil"/>
              <w:right w:val="single" w:sz="4" w:space="0" w:color="auto"/>
            </w:tcBorders>
            <w:shd w:val="clear" w:color="auto" w:fill="auto"/>
            <w:noWrap/>
            <w:vAlign w:val="bottom"/>
            <w:hideMark/>
          </w:tcPr>
          <w:p w14:paraId="2EF9894D"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26.1</w:t>
            </w:r>
          </w:p>
        </w:tc>
      </w:tr>
      <w:tr w:rsidR="00E846E0" w:rsidRPr="00E67FD4" w14:paraId="2382B98A" w14:textId="77777777" w:rsidTr="009908A5">
        <w:trPr>
          <w:trHeight w:val="291"/>
        </w:trPr>
        <w:tc>
          <w:tcPr>
            <w:tcW w:w="1266" w:type="dxa"/>
            <w:tcBorders>
              <w:top w:val="nil"/>
              <w:left w:val="single" w:sz="4" w:space="0" w:color="auto"/>
              <w:bottom w:val="nil"/>
              <w:right w:val="nil"/>
            </w:tcBorders>
            <w:shd w:val="clear" w:color="auto" w:fill="auto"/>
            <w:noWrap/>
            <w:vAlign w:val="bottom"/>
            <w:hideMark/>
          </w:tcPr>
          <w:p w14:paraId="60FD1113"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High</w:t>
            </w:r>
          </w:p>
        </w:tc>
        <w:tc>
          <w:tcPr>
            <w:tcW w:w="1543" w:type="dxa"/>
            <w:tcBorders>
              <w:top w:val="nil"/>
              <w:left w:val="nil"/>
              <w:bottom w:val="nil"/>
              <w:right w:val="nil"/>
            </w:tcBorders>
            <w:shd w:val="clear" w:color="auto" w:fill="auto"/>
            <w:noWrap/>
            <w:vAlign w:val="bottom"/>
            <w:hideMark/>
          </w:tcPr>
          <w:p w14:paraId="6784EF40"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p>
        </w:tc>
        <w:tc>
          <w:tcPr>
            <w:tcW w:w="1544" w:type="dxa"/>
            <w:tcBorders>
              <w:top w:val="nil"/>
              <w:left w:val="nil"/>
              <w:bottom w:val="nil"/>
              <w:right w:val="nil"/>
            </w:tcBorders>
            <w:shd w:val="clear" w:color="auto" w:fill="auto"/>
            <w:noWrap/>
            <w:vAlign w:val="bottom"/>
            <w:hideMark/>
          </w:tcPr>
          <w:p w14:paraId="71DB52EC" w14:textId="77777777" w:rsidR="00E846E0" w:rsidRPr="00047E64" w:rsidRDefault="00E846E0" w:rsidP="009908A5">
            <w:pPr>
              <w:spacing w:after="0" w:line="240" w:lineRule="auto"/>
              <w:jc w:val="both"/>
              <w:rPr>
                <w:rFonts w:ascii="Times New Roman" w:eastAsia="Times New Roman" w:hAnsi="Times New Roman" w:cs="Times New Roman"/>
                <w:szCs w:val="24"/>
                <w:lang w:val="en-GB" w:eastAsia="en-GB"/>
              </w:rPr>
            </w:pPr>
          </w:p>
        </w:tc>
        <w:tc>
          <w:tcPr>
            <w:tcW w:w="1544" w:type="dxa"/>
            <w:tcBorders>
              <w:top w:val="nil"/>
              <w:left w:val="nil"/>
              <w:bottom w:val="nil"/>
              <w:right w:val="nil"/>
            </w:tcBorders>
            <w:shd w:val="clear" w:color="auto" w:fill="auto"/>
            <w:noWrap/>
            <w:vAlign w:val="bottom"/>
            <w:hideMark/>
          </w:tcPr>
          <w:p w14:paraId="06091E6D"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29.3</w:t>
            </w:r>
          </w:p>
        </w:tc>
        <w:tc>
          <w:tcPr>
            <w:tcW w:w="1544" w:type="dxa"/>
            <w:tcBorders>
              <w:top w:val="nil"/>
              <w:left w:val="nil"/>
              <w:bottom w:val="nil"/>
              <w:right w:val="nil"/>
            </w:tcBorders>
            <w:shd w:val="clear" w:color="auto" w:fill="auto"/>
            <w:noWrap/>
            <w:vAlign w:val="bottom"/>
            <w:hideMark/>
          </w:tcPr>
          <w:p w14:paraId="26E0E449"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30.2</w:t>
            </w:r>
          </w:p>
        </w:tc>
        <w:tc>
          <w:tcPr>
            <w:tcW w:w="1544" w:type="dxa"/>
            <w:tcBorders>
              <w:top w:val="nil"/>
              <w:left w:val="nil"/>
              <w:bottom w:val="nil"/>
              <w:right w:val="single" w:sz="4" w:space="0" w:color="auto"/>
            </w:tcBorders>
            <w:shd w:val="clear" w:color="auto" w:fill="auto"/>
            <w:noWrap/>
            <w:vAlign w:val="bottom"/>
            <w:hideMark/>
          </w:tcPr>
          <w:p w14:paraId="1CA29033"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29.4</w:t>
            </w:r>
          </w:p>
        </w:tc>
      </w:tr>
      <w:tr w:rsidR="00E846E0" w:rsidRPr="00E67FD4" w14:paraId="5B54547E" w14:textId="77777777" w:rsidTr="009908A5">
        <w:trPr>
          <w:trHeight w:val="291"/>
        </w:trPr>
        <w:tc>
          <w:tcPr>
            <w:tcW w:w="1266" w:type="dxa"/>
            <w:tcBorders>
              <w:top w:val="nil"/>
              <w:left w:val="single" w:sz="4" w:space="0" w:color="auto"/>
              <w:bottom w:val="single" w:sz="4" w:space="0" w:color="auto"/>
              <w:right w:val="nil"/>
            </w:tcBorders>
            <w:shd w:val="clear" w:color="auto" w:fill="auto"/>
            <w:noWrap/>
            <w:vAlign w:val="bottom"/>
            <w:hideMark/>
          </w:tcPr>
          <w:p w14:paraId="6914A1C5"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All</w:t>
            </w:r>
          </w:p>
        </w:tc>
        <w:tc>
          <w:tcPr>
            <w:tcW w:w="1543" w:type="dxa"/>
            <w:tcBorders>
              <w:top w:val="nil"/>
              <w:left w:val="nil"/>
              <w:bottom w:val="single" w:sz="4" w:space="0" w:color="auto"/>
              <w:right w:val="nil"/>
            </w:tcBorders>
            <w:shd w:val="clear" w:color="auto" w:fill="auto"/>
            <w:noWrap/>
            <w:vAlign w:val="bottom"/>
            <w:hideMark/>
          </w:tcPr>
          <w:p w14:paraId="578EFD13" w14:textId="77777777" w:rsidR="00E846E0" w:rsidRPr="00047E64" w:rsidRDefault="00E846E0" w:rsidP="009908A5">
            <w:pPr>
              <w:spacing w:after="0" w:line="240" w:lineRule="auto"/>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 </w:t>
            </w:r>
          </w:p>
        </w:tc>
        <w:tc>
          <w:tcPr>
            <w:tcW w:w="1544" w:type="dxa"/>
            <w:tcBorders>
              <w:top w:val="nil"/>
              <w:left w:val="nil"/>
              <w:bottom w:val="single" w:sz="4" w:space="0" w:color="auto"/>
              <w:right w:val="nil"/>
            </w:tcBorders>
            <w:shd w:val="clear" w:color="auto" w:fill="auto"/>
            <w:noWrap/>
            <w:vAlign w:val="bottom"/>
            <w:hideMark/>
          </w:tcPr>
          <w:p w14:paraId="238F9B12" w14:textId="77777777" w:rsidR="00E846E0" w:rsidRPr="00047E64" w:rsidRDefault="00E846E0" w:rsidP="009908A5">
            <w:pPr>
              <w:spacing w:after="0" w:line="240" w:lineRule="auto"/>
              <w:jc w:val="both"/>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 </w:t>
            </w:r>
          </w:p>
        </w:tc>
        <w:tc>
          <w:tcPr>
            <w:tcW w:w="1544" w:type="dxa"/>
            <w:tcBorders>
              <w:top w:val="nil"/>
              <w:left w:val="nil"/>
              <w:bottom w:val="single" w:sz="4" w:space="0" w:color="auto"/>
              <w:right w:val="nil"/>
            </w:tcBorders>
            <w:shd w:val="clear" w:color="auto" w:fill="auto"/>
            <w:noWrap/>
            <w:vAlign w:val="bottom"/>
            <w:hideMark/>
          </w:tcPr>
          <w:p w14:paraId="573CBAD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25.8</w:t>
            </w:r>
          </w:p>
        </w:tc>
        <w:tc>
          <w:tcPr>
            <w:tcW w:w="1544" w:type="dxa"/>
            <w:tcBorders>
              <w:top w:val="nil"/>
              <w:left w:val="nil"/>
              <w:bottom w:val="single" w:sz="4" w:space="0" w:color="auto"/>
              <w:right w:val="nil"/>
            </w:tcBorders>
            <w:shd w:val="clear" w:color="auto" w:fill="auto"/>
            <w:noWrap/>
            <w:vAlign w:val="bottom"/>
            <w:hideMark/>
          </w:tcPr>
          <w:p w14:paraId="4FD96209"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26.5</w:t>
            </w:r>
          </w:p>
        </w:tc>
        <w:tc>
          <w:tcPr>
            <w:tcW w:w="1544" w:type="dxa"/>
            <w:tcBorders>
              <w:top w:val="nil"/>
              <w:left w:val="nil"/>
              <w:bottom w:val="single" w:sz="4" w:space="0" w:color="auto"/>
              <w:right w:val="single" w:sz="4" w:space="0" w:color="auto"/>
            </w:tcBorders>
            <w:shd w:val="clear" w:color="auto" w:fill="auto"/>
            <w:noWrap/>
            <w:vAlign w:val="bottom"/>
            <w:hideMark/>
          </w:tcPr>
          <w:p w14:paraId="6192E47C" w14:textId="77777777" w:rsidR="00E846E0" w:rsidRPr="00047E64" w:rsidRDefault="00E846E0" w:rsidP="009908A5">
            <w:pPr>
              <w:spacing w:after="0" w:line="240" w:lineRule="auto"/>
              <w:jc w:val="right"/>
              <w:rPr>
                <w:rFonts w:ascii="Calibri" w:eastAsia="Times New Roman" w:hAnsi="Calibri" w:cs="Calibri"/>
                <w:color w:val="000000"/>
                <w:szCs w:val="24"/>
                <w:lang w:val="en-GB" w:eastAsia="en-GB"/>
              </w:rPr>
            </w:pPr>
            <w:r w:rsidRPr="00047E64">
              <w:rPr>
                <w:rFonts w:ascii="Calibri" w:eastAsia="Times New Roman" w:hAnsi="Calibri" w:cs="Calibri"/>
                <w:color w:val="000000"/>
                <w:szCs w:val="24"/>
                <w:lang w:val="en-GB" w:eastAsia="en-GB"/>
              </w:rPr>
              <w:t>26.4</w:t>
            </w:r>
          </w:p>
        </w:tc>
      </w:tr>
    </w:tbl>
    <w:p w14:paraId="4D3A51BF" w14:textId="77777777" w:rsidR="00E846E0" w:rsidRPr="00580A53" w:rsidRDefault="00E846E0" w:rsidP="00E846E0">
      <w:pPr>
        <w:rPr>
          <w:i/>
          <w:iCs/>
        </w:rPr>
      </w:pPr>
      <w:r w:rsidRPr="00D90C11">
        <w:rPr>
          <w:i/>
          <w:iCs/>
        </w:rPr>
        <w:t>Sources: ONS Longitudinal Study, Scottish Longitudinal Study, Northern Ireland Longitudinal Study</w:t>
      </w:r>
      <w:r>
        <w:rPr>
          <w:i/>
          <w:iCs/>
        </w:rPr>
        <w:t xml:space="preserve"> (NB NILS earliest data point is for 1966-69 birth cohort)</w:t>
      </w:r>
    </w:p>
    <w:p w14:paraId="62CC6021" w14:textId="57BD55CD" w:rsidR="000673AC" w:rsidRPr="000673AC" w:rsidRDefault="000673AC" w:rsidP="000673AC">
      <w:pPr>
        <w:pStyle w:val="Heading3"/>
      </w:pPr>
      <w:r>
        <w:t xml:space="preserve">Appendix 4. </w:t>
      </w:r>
      <w:r w:rsidRPr="000673AC">
        <w:t>Parity Progression ratios</w:t>
      </w:r>
    </w:p>
    <w:p w14:paraId="0DB0F3DF" w14:textId="27DE6D36" w:rsidR="00386E2D" w:rsidRDefault="00386E2D" w:rsidP="0037557C">
      <w:pPr>
        <w:pStyle w:val="Heading4"/>
      </w:pPr>
      <w:r>
        <w:t xml:space="preserve">Table 1 </w:t>
      </w:r>
      <w:r w:rsidRPr="00E413AC">
        <w:t xml:space="preserve">– </w:t>
      </w:r>
      <w:r>
        <w:t xml:space="preserve">Parity progression ratios, transition from childless to first birth by educational attainment </w:t>
      </w:r>
      <w:r w:rsidR="00204BB5">
        <w:t>and country</w:t>
      </w:r>
    </w:p>
    <w:tbl>
      <w:tblPr>
        <w:tblW w:w="9350" w:type="dxa"/>
        <w:tblLayout w:type="fixed"/>
        <w:tblLook w:val="04A0" w:firstRow="1" w:lastRow="0" w:firstColumn="1" w:lastColumn="0" w:noHBand="0" w:noVBand="1"/>
      </w:tblPr>
      <w:tblGrid>
        <w:gridCol w:w="1980"/>
        <w:gridCol w:w="1473"/>
        <w:gridCol w:w="1474"/>
        <w:gridCol w:w="1474"/>
        <w:gridCol w:w="1474"/>
        <w:gridCol w:w="1475"/>
      </w:tblGrid>
      <w:tr w:rsidR="00386E2D" w:rsidRPr="00386E2D" w14:paraId="3E5A857A" w14:textId="77777777" w:rsidTr="00047E64">
        <w:trPr>
          <w:trHeight w:val="316"/>
        </w:trPr>
        <w:tc>
          <w:tcPr>
            <w:tcW w:w="1980" w:type="dxa"/>
            <w:tcBorders>
              <w:top w:val="single" w:sz="4" w:space="0" w:color="auto"/>
              <w:left w:val="single" w:sz="4" w:space="0" w:color="auto"/>
              <w:bottom w:val="nil"/>
              <w:right w:val="nil"/>
            </w:tcBorders>
            <w:shd w:val="clear" w:color="auto" w:fill="auto"/>
            <w:noWrap/>
            <w:vAlign w:val="bottom"/>
            <w:hideMark/>
          </w:tcPr>
          <w:p w14:paraId="2CDDB1C1" w14:textId="28276367" w:rsidR="00386E2D" w:rsidRPr="00386E2D" w:rsidRDefault="00386E2D" w:rsidP="00386E2D">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England &amp; Wales </w:t>
            </w:r>
            <w:r w:rsidRPr="00386E2D">
              <w:rPr>
                <w:rFonts w:ascii="Calibri" w:eastAsia="Times New Roman" w:hAnsi="Calibri" w:cs="Calibri"/>
                <w:color w:val="000000"/>
                <w:lang w:val="en-GB" w:eastAsia="en-GB"/>
              </w:rPr>
              <w:t> </w:t>
            </w:r>
          </w:p>
        </w:tc>
        <w:tc>
          <w:tcPr>
            <w:tcW w:w="1474" w:type="dxa"/>
            <w:tcBorders>
              <w:top w:val="single" w:sz="4" w:space="0" w:color="auto"/>
              <w:left w:val="nil"/>
              <w:bottom w:val="nil"/>
              <w:right w:val="nil"/>
            </w:tcBorders>
            <w:shd w:val="clear" w:color="auto" w:fill="auto"/>
            <w:noWrap/>
            <w:vAlign w:val="bottom"/>
            <w:hideMark/>
          </w:tcPr>
          <w:p w14:paraId="4FF90CE2"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 xml:space="preserve">1956-59 </w:t>
            </w:r>
          </w:p>
        </w:tc>
        <w:tc>
          <w:tcPr>
            <w:tcW w:w="1474" w:type="dxa"/>
            <w:tcBorders>
              <w:top w:val="single" w:sz="4" w:space="0" w:color="auto"/>
              <w:left w:val="nil"/>
              <w:bottom w:val="nil"/>
              <w:right w:val="nil"/>
            </w:tcBorders>
            <w:shd w:val="clear" w:color="auto" w:fill="auto"/>
            <w:noWrap/>
            <w:vAlign w:val="bottom"/>
            <w:hideMark/>
          </w:tcPr>
          <w:p w14:paraId="207016CA"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1960-64</w:t>
            </w:r>
          </w:p>
        </w:tc>
        <w:tc>
          <w:tcPr>
            <w:tcW w:w="1474" w:type="dxa"/>
            <w:tcBorders>
              <w:top w:val="single" w:sz="4" w:space="0" w:color="auto"/>
              <w:left w:val="nil"/>
              <w:bottom w:val="nil"/>
              <w:right w:val="nil"/>
            </w:tcBorders>
            <w:shd w:val="clear" w:color="auto" w:fill="auto"/>
            <w:noWrap/>
            <w:vAlign w:val="bottom"/>
            <w:hideMark/>
          </w:tcPr>
          <w:p w14:paraId="07271150"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1965-69</w:t>
            </w:r>
          </w:p>
        </w:tc>
        <w:tc>
          <w:tcPr>
            <w:tcW w:w="1474" w:type="dxa"/>
            <w:tcBorders>
              <w:top w:val="single" w:sz="4" w:space="0" w:color="auto"/>
              <w:left w:val="nil"/>
              <w:bottom w:val="nil"/>
              <w:right w:val="nil"/>
            </w:tcBorders>
            <w:shd w:val="clear" w:color="auto" w:fill="auto"/>
            <w:noWrap/>
            <w:vAlign w:val="bottom"/>
            <w:hideMark/>
          </w:tcPr>
          <w:p w14:paraId="00CFD9F2"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1970-74</w:t>
            </w:r>
          </w:p>
        </w:tc>
        <w:tc>
          <w:tcPr>
            <w:tcW w:w="1474" w:type="dxa"/>
            <w:tcBorders>
              <w:top w:val="single" w:sz="4" w:space="0" w:color="auto"/>
              <w:left w:val="nil"/>
              <w:bottom w:val="nil"/>
              <w:right w:val="single" w:sz="4" w:space="0" w:color="auto"/>
            </w:tcBorders>
            <w:shd w:val="clear" w:color="auto" w:fill="auto"/>
            <w:noWrap/>
            <w:vAlign w:val="bottom"/>
            <w:hideMark/>
          </w:tcPr>
          <w:p w14:paraId="40E8CF03"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1975-78</w:t>
            </w:r>
          </w:p>
        </w:tc>
      </w:tr>
      <w:tr w:rsidR="00386E2D" w:rsidRPr="00386E2D" w14:paraId="3BC5F1DF" w14:textId="77777777" w:rsidTr="00047E64">
        <w:trPr>
          <w:trHeight w:val="316"/>
        </w:trPr>
        <w:tc>
          <w:tcPr>
            <w:tcW w:w="1980" w:type="dxa"/>
            <w:tcBorders>
              <w:top w:val="nil"/>
              <w:left w:val="single" w:sz="4" w:space="0" w:color="auto"/>
              <w:bottom w:val="nil"/>
              <w:right w:val="nil"/>
            </w:tcBorders>
            <w:shd w:val="clear" w:color="auto" w:fill="auto"/>
            <w:noWrap/>
            <w:vAlign w:val="bottom"/>
            <w:hideMark/>
          </w:tcPr>
          <w:p w14:paraId="31BF6107" w14:textId="77777777" w:rsidR="00386E2D" w:rsidRPr="00386E2D" w:rsidRDefault="00386E2D" w:rsidP="00386E2D">
            <w:pPr>
              <w:spacing w:after="0" w:line="240" w:lineRule="auto"/>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Low</w:t>
            </w:r>
          </w:p>
        </w:tc>
        <w:tc>
          <w:tcPr>
            <w:tcW w:w="1474" w:type="dxa"/>
            <w:tcBorders>
              <w:top w:val="nil"/>
              <w:left w:val="nil"/>
              <w:bottom w:val="nil"/>
              <w:right w:val="nil"/>
            </w:tcBorders>
            <w:shd w:val="clear" w:color="auto" w:fill="auto"/>
            <w:noWrap/>
            <w:vAlign w:val="bottom"/>
            <w:hideMark/>
          </w:tcPr>
          <w:p w14:paraId="15FA1CDE"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0.84</w:t>
            </w:r>
          </w:p>
        </w:tc>
        <w:tc>
          <w:tcPr>
            <w:tcW w:w="1474" w:type="dxa"/>
            <w:tcBorders>
              <w:top w:val="nil"/>
              <w:left w:val="nil"/>
              <w:bottom w:val="nil"/>
              <w:right w:val="nil"/>
            </w:tcBorders>
            <w:shd w:val="clear" w:color="auto" w:fill="auto"/>
            <w:noWrap/>
            <w:vAlign w:val="bottom"/>
            <w:hideMark/>
          </w:tcPr>
          <w:p w14:paraId="37322387"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0.83</w:t>
            </w:r>
          </w:p>
        </w:tc>
        <w:tc>
          <w:tcPr>
            <w:tcW w:w="1474" w:type="dxa"/>
            <w:tcBorders>
              <w:top w:val="nil"/>
              <w:left w:val="nil"/>
              <w:bottom w:val="nil"/>
              <w:right w:val="nil"/>
            </w:tcBorders>
            <w:shd w:val="clear" w:color="auto" w:fill="auto"/>
            <w:noWrap/>
            <w:vAlign w:val="bottom"/>
            <w:hideMark/>
          </w:tcPr>
          <w:p w14:paraId="1989B256"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0.83</w:t>
            </w:r>
          </w:p>
        </w:tc>
        <w:tc>
          <w:tcPr>
            <w:tcW w:w="1474" w:type="dxa"/>
            <w:tcBorders>
              <w:top w:val="nil"/>
              <w:left w:val="nil"/>
              <w:bottom w:val="nil"/>
              <w:right w:val="nil"/>
            </w:tcBorders>
            <w:shd w:val="clear" w:color="auto" w:fill="auto"/>
            <w:noWrap/>
            <w:vAlign w:val="bottom"/>
            <w:hideMark/>
          </w:tcPr>
          <w:p w14:paraId="528B3ADF"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0.82</w:t>
            </w:r>
          </w:p>
        </w:tc>
        <w:tc>
          <w:tcPr>
            <w:tcW w:w="1474" w:type="dxa"/>
            <w:tcBorders>
              <w:top w:val="nil"/>
              <w:left w:val="nil"/>
              <w:bottom w:val="nil"/>
              <w:right w:val="single" w:sz="4" w:space="0" w:color="auto"/>
            </w:tcBorders>
            <w:shd w:val="clear" w:color="auto" w:fill="auto"/>
            <w:noWrap/>
            <w:vAlign w:val="bottom"/>
            <w:hideMark/>
          </w:tcPr>
          <w:p w14:paraId="425E6E9A"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0.84</w:t>
            </w:r>
          </w:p>
        </w:tc>
      </w:tr>
      <w:tr w:rsidR="00386E2D" w:rsidRPr="00386E2D" w14:paraId="0779E171" w14:textId="77777777" w:rsidTr="00047E64">
        <w:trPr>
          <w:trHeight w:val="316"/>
        </w:trPr>
        <w:tc>
          <w:tcPr>
            <w:tcW w:w="1980" w:type="dxa"/>
            <w:tcBorders>
              <w:top w:val="nil"/>
              <w:left w:val="single" w:sz="4" w:space="0" w:color="auto"/>
              <w:bottom w:val="nil"/>
              <w:right w:val="nil"/>
            </w:tcBorders>
            <w:shd w:val="clear" w:color="auto" w:fill="auto"/>
            <w:noWrap/>
            <w:vAlign w:val="bottom"/>
            <w:hideMark/>
          </w:tcPr>
          <w:p w14:paraId="33DCCF61" w14:textId="77777777" w:rsidR="00386E2D" w:rsidRPr="00386E2D" w:rsidRDefault="00386E2D" w:rsidP="00386E2D">
            <w:pPr>
              <w:spacing w:after="0" w:line="240" w:lineRule="auto"/>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Medium</w:t>
            </w:r>
          </w:p>
        </w:tc>
        <w:tc>
          <w:tcPr>
            <w:tcW w:w="1474" w:type="dxa"/>
            <w:tcBorders>
              <w:top w:val="nil"/>
              <w:left w:val="nil"/>
              <w:bottom w:val="nil"/>
              <w:right w:val="nil"/>
            </w:tcBorders>
            <w:shd w:val="clear" w:color="auto" w:fill="auto"/>
            <w:noWrap/>
            <w:vAlign w:val="bottom"/>
            <w:hideMark/>
          </w:tcPr>
          <w:p w14:paraId="390C8E23"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0.81</w:t>
            </w:r>
          </w:p>
        </w:tc>
        <w:tc>
          <w:tcPr>
            <w:tcW w:w="1474" w:type="dxa"/>
            <w:tcBorders>
              <w:top w:val="nil"/>
              <w:left w:val="nil"/>
              <w:bottom w:val="nil"/>
              <w:right w:val="nil"/>
            </w:tcBorders>
            <w:shd w:val="clear" w:color="auto" w:fill="auto"/>
            <w:noWrap/>
            <w:vAlign w:val="bottom"/>
            <w:hideMark/>
          </w:tcPr>
          <w:p w14:paraId="31B59CA6"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0.78</w:t>
            </w:r>
          </w:p>
        </w:tc>
        <w:tc>
          <w:tcPr>
            <w:tcW w:w="1474" w:type="dxa"/>
            <w:tcBorders>
              <w:top w:val="nil"/>
              <w:left w:val="nil"/>
              <w:bottom w:val="nil"/>
              <w:right w:val="nil"/>
            </w:tcBorders>
            <w:shd w:val="clear" w:color="auto" w:fill="auto"/>
            <w:noWrap/>
            <w:vAlign w:val="bottom"/>
            <w:hideMark/>
          </w:tcPr>
          <w:p w14:paraId="1F474E2B"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0.76</w:t>
            </w:r>
          </w:p>
        </w:tc>
        <w:tc>
          <w:tcPr>
            <w:tcW w:w="1474" w:type="dxa"/>
            <w:tcBorders>
              <w:top w:val="nil"/>
              <w:left w:val="nil"/>
              <w:bottom w:val="nil"/>
              <w:right w:val="nil"/>
            </w:tcBorders>
            <w:shd w:val="clear" w:color="auto" w:fill="auto"/>
            <w:noWrap/>
            <w:vAlign w:val="bottom"/>
            <w:hideMark/>
          </w:tcPr>
          <w:p w14:paraId="0D8E9480"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0.78</w:t>
            </w:r>
          </w:p>
        </w:tc>
        <w:tc>
          <w:tcPr>
            <w:tcW w:w="1474" w:type="dxa"/>
            <w:tcBorders>
              <w:top w:val="nil"/>
              <w:left w:val="nil"/>
              <w:bottom w:val="nil"/>
              <w:right w:val="single" w:sz="4" w:space="0" w:color="auto"/>
            </w:tcBorders>
            <w:shd w:val="clear" w:color="auto" w:fill="auto"/>
            <w:noWrap/>
            <w:vAlign w:val="bottom"/>
            <w:hideMark/>
          </w:tcPr>
          <w:p w14:paraId="31E3B3EA"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0.81</w:t>
            </w:r>
          </w:p>
        </w:tc>
      </w:tr>
      <w:tr w:rsidR="00386E2D" w:rsidRPr="00386E2D" w14:paraId="0FAA0D0D" w14:textId="77777777" w:rsidTr="00047E64">
        <w:trPr>
          <w:trHeight w:val="316"/>
        </w:trPr>
        <w:tc>
          <w:tcPr>
            <w:tcW w:w="1980" w:type="dxa"/>
            <w:tcBorders>
              <w:top w:val="nil"/>
              <w:left w:val="single" w:sz="4" w:space="0" w:color="auto"/>
              <w:bottom w:val="single" w:sz="4" w:space="0" w:color="auto"/>
              <w:right w:val="nil"/>
            </w:tcBorders>
            <w:shd w:val="clear" w:color="auto" w:fill="auto"/>
            <w:noWrap/>
            <w:vAlign w:val="bottom"/>
            <w:hideMark/>
          </w:tcPr>
          <w:p w14:paraId="69CA5FD3" w14:textId="77777777" w:rsidR="00386E2D" w:rsidRPr="00386E2D" w:rsidRDefault="00386E2D" w:rsidP="00386E2D">
            <w:pPr>
              <w:spacing w:after="0" w:line="240" w:lineRule="auto"/>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High</w:t>
            </w:r>
          </w:p>
        </w:tc>
        <w:tc>
          <w:tcPr>
            <w:tcW w:w="1474" w:type="dxa"/>
            <w:tcBorders>
              <w:top w:val="nil"/>
              <w:left w:val="nil"/>
              <w:bottom w:val="single" w:sz="4" w:space="0" w:color="auto"/>
              <w:right w:val="nil"/>
            </w:tcBorders>
            <w:shd w:val="clear" w:color="auto" w:fill="auto"/>
            <w:noWrap/>
            <w:vAlign w:val="bottom"/>
            <w:hideMark/>
          </w:tcPr>
          <w:p w14:paraId="13CB0F33"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0.76</w:t>
            </w:r>
          </w:p>
        </w:tc>
        <w:tc>
          <w:tcPr>
            <w:tcW w:w="1474" w:type="dxa"/>
            <w:tcBorders>
              <w:top w:val="nil"/>
              <w:left w:val="nil"/>
              <w:bottom w:val="single" w:sz="4" w:space="0" w:color="auto"/>
              <w:right w:val="nil"/>
            </w:tcBorders>
            <w:shd w:val="clear" w:color="auto" w:fill="auto"/>
            <w:noWrap/>
            <w:vAlign w:val="bottom"/>
            <w:hideMark/>
          </w:tcPr>
          <w:p w14:paraId="7012E06E"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0.74</w:t>
            </w:r>
          </w:p>
        </w:tc>
        <w:tc>
          <w:tcPr>
            <w:tcW w:w="1474" w:type="dxa"/>
            <w:tcBorders>
              <w:top w:val="nil"/>
              <w:left w:val="nil"/>
              <w:bottom w:val="single" w:sz="4" w:space="0" w:color="auto"/>
              <w:right w:val="nil"/>
            </w:tcBorders>
            <w:shd w:val="clear" w:color="auto" w:fill="auto"/>
            <w:noWrap/>
            <w:vAlign w:val="bottom"/>
            <w:hideMark/>
          </w:tcPr>
          <w:p w14:paraId="1F38D20D"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0.71</w:t>
            </w:r>
          </w:p>
        </w:tc>
        <w:tc>
          <w:tcPr>
            <w:tcW w:w="1474" w:type="dxa"/>
            <w:tcBorders>
              <w:top w:val="nil"/>
              <w:left w:val="nil"/>
              <w:bottom w:val="single" w:sz="4" w:space="0" w:color="auto"/>
              <w:right w:val="nil"/>
            </w:tcBorders>
            <w:shd w:val="clear" w:color="auto" w:fill="auto"/>
            <w:noWrap/>
            <w:vAlign w:val="bottom"/>
            <w:hideMark/>
          </w:tcPr>
          <w:p w14:paraId="61DEFA63"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0.72</w:t>
            </w:r>
          </w:p>
        </w:tc>
        <w:tc>
          <w:tcPr>
            <w:tcW w:w="1474" w:type="dxa"/>
            <w:tcBorders>
              <w:top w:val="nil"/>
              <w:left w:val="nil"/>
              <w:bottom w:val="single" w:sz="4" w:space="0" w:color="auto"/>
              <w:right w:val="single" w:sz="4" w:space="0" w:color="auto"/>
            </w:tcBorders>
            <w:shd w:val="clear" w:color="auto" w:fill="auto"/>
            <w:noWrap/>
            <w:vAlign w:val="bottom"/>
            <w:hideMark/>
          </w:tcPr>
          <w:p w14:paraId="4238949C"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0.74</w:t>
            </w:r>
          </w:p>
        </w:tc>
      </w:tr>
      <w:tr w:rsidR="00386E2D" w:rsidRPr="00386E2D" w14:paraId="1A78AC98" w14:textId="77777777" w:rsidTr="00047E64">
        <w:trPr>
          <w:trHeight w:val="316"/>
        </w:trPr>
        <w:tc>
          <w:tcPr>
            <w:tcW w:w="1980" w:type="dxa"/>
            <w:tcBorders>
              <w:top w:val="single" w:sz="4" w:space="0" w:color="auto"/>
              <w:left w:val="single" w:sz="4" w:space="0" w:color="auto"/>
              <w:bottom w:val="nil"/>
              <w:right w:val="nil"/>
            </w:tcBorders>
            <w:shd w:val="clear" w:color="auto" w:fill="auto"/>
            <w:noWrap/>
            <w:vAlign w:val="bottom"/>
            <w:hideMark/>
          </w:tcPr>
          <w:p w14:paraId="23E386E8" w14:textId="0F10B519" w:rsidR="00386E2D" w:rsidRPr="00386E2D" w:rsidRDefault="00386E2D" w:rsidP="00386E2D">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Scotland</w:t>
            </w:r>
          </w:p>
        </w:tc>
        <w:tc>
          <w:tcPr>
            <w:tcW w:w="1474" w:type="dxa"/>
            <w:tcBorders>
              <w:top w:val="single" w:sz="4" w:space="0" w:color="auto"/>
              <w:left w:val="nil"/>
              <w:bottom w:val="nil"/>
              <w:right w:val="nil"/>
            </w:tcBorders>
            <w:shd w:val="clear" w:color="auto" w:fill="auto"/>
            <w:noWrap/>
            <w:vAlign w:val="bottom"/>
            <w:hideMark/>
          </w:tcPr>
          <w:p w14:paraId="6ABB3830"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 xml:space="preserve">1956-59 </w:t>
            </w:r>
          </w:p>
        </w:tc>
        <w:tc>
          <w:tcPr>
            <w:tcW w:w="1474" w:type="dxa"/>
            <w:tcBorders>
              <w:top w:val="single" w:sz="4" w:space="0" w:color="auto"/>
              <w:left w:val="nil"/>
              <w:bottom w:val="nil"/>
              <w:right w:val="nil"/>
            </w:tcBorders>
            <w:shd w:val="clear" w:color="auto" w:fill="auto"/>
            <w:noWrap/>
            <w:vAlign w:val="bottom"/>
            <w:hideMark/>
          </w:tcPr>
          <w:p w14:paraId="2B677556"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1960-64</w:t>
            </w:r>
          </w:p>
        </w:tc>
        <w:tc>
          <w:tcPr>
            <w:tcW w:w="1474" w:type="dxa"/>
            <w:tcBorders>
              <w:top w:val="single" w:sz="4" w:space="0" w:color="auto"/>
              <w:left w:val="nil"/>
              <w:bottom w:val="nil"/>
              <w:right w:val="nil"/>
            </w:tcBorders>
            <w:shd w:val="clear" w:color="auto" w:fill="auto"/>
            <w:noWrap/>
            <w:vAlign w:val="bottom"/>
            <w:hideMark/>
          </w:tcPr>
          <w:p w14:paraId="3B0D2D4C"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1965-69</w:t>
            </w:r>
          </w:p>
        </w:tc>
        <w:tc>
          <w:tcPr>
            <w:tcW w:w="1474" w:type="dxa"/>
            <w:tcBorders>
              <w:top w:val="single" w:sz="4" w:space="0" w:color="auto"/>
              <w:left w:val="nil"/>
              <w:bottom w:val="nil"/>
              <w:right w:val="nil"/>
            </w:tcBorders>
            <w:shd w:val="clear" w:color="auto" w:fill="auto"/>
            <w:noWrap/>
            <w:vAlign w:val="bottom"/>
            <w:hideMark/>
          </w:tcPr>
          <w:p w14:paraId="038F9A46"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1970-74</w:t>
            </w:r>
          </w:p>
        </w:tc>
        <w:tc>
          <w:tcPr>
            <w:tcW w:w="1474" w:type="dxa"/>
            <w:tcBorders>
              <w:top w:val="single" w:sz="4" w:space="0" w:color="auto"/>
              <w:left w:val="nil"/>
              <w:bottom w:val="nil"/>
              <w:right w:val="single" w:sz="4" w:space="0" w:color="auto"/>
            </w:tcBorders>
            <w:shd w:val="clear" w:color="auto" w:fill="auto"/>
            <w:noWrap/>
            <w:vAlign w:val="bottom"/>
            <w:hideMark/>
          </w:tcPr>
          <w:p w14:paraId="371E24DB"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1975-78</w:t>
            </w:r>
          </w:p>
        </w:tc>
      </w:tr>
      <w:tr w:rsidR="00386E2D" w:rsidRPr="00386E2D" w14:paraId="2B1CA02A" w14:textId="77777777" w:rsidTr="00047E64">
        <w:trPr>
          <w:trHeight w:val="316"/>
        </w:trPr>
        <w:tc>
          <w:tcPr>
            <w:tcW w:w="1980" w:type="dxa"/>
            <w:tcBorders>
              <w:top w:val="nil"/>
              <w:left w:val="single" w:sz="4" w:space="0" w:color="auto"/>
              <w:bottom w:val="nil"/>
              <w:right w:val="nil"/>
            </w:tcBorders>
            <w:shd w:val="clear" w:color="auto" w:fill="auto"/>
            <w:noWrap/>
            <w:vAlign w:val="bottom"/>
            <w:hideMark/>
          </w:tcPr>
          <w:p w14:paraId="2281FE30" w14:textId="77777777" w:rsidR="00386E2D" w:rsidRPr="00386E2D" w:rsidRDefault="00386E2D" w:rsidP="00386E2D">
            <w:pPr>
              <w:spacing w:after="0" w:line="240" w:lineRule="auto"/>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Low</w:t>
            </w:r>
          </w:p>
        </w:tc>
        <w:tc>
          <w:tcPr>
            <w:tcW w:w="1474" w:type="dxa"/>
            <w:tcBorders>
              <w:top w:val="nil"/>
              <w:left w:val="nil"/>
              <w:bottom w:val="nil"/>
              <w:right w:val="nil"/>
            </w:tcBorders>
            <w:shd w:val="clear" w:color="auto" w:fill="auto"/>
            <w:noWrap/>
            <w:vAlign w:val="bottom"/>
            <w:hideMark/>
          </w:tcPr>
          <w:p w14:paraId="70014F67"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0.86</w:t>
            </w:r>
          </w:p>
        </w:tc>
        <w:tc>
          <w:tcPr>
            <w:tcW w:w="1474" w:type="dxa"/>
            <w:tcBorders>
              <w:top w:val="nil"/>
              <w:left w:val="nil"/>
              <w:bottom w:val="nil"/>
              <w:right w:val="nil"/>
            </w:tcBorders>
            <w:shd w:val="clear" w:color="auto" w:fill="auto"/>
            <w:noWrap/>
            <w:vAlign w:val="bottom"/>
            <w:hideMark/>
          </w:tcPr>
          <w:p w14:paraId="7D5005B2"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0.85</w:t>
            </w:r>
          </w:p>
        </w:tc>
        <w:tc>
          <w:tcPr>
            <w:tcW w:w="1474" w:type="dxa"/>
            <w:tcBorders>
              <w:top w:val="nil"/>
              <w:left w:val="nil"/>
              <w:bottom w:val="nil"/>
              <w:right w:val="nil"/>
            </w:tcBorders>
            <w:shd w:val="clear" w:color="auto" w:fill="auto"/>
            <w:noWrap/>
            <w:vAlign w:val="bottom"/>
            <w:hideMark/>
          </w:tcPr>
          <w:p w14:paraId="01F7716F"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0.85</w:t>
            </w:r>
          </w:p>
        </w:tc>
        <w:tc>
          <w:tcPr>
            <w:tcW w:w="1474" w:type="dxa"/>
            <w:tcBorders>
              <w:top w:val="nil"/>
              <w:left w:val="nil"/>
              <w:bottom w:val="nil"/>
              <w:right w:val="nil"/>
            </w:tcBorders>
            <w:shd w:val="clear" w:color="auto" w:fill="auto"/>
            <w:noWrap/>
            <w:vAlign w:val="bottom"/>
            <w:hideMark/>
          </w:tcPr>
          <w:p w14:paraId="0CC754DE"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0.82</w:t>
            </w:r>
          </w:p>
        </w:tc>
        <w:tc>
          <w:tcPr>
            <w:tcW w:w="1474" w:type="dxa"/>
            <w:tcBorders>
              <w:top w:val="nil"/>
              <w:left w:val="nil"/>
              <w:bottom w:val="nil"/>
              <w:right w:val="single" w:sz="4" w:space="0" w:color="auto"/>
            </w:tcBorders>
            <w:shd w:val="clear" w:color="auto" w:fill="auto"/>
            <w:noWrap/>
            <w:vAlign w:val="bottom"/>
            <w:hideMark/>
          </w:tcPr>
          <w:p w14:paraId="560F7C33"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0.85</w:t>
            </w:r>
          </w:p>
        </w:tc>
      </w:tr>
      <w:tr w:rsidR="00386E2D" w:rsidRPr="00386E2D" w14:paraId="5A425C11" w14:textId="77777777" w:rsidTr="00047E64">
        <w:trPr>
          <w:trHeight w:val="316"/>
        </w:trPr>
        <w:tc>
          <w:tcPr>
            <w:tcW w:w="1980" w:type="dxa"/>
            <w:tcBorders>
              <w:top w:val="nil"/>
              <w:left w:val="single" w:sz="4" w:space="0" w:color="auto"/>
              <w:bottom w:val="nil"/>
              <w:right w:val="nil"/>
            </w:tcBorders>
            <w:shd w:val="clear" w:color="auto" w:fill="auto"/>
            <w:noWrap/>
            <w:vAlign w:val="bottom"/>
            <w:hideMark/>
          </w:tcPr>
          <w:p w14:paraId="0439282E" w14:textId="77777777" w:rsidR="00386E2D" w:rsidRPr="00386E2D" w:rsidRDefault="00386E2D" w:rsidP="00386E2D">
            <w:pPr>
              <w:spacing w:after="0" w:line="240" w:lineRule="auto"/>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Medium</w:t>
            </w:r>
          </w:p>
        </w:tc>
        <w:tc>
          <w:tcPr>
            <w:tcW w:w="1474" w:type="dxa"/>
            <w:tcBorders>
              <w:top w:val="nil"/>
              <w:left w:val="nil"/>
              <w:bottom w:val="nil"/>
              <w:right w:val="nil"/>
            </w:tcBorders>
            <w:shd w:val="clear" w:color="auto" w:fill="auto"/>
            <w:noWrap/>
            <w:vAlign w:val="bottom"/>
            <w:hideMark/>
          </w:tcPr>
          <w:p w14:paraId="1FC713AD"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0.81</w:t>
            </w:r>
          </w:p>
        </w:tc>
        <w:tc>
          <w:tcPr>
            <w:tcW w:w="1474" w:type="dxa"/>
            <w:tcBorders>
              <w:top w:val="nil"/>
              <w:left w:val="nil"/>
              <w:bottom w:val="nil"/>
              <w:right w:val="nil"/>
            </w:tcBorders>
            <w:shd w:val="clear" w:color="auto" w:fill="auto"/>
            <w:noWrap/>
            <w:vAlign w:val="bottom"/>
            <w:hideMark/>
          </w:tcPr>
          <w:p w14:paraId="334A98B5"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0.80</w:t>
            </w:r>
          </w:p>
        </w:tc>
        <w:tc>
          <w:tcPr>
            <w:tcW w:w="1474" w:type="dxa"/>
            <w:tcBorders>
              <w:top w:val="nil"/>
              <w:left w:val="nil"/>
              <w:bottom w:val="nil"/>
              <w:right w:val="nil"/>
            </w:tcBorders>
            <w:shd w:val="clear" w:color="auto" w:fill="auto"/>
            <w:noWrap/>
            <w:vAlign w:val="bottom"/>
            <w:hideMark/>
          </w:tcPr>
          <w:p w14:paraId="4FD12ED2"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0.78</w:t>
            </w:r>
          </w:p>
        </w:tc>
        <w:tc>
          <w:tcPr>
            <w:tcW w:w="1474" w:type="dxa"/>
            <w:tcBorders>
              <w:top w:val="nil"/>
              <w:left w:val="nil"/>
              <w:bottom w:val="nil"/>
              <w:right w:val="nil"/>
            </w:tcBorders>
            <w:shd w:val="clear" w:color="auto" w:fill="auto"/>
            <w:noWrap/>
            <w:vAlign w:val="bottom"/>
            <w:hideMark/>
          </w:tcPr>
          <w:p w14:paraId="26FE0AAD"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0.77</w:t>
            </w:r>
          </w:p>
        </w:tc>
        <w:tc>
          <w:tcPr>
            <w:tcW w:w="1474" w:type="dxa"/>
            <w:tcBorders>
              <w:top w:val="nil"/>
              <w:left w:val="nil"/>
              <w:bottom w:val="nil"/>
              <w:right w:val="single" w:sz="4" w:space="0" w:color="auto"/>
            </w:tcBorders>
            <w:shd w:val="clear" w:color="auto" w:fill="auto"/>
            <w:noWrap/>
            <w:vAlign w:val="bottom"/>
            <w:hideMark/>
          </w:tcPr>
          <w:p w14:paraId="7AEC6743"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0.78</w:t>
            </w:r>
          </w:p>
        </w:tc>
      </w:tr>
      <w:tr w:rsidR="00386E2D" w:rsidRPr="00386E2D" w14:paraId="166CCD1C" w14:textId="77777777" w:rsidTr="00047E64">
        <w:trPr>
          <w:trHeight w:val="316"/>
        </w:trPr>
        <w:tc>
          <w:tcPr>
            <w:tcW w:w="1980" w:type="dxa"/>
            <w:tcBorders>
              <w:top w:val="nil"/>
              <w:left w:val="single" w:sz="4" w:space="0" w:color="auto"/>
              <w:bottom w:val="single" w:sz="4" w:space="0" w:color="auto"/>
              <w:right w:val="nil"/>
            </w:tcBorders>
            <w:shd w:val="clear" w:color="auto" w:fill="auto"/>
            <w:noWrap/>
            <w:vAlign w:val="bottom"/>
            <w:hideMark/>
          </w:tcPr>
          <w:p w14:paraId="3ED2D337" w14:textId="77777777" w:rsidR="00386E2D" w:rsidRPr="00386E2D" w:rsidRDefault="00386E2D" w:rsidP="00386E2D">
            <w:pPr>
              <w:spacing w:after="0" w:line="240" w:lineRule="auto"/>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High</w:t>
            </w:r>
          </w:p>
        </w:tc>
        <w:tc>
          <w:tcPr>
            <w:tcW w:w="1474" w:type="dxa"/>
            <w:tcBorders>
              <w:top w:val="nil"/>
              <w:left w:val="nil"/>
              <w:bottom w:val="single" w:sz="4" w:space="0" w:color="auto"/>
              <w:right w:val="nil"/>
            </w:tcBorders>
            <w:shd w:val="clear" w:color="auto" w:fill="auto"/>
            <w:noWrap/>
            <w:vAlign w:val="bottom"/>
            <w:hideMark/>
          </w:tcPr>
          <w:p w14:paraId="38FDB30E"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0.79</w:t>
            </w:r>
          </w:p>
        </w:tc>
        <w:tc>
          <w:tcPr>
            <w:tcW w:w="1474" w:type="dxa"/>
            <w:tcBorders>
              <w:top w:val="nil"/>
              <w:left w:val="nil"/>
              <w:bottom w:val="single" w:sz="4" w:space="0" w:color="auto"/>
              <w:right w:val="nil"/>
            </w:tcBorders>
            <w:shd w:val="clear" w:color="auto" w:fill="auto"/>
            <w:noWrap/>
            <w:vAlign w:val="bottom"/>
            <w:hideMark/>
          </w:tcPr>
          <w:p w14:paraId="77CB0443"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0.77</w:t>
            </w:r>
          </w:p>
        </w:tc>
        <w:tc>
          <w:tcPr>
            <w:tcW w:w="1474" w:type="dxa"/>
            <w:tcBorders>
              <w:top w:val="nil"/>
              <w:left w:val="nil"/>
              <w:bottom w:val="single" w:sz="4" w:space="0" w:color="auto"/>
              <w:right w:val="nil"/>
            </w:tcBorders>
            <w:shd w:val="clear" w:color="auto" w:fill="auto"/>
            <w:noWrap/>
            <w:vAlign w:val="bottom"/>
            <w:hideMark/>
          </w:tcPr>
          <w:p w14:paraId="426F78EC"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0.73</w:t>
            </w:r>
          </w:p>
        </w:tc>
        <w:tc>
          <w:tcPr>
            <w:tcW w:w="1474" w:type="dxa"/>
            <w:tcBorders>
              <w:top w:val="nil"/>
              <w:left w:val="nil"/>
              <w:bottom w:val="single" w:sz="4" w:space="0" w:color="auto"/>
              <w:right w:val="nil"/>
            </w:tcBorders>
            <w:shd w:val="clear" w:color="auto" w:fill="auto"/>
            <w:noWrap/>
            <w:vAlign w:val="bottom"/>
            <w:hideMark/>
          </w:tcPr>
          <w:p w14:paraId="497ED5DE"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0.73</w:t>
            </w:r>
          </w:p>
        </w:tc>
        <w:tc>
          <w:tcPr>
            <w:tcW w:w="1474" w:type="dxa"/>
            <w:tcBorders>
              <w:top w:val="nil"/>
              <w:left w:val="nil"/>
              <w:bottom w:val="single" w:sz="4" w:space="0" w:color="auto"/>
              <w:right w:val="single" w:sz="4" w:space="0" w:color="auto"/>
            </w:tcBorders>
            <w:shd w:val="clear" w:color="auto" w:fill="auto"/>
            <w:noWrap/>
            <w:vAlign w:val="bottom"/>
            <w:hideMark/>
          </w:tcPr>
          <w:p w14:paraId="21DF8137" w14:textId="77777777" w:rsidR="00386E2D" w:rsidRPr="00386E2D" w:rsidRDefault="00386E2D" w:rsidP="00386E2D">
            <w:pPr>
              <w:spacing w:after="0" w:line="240" w:lineRule="auto"/>
              <w:jc w:val="right"/>
              <w:rPr>
                <w:rFonts w:ascii="Calibri" w:eastAsia="Times New Roman" w:hAnsi="Calibri" w:cs="Calibri"/>
                <w:color w:val="000000"/>
                <w:lang w:val="en-GB" w:eastAsia="en-GB"/>
              </w:rPr>
            </w:pPr>
            <w:r w:rsidRPr="00386E2D">
              <w:rPr>
                <w:rFonts w:ascii="Calibri" w:eastAsia="Times New Roman" w:hAnsi="Calibri" w:cs="Calibri"/>
                <w:color w:val="000000"/>
                <w:lang w:val="en-GB" w:eastAsia="en-GB"/>
              </w:rPr>
              <w:t>0.75</w:t>
            </w:r>
          </w:p>
        </w:tc>
      </w:tr>
      <w:tr w:rsidR="00487338" w:rsidRPr="00487338" w14:paraId="084F2468" w14:textId="77777777" w:rsidTr="00047E64">
        <w:trPr>
          <w:trHeight w:val="326"/>
        </w:trPr>
        <w:tc>
          <w:tcPr>
            <w:tcW w:w="1980" w:type="dxa"/>
            <w:tcBorders>
              <w:top w:val="single" w:sz="4" w:space="0" w:color="auto"/>
              <w:left w:val="single" w:sz="4" w:space="0" w:color="auto"/>
              <w:bottom w:val="nil"/>
              <w:right w:val="nil"/>
            </w:tcBorders>
            <w:shd w:val="clear" w:color="auto" w:fill="auto"/>
            <w:noWrap/>
            <w:vAlign w:val="bottom"/>
            <w:hideMark/>
          </w:tcPr>
          <w:p w14:paraId="6E43EC2F" w14:textId="6DA1300A" w:rsidR="00487338" w:rsidRPr="00487338" w:rsidRDefault="00487338" w:rsidP="00487338">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Northern</w:t>
            </w:r>
            <w:r w:rsidR="00047E64">
              <w:rPr>
                <w:rFonts w:ascii="Calibri" w:eastAsia="Times New Roman" w:hAnsi="Calibri" w:cs="Calibri"/>
                <w:color w:val="000000"/>
                <w:lang w:val="en-GB" w:eastAsia="en-GB"/>
              </w:rPr>
              <w:t xml:space="preserve"> </w:t>
            </w:r>
            <w:r>
              <w:rPr>
                <w:rFonts w:ascii="Calibri" w:eastAsia="Times New Roman" w:hAnsi="Calibri" w:cs="Calibri"/>
                <w:color w:val="000000"/>
                <w:lang w:val="en-GB" w:eastAsia="en-GB"/>
              </w:rPr>
              <w:t>Ireland</w:t>
            </w:r>
            <w:r w:rsidRPr="00487338">
              <w:rPr>
                <w:rFonts w:ascii="Calibri" w:eastAsia="Times New Roman" w:hAnsi="Calibri" w:cs="Calibri"/>
                <w:color w:val="000000"/>
                <w:lang w:val="en-GB" w:eastAsia="en-GB"/>
              </w:rPr>
              <w:t> </w:t>
            </w:r>
          </w:p>
        </w:tc>
        <w:tc>
          <w:tcPr>
            <w:tcW w:w="1474" w:type="dxa"/>
            <w:tcBorders>
              <w:top w:val="single" w:sz="4" w:space="0" w:color="auto"/>
              <w:left w:val="nil"/>
              <w:bottom w:val="nil"/>
              <w:right w:val="nil"/>
            </w:tcBorders>
            <w:shd w:val="clear" w:color="auto" w:fill="auto"/>
            <w:noWrap/>
            <w:vAlign w:val="bottom"/>
            <w:hideMark/>
          </w:tcPr>
          <w:p w14:paraId="3EC8C2EE" w14:textId="77777777" w:rsidR="00487338" w:rsidRPr="00487338" w:rsidRDefault="00487338" w:rsidP="00487338">
            <w:pPr>
              <w:spacing w:after="0" w:line="240" w:lineRule="auto"/>
              <w:jc w:val="right"/>
              <w:rPr>
                <w:rFonts w:ascii="Calibri" w:eastAsia="Times New Roman" w:hAnsi="Calibri" w:cs="Calibri"/>
                <w:color w:val="000000"/>
                <w:lang w:val="en-GB" w:eastAsia="en-GB"/>
              </w:rPr>
            </w:pPr>
            <w:r w:rsidRPr="00487338">
              <w:rPr>
                <w:rFonts w:ascii="Calibri" w:eastAsia="Times New Roman" w:hAnsi="Calibri" w:cs="Calibri"/>
                <w:color w:val="000000"/>
                <w:lang w:val="en-GB" w:eastAsia="en-GB"/>
              </w:rPr>
              <w:t xml:space="preserve">1956-59 </w:t>
            </w:r>
          </w:p>
        </w:tc>
        <w:tc>
          <w:tcPr>
            <w:tcW w:w="1474" w:type="dxa"/>
            <w:tcBorders>
              <w:top w:val="single" w:sz="4" w:space="0" w:color="auto"/>
              <w:left w:val="nil"/>
              <w:bottom w:val="nil"/>
              <w:right w:val="nil"/>
            </w:tcBorders>
            <w:shd w:val="clear" w:color="auto" w:fill="auto"/>
            <w:noWrap/>
            <w:vAlign w:val="bottom"/>
            <w:hideMark/>
          </w:tcPr>
          <w:p w14:paraId="36EB080B" w14:textId="77777777" w:rsidR="00487338" w:rsidRPr="00487338" w:rsidRDefault="00487338" w:rsidP="00487338">
            <w:pPr>
              <w:spacing w:after="0" w:line="240" w:lineRule="auto"/>
              <w:jc w:val="right"/>
              <w:rPr>
                <w:rFonts w:ascii="Calibri" w:eastAsia="Times New Roman" w:hAnsi="Calibri" w:cs="Calibri"/>
                <w:color w:val="000000"/>
                <w:lang w:val="en-GB" w:eastAsia="en-GB"/>
              </w:rPr>
            </w:pPr>
            <w:r w:rsidRPr="00487338">
              <w:rPr>
                <w:rFonts w:ascii="Calibri" w:eastAsia="Times New Roman" w:hAnsi="Calibri" w:cs="Calibri"/>
                <w:color w:val="000000"/>
                <w:lang w:val="en-GB" w:eastAsia="en-GB"/>
              </w:rPr>
              <w:t>1960-64</w:t>
            </w:r>
          </w:p>
        </w:tc>
        <w:tc>
          <w:tcPr>
            <w:tcW w:w="1474" w:type="dxa"/>
            <w:tcBorders>
              <w:top w:val="single" w:sz="4" w:space="0" w:color="auto"/>
              <w:left w:val="nil"/>
              <w:bottom w:val="nil"/>
              <w:right w:val="nil"/>
            </w:tcBorders>
            <w:shd w:val="clear" w:color="auto" w:fill="auto"/>
            <w:noWrap/>
            <w:vAlign w:val="bottom"/>
            <w:hideMark/>
          </w:tcPr>
          <w:p w14:paraId="71A050D4" w14:textId="6E046094" w:rsidR="00487338" w:rsidRPr="00487338" w:rsidRDefault="00487338" w:rsidP="00487338">
            <w:pPr>
              <w:spacing w:after="0" w:line="240" w:lineRule="auto"/>
              <w:jc w:val="right"/>
              <w:rPr>
                <w:rFonts w:ascii="Calibri" w:eastAsia="Times New Roman" w:hAnsi="Calibri" w:cs="Calibri"/>
                <w:color w:val="000000"/>
                <w:lang w:val="en-GB" w:eastAsia="en-GB"/>
              </w:rPr>
            </w:pPr>
            <w:r w:rsidRPr="00487338">
              <w:rPr>
                <w:rFonts w:ascii="Calibri" w:eastAsia="Times New Roman" w:hAnsi="Calibri" w:cs="Calibri"/>
                <w:color w:val="000000"/>
                <w:lang w:val="en-GB" w:eastAsia="en-GB"/>
              </w:rPr>
              <w:t>196</w:t>
            </w:r>
            <w:r>
              <w:rPr>
                <w:rFonts w:ascii="Calibri" w:eastAsia="Times New Roman" w:hAnsi="Calibri" w:cs="Calibri"/>
                <w:color w:val="000000"/>
                <w:lang w:val="en-GB" w:eastAsia="en-GB"/>
              </w:rPr>
              <w:t>6</w:t>
            </w:r>
            <w:r w:rsidRPr="00487338">
              <w:rPr>
                <w:rFonts w:ascii="Calibri" w:eastAsia="Times New Roman" w:hAnsi="Calibri" w:cs="Calibri"/>
                <w:color w:val="000000"/>
                <w:lang w:val="en-GB" w:eastAsia="en-GB"/>
              </w:rPr>
              <w:t>-69</w:t>
            </w:r>
          </w:p>
        </w:tc>
        <w:tc>
          <w:tcPr>
            <w:tcW w:w="1474" w:type="dxa"/>
            <w:tcBorders>
              <w:top w:val="single" w:sz="4" w:space="0" w:color="auto"/>
              <w:left w:val="nil"/>
              <w:bottom w:val="nil"/>
              <w:right w:val="nil"/>
            </w:tcBorders>
            <w:shd w:val="clear" w:color="auto" w:fill="auto"/>
            <w:noWrap/>
            <w:vAlign w:val="bottom"/>
            <w:hideMark/>
          </w:tcPr>
          <w:p w14:paraId="2E49D61E" w14:textId="77777777" w:rsidR="00487338" w:rsidRPr="00487338" w:rsidRDefault="00487338" w:rsidP="00487338">
            <w:pPr>
              <w:spacing w:after="0" w:line="240" w:lineRule="auto"/>
              <w:jc w:val="right"/>
              <w:rPr>
                <w:rFonts w:ascii="Calibri" w:eastAsia="Times New Roman" w:hAnsi="Calibri" w:cs="Calibri"/>
                <w:color w:val="000000"/>
                <w:lang w:val="en-GB" w:eastAsia="en-GB"/>
              </w:rPr>
            </w:pPr>
            <w:r w:rsidRPr="00487338">
              <w:rPr>
                <w:rFonts w:ascii="Calibri" w:eastAsia="Times New Roman" w:hAnsi="Calibri" w:cs="Calibri"/>
                <w:color w:val="000000"/>
                <w:lang w:val="en-GB" w:eastAsia="en-GB"/>
              </w:rPr>
              <w:t>1970-74</w:t>
            </w:r>
          </w:p>
        </w:tc>
        <w:tc>
          <w:tcPr>
            <w:tcW w:w="1474" w:type="dxa"/>
            <w:tcBorders>
              <w:top w:val="single" w:sz="4" w:space="0" w:color="auto"/>
              <w:left w:val="nil"/>
              <w:bottom w:val="nil"/>
              <w:right w:val="single" w:sz="4" w:space="0" w:color="auto"/>
            </w:tcBorders>
            <w:shd w:val="clear" w:color="auto" w:fill="auto"/>
            <w:noWrap/>
            <w:vAlign w:val="bottom"/>
            <w:hideMark/>
          </w:tcPr>
          <w:p w14:paraId="61A81589" w14:textId="77777777" w:rsidR="00487338" w:rsidRPr="00487338" w:rsidRDefault="00487338" w:rsidP="00487338">
            <w:pPr>
              <w:spacing w:after="0" w:line="240" w:lineRule="auto"/>
              <w:jc w:val="right"/>
              <w:rPr>
                <w:rFonts w:ascii="Calibri" w:eastAsia="Times New Roman" w:hAnsi="Calibri" w:cs="Calibri"/>
                <w:color w:val="000000"/>
                <w:lang w:val="en-GB" w:eastAsia="en-GB"/>
              </w:rPr>
            </w:pPr>
            <w:r w:rsidRPr="00487338">
              <w:rPr>
                <w:rFonts w:ascii="Calibri" w:eastAsia="Times New Roman" w:hAnsi="Calibri" w:cs="Calibri"/>
                <w:color w:val="000000"/>
                <w:lang w:val="en-GB" w:eastAsia="en-GB"/>
              </w:rPr>
              <w:t>1975-78</w:t>
            </w:r>
          </w:p>
        </w:tc>
      </w:tr>
      <w:tr w:rsidR="00487338" w:rsidRPr="00487338" w14:paraId="6269E69E" w14:textId="77777777" w:rsidTr="00047E64">
        <w:trPr>
          <w:trHeight w:val="326"/>
        </w:trPr>
        <w:tc>
          <w:tcPr>
            <w:tcW w:w="1980" w:type="dxa"/>
            <w:tcBorders>
              <w:top w:val="nil"/>
              <w:left w:val="single" w:sz="4" w:space="0" w:color="auto"/>
              <w:bottom w:val="nil"/>
              <w:right w:val="nil"/>
            </w:tcBorders>
            <w:shd w:val="clear" w:color="auto" w:fill="auto"/>
            <w:noWrap/>
            <w:vAlign w:val="bottom"/>
            <w:hideMark/>
          </w:tcPr>
          <w:p w14:paraId="5F345204" w14:textId="77777777" w:rsidR="00487338" w:rsidRPr="00487338" w:rsidRDefault="00487338" w:rsidP="00487338">
            <w:pPr>
              <w:spacing w:after="0" w:line="240" w:lineRule="auto"/>
              <w:rPr>
                <w:rFonts w:ascii="Calibri" w:eastAsia="Times New Roman" w:hAnsi="Calibri" w:cs="Calibri"/>
                <w:color w:val="000000"/>
                <w:lang w:val="en-GB" w:eastAsia="en-GB"/>
              </w:rPr>
            </w:pPr>
            <w:r w:rsidRPr="00487338">
              <w:rPr>
                <w:rFonts w:ascii="Calibri" w:eastAsia="Times New Roman" w:hAnsi="Calibri" w:cs="Calibri"/>
                <w:color w:val="000000"/>
                <w:lang w:val="en-GB" w:eastAsia="en-GB"/>
              </w:rPr>
              <w:t>Low</w:t>
            </w:r>
          </w:p>
        </w:tc>
        <w:tc>
          <w:tcPr>
            <w:tcW w:w="1474" w:type="dxa"/>
            <w:tcBorders>
              <w:top w:val="nil"/>
              <w:left w:val="nil"/>
              <w:bottom w:val="nil"/>
              <w:right w:val="nil"/>
            </w:tcBorders>
            <w:shd w:val="clear" w:color="auto" w:fill="auto"/>
            <w:noWrap/>
            <w:vAlign w:val="bottom"/>
          </w:tcPr>
          <w:p w14:paraId="753B520B" w14:textId="4236969E" w:rsidR="00487338" w:rsidRPr="00487338" w:rsidRDefault="00487338" w:rsidP="00487338">
            <w:pPr>
              <w:spacing w:after="0" w:line="240" w:lineRule="auto"/>
              <w:jc w:val="right"/>
              <w:rPr>
                <w:rFonts w:ascii="Calibri" w:eastAsia="Times New Roman" w:hAnsi="Calibri" w:cs="Calibri"/>
                <w:color w:val="000000"/>
                <w:lang w:val="en-GB" w:eastAsia="en-GB"/>
              </w:rPr>
            </w:pPr>
          </w:p>
        </w:tc>
        <w:tc>
          <w:tcPr>
            <w:tcW w:w="1474" w:type="dxa"/>
            <w:tcBorders>
              <w:top w:val="nil"/>
              <w:left w:val="nil"/>
              <w:bottom w:val="nil"/>
              <w:right w:val="nil"/>
            </w:tcBorders>
            <w:shd w:val="clear" w:color="auto" w:fill="auto"/>
            <w:noWrap/>
            <w:vAlign w:val="bottom"/>
          </w:tcPr>
          <w:p w14:paraId="7FC77417" w14:textId="72D07572" w:rsidR="00487338" w:rsidRPr="00487338" w:rsidRDefault="00487338" w:rsidP="00487338">
            <w:pPr>
              <w:spacing w:after="0" w:line="240" w:lineRule="auto"/>
              <w:jc w:val="right"/>
              <w:rPr>
                <w:rFonts w:ascii="Calibri" w:eastAsia="Times New Roman" w:hAnsi="Calibri" w:cs="Calibri"/>
                <w:color w:val="000000"/>
                <w:lang w:val="en-GB" w:eastAsia="en-GB"/>
              </w:rPr>
            </w:pPr>
          </w:p>
        </w:tc>
        <w:tc>
          <w:tcPr>
            <w:tcW w:w="1474" w:type="dxa"/>
            <w:tcBorders>
              <w:top w:val="nil"/>
              <w:left w:val="nil"/>
              <w:bottom w:val="nil"/>
              <w:right w:val="nil"/>
            </w:tcBorders>
            <w:shd w:val="clear" w:color="auto" w:fill="auto"/>
            <w:noWrap/>
            <w:vAlign w:val="bottom"/>
          </w:tcPr>
          <w:p w14:paraId="21BD9F8D" w14:textId="40740486" w:rsidR="00487338" w:rsidRPr="00487338" w:rsidRDefault="00487338" w:rsidP="00487338">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0.84</w:t>
            </w:r>
          </w:p>
        </w:tc>
        <w:tc>
          <w:tcPr>
            <w:tcW w:w="1474" w:type="dxa"/>
            <w:tcBorders>
              <w:top w:val="nil"/>
              <w:left w:val="nil"/>
              <w:bottom w:val="nil"/>
              <w:right w:val="nil"/>
            </w:tcBorders>
            <w:shd w:val="clear" w:color="auto" w:fill="auto"/>
            <w:noWrap/>
            <w:vAlign w:val="bottom"/>
          </w:tcPr>
          <w:p w14:paraId="029EAE2E" w14:textId="4AD0BA43" w:rsidR="00487338" w:rsidRPr="00487338" w:rsidRDefault="00487338" w:rsidP="00487338">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0.84</w:t>
            </w:r>
          </w:p>
        </w:tc>
        <w:tc>
          <w:tcPr>
            <w:tcW w:w="1474" w:type="dxa"/>
            <w:tcBorders>
              <w:top w:val="nil"/>
              <w:left w:val="nil"/>
              <w:bottom w:val="nil"/>
              <w:right w:val="single" w:sz="4" w:space="0" w:color="auto"/>
            </w:tcBorders>
            <w:shd w:val="clear" w:color="auto" w:fill="auto"/>
            <w:noWrap/>
            <w:vAlign w:val="bottom"/>
          </w:tcPr>
          <w:p w14:paraId="1C8CD8E7" w14:textId="1ECB9FD9" w:rsidR="00487338" w:rsidRPr="00487338" w:rsidRDefault="00487338" w:rsidP="00487338">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0.84</w:t>
            </w:r>
          </w:p>
        </w:tc>
      </w:tr>
      <w:tr w:rsidR="00487338" w:rsidRPr="00487338" w14:paraId="68540D65" w14:textId="77777777" w:rsidTr="00047E64">
        <w:trPr>
          <w:trHeight w:val="326"/>
        </w:trPr>
        <w:tc>
          <w:tcPr>
            <w:tcW w:w="1980" w:type="dxa"/>
            <w:tcBorders>
              <w:top w:val="nil"/>
              <w:left w:val="single" w:sz="4" w:space="0" w:color="auto"/>
              <w:bottom w:val="nil"/>
              <w:right w:val="nil"/>
            </w:tcBorders>
            <w:shd w:val="clear" w:color="auto" w:fill="auto"/>
            <w:noWrap/>
            <w:vAlign w:val="bottom"/>
            <w:hideMark/>
          </w:tcPr>
          <w:p w14:paraId="13C11DEF" w14:textId="77777777" w:rsidR="00487338" w:rsidRPr="00487338" w:rsidRDefault="00487338" w:rsidP="00487338">
            <w:pPr>
              <w:spacing w:after="0" w:line="240" w:lineRule="auto"/>
              <w:rPr>
                <w:rFonts w:ascii="Calibri" w:eastAsia="Times New Roman" w:hAnsi="Calibri" w:cs="Calibri"/>
                <w:color w:val="000000"/>
                <w:lang w:val="en-GB" w:eastAsia="en-GB"/>
              </w:rPr>
            </w:pPr>
            <w:r w:rsidRPr="00487338">
              <w:rPr>
                <w:rFonts w:ascii="Calibri" w:eastAsia="Times New Roman" w:hAnsi="Calibri" w:cs="Calibri"/>
                <w:color w:val="000000"/>
                <w:lang w:val="en-GB" w:eastAsia="en-GB"/>
              </w:rPr>
              <w:t>Medium</w:t>
            </w:r>
          </w:p>
        </w:tc>
        <w:tc>
          <w:tcPr>
            <w:tcW w:w="1474" w:type="dxa"/>
            <w:tcBorders>
              <w:top w:val="nil"/>
              <w:left w:val="nil"/>
              <w:bottom w:val="nil"/>
              <w:right w:val="nil"/>
            </w:tcBorders>
            <w:shd w:val="clear" w:color="auto" w:fill="auto"/>
            <w:noWrap/>
            <w:vAlign w:val="bottom"/>
          </w:tcPr>
          <w:p w14:paraId="72A607D4" w14:textId="15C854CD" w:rsidR="00487338" w:rsidRPr="00487338" w:rsidRDefault="00487338" w:rsidP="00487338">
            <w:pPr>
              <w:spacing w:after="0" w:line="240" w:lineRule="auto"/>
              <w:jc w:val="right"/>
              <w:rPr>
                <w:rFonts w:ascii="Calibri" w:eastAsia="Times New Roman" w:hAnsi="Calibri" w:cs="Calibri"/>
                <w:color w:val="000000"/>
                <w:lang w:val="en-GB" w:eastAsia="en-GB"/>
              </w:rPr>
            </w:pPr>
          </w:p>
        </w:tc>
        <w:tc>
          <w:tcPr>
            <w:tcW w:w="1474" w:type="dxa"/>
            <w:tcBorders>
              <w:top w:val="nil"/>
              <w:left w:val="nil"/>
              <w:bottom w:val="nil"/>
              <w:right w:val="nil"/>
            </w:tcBorders>
            <w:shd w:val="clear" w:color="auto" w:fill="auto"/>
            <w:noWrap/>
            <w:vAlign w:val="bottom"/>
          </w:tcPr>
          <w:p w14:paraId="66873E15" w14:textId="433CFD25" w:rsidR="00487338" w:rsidRPr="00487338" w:rsidRDefault="00487338" w:rsidP="00487338">
            <w:pPr>
              <w:spacing w:after="0" w:line="240" w:lineRule="auto"/>
              <w:jc w:val="right"/>
              <w:rPr>
                <w:rFonts w:ascii="Calibri" w:eastAsia="Times New Roman" w:hAnsi="Calibri" w:cs="Calibri"/>
                <w:color w:val="000000"/>
                <w:lang w:val="en-GB" w:eastAsia="en-GB"/>
              </w:rPr>
            </w:pPr>
          </w:p>
        </w:tc>
        <w:tc>
          <w:tcPr>
            <w:tcW w:w="1474" w:type="dxa"/>
            <w:tcBorders>
              <w:top w:val="nil"/>
              <w:left w:val="nil"/>
              <w:bottom w:val="nil"/>
              <w:right w:val="nil"/>
            </w:tcBorders>
            <w:shd w:val="clear" w:color="auto" w:fill="auto"/>
            <w:noWrap/>
            <w:vAlign w:val="bottom"/>
          </w:tcPr>
          <w:p w14:paraId="6D65A563" w14:textId="12A8788D" w:rsidR="00487338" w:rsidRPr="00487338" w:rsidRDefault="00487338" w:rsidP="00487338">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0.79</w:t>
            </w:r>
          </w:p>
        </w:tc>
        <w:tc>
          <w:tcPr>
            <w:tcW w:w="1474" w:type="dxa"/>
            <w:tcBorders>
              <w:top w:val="nil"/>
              <w:left w:val="nil"/>
              <w:bottom w:val="nil"/>
              <w:right w:val="nil"/>
            </w:tcBorders>
            <w:shd w:val="clear" w:color="auto" w:fill="auto"/>
            <w:noWrap/>
            <w:vAlign w:val="bottom"/>
          </w:tcPr>
          <w:p w14:paraId="6F86A72C" w14:textId="01261A0D" w:rsidR="00487338" w:rsidRPr="00487338" w:rsidRDefault="00487338" w:rsidP="00487338">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0.79</w:t>
            </w:r>
          </w:p>
        </w:tc>
        <w:tc>
          <w:tcPr>
            <w:tcW w:w="1474" w:type="dxa"/>
            <w:tcBorders>
              <w:top w:val="nil"/>
              <w:left w:val="nil"/>
              <w:bottom w:val="nil"/>
              <w:right w:val="single" w:sz="4" w:space="0" w:color="auto"/>
            </w:tcBorders>
            <w:shd w:val="clear" w:color="auto" w:fill="auto"/>
            <w:noWrap/>
            <w:vAlign w:val="bottom"/>
          </w:tcPr>
          <w:p w14:paraId="1BC82585" w14:textId="1CAAEF9B" w:rsidR="00487338" w:rsidRPr="00487338" w:rsidRDefault="00487338" w:rsidP="00487338">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0.82</w:t>
            </w:r>
          </w:p>
        </w:tc>
      </w:tr>
      <w:tr w:rsidR="00487338" w:rsidRPr="00487338" w14:paraId="2D5A91F7" w14:textId="77777777" w:rsidTr="00047E64">
        <w:trPr>
          <w:trHeight w:val="326"/>
        </w:trPr>
        <w:tc>
          <w:tcPr>
            <w:tcW w:w="1980" w:type="dxa"/>
            <w:tcBorders>
              <w:top w:val="nil"/>
              <w:left w:val="single" w:sz="4" w:space="0" w:color="auto"/>
              <w:bottom w:val="single" w:sz="4" w:space="0" w:color="auto"/>
              <w:right w:val="nil"/>
            </w:tcBorders>
            <w:shd w:val="clear" w:color="auto" w:fill="auto"/>
            <w:noWrap/>
            <w:vAlign w:val="bottom"/>
            <w:hideMark/>
          </w:tcPr>
          <w:p w14:paraId="7B92D0BA" w14:textId="77777777" w:rsidR="00487338" w:rsidRPr="00487338" w:rsidRDefault="00487338" w:rsidP="00487338">
            <w:pPr>
              <w:spacing w:after="0" w:line="240" w:lineRule="auto"/>
              <w:rPr>
                <w:rFonts w:ascii="Calibri" w:eastAsia="Times New Roman" w:hAnsi="Calibri" w:cs="Calibri"/>
                <w:color w:val="000000"/>
                <w:lang w:val="en-GB" w:eastAsia="en-GB"/>
              </w:rPr>
            </w:pPr>
            <w:r w:rsidRPr="00487338">
              <w:rPr>
                <w:rFonts w:ascii="Calibri" w:eastAsia="Times New Roman" w:hAnsi="Calibri" w:cs="Calibri"/>
                <w:color w:val="000000"/>
                <w:lang w:val="en-GB" w:eastAsia="en-GB"/>
              </w:rPr>
              <w:t>High</w:t>
            </w:r>
          </w:p>
        </w:tc>
        <w:tc>
          <w:tcPr>
            <w:tcW w:w="1469" w:type="dxa"/>
            <w:tcBorders>
              <w:top w:val="nil"/>
              <w:left w:val="nil"/>
              <w:bottom w:val="single" w:sz="4" w:space="0" w:color="auto"/>
              <w:right w:val="nil"/>
            </w:tcBorders>
            <w:shd w:val="clear" w:color="auto" w:fill="auto"/>
            <w:noWrap/>
            <w:vAlign w:val="bottom"/>
          </w:tcPr>
          <w:p w14:paraId="4A5E6522" w14:textId="1B8B27E5" w:rsidR="00487338" w:rsidRPr="00487338" w:rsidRDefault="00487338" w:rsidP="00487338">
            <w:pPr>
              <w:spacing w:after="0" w:line="240" w:lineRule="auto"/>
              <w:jc w:val="right"/>
              <w:rPr>
                <w:rFonts w:ascii="Calibri" w:eastAsia="Times New Roman" w:hAnsi="Calibri" w:cs="Calibri"/>
                <w:color w:val="000000"/>
                <w:lang w:val="en-GB" w:eastAsia="en-GB"/>
              </w:rPr>
            </w:pPr>
          </w:p>
        </w:tc>
        <w:tc>
          <w:tcPr>
            <w:tcW w:w="1475" w:type="dxa"/>
            <w:tcBorders>
              <w:top w:val="nil"/>
              <w:left w:val="nil"/>
              <w:bottom w:val="single" w:sz="4" w:space="0" w:color="auto"/>
              <w:right w:val="nil"/>
            </w:tcBorders>
            <w:shd w:val="clear" w:color="auto" w:fill="auto"/>
            <w:noWrap/>
            <w:vAlign w:val="bottom"/>
          </w:tcPr>
          <w:p w14:paraId="225AA30B" w14:textId="416A0694" w:rsidR="00487338" w:rsidRPr="00487338" w:rsidRDefault="00487338" w:rsidP="00487338">
            <w:pPr>
              <w:spacing w:after="0" w:line="240" w:lineRule="auto"/>
              <w:jc w:val="right"/>
              <w:rPr>
                <w:rFonts w:ascii="Calibri" w:eastAsia="Times New Roman" w:hAnsi="Calibri" w:cs="Calibri"/>
                <w:color w:val="000000"/>
                <w:lang w:val="en-GB" w:eastAsia="en-GB"/>
              </w:rPr>
            </w:pPr>
          </w:p>
        </w:tc>
        <w:tc>
          <w:tcPr>
            <w:tcW w:w="1475" w:type="dxa"/>
            <w:tcBorders>
              <w:top w:val="nil"/>
              <w:left w:val="nil"/>
              <w:bottom w:val="single" w:sz="4" w:space="0" w:color="auto"/>
              <w:right w:val="nil"/>
            </w:tcBorders>
            <w:shd w:val="clear" w:color="auto" w:fill="auto"/>
            <w:noWrap/>
            <w:vAlign w:val="bottom"/>
          </w:tcPr>
          <w:p w14:paraId="0A2DA0BC" w14:textId="528BD254" w:rsidR="00487338" w:rsidRPr="00487338" w:rsidRDefault="00487338" w:rsidP="00487338">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0.74</w:t>
            </w:r>
          </w:p>
        </w:tc>
        <w:tc>
          <w:tcPr>
            <w:tcW w:w="1475" w:type="dxa"/>
            <w:tcBorders>
              <w:top w:val="nil"/>
              <w:left w:val="nil"/>
              <w:bottom w:val="single" w:sz="4" w:space="0" w:color="auto"/>
              <w:right w:val="nil"/>
            </w:tcBorders>
            <w:shd w:val="clear" w:color="auto" w:fill="auto"/>
            <w:noWrap/>
            <w:vAlign w:val="bottom"/>
          </w:tcPr>
          <w:p w14:paraId="137C0791" w14:textId="290C820E" w:rsidR="00487338" w:rsidRPr="00487338" w:rsidRDefault="00487338" w:rsidP="00487338">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0.75</w:t>
            </w:r>
          </w:p>
        </w:tc>
        <w:tc>
          <w:tcPr>
            <w:tcW w:w="1476" w:type="dxa"/>
            <w:tcBorders>
              <w:top w:val="nil"/>
              <w:left w:val="nil"/>
              <w:bottom w:val="single" w:sz="4" w:space="0" w:color="auto"/>
              <w:right w:val="single" w:sz="4" w:space="0" w:color="auto"/>
            </w:tcBorders>
            <w:shd w:val="clear" w:color="auto" w:fill="auto"/>
            <w:noWrap/>
            <w:vAlign w:val="bottom"/>
          </w:tcPr>
          <w:p w14:paraId="183B1328" w14:textId="34EBFDB0" w:rsidR="00487338" w:rsidRPr="00487338" w:rsidRDefault="00487338" w:rsidP="00487338">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0.77</w:t>
            </w:r>
          </w:p>
        </w:tc>
      </w:tr>
    </w:tbl>
    <w:p w14:paraId="10768BB0" w14:textId="77777777" w:rsidR="00C63B8B" w:rsidRPr="00580A53" w:rsidRDefault="00C63B8B" w:rsidP="00C63B8B">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orthern Ireland Longitudinal Study</w:t>
      </w:r>
    </w:p>
    <w:p w14:paraId="07302737" w14:textId="1B1076AD" w:rsidR="00204BB5" w:rsidRDefault="00204BB5" w:rsidP="0037557C">
      <w:pPr>
        <w:pStyle w:val="Heading4"/>
      </w:pPr>
      <w:r>
        <w:t xml:space="preserve">Table 2 </w:t>
      </w:r>
      <w:r w:rsidRPr="00E413AC">
        <w:t xml:space="preserve">– </w:t>
      </w:r>
      <w:r>
        <w:t>Parity progression ratios, transition from first to second birth, by educational attainment and country</w:t>
      </w:r>
    </w:p>
    <w:tbl>
      <w:tblPr>
        <w:tblW w:w="9258" w:type="dxa"/>
        <w:tblLook w:val="04A0" w:firstRow="1" w:lastRow="0" w:firstColumn="1" w:lastColumn="0" w:noHBand="0" w:noVBand="1"/>
      </w:tblPr>
      <w:tblGrid>
        <w:gridCol w:w="1980"/>
        <w:gridCol w:w="1100"/>
        <w:gridCol w:w="6"/>
        <w:gridCol w:w="1534"/>
        <w:gridCol w:w="9"/>
        <w:gridCol w:w="1531"/>
        <w:gridCol w:w="12"/>
        <w:gridCol w:w="1528"/>
        <w:gridCol w:w="15"/>
        <w:gridCol w:w="1525"/>
        <w:gridCol w:w="18"/>
      </w:tblGrid>
      <w:tr w:rsidR="00204BB5" w:rsidRPr="00204BB5" w14:paraId="0A781753" w14:textId="77777777" w:rsidTr="00204BB5">
        <w:trPr>
          <w:gridAfter w:val="1"/>
          <w:wAfter w:w="18" w:type="dxa"/>
          <w:trHeight w:val="292"/>
        </w:trPr>
        <w:tc>
          <w:tcPr>
            <w:tcW w:w="1980" w:type="dxa"/>
            <w:tcBorders>
              <w:top w:val="single" w:sz="4" w:space="0" w:color="auto"/>
              <w:left w:val="single" w:sz="4" w:space="0" w:color="auto"/>
              <w:bottom w:val="nil"/>
              <w:right w:val="nil"/>
            </w:tcBorders>
            <w:shd w:val="clear" w:color="auto" w:fill="auto"/>
            <w:noWrap/>
            <w:vAlign w:val="bottom"/>
            <w:hideMark/>
          </w:tcPr>
          <w:p w14:paraId="45755EE4" w14:textId="63E7C5B7" w:rsidR="00204BB5" w:rsidRPr="00204BB5" w:rsidRDefault="00204BB5" w:rsidP="00204BB5">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 xml:space="preserve">England &amp; Wales </w:t>
            </w:r>
            <w:r w:rsidRPr="00386E2D">
              <w:rPr>
                <w:rFonts w:ascii="Calibri" w:eastAsia="Times New Roman" w:hAnsi="Calibri" w:cs="Calibri"/>
                <w:color w:val="000000"/>
                <w:lang w:val="en-GB" w:eastAsia="en-GB"/>
              </w:rPr>
              <w:t> </w:t>
            </w:r>
          </w:p>
        </w:tc>
        <w:tc>
          <w:tcPr>
            <w:tcW w:w="1100" w:type="dxa"/>
            <w:tcBorders>
              <w:top w:val="single" w:sz="4" w:space="0" w:color="auto"/>
              <w:left w:val="nil"/>
              <w:bottom w:val="nil"/>
              <w:right w:val="nil"/>
            </w:tcBorders>
            <w:shd w:val="clear" w:color="auto" w:fill="auto"/>
            <w:noWrap/>
            <w:vAlign w:val="bottom"/>
            <w:hideMark/>
          </w:tcPr>
          <w:p w14:paraId="42C639E1"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 xml:space="preserve">1956-59 </w:t>
            </w:r>
          </w:p>
        </w:tc>
        <w:tc>
          <w:tcPr>
            <w:tcW w:w="1540" w:type="dxa"/>
            <w:gridSpan w:val="2"/>
            <w:tcBorders>
              <w:top w:val="single" w:sz="4" w:space="0" w:color="auto"/>
              <w:left w:val="nil"/>
              <w:bottom w:val="nil"/>
              <w:right w:val="nil"/>
            </w:tcBorders>
            <w:shd w:val="clear" w:color="auto" w:fill="auto"/>
            <w:noWrap/>
            <w:vAlign w:val="bottom"/>
            <w:hideMark/>
          </w:tcPr>
          <w:p w14:paraId="49A7398A"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1960-64</w:t>
            </w:r>
          </w:p>
        </w:tc>
        <w:tc>
          <w:tcPr>
            <w:tcW w:w="1540" w:type="dxa"/>
            <w:gridSpan w:val="2"/>
            <w:tcBorders>
              <w:top w:val="single" w:sz="4" w:space="0" w:color="auto"/>
              <w:left w:val="nil"/>
              <w:bottom w:val="nil"/>
              <w:right w:val="nil"/>
            </w:tcBorders>
            <w:shd w:val="clear" w:color="auto" w:fill="auto"/>
            <w:noWrap/>
            <w:vAlign w:val="bottom"/>
            <w:hideMark/>
          </w:tcPr>
          <w:p w14:paraId="2F5743F1"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1965-69</w:t>
            </w:r>
          </w:p>
        </w:tc>
        <w:tc>
          <w:tcPr>
            <w:tcW w:w="1540" w:type="dxa"/>
            <w:gridSpan w:val="2"/>
            <w:tcBorders>
              <w:top w:val="single" w:sz="4" w:space="0" w:color="auto"/>
              <w:left w:val="nil"/>
              <w:bottom w:val="nil"/>
              <w:right w:val="nil"/>
            </w:tcBorders>
            <w:shd w:val="clear" w:color="auto" w:fill="auto"/>
            <w:noWrap/>
            <w:vAlign w:val="bottom"/>
            <w:hideMark/>
          </w:tcPr>
          <w:p w14:paraId="41D6421A"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1970-74</w:t>
            </w:r>
          </w:p>
        </w:tc>
        <w:tc>
          <w:tcPr>
            <w:tcW w:w="1540" w:type="dxa"/>
            <w:gridSpan w:val="2"/>
            <w:tcBorders>
              <w:top w:val="single" w:sz="4" w:space="0" w:color="auto"/>
              <w:left w:val="nil"/>
              <w:bottom w:val="nil"/>
              <w:right w:val="single" w:sz="4" w:space="0" w:color="auto"/>
            </w:tcBorders>
            <w:shd w:val="clear" w:color="auto" w:fill="auto"/>
            <w:noWrap/>
            <w:vAlign w:val="bottom"/>
            <w:hideMark/>
          </w:tcPr>
          <w:p w14:paraId="53B2B935"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1975-78</w:t>
            </w:r>
          </w:p>
        </w:tc>
      </w:tr>
      <w:tr w:rsidR="00204BB5" w:rsidRPr="00204BB5" w14:paraId="7511676D" w14:textId="77777777" w:rsidTr="00204BB5">
        <w:trPr>
          <w:gridAfter w:val="1"/>
          <w:wAfter w:w="18" w:type="dxa"/>
          <w:trHeight w:val="292"/>
        </w:trPr>
        <w:tc>
          <w:tcPr>
            <w:tcW w:w="1980" w:type="dxa"/>
            <w:tcBorders>
              <w:top w:val="nil"/>
              <w:left w:val="single" w:sz="4" w:space="0" w:color="auto"/>
              <w:bottom w:val="nil"/>
              <w:right w:val="nil"/>
            </w:tcBorders>
            <w:shd w:val="clear" w:color="auto" w:fill="auto"/>
            <w:noWrap/>
            <w:vAlign w:val="bottom"/>
            <w:hideMark/>
          </w:tcPr>
          <w:p w14:paraId="3C23824D" w14:textId="77777777" w:rsidR="00204BB5" w:rsidRPr="00204BB5" w:rsidRDefault="00204BB5" w:rsidP="00204BB5">
            <w:pPr>
              <w:spacing w:after="0" w:line="240" w:lineRule="auto"/>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Low</w:t>
            </w:r>
          </w:p>
        </w:tc>
        <w:tc>
          <w:tcPr>
            <w:tcW w:w="1100" w:type="dxa"/>
            <w:tcBorders>
              <w:top w:val="nil"/>
              <w:left w:val="nil"/>
              <w:bottom w:val="nil"/>
              <w:right w:val="nil"/>
            </w:tcBorders>
            <w:shd w:val="clear" w:color="auto" w:fill="auto"/>
            <w:noWrap/>
            <w:vAlign w:val="bottom"/>
            <w:hideMark/>
          </w:tcPr>
          <w:p w14:paraId="394A91D3"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0.79</w:t>
            </w:r>
          </w:p>
        </w:tc>
        <w:tc>
          <w:tcPr>
            <w:tcW w:w="1540" w:type="dxa"/>
            <w:gridSpan w:val="2"/>
            <w:tcBorders>
              <w:top w:val="nil"/>
              <w:left w:val="nil"/>
              <w:bottom w:val="nil"/>
              <w:right w:val="nil"/>
            </w:tcBorders>
            <w:shd w:val="clear" w:color="auto" w:fill="auto"/>
            <w:noWrap/>
            <w:vAlign w:val="bottom"/>
            <w:hideMark/>
          </w:tcPr>
          <w:p w14:paraId="7CC91AEC"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0.79</w:t>
            </w:r>
          </w:p>
        </w:tc>
        <w:tc>
          <w:tcPr>
            <w:tcW w:w="1540" w:type="dxa"/>
            <w:gridSpan w:val="2"/>
            <w:tcBorders>
              <w:top w:val="nil"/>
              <w:left w:val="nil"/>
              <w:bottom w:val="nil"/>
              <w:right w:val="nil"/>
            </w:tcBorders>
            <w:shd w:val="clear" w:color="auto" w:fill="auto"/>
            <w:noWrap/>
            <w:vAlign w:val="bottom"/>
            <w:hideMark/>
          </w:tcPr>
          <w:p w14:paraId="4A1AD6AE"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0.78</w:t>
            </w:r>
          </w:p>
        </w:tc>
        <w:tc>
          <w:tcPr>
            <w:tcW w:w="1540" w:type="dxa"/>
            <w:gridSpan w:val="2"/>
            <w:tcBorders>
              <w:top w:val="nil"/>
              <w:left w:val="nil"/>
              <w:bottom w:val="nil"/>
              <w:right w:val="nil"/>
            </w:tcBorders>
            <w:shd w:val="clear" w:color="auto" w:fill="auto"/>
            <w:noWrap/>
            <w:vAlign w:val="bottom"/>
            <w:hideMark/>
          </w:tcPr>
          <w:p w14:paraId="02AAB04D"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0.78</w:t>
            </w:r>
          </w:p>
        </w:tc>
        <w:tc>
          <w:tcPr>
            <w:tcW w:w="1540" w:type="dxa"/>
            <w:gridSpan w:val="2"/>
            <w:tcBorders>
              <w:top w:val="nil"/>
              <w:left w:val="nil"/>
              <w:bottom w:val="nil"/>
              <w:right w:val="single" w:sz="4" w:space="0" w:color="auto"/>
            </w:tcBorders>
            <w:shd w:val="clear" w:color="auto" w:fill="auto"/>
            <w:noWrap/>
            <w:vAlign w:val="bottom"/>
            <w:hideMark/>
          </w:tcPr>
          <w:p w14:paraId="693A1A57"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0.79</w:t>
            </w:r>
          </w:p>
        </w:tc>
      </w:tr>
      <w:tr w:rsidR="00204BB5" w:rsidRPr="00204BB5" w14:paraId="09B52DA1" w14:textId="77777777" w:rsidTr="00204BB5">
        <w:trPr>
          <w:gridAfter w:val="1"/>
          <w:wAfter w:w="18" w:type="dxa"/>
          <w:trHeight w:val="292"/>
        </w:trPr>
        <w:tc>
          <w:tcPr>
            <w:tcW w:w="1980" w:type="dxa"/>
            <w:tcBorders>
              <w:top w:val="nil"/>
              <w:left w:val="single" w:sz="4" w:space="0" w:color="auto"/>
              <w:bottom w:val="nil"/>
              <w:right w:val="nil"/>
            </w:tcBorders>
            <w:shd w:val="clear" w:color="auto" w:fill="auto"/>
            <w:noWrap/>
            <w:vAlign w:val="bottom"/>
            <w:hideMark/>
          </w:tcPr>
          <w:p w14:paraId="37B9C00D" w14:textId="77777777" w:rsidR="00204BB5" w:rsidRPr="00204BB5" w:rsidRDefault="00204BB5" w:rsidP="00204BB5">
            <w:pPr>
              <w:spacing w:after="0" w:line="240" w:lineRule="auto"/>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Medium</w:t>
            </w:r>
          </w:p>
        </w:tc>
        <w:tc>
          <w:tcPr>
            <w:tcW w:w="1100" w:type="dxa"/>
            <w:tcBorders>
              <w:top w:val="nil"/>
              <w:left w:val="nil"/>
              <w:bottom w:val="nil"/>
              <w:right w:val="nil"/>
            </w:tcBorders>
            <w:shd w:val="clear" w:color="auto" w:fill="auto"/>
            <w:noWrap/>
            <w:vAlign w:val="bottom"/>
            <w:hideMark/>
          </w:tcPr>
          <w:p w14:paraId="6C098B83"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0.77</w:t>
            </w:r>
          </w:p>
        </w:tc>
        <w:tc>
          <w:tcPr>
            <w:tcW w:w="1540" w:type="dxa"/>
            <w:gridSpan w:val="2"/>
            <w:tcBorders>
              <w:top w:val="nil"/>
              <w:left w:val="nil"/>
              <w:bottom w:val="nil"/>
              <w:right w:val="nil"/>
            </w:tcBorders>
            <w:shd w:val="clear" w:color="auto" w:fill="auto"/>
            <w:noWrap/>
            <w:vAlign w:val="bottom"/>
            <w:hideMark/>
          </w:tcPr>
          <w:p w14:paraId="453A03CB"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0.77</w:t>
            </w:r>
          </w:p>
        </w:tc>
        <w:tc>
          <w:tcPr>
            <w:tcW w:w="1540" w:type="dxa"/>
            <w:gridSpan w:val="2"/>
            <w:tcBorders>
              <w:top w:val="nil"/>
              <w:left w:val="nil"/>
              <w:bottom w:val="nil"/>
              <w:right w:val="nil"/>
            </w:tcBorders>
            <w:shd w:val="clear" w:color="auto" w:fill="auto"/>
            <w:noWrap/>
            <w:vAlign w:val="bottom"/>
            <w:hideMark/>
          </w:tcPr>
          <w:p w14:paraId="5DB06F77"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0.76</w:t>
            </w:r>
          </w:p>
        </w:tc>
        <w:tc>
          <w:tcPr>
            <w:tcW w:w="1540" w:type="dxa"/>
            <w:gridSpan w:val="2"/>
            <w:tcBorders>
              <w:top w:val="nil"/>
              <w:left w:val="nil"/>
              <w:bottom w:val="nil"/>
              <w:right w:val="nil"/>
            </w:tcBorders>
            <w:shd w:val="clear" w:color="auto" w:fill="auto"/>
            <w:noWrap/>
            <w:vAlign w:val="bottom"/>
            <w:hideMark/>
          </w:tcPr>
          <w:p w14:paraId="54B11793"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0.76</w:t>
            </w:r>
          </w:p>
        </w:tc>
        <w:tc>
          <w:tcPr>
            <w:tcW w:w="1540" w:type="dxa"/>
            <w:gridSpan w:val="2"/>
            <w:tcBorders>
              <w:top w:val="nil"/>
              <w:left w:val="nil"/>
              <w:bottom w:val="nil"/>
              <w:right w:val="single" w:sz="4" w:space="0" w:color="auto"/>
            </w:tcBorders>
            <w:shd w:val="clear" w:color="auto" w:fill="auto"/>
            <w:noWrap/>
            <w:vAlign w:val="bottom"/>
            <w:hideMark/>
          </w:tcPr>
          <w:p w14:paraId="28E23919"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0.75</w:t>
            </w:r>
          </w:p>
        </w:tc>
      </w:tr>
      <w:tr w:rsidR="00204BB5" w:rsidRPr="00204BB5" w14:paraId="7B77440E" w14:textId="77777777" w:rsidTr="00204BB5">
        <w:trPr>
          <w:gridAfter w:val="1"/>
          <w:wAfter w:w="18" w:type="dxa"/>
          <w:trHeight w:val="292"/>
        </w:trPr>
        <w:tc>
          <w:tcPr>
            <w:tcW w:w="1980" w:type="dxa"/>
            <w:tcBorders>
              <w:top w:val="nil"/>
              <w:left w:val="single" w:sz="4" w:space="0" w:color="auto"/>
              <w:bottom w:val="single" w:sz="4" w:space="0" w:color="auto"/>
              <w:right w:val="nil"/>
            </w:tcBorders>
            <w:shd w:val="clear" w:color="auto" w:fill="auto"/>
            <w:noWrap/>
            <w:vAlign w:val="bottom"/>
            <w:hideMark/>
          </w:tcPr>
          <w:p w14:paraId="06A44026" w14:textId="77777777" w:rsidR="00204BB5" w:rsidRPr="00204BB5" w:rsidRDefault="00204BB5" w:rsidP="00204BB5">
            <w:pPr>
              <w:spacing w:after="0" w:line="240" w:lineRule="auto"/>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 xml:space="preserve">High </w:t>
            </w:r>
          </w:p>
        </w:tc>
        <w:tc>
          <w:tcPr>
            <w:tcW w:w="1100" w:type="dxa"/>
            <w:tcBorders>
              <w:top w:val="nil"/>
              <w:left w:val="nil"/>
              <w:bottom w:val="single" w:sz="4" w:space="0" w:color="auto"/>
              <w:right w:val="nil"/>
            </w:tcBorders>
            <w:shd w:val="clear" w:color="auto" w:fill="auto"/>
            <w:noWrap/>
            <w:vAlign w:val="bottom"/>
            <w:hideMark/>
          </w:tcPr>
          <w:p w14:paraId="663DB04B"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0.79</w:t>
            </w:r>
          </w:p>
        </w:tc>
        <w:tc>
          <w:tcPr>
            <w:tcW w:w="1540" w:type="dxa"/>
            <w:gridSpan w:val="2"/>
            <w:tcBorders>
              <w:top w:val="nil"/>
              <w:left w:val="nil"/>
              <w:bottom w:val="single" w:sz="4" w:space="0" w:color="auto"/>
              <w:right w:val="nil"/>
            </w:tcBorders>
            <w:shd w:val="clear" w:color="auto" w:fill="auto"/>
            <w:noWrap/>
            <w:vAlign w:val="bottom"/>
            <w:hideMark/>
          </w:tcPr>
          <w:p w14:paraId="67A119D1"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0.77</w:t>
            </w:r>
          </w:p>
        </w:tc>
        <w:tc>
          <w:tcPr>
            <w:tcW w:w="1540" w:type="dxa"/>
            <w:gridSpan w:val="2"/>
            <w:tcBorders>
              <w:top w:val="nil"/>
              <w:left w:val="nil"/>
              <w:bottom w:val="single" w:sz="4" w:space="0" w:color="auto"/>
              <w:right w:val="nil"/>
            </w:tcBorders>
            <w:shd w:val="clear" w:color="auto" w:fill="auto"/>
            <w:noWrap/>
            <w:vAlign w:val="bottom"/>
            <w:hideMark/>
          </w:tcPr>
          <w:p w14:paraId="2A684856"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0.73</w:t>
            </w:r>
          </w:p>
        </w:tc>
        <w:tc>
          <w:tcPr>
            <w:tcW w:w="1540" w:type="dxa"/>
            <w:gridSpan w:val="2"/>
            <w:tcBorders>
              <w:top w:val="nil"/>
              <w:left w:val="nil"/>
              <w:bottom w:val="single" w:sz="4" w:space="0" w:color="auto"/>
              <w:right w:val="nil"/>
            </w:tcBorders>
            <w:shd w:val="clear" w:color="auto" w:fill="auto"/>
            <w:noWrap/>
            <w:vAlign w:val="bottom"/>
            <w:hideMark/>
          </w:tcPr>
          <w:p w14:paraId="7DABC3CF"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0.73</w:t>
            </w:r>
          </w:p>
        </w:tc>
        <w:tc>
          <w:tcPr>
            <w:tcW w:w="1540" w:type="dxa"/>
            <w:gridSpan w:val="2"/>
            <w:tcBorders>
              <w:top w:val="nil"/>
              <w:left w:val="nil"/>
              <w:bottom w:val="single" w:sz="4" w:space="0" w:color="auto"/>
              <w:right w:val="single" w:sz="4" w:space="0" w:color="auto"/>
            </w:tcBorders>
            <w:shd w:val="clear" w:color="auto" w:fill="auto"/>
            <w:noWrap/>
            <w:vAlign w:val="bottom"/>
            <w:hideMark/>
          </w:tcPr>
          <w:p w14:paraId="4183E1B9"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0.75</w:t>
            </w:r>
          </w:p>
        </w:tc>
      </w:tr>
      <w:tr w:rsidR="00204BB5" w:rsidRPr="00204BB5" w14:paraId="73045E1D" w14:textId="77777777" w:rsidTr="00047E64">
        <w:trPr>
          <w:trHeight w:val="292"/>
        </w:trPr>
        <w:tc>
          <w:tcPr>
            <w:tcW w:w="1980" w:type="dxa"/>
            <w:tcBorders>
              <w:top w:val="single" w:sz="4" w:space="0" w:color="auto"/>
              <w:left w:val="single" w:sz="4" w:space="0" w:color="auto"/>
              <w:bottom w:val="nil"/>
              <w:right w:val="nil"/>
            </w:tcBorders>
            <w:shd w:val="clear" w:color="auto" w:fill="auto"/>
            <w:noWrap/>
            <w:vAlign w:val="bottom"/>
            <w:hideMark/>
          </w:tcPr>
          <w:p w14:paraId="09B9642E" w14:textId="1C2ADC57" w:rsidR="00204BB5" w:rsidRPr="00204BB5" w:rsidRDefault="00204BB5" w:rsidP="00204BB5">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Scotland</w:t>
            </w:r>
            <w:r w:rsidRPr="00204BB5">
              <w:rPr>
                <w:rFonts w:ascii="Calibri" w:eastAsia="Times New Roman" w:hAnsi="Calibri" w:cs="Calibri"/>
                <w:color w:val="000000"/>
                <w:lang w:val="en-GB" w:eastAsia="en-GB"/>
              </w:rPr>
              <w:t> </w:t>
            </w:r>
          </w:p>
        </w:tc>
        <w:tc>
          <w:tcPr>
            <w:tcW w:w="1106" w:type="dxa"/>
            <w:gridSpan w:val="2"/>
            <w:tcBorders>
              <w:top w:val="single" w:sz="4" w:space="0" w:color="auto"/>
              <w:left w:val="nil"/>
              <w:bottom w:val="nil"/>
              <w:right w:val="nil"/>
            </w:tcBorders>
            <w:shd w:val="clear" w:color="auto" w:fill="auto"/>
            <w:noWrap/>
            <w:vAlign w:val="bottom"/>
            <w:hideMark/>
          </w:tcPr>
          <w:p w14:paraId="2844F9FA"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 xml:space="preserve">1956-59 </w:t>
            </w:r>
          </w:p>
        </w:tc>
        <w:tc>
          <w:tcPr>
            <w:tcW w:w="1543" w:type="dxa"/>
            <w:gridSpan w:val="2"/>
            <w:tcBorders>
              <w:top w:val="single" w:sz="4" w:space="0" w:color="auto"/>
              <w:left w:val="nil"/>
              <w:bottom w:val="nil"/>
              <w:right w:val="nil"/>
            </w:tcBorders>
            <w:shd w:val="clear" w:color="auto" w:fill="auto"/>
            <w:noWrap/>
            <w:vAlign w:val="bottom"/>
            <w:hideMark/>
          </w:tcPr>
          <w:p w14:paraId="7936A74F"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1960-64</w:t>
            </w:r>
          </w:p>
        </w:tc>
        <w:tc>
          <w:tcPr>
            <w:tcW w:w="1543" w:type="dxa"/>
            <w:gridSpan w:val="2"/>
            <w:tcBorders>
              <w:top w:val="single" w:sz="4" w:space="0" w:color="auto"/>
              <w:left w:val="nil"/>
              <w:bottom w:val="nil"/>
              <w:right w:val="nil"/>
            </w:tcBorders>
            <w:shd w:val="clear" w:color="auto" w:fill="auto"/>
            <w:noWrap/>
            <w:vAlign w:val="bottom"/>
            <w:hideMark/>
          </w:tcPr>
          <w:p w14:paraId="40BD8A72"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1965-69</w:t>
            </w:r>
          </w:p>
        </w:tc>
        <w:tc>
          <w:tcPr>
            <w:tcW w:w="1543" w:type="dxa"/>
            <w:gridSpan w:val="2"/>
            <w:tcBorders>
              <w:top w:val="single" w:sz="4" w:space="0" w:color="auto"/>
              <w:left w:val="nil"/>
              <w:bottom w:val="nil"/>
              <w:right w:val="nil"/>
            </w:tcBorders>
            <w:shd w:val="clear" w:color="auto" w:fill="auto"/>
            <w:noWrap/>
            <w:vAlign w:val="bottom"/>
            <w:hideMark/>
          </w:tcPr>
          <w:p w14:paraId="4274FDEC"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1970-74</w:t>
            </w:r>
          </w:p>
        </w:tc>
        <w:tc>
          <w:tcPr>
            <w:tcW w:w="1543" w:type="dxa"/>
            <w:gridSpan w:val="2"/>
            <w:tcBorders>
              <w:top w:val="single" w:sz="4" w:space="0" w:color="auto"/>
              <w:left w:val="nil"/>
              <w:bottom w:val="nil"/>
              <w:right w:val="single" w:sz="4" w:space="0" w:color="auto"/>
            </w:tcBorders>
            <w:shd w:val="clear" w:color="auto" w:fill="auto"/>
            <w:noWrap/>
            <w:vAlign w:val="bottom"/>
            <w:hideMark/>
          </w:tcPr>
          <w:p w14:paraId="1D3E1DA7"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1975-78</w:t>
            </w:r>
          </w:p>
        </w:tc>
      </w:tr>
      <w:tr w:rsidR="00204BB5" w:rsidRPr="00204BB5" w14:paraId="3859CC92" w14:textId="77777777" w:rsidTr="00047E64">
        <w:trPr>
          <w:trHeight w:val="292"/>
        </w:trPr>
        <w:tc>
          <w:tcPr>
            <w:tcW w:w="1980" w:type="dxa"/>
            <w:tcBorders>
              <w:top w:val="nil"/>
              <w:left w:val="single" w:sz="4" w:space="0" w:color="auto"/>
              <w:bottom w:val="nil"/>
              <w:right w:val="nil"/>
            </w:tcBorders>
            <w:shd w:val="clear" w:color="auto" w:fill="auto"/>
            <w:noWrap/>
            <w:vAlign w:val="bottom"/>
            <w:hideMark/>
          </w:tcPr>
          <w:p w14:paraId="099B858F" w14:textId="77777777" w:rsidR="00204BB5" w:rsidRPr="00204BB5" w:rsidRDefault="00204BB5" w:rsidP="00204BB5">
            <w:pPr>
              <w:spacing w:after="0" w:line="240" w:lineRule="auto"/>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Low</w:t>
            </w:r>
          </w:p>
        </w:tc>
        <w:tc>
          <w:tcPr>
            <w:tcW w:w="1106" w:type="dxa"/>
            <w:gridSpan w:val="2"/>
            <w:tcBorders>
              <w:top w:val="nil"/>
              <w:left w:val="nil"/>
              <w:bottom w:val="nil"/>
              <w:right w:val="nil"/>
            </w:tcBorders>
            <w:shd w:val="clear" w:color="auto" w:fill="auto"/>
            <w:noWrap/>
            <w:vAlign w:val="bottom"/>
            <w:hideMark/>
          </w:tcPr>
          <w:p w14:paraId="2E5F7EB7"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0.79</w:t>
            </w:r>
          </w:p>
        </w:tc>
        <w:tc>
          <w:tcPr>
            <w:tcW w:w="1543" w:type="dxa"/>
            <w:gridSpan w:val="2"/>
            <w:tcBorders>
              <w:top w:val="nil"/>
              <w:left w:val="nil"/>
              <w:bottom w:val="nil"/>
              <w:right w:val="nil"/>
            </w:tcBorders>
            <w:shd w:val="clear" w:color="auto" w:fill="auto"/>
            <w:noWrap/>
            <w:vAlign w:val="bottom"/>
            <w:hideMark/>
          </w:tcPr>
          <w:p w14:paraId="208CFC10"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0.78</w:t>
            </w:r>
          </w:p>
        </w:tc>
        <w:tc>
          <w:tcPr>
            <w:tcW w:w="1543" w:type="dxa"/>
            <w:gridSpan w:val="2"/>
            <w:tcBorders>
              <w:top w:val="nil"/>
              <w:left w:val="nil"/>
              <w:bottom w:val="nil"/>
              <w:right w:val="nil"/>
            </w:tcBorders>
            <w:shd w:val="clear" w:color="auto" w:fill="auto"/>
            <w:noWrap/>
            <w:vAlign w:val="bottom"/>
            <w:hideMark/>
          </w:tcPr>
          <w:p w14:paraId="5BAEB386"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0.76</w:t>
            </w:r>
          </w:p>
        </w:tc>
        <w:tc>
          <w:tcPr>
            <w:tcW w:w="1543" w:type="dxa"/>
            <w:gridSpan w:val="2"/>
            <w:tcBorders>
              <w:top w:val="nil"/>
              <w:left w:val="nil"/>
              <w:bottom w:val="nil"/>
              <w:right w:val="nil"/>
            </w:tcBorders>
            <w:shd w:val="clear" w:color="auto" w:fill="auto"/>
            <w:noWrap/>
            <w:vAlign w:val="bottom"/>
            <w:hideMark/>
          </w:tcPr>
          <w:p w14:paraId="582A00FB"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0.74</w:t>
            </w:r>
          </w:p>
        </w:tc>
        <w:tc>
          <w:tcPr>
            <w:tcW w:w="1543" w:type="dxa"/>
            <w:gridSpan w:val="2"/>
            <w:tcBorders>
              <w:top w:val="nil"/>
              <w:left w:val="nil"/>
              <w:bottom w:val="nil"/>
              <w:right w:val="single" w:sz="4" w:space="0" w:color="auto"/>
            </w:tcBorders>
            <w:shd w:val="clear" w:color="auto" w:fill="auto"/>
            <w:noWrap/>
            <w:vAlign w:val="bottom"/>
            <w:hideMark/>
          </w:tcPr>
          <w:p w14:paraId="5E748D33"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0.74</w:t>
            </w:r>
          </w:p>
        </w:tc>
      </w:tr>
      <w:tr w:rsidR="00204BB5" w:rsidRPr="00204BB5" w14:paraId="6039434D" w14:textId="77777777" w:rsidTr="00047E64">
        <w:trPr>
          <w:trHeight w:val="292"/>
        </w:trPr>
        <w:tc>
          <w:tcPr>
            <w:tcW w:w="1980" w:type="dxa"/>
            <w:tcBorders>
              <w:top w:val="nil"/>
              <w:left w:val="single" w:sz="4" w:space="0" w:color="auto"/>
              <w:bottom w:val="nil"/>
              <w:right w:val="nil"/>
            </w:tcBorders>
            <w:shd w:val="clear" w:color="auto" w:fill="auto"/>
            <w:noWrap/>
            <w:vAlign w:val="bottom"/>
            <w:hideMark/>
          </w:tcPr>
          <w:p w14:paraId="6809DE38" w14:textId="77777777" w:rsidR="00204BB5" w:rsidRPr="00204BB5" w:rsidRDefault="00204BB5" w:rsidP="00204BB5">
            <w:pPr>
              <w:spacing w:after="0" w:line="240" w:lineRule="auto"/>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Medium</w:t>
            </w:r>
          </w:p>
        </w:tc>
        <w:tc>
          <w:tcPr>
            <w:tcW w:w="1106" w:type="dxa"/>
            <w:gridSpan w:val="2"/>
            <w:tcBorders>
              <w:top w:val="nil"/>
              <w:left w:val="nil"/>
              <w:bottom w:val="nil"/>
              <w:right w:val="nil"/>
            </w:tcBorders>
            <w:shd w:val="clear" w:color="auto" w:fill="auto"/>
            <w:noWrap/>
            <w:vAlign w:val="bottom"/>
            <w:hideMark/>
          </w:tcPr>
          <w:p w14:paraId="5D9EFABC"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0.79</w:t>
            </w:r>
          </w:p>
        </w:tc>
        <w:tc>
          <w:tcPr>
            <w:tcW w:w="1543" w:type="dxa"/>
            <w:gridSpan w:val="2"/>
            <w:tcBorders>
              <w:top w:val="nil"/>
              <w:left w:val="nil"/>
              <w:bottom w:val="nil"/>
              <w:right w:val="nil"/>
            </w:tcBorders>
            <w:shd w:val="clear" w:color="auto" w:fill="auto"/>
            <w:noWrap/>
            <w:vAlign w:val="bottom"/>
            <w:hideMark/>
          </w:tcPr>
          <w:p w14:paraId="3705E9D2"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0.80</w:t>
            </w:r>
          </w:p>
        </w:tc>
        <w:tc>
          <w:tcPr>
            <w:tcW w:w="1543" w:type="dxa"/>
            <w:gridSpan w:val="2"/>
            <w:tcBorders>
              <w:top w:val="nil"/>
              <w:left w:val="nil"/>
              <w:bottom w:val="nil"/>
              <w:right w:val="nil"/>
            </w:tcBorders>
            <w:shd w:val="clear" w:color="auto" w:fill="auto"/>
            <w:noWrap/>
            <w:vAlign w:val="bottom"/>
            <w:hideMark/>
          </w:tcPr>
          <w:p w14:paraId="78E7E9DD"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0.75</w:t>
            </w:r>
          </w:p>
        </w:tc>
        <w:tc>
          <w:tcPr>
            <w:tcW w:w="1543" w:type="dxa"/>
            <w:gridSpan w:val="2"/>
            <w:tcBorders>
              <w:top w:val="nil"/>
              <w:left w:val="nil"/>
              <w:bottom w:val="nil"/>
              <w:right w:val="nil"/>
            </w:tcBorders>
            <w:shd w:val="clear" w:color="auto" w:fill="auto"/>
            <w:noWrap/>
            <w:vAlign w:val="bottom"/>
            <w:hideMark/>
          </w:tcPr>
          <w:p w14:paraId="7403B58C"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0.74</w:t>
            </w:r>
          </w:p>
        </w:tc>
        <w:tc>
          <w:tcPr>
            <w:tcW w:w="1543" w:type="dxa"/>
            <w:gridSpan w:val="2"/>
            <w:tcBorders>
              <w:top w:val="nil"/>
              <w:left w:val="nil"/>
              <w:bottom w:val="nil"/>
              <w:right w:val="single" w:sz="4" w:space="0" w:color="auto"/>
            </w:tcBorders>
            <w:shd w:val="clear" w:color="auto" w:fill="auto"/>
            <w:noWrap/>
            <w:vAlign w:val="bottom"/>
            <w:hideMark/>
          </w:tcPr>
          <w:p w14:paraId="4D58BC36"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0.70</w:t>
            </w:r>
          </w:p>
        </w:tc>
      </w:tr>
      <w:tr w:rsidR="00204BB5" w:rsidRPr="00204BB5" w14:paraId="3EE00302" w14:textId="77777777" w:rsidTr="00047E64">
        <w:trPr>
          <w:trHeight w:val="292"/>
        </w:trPr>
        <w:tc>
          <w:tcPr>
            <w:tcW w:w="1980" w:type="dxa"/>
            <w:tcBorders>
              <w:top w:val="nil"/>
              <w:left w:val="single" w:sz="4" w:space="0" w:color="auto"/>
              <w:bottom w:val="single" w:sz="4" w:space="0" w:color="auto"/>
              <w:right w:val="nil"/>
            </w:tcBorders>
            <w:shd w:val="clear" w:color="auto" w:fill="auto"/>
            <w:noWrap/>
            <w:vAlign w:val="bottom"/>
            <w:hideMark/>
          </w:tcPr>
          <w:p w14:paraId="0FD7B917" w14:textId="77777777" w:rsidR="00204BB5" w:rsidRPr="00204BB5" w:rsidRDefault="00204BB5" w:rsidP="00204BB5">
            <w:pPr>
              <w:spacing w:after="0" w:line="240" w:lineRule="auto"/>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 xml:space="preserve">High </w:t>
            </w:r>
          </w:p>
        </w:tc>
        <w:tc>
          <w:tcPr>
            <w:tcW w:w="1106" w:type="dxa"/>
            <w:gridSpan w:val="2"/>
            <w:tcBorders>
              <w:top w:val="nil"/>
              <w:left w:val="nil"/>
              <w:bottom w:val="single" w:sz="4" w:space="0" w:color="auto"/>
              <w:right w:val="nil"/>
            </w:tcBorders>
            <w:shd w:val="clear" w:color="auto" w:fill="auto"/>
            <w:noWrap/>
            <w:vAlign w:val="bottom"/>
            <w:hideMark/>
          </w:tcPr>
          <w:p w14:paraId="61E47235"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0.81</w:t>
            </w:r>
          </w:p>
        </w:tc>
        <w:tc>
          <w:tcPr>
            <w:tcW w:w="1543" w:type="dxa"/>
            <w:gridSpan w:val="2"/>
            <w:tcBorders>
              <w:top w:val="nil"/>
              <w:left w:val="nil"/>
              <w:bottom w:val="single" w:sz="4" w:space="0" w:color="auto"/>
              <w:right w:val="nil"/>
            </w:tcBorders>
            <w:shd w:val="clear" w:color="auto" w:fill="auto"/>
            <w:noWrap/>
            <w:vAlign w:val="bottom"/>
            <w:hideMark/>
          </w:tcPr>
          <w:p w14:paraId="13FE46B4"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0.78</w:t>
            </w:r>
          </w:p>
        </w:tc>
        <w:tc>
          <w:tcPr>
            <w:tcW w:w="1543" w:type="dxa"/>
            <w:gridSpan w:val="2"/>
            <w:tcBorders>
              <w:top w:val="nil"/>
              <w:left w:val="nil"/>
              <w:bottom w:val="single" w:sz="4" w:space="0" w:color="auto"/>
              <w:right w:val="nil"/>
            </w:tcBorders>
            <w:shd w:val="clear" w:color="auto" w:fill="auto"/>
            <w:noWrap/>
            <w:vAlign w:val="bottom"/>
            <w:hideMark/>
          </w:tcPr>
          <w:p w14:paraId="1CEB2D00"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0.72</w:t>
            </w:r>
          </w:p>
        </w:tc>
        <w:tc>
          <w:tcPr>
            <w:tcW w:w="1543" w:type="dxa"/>
            <w:gridSpan w:val="2"/>
            <w:tcBorders>
              <w:top w:val="nil"/>
              <w:left w:val="nil"/>
              <w:bottom w:val="single" w:sz="4" w:space="0" w:color="auto"/>
              <w:right w:val="nil"/>
            </w:tcBorders>
            <w:shd w:val="clear" w:color="auto" w:fill="auto"/>
            <w:noWrap/>
            <w:vAlign w:val="bottom"/>
            <w:hideMark/>
          </w:tcPr>
          <w:p w14:paraId="052A2907"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0.71</w:t>
            </w:r>
          </w:p>
        </w:tc>
        <w:tc>
          <w:tcPr>
            <w:tcW w:w="1543" w:type="dxa"/>
            <w:gridSpan w:val="2"/>
            <w:tcBorders>
              <w:top w:val="nil"/>
              <w:left w:val="nil"/>
              <w:bottom w:val="single" w:sz="4" w:space="0" w:color="auto"/>
              <w:right w:val="single" w:sz="4" w:space="0" w:color="auto"/>
            </w:tcBorders>
            <w:shd w:val="clear" w:color="auto" w:fill="auto"/>
            <w:noWrap/>
            <w:vAlign w:val="bottom"/>
            <w:hideMark/>
          </w:tcPr>
          <w:p w14:paraId="3D74A4B8"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0.72</w:t>
            </w:r>
          </w:p>
        </w:tc>
      </w:tr>
      <w:tr w:rsidR="00204BB5" w:rsidRPr="00204BB5" w14:paraId="43B74CE8" w14:textId="77777777" w:rsidTr="00047E64">
        <w:trPr>
          <w:trHeight w:val="285"/>
        </w:trPr>
        <w:tc>
          <w:tcPr>
            <w:tcW w:w="1980" w:type="dxa"/>
            <w:tcBorders>
              <w:top w:val="single" w:sz="4" w:space="0" w:color="auto"/>
              <w:left w:val="single" w:sz="4" w:space="0" w:color="auto"/>
              <w:bottom w:val="nil"/>
              <w:right w:val="nil"/>
            </w:tcBorders>
            <w:shd w:val="clear" w:color="auto" w:fill="auto"/>
            <w:noWrap/>
            <w:vAlign w:val="bottom"/>
            <w:hideMark/>
          </w:tcPr>
          <w:p w14:paraId="3CDC78D2" w14:textId="50E5C70C" w:rsidR="00204BB5" w:rsidRPr="00204BB5" w:rsidRDefault="00204BB5" w:rsidP="00204BB5">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Northern Ireland</w:t>
            </w:r>
          </w:p>
        </w:tc>
        <w:tc>
          <w:tcPr>
            <w:tcW w:w="1106" w:type="dxa"/>
            <w:gridSpan w:val="2"/>
            <w:tcBorders>
              <w:top w:val="single" w:sz="4" w:space="0" w:color="auto"/>
              <w:left w:val="nil"/>
              <w:bottom w:val="nil"/>
              <w:right w:val="nil"/>
            </w:tcBorders>
            <w:shd w:val="clear" w:color="auto" w:fill="auto"/>
            <w:noWrap/>
            <w:vAlign w:val="bottom"/>
            <w:hideMark/>
          </w:tcPr>
          <w:p w14:paraId="7113D48C"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 xml:space="preserve">1956-59 </w:t>
            </w:r>
          </w:p>
        </w:tc>
        <w:tc>
          <w:tcPr>
            <w:tcW w:w="1543" w:type="dxa"/>
            <w:gridSpan w:val="2"/>
            <w:tcBorders>
              <w:top w:val="single" w:sz="4" w:space="0" w:color="auto"/>
              <w:left w:val="nil"/>
              <w:bottom w:val="nil"/>
              <w:right w:val="nil"/>
            </w:tcBorders>
            <w:shd w:val="clear" w:color="auto" w:fill="auto"/>
            <w:noWrap/>
            <w:vAlign w:val="bottom"/>
            <w:hideMark/>
          </w:tcPr>
          <w:p w14:paraId="20CDEAE9"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1960-64</w:t>
            </w:r>
          </w:p>
        </w:tc>
        <w:tc>
          <w:tcPr>
            <w:tcW w:w="1543" w:type="dxa"/>
            <w:gridSpan w:val="2"/>
            <w:tcBorders>
              <w:top w:val="single" w:sz="4" w:space="0" w:color="auto"/>
              <w:left w:val="nil"/>
              <w:bottom w:val="nil"/>
              <w:right w:val="nil"/>
            </w:tcBorders>
            <w:shd w:val="clear" w:color="auto" w:fill="auto"/>
            <w:noWrap/>
            <w:vAlign w:val="bottom"/>
            <w:hideMark/>
          </w:tcPr>
          <w:p w14:paraId="16B99D6D" w14:textId="4A9B4EA1"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196</w:t>
            </w:r>
            <w:r>
              <w:rPr>
                <w:rFonts w:ascii="Calibri" w:eastAsia="Times New Roman" w:hAnsi="Calibri" w:cs="Calibri"/>
                <w:color w:val="000000"/>
                <w:lang w:val="en-GB" w:eastAsia="en-GB"/>
              </w:rPr>
              <w:t>6</w:t>
            </w:r>
            <w:r w:rsidRPr="00204BB5">
              <w:rPr>
                <w:rFonts w:ascii="Calibri" w:eastAsia="Times New Roman" w:hAnsi="Calibri" w:cs="Calibri"/>
                <w:color w:val="000000"/>
                <w:lang w:val="en-GB" w:eastAsia="en-GB"/>
              </w:rPr>
              <w:t>-69</w:t>
            </w:r>
          </w:p>
        </w:tc>
        <w:tc>
          <w:tcPr>
            <w:tcW w:w="1543" w:type="dxa"/>
            <w:gridSpan w:val="2"/>
            <w:tcBorders>
              <w:top w:val="single" w:sz="4" w:space="0" w:color="auto"/>
              <w:left w:val="nil"/>
              <w:bottom w:val="nil"/>
              <w:right w:val="nil"/>
            </w:tcBorders>
            <w:shd w:val="clear" w:color="auto" w:fill="auto"/>
            <w:noWrap/>
            <w:vAlign w:val="bottom"/>
            <w:hideMark/>
          </w:tcPr>
          <w:p w14:paraId="69D91B96"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1970-74</w:t>
            </w:r>
          </w:p>
        </w:tc>
        <w:tc>
          <w:tcPr>
            <w:tcW w:w="1543" w:type="dxa"/>
            <w:gridSpan w:val="2"/>
            <w:tcBorders>
              <w:top w:val="single" w:sz="4" w:space="0" w:color="auto"/>
              <w:left w:val="nil"/>
              <w:bottom w:val="nil"/>
              <w:right w:val="single" w:sz="4" w:space="0" w:color="auto"/>
            </w:tcBorders>
            <w:shd w:val="clear" w:color="auto" w:fill="auto"/>
            <w:noWrap/>
            <w:vAlign w:val="bottom"/>
            <w:hideMark/>
          </w:tcPr>
          <w:p w14:paraId="49044426" w14:textId="77777777" w:rsidR="00204BB5" w:rsidRPr="00204BB5" w:rsidRDefault="00204BB5" w:rsidP="00204BB5">
            <w:pPr>
              <w:spacing w:after="0" w:line="240" w:lineRule="auto"/>
              <w:jc w:val="right"/>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1975-78</w:t>
            </w:r>
          </w:p>
        </w:tc>
      </w:tr>
      <w:tr w:rsidR="00204BB5" w:rsidRPr="00204BB5" w14:paraId="19F5C034" w14:textId="77777777" w:rsidTr="00047E64">
        <w:trPr>
          <w:trHeight w:val="285"/>
        </w:trPr>
        <w:tc>
          <w:tcPr>
            <w:tcW w:w="1980" w:type="dxa"/>
            <w:tcBorders>
              <w:top w:val="nil"/>
              <w:left w:val="single" w:sz="4" w:space="0" w:color="auto"/>
              <w:bottom w:val="nil"/>
              <w:right w:val="nil"/>
            </w:tcBorders>
            <w:shd w:val="clear" w:color="auto" w:fill="auto"/>
            <w:noWrap/>
            <w:vAlign w:val="bottom"/>
            <w:hideMark/>
          </w:tcPr>
          <w:p w14:paraId="6A0E37B8" w14:textId="77777777" w:rsidR="00204BB5" w:rsidRPr="00204BB5" w:rsidRDefault="00204BB5" w:rsidP="00204BB5">
            <w:pPr>
              <w:spacing w:after="0" w:line="240" w:lineRule="auto"/>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Low</w:t>
            </w:r>
          </w:p>
        </w:tc>
        <w:tc>
          <w:tcPr>
            <w:tcW w:w="1106" w:type="dxa"/>
            <w:gridSpan w:val="2"/>
            <w:tcBorders>
              <w:top w:val="nil"/>
              <w:left w:val="nil"/>
              <w:bottom w:val="nil"/>
              <w:right w:val="nil"/>
            </w:tcBorders>
            <w:shd w:val="clear" w:color="auto" w:fill="auto"/>
            <w:noWrap/>
            <w:vAlign w:val="bottom"/>
          </w:tcPr>
          <w:p w14:paraId="3E7C8D13" w14:textId="55BD1DDC" w:rsidR="00204BB5" w:rsidRPr="00204BB5" w:rsidRDefault="00204BB5" w:rsidP="00204BB5">
            <w:pPr>
              <w:spacing w:after="0" w:line="240" w:lineRule="auto"/>
              <w:jc w:val="right"/>
              <w:rPr>
                <w:rFonts w:ascii="Calibri" w:eastAsia="Times New Roman" w:hAnsi="Calibri" w:cs="Calibri"/>
                <w:color w:val="000000"/>
                <w:lang w:val="en-GB" w:eastAsia="en-GB"/>
              </w:rPr>
            </w:pPr>
          </w:p>
        </w:tc>
        <w:tc>
          <w:tcPr>
            <w:tcW w:w="1543" w:type="dxa"/>
            <w:gridSpan w:val="2"/>
            <w:tcBorders>
              <w:top w:val="nil"/>
              <w:left w:val="nil"/>
              <w:bottom w:val="nil"/>
              <w:right w:val="nil"/>
            </w:tcBorders>
            <w:shd w:val="clear" w:color="auto" w:fill="auto"/>
            <w:noWrap/>
            <w:vAlign w:val="bottom"/>
          </w:tcPr>
          <w:p w14:paraId="4B3CD5B6" w14:textId="0C87EDDE" w:rsidR="00204BB5" w:rsidRPr="00204BB5" w:rsidRDefault="00204BB5" w:rsidP="00204BB5">
            <w:pPr>
              <w:spacing w:after="0" w:line="240" w:lineRule="auto"/>
              <w:jc w:val="right"/>
              <w:rPr>
                <w:rFonts w:ascii="Calibri" w:eastAsia="Times New Roman" w:hAnsi="Calibri" w:cs="Calibri"/>
                <w:color w:val="000000"/>
                <w:lang w:val="en-GB" w:eastAsia="en-GB"/>
              </w:rPr>
            </w:pPr>
          </w:p>
        </w:tc>
        <w:tc>
          <w:tcPr>
            <w:tcW w:w="1543" w:type="dxa"/>
            <w:gridSpan w:val="2"/>
            <w:tcBorders>
              <w:top w:val="nil"/>
              <w:left w:val="nil"/>
              <w:bottom w:val="nil"/>
              <w:right w:val="nil"/>
            </w:tcBorders>
            <w:shd w:val="clear" w:color="auto" w:fill="auto"/>
            <w:noWrap/>
            <w:vAlign w:val="bottom"/>
          </w:tcPr>
          <w:p w14:paraId="77DF8FB7" w14:textId="24150590" w:rsidR="00204BB5" w:rsidRPr="00204BB5" w:rsidRDefault="002C3C05" w:rsidP="00204BB5">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0.81</w:t>
            </w:r>
          </w:p>
        </w:tc>
        <w:tc>
          <w:tcPr>
            <w:tcW w:w="1543" w:type="dxa"/>
            <w:gridSpan w:val="2"/>
            <w:tcBorders>
              <w:top w:val="nil"/>
              <w:left w:val="nil"/>
              <w:bottom w:val="nil"/>
              <w:right w:val="nil"/>
            </w:tcBorders>
            <w:shd w:val="clear" w:color="auto" w:fill="auto"/>
            <w:noWrap/>
            <w:vAlign w:val="bottom"/>
          </w:tcPr>
          <w:p w14:paraId="56994F33" w14:textId="0445CA05" w:rsidR="00204BB5" w:rsidRPr="00204BB5" w:rsidRDefault="002C3C05" w:rsidP="00204BB5">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0.79</w:t>
            </w:r>
          </w:p>
        </w:tc>
        <w:tc>
          <w:tcPr>
            <w:tcW w:w="1543" w:type="dxa"/>
            <w:gridSpan w:val="2"/>
            <w:tcBorders>
              <w:top w:val="nil"/>
              <w:left w:val="nil"/>
              <w:bottom w:val="nil"/>
              <w:right w:val="single" w:sz="4" w:space="0" w:color="auto"/>
            </w:tcBorders>
            <w:shd w:val="clear" w:color="auto" w:fill="auto"/>
            <w:noWrap/>
            <w:vAlign w:val="bottom"/>
          </w:tcPr>
          <w:p w14:paraId="52802AC6" w14:textId="7059014E" w:rsidR="00204BB5" w:rsidRPr="00204BB5" w:rsidRDefault="002C3C05" w:rsidP="00204BB5">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0.81</w:t>
            </w:r>
          </w:p>
        </w:tc>
      </w:tr>
      <w:tr w:rsidR="00204BB5" w:rsidRPr="00204BB5" w14:paraId="029FD5FD" w14:textId="77777777" w:rsidTr="00047E64">
        <w:trPr>
          <w:trHeight w:val="285"/>
        </w:trPr>
        <w:tc>
          <w:tcPr>
            <w:tcW w:w="1980" w:type="dxa"/>
            <w:tcBorders>
              <w:top w:val="nil"/>
              <w:left w:val="single" w:sz="4" w:space="0" w:color="auto"/>
              <w:bottom w:val="nil"/>
              <w:right w:val="nil"/>
            </w:tcBorders>
            <w:shd w:val="clear" w:color="auto" w:fill="auto"/>
            <w:noWrap/>
            <w:vAlign w:val="bottom"/>
            <w:hideMark/>
          </w:tcPr>
          <w:p w14:paraId="03DB4F4E" w14:textId="77777777" w:rsidR="00204BB5" w:rsidRPr="00204BB5" w:rsidRDefault="00204BB5" w:rsidP="00204BB5">
            <w:pPr>
              <w:spacing w:after="0" w:line="240" w:lineRule="auto"/>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Medium</w:t>
            </w:r>
          </w:p>
        </w:tc>
        <w:tc>
          <w:tcPr>
            <w:tcW w:w="1106" w:type="dxa"/>
            <w:gridSpan w:val="2"/>
            <w:tcBorders>
              <w:top w:val="nil"/>
              <w:left w:val="nil"/>
              <w:bottom w:val="nil"/>
              <w:right w:val="nil"/>
            </w:tcBorders>
            <w:shd w:val="clear" w:color="auto" w:fill="auto"/>
            <w:noWrap/>
            <w:vAlign w:val="bottom"/>
          </w:tcPr>
          <w:p w14:paraId="0F7E1099" w14:textId="5E8DF069" w:rsidR="00204BB5" w:rsidRPr="00204BB5" w:rsidRDefault="00204BB5" w:rsidP="00204BB5">
            <w:pPr>
              <w:spacing w:after="0" w:line="240" w:lineRule="auto"/>
              <w:jc w:val="right"/>
              <w:rPr>
                <w:rFonts w:ascii="Calibri" w:eastAsia="Times New Roman" w:hAnsi="Calibri" w:cs="Calibri"/>
                <w:color w:val="000000"/>
                <w:lang w:val="en-GB" w:eastAsia="en-GB"/>
              </w:rPr>
            </w:pPr>
          </w:p>
        </w:tc>
        <w:tc>
          <w:tcPr>
            <w:tcW w:w="1543" w:type="dxa"/>
            <w:gridSpan w:val="2"/>
            <w:tcBorders>
              <w:top w:val="nil"/>
              <w:left w:val="nil"/>
              <w:bottom w:val="nil"/>
              <w:right w:val="nil"/>
            </w:tcBorders>
            <w:shd w:val="clear" w:color="auto" w:fill="auto"/>
            <w:noWrap/>
            <w:vAlign w:val="bottom"/>
          </w:tcPr>
          <w:p w14:paraId="724F65F7" w14:textId="532F7450" w:rsidR="00204BB5" w:rsidRPr="00204BB5" w:rsidRDefault="00204BB5" w:rsidP="00204BB5">
            <w:pPr>
              <w:spacing w:after="0" w:line="240" w:lineRule="auto"/>
              <w:jc w:val="right"/>
              <w:rPr>
                <w:rFonts w:ascii="Calibri" w:eastAsia="Times New Roman" w:hAnsi="Calibri" w:cs="Calibri"/>
                <w:color w:val="000000"/>
                <w:lang w:val="en-GB" w:eastAsia="en-GB"/>
              </w:rPr>
            </w:pPr>
          </w:p>
        </w:tc>
        <w:tc>
          <w:tcPr>
            <w:tcW w:w="1543" w:type="dxa"/>
            <w:gridSpan w:val="2"/>
            <w:tcBorders>
              <w:top w:val="nil"/>
              <w:left w:val="nil"/>
              <w:bottom w:val="nil"/>
              <w:right w:val="nil"/>
            </w:tcBorders>
            <w:shd w:val="clear" w:color="auto" w:fill="auto"/>
            <w:noWrap/>
            <w:vAlign w:val="bottom"/>
          </w:tcPr>
          <w:p w14:paraId="6B07B142" w14:textId="4CB40A38" w:rsidR="00204BB5" w:rsidRPr="00204BB5" w:rsidRDefault="002C3C05" w:rsidP="00204BB5">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0.84</w:t>
            </w:r>
          </w:p>
        </w:tc>
        <w:tc>
          <w:tcPr>
            <w:tcW w:w="1543" w:type="dxa"/>
            <w:gridSpan w:val="2"/>
            <w:tcBorders>
              <w:top w:val="nil"/>
              <w:left w:val="nil"/>
              <w:bottom w:val="nil"/>
              <w:right w:val="nil"/>
            </w:tcBorders>
            <w:shd w:val="clear" w:color="auto" w:fill="auto"/>
            <w:noWrap/>
            <w:vAlign w:val="bottom"/>
          </w:tcPr>
          <w:p w14:paraId="21282CFC" w14:textId="49C8ADA0" w:rsidR="00204BB5" w:rsidRPr="00204BB5" w:rsidRDefault="002C3C05" w:rsidP="00204BB5">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0.82</w:t>
            </w:r>
          </w:p>
        </w:tc>
        <w:tc>
          <w:tcPr>
            <w:tcW w:w="1543" w:type="dxa"/>
            <w:gridSpan w:val="2"/>
            <w:tcBorders>
              <w:top w:val="nil"/>
              <w:left w:val="nil"/>
              <w:bottom w:val="nil"/>
              <w:right w:val="single" w:sz="4" w:space="0" w:color="auto"/>
            </w:tcBorders>
            <w:shd w:val="clear" w:color="auto" w:fill="auto"/>
            <w:noWrap/>
            <w:vAlign w:val="bottom"/>
          </w:tcPr>
          <w:p w14:paraId="1D528AB4" w14:textId="66F41AE0" w:rsidR="00204BB5" w:rsidRPr="00204BB5" w:rsidRDefault="002C3C05" w:rsidP="00204BB5">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0.80</w:t>
            </w:r>
          </w:p>
        </w:tc>
      </w:tr>
      <w:tr w:rsidR="00204BB5" w:rsidRPr="00204BB5" w14:paraId="332EBA00" w14:textId="77777777" w:rsidTr="00047E64">
        <w:trPr>
          <w:trHeight w:val="285"/>
        </w:trPr>
        <w:tc>
          <w:tcPr>
            <w:tcW w:w="1980" w:type="dxa"/>
            <w:tcBorders>
              <w:top w:val="nil"/>
              <w:left w:val="single" w:sz="4" w:space="0" w:color="auto"/>
              <w:bottom w:val="single" w:sz="4" w:space="0" w:color="auto"/>
              <w:right w:val="nil"/>
            </w:tcBorders>
            <w:shd w:val="clear" w:color="auto" w:fill="auto"/>
            <w:noWrap/>
            <w:vAlign w:val="bottom"/>
            <w:hideMark/>
          </w:tcPr>
          <w:p w14:paraId="48E10009" w14:textId="77777777" w:rsidR="00204BB5" w:rsidRPr="00204BB5" w:rsidRDefault="00204BB5" w:rsidP="00204BB5">
            <w:pPr>
              <w:spacing w:after="0" w:line="240" w:lineRule="auto"/>
              <w:rPr>
                <w:rFonts w:ascii="Calibri" w:eastAsia="Times New Roman" w:hAnsi="Calibri" w:cs="Calibri"/>
                <w:color w:val="000000"/>
                <w:lang w:val="en-GB" w:eastAsia="en-GB"/>
              </w:rPr>
            </w:pPr>
            <w:r w:rsidRPr="00204BB5">
              <w:rPr>
                <w:rFonts w:ascii="Calibri" w:eastAsia="Times New Roman" w:hAnsi="Calibri" w:cs="Calibri"/>
                <w:color w:val="000000"/>
                <w:lang w:val="en-GB" w:eastAsia="en-GB"/>
              </w:rPr>
              <w:t xml:space="preserve">High </w:t>
            </w:r>
          </w:p>
        </w:tc>
        <w:tc>
          <w:tcPr>
            <w:tcW w:w="1106" w:type="dxa"/>
            <w:gridSpan w:val="2"/>
            <w:tcBorders>
              <w:top w:val="nil"/>
              <w:left w:val="nil"/>
              <w:bottom w:val="single" w:sz="4" w:space="0" w:color="auto"/>
              <w:right w:val="nil"/>
            </w:tcBorders>
            <w:shd w:val="clear" w:color="auto" w:fill="auto"/>
            <w:noWrap/>
            <w:vAlign w:val="bottom"/>
          </w:tcPr>
          <w:p w14:paraId="7ACB2ACA" w14:textId="4C622E8D" w:rsidR="00204BB5" w:rsidRPr="00204BB5" w:rsidRDefault="00204BB5" w:rsidP="00204BB5">
            <w:pPr>
              <w:spacing w:after="0" w:line="240" w:lineRule="auto"/>
              <w:jc w:val="right"/>
              <w:rPr>
                <w:rFonts w:ascii="Calibri" w:eastAsia="Times New Roman" w:hAnsi="Calibri" w:cs="Calibri"/>
                <w:color w:val="000000"/>
                <w:lang w:val="en-GB" w:eastAsia="en-GB"/>
              </w:rPr>
            </w:pPr>
          </w:p>
        </w:tc>
        <w:tc>
          <w:tcPr>
            <w:tcW w:w="1543" w:type="dxa"/>
            <w:gridSpan w:val="2"/>
            <w:tcBorders>
              <w:top w:val="nil"/>
              <w:left w:val="nil"/>
              <w:bottom w:val="single" w:sz="4" w:space="0" w:color="auto"/>
              <w:right w:val="nil"/>
            </w:tcBorders>
            <w:shd w:val="clear" w:color="auto" w:fill="auto"/>
            <w:noWrap/>
            <w:vAlign w:val="bottom"/>
          </w:tcPr>
          <w:p w14:paraId="5F359033" w14:textId="064CD3B3" w:rsidR="00204BB5" w:rsidRPr="00204BB5" w:rsidRDefault="00204BB5" w:rsidP="00204BB5">
            <w:pPr>
              <w:spacing w:after="0" w:line="240" w:lineRule="auto"/>
              <w:jc w:val="right"/>
              <w:rPr>
                <w:rFonts w:ascii="Calibri" w:eastAsia="Times New Roman" w:hAnsi="Calibri" w:cs="Calibri"/>
                <w:color w:val="000000"/>
                <w:lang w:val="en-GB" w:eastAsia="en-GB"/>
              </w:rPr>
            </w:pPr>
          </w:p>
        </w:tc>
        <w:tc>
          <w:tcPr>
            <w:tcW w:w="1543" w:type="dxa"/>
            <w:gridSpan w:val="2"/>
            <w:tcBorders>
              <w:top w:val="nil"/>
              <w:left w:val="nil"/>
              <w:bottom w:val="single" w:sz="4" w:space="0" w:color="auto"/>
              <w:right w:val="nil"/>
            </w:tcBorders>
            <w:shd w:val="clear" w:color="auto" w:fill="auto"/>
            <w:noWrap/>
            <w:vAlign w:val="bottom"/>
          </w:tcPr>
          <w:p w14:paraId="24E9E872" w14:textId="68547A5B" w:rsidR="00204BB5" w:rsidRPr="00204BB5" w:rsidRDefault="002C3C05" w:rsidP="00204BB5">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0.82</w:t>
            </w:r>
          </w:p>
        </w:tc>
        <w:tc>
          <w:tcPr>
            <w:tcW w:w="1543" w:type="dxa"/>
            <w:gridSpan w:val="2"/>
            <w:tcBorders>
              <w:top w:val="nil"/>
              <w:left w:val="nil"/>
              <w:bottom w:val="single" w:sz="4" w:space="0" w:color="auto"/>
              <w:right w:val="nil"/>
            </w:tcBorders>
            <w:shd w:val="clear" w:color="auto" w:fill="auto"/>
            <w:noWrap/>
            <w:vAlign w:val="bottom"/>
          </w:tcPr>
          <w:p w14:paraId="3C8710D1" w14:textId="7A083212" w:rsidR="00204BB5" w:rsidRPr="00204BB5" w:rsidRDefault="002C3C05" w:rsidP="00204BB5">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0.82</w:t>
            </w:r>
          </w:p>
        </w:tc>
        <w:tc>
          <w:tcPr>
            <w:tcW w:w="1543" w:type="dxa"/>
            <w:gridSpan w:val="2"/>
            <w:tcBorders>
              <w:top w:val="nil"/>
              <w:left w:val="nil"/>
              <w:bottom w:val="single" w:sz="4" w:space="0" w:color="auto"/>
              <w:right w:val="single" w:sz="4" w:space="0" w:color="auto"/>
            </w:tcBorders>
            <w:shd w:val="clear" w:color="auto" w:fill="auto"/>
            <w:noWrap/>
            <w:vAlign w:val="bottom"/>
          </w:tcPr>
          <w:p w14:paraId="249CECA2" w14:textId="3B71C18D" w:rsidR="00204BB5" w:rsidRPr="00204BB5" w:rsidRDefault="002C3C05" w:rsidP="00204BB5">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0.82</w:t>
            </w:r>
          </w:p>
        </w:tc>
      </w:tr>
    </w:tbl>
    <w:p w14:paraId="2ED99EB4" w14:textId="77777777" w:rsidR="00C63B8B" w:rsidRPr="00580A53" w:rsidRDefault="00C63B8B" w:rsidP="00C63B8B">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orthern Ireland Longitudinal Study</w:t>
      </w:r>
    </w:p>
    <w:p w14:paraId="2A2BDBD4" w14:textId="6C9F4914" w:rsidR="002C3C05" w:rsidRDefault="002C3C05" w:rsidP="0037557C">
      <w:pPr>
        <w:pStyle w:val="Heading4"/>
      </w:pPr>
      <w:r>
        <w:t xml:space="preserve">Table 3 </w:t>
      </w:r>
      <w:r w:rsidRPr="00E413AC">
        <w:t xml:space="preserve">– </w:t>
      </w:r>
      <w:r>
        <w:t>Parity progression ratios, transition from second to third birth, by educational attainment and country</w:t>
      </w:r>
    </w:p>
    <w:tbl>
      <w:tblPr>
        <w:tblW w:w="9216" w:type="dxa"/>
        <w:tblLook w:val="04A0" w:firstRow="1" w:lastRow="0" w:firstColumn="1" w:lastColumn="0" w:noHBand="0" w:noVBand="1"/>
      </w:tblPr>
      <w:tblGrid>
        <w:gridCol w:w="1535"/>
        <w:gridCol w:w="445"/>
        <w:gridCol w:w="1092"/>
        <w:gridCol w:w="1536"/>
        <w:gridCol w:w="1536"/>
        <w:gridCol w:w="1536"/>
        <w:gridCol w:w="1536"/>
      </w:tblGrid>
      <w:tr w:rsidR="002C3C05" w:rsidRPr="002C3C05" w14:paraId="3E992AB5" w14:textId="77777777" w:rsidTr="002C3C05">
        <w:trPr>
          <w:trHeight w:val="290"/>
        </w:trPr>
        <w:tc>
          <w:tcPr>
            <w:tcW w:w="1980" w:type="dxa"/>
            <w:gridSpan w:val="2"/>
            <w:tcBorders>
              <w:top w:val="single" w:sz="4" w:space="0" w:color="auto"/>
              <w:left w:val="single" w:sz="4" w:space="0" w:color="auto"/>
              <w:bottom w:val="nil"/>
              <w:right w:val="nil"/>
            </w:tcBorders>
            <w:shd w:val="clear" w:color="auto" w:fill="auto"/>
            <w:noWrap/>
            <w:vAlign w:val="bottom"/>
            <w:hideMark/>
          </w:tcPr>
          <w:p w14:paraId="18A8EE2C" w14:textId="7D112160" w:rsidR="002C3C05" w:rsidRPr="002C3C05" w:rsidRDefault="002C3C05" w:rsidP="002C3C05">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England &amp; Wales</w:t>
            </w:r>
            <w:r w:rsidRPr="002C3C05">
              <w:rPr>
                <w:rFonts w:ascii="Calibri" w:eastAsia="Times New Roman" w:hAnsi="Calibri" w:cs="Calibri"/>
                <w:color w:val="000000"/>
                <w:lang w:val="en-GB" w:eastAsia="en-GB"/>
              </w:rPr>
              <w:t> </w:t>
            </w:r>
          </w:p>
        </w:tc>
        <w:tc>
          <w:tcPr>
            <w:tcW w:w="1092" w:type="dxa"/>
            <w:tcBorders>
              <w:top w:val="single" w:sz="4" w:space="0" w:color="auto"/>
              <w:left w:val="nil"/>
              <w:bottom w:val="nil"/>
              <w:right w:val="nil"/>
            </w:tcBorders>
            <w:shd w:val="clear" w:color="auto" w:fill="auto"/>
            <w:noWrap/>
            <w:vAlign w:val="bottom"/>
            <w:hideMark/>
          </w:tcPr>
          <w:p w14:paraId="23C5CA87"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 xml:space="preserve">1956-59 </w:t>
            </w:r>
          </w:p>
        </w:tc>
        <w:tc>
          <w:tcPr>
            <w:tcW w:w="1536" w:type="dxa"/>
            <w:tcBorders>
              <w:top w:val="single" w:sz="4" w:space="0" w:color="auto"/>
              <w:left w:val="nil"/>
              <w:bottom w:val="nil"/>
              <w:right w:val="nil"/>
            </w:tcBorders>
            <w:shd w:val="clear" w:color="auto" w:fill="auto"/>
            <w:noWrap/>
            <w:vAlign w:val="bottom"/>
            <w:hideMark/>
          </w:tcPr>
          <w:p w14:paraId="75F76DE3"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1960-64</w:t>
            </w:r>
          </w:p>
        </w:tc>
        <w:tc>
          <w:tcPr>
            <w:tcW w:w="1536" w:type="dxa"/>
            <w:tcBorders>
              <w:top w:val="single" w:sz="4" w:space="0" w:color="auto"/>
              <w:left w:val="nil"/>
              <w:bottom w:val="nil"/>
              <w:right w:val="nil"/>
            </w:tcBorders>
            <w:shd w:val="clear" w:color="auto" w:fill="auto"/>
            <w:noWrap/>
            <w:vAlign w:val="bottom"/>
            <w:hideMark/>
          </w:tcPr>
          <w:p w14:paraId="303F9D4B"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1965-69</w:t>
            </w:r>
          </w:p>
        </w:tc>
        <w:tc>
          <w:tcPr>
            <w:tcW w:w="1536" w:type="dxa"/>
            <w:tcBorders>
              <w:top w:val="single" w:sz="4" w:space="0" w:color="auto"/>
              <w:left w:val="nil"/>
              <w:bottom w:val="nil"/>
              <w:right w:val="nil"/>
            </w:tcBorders>
            <w:shd w:val="clear" w:color="auto" w:fill="auto"/>
            <w:noWrap/>
            <w:vAlign w:val="bottom"/>
            <w:hideMark/>
          </w:tcPr>
          <w:p w14:paraId="13821B98"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1970-74</w:t>
            </w:r>
          </w:p>
        </w:tc>
        <w:tc>
          <w:tcPr>
            <w:tcW w:w="1536" w:type="dxa"/>
            <w:tcBorders>
              <w:top w:val="single" w:sz="4" w:space="0" w:color="auto"/>
              <w:left w:val="nil"/>
              <w:bottom w:val="nil"/>
              <w:right w:val="single" w:sz="4" w:space="0" w:color="auto"/>
            </w:tcBorders>
            <w:shd w:val="clear" w:color="auto" w:fill="auto"/>
            <w:noWrap/>
            <w:vAlign w:val="bottom"/>
            <w:hideMark/>
          </w:tcPr>
          <w:p w14:paraId="0169456D"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1975-78</w:t>
            </w:r>
          </w:p>
        </w:tc>
      </w:tr>
      <w:tr w:rsidR="002C3C05" w:rsidRPr="002C3C05" w14:paraId="1E53D9AD" w14:textId="77777777" w:rsidTr="002C3C05">
        <w:trPr>
          <w:trHeight w:val="290"/>
        </w:trPr>
        <w:tc>
          <w:tcPr>
            <w:tcW w:w="1980" w:type="dxa"/>
            <w:gridSpan w:val="2"/>
            <w:tcBorders>
              <w:top w:val="nil"/>
              <w:left w:val="single" w:sz="4" w:space="0" w:color="auto"/>
              <w:bottom w:val="nil"/>
              <w:right w:val="nil"/>
            </w:tcBorders>
            <w:shd w:val="clear" w:color="auto" w:fill="auto"/>
            <w:noWrap/>
            <w:vAlign w:val="bottom"/>
            <w:hideMark/>
          </w:tcPr>
          <w:p w14:paraId="15083FDE" w14:textId="77777777" w:rsidR="002C3C05" w:rsidRPr="002C3C05" w:rsidRDefault="002C3C05" w:rsidP="002C3C05">
            <w:pPr>
              <w:spacing w:after="0" w:line="240" w:lineRule="auto"/>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Low</w:t>
            </w:r>
          </w:p>
        </w:tc>
        <w:tc>
          <w:tcPr>
            <w:tcW w:w="1092" w:type="dxa"/>
            <w:tcBorders>
              <w:top w:val="nil"/>
              <w:left w:val="nil"/>
              <w:bottom w:val="nil"/>
              <w:right w:val="nil"/>
            </w:tcBorders>
            <w:shd w:val="clear" w:color="auto" w:fill="auto"/>
            <w:noWrap/>
            <w:vAlign w:val="bottom"/>
            <w:hideMark/>
          </w:tcPr>
          <w:p w14:paraId="7886EBFB"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0.41</w:t>
            </w:r>
          </w:p>
        </w:tc>
        <w:tc>
          <w:tcPr>
            <w:tcW w:w="1536" w:type="dxa"/>
            <w:tcBorders>
              <w:top w:val="nil"/>
              <w:left w:val="nil"/>
              <w:bottom w:val="nil"/>
              <w:right w:val="nil"/>
            </w:tcBorders>
            <w:shd w:val="clear" w:color="auto" w:fill="auto"/>
            <w:noWrap/>
            <w:vAlign w:val="bottom"/>
            <w:hideMark/>
          </w:tcPr>
          <w:p w14:paraId="6B17EF32"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0.40</w:t>
            </w:r>
          </w:p>
        </w:tc>
        <w:tc>
          <w:tcPr>
            <w:tcW w:w="1536" w:type="dxa"/>
            <w:tcBorders>
              <w:top w:val="nil"/>
              <w:left w:val="nil"/>
              <w:bottom w:val="nil"/>
              <w:right w:val="nil"/>
            </w:tcBorders>
            <w:shd w:val="clear" w:color="auto" w:fill="auto"/>
            <w:noWrap/>
            <w:vAlign w:val="bottom"/>
            <w:hideMark/>
          </w:tcPr>
          <w:p w14:paraId="10404A7A"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0.39</w:t>
            </w:r>
          </w:p>
        </w:tc>
        <w:tc>
          <w:tcPr>
            <w:tcW w:w="1536" w:type="dxa"/>
            <w:tcBorders>
              <w:top w:val="nil"/>
              <w:left w:val="nil"/>
              <w:bottom w:val="nil"/>
              <w:right w:val="nil"/>
            </w:tcBorders>
            <w:shd w:val="clear" w:color="auto" w:fill="auto"/>
            <w:noWrap/>
            <w:vAlign w:val="bottom"/>
            <w:hideMark/>
          </w:tcPr>
          <w:p w14:paraId="0D75E0CC"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0.41</w:t>
            </w:r>
          </w:p>
        </w:tc>
        <w:tc>
          <w:tcPr>
            <w:tcW w:w="1536" w:type="dxa"/>
            <w:tcBorders>
              <w:top w:val="nil"/>
              <w:left w:val="nil"/>
              <w:bottom w:val="nil"/>
              <w:right w:val="single" w:sz="4" w:space="0" w:color="auto"/>
            </w:tcBorders>
            <w:shd w:val="clear" w:color="auto" w:fill="auto"/>
            <w:noWrap/>
            <w:vAlign w:val="bottom"/>
            <w:hideMark/>
          </w:tcPr>
          <w:p w14:paraId="7E3DA79B"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0.47</w:t>
            </w:r>
          </w:p>
        </w:tc>
      </w:tr>
      <w:tr w:rsidR="002C3C05" w:rsidRPr="002C3C05" w14:paraId="1E8D7475" w14:textId="77777777" w:rsidTr="002C3C05">
        <w:trPr>
          <w:trHeight w:val="290"/>
        </w:trPr>
        <w:tc>
          <w:tcPr>
            <w:tcW w:w="1980" w:type="dxa"/>
            <w:gridSpan w:val="2"/>
            <w:tcBorders>
              <w:top w:val="nil"/>
              <w:left w:val="single" w:sz="4" w:space="0" w:color="auto"/>
              <w:bottom w:val="nil"/>
              <w:right w:val="nil"/>
            </w:tcBorders>
            <w:shd w:val="clear" w:color="auto" w:fill="auto"/>
            <w:noWrap/>
            <w:vAlign w:val="bottom"/>
            <w:hideMark/>
          </w:tcPr>
          <w:p w14:paraId="11D278C6" w14:textId="77777777" w:rsidR="002C3C05" w:rsidRPr="002C3C05" w:rsidRDefault="002C3C05" w:rsidP="002C3C05">
            <w:pPr>
              <w:spacing w:after="0" w:line="240" w:lineRule="auto"/>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Medium</w:t>
            </w:r>
          </w:p>
        </w:tc>
        <w:tc>
          <w:tcPr>
            <w:tcW w:w="1092" w:type="dxa"/>
            <w:tcBorders>
              <w:top w:val="nil"/>
              <w:left w:val="nil"/>
              <w:bottom w:val="nil"/>
              <w:right w:val="nil"/>
            </w:tcBorders>
            <w:shd w:val="clear" w:color="auto" w:fill="auto"/>
            <w:noWrap/>
            <w:vAlign w:val="bottom"/>
            <w:hideMark/>
          </w:tcPr>
          <w:p w14:paraId="526FFCE0"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0.37</w:t>
            </w:r>
          </w:p>
        </w:tc>
        <w:tc>
          <w:tcPr>
            <w:tcW w:w="1536" w:type="dxa"/>
            <w:tcBorders>
              <w:top w:val="nil"/>
              <w:left w:val="nil"/>
              <w:bottom w:val="nil"/>
              <w:right w:val="nil"/>
            </w:tcBorders>
            <w:shd w:val="clear" w:color="auto" w:fill="auto"/>
            <w:noWrap/>
            <w:vAlign w:val="bottom"/>
            <w:hideMark/>
          </w:tcPr>
          <w:p w14:paraId="2D44F904"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0.34</w:t>
            </w:r>
          </w:p>
        </w:tc>
        <w:tc>
          <w:tcPr>
            <w:tcW w:w="1536" w:type="dxa"/>
            <w:tcBorders>
              <w:top w:val="nil"/>
              <w:left w:val="nil"/>
              <w:bottom w:val="nil"/>
              <w:right w:val="nil"/>
            </w:tcBorders>
            <w:shd w:val="clear" w:color="auto" w:fill="auto"/>
            <w:noWrap/>
            <w:vAlign w:val="bottom"/>
            <w:hideMark/>
          </w:tcPr>
          <w:p w14:paraId="4A11C78C"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0.35</w:t>
            </w:r>
          </w:p>
        </w:tc>
        <w:tc>
          <w:tcPr>
            <w:tcW w:w="1536" w:type="dxa"/>
            <w:tcBorders>
              <w:top w:val="nil"/>
              <w:left w:val="nil"/>
              <w:bottom w:val="nil"/>
              <w:right w:val="nil"/>
            </w:tcBorders>
            <w:shd w:val="clear" w:color="auto" w:fill="auto"/>
            <w:noWrap/>
            <w:vAlign w:val="bottom"/>
            <w:hideMark/>
          </w:tcPr>
          <w:p w14:paraId="27212F6F"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0.35</w:t>
            </w:r>
          </w:p>
        </w:tc>
        <w:tc>
          <w:tcPr>
            <w:tcW w:w="1536" w:type="dxa"/>
            <w:tcBorders>
              <w:top w:val="nil"/>
              <w:left w:val="nil"/>
              <w:bottom w:val="nil"/>
              <w:right w:val="single" w:sz="4" w:space="0" w:color="auto"/>
            </w:tcBorders>
            <w:shd w:val="clear" w:color="auto" w:fill="auto"/>
            <w:noWrap/>
            <w:vAlign w:val="bottom"/>
            <w:hideMark/>
          </w:tcPr>
          <w:p w14:paraId="3F258C8B"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0.33</w:t>
            </w:r>
          </w:p>
        </w:tc>
      </w:tr>
      <w:tr w:rsidR="002C3C05" w:rsidRPr="002C3C05" w14:paraId="5C6192A7" w14:textId="77777777" w:rsidTr="002C3C05">
        <w:trPr>
          <w:trHeight w:val="290"/>
        </w:trPr>
        <w:tc>
          <w:tcPr>
            <w:tcW w:w="1980" w:type="dxa"/>
            <w:gridSpan w:val="2"/>
            <w:tcBorders>
              <w:top w:val="nil"/>
              <w:left w:val="single" w:sz="4" w:space="0" w:color="auto"/>
              <w:bottom w:val="single" w:sz="4" w:space="0" w:color="auto"/>
              <w:right w:val="nil"/>
            </w:tcBorders>
            <w:shd w:val="clear" w:color="auto" w:fill="auto"/>
            <w:noWrap/>
            <w:vAlign w:val="bottom"/>
            <w:hideMark/>
          </w:tcPr>
          <w:p w14:paraId="33B97CAE" w14:textId="77777777" w:rsidR="002C3C05" w:rsidRPr="002C3C05" w:rsidRDefault="002C3C05" w:rsidP="002C3C05">
            <w:pPr>
              <w:spacing w:after="0" w:line="240" w:lineRule="auto"/>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 xml:space="preserve">High </w:t>
            </w:r>
          </w:p>
        </w:tc>
        <w:tc>
          <w:tcPr>
            <w:tcW w:w="1092" w:type="dxa"/>
            <w:tcBorders>
              <w:top w:val="nil"/>
              <w:left w:val="nil"/>
              <w:bottom w:val="single" w:sz="4" w:space="0" w:color="auto"/>
              <w:right w:val="nil"/>
            </w:tcBorders>
            <w:shd w:val="clear" w:color="auto" w:fill="auto"/>
            <w:noWrap/>
            <w:vAlign w:val="bottom"/>
            <w:hideMark/>
          </w:tcPr>
          <w:p w14:paraId="6DF0E052"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0.36</w:t>
            </w:r>
          </w:p>
        </w:tc>
        <w:tc>
          <w:tcPr>
            <w:tcW w:w="1536" w:type="dxa"/>
            <w:tcBorders>
              <w:top w:val="nil"/>
              <w:left w:val="nil"/>
              <w:bottom w:val="single" w:sz="4" w:space="0" w:color="auto"/>
              <w:right w:val="nil"/>
            </w:tcBorders>
            <w:shd w:val="clear" w:color="auto" w:fill="auto"/>
            <w:noWrap/>
            <w:vAlign w:val="bottom"/>
            <w:hideMark/>
          </w:tcPr>
          <w:p w14:paraId="4CDAA412"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0.32</w:t>
            </w:r>
          </w:p>
        </w:tc>
        <w:tc>
          <w:tcPr>
            <w:tcW w:w="1536" w:type="dxa"/>
            <w:tcBorders>
              <w:top w:val="nil"/>
              <w:left w:val="nil"/>
              <w:bottom w:val="single" w:sz="4" w:space="0" w:color="auto"/>
              <w:right w:val="nil"/>
            </w:tcBorders>
            <w:shd w:val="clear" w:color="auto" w:fill="auto"/>
            <w:noWrap/>
            <w:vAlign w:val="bottom"/>
            <w:hideMark/>
          </w:tcPr>
          <w:p w14:paraId="7AD53129"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0.27</w:t>
            </w:r>
          </w:p>
        </w:tc>
        <w:tc>
          <w:tcPr>
            <w:tcW w:w="1536" w:type="dxa"/>
            <w:tcBorders>
              <w:top w:val="nil"/>
              <w:left w:val="nil"/>
              <w:bottom w:val="single" w:sz="4" w:space="0" w:color="auto"/>
              <w:right w:val="nil"/>
            </w:tcBorders>
            <w:shd w:val="clear" w:color="auto" w:fill="auto"/>
            <w:noWrap/>
            <w:vAlign w:val="bottom"/>
            <w:hideMark/>
          </w:tcPr>
          <w:p w14:paraId="5FCBDDF1"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0.27</w:t>
            </w:r>
          </w:p>
        </w:tc>
        <w:tc>
          <w:tcPr>
            <w:tcW w:w="1536" w:type="dxa"/>
            <w:tcBorders>
              <w:top w:val="nil"/>
              <w:left w:val="nil"/>
              <w:bottom w:val="single" w:sz="4" w:space="0" w:color="auto"/>
              <w:right w:val="single" w:sz="4" w:space="0" w:color="auto"/>
            </w:tcBorders>
            <w:shd w:val="clear" w:color="auto" w:fill="auto"/>
            <w:noWrap/>
            <w:vAlign w:val="bottom"/>
            <w:hideMark/>
          </w:tcPr>
          <w:p w14:paraId="2B0E3DB2"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0.25</w:t>
            </w:r>
          </w:p>
        </w:tc>
      </w:tr>
      <w:tr w:rsidR="002C3C05" w:rsidRPr="002C3C05" w14:paraId="3BD0671E" w14:textId="77777777" w:rsidTr="005932B6">
        <w:trPr>
          <w:trHeight w:val="292"/>
        </w:trPr>
        <w:tc>
          <w:tcPr>
            <w:tcW w:w="1535" w:type="dxa"/>
            <w:tcBorders>
              <w:top w:val="single" w:sz="4" w:space="0" w:color="auto"/>
              <w:left w:val="single" w:sz="4" w:space="0" w:color="auto"/>
              <w:bottom w:val="nil"/>
              <w:right w:val="nil"/>
            </w:tcBorders>
            <w:shd w:val="clear" w:color="auto" w:fill="auto"/>
            <w:noWrap/>
            <w:vAlign w:val="bottom"/>
            <w:hideMark/>
          </w:tcPr>
          <w:p w14:paraId="4ACD05D0" w14:textId="68867C60" w:rsidR="002C3C05" w:rsidRPr="002C3C05" w:rsidRDefault="002C3C05" w:rsidP="002C3C05">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Scotland</w:t>
            </w:r>
            <w:r w:rsidRPr="002C3C05">
              <w:rPr>
                <w:rFonts w:ascii="Calibri" w:eastAsia="Times New Roman" w:hAnsi="Calibri" w:cs="Calibri"/>
                <w:color w:val="000000"/>
                <w:lang w:val="en-GB" w:eastAsia="en-GB"/>
              </w:rPr>
              <w:t> </w:t>
            </w:r>
          </w:p>
        </w:tc>
        <w:tc>
          <w:tcPr>
            <w:tcW w:w="1537" w:type="dxa"/>
            <w:gridSpan w:val="2"/>
            <w:tcBorders>
              <w:top w:val="single" w:sz="4" w:space="0" w:color="auto"/>
              <w:left w:val="nil"/>
              <w:bottom w:val="nil"/>
              <w:right w:val="nil"/>
            </w:tcBorders>
            <w:shd w:val="clear" w:color="auto" w:fill="auto"/>
            <w:noWrap/>
            <w:vAlign w:val="bottom"/>
            <w:hideMark/>
          </w:tcPr>
          <w:p w14:paraId="3664EC48"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 xml:space="preserve">1956-59 </w:t>
            </w:r>
          </w:p>
        </w:tc>
        <w:tc>
          <w:tcPr>
            <w:tcW w:w="1536" w:type="dxa"/>
            <w:tcBorders>
              <w:top w:val="single" w:sz="4" w:space="0" w:color="auto"/>
              <w:left w:val="nil"/>
              <w:bottom w:val="nil"/>
              <w:right w:val="nil"/>
            </w:tcBorders>
            <w:shd w:val="clear" w:color="auto" w:fill="auto"/>
            <w:noWrap/>
            <w:vAlign w:val="bottom"/>
            <w:hideMark/>
          </w:tcPr>
          <w:p w14:paraId="58C95953"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1960-64</w:t>
            </w:r>
          </w:p>
        </w:tc>
        <w:tc>
          <w:tcPr>
            <w:tcW w:w="1536" w:type="dxa"/>
            <w:tcBorders>
              <w:top w:val="single" w:sz="4" w:space="0" w:color="auto"/>
              <w:left w:val="nil"/>
              <w:bottom w:val="nil"/>
              <w:right w:val="nil"/>
            </w:tcBorders>
            <w:shd w:val="clear" w:color="auto" w:fill="auto"/>
            <w:noWrap/>
            <w:vAlign w:val="bottom"/>
            <w:hideMark/>
          </w:tcPr>
          <w:p w14:paraId="3F74B6D2"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1965-69</w:t>
            </w:r>
          </w:p>
        </w:tc>
        <w:tc>
          <w:tcPr>
            <w:tcW w:w="1536" w:type="dxa"/>
            <w:tcBorders>
              <w:top w:val="single" w:sz="4" w:space="0" w:color="auto"/>
              <w:left w:val="nil"/>
              <w:bottom w:val="nil"/>
              <w:right w:val="nil"/>
            </w:tcBorders>
            <w:shd w:val="clear" w:color="auto" w:fill="auto"/>
            <w:noWrap/>
            <w:vAlign w:val="bottom"/>
            <w:hideMark/>
          </w:tcPr>
          <w:p w14:paraId="7B965ED1"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1970-74</w:t>
            </w:r>
          </w:p>
        </w:tc>
        <w:tc>
          <w:tcPr>
            <w:tcW w:w="1536" w:type="dxa"/>
            <w:tcBorders>
              <w:top w:val="single" w:sz="4" w:space="0" w:color="auto"/>
              <w:left w:val="nil"/>
              <w:bottom w:val="nil"/>
              <w:right w:val="single" w:sz="4" w:space="0" w:color="auto"/>
            </w:tcBorders>
            <w:shd w:val="clear" w:color="auto" w:fill="auto"/>
            <w:noWrap/>
            <w:vAlign w:val="bottom"/>
            <w:hideMark/>
          </w:tcPr>
          <w:p w14:paraId="52C07189"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1975-78</w:t>
            </w:r>
          </w:p>
        </w:tc>
      </w:tr>
      <w:tr w:rsidR="002C3C05" w:rsidRPr="002C3C05" w14:paraId="0C1197A3" w14:textId="77777777" w:rsidTr="005932B6">
        <w:trPr>
          <w:trHeight w:val="292"/>
        </w:trPr>
        <w:tc>
          <w:tcPr>
            <w:tcW w:w="1535" w:type="dxa"/>
            <w:tcBorders>
              <w:top w:val="nil"/>
              <w:left w:val="single" w:sz="4" w:space="0" w:color="auto"/>
              <w:bottom w:val="nil"/>
              <w:right w:val="nil"/>
            </w:tcBorders>
            <w:shd w:val="clear" w:color="auto" w:fill="auto"/>
            <w:noWrap/>
            <w:vAlign w:val="bottom"/>
            <w:hideMark/>
          </w:tcPr>
          <w:p w14:paraId="4510B547" w14:textId="77777777" w:rsidR="002C3C05" w:rsidRPr="002C3C05" w:rsidRDefault="002C3C05" w:rsidP="002C3C05">
            <w:pPr>
              <w:spacing w:after="0" w:line="240" w:lineRule="auto"/>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Low</w:t>
            </w:r>
          </w:p>
        </w:tc>
        <w:tc>
          <w:tcPr>
            <w:tcW w:w="1537" w:type="dxa"/>
            <w:gridSpan w:val="2"/>
            <w:tcBorders>
              <w:top w:val="nil"/>
              <w:left w:val="nil"/>
              <w:bottom w:val="nil"/>
              <w:right w:val="nil"/>
            </w:tcBorders>
            <w:shd w:val="clear" w:color="auto" w:fill="auto"/>
            <w:noWrap/>
            <w:vAlign w:val="bottom"/>
            <w:hideMark/>
          </w:tcPr>
          <w:p w14:paraId="2D07344B"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0.39</w:t>
            </w:r>
          </w:p>
        </w:tc>
        <w:tc>
          <w:tcPr>
            <w:tcW w:w="1536" w:type="dxa"/>
            <w:tcBorders>
              <w:top w:val="nil"/>
              <w:left w:val="nil"/>
              <w:bottom w:val="nil"/>
              <w:right w:val="nil"/>
            </w:tcBorders>
            <w:shd w:val="clear" w:color="auto" w:fill="auto"/>
            <w:noWrap/>
            <w:vAlign w:val="bottom"/>
            <w:hideMark/>
          </w:tcPr>
          <w:p w14:paraId="086DF060"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0.37</w:t>
            </w:r>
          </w:p>
        </w:tc>
        <w:tc>
          <w:tcPr>
            <w:tcW w:w="1536" w:type="dxa"/>
            <w:tcBorders>
              <w:top w:val="nil"/>
              <w:left w:val="nil"/>
              <w:bottom w:val="nil"/>
              <w:right w:val="nil"/>
            </w:tcBorders>
            <w:shd w:val="clear" w:color="auto" w:fill="auto"/>
            <w:noWrap/>
            <w:vAlign w:val="bottom"/>
            <w:hideMark/>
          </w:tcPr>
          <w:p w14:paraId="7CAB3F27"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0.38</w:t>
            </w:r>
          </w:p>
        </w:tc>
        <w:tc>
          <w:tcPr>
            <w:tcW w:w="1536" w:type="dxa"/>
            <w:tcBorders>
              <w:top w:val="nil"/>
              <w:left w:val="nil"/>
              <w:bottom w:val="nil"/>
              <w:right w:val="nil"/>
            </w:tcBorders>
            <w:shd w:val="clear" w:color="auto" w:fill="auto"/>
            <w:noWrap/>
            <w:vAlign w:val="bottom"/>
            <w:hideMark/>
          </w:tcPr>
          <w:p w14:paraId="50A2C8C8"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0.40</w:t>
            </w:r>
          </w:p>
        </w:tc>
        <w:tc>
          <w:tcPr>
            <w:tcW w:w="1536" w:type="dxa"/>
            <w:tcBorders>
              <w:top w:val="nil"/>
              <w:left w:val="nil"/>
              <w:bottom w:val="nil"/>
              <w:right w:val="single" w:sz="4" w:space="0" w:color="auto"/>
            </w:tcBorders>
            <w:shd w:val="clear" w:color="auto" w:fill="auto"/>
            <w:noWrap/>
            <w:vAlign w:val="bottom"/>
            <w:hideMark/>
          </w:tcPr>
          <w:p w14:paraId="0FFD8630"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0.42</w:t>
            </w:r>
          </w:p>
        </w:tc>
      </w:tr>
      <w:tr w:rsidR="002C3C05" w:rsidRPr="002C3C05" w14:paraId="2B95DEA1" w14:textId="77777777" w:rsidTr="005932B6">
        <w:trPr>
          <w:trHeight w:val="292"/>
        </w:trPr>
        <w:tc>
          <w:tcPr>
            <w:tcW w:w="1535" w:type="dxa"/>
            <w:tcBorders>
              <w:top w:val="nil"/>
              <w:left w:val="single" w:sz="4" w:space="0" w:color="auto"/>
              <w:bottom w:val="nil"/>
              <w:right w:val="nil"/>
            </w:tcBorders>
            <w:shd w:val="clear" w:color="auto" w:fill="auto"/>
            <w:noWrap/>
            <w:vAlign w:val="bottom"/>
            <w:hideMark/>
          </w:tcPr>
          <w:p w14:paraId="19F30489" w14:textId="77777777" w:rsidR="002C3C05" w:rsidRPr="002C3C05" w:rsidRDefault="002C3C05" w:rsidP="002C3C05">
            <w:pPr>
              <w:spacing w:after="0" w:line="240" w:lineRule="auto"/>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Medium</w:t>
            </w:r>
          </w:p>
        </w:tc>
        <w:tc>
          <w:tcPr>
            <w:tcW w:w="1537" w:type="dxa"/>
            <w:gridSpan w:val="2"/>
            <w:tcBorders>
              <w:top w:val="nil"/>
              <w:left w:val="nil"/>
              <w:bottom w:val="nil"/>
              <w:right w:val="nil"/>
            </w:tcBorders>
            <w:shd w:val="clear" w:color="auto" w:fill="auto"/>
            <w:noWrap/>
            <w:vAlign w:val="bottom"/>
            <w:hideMark/>
          </w:tcPr>
          <w:p w14:paraId="1B01B7B7"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0.31</w:t>
            </w:r>
          </w:p>
        </w:tc>
        <w:tc>
          <w:tcPr>
            <w:tcW w:w="1536" w:type="dxa"/>
            <w:tcBorders>
              <w:top w:val="nil"/>
              <w:left w:val="nil"/>
              <w:bottom w:val="nil"/>
              <w:right w:val="nil"/>
            </w:tcBorders>
            <w:shd w:val="clear" w:color="auto" w:fill="auto"/>
            <w:noWrap/>
            <w:vAlign w:val="bottom"/>
            <w:hideMark/>
          </w:tcPr>
          <w:p w14:paraId="2BF1A6F2"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0.30</w:t>
            </w:r>
          </w:p>
        </w:tc>
        <w:tc>
          <w:tcPr>
            <w:tcW w:w="1536" w:type="dxa"/>
            <w:tcBorders>
              <w:top w:val="nil"/>
              <w:left w:val="nil"/>
              <w:bottom w:val="nil"/>
              <w:right w:val="nil"/>
            </w:tcBorders>
            <w:shd w:val="clear" w:color="auto" w:fill="auto"/>
            <w:noWrap/>
            <w:vAlign w:val="bottom"/>
            <w:hideMark/>
          </w:tcPr>
          <w:p w14:paraId="709E65FB"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0.29</w:t>
            </w:r>
          </w:p>
        </w:tc>
        <w:tc>
          <w:tcPr>
            <w:tcW w:w="1536" w:type="dxa"/>
            <w:tcBorders>
              <w:top w:val="nil"/>
              <w:left w:val="nil"/>
              <w:bottom w:val="nil"/>
              <w:right w:val="nil"/>
            </w:tcBorders>
            <w:shd w:val="clear" w:color="auto" w:fill="auto"/>
            <w:noWrap/>
            <w:vAlign w:val="bottom"/>
            <w:hideMark/>
          </w:tcPr>
          <w:p w14:paraId="07BB46BF"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0.28</w:t>
            </w:r>
          </w:p>
        </w:tc>
        <w:tc>
          <w:tcPr>
            <w:tcW w:w="1536" w:type="dxa"/>
            <w:tcBorders>
              <w:top w:val="nil"/>
              <w:left w:val="nil"/>
              <w:bottom w:val="nil"/>
              <w:right w:val="single" w:sz="4" w:space="0" w:color="auto"/>
            </w:tcBorders>
            <w:shd w:val="clear" w:color="auto" w:fill="auto"/>
            <w:noWrap/>
            <w:vAlign w:val="bottom"/>
            <w:hideMark/>
          </w:tcPr>
          <w:p w14:paraId="3695CAE7"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0.33</w:t>
            </w:r>
          </w:p>
        </w:tc>
      </w:tr>
      <w:tr w:rsidR="002C3C05" w:rsidRPr="002C3C05" w14:paraId="30B52087" w14:textId="77777777" w:rsidTr="005932B6">
        <w:trPr>
          <w:trHeight w:val="292"/>
        </w:trPr>
        <w:tc>
          <w:tcPr>
            <w:tcW w:w="1535" w:type="dxa"/>
            <w:tcBorders>
              <w:top w:val="nil"/>
              <w:left w:val="single" w:sz="4" w:space="0" w:color="auto"/>
              <w:bottom w:val="single" w:sz="4" w:space="0" w:color="auto"/>
              <w:right w:val="nil"/>
            </w:tcBorders>
            <w:shd w:val="clear" w:color="auto" w:fill="auto"/>
            <w:noWrap/>
            <w:vAlign w:val="bottom"/>
            <w:hideMark/>
          </w:tcPr>
          <w:p w14:paraId="2F8A90BE" w14:textId="77777777" w:rsidR="002C3C05" w:rsidRPr="002C3C05" w:rsidRDefault="002C3C05" w:rsidP="002C3C05">
            <w:pPr>
              <w:spacing w:after="0" w:line="240" w:lineRule="auto"/>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 xml:space="preserve">High </w:t>
            </w:r>
          </w:p>
        </w:tc>
        <w:tc>
          <w:tcPr>
            <w:tcW w:w="1537" w:type="dxa"/>
            <w:gridSpan w:val="2"/>
            <w:tcBorders>
              <w:top w:val="nil"/>
              <w:left w:val="nil"/>
              <w:bottom w:val="single" w:sz="4" w:space="0" w:color="auto"/>
              <w:right w:val="nil"/>
            </w:tcBorders>
            <w:shd w:val="clear" w:color="auto" w:fill="auto"/>
            <w:noWrap/>
            <w:vAlign w:val="bottom"/>
            <w:hideMark/>
          </w:tcPr>
          <w:p w14:paraId="71DFA316"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0.32</w:t>
            </w:r>
          </w:p>
        </w:tc>
        <w:tc>
          <w:tcPr>
            <w:tcW w:w="1536" w:type="dxa"/>
            <w:tcBorders>
              <w:top w:val="nil"/>
              <w:left w:val="nil"/>
              <w:bottom w:val="single" w:sz="4" w:space="0" w:color="auto"/>
              <w:right w:val="nil"/>
            </w:tcBorders>
            <w:shd w:val="clear" w:color="auto" w:fill="auto"/>
            <w:noWrap/>
            <w:vAlign w:val="bottom"/>
            <w:hideMark/>
          </w:tcPr>
          <w:p w14:paraId="2B806992"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0.34</w:t>
            </w:r>
          </w:p>
        </w:tc>
        <w:tc>
          <w:tcPr>
            <w:tcW w:w="1536" w:type="dxa"/>
            <w:tcBorders>
              <w:top w:val="nil"/>
              <w:left w:val="nil"/>
              <w:bottom w:val="single" w:sz="4" w:space="0" w:color="auto"/>
              <w:right w:val="nil"/>
            </w:tcBorders>
            <w:shd w:val="clear" w:color="auto" w:fill="auto"/>
            <w:noWrap/>
            <w:vAlign w:val="bottom"/>
            <w:hideMark/>
          </w:tcPr>
          <w:p w14:paraId="785ED323"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0.31</w:t>
            </w:r>
          </w:p>
        </w:tc>
        <w:tc>
          <w:tcPr>
            <w:tcW w:w="1536" w:type="dxa"/>
            <w:tcBorders>
              <w:top w:val="nil"/>
              <w:left w:val="nil"/>
              <w:bottom w:val="single" w:sz="4" w:space="0" w:color="auto"/>
              <w:right w:val="nil"/>
            </w:tcBorders>
            <w:shd w:val="clear" w:color="auto" w:fill="auto"/>
            <w:noWrap/>
            <w:vAlign w:val="bottom"/>
            <w:hideMark/>
          </w:tcPr>
          <w:p w14:paraId="68D6E265"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0.28</w:t>
            </w:r>
          </w:p>
        </w:tc>
        <w:tc>
          <w:tcPr>
            <w:tcW w:w="1536" w:type="dxa"/>
            <w:tcBorders>
              <w:top w:val="nil"/>
              <w:left w:val="nil"/>
              <w:bottom w:val="single" w:sz="4" w:space="0" w:color="auto"/>
              <w:right w:val="single" w:sz="4" w:space="0" w:color="auto"/>
            </w:tcBorders>
            <w:shd w:val="clear" w:color="auto" w:fill="auto"/>
            <w:noWrap/>
            <w:vAlign w:val="bottom"/>
            <w:hideMark/>
          </w:tcPr>
          <w:p w14:paraId="16B82020" w14:textId="77777777" w:rsidR="002C3C05" w:rsidRPr="002C3C05" w:rsidRDefault="002C3C05" w:rsidP="002C3C05">
            <w:pPr>
              <w:spacing w:after="0" w:line="240" w:lineRule="auto"/>
              <w:jc w:val="right"/>
              <w:rPr>
                <w:rFonts w:ascii="Calibri" w:eastAsia="Times New Roman" w:hAnsi="Calibri" w:cs="Calibri"/>
                <w:color w:val="000000"/>
                <w:lang w:val="en-GB" w:eastAsia="en-GB"/>
              </w:rPr>
            </w:pPr>
            <w:r w:rsidRPr="002C3C05">
              <w:rPr>
                <w:rFonts w:ascii="Calibri" w:eastAsia="Times New Roman" w:hAnsi="Calibri" w:cs="Calibri"/>
                <w:color w:val="000000"/>
                <w:lang w:val="en-GB" w:eastAsia="en-GB"/>
              </w:rPr>
              <w:t>0.26</w:t>
            </w:r>
          </w:p>
        </w:tc>
      </w:tr>
      <w:tr w:rsidR="00DA3E31" w:rsidRPr="00DA3E31" w14:paraId="51C8BB06" w14:textId="77777777" w:rsidTr="00DA3E31">
        <w:trPr>
          <w:trHeight w:val="281"/>
        </w:trPr>
        <w:tc>
          <w:tcPr>
            <w:tcW w:w="1980" w:type="dxa"/>
            <w:gridSpan w:val="2"/>
            <w:tcBorders>
              <w:top w:val="single" w:sz="4" w:space="0" w:color="auto"/>
              <w:left w:val="single" w:sz="4" w:space="0" w:color="auto"/>
              <w:bottom w:val="nil"/>
              <w:right w:val="nil"/>
            </w:tcBorders>
            <w:shd w:val="clear" w:color="auto" w:fill="auto"/>
            <w:noWrap/>
            <w:vAlign w:val="bottom"/>
            <w:hideMark/>
          </w:tcPr>
          <w:p w14:paraId="2EFD770E" w14:textId="18D44AE6" w:rsidR="00DA3E31" w:rsidRPr="00DA3E31" w:rsidRDefault="00DA3E31" w:rsidP="00DA3E31">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Northern Ireland</w:t>
            </w:r>
          </w:p>
        </w:tc>
        <w:tc>
          <w:tcPr>
            <w:tcW w:w="1092" w:type="dxa"/>
            <w:tcBorders>
              <w:top w:val="single" w:sz="4" w:space="0" w:color="auto"/>
              <w:left w:val="nil"/>
              <w:bottom w:val="nil"/>
              <w:right w:val="nil"/>
            </w:tcBorders>
            <w:shd w:val="clear" w:color="auto" w:fill="auto"/>
            <w:noWrap/>
            <w:vAlign w:val="bottom"/>
            <w:hideMark/>
          </w:tcPr>
          <w:p w14:paraId="4CCD2FDF" w14:textId="77777777" w:rsidR="00DA3E31" w:rsidRPr="00DA3E31" w:rsidRDefault="00DA3E31" w:rsidP="00DA3E31">
            <w:pPr>
              <w:spacing w:after="0" w:line="240" w:lineRule="auto"/>
              <w:jc w:val="right"/>
              <w:rPr>
                <w:rFonts w:ascii="Calibri" w:eastAsia="Times New Roman" w:hAnsi="Calibri" w:cs="Calibri"/>
                <w:color w:val="000000"/>
                <w:lang w:val="en-GB" w:eastAsia="en-GB"/>
              </w:rPr>
            </w:pPr>
            <w:r w:rsidRPr="00DA3E31">
              <w:rPr>
                <w:rFonts w:ascii="Calibri" w:eastAsia="Times New Roman" w:hAnsi="Calibri" w:cs="Calibri"/>
                <w:color w:val="000000"/>
                <w:lang w:val="en-GB" w:eastAsia="en-GB"/>
              </w:rPr>
              <w:t xml:space="preserve">1956-59 </w:t>
            </w:r>
          </w:p>
        </w:tc>
        <w:tc>
          <w:tcPr>
            <w:tcW w:w="1536" w:type="dxa"/>
            <w:tcBorders>
              <w:top w:val="single" w:sz="4" w:space="0" w:color="auto"/>
              <w:left w:val="nil"/>
              <w:bottom w:val="nil"/>
              <w:right w:val="nil"/>
            </w:tcBorders>
            <w:shd w:val="clear" w:color="auto" w:fill="auto"/>
            <w:noWrap/>
            <w:vAlign w:val="bottom"/>
            <w:hideMark/>
          </w:tcPr>
          <w:p w14:paraId="76B26B67" w14:textId="77777777" w:rsidR="00DA3E31" w:rsidRPr="00DA3E31" w:rsidRDefault="00DA3E31" w:rsidP="00DA3E31">
            <w:pPr>
              <w:spacing w:after="0" w:line="240" w:lineRule="auto"/>
              <w:jc w:val="right"/>
              <w:rPr>
                <w:rFonts w:ascii="Calibri" w:eastAsia="Times New Roman" w:hAnsi="Calibri" w:cs="Calibri"/>
                <w:color w:val="000000"/>
                <w:lang w:val="en-GB" w:eastAsia="en-GB"/>
              </w:rPr>
            </w:pPr>
            <w:r w:rsidRPr="00DA3E31">
              <w:rPr>
                <w:rFonts w:ascii="Calibri" w:eastAsia="Times New Roman" w:hAnsi="Calibri" w:cs="Calibri"/>
                <w:color w:val="000000"/>
                <w:lang w:val="en-GB" w:eastAsia="en-GB"/>
              </w:rPr>
              <w:t>1960-64</w:t>
            </w:r>
          </w:p>
        </w:tc>
        <w:tc>
          <w:tcPr>
            <w:tcW w:w="1536" w:type="dxa"/>
            <w:tcBorders>
              <w:top w:val="single" w:sz="4" w:space="0" w:color="auto"/>
              <w:left w:val="nil"/>
              <w:bottom w:val="nil"/>
              <w:right w:val="nil"/>
            </w:tcBorders>
            <w:shd w:val="clear" w:color="auto" w:fill="auto"/>
            <w:noWrap/>
            <w:vAlign w:val="bottom"/>
            <w:hideMark/>
          </w:tcPr>
          <w:p w14:paraId="35CF561D" w14:textId="469ABDEF" w:rsidR="00DA3E31" w:rsidRPr="00DA3E31" w:rsidRDefault="00DA3E31" w:rsidP="00DA3E31">
            <w:pPr>
              <w:spacing w:after="0" w:line="240" w:lineRule="auto"/>
              <w:jc w:val="right"/>
              <w:rPr>
                <w:rFonts w:ascii="Calibri" w:eastAsia="Times New Roman" w:hAnsi="Calibri" w:cs="Calibri"/>
                <w:color w:val="000000"/>
                <w:lang w:val="en-GB" w:eastAsia="en-GB"/>
              </w:rPr>
            </w:pPr>
            <w:r w:rsidRPr="00DA3E31">
              <w:rPr>
                <w:rFonts w:ascii="Calibri" w:eastAsia="Times New Roman" w:hAnsi="Calibri" w:cs="Calibri"/>
                <w:color w:val="000000"/>
                <w:lang w:val="en-GB" w:eastAsia="en-GB"/>
              </w:rPr>
              <w:t>196</w:t>
            </w:r>
            <w:r>
              <w:rPr>
                <w:rFonts w:ascii="Calibri" w:eastAsia="Times New Roman" w:hAnsi="Calibri" w:cs="Calibri"/>
                <w:color w:val="000000"/>
                <w:lang w:val="en-GB" w:eastAsia="en-GB"/>
              </w:rPr>
              <w:t>6</w:t>
            </w:r>
            <w:r w:rsidRPr="00DA3E31">
              <w:rPr>
                <w:rFonts w:ascii="Calibri" w:eastAsia="Times New Roman" w:hAnsi="Calibri" w:cs="Calibri"/>
                <w:color w:val="000000"/>
                <w:lang w:val="en-GB" w:eastAsia="en-GB"/>
              </w:rPr>
              <w:t>-69</w:t>
            </w:r>
          </w:p>
        </w:tc>
        <w:tc>
          <w:tcPr>
            <w:tcW w:w="1536" w:type="dxa"/>
            <w:tcBorders>
              <w:top w:val="single" w:sz="4" w:space="0" w:color="auto"/>
              <w:left w:val="nil"/>
              <w:bottom w:val="nil"/>
              <w:right w:val="nil"/>
            </w:tcBorders>
            <w:shd w:val="clear" w:color="auto" w:fill="auto"/>
            <w:noWrap/>
            <w:vAlign w:val="bottom"/>
            <w:hideMark/>
          </w:tcPr>
          <w:p w14:paraId="6E276E93" w14:textId="77777777" w:rsidR="00DA3E31" w:rsidRPr="00DA3E31" w:rsidRDefault="00DA3E31" w:rsidP="00DA3E31">
            <w:pPr>
              <w:spacing w:after="0" w:line="240" w:lineRule="auto"/>
              <w:jc w:val="right"/>
              <w:rPr>
                <w:rFonts w:ascii="Calibri" w:eastAsia="Times New Roman" w:hAnsi="Calibri" w:cs="Calibri"/>
                <w:color w:val="000000"/>
                <w:lang w:val="en-GB" w:eastAsia="en-GB"/>
              </w:rPr>
            </w:pPr>
            <w:r w:rsidRPr="00DA3E31">
              <w:rPr>
                <w:rFonts w:ascii="Calibri" w:eastAsia="Times New Roman" w:hAnsi="Calibri" w:cs="Calibri"/>
                <w:color w:val="000000"/>
                <w:lang w:val="en-GB" w:eastAsia="en-GB"/>
              </w:rPr>
              <w:t>1970-74</w:t>
            </w:r>
          </w:p>
        </w:tc>
        <w:tc>
          <w:tcPr>
            <w:tcW w:w="1536" w:type="dxa"/>
            <w:tcBorders>
              <w:top w:val="single" w:sz="4" w:space="0" w:color="auto"/>
              <w:left w:val="nil"/>
              <w:bottom w:val="nil"/>
              <w:right w:val="single" w:sz="4" w:space="0" w:color="auto"/>
            </w:tcBorders>
            <w:shd w:val="clear" w:color="auto" w:fill="auto"/>
            <w:noWrap/>
            <w:vAlign w:val="bottom"/>
            <w:hideMark/>
          </w:tcPr>
          <w:p w14:paraId="79C9E7A6" w14:textId="77777777" w:rsidR="00DA3E31" w:rsidRPr="00DA3E31" w:rsidRDefault="00DA3E31" w:rsidP="00DA3E31">
            <w:pPr>
              <w:spacing w:after="0" w:line="240" w:lineRule="auto"/>
              <w:jc w:val="right"/>
              <w:rPr>
                <w:rFonts w:ascii="Calibri" w:eastAsia="Times New Roman" w:hAnsi="Calibri" w:cs="Calibri"/>
                <w:color w:val="000000"/>
                <w:lang w:val="en-GB" w:eastAsia="en-GB"/>
              </w:rPr>
            </w:pPr>
            <w:r w:rsidRPr="00DA3E31">
              <w:rPr>
                <w:rFonts w:ascii="Calibri" w:eastAsia="Times New Roman" w:hAnsi="Calibri" w:cs="Calibri"/>
                <w:color w:val="000000"/>
                <w:lang w:val="en-GB" w:eastAsia="en-GB"/>
              </w:rPr>
              <w:t>1975-78</w:t>
            </w:r>
          </w:p>
        </w:tc>
      </w:tr>
      <w:tr w:rsidR="00DA3E31" w:rsidRPr="00DA3E31" w14:paraId="12D22225" w14:textId="77777777" w:rsidTr="00DA3E31">
        <w:trPr>
          <w:trHeight w:val="281"/>
        </w:trPr>
        <w:tc>
          <w:tcPr>
            <w:tcW w:w="1980" w:type="dxa"/>
            <w:gridSpan w:val="2"/>
            <w:tcBorders>
              <w:top w:val="nil"/>
              <w:left w:val="single" w:sz="4" w:space="0" w:color="auto"/>
              <w:bottom w:val="nil"/>
              <w:right w:val="nil"/>
            </w:tcBorders>
            <w:shd w:val="clear" w:color="auto" w:fill="auto"/>
            <w:noWrap/>
            <w:vAlign w:val="bottom"/>
            <w:hideMark/>
          </w:tcPr>
          <w:p w14:paraId="1CBBA86D" w14:textId="77777777" w:rsidR="00DA3E31" w:rsidRPr="00DA3E31" w:rsidRDefault="00DA3E31" w:rsidP="00DA3E31">
            <w:pPr>
              <w:spacing w:after="0" w:line="240" w:lineRule="auto"/>
              <w:rPr>
                <w:rFonts w:ascii="Calibri" w:eastAsia="Times New Roman" w:hAnsi="Calibri" w:cs="Calibri"/>
                <w:color w:val="000000"/>
                <w:lang w:val="en-GB" w:eastAsia="en-GB"/>
              </w:rPr>
            </w:pPr>
            <w:r w:rsidRPr="00DA3E31">
              <w:rPr>
                <w:rFonts w:ascii="Calibri" w:eastAsia="Times New Roman" w:hAnsi="Calibri" w:cs="Calibri"/>
                <w:color w:val="000000"/>
                <w:lang w:val="en-GB" w:eastAsia="en-GB"/>
              </w:rPr>
              <w:t>Low</w:t>
            </w:r>
          </w:p>
        </w:tc>
        <w:tc>
          <w:tcPr>
            <w:tcW w:w="1092" w:type="dxa"/>
            <w:tcBorders>
              <w:top w:val="nil"/>
              <w:left w:val="nil"/>
              <w:bottom w:val="nil"/>
              <w:right w:val="nil"/>
            </w:tcBorders>
            <w:shd w:val="clear" w:color="auto" w:fill="auto"/>
            <w:noWrap/>
            <w:vAlign w:val="bottom"/>
          </w:tcPr>
          <w:p w14:paraId="66392FDE" w14:textId="280C3718" w:rsidR="00DA3E31" w:rsidRPr="00DA3E31" w:rsidRDefault="00DA3E31" w:rsidP="00DA3E31">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nil"/>
              <w:right w:val="nil"/>
            </w:tcBorders>
            <w:shd w:val="clear" w:color="auto" w:fill="auto"/>
            <w:noWrap/>
            <w:vAlign w:val="bottom"/>
          </w:tcPr>
          <w:p w14:paraId="3AEE426C" w14:textId="690CB86E" w:rsidR="00DA3E31" w:rsidRPr="00DA3E31" w:rsidRDefault="00DA3E31" w:rsidP="00DA3E31">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nil"/>
              <w:right w:val="nil"/>
            </w:tcBorders>
            <w:shd w:val="clear" w:color="auto" w:fill="auto"/>
            <w:noWrap/>
            <w:vAlign w:val="bottom"/>
          </w:tcPr>
          <w:p w14:paraId="6176FCDA" w14:textId="3311711C" w:rsidR="00DA3E31" w:rsidRPr="00DA3E31" w:rsidRDefault="00DA3E31" w:rsidP="00DA3E31">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0.47</w:t>
            </w:r>
          </w:p>
        </w:tc>
        <w:tc>
          <w:tcPr>
            <w:tcW w:w="1536" w:type="dxa"/>
            <w:tcBorders>
              <w:top w:val="nil"/>
              <w:left w:val="nil"/>
              <w:bottom w:val="nil"/>
              <w:right w:val="nil"/>
            </w:tcBorders>
            <w:shd w:val="clear" w:color="auto" w:fill="auto"/>
            <w:noWrap/>
            <w:vAlign w:val="bottom"/>
          </w:tcPr>
          <w:p w14:paraId="2CCF2C4F" w14:textId="26DEE1F2" w:rsidR="00DA3E31" w:rsidRPr="00DA3E31" w:rsidRDefault="00DA3E31" w:rsidP="00DA3E31">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0.48</w:t>
            </w:r>
          </w:p>
        </w:tc>
        <w:tc>
          <w:tcPr>
            <w:tcW w:w="1536" w:type="dxa"/>
            <w:tcBorders>
              <w:top w:val="nil"/>
              <w:left w:val="nil"/>
              <w:bottom w:val="nil"/>
              <w:right w:val="single" w:sz="4" w:space="0" w:color="auto"/>
            </w:tcBorders>
            <w:shd w:val="clear" w:color="auto" w:fill="auto"/>
            <w:noWrap/>
            <w:vAlign w:val="bottom"/>
          </w:tcPr>
          <w:p w14:paraId="22E3A8DE" w14:textId="37216002" w:rsidR="00DA3E31" w:rsidRPr="00DA3E31" w:rsidRDefault="00DA3E31" w:rsidP="00DA3E31">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0.51</w:t>
            </w:r>
          </w:p>
        </w:tc>
      </w:tr>
      <w:tr w:rsidR="00DA3E31" w:rsidRPr="00DA3E31" w14:paraId="07995B87" w14:textId="77777777" w:rsidTr="00DA3E31">
        <w:trPr>
          <w:trHeight w:val="281"/>
        </w:trPr>
        <w:tc>
          <w:tcPr>
            <w:tcW w:w="1980" w:type="dxa"/>
            <w:gridSpan w:val="2"/>
            <w:tcBorders>
              <w:top w:val="nil"/>
              <w:left w:val="single" w:sz="4" w:space="0" w:color="auto"/>
              <w:bottom w:val="nil"/>
              <w:right w:val="nil"/>
            </w:tcBorders>
            <w:shd w:val="clear" w:color="auto" w:fill="auto"/>
            <w:noWrap/>
            <w:vAlign w:val="bottom"/>
            <w:hideMark/>
          </w:tcPr>
          <w:p w14:paraId="2274A296" w14:textId="77777777" w:rsidR="00DA3E31" w:rsidRPr="00DA3E31" w:rsidRDefault="00DA3E31" w:rsidP="00DA3E31">
            <w:pPr>
              <w:spacing w:after="0" w:line="240" w:lineRule="auto"/>
              <w:rPr>
                <w:rFonts w:ascii="Calibri" w:eastAsia="Times New Roman" w:hAnsi="Calibri" w:cs="Calibri"/>
                <w:color w:val="000000"/>
                <w:lang w:val="en-GB" w:eastAsia="en-GB"/>
              </w:rPr>
            </w:pPr>
            <w:r w:rsidRPr="00DA3E31">
              <w:rPr>
                <w:rFonts w:ascii="Calibri" w:eastAsia="Times New Roman" w:hAnsi="Calibri" w:cs="Calibri"/>
                <w:color w:val="000000"/>
                <w:lang w:val="en-GB" w:eastAsia="en-GB"/>
              </w:rPr>
              <w:t>Medium</w:t>
            </w:r>
          </w:p>
        </w:tc>
        <w:tc>
          <w:tcPr>
            <w:tcW w:w="1092" w:type="dxa"/>
            <w:tcBorders>
              <w:top w:val="nil"/>
              <w:left w:val="nil"/>
              <w:bottom w:val="nil"/>
              <w:right w:val="nil"/>
            </w:tcBorders>
            <w:shd w:val="clear" w:color="auto" w:fill="auto"/>
            <w:noWrap/>
            <w:vAlign w:val="bottom"/>
          </w:tcPr>
          <w:p w14:paraId="6F8E105B" w14:textId="1069BA15" w:rsidR="00DA3E31" w:rsidRPr="00DA3E31" w:rsidRDefault="00DA3E31" w:rsidP="00DA3E31">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nil"/>
              <w:right w:val="nil"/>
            </w:tcBorders>
            <w:shd w:val="clear" w:color="auto" w:fill="auto"/>
            <w:noWrap/>
            <w:vAlign w:val="bottom"/>
          </w:tcPr>
          <w:p w14:paraId="38167848" w14:textId="46BE5FB0" w:rsidR="00DA3E31" w:rsidRPr="00DA3E31" w:rsidRDefault="00DA3E31" w:rsidP="00DA3E31">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nil"/>
              <w:right w:val="nil"/>
            </w:tcBorders>
            <w:shd w:val="clear" w:color="auto" w:fill="auto"/>
            <w:noWrap/>
            <w:vAlign w:val="bottom"/>
          </w:tcPr>
          <w:p w14:paraId="51113A7F" w14:textId="07D93859" w:rsidR="00DA3E31" w:rsidRPr="00DA3E31" w:rsidRDefault="00DA3E31" w:rsidP="00DA3E31">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0.43</w:t>
            </w:r>
          </w:p>
        </w:tc>
        <w:tc>
          <w:tcPr>
            <w:tcW w:w="1536" w:type="dxa"/>
            <w:tcBorders>
              <w:top w:val="nil"/>
              <w:left w:val="nil"/>
              <w:bottom w:val="nil"/>
              <w:right w:val="nil"/>
            </w:tcBorders>
            <w:shd w:val="clear" w:color="auto" w:fill="auto"/>
            <w:noWrap/>
            <w:vAlign w:val="bottom"/>
          </w:tcPr>
          <w:p w14:paraId="1CFDF9E6" w14:textId="04507E8C" w:rsidR="00DA3E31" w:rsidRPr="00DA3E31" w:rsidRDefault="00DA3E31" w:rsidP="00DA3E31">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0.46</w:t>
            </w:r>
          </w:p>
        </w:tc>
        <w:tc>
          <w:tcPr>
            <w:tcW w:w="1536" w:type="dxa"/>
            <w:tcBorders>
              <w:top w:val="nil"/>
              <w:left w:val="nil"/>
              <w:bottom w:val="nil"/>
              <w:right w:val="single" w:sz="4" w:space="0" w:color="auto"/>
            </w:tcBorders>
            <w:shd w:val="clear" w:color="auto" w:fill="auto"/>
            <w:noWrap/>
            <w:vAlign w:val="bottom"/>
          </w:tcPr>
          <w:p w14:paraId="5668A546" w14:textId="6F2BE1FF" w:rsidR="00DA3E31" w:rsidRPr="00DA3E31" w:rsidRDefault="00DA3E31" w:rsidP="00DA3E31">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0.46</w:t>
            </w:r>
          </w:p>
        </w:tc>
      </w:tr>
      <w:tr w:rsidR="00DA3E31" w:rsidRPr="00DA3E31" w14:paraId="54594F81" w14:textId="77777777" w:rsidTr="00DA3E31">
        <w:trPr>
          <w:trHeight w:val="281"/>
        </w:trPr>
        <w:tc>
          <w:tcPr>
            <w:tcW w:w="1980" w:type="dxa"/>
            <w:gridSpan w:val="2"/>
            <w:tcBorders>
              <w:top w:val="nil"/>
              <w:left w:val="single" w:sz="4" w:space="0" w:color="auto"/>
              <w:bottom w:val="single" w:sz="4" w:space="0" w:color="auto"/>
              <w:right w:val="nil"/>
            </w:tcBorders>
            <w:shd w:val="clear" w:color="auto" w:fill="auto"/>
            <w:noWrap/>
            <w:vAlign w:val="bottom"/>
            <w:hideMark/>
          </w:tcPr>
          <w:p w14:paraId="21590F81" w14:textId="77777777" w:rsidR="00DA3E31" w:rsidRPr="00DA3E31" w:rsidRDefault="00DA3E31" w:rsidP="00DA3E31">
            <w:pPr>
              <w:spacing w:after="0" w:line="240" w:lineRule="auto"/>
              <w:rPr>
                <w:rFonts w:ascii="Calibri" w:eastAsia="Times New Roman" w:hAnsi="Calibri" w:cs="Calibri"/>
                <w:color w:val="000000"/>
                <w:lang w:val="en-GB" w:eastAsia="en-GB"/>
              </w:rPr>
            </w:pPr>
            <w:r w:rsidRPr="00DA3E31">
              <w:rPr>
                <w:rFonts w:ascii="Calibri" w:eastAsia="Times New Roman" w:hAnsi="Calibri" w:cs="Calibri"/>
                <w:color w:val="000000"/>
                <w:lang w:val="en-GB" w:eastAsia="en-GB"/>
              </w:rPr>
              <w:t xml:space="preserve">High </w:t>
            </w:r>
          </w:p>
        </w:tc>
        <w:tc>
          <w:tcPr>
            <w:tcW w:w="1092" w:type="dxa"/>
            <w:tcBorders>
              <w:top w:val="nil"/>
              <w:left w:val="nil"/>
              <w:bottom w:val="single" w:sz="4" w:space="0" w:color="auto"/>
              <w:right w:val="nil"/>
            </w:tcBorders>
            <w:shd w:val="clear" w:color="auto" w:fill="auto"/>
            <w:noWrap/>
            <w:vAlign w:val="bottom"/>
          </w:tcPr>
          <w:p w14:paraId="70B489F3" w14:textId="5DC28B9B" w:rsidR="00DA3E31" w:rsidRPr="00DA3E31" w:rsidRDefault="00DA3E31" w:rsidP="00DA3E31">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single" w:sz="4" w:space="0" w:color="auto"/>
              <w:right w:val="nil"/>
            </w:tcBorders>
            <w:shd w:val="clear" w:color="auto" w:fill="auto"/>
            <w:noWrap/>
            <w:vAlign w:val="bottom"/>
          </w:tcPr>
          <w:p w14:paraId="591D110F" w14:textId="475D34E2" w:rsidR="00DA3E31" w:rsidRPr="00DA3E31" w:rsidRDefault="00DA3E31" w:rsidP="00DA3E31">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single" w:sz="4" w:space="0" w:color="auto"/>
              <w:right w:val="nil"/>
            </w:tcBorders>
            <w:shd w:val="clear" w:color="auto" w:fill="auto"/>
            <w:noWrap/>
            <w:vAlign w:val="bottom"/>
          </w:tcPr>
          <w:p w14:paraId="4B2447F0" w14:textId="6A5875CD" w:rsidR="00DA3E31" w:rsidRPr="00DA3E31" w:rsidRDefault="00DA3E31" w:rsidP="00DA3E31">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0.47</w:t>
            </w:r>
          </w:p>
        </w:tc>
        <w:tc>
          <w:tcPr>
            <w:tcW w:w="1536" w:type="dxa"/>
            <w:tcBorders>
              <w:top w:val="nil"/>
              <w:left w:val="nil"/>
              <w:bottom w:val="single" w:sz="4" w:space="0" w:color="auto"/>
              <w:right w:val="nil"/>
            </w:tcBorders>
            <w:shd w:val="clear" w:color="auto" w:fill="auto"/>
            <w:noWrap/>
            <w:vAlign w:val="bottom"/>
          </w:tcPr>
          <w:p w14:paraId="49E893B6" w14:textId="5EE433C6" w:rsidR="00DA3E31" w:rsidRPr="00DA3E31" w:rsidRDefault="00DA3E31" w:rsidP="00DA3E31">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0.46</w:t>
            </w:r>
          </w:p>
        </w:tc>
        <w:tc>
          <w:tcPr>
            <w:tcW w:w="1536" w:type="dxa"/>
            <w:tcBorders>
              <w:top w:val="nil"/>
              <w:left w:val="nil"/>
              <w:bottom w:val="single" w:sz="4" w:space="0" w:color="auto"/>
              <w:right w:val="single" w:sz="4" w:space="0" w:color="auto"/>
            </w:tcBorders>
            <w:shd w:val="clear" w:color="auto" w:fill="auto"/>
            <w:noWrap/>
            <w:vAlign w:val="bottom"/>
          </w:tcPr>
          <w:p w14:paraId="7A777891" w14:textId="31F3CA65" w:rsidR="00DA3E31" w:rsidRPr="00DA3E31" w:rsidRDefault="00DA3E31" w:rsidP="00DA3E31">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0.45</w:t>
            </w:r>
          </w:p>
        </w:tc>
      </w:tr>
    </w:tbl>
    <w:p w14:paraId="6DAA28F8" w14:textId="77777777" w:rsidR="00C63B8B" w:rsidRPr="00580A53" w:rsidRDefault="00C63B8B" w:rsidP="00C63B8B">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orthern Ireland Longitudinal Study</w:t>
      </w:r>
    </w:p>
    <w:p w14:paraId="2603C9B0" w14:textId="7A6EA33A" w:rsidR="00932FA4" w:rsidRDefault="00932FA4" w:rsidP="0037557C">
      <w:pPr>
        <w:pStyle w:val="Heading4"/>
      </w:pPr>
      <w:r>
        <w:t xml:space="preserve">Table 4 </w:t>
      </w:r>
      <w:r w:rsidRPr="00E413AC">
        <w:t xml:space="preserve">– </w:t>
      </w:r>
      <w:r>
        <w:t>Parity progression ratios, transition from third to fourth, by educational attainment and country</w:t>
      </w:r>
    </w:p>
    <w:tbl>
      <w:tblPr>
        <w:tblW w:w="9216" w:type="dxa"/>
        <w:tblLook w:val="04A0" w:firstRow="1" w:lastRow="0" w:firstColumn="1" w:lastColumn="0" w:noHBand="0" w:noVBand="1"/>
      </w:tblPr>
      <w:tblGrid>
        <w:gridCol w:w="1536"/>
        <w:gridCol w:w="444"/>
        <w:gridCol w:w="1092"/>
        <w:gridCol w:w="1536"/>
        <w:gridCol w:w="1536"/>
        <w:gridCol w:w="1536"/>
        <w:gridCol w:w="1536"/>
      </w:tblGrid>
      <w:tr w:rsidR="00EA3A72" w:rsidRPr="00EA3A72" w14:paraId="5102119D" w14:textId="77777777" w:rsidTr="00ED3715">
        <w:trPr>
          <w:trHeight w:val="292"/>
        </w:trPr>
        <w:tc>
          <w:tcPr>
            <w:tcW w:w="1980" w:type="dxa"/>
            <w:gridSpan w:val="2"/>
            <w:tcBorders>
              <w:top w:val="single" w:sz="4" w:space="0" w:color="auto"/>
              <w:left w:val="single" w:sz="4" w:space="0" w:color="auto"/>
              <w:bottom w:val="nil"/>
              <w:right w:val="nil"/>
            </w:tcBorders>
            <w:shd w:val="clear" w:color="auto" w:fill="auto"/>
            <w:noWrap/>
            <w:vAlign w:val="bottom"/>
            <w:hideMark/>
          </w:tcPr>
          <w:p w14:paraId="5EB1C1AA" w14:textId="0F0B615E" w:rsidR="00EA3A72" w:rsidRPr="00EA3A72" w:rsidRDefault="00EA3A72" w:rsidP="00EA3A72">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England &amp; Wales</w:t>
            </w:r>
          </w:p>
        </w:tc>
        <w:tc>
          <w:tcPr>
            <w:tcW w:w="1092" w:type="dxa"/>
            <w:tcBorders>
              <w:top w:val="single" w:sz="4" w:space="0" w:color="auto"/>
              <w:left w:val="nil"/>
              <w:bottom w:val="nil"/>
              <w:right w:val="nil"/>
            </w:tcBorders>
            <w:shd w:val="clear" w:color="auto" w:fill="auto"/>
            <w:noWrap/>
            <w:vAlign w:val="bottom"/>
            <w:hideMark/>
          </w:tcPr>
          <w:p w14:paraId="645F6F05"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 xml:space="preserve">1956-59 </w:t>
            </w:r>
          </w:p>
        </w:tc>
        <w:tc>
          <w:tcPr>
            <w:tcW w:w="1536" w:type="dxa"/>
            <w:tcBorders>
              <w:top w:val="single" w:sz="4" w:space="0" w:color="auto"/>
              <w:left w:val="nil"/>
              <w:bottom w:val="nil"/>
              <w:right w:val="nil"/>
            </w:tcBorders>
            <w:shd w:val="clear" w:color="auto" w:fill="auto"/>
            <w:noWrap/>
            <w:vAlign w:val="bottom"/>
            <w:hideMark/>
          </w:tcPr>
          <w:p w14:paraId="3C3311F8"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1960-64</w:t>
            </w:r>
          </w:p>
        </w:tc>
        <w:tc>
          <w:tcPr>
            <w:tcW w:w="1536" w:type="dxa"/>
            <w:tcBorders>
              <w:top w:val="single" w:sz="4" w:space="0" w:color="auto"/>
              <w:left w:val="nil"/>
              <w:bottom w:val="nil"/>
              <w:right w:val="nil"/>
            </w:tcBorders>
            <w:shd w:val="clear" w:color="auto" w:fill="auto"/>
            <w:noWrap/>
            <w:vAlign w:val="bottom"/>
            <w:hideMark/>
          </w:tcPr>
          <w:p w14:paraId="0E453A4D"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1965-69</w:t>
            </w:r>
          </w:p>
        </w:tc>
        <w:tc>
          <w:tcPr>
            <w:tcW w:w="1536" w:type="dxa"/>
            <w:tcBorders>
              <w:top w:val="single" w:sz="4" w:space="0" w:color="auto"/>
              <w:left w:val="nil"/>
              <w:bottom w:val="nil"/>
              <w:right w:val="nil"/>
            </w:tcBorders>
            <w:shd w:val="clear" w:color="auto" w:fill="auto"/>
            <w:noWrap/>
            <w:vAlign w:val="bottom"/>
            <w:hideMark/>
          </w:tcPr>
          <w:p w14:paraId="10DA6255"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1970-74</w:t>
            </w:r>
          </w:p>
        </w:tc>
        <w:tc>
          <w:tcPr>
            <w:tcW w:w="1536" w:type="dxa"/>
            <w:tcBorders>
              <w:top w:val="single" w:sz="4" w:space="0" w:color="auto"/>
              <w:left w:val="nil"/>
              <w:bottom w:val="nil"/>
              <w:right w:val="single" w:sz="4" w:space="0" w:color="auto"/>
            </w:tcBorders>
            <w:shd w:val="clear" w:color="auto" w:fill="auto"/>
            <w:noWrap/>
            <w:vAlign w:val="bottom"/>
            <w:hideMark/>
          </w:tcPr>
          <w:p w14:paraId="24FB1FDC"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1975-78</w:t>
            </w:r>
          </w:p>
        </w:tc>
      </w:tr>
      <w:tr w:rsidR="00EA3A72" w:rsidRPr="00EA3A72" w14:paraId="6F71AFA1" w14:textId="77777777" w:rsidTr="00ED3715">
        <w:trPr>
          <w:trHeight w:val="292"/>
        </w:trPr>
        <w:tc>
          <w:tcPr>
            <w:tcW w:w="1980" w:type="dxa"/>
            <w:gridSpan w:val="2"/>
            <w:tcBorders>
              <w:top w:val="nil"/>
              <w:left w:val="single" w:sz="4" w:space="0" w:color="auto"/>
              <w:bottom w:val="nil"/>
              <w:right w:val="nil"/>
            </w:tcBorders>
            <w:shd w:val="clear" w:color="auto" w:fill="auto"/>
            <w:noWrap/>
            <w:vAlign w:val="bottom"/>
            <w:hideMark/>
          </w:tcPr>
          <w:p w14:paraId="576A93F1" w14:textId="77777777" w:rsidR="00EA3A72" w:rsidRPr="00EA3A72" w:rsidRDefault="00EA3A72" w:rsidP="00EA3A72">
            <w:pPr>
              <w:spacing w:after="0" w:line="240" w:lineRule="auto"/>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Low</w:t>
            </w:r>
          </w:p>
        </w:tc>
        <w:tc>
          <w:tcPr>
            <w:tcW w:w="1092" w:type="dxa"/>
            <w:tcBorders>
              <w:top w:val="nil"/>
              <w:left w:val="nil"/>
              <w:bottom w:val="nil"/>
              <w:right w:val="nil"/>
            </w:tcBorders>
            <w:shd w:val="clear" w:color="auto" w:fill="auto"/>
            <w:noWrap/>
            <w:vAlign w:val="bottom"/>
            <w:hideMark/>
          </w:tcPr>
          <w:p w14:paraId="2EBA7193"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0.31</w:t>
            </w:r>
          </w:p>
        </w:tc>
        <w:tc>
          <w:tcPr>
            <w:tcW w:w="1536" w:type="dxa"/>
            <w:tcBorders>
              <w:top w:val="nil"/>
              <w:left w:val="nil"/>
              <w:bottom w:val="nil"/>
              <w:right w:val="nil"/>
            </w:tcBorders>
            <w:shd w:val="clear" w:color="auto" w:fill="auto"/>
            <w:noWrap/>
            <w:vAlign w:val="bottom"/>
            <w:hideMark/>
          </w:tcPr>
          <w:p w14:paraId="41A3D2E5"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0.31</w:t>
            </w:r>
          </w:p>
        </w:tc>
        <w:tc>
          <w:tcPr>
            <w:tcW w:w="1536" w:type="dxa"/>
            <w:tcBorders>
              <w:top w:val="nil"/>
              <w:left w:val="nil"/>
              <w:bottom w:val="nil"/>
              <w:right w:val="nil"/>
            </w:tcBorders>
            <w:shd w:val="clear" w:color="auto" w:fill="auto"/>
            <w:noWrap/>
            <w:vAlign w:val="bottom"/>
            <w:hideMark/>
          </w:tcPr>
          <w:p w14:paraId="44DE6166"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0.33</w:t>
            </w:r>
          </w:p>
        </w:tc>
        <w:tc>
          <w:tcPr>
            <w:tcW w:w="1536" w:type="dxa"/>
            <w:tcBorders>
              <w:top w:val="nil"/>
              <w:left w:val="nil"/>
              <w:bottom w:val="nil"/>
              <w:right w:val="nil"/>
            </w:tcBorders>
            <w:shd w:val="clear" w:color="auto" w:fill="auto"/>
            <w:noWrap/>
            <w:vAlign w:val="bottom"/>
            <w:hideMark/>
          </w:tcPr>
          <w:p w14:paraId="224B6777"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0.37</w:t>
            </w:r>
          </w:p>
        </w:tc>
        <w:tc>
          <w:tcPr>
            <w:tcW w:w="1536" w:type="dxa"/>
            <w:tcBorders>
              <w:top w:val="nil"/>
              <w:left w:val="nil"/>
              <w:bottom w:val="nil"/>
              <w:right w:val="single" w:sz="4" w:space="0" w:color="auto"/>
            </w:tcBorders>
            <w:shd w:val="clear" w:color="auto" w:fill="auto"/>
            <w:noWrap/>
            <w:vAlign w:val="bottom"/>
            <w:hideMark/>
          </w:tcPr>
          <w:p w14:paraId="41CCF8CD"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0.43</w:t>
            </w:r>
          </w:p>
        </w:tc>
      </w:tr>
      <w:tr w:rsidR="00EA3A72" w:rsidRPr="00EA3A72" w14:paraId="2D7E35FD" w14:textId="77777777" w:rsidTr="00ED3715">
        <w:trPr>
          <w:trHeight w:val="292"/>
        </w:trPr>
        <w:tc>
          <w:tcPr>
            <w:tcW w:w="1980" w:type="dxa"/>
            <w:gridSpan w:val="2"/>
            <w:tcBorders>
              <w:top w:val="nil"/>
              <w:left w:val="single" w:sz="4" w:space="0" w:color="auto"/>
              <w:bottom w:val="nil"/>
              <w:right w:val="nil"/>
            </w:tcBorders>
            <w:shd w:val="clear" w:color="auto" w:fill="auto"/>
            <w:noWrap/>
            <w:vAlign w:val="bottom"/>
            <w:hideMark/>
          </w:tcPr>
          <w:p w14:paraId="776BA78D" w14:textId="77777777" w:rsidR="00EA3A72" w:rsidRPr="00EA3A72" w:rsidRDefault="00EA3A72" w:rsidP="00EA3A72">
            <w:pPr>
              <w:spacing w:after="0" w:line="240" w:lineRule="auto"/>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Medium</w:t>
            </w:r>
          </w:p>
        </w:tc>
        <w:tc>
          <w:tcPr>
            <w:tcW w:w="1092" w:type="dxa"/>
            <w:tcBorders>
              <w:top w:val="nil"/>
              <w:left w:val="nil"/>
              <w:bottom w:val="nil"/>
              <w:right w:val="nil"/>
            </w:tcBorders>
            <w:shd w:val="clear" w:color="auto" w:fill="auto"/>
            <w:noWrap/>
            <w:vAlign w:val="bottom"/>
            <w:hideMark/>
          </w:tcPr>
          <w:p w14:paraId="7807B3FF"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0.30</w:t>
            </w:r>
          </w:p>
        </w:tc>
        <w:tc>
          <w:tcPr>
            <w:tcW w:w="1536" w:type="dxa"/>
            <w:tcBorders>
              <w:top w:val="nil"/>
              <w:left w:val="nil"/>
              <w:bottom w:val="nil"/>
              <w:right w:val="nil"/>
            </w:tcBorders>
            <w:shd w:val="clear" w:color="auto" w:fill="auto"/>
            <w:noWrap/>
            <w:vAlign w:val="bottom"/>
            <w:hideMark/>
          </w:tcPr>
          <w:p w14:paraId="5A912D81"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0.25</w:t>
            </w:r>
          </w:p>
        </w:tc>
        <w:tc>
          <w:tcPr>
            <w:tcW w:w="1536" w:type="dxa"/>
            <w:tcBorders>
              <w:top w:val="nil"/>
              <w:left w:val="nil"/>
              <w:bottom w:val="nil"/>
              <w:right w:val="nil"/>
            </w:tcBorders>
            <w:shd w:val="clear" w:color="auto" w:fill="auto"/>
            <w:noWrap/>
            <w:vAlign w:val="bottom"/>
            <w:hideMark/>
          </w:tcPr>
          <w:p w14:paraId="0E8B8F0C"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0.22</w:t>
            </w:r>
          </w:p>
        </w:tc>
        <w:tc>
          <w:tcPr>
            <w:tcW w:w="1536" w:type="dxa"/>
            <w:tcBorders>
              <w:top w:val="nil"/>
              <w:left w:val="nil"/>
              <w:bottom w:val="nil"/>
              <w:right w:val="nil"/>
            </w:tcBorders>
            <w:shd w:val="clear" w:color="auto" w:fill="auto"/>
            <w:noWrap/>
            <w:vAlign w:val="bottom"/>
            <w:hideMark/>
          </w:tcPr>
          <w:p w14:paraId="1AFB8964"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0.31</w:t>
            </w:r>
          </w:p>
        </w:tc>
        <w:tc>
          <w:tcPr>
            <w:tcW w:w="1536" w:type="dxa"/>
            <w:tcBorders>
              <w:top w:val="nil"/>
              <w:left w:val="nil"/>
              <w:bottom w:val="nil"/>
              <w:right w:val="single" w:sz="4" w:space="0" w:color="auto"/>
            </w:tcBorders>
            <w:shd w:val="clear" w:color="auto" w:fill="auto"/>
            <w:noWrap/>
            <w:vAlign w:val="bottom"/>
            <w:hideMark/>
          </w:tcPr>
          <w:p w14:paraId="3ED2867D"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0.29</w:t>
            </w:r>
          </w:p>
        </w:tc>
      </w:tr>
      <w:tr w:rsidR="00EA3A72" w:rsidRPr="00EA3A72" w14:paraId="09823279" w14:textId="77777777" w:rsidTr="00ED3715">
        <w:trPr>
          <w:trHeight w:val="292"/>
        </w:trPr>
        <w:tc>
          <w:tcPr>
            <w:tcW w:w="1980" w:type="dxa"/>
            <w:gridSpan w:val="2"/>
            <w:tcBorders>
              <w:top w:val="nil"/>
              <w:left w:val="single" w:sz="4" w:space="0" w:color="auto"/>
              <w:bottom w:val="single" w:sz="4" w:space="0" w:color="auto"/>
              <w:right w:val="nil"/>
            </w:tcBorders>
            <w:shd w:val="clear" w:color="auto" w:fill="auto"/>
            <w:noWrap/>
            <w:vAlign w:val="bottom"/>
            <w:hideMark/>
          </w:tcPr>
          <w:p w14:paraId="5DE9F6D0" w14:textId="77777777" w:rsidR="00EA3A72" w:rsidRPr="00EA3A72" w:rsidRDefault="00EA3A72" w:rsidP="00EA3A72">
            <w:pPr>
              <w:spacing w:after="0" w:line="240" w:lineRule="auto"/>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 xml:space="preserve">High </w:t>
            </w:r>
          </w:p>
        </w:tc>
        <w:tc>
          <w:tcPr>
            <w:tcW w:w="1092" w:type="dxa"/>
            <w:tcBorders>
              <w:top w:val="nil"/>
              <w:left w:val="nil"/>
              <w:bottom w:val="single" w:sz="4" w:space="0" w:color="auto"/>
              <w:right w:val="nil"/>
            </w:tcBorders>
            <w:shd w:val="clear" w:color="auto" w:fill="auto"/>
            <w:noWrap/>
            <w:vAlign w:val="bottom"/>
            <w:hideMark/>
          </w:tcPr>
          <w:p w14:paraId="73AE6379"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0.27</w:t>
            </w:r>
          </w:p>
        </w:tc>
        <w:tc>
          <w:tcPr>
            <w:tcW w:w="1536" w:type="dxa"/>
            <w:tcBorders>
              <w:top w:val="nil"/>
              <w:left w:val="nil"/>
              <w:bottom w:val="single" w:sz="4" w:space="0" w:color="auto"/>
              <w:right w:val="nil"/>
            </w:tcBorders>
            <w:shd w:val="clear" w:color="auto" w:fill="auto"/>
            <w:noWrap/>
            <w:vAlign w:val="bottom"/>
            <w:hideMark/>
          </w:tcPr>
          <w:p w14:paraId="042B17F7"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0.24</w:t>
            </w:r>
          </w:p>
        </w:tc>
        <w:tc>
          <w:tcPr>
            <w:tcW w:w="1536" w:type="dxa"/>
            <w:tcBorders>
              <w:top w:val="nil"/>
              <w:left w:val="nil"/>
              <w:bottom w:val="single" w:sz="4" w:space="0" w:color="auto"/>
              <w:right w:val="nil"/>
            </w:tcBorders>
            <w:shd w:val="clear" w:color="auto" w:fill="auto"/>
            <w:noWrap/>
            <w:vAlign w:val="bottom"/>
            <w:hideMark/>
          </w:tcPr>
          <w:p w14:paraId="04430DB7"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0.22</w:t>
            </w:r>
          </w:p>
        </w:tc>
        <w:tc>
          <w:tcPr>
            <w:tcW w:w="1536" w:type="dxa"/>
            <w:tcBorders>
              <w:top w:val="nil"/>
              <w:left w:val="nil"/>
              <w:bottom w:val="single" w:sz="4" w:space="0" w:color="auto"/>
              <w:right w:val="nil"/>
            </w:tcBorders>
            <w:shd w:val="clear" w:color="auto" w:fill="auto"/>
            <w:noWrap/>
            <w:vAlign w:val="bottom"/>
            <w:hideMark/>
          </w:tcPr>
          <w:p w14:paraId="1B71D4B0"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0.20</w:t>
            </w:r>
          </w:p>
        </w:tc>
        <w:tc>
          <w:tcPr>
            <w:tcW w:w="1536" w:type="dxa"/>
            <w:tcBorders>
              <w:top w:val="nil"/>
              <w:left w:val="nil"/>
              <w:bottom w:val="single" w:sz="4" w:space="0" w:color="auto"/>
              <w:right w:val="single" w:sz="4" w:space="0" w:color="auto"/>
            </w:tcBorders>
            <w:shd w:val="clear" w:color="auto" w:fill="auto"/>
            <w:noWrap/>
            <w:vAlign w:val="bottom"/>
            <w:hideMark/>
          </w:tcPr>
          <w:p w14:paraId="78F9280B"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0.19</w:t>
            </w:r>
          </w:p>
        </w:tc>
      </w:tr>
      <w:tr w:rsidR="00EA3A72" w:rsidRPr="00EA3A72" w14:paraId="199DB1C2" w14:textId="77777777" w:rsidTr="00ED3715">
        <w:trPr>
          <w:trHeight w:val="290"/>
        </w:trPr>
        <w:tc>
          <w:tcPr>
            <w:tcW w:w="1536" w:type="dxa"/>
            <w:tcBorders>
              <w:top w:val="single" w:sz="4" w:space="0" w:color="auto"/>
              <w:left w:val="single" w:sz="4" w:space="0" w:color="auto"/>
              <w:bottom w:val="nil"/>
              <w:right w:val="nil"/>
            </w:tcBorders>
            <w:shd w:val="clear" w:color="auto" w:fill="auto"/>
            <w:noWrap/>
            <w:vAlign w:val="bottom"/>
            <w:hideMark/>
          </w:tcPr>
          <w:p w14:paraId="51E575AC" w14:textId="07544406" w:rsidR="00EA3A72" w:rsidRPr="00EA3A72" w:rsidRDefault="00EA3A72" w:rsidP="00EA3A72">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Scotland</w:t>
            </w:r>
            <w:r w:rsidRPr="00EA3A72">
              <w:rPr>
                <w:rFonts w:ascii="Calibri" w:eastAsia="Times New Roman" w:hAnsi="Calibri" w:cs="Calibri"/>
                <w:color w:val="000000"/>
                <w:lang w:val="en-GB" w:eastAsia="en-GB"/>
              </w:rPr>
              <w:t> </w:t>
            </w:r>
          </w:p>
        </w:tc>
        <w:tc>
          <w:tcPr>
            <w:tcW w:w="1536" w:type="dxa"/>
            <w:gridSpan w:val="2"/>
            <w:tcBorders>
              <w:top w:val="single" w:sz="4" w:space="0" w:color="auto"/>
              <w:left w:val="nil"/>
              <w:bottom w:val="nil"/>
              <w:right w:val="nil"/>
            </w:tcBorders>
            <w:shd w:val="clear" w:color="auto" w:fill="auto"/>
            <w:noWrap/>
            <w:vAlign w:val="bottom"/>
            <w:hideMark/>
          </w:tcPr>
          <w:p w14:paraId="6AE016FB"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 xml:space="preserve">1956-59 </w:t>
            </w:r>
          </w:p>
        </w:tc>
        <w:tc>
          <w:tcPr>
            <w:tcW w:w="1536" w:type="dxa"/>
            <w:tcBorders>
              <w:top w:val="single" w:sz="4" w:space="0" w:color="auto"/>
              <w:left w:val="nil"/>
              <w:bottom w:val="nil"/>
              <w:right w:val="nil"/>
            </w:tcBorders>
            <w:shd w:val="clear" w:color="auto" w:fill="auto"/>
            <w:noWrap/>
            <w:vAlign w:val="bottom"/>
            <w:hideMark/>
          </w:tcPr>
          <w:p w14:paraId="31DE90AC"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1960-64</w:t>
            </w:r>
          </w:p>
        </w:tc>
        <w:tc>
          <w:tcPr>
            <w:tcW w:w="1536" w:type="dxa"/>
            <w:tcBorders>
              <w:top w:val="single" w:sz="4" w:space="0" w:color="auto"/>
              <w:left w:val="nil"/>
              <w:bottom w:val="nil"/>
              <w:right w:val="nil"/>
            </w:tcBorders>
            <w:shd w:val="clear" w:color="auto" w:fill="auto"/>
            <w:noWrap/>
            <w:vAlign w:val="bottom"/>
            <w:hideMark/>
          </w:tcPr>
          <w:p w14:paraId="4260E921"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1965-69</w:t>
            </w:r>
          </w:p>
        </w:tc>
        <w:tc>
          <w:tcPr>
            <w:tcW w:w="1536" w:type="dxa"/>
            <w:tcBorders>
              <w:top w:val="single" w:sz="4" w:space="0" w:color="auto"/>
              <w:left w:val="nil"/>
              <w:bottom w:val="nil"/>
              <w:right w:val="nil"/>
            </w:tcBorders>
            <w:shd w:val="clear" w:color="auto" w:fill="auto"/>
            <w:noWrap/>
            <w:vAlign w:val="bottom"/>
            <w:hideMark/>
          </w:tcPr>
          <w:p w14:paraId="1ADC7E3E"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1970-74</w:t>
            </w:r>
          </w:p>
        </w:tc>
        <w:tc>
          <w:tcPr>
            <w:tcW w:w="1536" w:type="dxa"/>
            <w:tcBorders>
              <w:top w:val="single" w:sz="4" w:space="0" w:color="auto"/>
              <w:left w:val="nil"/>
              <w:bottom w:val="nil"/>
              <w:right w:val="single" w:sz="4" w:space="0" w:color="auto"/>
            </w:tcBorders>
            <w:shd w:val="clear" w:color="auto" w:fill="auto"/>
            <w:noWrap/>
            <w:vAlign w:val="bottom"/>
            <w:hideMark/>
          </w:tcPr>
          <w:p w14:paraId="17E3CF8A"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1975-78</w:t>
            </w:r>
          </w:p>
        </w:tc>
      </w:tr>
      <w:tr w:rsidR="00EA3A72" w:rsidRPr="00EA3A72" w14:paraId="6D8B4570" w14:textId="77777777" w:rsidTr="00ED3715">
        <w:trPr>
          <w:trHeight w:val="290"/>
        </w:trPr>
        <w:tc>
          <w:tcPr>
            <w:tcW w:w="1536" w:type="dxa"/>
            <w:tcBorders>
              <w:top w:val="nil"/>
              <w:left w:val="single" w:sz="4" w:space="0" w:color="auto"/>
              <w:bottom w:val="nil"/>
              <w:right w:val="nil"/>
            </w:tcBorders>
            <w:shd w:val="clear" w:color="auto" w:fill="auto"/>
            <w:noWrap/>
            <w:vAlign w:val="bottom"/>
            <w:hideMark/>
          </w:tcPr>
          <w:p w14:paraId="51B92409" w14:textId="77777777" w:rsidR="00EA3A72" w:rsidRPr="00EA3A72" w:rsidRDefault="00EA3A72" w:rsidP="00EA3A72">
            <w:pPr>
              <w:spacing w:after="0" w:line="240" w:lineRule="auto"/>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Low</w:t>
            </w:r>
          </w:p>
        </w:tc>
        <w:tc>
          <w:tcPr>
            <w:tcW w:w="1536" w:type="dxa"/>
            <w:gridSpan w:val="2"/>
            <w:tcBorders>
              <w:top w:val="nil"/>
              <w:left w:val="nil"/>
              <w:bottom w:val="nil"/>
              <w:right w:val="nil"/>
            </w:tcBorders>
            <w:shd w:val="clear" w:color="auto" w:fill="auto"/>
            <w:noWrap/>
            <w:vAlign w:val="bottom"/>
            <w:hideMark/>
          </w:tcPr>
          <w:p w14:paraId="46A84ED3"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0.29</w:t>
            </w:r>
          </w:p>
        </w:tc>
        <w:tc>
          <w:tcPr>
            <w:tcW w:w="1536" w:type="dxa"/>
            <w:tcBorders>
              <w:top w:val="nil"/>
              <w:left w:val="nil"/>
              <w:bottom w:val="nil"/>
              <w:right w:val="nil"/>
            </w:tcBorders>
            <w:shd w:val="clear" w:color="auto" w:fill="auto"/>
            <w:noWrap/>
            <w:vAlign w:val="bottom"/>
            <w:hideMark/>
          </w:tcPr>
          <w:p w14:paraId="41E4E186"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0.30</w:t>
            </w:r>
          </w:p>
        </w:tc>
        <w:tc>
          <w:tcPr>
            <w:tcW w:w="1536" w:type="dxa"/>
            <w:tcBorders>
              <w:top w:val="nil"/>
              <w:left w:val="nil"/>
              <w:bottom w:val="nil"/>
              <w:right w:val="nil"/>
            </w:tcBorders>
            <w:shd w:val="clear" w:color="auto" w:fill="auto"/>
            <w:noWrap/>
            <w:vAlign w:val="bottom"/>
            <w:hideMark/>
          </w:tcPr>
          <w:p w14:paraId="04ACA89A"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0.26</w:t>
            </w:r>
          </w:p>
        </w:tc>
        <w:tc>
          <w:tcPr>
            <w:tcW w:w="1536" w:type="dxa"/>
            <w:tcBorders>
              <w:top w:val="nil"/>
              <w:left w:val="nil"/>
              <w:bottom w:val="nil"/>
              <w:right w:val="nil"/>
            </w:tcBorders>
            <w:shd w:val="clear" w:color="auto" w:fill="auto"/>
            <w:noWrap/>
            <w:vAlign w:val="bottom"/>
            <w:hideMark/>
          </w:tcPr>
          <w:p w14:paraId="6ECCC408"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0.29</w:t>
            </w:r>
          </w:p>
        </w:tc>
        <w:tc>
          <w:tcPr>
            <w:tcW w:w="1536" w:type="dxa"/>
            <w:tcBorders>
              <w:top w:val="nil"/>
              <w:left w:val="nil"/>
              <w:bottom w:val="nil"/>
              <w:right w:val="single" w:sz="4" w:space="0" w:color="auto"/>
            </w:tcBorders>
            <w:shd w:val="clear" w:color="auto" w:fill="auto"/>
            <w:noWrap/>
            <w:vAlign w:val="bottom"/>
            <w:hideMark/>
          </w:tcPr>
          <w:p w14:paraId="40894790"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0.33</w:t>
            </w:r>
          </w:p>
        </w:tc>
      </w:tr>
      <w:tr w:rsidR="00EA3A72" w:rsidRPr="00EA3A72" w14:paraId="465633CF" w14:textId="77777777" w:rsidTr="00ED3715">
        <w:trPr>
          <w:trHeight w:val="290"/>
        </w:trPr>
        <w:tc>
          <w:tcPr>
            <w:tcW w:w="1536" w:type="dxa"/>
            <w:tcBorders>
              <w:top w:val="nil"/>
              <w:left w:val="single" w:sz="4" w:space="0" w:color="auto"/>
              <w:bottom w:val="nil"/>
              <w:right w:val="nil"/>
            </w:tcBorders>
            <w:shd w:val="clear" w:color="auto" w:fill="auto"/>
            <w:noWrap/>
            <w:vAlign w:val="bottom"/>
            <w:hideMark/>
          </w:tcPr>
          <w:p w14:paraId="12F3C9A2" w14:textId="77777777" w:rsidR="00EA3A72" w:rsidRPr="00EA3A72" w:rsidRDefault="00EA3A72" w:rsidP="00EA3A72">
            <w:pPr>
              <w:spacing w:after="0" w:line="240" w:lineRule="auto"/>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Medium</w:t>
            </w:r>
          </w:p>
        </w:tc>
        <w:tc>
          <w:tcPr>
            <w:tcW w:w="1536" w:type="dxa"/>
            <w:gridSpan w:val="2"/>
            <w:tcBorders>
              <w:top w:val="nil"/>
              <w:left w:val="nil"/>
              <w:bottom w:val="nil"/>
              <w:right w:val="nil"/>
            </w:tcBorders>
            <w:shd w:val="clear" w:color="auto" w:fill="auto"/>
            <w:noWrap/>
            <w:vAlign w:val="bottom"/>
            <w:hideMark/>
          </w:tcPr>
          <w:p w14:paraId="2D8B0DB7"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0.21</w:t>
            </w:r>
          </w:p>
        </w:tc>
        <w:tc>
          <w:tcPr>
            <w:tcW w:w="1536" w:type="dxa"/>
            <w:tcBorders>
              <w:top w:val="nil"/>
              <w:left w:val="nil"/>
              <w:bottom w:val="nil"/>
              <w:right w:val="nil"/>
            </w:tcBorders>
            <w:shd w:val="clear" w:color="auto" w:fill="auto"/>
            <w:noWrap/>
            <w:vAlign w:val="bottom"/>
            <w:hideMark/>
          </w:tcPr>
          <w:p w14:paraId="4A99F25B"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0.22</w:t>
            </w:r>
          </w:p>
        </w:tc>
        <w:tc>
          <w:tcPr>
            <w:tcW w:w="1536" w:type="dxa"/>
            <w:tcBorders>
              <w:top w:val="nil"/>
              <w:left w:val="nil"/>
              <w:bottom w:val="nil"/>
              <w:right w:val="nil"/>
            </w:tcBorders>
            <w:shd w:val="clear" w:color="auto" w:fill="auto"/>
            <w:noWrap/>
            <w:vAlign w:val="bottom"/>
            <w:hideMark/>
          </w:tcPr>
          <w:p w14:paraId="0EF374D6"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0.21</w:t>
            </w:r>
          </w:p>
        </w:tc>
        <w:tc>
          <w:tcPr>
            <w:tcW w:w="1536" w:type="dxa"/>
            <w:tcBorders>
              <w:top w:val="nil"/>
              <w:left w:val="nil"/>
              <w:bottom w:val="nil"/>
              <w:right w:val="nil"/>
            </w:tcBorders>
            <w:shd w:val="clear" w:color="auto" w:fill="auto"/>
            <w:noWrap/>
            <w:vAlign w:val="bottom"/>
            <w:hideMark/>
          </w:tcPr>
          <w:p w14:paraId="2CD5FF2C"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0.23</w:t>
            </w:r>
          </w:p>
        </w:tc>
        <w:tc>
          <w:tcPr>
            <w:tcW w:w="1536" w:type="dxa"/>
            <w:tcBorders>
              <w:top w:val="nil"/>
              <w:left w:val="nil"/>
              <w:bottom w:val="nil"/>
              <w:right w:val="single" w:sz="4" w:space="0" w:color="auto"/>
            </w:tcBorders>
            <w:shd w:val="clear" w:color="auto" w:fill="auto"/>
            <w:noWrap/>
            <w:vAlign w:val="bottom"/>
            <w:hideMark/>
          </w:tcPr>
          <w:p w14:paraId="28AB1520"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0.26</w:t>
            </w:r>
          </w:p>
        </w:tc>
      </w:tr>
      <w:tr w:rsidR="00EA3A72" w:rsidRPr="00EA3A72" w14:paraId="07039350" w14:textId="77777777" w:rsidTr="00ED3715">
        <w:trPr>
          <w:trHeight w:val="290"/>
        </w:trPr>
        <w:tc>
          <w:tcPr>
            <w:tcW w:w="1536" w:type="dxa"/>
            <w:tcBorders>
              <w:top w:val="nil"/>
              <w:left w:val="single" w:sz="4" w:space="0" w:color="auto"/>
              <w:bottom w:val="single" w:sz="4" w:space="0" w:color="auto"/>
              <w:right w:val="nil"/>
            </w:tcBorders>
            <w:shd w:val="clear" w:color="auto" w:fill="auto"/>
            <w:noWrap/>
            <w:vAlign w:val="bottom"/>
            <w:hideMark/>
          </w:tcPr>
          <w:p w14:paraId="740E551A" w14:textId="77777777" w:rsidR="00EA3A72" w:rsidRPr="00EA3A72" w:rsidRDefault="00EA3A72" w:rsidP="00EA3A72">
            <w:pPr>
              <w:spacing w:after="0" w:line="240" w:lineRule="auto"/>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 xml:space="preserve">High </w:t>
            </w:r>
          </w:p>
        </w:tc>
        <w:tc>
          <w:tcPr>
            <w:tcW w:w="1536" w:type="dxa"/>
            <w:gridSpan w:val="2"/>
            <w:tcBorders>
              <w:top w:val="nil"/>
              <w:left w:val="nil"/>
              <w:bottom w:val="single" w:sz="4" w:space="0" w:color="auto"/>
              <w:right w:val="nil"/>
            </w:tcBorders>
            <w:shd w:val="clear" w:color="auto" w:fill="auto"/>
            <w:noWrap/>
            <w:vAlign w:val="bottom"/>
            <w:hideMark/>
          </w:tcPr>
          <w:p w14:paraId="64E3BC88"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0.20</w:t>
            </w:r>
          </w:p>
        </w:tc>
        <w:tc>
          <w:tcPr>
            <w:tcW w:w="1536" w:type="dxa"/>
            <w:tcBorders>
              <w:top w:val="nil"/>
              <w:left w:val="nil"/>
              <w:bottom w:val="single" w:sz="4" w:space="0" w:color="auto"/>
              <w:right w:val="nil"/>
            </w:tcBorders>
            <w:shd w:val="clear" w:color="auto" w:fill="auto"/>
            <w:noWrap/>
            <w:vAlign w:val="bottom"/>
            <w:hideMark/>
          </w:tcPr>
          <w:p w14:paraId="0FC49170"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0.22</w:t>
            </w:r>
          </w:p>
        </w:tc>
        <w:tc>
          <w:tcPr>
            <w:tcW w:w="1536" w:type="dxa"/>
            <w:tcBorders>
              <w:top w:val="nil"/>
              <w:left w:val="nil"/>
              <w:bottom w:val="single" w:sz="4" w:space="0" w:color="auto"/>
              <w:right w:val="nil"/>
            </w:tcBorders>
            <w:shd w:val="clear" w:color="auto" w:fill="auto"/>
            <w:noWrap/>
            <w:vAlign w:val="bottom"/>
            <w:hideMark/>
          </w:tcPr>
          <w:p w14:paraId="030C3BF9"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0.20</w:t>
            </w:r>
          </w:p>
        </w:tc>
        <w:tc>
          <w:tcPr>
            <w:tcW w:w="1536" w:type="dxa"/>
            <w:tcBorders>
              <w:top w:val="nil"/>
              <w:left w:val="nil"/>
              <w:bottom w:val="single" w:sz="4" w:space="0" w:color="auto"/>
              <w:right w:val="nil"/>
            </w:tcBorders>
            <w:shd w:val="clear" w:color="auto" w:fill="auto"/>
            <w:noWrap/>
            <w:vAlign w:val="bottom"/>
            <w:hideMark/>
          </w:tcPr>
          <w:p w14:paraId="07658179"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0.17</w:t>
            </w:r>
          </w:p>
        </w:tc>
        <w:tc>
          <w:tcPr>
            <w:tcW w:w="1536" w:type="dxa"/>
            <w:tcBorders>
              <w:top w:val="nil"/>
              <w:left w:val="nil"/>
              <w:bottom w:val="single" w:sz="4" w:space="0" w:color="auto"/>
              <w:right w:val="single" w:sz="4" w:space="0" w:color="auto"/>
            </w:tcBorders>
            <w:shd w:val="clear" w:color="auto" w:fill="auto"/>
            <w:noWrap/>
            <w:vAlign w:val="bottom"/>
            <w:hideMark/>
          </w:tcPr>
          <w:p w14:paraId="5C24B368"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0.25</w:t>
            </w:r>
          </w:p>
        </w:tc>
      </w:tr>
      <w:tr w:rsidR="00EA3A72" w:rsidRPr="00EA3A72" w14:paraId="3D0C2E57" w14:textId="77777777" w:rsidTr="00C63B8B">
        <w:trPr>
          <w:trHeight w:val="290"/>
        </w:trPr>
        <w:tc>
          <w:tcPr>
            <w:tcW w:w="1980" w:type="dxa"/>
            <w:gridSpan w:val="2"/>
            <w:tcBorders>
              <w:top w:val="single" w:sz="4" w:space="0" w:color="auto"/>
              <w:left w:val="single" w:sz="4" w:space="0" w:color="auto"/>
              <w:bottom w:val="nil"/>
              <w:right w:val="nil"/>
            </w:tcBorders>
            <w:shd w:val="clear" w:color="auto" w:fill="auto"/>
            <w:noWrap/>
            <w:vAlign w:val="bottom"/>
            <w:hideMark/>
          </w:tcPr>
          <w:p w14:paraId="1406C33C" w14:textId="784B9B4D" w:rsidR="00EA3A72" w:rsidRPr="00EA3A72" w:rsidRDefault="00EA3A72" w:rsidP="00EA3A72">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Northern Ireland</w:t>
            </w:r>
          </w:p>
        </w:tc>
        <w:tc>
          <w:tcPr>
            <w:tcW w:w="1092" w:type="dxa"/>
            <w:tcBorders>
              <w:top w:val="single" w:sz="4" w:space="0" w:color="auto"/>
              <w:left w:val="nil"/>
              <w:bottom w:val="nil"/>
              <w:right w:val="nil"/>
            </w:tcBorders>
            <w:shd w:val="clear" w:color="auto" w:fill="auto"/>
            <w:noWrap/>
            <w:vAlign w:val="bottom"/>
            <w:hideMark/>
          </w:tcPr>
          <w:p w14:paraId="627C8FEA"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 xml:space="preserve">1956-59 </w:t>
            </w:r>
          </w:p>
        </w:tc>
        <w:tc>
          <w:tcPr>
            <w:tcW w:w="1536" w:type="dxa"/>
            <w:tcBorders>
              <w:top w:val="single" w:sz="4" w:space="0" w:color="auto"/>
              <w:left w:val="nil"/>
              <w:bottom w:val="nil"/>
              <w:right w:val="nil"/>
            </w:tcBorders>
            <w:shd w:val="clear" w:color="auto" w:fill="auto"/>
            <w:noWrap/>
            <w:vAlign w:val="bottom"/>
            <w:hideMark/>
          </w:tcPr>
          <w:p w14:paraId="5FA9E9E9"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1960-64</w:t>
            </w:r>
          </w:p>
        </w:tc>
        <w:tc>
          <w:tcPr>
            <w:tcW w:w="1536" w:type="dxa"/>
            <w:tcBorders>
              <w:top w:val="single" w:sz="4" w:space="0" w:color="auto"/>
              <w:left w:val="nil"/>
              <w:bottom w:val="nil"/>
              <w:right w:val="nil"/>
            </w:tcBorders>
            <w:shd w:val="clear" w:color="auto" w:fill="auto"/>
            <w:noWrap/>
            <w:vAlign w:val="bottom"/>
            <w:hideMark/>
          </w:tcPr>
          <w:p w14:paraId="147F6AAF" w14:textId="04B23889"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196</w:t>
            </w:r>
            <w:r>
              <w:rPr>
                <w:rFonts w:ascii="Calibri" w:eastAsia="Times New Roman" w:hAnsi="Calibri" w:cs="Calibri"/>
                <w:color w:val="000000"/>
                <w:lang w:val="en-GB" w:eastAsia="en-GB"/>
              </w:rPr>
              <w:t>6</w:t>
            </w:r>
            <w:r w:rsidRPr="00EA3A72">
              <w:rPr>
                <w:rFonts w:ascii="Calibri" w:eastAsia="Times New Roman" w:hAnsi="Calibri" w:cs="Calibri"/>
                <w:color w:val="000000"/>
                <w:lang w:val="en-GB" w:eastAsia="en-GB"/>
              </w:rPr>
              <w:t>-69</w:t>
            </w:r>
          </w:p>
        </w:tc>
        <w:tc>
          <w:tcPr>
            <w:tcW w:w="1536" w:type="dxa"/>
            <w:tcBorders>
              <w:top w:val="single" w:sz="4" w:space="0" w:color="auto"/>
              <w:left w:val="nil"/>
              <w:bottom w:val="nil"/>
              <w:right w:val="nil"/>
            </w:tcBorders>
            <w:shd w:val="clear" w:color="auto" w:fill="auto"/>
            <w:noWrap/>
            <w:vAlign w:val="bottom"/>
            <w:hideMark/>
          </w:tcPr>
          <w:p w14:paraId="772C89A5"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1970-74</w:t>
            </w:r>
          </w:p>
        </w:tc>
        <w:tc>
          <w:tcPr>
            <w:tcW w:w="1536" w:type="dxa"/>
            <w:tcBorders>
              <w:top w:val="single" w:sz="4" w:space="0" w:color="auto"/>
              <w:left w:val="nil"/>
              <w:bottom w:val="nil"/>
              <w:right w:val="single" w:sz="4" w:space="0" w:color="auto"/>
            </w:tcBorders>
            <w:shd w:val="clear" w:color="auto" w:fill="auto"/>
            <w:noWrap/>
            <w:vAlign w:val="bottom"/>
            <w:hideMark/>
          </w:tcPr>
          <w:p w14:paraId="02A9897D" w14:textId="77777777" w:rsidR="00EA3A72" w:rsidRPr="00EA3A72" w:rsidRDefault="00EA3A72" w:rsidP="00EA3A72">
            <w:pPr>
              <w:spacing w:after="0" w:line="240" w:lineRule="auto"/>
              <w:jc w:val="right"/>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1975-78</w:t>
            </w:r>
          </w:p>
        </w:tc>
      </w:tr>
      <w:tr w:rsidR="00EA3A72" w:rsidRPr="00EA3A72" w14:paraId="0C8DBC00" w14:textId="77777777" w:rsidTr="00C63B8B">
        <w:trPr>
          <w:trHeight w:val="290"/>
        </w:trPr>
        <w:tc>
          <w:tcPr>
            <w:tcW w:w="1980" w:type="dxa"/>
            <w:gridSpan w:val="2"/>
            <w:tcBorders>
              <w:top w:val="nil"/>
              <w:left w:val="single" w:sz="4" w:space="0" w:color="auto"/>
              <w:bottom w:val="nil"/>
              <w:right w:val="nil"/>
            </w:tcBorders>
            <w:shd w:val="clear" w:color="auto" w:fill="auto"/>
            <w:noWrap/>
            <w:vAlign w:val="bottom"/>
            <w:hideMark/>
          </w:tcPr>
          <w:p w14:paraId="175AA6B6" w14:textId="77777777" w:rsidR="00EA3A72" w:rsidRPr="00EA3A72" w:rsidRDefault="00EA3A72" w:rsidP="00EA3A72">
            <w:pPr>
              <w:spacing w:after="0" w:line="240" w:lineRule="auto"/>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Low</w:t>
            </w:r>
          </w:p>
        </w:tc>
        <w:tc>
          <w:tcPr>
            <w:tcW w:w="1092" w:type="dxa"/>
            <w:tcBorders>
              <w:top w:val="nil"/>
              <w:left w:val="nil"/>
              <w:bottom w:val="nil"/>
              <w:right w:val="nil"/>
            </w:tcBorders>
            <w:shd w:val="clear" w:color="auto" w:fill="auto"/>
            <w:noWrap/>
            <w:vAlign w:val="bottom"/>
          </w:tcPr>
          <w:p w14:paraId="0BBA5C34" w14:textId="17F513EB" w:rsidR="00EA3A72" w:rsidRPr="00EA3A72" w:rsidRDefault="00EA3A72" w:rsidP="00EA3A72">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nil"/>
              <w:right w:val="nil"/>
            </w:tcBorders>
            <w:shd w:val="clear" w:color="auto" w:fill="auto"/>
            <w:noWrap/>
            <w:vAlign w:val="bottom"/>
          </w:tcPr>
          <w:p w14:paraId="076FE054" w14:textId="17A10979" w:rsidR="00EA3A72" w:rsidRPr="00EA3A72" w:rsidRDefault="00EA3A72" w:rsidP="00EA3A72">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nil"/>
              <w:right w:val="nil"/>
            </w:tcBorders>
            <w:shd w:val="clear" w:color="auto" w:fill="auto"/>
            <w:noWrap/>
            <w:vAlign w:val="bottom"/>
          </w:tcPr>
          <w:p w14:paraId="69FDBB26" w14:textId="05EB6CD6" w:rsidR="00EA3A72" w:rsidRPr="00EA3A72" w:rsidRDefault="00364DF5" w:rsidP="00EA3A72">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0.36</w:t>
            </w:r>
          </w:p>
        </w:tc>
        <w:tc>
          <w:tcPr>
            <w:tcW w:w="1536" w:type="dxa"/>
            <w:tcBorders>
              <w:top w:val="nil"/>
              <w:left w:val="nil"/>
              <w:bottom w:val="nil"/>
              <w:right w:val="nil"/>
            </w:tcBorders>
            <w:shd w:val="clear" w:color="auto" w:fill="auto"/>
            <w:noWrap/>
            <w:vAlign w:val="bottom"/>
          </w:tcPr>
          <w:p w14:paraId="46018954" w14:textId="7ABE2CFC" w:rsidR="00EA3A72" w:rsidRPr="00EA3A72" w:rsidRDefault="00364DF5" w:rsidP="00EA3A72">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0.36</w:t>
            </w:r>
          </w:p>
        </w:tc>
        <w:tc>
          <w:tcPr>
            <w:tcW w:w="1536" w:type="dxa"/>
            <w:tcBorders>
              <w:top w:val="nil"/>
              <w:left w:val="nil"/>
              <w:bottom w:val="nil"/>
              <w:right w:val="single" w:sz="4" w:space="0" w:color="auto"/>
            </w:tcBorders>
            <w:shd w:val="clear" w:color="auto" w:fill="auto"/>
            <w:noWrap/>
            <w:vAlign w:val="bottom"/>
          </w:tcPr>
          <w:p w14:paraId="43FE4444" w14:textId="2F0A0296" w:rsidR="00EA3A72" w:rsidRPr="00EA3A72" w:rsidRDefault="00364DF5" w:rsidP="00EA3A72">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0.36</w:t>
            </w:r>
          </w:p>
        </w:tc>
      </w:tr>
      <w:tr w:rsidR="00EA3A72" w:rsidRPr="00EA3A72" w14:paraId="1E0F2651" w14:textId="77777777" w:rsidTr="00C63B8B">
        <w:trPr>
          <w:trHeight w:val="290"/>
        </w:trPr>
        <w:tc>
          <w:tcPr>
            <w:tcW w:w="1980" w:type="dxa"/>
            <w:gridSpan w:val="2"/>
            <w:tcBorders>
              <w:top w:val="nil"/>
              <w:left w:val="single" w:sz="4" w:space="0" w:color="auto"/>
              <w:bottom w:val="nil"/>
              <w:right w:val="nil"/>
            </w:tcBorders>
            <w:shd w:val="clear" w:color="auto" w:fill="auto"/>
            <w:noWrap/>
            <w:vAlign w:val="bottom"/>
            <w:hideMark/>
          </w:tcPr>
          <w:p w14:paraId="3471F091" w14:textId="77777777" w:rsidR="00EA3A72" w:rsidRPr="00EA3A72" w:rsidRDefault="00EA3A72" w:rsidP="00EA3A72">
            <w:pPr>
              <w:spacing w:after="0" w:line="240" w:lineRule="auto"/>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Medium</w:t>
            </w:r>
          </w:p>
        </w:tc>
        <w:tc>
          <w:tcPr>
            <w:tcW w:w="1092" w:type="dxa"/>
            <w:tcBorders>
              <w:top w:val="nil"/>
              <w:left w:val="nil"/>
              <w:bottom w:val="nil"/>
              <w:right w:val="nil"/>
            </w:tcBorders>
            <w:shd w:val="clear" w:color="auto" w:fill="auto"/>
            <w:noWrap/>
            <w:vAlign w:val="bottom"/>
          </w:tcPr>
          <w:p w14:paraId="1226B6BB" w14:textId="166034E9" w:rsidR="00EA3A72" w:rsidRPr="00EA3A72" w:rsidRDefault="00EA3A72" w:rsidP="00EA3A72">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nil"/>
              <w:right w:val="nil"/>
            </w:tcBorders>
            <w:shd w:val="clear" w:color="auto" w:fill="auto"/>
            <w:noWrap/>
            <w:vAlign w:val="bottom"/>
          </w:tcPr>
          <w:p w14:paraId="723CE56B" w14:textId="79C85B37" w:rsidR="00EA3A72" w:rsidRPr="00EA3A72" w:rsidRDefault="00EA3A72" w:rsidP="00EA3A72">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nil"/>
              <w:right w:val="nil"/>
            </w:tcBorders>
            <w:shd w:val="clear" w:color="auto" w:fill="auto"/>
            <w:noWrap/>
            <w:vAlign w:val="bottom"/>
          </w:tcPr>
          <w:p w14:paraId="253A30A2" w14:textId="33EB23B9" w:rsidR="00EA3A72" w:rsidRPr="00EA3A72" w:rsidRDefault="00364DF5" w:rsidP="00EA3A72">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0.31</w:t>
            </w:r>
          </w:p>
        </w:tc>
        <w:tc>
          <w:tcPr>
            <w:tcW w:w="1536" w:type="dxa"/>
            <w:tcBorders>
              <w:top w:val="nil"/>
              <w:left w:val="nil"/>
              <w:bottom w:val="nil"/>
              <w:right w:val="nil"/>
            </w:tcBorders>
            <w:shd w:val="clear" w:color="auto" w:fill="auto"/>
            <w:noWrap/>
            <w:vAlign w:val="bottom"/>
          </w:tcPr>
          <w:p w14:paraId="44688CF2" w14:textId="47E96437" w:rsidR="00EA3A72" w:rsidRPr="00EA3A72" w:rsidRDefault="00364DF5" w:rsidP="00EA3A72">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0.30</w:t>
            </w:r>
          </w:p>
        </w:tc>
        <w:tc>
          <w:tcPr>
            <w:tcW w:w="1536" w:type="dxa"/>
            <w:tcBorders>
              <w:top w:val="nil"/>
              <w:left w:val="nil"/>
              <w:bottom w:val="nil"/>
              <w:right w:val="single" w:sz="4" w:space="0" w:color="auto"/>
            </w:tcBorders>
            <w:shd w:val="clear" w:color="auto" w:fill="auto"/>
            <w:noWrap/>
            <w:vAlign w:val="bottom"/>
          </w:tcPr>
          <w:p w14:paraId="79F3EE70" w14:textId="4F746E78" w:rsidR="00EA3A72" w:rsidRPr="00EA3A72" w:rsidRDefault="00364DF5" w:rsidP="00EA3A72">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0.38</w:t>
            </w:r>
          </w:p>
        </w:tc>
      </w:tr>
      <w:tr w:rsidR="00EA3A72" w:rsidRPr="00EA3A72" w14:paraId="4A97EEF3" w14:textId="77777777" w:rsidTr="00C63B8B">
        <w:trPr>
          <w:trHeight w:val="290"/>
        </w:trPr>
        <w:tc>
          <w:tcPr>
            <w:tcW w:w="1980" w:type="dxa"/>
            <w:gridSpan w:val="2"/>
            <w:tcBorders>
              <w:top w:val="nil"/>
              <w:left w:val="single" w:sz="4" w:space="0" w:color="auto"/>
              <w:bottom w:val="single" w:sz="4" w:space="0" w:color="auto"/>
              <w:right w:val="nil"/>
            </w:tcBorders>
            <w:shd w:val="clear" w:color="auto" w:fill="auto"/>
            <w:noWrap/>
            <w:vAlign w:val="bottom"/>
            <w:hideMark/>
          </w:tcPr>
          <w:p w14:paraId="463DACFE" w14:textId="77777777" w:rsidR="00EA3A72" w:rsidRPr="00EA3A72" w:rsidRDefault="00EA3A72" w:rsidP="00EA3A72">
            <w:pPr>
              <w:spacing w:after="0" w:line="240" w:lineRule="auto"/>
              <w:rPr>
                <w:rFonts w:ascii="Calibri" w:eastAsia="Times New Roman" w:hAnsi="Calibri" w:cs="Calibri"/>
                <w:color w:val="000000"/>
                <w:lang w:val="en-GB" w:eastAsia="en-GB"/>
              </w:rPr>
            </w:pPr>
            <w:r w:rsidRPr="00EA3A72">
              <w:rPr>
                <w:rFonts w:ascii="Calibri" w:eastAsia="Times New Roman" w:hAnsi="Calibri" w:cs="Calibri"/>
                <w:color w:val="000000"/>
                <w:lang w:val="en-GB" w:eastAsia="en-GB"/>
              </w:rPr>
              <w:t xml:space="preserve">High </w:t>
            </w:r>
          </w:p>
        </w:tc>
        <w:tc>
          <w:tcPr>
            <w:tcW w:w="1092" w:type="dxa"/>
            <w:tcBorders>
              <w:top w:val="nil"/>
              <w:left w:val="nil"/>
              <w:bottom w:val="single" w:sz="4" w:space="0" w:color="auto"/>
              <w:right w:val="nil"/>
            </w:tcBorders>
            <w:shd w:val="clear" w:color="auto" w:fill="auto"/>
            <w:noWrap/>
            <w:vAlign w:val="bottom"/>
          </w:tcPr>
          <w:p w14:paraId="4722759F" w14:textId="175AF712" w:rsidR="00EA3A72" w:rsidRPr="00EA3A72" w:rsidRDefault="00EA3A72" w:rsidP="00EA3A72">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single" w:sz="4" w:space="0" w:color="auto"/>
              <w:right w:val="nil"/>
            </w:tcBorders>
            <w:shd w:val="clear" w:color="auto" w:fill="auto"/>
            <w:noWrap/>
            <w:vAlign w:val="bottom"/>
          </w:tcPr>
          <w:p w14:paraId="10073D71" w14:textId="691CF7CA" w:rsidR="00EA3A72" w:rsidRPr="00EA3A72" w:rsidRDefault="00EA3A72" w:rsidP="00EA3A72">
            <w:pPr>
              <w:spacing w:after="0" w:line="240" w:lineRule="auto"/>
              <w:jc w:val="right"/>
              <w:rPr>
                <w:rFonts w:ascii="Calibri" w:eastAsia="Times New Roman" w:hAnsi="Calibri" w:cs="Calibri"/>
                <w:color w:val="000000"/>
                <w:lang w:val="en-GB" w:eastAsia="en-GB"/>
              </w:rPr>
            </w:pPr>
          </w:p>
        </w:tc>
        <w:tc>
          <w:tcPr>
            <w:tcW w:w="1536" w:type="dxa"/>
            <w:tcBorders>
              <w:top w:val="nil"/>
              <w:left w:val="nil"/>
              <w:bottom w:val="single" w:sz="4" w:space="0" w:color="auto"/>
              <w:right w:val="nil"/>
            </w:tcBorders>
            <w:shd w:val="clear" w:color="auto" w:fill="auto"/>
            <w:noWrap/>
            <w:vAlign w:val="bottom"/>
          </w:tcPr>
          <w:p w14:paraId="00CCC204" w14:textId="5044504E" w:rsidR="00EA3A72" w:rsidRPr="00EA3A72" w:rsidRDefault="00364DF5" w:rsidP="00EA3A72">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0.30</w:t>
            </w:r>
          </w:p>
        </w:tc>
        <w:tc>
          <w:tcPr>
            <w:tcW w:w="1536" w:type="dxa"/>
            <w:tcBorders>
              <w:top w:val="nil"/>
              <w:left w:val="nil"/>
              <w:bottom w:val="single" w:sz="4" w:space="0" w:color="auto"/>
              <w:right w:val="nil"/>
            </w:tcBorders>
            <w:shd w:val="clear" w:color="auto" w:fill="auto"/>
            <w:noWrap/>
            <w:vAlign w:val="bottom"/>
          </w:tcPr>
          <w:p w14:paraId="4A3BBC24" w14:textId="06F108C5" w:rsidR="00EA3A72" w:rsidRPr="00EA3A72" w:rsidRDefault="00364DF5" w:rsidP="00EA3A72">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0.29</w:t>
            </w:r>
          </w:p>
        </w:tc>
        <w:tc>
          <w:tcPr>
            <w:tcW w:w="1536" w:type="dxa"/>
            <w:tcBorders>
              <w:top w:val="nil"/>
              <w:left w:val="nil"/>
              <w:bottom w:val="single" w:sz="4" w:space="0" w:color="auto"/>
              <w:right w:val="single" w:sz="4" w:space="0" w:color="auto"/>
            </w:tcBorders>
            <w:shd w:val="clear" w:color="auto" w:fill="auto"/>
            <w:noWrap/>
            <w:vAlign w:val="bottom"/>
          </w:tcPr>
          <w:p w14:paraId="70AD7CC1" w14:textId="58A5AA5F" w:rsidR="00EA3A72" w:rsidRPr="00EA3A72" w:rsidRDefault="00364DF5" w:rsidP="00EA3A72">
            <w:pPr>
              <w:spacing w:after="0" w:line="240" w:lineRule="auto"/>
              <w:jc w:val="right"/>
              <w:rPr>
                <w:rFonts w:ascii="Calibri" w:eastAsia="Times New Roman" w:hAnsi="Calibri" w:cs="Calibri"/>
                <w:color w:val="000000"/>
                <w:lang w:val="en-GB" w:eastAsia="en-GB"/>
              </w:rPr>
            </w:pPr>
            <w:r>
              <w:rPr>
                <w:rFonts w:ascii="Calibri" w:eastAsia="Times New Roman" w:hAnsi="Calibri" w:cs="Calibri"/>
                <w:color w:val="000000"/>
                <w:lang w:val="en-GB" w:eastAsia="en-GB"/>
              </w:rPr>
              <w:t>0.25</w:t>
            </w:r>
          </w:p>
        </w:tc>
      </w:tr>
    </w:tbl>
    <w:p w14:paraId="33F29A2C" w14:textId="77777777" w:rsidR="00C63B8B" w:rsidRDefault="00C63B8B" w:rsidP="00C63B8B">
      <w:pPr>
        <w:rPr>
          <w:i/>
          <w:iCs/>
        </w:rPr>
      </w:pPr>
      <w:r w:rsidRPr="00580A53">
        <w:rPr>
          <w:i/>
          <w:iCs/>
        </w:rPr>
        <w:t>Sources: ONS L</w:t>
      </w:r>
      <w:r>
        <w:rPr>
          <w:i/>
          <w:iCs/>
        </w:rPr>
        <w:t>ongitudinal Study</w:t>
      </w:r>
      <w:r w:rsidRPr="00580A53">
        <w:rPr>
          <w:i/>
          <w:iCs/>
        </w:rPr>
        <w:t>, S</w:t>
      </w:r>
      <w:r>
        <w:rPr>
          <w:i/>
          <w:iCs/>
        </w:rPr>
        <w:t>cottish Longitudinal Study</w:t>
      </w:r>
      <w:r w:rsidRPr="00580A53">
        <w:rPr>
          <w:i/>
          <w:iCs/>
        </w:rPr>
        <w:t>, N</w:t>
      </w:r>
      <w:r>
        <w:rPr>
          <w:i/>
          <w:iCs/>
        </w:rPr>
        <w:t>orthern Ireland Longitudinal Study</w:t>
      </w:r>
    </w:p>
    <w:p w14:paraId="58EABF12" w14:textId="4CA8BCAA" w:rsidR="00EA3A72" w:rsidRDefault="00717FFE" w:rsidP="00E43CA9">
      <w:pPr>
        <w:pStyle w:val="Heading2"/>
      </w:pPr>
      <w:r>
        <w:t>Declarations</w:t>
      </w:r>
    </w:p>
    <w:p w14:paraId="3CF2906F" w14:textId="11EF12C2" w:rsidR="00717FFE" w:rsidRDefault="00717FFE" w:rsidP="00837940">
      <w:pPr>
        <w:pStyle w:val="Heading3"/>
      </w:pPr>
      <w:r>
        <w:t>Availability of data and material</w:t>
      </w:r>
    </w:p>
    <w:p w14:paraId="7B89F7AC" w14:textId="1C67C789" w:rsidR="00717FFE" w:rsidRPr="00717FFE" w:rsidRDefault="00717FFE" w:rsidP="00717FFE">
      <w:pPr>
        <w:rPr>
          <w:lang w:val="en-GB"/>
        </w:rPr>
      </w:pPr>
      <w:r>
        <w:rPr>
          <w:lang w:val="en-GB"/>
        </w:rPr>
        <w:t>The datasets used in this research are available through application at the respective Longitudinal Study offices, ONS, NRS, and NISRA. More information may be found on their websites.</w:t>
      </w:r>
    </w:p>
    <w:p w14:paraId="0030895A" w14:textId="1654D4AE" w:rsidR="00717FFE" w:rsidRDefault="00717FFE" w:rsidP="00E43CA9">
      <w:pPr>
        <w:pStyle w:val="Heading2"/>
      </w:pPr>
      <w:r>
        <w:t>Funding</w:t>
      </w:r>
    </w:p>
    <w:p w14:paraId="7732E4C9" w14:textId="000D9604" w:rsidR="00717FFE" w:rsidRPr="00717FFE" w:rsidRDefault="00717FFE" w:rsidP="00717FFE">
      <w:pPr>
        <w:rPr>
          <w:lang w:val="en-GB"/>
        </w:rPr>
      </w:pPr>
      <w:r>
        <w:rPr>
          <w:lang w:val="en-GB"/>
        </w:rPr>
        <w:t>We acknowledge the Economic and Social Research Council as the funders of this research</w:t>
      </w:r>
      <w:r w:rsidR="0037557C">
        <w:rPr>
          <w:lang w:val="en-GB"/>
        </w:rPr>
        <w:t xml:space="preserve"> </w:t>
      </w:r>
      <w:r w:rsidR="0037557C" w:rsidRPr="0037557C">
        <w:rPr>
          <w:lang w:val="en-GB"/>
        </w:rPr>
        <w:t>(grant number ES/S009477/1</w:t>
      </w:r>
      <w:r w:rsidR="0037557C">
        <w:rPr>
          <w:lang w:val="en-GB"/>
        </w:rPr>
        <w:t>).</w:t>
      </w:r>
    </w:p>
    <w:p w14:paraId="125D29F8" w14:textId="74253D76" w:rsidR="00717FFE" w:rsidRDefault="00717FFE" w:rsidP="00E43CA9">
      <w:pPr>
        <w:pStyle w:val="Heading2"/>
        <w:numPr>
          <w:ilvl w:val="0"/>
          <w:numId w:val="0"/>
        </w:numPr>
        <w:ind w:left="720"/>
      </w:pPr>
    </w:p>
    <w:sectPr w:rsidR="00717F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A1B84" w14:textId="77777777" w:rsidR="006E7791" w:rsidRDefault="006E7791" w:rsidP="00E67227">
      <w:pPr>
        <w:spacing w:after="0" w:line="240" w:lineRule="auto"/>
      </w:pPr>
      <w:r>
        <w:separator/>
      </w:r>
    </w:p>
  </w:endnote>
  <w:endnote w:type="continuationSeparator" w:id="0">
    <w:p w14:paraId="7137DF1E" w14:textId="77777777" w:rsidR="006E7791" w:rsidRDefault="006E7791" w:rsidP="00E67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DF4F0" w14:textId="77777777" w:rsidR="006E7791" w:rsidRDefault="006E7791" w:rsidP="00E67227">
      <w:pPr>
        <w:spacing w:after="0" w:line="240" w:lineRule="auto"/>
      </w:pPr>
      <w:r>
        <w:separator/>
      </w:r>
    </w:p>
  </w:footnote>
  <w:footnote w:type="continuationSeparator" w:id="0">
    <w:p w14:paraId="33071FFE" w14:textId="77777777" w:rsidR="006E7791" w:rsidRDefault="006E7791" w:rsidP="00E67227">
      <w:pPr>
        <w:spacing w:after="0" w:line="240" w:lineRule="auto"/>
      </w:pPr>
      <w:r>
        <w:continuationSeparator/>
      </w:r>
    </w:p>
  </w:footnote>
  <w:footnote w:id="1">
    <w:p w14:paraId="1F6250AC" w14:textId="77777777" w:rsidR="00304731" w:rsidRPr="00591EDA" w:rsidRDefault="00304731" w:rsidP="00304731">
      <w:pPr>
        <w:pStyle w:val="FootnoteText"/>
        <w:rPr>
          <w:lang w:val="en-GB"/>
        </w:rPr>
      </w:pPr>
      <w:r>
        <w:rPr>
          <w:rStyle w:val="FootnoteReference"/>
        </w:rPr>
        <w:footnoteRef/>
      </w:r>
      <w:r>
        <w:t xml:space="preserve"> </w:t>
      </w:r>
      <w:r>
        <w:rPr>
          <w:lang w:val="en-GB"/>
        </w:rPr>
        <w:t>University of Southampton, Department of Social Statistics &amp; Demography, United Kingdom</w:t>
      </w:r>
    </w:p>
  </w:footnote>
  <w:footnote w:id="2">
    <w:p w14:paraId="19BD974D" w14:textId="77777777" w:rsidR="00304731" w:rsidRPr="00591EDA" w:rsidRDefault="00304731" w:rsidP="00304731">
      <w:pPr>
        <w:pStyle w:val="FootnoteText"/>
        <w:rPr>
          <w:lang w:val="en-GB"/>
        </w:rPr>
      </w:pPr>
      <w:r>
        <w:rPr>
          <w:rStyle w:val="FootnoteReference"/>
        </w:rPr>
        <w:footnoteRef/>
      </w:r>
      <w:r>
        <w:t xml:space="preserve"> </w:t>
      </w:r>
      <w:r>
        <w:rPr>
          <w:lang w:val="en-GB"/>
        </w:rPr>
        <w:t>University of St. Andrews, School of Geography &amp; Sustainable Development, United Kingdom</w:t>
      </w:r>
    </w:p>
  </w:footnote>
  <w:footnote w:id="3">
    <w:p w14:paraId="5BEED025" w14:textId="6BB88853" w:rsidR="008012FF" w:rsidRPr="004F5F66" w:rsidRDefault="008012FF" w:rsidP="004F5F66">
      <w:pPr>
        <w:rPr>
          <w:rFonts w:cstheme="minorHAnsi"/>
          <w:lang w:eastAsia="en-GB"/>
        </w:rPr>
      </w:pPr>
      <w:r w:rsidRPr="004F5F66">
        <w:rPr>
          <w:rStyle w:val="FootnoteReference"/>
        </w:rPr>
        <w:footnoteRef/>
      </w:r>
      <w:r w:rsidRPr="004F5F66">
        <w:t xml:space="preserve"> </w:t>
      </w:r>
      <w:r w:rsidRPr="004F5F66">
        <w:rPr>
          <w:rFonts w:cstheme="minorHAnsi"/>
          <w:lang w:eastAsia="en-GB"/>
        </w:rPr>
        <w:t>England and Wales collect their census and vital data together and due to internal migration between England and Wales, it is difficult to disentangle Welsh and English events/data. This is because there are several country linked factors – place of mother’s birth, place of mother’s residence, place of child’s birth and then differences in mother’s residence across time and birth order – which may occur across countries.</w:t>
      </w:r>
      <w:r w:rsidR="00373833" w:rsidRPr="004F5F66">
        <w:rPr>
          <w:rFonts w:cstheme="minorHAnsi"/>
          <w:lang w:eastAsia="en-GB"/>
        </w:rPr>
        <w:t xml:space="preserve"> </w:t>
      </w:r>
      <w:r w:rsidR="006121E0" w:rsidRPr="006121E0">
        <w:rPr>
          <w:rFonts w:cstheme="minorHAnsi"/>
          <w:lang w:eastAsia="en-GB"/>
        </w:rPr>
        <w:t xml:space="preserve">Moreover, Wales is 5% of the UK population and England and Wales’ total fertility rates are very similar.  </w:t>
      </w:r>
      <w:r w:rsidR="006121E0">
        <w:rPr>
          <w:rFonts w:cstheme="minorHAnsi"/>
          <w:lang w:eastAsia="en-GB"/>
        </w:rPr>
        <w:t xml:space="preserve"> </w:t>
      </w:r>
    </w:p>
    <w:p w14:paraId="736C3E38" w14:textId="73B40610" w:rsidR="008012FF" w:rsidRPr="008012FF" w:rsidRDefault="008012FF">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078CF"/>
    <w:multiLevelType w:val="hybridMultilevel"/>
    <w:tmpl w:val="03CE548A"/>
    <w:lvl w:ilvl="0" w:tplc="896EE008">
      <w:start w:val="1"/>
      <w:numFmt w:val="bullet"/>
      <w:lvlText w:val="•"/>
      <w:lvlJc w:val="left"/>
      <w:pPr>
        <w:tabs>
          <w:tab w:val="num" w:pos="720"/>
        </w:tabs>
        <w:ind w:left="720" w:hanging="360"/>
      </w:pPr>
      <w:rPr>
        <w:rFonts w:ascii="Arial" w:hAnsi="Arial" w:hint="default"/>
      </w:rPr>
    </w:lvl>
    <w:lvl w:ilvl="1" w:tplc="4C5CECD4" w:tentative="1">
      <w:start w:val="1"/>
      <w:numFmt w:val="bullet"/>
      <w:lvlText w:val="•"/>
      <w:lvlJc w:val="left"/>
      <w:pPr>
        <w:tabs>
          <w:tab w:val="num" w:pos="1440"/>
        </w:tabs>
        <w:ind w:left="1440" w:hanging="360"/>
      </w:pPr>
      <w:rPr>
        <w:rFonts w:ascii="Arial" w:hAnsi="Arial" w:hint="default"/>
      </w:rPr>
    </w:lvl>
    <w:lvl w:ilvl="2" w:tplc="33C45F78">
      <w:start w:val="1"/>
      <w:numFmt w:val="bullet"/>
      <w:lvlText w:val="•"/>
      <w:lvlJc w:val="left"/>
      <w:pPr>
        <w:tabs>
          <w:tab w:val="num" w:pos="2160"/>
        </w:tabs>
        <w:ind w:left="2160" w:hanging="360"/>
      </w:pPr>
      <w:rPr>
        <w:rFonts w:ascii="Arial" w:hAnsi="Arial" w:hint="default"/>
      </w:rPr>
    </w:lvl>
    <w:lvl w:ilvl="3" w:tplc="FF46CDB2" w:tentative="1">
      <w:start w:val="1"/>
      <w:numFmt w:val="bullet"/>
      <w:lvlText w:val="•"/>
      <w:lvlJc w:val="left"/>
      <w:pPr>
        <w:tabs>
          <w:tab w:val="num" w:pos="2880"/>
        </w:tabs>
        <w:ind w:left="2880" w:hanging="360"/>
      </w:pPr>
      <w:rPr>
        <w:rFonts w:ascii="Arial" w:hAnsi="Arial" w:hint="default"/>
      </w:rPr>
    </w:lvl>
    <w:lvl w:ilvl="4" w:tplc="B844BF5A" w:tentative="1">
      <w:start w:val="1"/>
      <w:numFmt w:val="bullet"/>
      <w:lvlText w:val="•"/>
      <w:lvlJc w:val="left"/>
      <w:pPr>
        <w:tabs>
          <w:tab w:val="num" w:pos="3600"/>
        </w:tabs>
        <w:ind w:left="3600" w:hanging="360"/>
      </w:pPr>
      <w:rPr>
        <w:rFonts w:ascii="Arial" w:hAnsi="Arial" w:hint="default"/>
      </w:rPr>
    </w:lvl>
    <w:lvl w:ilvl="5" w:tplc="70D2A472" w:tentative="1">
      <w:start w:val="1"/>
      <w:numFmt w:val="bullet"/>
      <w:lvlText w:val="•"/>
      <w:lvlJc w:val="left"/>
      <w:pPr>
        <w:tabs>
          <w:tab w:val="num" w:pos="4320"/>
        </w:tabs>
        <w:ind w:left="4320" w:hanging="360"/>
      </w:pPr>
      <w:rPr>
        <w:rFonts w:ascii="Arial" w:hAnsi="Arial" w:hint="default"/>
      </w:rPr>
    </w:lvl>
    <w:lvl w:ilvl="6" w:tplc="4FF016AA" w:tentative="1">
      <w:start w:val="1"/>
      <w:numFmt w:val="bullet"/>
      <w:lvlText w:val="•"/>
      <w:lvlJc w:val="left"/>
      <w:pPr>
        <w:tabs>
          <w:tab w:val="num" w:pos="5040"/>
        </w:tabs>
        <w:ind w:left="5040" w:hanging="360"/>
      </w:pPr>
      <w:rPr>
        <w:rFonts w:ascii="Arial" w:hAnsi="Arial" w:hint="default"/>
      </w:rPr>
    </w:lvl>
    <w:lvl w:ilvl="7" w:tplc="FFB67CBE" w:tentative="1">
      <w:start w:val="1"/>
      <w:numFmt w:val="bullet"/>
      <w:lvlText w:val="•"/>
      <w:lvlJc w:val="left"/>
      <w:pPr>
        <w:tabs>
          <w:tab w:val="num" w:pos="5760"/>
        </w:tabs>
        <w:ind w:left="5760" w:hanging="360"/>
      </w:pPr>
      <w:rPr>
        <w:rFonts w:ascii="Arial" w:hAnsi="Arial" w:hint="default"/>
      </w:rPr>
    </w:lvl>
    <w:lvl w:ilvl="8" w:tplc="F51E2C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8587D8E"/>
    <w:multiLevelType w:val="hybridMultilevel"/>
    <w:tmpl w:val="00C287E0"/>
    <w:lvl w:ilvl="0" w:tplc="FCB20072">
      <w:start w:val="1"/>
      <w:numFmt w:val="bullet"/>
      <w:lvlText w:val=""/>
      <w:lvlJc w:val="left"/>
      <w:pPr>
        <w:tabs>
          <w:tab w:val="num" w:pos="720"/>
        </w:tabs>
        <w:ind w:left="720" w:hanging="360"/>
      </w:pPr>
      <w:rPr>
        <w:rFonts w:ascii="Wingdings" w:hAnsi="Wingdings" w:hint="default"/>
      </w:rPr>
    </w:lvl>
    <w:lvl w:ilvl="1" w:tplc="9752BC8E" w:tentative="1">
      <w:start w:val="1"/>
      <w:numFmt w:val="bullet"/>
      <w:lvlText w:val=""/>
      <w:lvlJc w:val="left"/>
      <w:pPr>
        <w:tabs>
          <w:tab w:val="num" w:pos="1440"/>
        </w:tabs>
        <w:ind w:left="1440" w:hanging="360"/>
      </w:pPr>
      <w:rPr>
        <w:rFonts w:ascii="Wingdings" w:hAnsi="Wingdings" w:hint="default"/>
      </w:rPr>
    </w:lvl>
    <w:lvl w:ilvl="2" w:tplc="43265D26" w:tentative="1">
      <w:start w:val="1"/>
      <w:numFmt w:val="bullet"/>
      <w:lvlText w:val=""/>
      <w:lvlJc w:val="left"/>
      <w:pPr>
        <w:tabs>
          <w:tab w:val="num" w:pos="2160"/>
        </w:tabs>
        <w:ind w:left="2160" w:hanging="360"/>
      </w:pPr>
      <w:rPr>
        <w:rFonts w:ascii="Wingdings" w:hAnsi="Wingdings" w:hint="default"/>
      </w:rPr>
    </w:lvl>
    <w:lvl w:ilvl="3" w:tplc="07DA7BF4" w:tentative="1">
      <w:start w:val="1"/>
      <w:numFmt w:val="bullet"/>
      <w:lvlText w:val=""/>
      <w:lvlJc w:val="left"/>
      <w:pPr>
        <w:tabs>
          <w:tab w:val="num" w:pos="2880"/>
        </w:tabs>
        <w:ind w:left="2880" w:hanging="360"/>
      </w:pPr>
      <w:rPr>
        <w:rFonts w:ascii="Wingdings" w:hAnsi="Wingdings" w:hint="default"/>
      </w:rPr>
    </w:lvl>
    <w:lvl w:ilvl="4" w:tplc="A8461816" w:tentative="1">
      <w:start w:val="1"/>
      <w:numFmt w:val="bullet"/>
      <w:lvlText w:val=""/>
      <w:lvlJc w:val="left"/>
      <w:pPr>
        <w:tabs>
          <w:tab w:val="num" w:pos="3600"/>
        </w:tabs>
        <w:ind w:left="3600" w:hanging="360"/>
      </w:pPr>
      <w:rPr>
        <w:rFonts w:ascii="Wingdings" w:hAnsi="Wingdings" w:hint="default"/>
      </w:rPr>
    </w:lvl>
    <w:lvl w:ilvl="5" w:tplc="63C04DB2" w:tentative="1">
      <w:start w:val="1"/>
      <w:numFmt w:val="bullet"/>
      <w:lvlText w:val=""/>
      <w:lvlJc w:val="left"/>
      <w:pPr>
        <w:tabs>
          <w:tab w:val="num" w:pos="4320"/>
        </w:tabs>
        <w:ind w:left="4320" w:hanging="360"/>
      </w:pPr>
      <w:rPr>
        <w:rFonts w:ascii="Wingdings" w:hAnsi="Wingdings" w:hint="default"/>
      </w:rPr>
    </w:lvl>
    <w:lvl w:ilvl="6" w:tplc="2D407576" w:tentative="1">
      <w:start w:val="1"/>
      <w:numFmt w:val="bullet"/>
      <w:lvlText w:val=""/>
      <w:lvlJc w:val="left"/>
      <w:pPr>
        <w:tabs>
          <w:tab w:val="num" w:pos="5040"/>
        </w:tabs>
        <w:ind w:left="5040" w:hanging="360"/>
      </w:pPr>
      <w:rPr>
        <w:rFonts w:ascii="Wingdings" w:hAnsi="Wingdings" w:hint="default"/>
      </w:rPr>
    </w:lvl>
    <w:lvl w:ilvl="7" w:tplc="AF0035C2" w:tentative="1">
      <w:start w:val="1"/>
      <w:numFmt w:val="bullet"/>
      <w:lvlText w:val=""/>
      <w:lvlJc w:val="left"/>
      <w:pPr>
        <w:tabs>
          <w:tab w:val="num" w:pos="5760"/>
        </w:tabs>
        <w:ind w:left="5760" w:hanging="360"/>
      </w:pPr>
      <w:rPr>
        <w:rFonts w:ascii="Wingdings" w:hAnsi="Wingdings" w:hint="default"/>
      </w:rPr>
    </w:lvl>
    <w:lvl w:ilvl="8" w:tplc="B4DE34C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B5D6104"/>
    <w:multiLevelType w:val="multilevel"/>
    <w:tmpl w:val="90D6059E"/>
    <w:lvl w:ilvl="0">
      <w:start w:val="1"/>
      <w:numFmt w:val="decimal"/>
      <w:pStyle w:val="Heading2"/>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16cid:durableId="1162771488">
    <w:abstractNumId w:val="0"/>
  </w:num>
  <w:num w:numId="2" w16cid:durableId="332413014">
    <w:abstractNumId w:val="1"/>
  </w:num>
  <w:num w:numId="3" w16cid:durableId="1271203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07D83"/>
    <w:rsid w:val="00001AD1"/>
    <w:rsid w:val="000047FC"/>
    <w:rsid w:val="00004CB2"/>
    <w:rsid w:val="0000667F"/>
    <w:rsid w:val="00007E6F"/>
    <w:rsid w:val="000104DE"/>
    <w:rsid w:val="00011988"/>
    <w:rsid w:val="00012F4B"/>
    <w:rsid w:val="000132E8"/>
    <w:rsid w:val="000137A3"/>
    <w:rsid w:val="00014B76"/>
    <w:rsid w:val="0001666E"/>
    <w:rsid w:val="000202F2"/>
    <w:rsid w:val="000213D9"/>
    <w:rsid w:val="00032608"/>
    <w:rsid w:val="00033856"/>
    <w:rsid w:val="00033AE7"/>
    <w:rsid w:val="0003484D"/>
    <w:rsid w:val="00034F64"/>
    <w:rsid w:val="000409F7"/>
    <w:rsid w:val="00040B04"/>
    <w:rsid w:val="00041DC3"/>
    <w:rsid w:val="00043ADC"/>
    <w:rsid w:val="0004461E"/>
    <w:rsid w:val="0004535C"/>
    <w:rsid w:val="00045D4F"/>
    <w:rsid w:val="00047E64"/>
    <w:rsid w:val="00051354"/>
    <w:rsid w:val="00052C7C"/>
    <w:rsid w:val="00053CCC"/>
    <w:rsid w:val="00053F2D"/>
    <w:rsid w:val="000566A8"/>
    <w:rsid w:val="00056A0D"/>
    <w:rsid w:val="00060163"/>
    <w:rsid w:val="00061A6C"/>
    <w:rsid w:val="000628B3"/>
    <w:rsid w:val="00062B0B"/>
    <w:rsid w:val="00065BB5"/>
    <w:rsid w:val="000669BE"/>
    <w:rsid w:val="000673AC"/>
    <w:rsid w:val="00067D30"/>
    <w:rsid w:val="0007050D"/>
    <w:rsid w:val="00070C27"/>
    <w:rsid w:val="00070D94"/>
    <w:rsid w:val="000726D3"/>
    <w:rsid w:val="000761B7"/>
    <w:rsid w:val="000835F2"/>
    <w:rsid w:val="00084036"/>
    <w:rsid w:val="000866F4"/>
    <w:rsid w:val="00091D4F"/>
    <w:rsid w:val="00092239"/>
    <w:rsid w:val="00093C64"/>
    <w:rsid w:val="0009420D"/>
    <w:rsid w:val="0009478C"/>
    <w:rsid w:val="00095067"/>
    <w:rsid w:val="00095492"/>
    <w:rsid w:val="0009692F"/>
    <w:rsid w:val="000977B1"/>
    <w:rsid w:val="00097AB6"/>
    <w:rsid w:val="000A0506"/>
    <w:rsid w:val="000A2929"/>
    <w:rsid w:val="000A3549"/>
    <w:rsid w:val="000A438D"/>
    <w:rsid w:val="000A68F6"/>
    <w:rsid w:val="000B10BE"/>
    <w:rsid w:val="000B10FA"/>
    <w:rsid w:val="000B24CF"/>
    <w:rsid w:val="000B290E"/>
    <w:rsid w:val="000B2A36"/>
    <w:rsid w:val="000B2B5E"/>
    <w:rsid w:val="000B2D7E"/>
    <w:rsid w:val="000B39C9"/>
    <w:rsid w:val="000B4F9D"/>
    <w:rsid w:val="000B5133"/>
    <w:rsid w:val="000B7921"/>
    <w:rsid w:val="000C2343"/>
    <w:rsid w:val="000C3B08"/>
    <w:rsid w:val="000C3FCF"/>
    <w:rsid w:val="000C4477"/>
    <w:rsid w:val="000C466D"/>
    <w:rsid w:val="000D2B04"/>
    <w:rsid w:val="000D6D72"/>
    <w:rsid w:val="000E0184"/>
    <w:rsid w:val="000E2B16"/>
    <w:rsid w:val="000E441F"/>
    <w:rsid w:val="000E467B"/>
    <w:rsid w:val="000E47B2"/>
    <w:rsid w:val="000E4CBF"/>
    <w:rsid w:val="000E570A"/>
    <w:rsid w:val="000E5ED7"/>
    <w:rsid w:val="000E6B95"/>
    <w:rsid w:val="000E72D8"/>
    <w:rsid w:val="000F0E96"/>
    <w:rsid w:val="000F1B48"/>
    <w:rsid w:val="000F23EE"/>
    <w:rsid w:val="000F31DD"/>
    <w:rsid w:val="000F7DBF"/>
    <w:rsid w:val="0010019E"/>
    <w:rsid w:val="001101E2"/>
    <w:rsid w:val="00110B3E"/>
    <w:rsid w:val="001129E3"/>
    <w:rsid w:val="001136C2"/>
    <w:rsid w:val="0011383B"/>
    <w:rsid w:val="00114E4E"/>
    <w:rsid w:val="00115194"/>
    <w:rsid w:val="00115195"/>
    <w:rsid w:val="00116994"/>
    <w:rsid w:val="00117D05"/>
    <w:rsid w:val="0012043E"/>
    <w:rsid w:val="00121B39"/>
    <w:rsid w:val="001237E7"/>
    <w:rsid w:val="00123911"/>
    <w:rsid w:val="00125018"/>
    <w:rsid w:val="00125267"/>
    <w:rsid w:val="001254D4"/>
    <w:rsid w:val="00127E86"/>
    <w:rsid w:val="00127F66"/>
    <w:rsid w:val="00130896"/>
    <w:rsid w:val="00133F4D"/>
    <w:rsid w:val="00134562"/>
    <w:rsid w:val="001352BB"/>
    <w:rsid w:val="001405F9"/>
    <w:rsid w:val="00140823"/>
    <w:rsid w:val="001428F6"/>
    <w:rsid w:val="00144C19"/>
    <w:rsid w:val="001459F1"/>
    <w:rsid w:val="0014622A"/>
    <w:rsid w:val="00147E57"/>
    <w:rsid w:val="0015100A"/>
    <w:rsid w:val="001513C7"/>
    <w:rsid w:val="00152EF8"/>
    <w:rsid w:val="00153D5A"/>
    <w:rsid w:val="001548BE"/>
    <w:rsid w:val="001551E2"/>
    <w:rsid w:val="00162CE0"/>
    <w:rsid w:val="00164F9F"/>
    <w:rsid w:val="001670CB"/>
    <w:rsid w:val="0016714A"/>
    <w:rsid w:val="0016751D"/>
    <w:rsid w:val="0016794B"/>
    <w:rsid w:val="0017070D"/>
    <w:rsid w:val="00170B02"/>
    <w:rsid w:val="00173C60"/>
    <w:rsid w:val="00174B93"/>
    <w:rsid w:val="00174BCB"/>
    <w:rsid w:val="00177169"/>
    <w:rsid w:val="00181C9E"/>
    <w:rsid w:val="001830A6"/>
    <w:rsid w:val="0018339E"/>
    <w:rsid w:val="001904BB"/>
    <w:rsid w:val="0019193E"/>
    <w:rsid w:val="00191B4D"/>
    <w:rsid w:val="0019216E"/>
    <w:rsid w:val="00193114"/>
    <w:rsid w:val="00194401"/>
    <w:rsid w:val="00194E7E"/>
    <w:rsid w:val="00196BC7"/>
    <w:rsid w:val="001977F3"/>
    <w:rsid w:val="00197E9B"/>
    <w:rsid w:val="001A02EA"/>
    <w:rsid w:val="001A07CA"/>
    <w:rsid w:val="001A089E"/>
    <w:rsid w:val="001A129B"/>
    <w:rsid w:val="001A20E5"/>
    <w:rsid w:val="001A2134"/>
    <w:rsid w:val="001A3766"/>
    <w:rsid w:val="001A49D4"/>
    <w:rsid w:val="001A74D9"/>
    <w:rsid w:val="001A7D2E"/>
    <w:rsid w:val="001B0102"/>
    <w:rsid w:val="001B0248"/>
    <w:rsid w:val="001B035B"/>
    <w:rsid w:val="001B073E"/>
    <w:rsid w:val="001B0BC8"/>
    <w:rsid w:val="001B1059"/>
    <w:rsid w:val="001B1BDE"/>
    <w:rsid w:val="001B1CA4"/>
    <w:rsid w:val="001B1D36"/>
    <w:rsid w:val="001B2C89"/>
    <w:rsid w:val="001B49B3"/>
    <w:rsid w:val="001B53F7"/>
    <w:rsid w:val="001B64DD"/>
    <w:rsid w:val="001B6B6B"/>
    <w:rsid w:val="001B7CDC"/>
    <w:rsid w:val="001C05FF"/>
    <w:rsid w:val="001C2A5D"/>
    <w:rsid w:val="001C2EF1"/>
    <w:rsid w:val="001C38BD"/>
    <w:rsid w:val="001C426E"/>
    <w:rsid w:val="001C52B9"/>
    <w:rsid w:val="001C6D2C"/>
    <w:rsid w:val="001C7826"/>
    <w:rsid w:val="001C7E76"/>
    <w:rsid w:val="001D0923"/>
    <w:rsid w:val="001D0E12"/>
    <w:rsid w:val="001D3037"/>
    <w:rsid w:val="001D3BFF"/>
    <w:rsid w:val="001D41A6"/>
    <w:rsid w:val="001E2304"/>
    <w:rsid w:val="001E2688"/>
    <w:rsid w:val="001E441E"/>
    <w:rsid w:val="001E4872"/>
    <w:rsid w:val="001E4D72"/>
    <w:rsid w:val="001E5793"/>
    <w:rsid w:val="001E589E"/>
    <w:rsid w:val="001F08A0"/>
    <w:rsid w:val="001F1BAA"/>
    <w:rsid w:val="001F20AF"/>
    <w:rsid w:val="001F4544"/>
    <w:rsid w:val="001F5FEB"/>
    <w:rsid w:val="001F67F8"/>
    <w:rsid w:val="002046FF"/>
    <w:rsid w:val="00204BB5"/>
    <w:rsid w:val="00205530"/>
    <w:rsid w:val="00216B7F"/>
    <w:rsid w:val="0021731E"/>
    <w:rsid w:val="0022197F"/>
    <w:rsid w:val="00223734"/>
    <w:rsid w:val="00223C6C"/>
    <w:rsid w:val="00223DE5"/>
    <w:rsid w:val="002308EF"/>
    <w:rsid w:val="00233524"/>
    <w:rsid w:val="00234915"/>
    <w:rsid w:val="0023608B"/>
    <w:rsid w:val="00237690"/>
    <w:rsid w:val="00237F8C"/>
    <w:rsid w:val="0024125A"/>
    <w:rsid w:val="00241698"/>
    <w:rsid w:val="00241DCF"/>
    <w:rsid w:val="00241DDD"/>
    <w:rsid w:val="00242589"/>
    <w:rsid w:val="00242711"/>
    <w:rsid w:val="002433F4"/>
    <w:rsid w:val="002435EE"/>
    <w:rsid w:val="00243DAF"/>
    <w:rsid w:val="00245262"/>
    <w:rsid w:val="00245843"/>
    <w:rsid w:val="002473F5"/>
    <w:rsid w:val="0024766F"/>
    <w:rsid w:val="002476EB"/>
    <w:rsid w:val="0024799C"/>
    <w:rsid w:val="00247E44"/>
    <w:rsid w:val="002500A4"/>
    <w:rsid w:val="00250B0D"/>
    <w:rsid w:val="00250CE8"/>
    <w:rsid w:val="0025140B"/>
    <w:rsid w:val="00252133"/>
    <w:rsid w:val="00252A4E"/>
    <w:rsid w:val="00252C87"/>
    <w:rsid w:val="002533B8"/>
    <w:rsid w:val="002548E1"/>
    <w:rsid w:val="0025598F"/>
    <w:rsid w:val="00255EDE"/>
    <w:rsid w:val="00260094"/>
    <w:rsid w:val="00260864"/>
    <w:rsid w:val="00260901"/>
    <w:rsid w:val="00261FC1"/>
    <w:rsid w:val="00262BEC"/>
    <w:rsid w:val="002639C2"/>
    <w:rsid w:val="002647DD"/>
    <w:rsid w:val="00267150"/>
    <w:rsid w:val="00267425"/>
    <w:rsid w:val="00267DF0"/>
    <w:rsid w:val="00271473"/>
    <w:rsid w:val="0027299B"/>
    <w:rsid w:val="00272AD8"/>
    <w:rsid w:val="00272C93"/>
    <w:rsid w:val="0027457A"/>
    <w:rsid w:val="00274F7C"/>
    <w:rsid w:val="00275061"/>
    <w:rsid w:val="00276C8A"/>
    <w:rsid w:val="00276E68"/>
    <w:rsid w:val="002802CF"/>
    <w:rsid w:val="00283271"/>
    <w:rsid w:val="00283401"/>
    <w:rsid w:val="0028591A"/>
    <w:rsid w:val="00285A5E"/>
    <w:rsid w:val="00286B92"/>
    <w:rsid w:val="00292703"/>
    <w:rsid w:val="00292FDC"/>
    <w:rsid w:val="00293276"/>
    <w:rsid w:val="0029345E"/>
    <w:rsid w:val="00295449"/>
    <w:rsid w:val="00295653"/>
    <w:rsid w:val="00295844"/>
    <w:rsid w:val="002A03A0"/>
    <w:rsid w:val="002A37D6"/>
    <w:rsid w:val="002A3944"/>
    <w:rsid w:val="002A6024"/>
    <w:rsid w:val="002A7B69"/>
    <w:rsid w:val="002B1DD5"/>
    <w:rsid w:val="002B2141"/>
    <w:rsid w:val="002B2B04"/>
    <w:rsid w:val="002B39FF"/>
    <w:rsid w:val="002B3C19"/>
    <w:rsid w:val="002B5961"/>
    <w:rsid w:val="002B62BD"/>
    <w:rsid w:val="002B664A"/>
    <w:rsid w:val="002B6FA5"/>
    <w:rsid w:val="002B7716"/>
    <w:rsid w:val="002C062C"/>
    <w:rsid w:val="002C1583"/>
    <w:rsid w:val="002C2198"/>
    <w:rsid w:val="002C2511"/>
    <w:rsid w:val="002C3C05"/>
    <w:rsid w:val="002D3499"/>
    <w:rsid w:val="002D4A64"/>
    <w:rsid w:val="002D4FEF"/>
    <w:rsid w:val="002D63C6"/>
    <w:rsid w:val="002E0B67"/>
    <w:rsid w:val="002E42FA"/>
    <w:rsid w:val="002E487F"/>
    <w:rsid w:val="002E5218"/>
    <w:rsid w:val="002E5EBB"/>
    <w:rsid w:val="002E7165"/>
    <w:rsid w:val="002E71D1"/>
    <w:rsid w:val="002F0AB6"/>
    <w:rsid w:val="002F0AF5"/>
    <w:rsid w:val="002F12ED"/>
    <w:rsid w:val="002F2863"/>
    <w:rsid w:val="002F4FDA"/>
    <w:rsid w:val="002F51B9"/>
    <w:rsid w:val="002F542A"/>
    <w:rsid w:val="002F56FE"/>
    <w:rsid w:val="002F580E"/>
    <w:rsid w:val="002F6FA0"/>
    <w:rsid w:val="002F766F"/>
    <w:rsid w:val="00301692"/>
    <w:rsid w:val="00301F95"/>
    <w:rsid w:val="00302031"/>
    <w:rsid w:val="00303E2F"/>
    <w:rsid w:val="0030466A"/>
    <w:rsid w:val="00304731"/>
    <w:rsid w:val="00312DA3"/>
    <w:rsid w:val="00315151"/>
    <w:rsid w:val="003166C3"/>
    <w:rsid w:val="0031717C"/>
    <w:rsid w:val="00317C54"/>
    <w:rsid w:val="003228DD"/>
    <w:rsid w:val="00323790"/>
    <w:rsid w:val="00323CC5"/>
    <w:rsid w:val="003267C4"/>
    <w:rsid w:val="003276C7"/>
    <w:rsid w:val="003300D0"/>
    <w:rsid w:val="0033077F"/>
    <w:rsid w:val="003309A0"/>
    <w:rsid w:val="00333386"/>
    <w:rsid w:val="0033452F"/>
    <w:rsid w:val="00334559"/>
    <w:rsid w:val="00334B01"/>
    <w:rsid w:val="00335BE3"/>
    <w:rsid w:val="00336A9F"/>
    <w:rsid w:val="003371E3"/>
    <w:rsid w:val="00343068"/>
    <w:rsid w:val="00343099"/>
    <w:rsid w:val="003443A5"/>
    <w:rsid w:val="0034706E"/>
    <w:rsid w:val="003508E9"/>
    <w:rsid w:val="00351064"/>
    <w:rsid w:val="00351640"/>
    <w:rsid w:val="00351A4C"/>
    <w:rsid w:val="00351DBF"/>
    <w:rsid w:val="003523F6"/>
    <w:rsid w:val="003528FF"/>
    <w:rsid w:val="00354A8D"/>
    <w:rsid w:val="00354D12"/>
    <w:rsid w:val="00355FE9"/>
    <w:rsid w:val="0035631E"/>
    <w:rsid w:val="00360800"/>
    <w:rsid w:val="00360BD0"/>
    <w:rsid w:val="00363E9E"/>
    <w:rsid w:val="003648BA"/>
    <w:rsid w:val="00364DF5"/>
    <w:rsid w:val="00364F8C"/>
    <w:rsid w:val="00365824"/>
    <w:rsid w:val="00365993"/>
    <w:rsid w:val="0036638F"/>
    <w:rsid w:val="00370361"/>
    <w:rsid w:val="00373833"/>
    <w:rsid w:val="0037557C"/>
    <w:rsid w:val="003763D1"/>
    <w:rsid w:val="00377F46"/>
    <w:rsid w:val="00380403"/>
    <w:rsid w:val="003812C4"/>
    <w:rsid w:val="00382CCA"/>
    <w:rsid w:val="00382D69"/>
    <w:rsid w:val="00382E20"/>
    <w:rsid w:val="00383D4E"/>
    <w:rsid w:val="00384D02"/>
    <w:rsid w:val="00386E2D"/>
    <w:rsid w:val="00390984"/>
    <w:rsid w:val="003921A0"/>
    <w:rsid w:val="003930AF"/>
    <w:rsid w:val="00394DDA"/>
    <w:rsid w:val="00396604"/>
    <w:rsid w:val="003966F0"/>
    <w:rsid w:val="003970D0"/>
    <w:rsid w:val="003A37C3"/>
    <w:rsid w:val="003A409F"/>
    <w:rsid w:val="003A5575"/>
    <w:rsid w:val="003A6A9D"/>
    <w:rsid w:val="003B1CE3"/>
    <w:rsid w:val="003B4ABD"/>
    <w:rsid w:val="003B5514"/>
    <w:rsid w:val="003B66C8"/>
    <w:rsid w:val="003B670A"/>
    <w:rsid w:val="003B6AC9"/>
    <w:rsid w:val="003B6FA7"/>
    <w:rsid w:val="003C017C"/>
    <w:rsid w:val="003C06CB"/>
    <w:rsid w:val="003C078C"/>
    <w:rsid w:val="003C0C51"/>
    <w:rsid w:val="003C1420"/>
    <w:rsid w:val="003C1604"/>
    <w:rsid w:val="003C1751"/>
    <w:rsid w:val="003C2AD1"/>
    <w:rsid w:val="003C2CC5"/>
    <w:rsid w:val="003C4564"/>
    <w:rsid w:val="003C50ED"/>
    <w:rsid w:val="003C72C4"/>
    <w:rsid w:val="003C758B"/>
    <w:rsid w:val="003D195D"/>
    <w:rsid w:val="003D3114"/>
    <w:rsid w:val="003D500B"/>
    <w:rsid w:val="003D5265"/>
    <w:rsid w:val="003D6142"/>
    <w:rsid w:val="003E032A"/>
    <w:rsid w:val="003E09F9"/>
    <w:rsid w:val="003E37E4"/>
    <w:rsid w:val="003E3CAB"/>
    <w:rsid w:val="003E4B7B"/>
    <w:rsid w:val="003E4BCA"/>
    <w:rsid w:val="003E58AC"/>
    <w:rsid w:val="003F0A78"/>
    <w:rsid w:val="003F1082"/>
    <w:rsid w:val="003F1ABF"/>
    <w:rsid w:val="003F2706"/>
    <w:rsid w:val="003F345D"/>
    <w:rsid w:val="003F35F6"/>
    <w:rsid w:val="003F5F81"/>
    <w:rsid w:val="003F71E1"/>
    <w:rsid w:val="00400942"/>
    <w:rsid w:val="0040209E"/>
    <w:rsid w:val="0040242F"/>
    <w:rsid w:val="00402FA3"/>
    <w:rsid w:val="0041035C"/>
    <w:rsid w:val="00410E52"/>
    <w:rsid w:val="004118D0"/>
    <w:rsid w:val="00411C09"/>
    <w:rsid w:val="0041624F"/>
    <w:rsid w:val="0042025B"/>
    <w:rsid w:val="00420C65"/>
    <w:rsid w:val="004258EC"/>
    <w:rsid w:val="00425D7D"/>
    <w:rsid w:val="004262D8"/>
    <w:rsid w:val="004302B4"/>
    <w:rsid w:val="00430D38"/>
    <w:rsid w:val="00431195"/>
    <w:rsid w:val="004332BC"/>
    <w:rsid w:val="00433AAB"/>
    <w:rsid w:val="00434079"/>
    <w:rsid w:val="004345F6"/>
    <w:rsid w:val="00437EE3"/>
    <w:rsid w:val="004413AB"/>
    <w:rsid w:val="0044220F"/>
    <w:rsid w:val="00442799"/>
    <w:rsid w:val="00446418"/>
    <w:rsid w:val="00447DCC"/>
    <w:rsid w:val="00451DAE"/>
    <w:rsid w:val="004535C6"/>
    <w:rsid w:val="00453A0F"/>
    <w:rsid w:val="00453A2E"/>
    <w:rsid w:val="00455578"/>
    <w:rsid w:val="0045676E"/>
    <w:rsid w:val="0045707B"/>
    <w:rsid w:val="00460867"/>
    <w:rsid w:val="0046145E"/>
    <w:rsid w:val="004636B4"/>
    <w:rsid w:val="0046375F"/>
    <w:rsid w:val="00470223"/>
    <w:rsid w:val="004702C9"/>
    <w:rsid w:val="00470915"/>
    <w:rsid w:val="00471B85"/>
    <w:rsid w:val="004754E2"/>
    <w:rsid w:val="004777A5"/>
    <w:rsid w:val="00477D33"/>
    <w:rsid w:val="00480F05"/>
    <w:rsid w:val="00481399"/>
    <w:rsid w:val="004841EC"/>
    <w:rsid w:val="0048424A"/>
    <w:rsid w:val="004844EE"/>
    <w:rsid w:val="00484B7F"/>
    <w:rsid w:val="004866E4"/>
    <w:rsid w:val="00487338"/>
    <w:rsid w:val="00490F36"/>
    <w:rsid w:val="004919F0"/>
    <w:rsid w:val="00492566"/>
    <w:rsid w:val="004925AE"/>
    <w:rsid w:val="00492FDB"/>
    <w:rsid w:val="004933CE"/>
    <w:rsid w:val="00494C42"/>
    <w:rsid w:val="00495FD6"/>
    <w:rsid w:val="00497DB7"/>
    <w:rsid w:val="004A1309"/>
    <w:rsid w:val="004A216E"/>
    <w:rsid w:val="004A2CD1"/>
    <w:rsid w:val="004A3B26"/>
    <w:rsid w:val="004A5EC0"/>
    <w:rsid w:val="004A63AD"/>
    <w:rsid w:val="004A6519"/>
    <w:rsid w:val="004A6F07"/>
    <w:rsid w:val="004B11FE"/>
    <w:rsid w:val="004B44D5"/>
    <w:rsid w:val="004B705A"/>
    <w:rsid w:val="004B7121"/>
    <w:rsid w:val="004C00B1"/>
    <w:rsid w:val="004C00D6"/>
    <w:rsid w:val="004C1DA8"/>
    <w:rsid w:val="004C35FF"/>
    <w:rsid w:val="004C4B19"/>
    <w:rsid w:val="004C7673"/>
    <w:rsid w:val="004D1C4B"/>
    <w:rsid w:val="004D209C"/>
    <w:rsid w:val="004D2556"/>
    <w:rsid w:val="004D3833"/>
    <w:rsid w:val="004D4D1C"/>
    <w:rsid w:val="004D6DC8"/>
    <w:rsid w:val="004D7D25"/>
    <w:rsid w:val="004E0533"/>
    <w:rsid w:val="004E12DE"/>
    <w:rsid w:val="004E3C1C"/>
    <w:rsid w:val="004E43E2"/>
    <w:rsid w:val="004E53AB"/>
    <w:rsid w:val="004E5D36"/>
    <w:rsid w:val="004E724F"/>
    <w:rsid w:val="004E73AC"/>
    <w:rsid w:val="004E7791"/>
    <w:rsid w:val="004F110B"/>
    <w:rsid w:val="004F359B"/>
    <w:rsid w:val="004F3A9D"/>
    <w:rsid w:val="004F4AD9"/>
    <w:rsid w:val="004F5048"/>
    <w:rsid w:val="004F509F"/>
    <w:rsid w:val="004F5F66"/>
    <w:rsid w:val="00500180"/>
    <w:rsid w:val="00501270"/>
    <w:rsid w:val="00502884"/>
    <w:rsid w:val="005028C3"/>
    <w:rsid w:val="00502FDA"/>
    <w:rsid w:val="005042F4"/>
    <w:rsid w:val="00504AFB"/>
    <w:rsid w:val="005062D5"/>
    <w:rsid w:val="00507842"/>
    <w:rsid w:val="0051277B"/>
    <w:rsid w:val="00513A0C"/>
    <w:rsid w:val="00515B7F"/>
    <w:rsid w:val="00520B67"/>
    <w:rsid w:val="005215B5"/>
    <w:rsid w:val="00522E0D"/>
    <w:rsid w:val="005232C9"/>
    <w:rsid w:val="005232CE"/>
    <w:rsid w:val="0052348B"/>
    <w:rsid w:val="00525497"/>
    <w:rsid w:val="0052641E"/>
    <w:rsid w:val="005302EE"/>
    <w:rsid w:val="00531395"/>
    <w:rsid w:val="00531A84"/>
    <w:rsid w:val="005363D7"/>
    <w:rsid w:val="005417B7"/>
    <w:rsid w:val="0054665B"/>
    <w:rsid w:val="00546C56"/>
    <w:rsid w:val="00547FF9"/>
    <w:rsid w:val="0055398D"/>
    <w:rsid w:val="005541E5"/>
    <w:rsid w:val="0056009F"/>
    <w:rsid w:val="005612AE"/>
    <w:rsid w:val="005637BB"/>
    <w:rsid w:val="00563C48"/>
    <w:rsid w:val="005641C0"/>
    <w:rsid w:val="005647C1"/>
    <w:rsid w:val="0056595F"/>
    <w:rsid w:val="0056656E"/>
    <w:rsid w:val="005708A3"/>
    <w:rsid w:val="00571189"/>
    <w:rsid w:val="005723DA"/>
    <w:rsid w:val="00572912"/>
    <w:rsid w:val="005751D2"/>
    <w:rsid w:val="00576D0F"/>
    <w:rsid w:val="00577F0C"/>
    <w:rsid w:val="00577FCD"/>
    <w:rsid w:val="00577FF7"/>
    <w:rsid w:val="00580A53"/>
    <w:rsid w:val="00580AD9"/>
    <w:rsid w:val="005818AE"/>
    <w:rsid w:val="00582065"/>
    <w:rsid w:val="00584AB0"/>
    <w:rsid w:val="00585845"/>
    <w:rsid w:val="00586899"/>
    <w:rsid w:val="00587FB4"/>
    <w:rsid w:val="00590247"/>
    <w:rsid w:val="00591091"/>
    <w:rsid w:val="00591E40"/>
    <w:rsid w:val="00591EDA"/>
    <w:rsid w:val="00591F17"/>
    <w:rsid w:val="00592999"/>
    <w:rsid w:val="005932B6"/>
    <w:rsid w:val="005933C4"/>
    <w:rsid w:val="005939D7"/>
    <w:rsid w:val="00594CB5"/>
    <w:rsid w:val="0059568F"/>
    <w:rsid w:val="00597485"/>
    <w:rsid w:val="005976FA"/>
    <w:rsid w:val="00597C6F"/>
    <w:rsid w:val="005A1929"/>
    <w:rsid w:val="005A1D53"/>
    <w:rsid w:val="005A2D5F"/>
    <w:rsid w:val="005A4249"/>
    <w:rsid w:val="005A4C02"/>
    <w:rsid w:val="005A53BB"/>
    <w:rsid w:val="005A582B"/>
    <w:rsid w:val="005A619C"/>
    <w:rsid w:val="005A7436"/>
    <w:rsid w:val="005B029D"/>
    <w:rsid w:val="005B0BBC"/>
    <w:rsid w:val="005B0F8B"/>
    <w:rsid w:val="005B15DA"/>
    <w:rsid w:val="005B1A63"/>
    <w:rsid w:val="005B399C"/>
    <w:rsid w:val="005B443D"/>
    <w:rsid w:val="005B5206"/>
    <w:rsid w:val="005B5671"/>
    <w:rsid w:val="005C0947"/>
    <w:rsid w:val="005C4794"/>
    <w:rsid w:val="005C7411"/>
    <w:rsid w:val="005D106C"/>
    <w:rsid w:val="005D1F12"/>
    <w:rsid w:val="005D259A"/>
    <w:rsid w:val="005D3ACB"/>
    <w:rsid w:val="005D47F8"/>
    <w:rsid w:val="005D7A44"/>
    <w:rsid w:val="005E032D"/>
    <w:rsid w:val="005E16D1"/>
    <w:rsid w:val="005E56D2"/>
    <w:rsid w:val="005E5AAD"/>
    <w:rsid w:val="005E61E8"/>
    <w:rsid w:val="005E74B2"/>
    <w:rsid w:val="005E7E7E"/>
    <w:rsid w:val="005F0696"/>
    <w:rsid w:val="005F109C"/>
    <w:rsid w:val="005F4585"/>
    <w:rsid w:val="005F4AF2"/>
    <w:rsid w:val="005F5915"/>
    <w:rsid w:val="005F71A2"/>
    <w:rsid w:val="00600C71"/>
    <w:rsid w:val="00600EE4"/>
    <w:rsid w:val="00600F09"/>
    <w:rsid w:val="00602DC9"/>
    <w:rsid w:val="0060363D"/>
    <w:rsid w:val="00605A04"/>
    <w:rsid w:val="006121E0"/>
    <w:rsid w:val="00612324"/>
    <w:rsid w:val="00613383"/>
    <w:rsid w:val="00613A2A"/>
    <w:rsid w:val="00613B4C"/>
    <w:rsid w:val="006141F2"/>
    <w:rsid w:val="00615378"/>
    <w:rsid w:val="00616793"/>
    <w:rsid w:val="006168E2"/>
    <w:rsid w:val="00617580"/>
    <w:rsid w:val="00617D74"/>
    <w:rsid w:val="0062157D"/>
    <w:rsid w:val="00621A18"/>
    <w:rsid w:val="00621BA7"/>
    <w:rsid w:val="00624203"/>
    <w:rsid w:val="006269ED"/>
    <w:rsid w:val="00631FB6"/>
    <w:rsid w:val="006320F2"/>
    <w:rsid w:val="00634522"/>
    <w:rsid w:val="00634BC0"/>
    <w:rsid w:val="006353CC"/>
    <w:rsid w:val="00635BDC"/>
    <w:rsid w:val="0063747D"/>
    <w:rsid w:val="00641ACC"/>
    <w:rsid w:val="0064349C"/>
    <w:rsid w:val="00643D17"/>
    <w:rsid w:val="0064522C"/>
    <w:rsid w:val="006468FA"/>
    <w:rsid w:val="00651F68"/>
    <w:rsid w:val="006532D0"/>
    <w:rsid w:val="00653891"/>
    <w:rsid w:val="00653986"/>
    <w:rsid w:val="00653EDB"/>
    <w:rsid w:val="0065507F"/>
    <w:rsid w:val="00657309"/>
    <w:rsid w:val="00661A94"/>
    <w:rsid w:val="00662FE5"/>
    <w:rsid w:val="00664BBE"/>
    <w:rsid w:val="006679B3"/>
    <w:rsid w:val="006711E9"/>
    <w:rsid w:val="006712A1"/>
    <w:rsid w:val="0067200E"/>
    <w:rsid w:val="00676141"/>
    <w:rsid w:val="006765A8"/>
    <w:rsid w:val="00680864"/>
    <w:rsid w:val="0068123A"/>
    <w:rsid w:val="0068194F"/>
    <w:rsid w:val="00681C7C"/>
    <w:rsid w:val="00684163"/>
    <w:rsid w:val="0068486B"/>
    <w:rsid w:val="006850A2"/>
    <w:rsid w:val="00690DE2"/>
    <w:rsid w:val="00691DA6"/>
    <w:rsid w:val="006929D7"/>
    <w:rsid w:val="006937F8"/>
    <w:rsid w:val="00693B4E"/>
    <w:rsid w:val="00694654"/>
    <w:rsid w:val="0069628C"/>
    <w:rsid w:val="006A06DB"/>
    <w:rsid w:val="006A0713"/>
    <w:rsid w:val="006A0CB3"/>
    <w:rsid w:val="006A10FD"/>
    <w:rsid w:val="006A14BF"/>
    <w:rsid w:val="006A1542"/>
    <w:rsid w:val="006A25ED"/>
    <w:rsid w:val="006A607F"/>
    <w:rsid w:val="006B0C43"/>
    <w:rsid w:val="006B24AA"/>
    <w:rsid w:val="006B42C7"/>
    <w:rsid w:val="006B47F8"/>
    <w:rsid w:val="006B4A97"/>
    <w:rsid w:val="006B593D"/>
    <w:rsid w:val="006B6D2C"/>
    <w:rsid w:val="006B7485"/>
    <w:rsid w:val="006C3B1B"/>
    <w:rsid w:val="006C3C1F"/>
    <w:rsid w:val="006C4E2E"/>
    <w:rsid w:val="006C5006"/>
    <w:rsid w:val="006C72FA"/>
    <w:rsid w:val="006C756F"/>
    <w:rsid w:val="006C7ED8"/>
    <w:rsid w:val="006D28E6"/>
    <w:rsid w:val="006D2DBB"/>
    <w:rsid w:val="006D3EA0"/>
    <w:rsid w:val="006D5859"/>
    <w:rsid w:val="006D6D2C"/>
    <w:rsid w:val="006D7A8C"/>
    <w:rsid w:val="006E139F"/>
    <w:rsid w:val="006E4E5F"/>
    <w:rsid w:val="006E5868"/>
    <w:rsid w:val="006E68EE"/>
    <w:rsid w:val="006E751B"/>
    <w:rsid w:val="006E7791"/>
    <w:rsid w:val="006E77B6"/>
    <w:rsid w:val="006E7C68"/>
    <w:rsid w:val="006F0184"/>
    <w:rsid w:val="006F5CB0"/>
    <w:rsid w:val="006F5D55"/>
    <w:rsid w:val="006F61E7"/>
    <w:rsid w:val="006F6F6C"/>
    <w:rsid w:val="006F7133"/>
    <w:rsid w:val="006F76ED"/>
    <w:rsid w:val="00700E5B"/>
    <w:rsid w:val="0070361C"/>
    <w:rsid w:val="00704458"/>
    <w:rsid w:val="00704FBC"/>
    <w:rsid w:val="00705B55"/>
    <w:rsid w:val="00706060"/>
    <w:rsid w:val="00706433"/>
    <w:rsid w:val="007064FA"/>
    <w:rsid w:val="0070659A"/>
    <w:rsid w:val="0070777C"/>
    <w:rsid w:val="00710EFD"/>
    <w:rsid w:val="00711EE4"/>
    <w:rsid w:val="00714FBB"/>
    <w:rsid w:val="00715832"/>
    <w:rsid w:val="00717FFE"/>
    <w:rsid w:val="00720320"/>
    <w:rsid w:val="00722B56"/>
    <w:rsid w:val="00722E5F"/>
    <w:rsid w:val="0072342E"/>
    <w:rsid w:val="0072455E"/>
    <w:rsid w:val="007246C7"/>
    <w:rsid w:val="0072487E"/>
    <w:rsid w:val="00725027"/>
    <w:rsid w:val="007250A9"/>
    <w:rsid w:val="00725503"/>
    <w:rsid w:val="007263F6"/>
    <w:rsid w:val="00727249"/>
    <w:rsid w:val="00730778"/>
    <w:rsid w:val="00736298"/>
    <w:rsid w:val="0073680E"/>
    <w:rsid w:val="007375CE"/>
    <w:rsid w:val="00737DA7"/>
    <w:rsid w:val="007436FC"/>
    <w:rsid w:val="007447E8"/>
    <w:rsid w:val="00744952"/>
    <w:rsid w:val="00746E45"/>
    <w:rsid w:val="00750259"/>
    <w:rsid w:val="00750D3E"/>
    <w:rsid w:val="0075473A"/>
    <w:rsid w:val="00754C86"/>
    <w:rsid w:val="007553B0"/>
    <w:rsid w:val="00755BFB"/>
    <w:rsid w:val="007562AD"/>
    <w:rsid w:val="00756AC8"/>
    <w:rsid w:val="00757DAE"/>
    <w:rsid w:val="00760724"/>
    <w:rsid w:val="00760A77"/>
    <w:rsid w:val="007618C9"/>
    <w:rsid w:val="00763E00"/>
    <w:rsid w:val="007645D5"/>
    <w:rsid w:val="00764901"/>
    <w:rsid w:val="00764A12"/>
    <w:rsid w:val="007675FC"/>
    <w:rsid w:val="0077061D"/>
    <w:rsid w:val="00775AC5"/>
    <w:rsid w:val="00776DB9"/>
    <w:rsid w:val="00777EE6"/>
    <w:rsid w:val="0078056D"/>
    <w:rsid w:val="007807E3"/>
    <w:rsid w:val="00780C48"/>
    <w:rsid w:val="00781214"/>
    <w:rsid w:val="007818CF"/>
    <w:rsid w:val="00782616"/>
    <w:rsid w:val="007837B5"/>
    <w:rsid w:val="00783C7B"/>
    <w:rsid w:val="00784148"/>
    <w:rsid w:val="007849D8"/>
    <w:rsid w:val="00784F41"/>
    <w:rsid w:val="00785E61"/>
    <w:rsid w:val="00790804"/>
    <w:rsid w:val="00790EE7"/>
    <w:rsid w:val="00792290"/>
    <w:rsid w:val="007928FA"/>
    <w:rsid w:val="00792992"/>
    <w:rsid w:val="00794230"/>
    <w:rsid w:val="00795DDD"/>
    <w:rsid w:val="007971C8"/>
    <w:rsid w:val="00797D8F"/>
    <w:rsid w:val="007A3075"/>
    <w:rsid w:val="007A39E8"/>
    <w:rsid w:val="007A5218"/>
    <w:rsid w:val="007A5B8B"/>
    <w:rsid w:val="007A75A7"/>
    <w:rsid w:val="007B0911"/>
    <w:rsid w:val="007B0BE7"/>
    <w:rsid w:val="007B1041"/>
    <w:rsid w:val="007B1241"/>
    <w:rsid w:val="007B1985"/>
    <w:rsid w:val="007B1A65"/>
    <w:rsid w:val="007B27BF"/>
    <w:rsid w:val="007B68EE"/>
    <w:rsid w:val="007B711F"/>
    <w:rsid w:val="007C1FC1"/>
    <w:rsid w:val="007C478F"/>
    <w:rsid w:val="007C4807"/>
    <w:rsid w:val="007C4A42"/>
    <w:rsid w:val="007C51E8"/>
    <w:rsid w:val="007C5D38"/>
    <w:rsid w:val="007C6B17"/>
    <w:rsid w:val="007C732E"/>
    <w:rsid w:val="007C7ED0"/>
    <w:rsid w:val="007D09B1"/>
    <w:rsid w:val="007D0C84"/>
    <w:rsid w:val="007D193F"/>
    <w:rsid w:val="007D462D"/>
    <w:rsid w:val="007D4E3F"/>
    <w:rsid w:val="007D5318"/>
    <w:rsid w:val="007D5353"/>
    <w:rsid w:val="007D7CD2"/>
    <w:rsid w:val="007E1189"/>
    <w:rsid w:val="007E445B"/>
    <w:rsid w:val="007E46E7"/>
    <w:rsid w:val="007E4F78"/>
    <w:rsid w:val="007E5431"/>
    <w:rsid w:val="007E5599"/>
    <w:rsid w:val="007E560E"/>
    <w:rsid w:val="007E64A5"/>
    <w:rsid w:val="007E67F7"/>
    <w:rsid w:val="007E7922"/>
    <w:rsid w:val="007F0471"/>
    <w:rsid w:val="007F1DEC"/>
    <w:rsid w:val="007F220E"/>
    <w:rsid w:val="007F25D7"/>
    <w:rsid w:val="007F2DF9"/>
    <w:rsid w:val="007F434F"/>
    <w:rsid w:val="007F46B3"/>
    <w:rsid w:val="007F55A1"/>
    <w:rsid w:val="007F562E"/>
    <w:rsid w:val="007F6B04"/>
    <w:rsid w:val="007F750D"/>
    <w:rsid w:val="008012FF"/>
    <w:rsid w:val="00802F26"/>
    <w:rsid w:val="00804167"/>
    <w:rsid w:val="00807025"/>
    <w:rsid w:val="00807D83"/>
    <w:rsid w:val="00810587"/>
    <w:rsid w:val="00810A19"/>
    <w:rsid w:val="00811309"/>
    <w:rsid w:val="008130E4"/>
    <w:rsid w:val="0081367A"/>
    <w:rsid w:val="00815412"/>
    <w:rsid w:val="00815459"/>
    <w:rsid w:val="00815FFA"/>
    <w:rsid w:val="00817D30"/>
    <w:rsid w:val="00821723"/>
    <w:rsid w:val="0082261E"/>
    <w:rsid w:val="00823C30"/>
    <w:rsid w:val="0082434E"/>
    <w:rsid w:val="00824952"/>
    <w:rsid w:val="00827D90"/>
    <w:rsid w:val="008307C8"/>
    <w:rsid w:val="00831B12"/>
    <w:rsid w:val="008335C0"/>
    <w:rsid w:val="0083452A"/>
    <w:rsid w:val="00837940"/>
    <w:rsid w:val="00837D2B"/>
    <w:rsid w:val="00841E3D"/>
    <w:rsid w:val="00842F4D"/>
    <w:rsid w:val="008447E8"/>
    <w:rsid w:val="00844B04"/>
    <w:rsid w:val="008452CB"/>
    <w:rsid w:val="008466FC"/>
    <w:rsid w:val="008469B8"/>
    <w:rsid w:val="0084771C"/>
    <w:rsid w:val="00852E31"/>
    <w:rsid w:val="00854448"/>
    <w:rsid w:val="008544B4"/>
    <w:rsid w:val="00854C12"/>
    <w:rsid w:val="00854F59"/>
    <w:rsid w:val="0085777A"/>
    <w:rsid w:val="0086002A"/>
    <w:rsid w:val="00860351"/>
    <w:rsid w:val="00861451"/>
    <w:rsid w:val="00861FA3"/>
    <w:rsid w:val="00862A55"/>
    <w:rsid w:val="008648FF"/>
    <w:rsid w:val="008651E0"/>
    <w:rsid w:val="00865BE0"/>
    <w:rsid w:val="00866098"/>
    <w:rsid w:val="0086685C"/>
    <w:rsid w:val="008670FE"/>
    <w:rsid w:val="00867A4D"/>
    <w:rsid w:val="00867DAE"/>
    <w:rsid w:val="00867FC0"/>
    <w:rsid w:val="00870CA0"/>
    <w:rsid w:val="00871635"/>
    <w:rsid w:val="00871A0A"/>
    <w:rsid w:val="00871A47"/>
    <w:rsid w:val="00873D9F"/>
    <w:rsid w:val="00875C98"/>
    <w:rsid w:val="00876320"/>
    <w:rsid w:val="00881B18"/>
    <w:rsid w:val="00882377"/>
    <w:rsid w:val="00883108"/>
    <w:rsid w:val="008839A1"/>
    <w:rsid w:val="008841CF"/>
    <w:rsid w:val="008852B8"/>
    <w:rsid w:val="00886301"/>
    <w:rsid w:val="008872EB"/>
    <w:rsid w:val="008907B3"/>
    <w:rsid w:val="0089163F"/>
    <w:rsid w:val="0089248F"/>
    <w:rsid w:val="008925E2"/>
    <w:rsid w:val="00893A53"/>
    <w:rsid w:val="0089402B"/>
    <w:rsid w:val="008943C0"/>
    <w:rsid w:val="008A12EB"/>
    <w:rsid w:val="008A6734"/>
    <w:rsid w:val="008A6A8D"/>
    <w:rsid w:val="008B1398"/>
    <w:rsid w:val="008B195D"/>
    <w:rsid w:val="008B1E69"/>
    <w:rsid w:val="008B29C0"/>
    <w:rsid w:val="008B3047"/>
    <w:rsid w:val="008B33AA"/>
    <w:rsid w:val="008B33FF"/>
    <w:rsid w:val="008B375A"/>
    <w:rsid w:val="008B57DA"/>
    <w:rsid w:val="008B5BE0"/>
    <w:rsid w:val="008B7A42"/>
    <w:rsid w:val="008C19D5"/>
    <w:rsid w:val="008C3B81"/>
    <w:rsid w:val="008C48F2"/>
    <w:rsid w:val="008C4CD6"/>
    <w:rsid w:val="008C4E21"/>
    <w:rsid w:val="008C5C92"/>
    <w:rsid w:val="008D029C"/>
    <w:rsid w:val="008D1514"/>
    <w:rsid w:val="008D1A2D"/>
    <w:rsid w:val="008D298C"/>
    <w:rsid w:val="008D330D"/>
    <w:rsid w:val="008D3427"/>
    <w:rsid w:val="008D3F53"/>
    <w:rsid w:val="008D4399"/>
    <w:rsid w:val="008D51E9"/>
    <w:rsid w:val="008D5562"/>
    <w:rsid w:val="008D7BC9"/>
    <w:rsid w:val="008E2439"/>
    <w:rsid w:val="008E25D8"/>
    <w:rsid w:val="008E3780"/>
    <w:rsid w:val="008E5A8E"/>
    <w:rsid w:val="008E6091"/>
    <w:rsid w:val="008E67A2"/>
    <w:rsid w:val="008E7915"/>
    <w:rsid w:val="008F0880"/>
    <w:rsid w:val="008F17A4"/>
    <w:rsid w:val="008F1DBD"/>
    <w:rsid w:val="008F2CA7"/>
    <w:rsid w:val="008F49CD"/>
    <w:rsid w:val="008F512C"/>
    <w:rsid w:val="008F54B5"/>
    <w:rsid w:val="008F6529"/>
    <w:rsid w:val="00900C64"/>
    <w:rsid w:val="0090122B"/>
    <w:rsid w:val="00901E8A"/>
    <w:rsid w:val="009024A3"/>
    <w:rsid w:val="009028C6"/>
    <w:rsid w:val="00903D2A"/>
    <w:rsid w:val="0090570B"/>
    <w:rsid w:val="0090777B"/>
    <w:rsid w:val="00907FE8"/>
    <w:rsid w:val="009110EE"/>
    <w:rsid w:val="00911114"/>
    <w:rsid w:val="00912D99"/>
    <w:rsid w:val="009136AB"/>
    <w:rsid w:val="00914422"/>
    <w:rsid w:val="00914EC9"/>
    <w:rsid w:val="009242A2"/>
    <w:rsid w:val="0092539B"/>
    <w:rsid w:val="009267A0"/>
    <w:rsid w:val="00926808"/>
    <w:rsid w:val="00927096"/>
    <w:rsid w:val="009279C7"/>
    <w:rsid w:val="00930F33"/>
    <w:rsid w:val="00932883"/>
    <w:rsid w:val="00932A2A"/>
    <w:rsid w:val="00932DAF"/>
    <w:rsid w:val="00932FA4"/>
    <w:rsid w:val="009359B7"/>
    <w:rsid w:val="00936789"/>
    <w:rsid w:val="00940738"/>
    <w:rsid w:val="00940FD0"/>
    <w:rsid w:val="0094194F"/>
    <w:rsid w:val="00941F3B"/>
    <w:rsid w:val="0094295F"/>
    <w:rsid w:val="009443D4"/>
    <w:rsid w:val="009459CA"/>
    <w:rsid w:val="009462A5"/>
    <w:rsid w:val="009467D4"/>
    <w:rsid w:val="00946BB7"/>
    <w:rsid w:val="00946CBB"/>
    <w:rsid w:val="00950584"/>
    <w:rsid w:val="00950B8C"/>
    <w:rsid w:val="00951AA8"/>
    <w:rsid w:val="0095208E"/>
    <w:rsid w:val="009538A8"/>
    <w:rsid w:val="009544D2"/>
    <w:rsid w:val="009546F4"/>
    <w:rsid w:val="009563AF"/>
    <w:rsid w:val="00956B6A"/>
    <w:rsid w:val="009623F2"/>
    <w:rsid w:val="009641AE"/>
    <w:rsid w:val="00964F9E"/>
    <w:rsid w:val="00965FEB"/>
    <w:rsid w:val="009664FB"/>
    <w:rsid w:val="00967E2E"/>
    <w:rsid w:val="009716A8"/>
    <w:rsid w:val="00974107"/>
    <w:rsid w:val="00975E04"/>
    <w:rsid w:val="00976278"/>
    <w:rsid w:val="00976561"/>
    <w:rsid w:val="009775C7"/>
    <w:rsid w:val="00980E02"/>
    <w:rsid w:val="00981D8B"/>
    <w:rsid w:val="00982AAC"/>
    <w:rsid w:val="00983397"/>
    <w:rsid w:val="0098492B"/>
    <w:rsid w:val="00984C2D"/>
    <w:rsid w:val="009850FF"/>
    <w:rsid w:val="00985195"/>
    <w:rsid w:val="00986102"/>
    <w:rsid w:val="00992059"/>
    <w:rsid w:val="00993420"/>
    <w:rsid w:val="00993DCF"/>
    <w:rsid w:val="0099507F"/>
    <w:rsid w:val="009963B0"/>
    <w:rsid w:val="00996D49"/>
    <w:rsid w:val="00997394"/>
    <w:rsid w:val="009A1145"/>
    <w:rsid w:val="009A1C9E"/>
    <w:rsid w:val="009A2B0F"/>
    <w:rsid w:val="009A39DC"/>
    <w:rsid w:val="009A4C9E"/>
    <w:rsid w:val="009A7C7D"/>
    <w:rsid w:val="009B09B8"/>
    <w:rsid w:val="009B1336"/>
    <w:rsid w:val="009B17DA"/>
    <w:rsid w:val="009B1AEA"/>
    <w:rsid w:val="009B23F6"/>
    <w:rsid w:val="009B2DC6"/>
    <w:rsid w:val="009B31D5"/>
    <w:rsid w:val="009B35A1"/>
    <w:rsid w:val="009B4160"/>
    <w:rsid w:val="009B738C"/>
    <w:rsid w:val="009B7982"/>
    <w:rsid w:val="009C06EF"/>
    <w:rsid w:val="009C0776"/>
    <w:rsid w:val="009C17BC"/>
    <w:rsid w:val="009C2E8D"/>
    <w:rsid w:val="009C5C3E"/>
    <w:rsid w:val="009C6587"/>
    <w:rsid w:val="009C7485"/>
    <w:rsid w:val="009D0602"/>
    <w:rsid w:val="009D19EC"/>
    <w:rsid w:val="009D1C05"/>
    <w:rsid w:val="009D32DB"/>
    <w:rsid w:val="009D4CD7"/>
    <w:rsid w:val="009D5130"/>
    <w:rsid w:val="009D6179"/>
    <w:rsid w:val="009D681F"/>
    <w:rsid w:val="009D6AEF"/>
    <w:rsid w:val="009E1122"/>
    <w:rsid w:val="009E147A"/>
    <w:rsid w:val="009E1BB9"/>
    <w:rsid w:val="009E213C"/>
    <w:rsid w:val="009E249D"/>
    <w:rsid w:val="009E25AD"/>
    <w:rsid w:val="009E38D1"/>
    <w:rsid w:val="009E39B1"/>
    <w:rsid w:val="009E4D27"/>
    <w:rsid w:val="009E66C1"/>
    <w:rsid w:val="009F11D4"/>
    <w:rsid w:val="009F3B1A"/>
    <w:rsid w:val="009F5301"/>
    <w:rsid w:val="009F5691"/>
    <w:rsid w:val="009F5C6F"/>
    <w:rsid w:val="009F6FFB"/>
    <w:rsid w:val="00A029B7"/>
    <w:rsid w:val="00A03375"/>
    <w:rsid w:val="00A10712"/>
    <w:rsid w:val="00A110DD"/>
    <w:rsid w:val="00A1118B"/>
    <w:rsid w:val="00A111EA"/>
    <w:rsid w:val="00A13B57"/>
    <w:rsid w:val="00A14401"/>
    <w:rsid w:val="00A1586C"/>
    <w:rsid w:val="00A15E47"/>
    <w:rsid w:val="00A207C0"/>
    <w:rsid w:val="00A21DDA"/>
    <w:rsid w:val="00A21E38"/>
    <w:rsid w:val="00A22598"/>
    <w:rsid w:val="00A23580"/>
    <w:rsid w:val="00A23D51"/>
    <w:rsid w:val="00A26C61"/>
    <w:rsid w:val="00A27833"/>
    <w:rsid w:val="00A27D0D"/>
    <w:rsid w:val="00A27FC0"/>
    <w:rsid w:val="00A305C3"/>
    <w:rsid w:val="00A309DF"/>
    <w:rsid w:val="00A30C07"/>
    <w:rsid w:val="00A31293"/>
    <w:rsid w:val="00A32DD3"/>
    <w:rsid w:val="00A40ADE"/>
    <w:rsid w:val="00A4233A"/>
    <w:rsid w:val="00A42827"/>
    <w:rsid w:val="00A51A24"/>
    <w:rsid w:val="00A5247D"/>
    <w:rsid w:val="00A52B07"/>
    <w:rsid w:val="00A5323A"/>
    <w:rsid w:val="00A54CE7"/>
    <w:rsid w:val="00A552B0"/>
    <w:rsid w:val="00A568DD"/>
    <w:rsid w:val="00A61B63"/>
    <w:rsid w:val="00A62966"/>
    <w:rsid w:val="00A63021"/>
    <w:rsid w:val="00A64748"/>
    <w:rsid w:val="00A647CE"/>
    <w:rsid w:val="00A66AF2"/>
    <w:rsid w:val="00A67E53"/>
    <w:rsid w:val="00A67E68"/>
    <w:rsid w:val="00A7066F"/>
    <w:rsid w:val="00A718E1"/>
    <w:rsid w:val="00A73837"/>
    <w:rsid w:val="00A738C3"/>
    <w:rsid w:val="00A74022"/>
    <w:rsid w:val="00A7511E"/>
    <w:rsid w:val="00A75993"/>
    <w:rsid w:val="00A76752"/>
    <w:rsid w:val="00A76836"/>
    <w:rsid w:val="00A76E53"/>
    <w:rsid w:val="00A8033D"/>
    <w:rsid w:val="00A80E60"/>
    <w:rsid w:val="00A815E5"/>
    <w:rsid w:val="00A82B94"/>
    <w:rsid w:val="00A82E25"/>
    <w:rsid w:val="00A83D18"/>
    <w:rsid w:val="00A84269"/>
    <w:rsid w:val="00A84509"/>
    <w:rsid w:val="00A848CC"/>
    <w:rsid w:val="00A85E07"/>
    <w:rsid w:val="00A86213"/>
    <w:rsid w:val="00A875AE"/>
    <w:rsid w:val="00A87855"/>
    <w:rsid w:val="00A90841"/>
    <w:rsid w:val="00A91909"/>
    <w:rsid w:val="00A925A1"/>
    <w:rsid w:val="00A94B5E"/>
    <w:rsid w:val="00A95346"/>
    <w:rsid w:val="00A97330"/>
    <w:rsid w:val="00AA29C6"/>
    <w:rsid w:val="00AA29E9"/>
    <w:rsid w:val="00AA72D3"/>
    <w:rsid w:val="00AA79FD"/>
    <w:rsid w:val="00AA7BDA"/>
    <w:rsid w:val="00AB1122"/>
    <w:rsid w:val="00AB1C8B"/>
    <w:rsid w:val="00AB1D61"/>
    <w:rsid w:val="00AB2046"/>
    <w:rsid w:val="00AB6AC3"/>
    <w:rsid w:val="00AB70BA"/>
    <w:rsid w:val="00AC06B0"/>
    <w:rsid w:val="00AC2B5D"/>
    <w:rsid w:val="00AC471A"/>
    <w:rsid w:val="00AD1E71"/>
    <w:rsid w:val="00AD2276"/>
    <w:rsid w:val="00AD2631"/>
    <w:rsid w:val="00AD51FF"/>
    <w:rsid w:val="00AD5DA6"/>
    <w:rsid w:val="00AE1C30"/>
    <w:rsid w:val="00AE2441"/>
    <w:rsid w:val="00AE2B68"/>
    <w:rsid w:val="00AE2DC7"/>
    <w:rsid w:val="00AE4ACC"/>
    <w:rsid w:val="00AF21F9"/>
    <w:rsid w:val="00AF2DE9"/>
    <w:rsid w:val="00AF2FE5"/>
    <w:rsid w:val="00AF3539"/>
    <w:rsid w:val="00AF3FD3"/>
    <w:rsid w:val="00AF5D59"/>
    <w:rsid w:val="00B02C81"/>
    <w:rsid w:val="00B03DF1"/>
    <w:rsid w:val="00B0722E"/>
    <w:rsid w:val="00B1251B"/>
    <w:rsid w:val="00B1313D"/>
    <w:rsid w:val="00B1759C"/>
    <w:rsid w:val="00B17D6D"/>
    <w:rsid w:val="00B21ECC"/>
    <w:rsid w:val="00B2277A"/>
    <w:rsid w:val="00B27406"/>
    <w:rsid w:val="00B30DB8"/>
    <w:rsid w:val="00B319B3"/>
    <w:rsid w:val="00B31C2E"/>
    <w:rsid w:val="00B34384"/>
    <w:rsid w:val="00B344F5"/>
    <w:rsid w:val="00B3450D"/>
    <w:rsid w:val="00B3472F"/>
    <w:rsid w:val="00B3571B"/>
    <w:rsid w:val="00B3573B"/>
    <w:rsid w:val="00B35751"/>
    <w:rsid w:val="00B35944"/>
    <w:rsid w:val="00B37523"/>
    <w:rsid w:val="00B400F0"/>
    <w:rsid w:val="00B42ABE"/>
    <w:rsid w:val="00B44398"/>
    <w:rsid w:val="00B46342"/>
    <w:rsid w:val="00B46814"/>
    <w:rsid w:val="00B4742F"/>
    <w:rsid w:val="00B511FB"/>
    <w:rsid w:val="00B523B9"/>
    <w:rsid w:val="00B5286A"/>
    <w:rsid w:val="00B54504"/>
    <w:rsid w:val="00B549BF"/>
    <w:rsid w:val="00B54E8A"/>
    <w:rsid w:val="00B56815"/>
    <w:rsid w:val="00B56DDF"/>
    <w:rsid w:val="00B575F4"/>
    <w:rsid w:val="00B60BBA"/>
    <w:rsid w:val="00B60CE0"/>
    <w:rsid w:val="00B61A35"/>
    <w:rsid w:val="00B61EB2"/>
    <w:rsid w:val="00B62041"/>
    <w:rsid w:val="00B62E39"/>
    <w:rsid w:val="00B63D08"/>
    <w:rsid w:val="00B65B2B"/>
    <w:rsid w:val="00B66736"/>
    <w:rsid w:val="00B67C36"/>
    <w:rsid w:val="00B70745"/>
    <w:rsid w:val="00B733DB"/>
    <w:rsid w:val="00B7598F"/>
    <w:rsid w:val="00B81FA4"/>
    <w:rsid w:val="00B84AB1"/>
    <w:rsid w:val="00B87452"/>
    <w:rsid w:val="00B87B19"/>
    <w:rsid w:val="00B9080D"/>
    <w:rsid w:val="00B9505A"/>
    <w:rsid w:val="00BA04CA"/>
    <w:rsid w:val="00BA20E5"/>
    <w:rsid w:val="00BA24A2"/>
    <w:rsid w:val="00BA2F6A"/>
    <w:rsid w:val="00BA2FDA"/>
    <w:rsid w:val="00BA3E52"/>
    <w:rsid w:val="00BA3E5D"/>
    <w:rsid w:val="00BA3EFF"/>
    <w:rsid w:val="00BA4C8D"/>
    <w:rsid w:val="00BA59D4"/>
    <w:rsid w:val="00BA7478"/>
    <w:rsid w:val="00BA7B86"/>
    <w:rsid w:val="00BB090C"/>
    <w:rsid w:val="00BB106D"/>
    <w:rsid w:val="00BB1F67"/>
    <w:rsid w:val="00BC0BFB"/>
    <w:rsid w:val="00BC1B51"/>
    <w:rsid w:val="00BC3255"/>
    <w:rsid w:val="00BC4659"/>
    <w:rsid w:val="00BC5A95"/>
    <w:rsid w:val="00BC6AD6"/>
    <w:rsid w:val="00BD01CD"/>
    <w:rsid w:val="00BD05D6"/>
    <w:rsid w:val="00BD3014"/>
    <w:rsid w:val="00BD4B46"/>
    <w:rsid w:val="00BD5271"/>
    <w:rsid w:val="00BD5F92"/>
    <w:rsid w:val="00BD711D"/>
    <w:rsid w:val="00BD75A1"/>
    <w:rsid w:val="00BD7F1A"/>
    <w:rsid w:val="00BE0A00"/>
    <w:rsid w:val="00BE1EDF"/>
    <w:rsid w:val="00BE2999"/>
    <w:rsid w:val="00BE2C19"/>
    <w:rsid w:val="00BE3555"/>
    <w:rsid w:val="00BE4197"/>
    <w:rsid w:val="00BE5498"/>
    <w:rsid w:val="00BE6689"/>
    <w:rsid w:val="00BE684A"/>
    <w:rsid w:val="00BE6BEB"/>
    <w:rsid w:val="00BE71F8"/>
    <w:rsid w:val="00BE7237"/>
    <w:rsid w:val="00BE792C"/>
    <w:rsid w:val="00BE7CE8"/>
    <w:rsid w:val="00BF0D0C"/>
    <w:rsid w:val="00BF0D90"/>
    <w:rsid w:val="00BF1C62"/>
    <w:rsid w:val="00BF2E86"/>
    <w:rsid w:val="00BF336A"/>
    <w:rsid w:val="00BF4521"/>
    <w:rsid w:val="00BF46C4"/>
    <w:rsid w:val="00BF487F"/>
    <w:rsid w:val="00BF6B09"/>
    <w:rsid w:val="00BF77D8"/>
    <w:rsid w:val="00C0164A"/>
    <w:rsid w:val="00C01C38"/>
    <w:rsid w:val="00C021C1"/>
    <w:rsid w:val="00C03E57"/>
    <w:rsid w:val="00C042A2"/>
    <w:rsid w:val="00C0446B"/>
    <w:rsid w:val="00C04DD7"/>
    <w:rsid w:val="00C06D8B"/>
    <w:rsid w:val="00C06E2F"/>
    <w:rsid w:val="00C070DC"/>
    <w:rsid w:val="00C07B97"/>
    <w:rsid w:val="00C118F4"/>
    <w:rsid w:val="00C12424"/>
    <w:rsid w:val="00C12DC2"/>
    <w:rsid w:val="00C1567E"/>
    <w:rsid w:val="00C15B1D"/>
    <w:rsid w:val="00C15CE3"/>
    <w:rsid w:val="00C15D4C"/>
    <w:rsid w:val="00C16F90"/>
    <w:rsid w:val="00C20E64"/>
    <w:rsid w:val="00C23FE0"/>
    <w:rsid w:val="00C24813"/>
    <w:rsid w:val="00C25DF6"/>
    <w:rsid w:val="00C26A1D"/>
    <w:rsid w:val="00C2725B"/>
    <w:rsid w:val="00C2754A"/>
    <w:rsid w:val="00C31497"/>
    <w:rsid w:val="00C31AF6"/>
    <w:rsid w:val="00C328E8"/>
    <w:rsid w:val="00C357A1"/>
    <w:rsid w:val="00C35867"/>
    <w:rsid w:val="00C35B8D"/>
    <w:rsid w:val="00C35EB8"/>
    <w:rsid w:val="00C36D14"/>
    <w:rsid w:val="00C406DE"/>
    <w:rsid w:val="00C428C4"/>
    <w:rsid w:val="00C44961"/>
    <w:rsid w:val="00C46ADF"/>
    <w:rsid w:val="00C50B71"/>
    <w:rsid w:val="00C54565"/>
    <w:rsid w:val="00C60D3E"/>
    <w:rsid w:val="00C61B2D"/>
    <w:rsid w:val="00C61CA8"/>
    <w:rsid w:val="00C61E2C"/>
    <w:rsid w:val="00C635F5"/>
    <w:rsid w:val="00C63B8B"/>
    <w:rsid w:val="00C6420D"/>
    <w:rsid w:val="00C64544"/>
    <w:rsid w:val="00C64E62"/>
    <w:rsid w:val="00C65B23"/>
    <w:rsid w:val="00C662A5"/>
    <w:rsid w:val="00C663EE"/>
    <w:rsid w:val="00C67F66"/>
    <w:rsid w:val="00C70124"/>
    <w:rsid w:val="00C70C96"/>
    <w:rsid w:val="00C71B61"/>
    <w:rsid w:val="00C71EB8"/>
    <w:rsid w:val="00C72718"/>
    <w:rsid w:val="00C72B85"/>
    <w:rsid w:val="00C805DA"/>
    <w:rsid w:val="00C81103"/>
    <w:rsid w:val="00C81CCC"/>
    <w:rsid w:val="00C86482"/>
    <w:rsid w:val="00C86F93"/>
    <w:rsid w:val="00C87FF3"/>
    <w:rsid w:val="00C9016A"/>
    <w:rsid w:val="00C94035"/>
    <w:rsid w:val="00C96C9D"/>
    <w:rsid w:val="00CA014D"/>
    <w:rsid w:val="00CA0166"/>
    <w:rsid w:val="00CA1860"/>
    <w:rsid w:val="00CA31D3"/>
    <w:rsid w:val="00CA46CF"/>
    <w:rsid w:val="00CA6A39"/>
    <w:rsid w:val="00CA6D47"/>
    <w:rsid w:val="00CA6E91"/>
    <w:rsid w:val="00CB216C"/>
    <w:rsid w:val="00CB27FD"/>
    <w:rsid w:val="00CB2F89"/>
    <w:rsid w:val="00CC4BF5"/>
    <w:rsid w:val="00CD03F1"/>
    <w:rsid w:val="00CD4986"/>
    <w:rsid w:val="00CD5A97"/>
    <w:rsid w:val="00CD6DB2"/>
    <w:rsid w:val="00CD757E"/>
    <w:rsid w:val="00CD7A39"/>
    <w:rsid w:val="00CE2CD7"/>
    <w:rsid w:val="00CE3700"/>
    <w:rsid w:val="00CE5905"/>
    <w:rsid w:val="00CE5E0E"/>
    <w:rsid w:val="00CE7DF0"/>
    <w:rsid w:val="00CF2059"/>
    <w:rsid w:val="00CF467E"/>
    <w:rsid w:val="00CF5805"/>
    <w:rsid w:val="00CF64B7"/>
    <w:rsid w:val="00D01B22"/>
    <w:rsid w:val="00D030C7"/>
    <w:rsid w:val="00D066C9"/>
    <w:rsid w:val="00D079B1"/>
    <w:rsid w:val="00D10F66"/>
    <w:rsid w:val="00D12D2B"/>
    <w:rsid w:val="00D14626"/>
    <w:rsid w:val="00D1548A"/>
    <w:rsid w:val="00D17B36"/>
    <w:rsid w:val="00D17F54"/>
    <w:rsid w:val="00D2051C"/>
    <w:rsid w:val="00D21608"/>
    <w:rsid w:val="00D24EAF"/>
    <w:rsid w:val="00D24EDA"/>
    <w:rsid w:val="00D25311"/>
    <w:rsid w:val="00D25712"/>
    <w:rsid w:val="00D26575"/>
    <w:rsid w:val="00D27862"/>
    <w:rsid w:val="00D3093F"/>
    <w:rsid w:val="00D32653"/>
    <w:rsid w:val="00D33340"/>
    <w:rsid w:val="00D33551"/>
    <w:rsid w:val="00D3433B"/>
    <w:rsid w:val="00D3668F"/>
    <w:rsid w:val="00D36C40"/>
    <w:rsid w:val="00D428B4"/>
    <w:rsid w:val="00D43B32"/>
    <w:rsid w:val="00D44324"/>
    <w:rsid w:val="00D450D3"/>
    <w:rsid w:val="00D46EC7"/>
    <w:rsid w:val="00D50355"/>
    <w:rsid w:val="00D513CA"/>
    <w:rsid w:val="00D51FC3"/>
    <w:rsid w:val="00D52554"/>
    <w:rsid w:val="00D54258"/>
    <w:rsid w:val="00D57714"/>
    <w:rsid w:val="00D6056C"/>
    <w:rsid w:val="00D609B7"/>
    <w:rsid w:val="00D60D66"/>
    <w:rsid w:val="00D621FF"/>
    <w:rsid w:val="00D62488"/>
    <w:rsid w:val="00D64069"/>
    <w:rsid w:val="00D64B87"/>
    <w:rsid w:val="00D65732"/>
    <w:rsid w:val="00D65AFC"/>
    <w:rsid w:val="00D66206"/>
    <w:rsid w:val="00D676C2"/>
    <w:rsid w:val="00D72BFC"/>
    <w:rsid w:val="00D74E64"/>
    <w:rsid w:val="00D7590F"/>
    <w:rsid w:val="00D761C5"/>
    <w:rsid w:val="00D81806"/>
    <w:rsid w:val="00D81FE5"/>
    <w:rsid w:val="00D842D1"/>
    <w:rsid w:val="00D86403"/>
    <w:rsid w:val="00D866E0"/>
    <w:rsid w:val="00D86F7A"/>
    <w:rsid w:val="00D87A0D"/>
    <w:rsid w:val="00D90C11"/>
    <w:rsid w:val="00D91343"/>
    <w:rsid w:val="00D91862"/>
    <w:rsid w:val="00D93498"/>
    <w:rsid w:val="00D93CE8"/>
    <w:rsid w:val="00D964E6"/>
    <w:rsid w:val="00D96FD9"/>
    <w:rsid w:val="00D9776B"/>
    <w:rsid w:val="00DA05A7"/>
    <w:rsid w:val="00DA1198"/>
    <w:rsid w:val="00DA3E31"/>
    <w:rsid w:val="00DA432A"/>
    <w:rsid w:val="00DA6B9A"/>
    <w:rsid w:val="00DA74DD"/>
    <w:rsid w:val="00DB0CBB"/>
    <w:rsid w:val="00DB129D"/>
    <w:rsid w:val="00DB6EA2"/>
    <w:rsid w:val="00DB74EB"/>
    <w:rsid w:val="00DC02A6"/>
    <w:rsid w:val="00DC0BE2"/>
    <w:rsid w:val="00DC12EE"/>
    <w:rsid w:val="00DC1F71"/>
    <w:rsid w:val="00DC5C0A"/>
    <w:rsid w:val="00DC5E55"/>
    <w:rsid w:val="00DD3896"/>
    <w:rsid w:val="00DD54F2"/>
    <w:rsid w:val="00DE1DD9"/>
    <w:rsid w:val="00DE2B4A"/>
    <w:rsid w:val="00DE2B4C"/>
    <w:rsid w:val="00DE36F7"/>
    <w:rsid w:val="00DE61B3"/>
    <w:rsid w:val="00DE639B"/>
    <w:rsid w:val="00DE64FF"/>
    <w:rsid w:val="00DE6D1E"/>
    <w:rsid w:val="00DE76F4"/>
    <w:rsid w:val="00DF0795"/>
    <w:rsid w:val="00DF0ADD"/>
    <w:rsid w:val="00DF2697"/>
    <w:rsid w:val="00DF331C"/>
    <w:rsid w:val="00DF33B4"/>
    <w:rsid w:val="00DF5F92"/>
    <w:rsid w:val="00DF6058"/>
    <w:rsid w:val="00DF6659"/>
    <w:rsid w:val="00E01483"/>
    <w:rsid w:val="00E02466"/>
    <w:rsid w:val="00E04B73"/>
    <w:rsid w:val="00E10AC3"/>
    <w:rsid w:val="00E115A7"/>
    <w:rsid w:val="00E115AC"/>
    <w:rsid w:val="00E11C1D"/>
    <w:rsid w:val="00E13228"/>
    <w:rsid w:val="00E14215"/>
    <w:rsid w:val="00E154AE"/>
    <w:rsid w:val="00E156AC"/>
    <w:rsid w:val="00E15AED"/>
    <w:rsid w:val="00E1655E"/>
    <w:rsid w:val="00E17583"/>
    <w:rsid w:val="00E20C20"/>
    <w:rsid w:val="00E21ACA"/>
    <w:rsid w:val="00E2315D"/>
    <w:rsid w:val="00E23491"/>
    <w:rsid w:val="00E2521C"/>
    <w:rsid w:val="00E311F8"/>
    <w:rsid w:val="00E31707"/>
    <w:rsid w:val="00E36819"/>
    <w:rsid w:val="00E36EEB"/>
    <w:rsid w:val="00E36F6B"/>
    <w:rsid w:val="00E40A0A"/>
    <w:rsid w:val="00E431C7"/>
    <w:rsid w:val="00E43CA9"/>
    <w:rsid w:val="00E43D07"/>
    <w:rsid w:val="00E44CC7"/>
    <w:rsid w:val="00E44D8D"/>
    <w:rsid w:val="00E459CE"/>
    <w:rsid w:val="00E45D76"/>
    <w:rsid w:val="00E4776A"/>
    <w:rsid w:val="00E500F5"/>
    <w:rsid w:val="00E53A17"/>
    <w:rsid w:val="00E53EA2"/>
    <w:rsid w:val="00E5493B"/>
    <w:rsid w:val="00E54F01"/>
    <w:rsid w:val="00E57534"/>
    <w:rsid w:val="00E60290"/>
    <w:rsid w:val="00E60501"/>
    <w:rsid w:val="00E60521"/>
    <w:rsid w:val="00E632A5"/>
    <w:rsid w:val="00E64DC1"/>
    <w:rsid w:val="00E64EAD"/>
    <w:rsid w:val="00E65E70"/>
    <w:rsid w:val="00E67227"/>
    <w:rsid w:val="00E67FD4"/>
    <w:rsid w:val="00E70649"/>
    <w:rsid w:val="00E714BA"/>
    <w:rsid w:val="00E7160F"/>
    <w:rsid w:val="00E7247D"/>
    <w:rsid w:val="00E72F25"/>
    <w:rsid w:val="00E73AEA"/>
    <w:rsid w:val="00E740E1"/>
    <w:rsid w:val="00E74D88"/>
    <w:rsid w:val="00E74F4C"/>
    <w:rsid w:val="00E75614"/>
    <w:rsid w:val="00E80703"/>
    <w:rsid w:val="00E82786"/>
    <w:rsid w:val="00E82FF8"/>
    <w:rsid w:val="00E846E0"/>
    <w:rsid w:val="00E86C20"/>
    <w:rsid w:val="00E871E1"/>
    <w:rsid w:val="00E90AB5"/>
    <w:rsid w:val="00E9107D"/>
    <w:rsid w:val="00E9116E"/>
    <w:rsid w:val="00E9325A"/>
    <w:rsid w:val="00E936FB"/>
    <w:rsid w:val="00E94797"/>
    <w:rsid w:val="00EA0425"/>
    <w:rsid w:val="00EA23C2"/>
    <w:rsid w:val="00EA3A72"/>
    <w:rsid w:val="00EA6B0A"/>
    <w:rsid w:val="00EB0071"/>
    <w:rsid w:val="00EB0245"/>
    <w:rsid w:val="00EB12DE"/>
    <w:rsid w:val="00EB1BCA"/>
    <w:rsid w:val="00EB212D"/>
    <w:rsid w:val="00EB2ADE"/>
    <w:rsid w:val="00EB3449"/>
    <w:rsid w:val="00EB6D31"/>
    <w:rsid w:val="00EB6FB4"/>
    <w:rsid w:val="00EC31A5"/>
    <w:rsid w:val="00EC5DD5"/>
    <w:rsid w:val="00EC6B1E"/>
    <w:rsid w:val="00EC71CF"/>
    <w:rsid w:val="00ED07BF"/>
    <w:rsid w:val="00ED3715"/>
    <w:rsid w:val="00ED4052"/>
    <w:rsid w:val="00ED582F"/>
    <w:rsid w:val="00ED631C"/>
    <w:rsid w:val="00ED662F"/>
    <w:rsid w:val="00ED6E92"/>
    <w:rsid w:val="00ED723F"/>
    <w:rsid w:val="00EE125D"/>
    <w:rsid w:val="00EE2B82"/>
    <w:rsid w:val="00EE562D"/>
    <w:rsid w:val="00EE5D4C"/>
    <w:rsid w:val="00EE6ABE"/>
    <w:rsid w:val="00EF0AB6"/>
    <w:rsid w:val="00EF263A"/>
    <w:rsid w:val="00EF319F"/>
    <w:rsid w:val="00EF553F"/>
    <w:rsid w:val="00F0130C"/>
    <w:rsid w:val="00F01DC2"/>
    <w:rsid w:val="00F020B1"/>
    <w:rsid w:val="00F02CB1"/>
    <w:rsid w:val="00F0331D"/>
    <w:rsid w:val="00F07E3E"/>
    <w:rsid w:val="00F10773"/>
    <w:rsid w:val="00F1144C"/>
    <w:rsid w:val="00F116CB"/>
    <w:rsid w:val="00F1204E"/>
    <w:rsid w:val="00F12150"/>
    <w:rsid w:val="00F142A7"/>
    <w:rsid w:val="00F14F04"/>
    <w:rsid w:val="00F15093"/>
    <w:rsid w:val="00F15DBA"/>
    <w:rsid w:val="00F17949"/>
    <w:rsid w:val="00F2037C"/>
    <w:rsid w:val="00F20FDC"/>
    <w:rsid w:val="00F211EA"/>
    <w:rsid w:val="00F2219F"/>
    <w:rsid w:val="00F22C9A"/>
    <w:rsid w:val="00F230B8"/>
    <w:rsid w:val="00F2419F"/>
    <w:rsid w:val="00F251F2"/>
    <w:rsid w:val="00F27A45"/>
    <w:rsid w:val="00F27A50"/>
    <w:rsid w:val="00F30BED"/>
    <w:rsid w:val="00F30F4C"/>
    <w:rsid w:val="00F31885"/>
    <w:rsid w:val="00F320D6"/>
    <w:rsid w:val="00F338F1"/>
    <w:rsid w:val="00F33EFC"/>
    <w:rsid w:val="00F3554C"/>
    <w:rsid w:val="00F365C4"/>
    <w:rsid w:val="00F376DB"/>
    <w:rsid w:val="00F41EFE"/>
    <w:rsid w:val="00F4353D"/>
    <w:rsid w:val="00F446B3"/>
    <w:rsid w:val="00F45C3C"/>
    <w:rsid w:val="00F466D2"/>
    <w:rsid w:val="00F468E1"/>
    <w:rsid w:val="00F510D2"/>
    <w:rsid w:val="00F51162"/>
    <w:rsid w:val="00F547EB"/>
    <w:rsid w:val="00F548E0"/>
    <w:rsid w:val="00F55310"/>
    <w:rsid w:val="00F57BFC"/>
    <w:rsid w:val="00F6006F"/>
    <w:rsid w:val="00F63C3D"/>
    <w:rsid w:val="00F63DE0"/>
    <w:rsid w:val="00F70CCA"/>
    <w:rsid w:val="00F72362"/>
    <w:rsid w:val="00F72E33"/>
    <w:rsid w:val="00F72F89"/>
    <w:rsid w:val="00F7339C"/>
    <w:rsid w:val="00F74676"/>
    <w:rsid w:val="00F74CCF"/>
    <w:rsid w:val="00F75110"/>
    <w:rsid w:val="00F77393"/>
    <w:rsid w:val="00F77D5E"/>
    <w:rsid w:val="00F81C8B"/>
    <w:rsid w:val="00F85A98"/>
    <w:rsid w:val="00F86E4F"/>
    <w:rsid w:val="00F9067B"/>
    <w:rsid w:val="00F90F96"/>
    <w:rsid w:val="00F91D6A"/>
    <w:rsid w:val="00F9230D"/>
    <w:rsid w:val="00F936FF"/>
    <w:rsid w:val="00F94833"/>
    <w:rsid w:val="00F94982"/>
    <w:rsid w:val="00FA0410"/>
    <w:rsid w:val="00FA0997"/>
    <w:rsid w:val="00FA2733"/>
    <w:rsid w:val="00FA4EB5"/>
    <w:rsid w:val="00FA7DE1"/>
    <w:rsid w:val="00FB12D9"/>
    <w:rsid w:val="00FB2B10"/>
    <w:rsid w:val="00FB3B96"/>
    <w:rsid w:val="00FB41FD"/>
    <w:rsid w:val="00FB798B"/>
    <w:rsid w:val="00FC02F1"/>
    <w:rsid w:val="00FC0EE0"/>
    <w:rsid w:val="00FC313A"/>
    <w:rsid w:val="00FC73BA"/>
    <w:rsid w:val="00FD0188"/>
    <w:rsid w:val="00FD0651"/>
    <w:rsid w:val="00FD23A0"/>
    <w:rsid w:val="00FD39A1"/>
    <w:rsid w:val="00FD7E98"/>
    <w:rsid w:val="00FE3791"/>
    <w:rsid w:val="00FE3C70"/>
    <w:rsid w:val="00FE786D"/>
    <w:rsid w:val="00FE7F39"/>
    <w:rsid w:val="00FF16B1"/>
    <w:rsid w:val="00FF16ED"/>
    <w:rsid w:val="00FF1755"/>
    <w:rsid w:val="00FF1B92"/>
    <w:rsid w:val="00FF1ECC"/>
    <w:rsid w:val="00FF260A"/>
    <w:rsid w:val="00FF32F6"/>
    <w:rsid w:val="00FF3CF3"/>
    <w:rsid w:val="00FF46BF"/>
    <w:rsid w:val="00FF49F5"/>
    <w:rsid w:val="00FF5BF0"/>
    <w:rsid w:val="00FF69F5"/>
    <w:rsid w:val="00FF78CF"/>
    <w:rsid w:val="00FF7D04"/>
    <w:rsid w:val="01660CC8"/>
    <w:rsid w:val="01AACD7C"/>
    <w:rsid w:val="01B9C08E"/>
    <w:rsid w:val="01EED575"/>
    <w:rsid w:val="040022E8"/>
    <w:rsid w:val="04D1809B"/>
    <w:rsid w:val="0D839746"/>
    <w:rsid w:val="0FD1C734"/>
    <w:rsid w:val="1008C750"/>
    <w:rsid w:val="11686F67"/>
    <w:rsid w:val="12F22F75"/>
    <w:rsid w:val="1662C7FD"/>
    <w:rsid w:val="185E4F14"/>
    <w:rsid w:val="19B141DE"/>
    <w:rsid w:val="19F6EE7D"/>
    <w:rsid w:val="1A5707B3"/>
    <w:rsid w:val="1C795878"/>
    <w:rsid w:val="1F31DDA8"/>
    <w:rsid w:val="23728427"/>
    <w:rsid w:val="27526C43"/>
    <w:rsid w:val="293E1EFF"/>
    <w:rsid w:val="29E01EA8"/>
    <w:rsid w:val="2CDDE397"/>
    <w:rsid w:val="2DD30CD0"/>
    <w:rsid w:val="2FFB0DFE"/>
    <w:rsid w:val="304AC9C4"/>
    <w:rsid w:val="305E20C6"/>
    <w:rsid w:val="31B49F20"/>
    <w:rsid w:val="31BB49A5"/>
    <w:rsid w:val="34029CF4"/>
    <w:rsid w:val="365D34CD"/>
    <w:rsid w:val="37206223"/>
    <w:rsid w:val="3F0F4FE4"/>
    <w:rsid w:val="4082D45B"/>
    <w:rsid w:val="40A7F5A6"/>
    <w:rsid w:val="430F8843"/>
    <w:rsid w:val="44EEEA20"/>
    <w:rsid w:val="47BF23A8"/>
    <w:rsid w:val="49F9D10F"/>
    <w:rsid w:val="4D7E1491"/>
    <w:rsid w:val="51268259"/>
    <w:rsid w:val="533B1E94"/>
    <w:rsid w:val="59551DD0"/>
    <w:rsid w:val="59A81EA4"/>
    <w:rsid w:val="5AA3F2DA"/>
    <w:rsid w:val="5B3AF26A"/>
    <w:rsid w:val="61780B69"/>
    <w:rsid w:val="621A4310"/>
    <w:rsid w:val="64B5DC61"/>
    <w:rsid w:val="64D61EE0"/>
    <w:rsid w:val="66212C77"/>
    <w:rsid w:val="66246C55"/>
    <w:rsid w:val="6626A037"/>
    <w:rsid w:val="67A211E6"/>
    <w:rsid w:val="6ADE3618"/>
    <w:rsid w:val="6B55E158"/>
    <w:rsid w:val="6DCBC030"/>
    <w:rsid w:val="6E25C501"/>
    <w:rsid w:val="6ECED023"/>
    <w:rsid w:val="74E05269"/>
    <w:rsid w:val="754DC650"/>
    <w:rsid w:val="756B5280"/>
    <w:rsid w:val="758DD538"/>
    <w:rsid w:val="760AA6FE"/>
    <w:rsid w:val="767C22CA"/>
    <w:rsid w:val="7A151F05"/>
    <w:rsid w:val="7DCA5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B086F"/>
  <w15:docId w15:val="{FA8E069A-9714-4BE0-9795-9698C51E1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714"/>
    <w:rPr>
      <w:sz w:val="24"/>
    </w:rPr>
  </w:style>
  <w:style w:type="paragraph" w:styleId="Heading1">
    <w:name w:val="heading 1"/>
    <w:basedOn w:val="Normal"/>
    <w:next w:val="Normal"/>
    <w:link w:val="Heading1Char"/>
    <w:uiPriority w:val="9"/>
    <w:qFormat/>
    <w:rsid w:val="00365993"/>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autoRedefine/>
    <w:uiPriority w:val="9"/>
    <w:unhideWhenUsed/>
    <w:qFormat/>
    <w:rsid w:val="00E43CA9"/>
    <w:pPr>
      <w:keepNext/>
      <w:keepLines/>
      <w:numPr>
        <w:numId w:val="3"/>
      </w:numPr>
      <w:spacing w:before="40" w:after="0" w:line="480" w:lineRule="auto"/>
      <w:outlineLvl w:val="1"/>
    </w:pPr>
    <w:rPr>
      <w:rFonts w:asciiTheme="majorHAnsi" w:eastAsiaTheme="majorEastAsia" w:hAnsiTheme="majorHAnsi" w:cstheme="majorBidi"/>
      <w:sz w:val="26"/>
      <w:szCs w:val="26"/>
      <w:lang w:val="en-GB"/>
    </w:rPr>
  </w:style>
  <w:style w:type="paragraph" w:styleId="Heading3">
    <w:name w:val="heading 3"/>
    <w:basedOn w:val="Normal"/>
    <w:next w:val="Normal"/>
    <w:link w:val="Heading3Char"/>
    <w:autoRedefine/>
    <w:uiPriority w:val="9"/>
    <w:unhideWhenUsed/>
    <w:qFormat/>
    <w:rsid w:val="00837940"/>
    <w:pPr>
      <w:keepNext/>
      <w:keepLines/>
      <w:spacing w:before="40" w:after="0" w:line="480" w:lineRule="auto"/>
      <w:outlineLvl w:val="2"/>
    </w:pPr>
    <w:rPr>
      <w:rFonts w:eastAsiaTheme="majorEastAsia" w:cstheme="minorHAnsi"/>
      <w:lang w:val="en-GB"/>
    </w:rPr>
  </w:style>
  <w:style w:type="paragraph" w:styleId="Heading4">
    <w:name w:val="heading 4"/>
    <w:basedOn w:val="Normal"/>
    <w:next w:val="Normal"/>
    <w:link w:val="Heading4Char"/>
    <w:autoRedefine/>
    <w:uiPriority w:val="9"/>
    <w:unhideWhenUsed/>
    <w:qFormat/>
    <w:rsid w:val="0037557C"/>
    <w:pPr>
      <w:keepNext/>
      <w:keepLines/>
      <w:spacing w:before="40" w:after="0"/>
      <w:outlineLvl w:val="3"/>
    </w:pPr>
    <w:rPr>
      <w:rFonts w:asciiTheme="majorHAnsi" w:eastAsiaTheme="majorEastAsia" w:hAnsiTheme="majorHAnsi" w:cstheme="majorBidi"/>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993"/>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E43CA9"/>
    <w:rPr>
      <w:rFonts w:asciiTheme="majorHAnsi" w:eastAsiaTheme="majorEastAsia" w:hAnsiTheme="majorHAnsi" w:cstheme="majorBidi"/>
      <w:sz w:val="26"/>
      <w:szCs w:val="26"/>
      <w:lang w:val="en-GB"/>
    </w:rPr>
  </w:style>
  <w:style w:type="character" w:customStyle="1" w:styleId="Heading3Char">
    <w:name w:val="Heading 3 Char"/>
    <w:basedOn w:val="DefaultParagraphFont"/>
    <w:link w:val="Heading3"/>
    <w:uiPriority w:val="9"/>
    <w:rsid w:val="00837940"/>
    <w:rPr>
      <w:rFonts w:eastAsiaTheme="majorEastAsia" w:cstheme="minorHAnsi"/>
      <w:sz w:val="24"/>
      <w:lang w:val="en-GB"/>
    </w:rPr>
  </w:style>
  <w:style w:type="character" w:customStyle="1" w:styleId="Heading4Char">
    <w:name w:val="Heading 4 Char"/>
    <w:basedOn w:val="DefaultParagraphFont"/>
    <w:link w:val="Heading4"/>
    <w:uiPriority w:val="9"/>
    <w:rsid w:val="0037557C"/>
    <w:rPr>
      <w:rFonts w:asciiTheme="majorHAnsi" w:eastAsiaTheme="majorEastAsia" w:hAnsiTheme="majorHAnsi" w:cstheme="majorBidi"/>
      <w:i/>
      <w:iCs/>
      <w:sz w:val="24"/>
      <w:lang w:val="en-GB"/>
    </w:rPr>
  </w:style>
  <w:style w:type="paragraph" w:styleId="ListParagraph">
    <w:name w:val="List Paragraph"/>
    <w:basedOn w:val="Normal"/>
    <w:uiPriority w:val="34"/>
    <w:qFormat/>
    <w:rsid w:val="00F211EA"/>
    <w:pPr>
      <w:ind w:left="720"/>
      <w:contextualSpacing/>
    </w:pPr>
  </w:style>
  <w:style w:type="character" w:styleId="CommentReference">
    <w:name w:val="annotation reference"/>
    <w:basedOn w:val="DefaultParagraphFont"/>
    <w:uiPriority w:val="99"/>
    <w:semiHidden/>
    <w:unhideWhenUsed/>
    <w:rsid w:val="00360BD0"/>
    <w:rPr>
      <w:sz w:val="16"/>
      <w:szCs w:val="16"/>
    </w:rPr>
  </w:style>
  <w:style w:type="paragraph" w:styleId="CommentText">
    <w:name w:val="annotation text"/>
    <w:basedOn w:val="Normal"/>
    <w:link w:val="CommentTextChar"/>
    <w:uiPriority w:val="99"/>
    <w:unhideWhenUsed/>
    <w:rsid w:val="00360BD0"/>
    <w:pPr>
      <w:spacing w:line="240" w:lineRule="auto"/>
    </w:pPr>
    <w:rPr>
      <w:sz w:val="20"/>
      <w:szCs w:val="20"/>
    </w:rPr>
  </w:style>
  <w:style w:type="character" w:customStyle="1" w:styleId="CommentTextChar">
    <w:name w:val="Comment Text Char"/>
    <w:basedOn w:val="DefaultParagraphFont"/>
    <w:link w:val="CommentText"/>
    <w:uiPriority w:val="99"/>
    <w:rsid w:val="00360BD0"/>
    <w:rPr>
      <w:sz w:val="20"/>
      <w:szCs w:val="20"/>
    </w:rPr>
  </w:style>
  <w:style w:type="paragraph" w:styleId="CommentSubject">
    <w:name w:val="annotation subject"/>
    <w:basedOn w:val="CommentText"/>
    <w:next w:val="CommentText"/>
    <w:link w:val="CommentSubjectChar"/>
    <w:uiPriority w:val="99"/>
    <w:semiHidden/>
    <w:unhideWhenUsed/>
    <w:rsid w:val="00360BD0"/>
    <w:rPr>
      <w:b/>
      <w:bCs/>
    </w:rPr>
  </w:style>
  <w:style w:type="character" w:customStyle="1" w:styleId="CommentSubjectChar">
    <w:name w:val="Comment Subject Char"/>
    <w:basedOn w:val="CommentTextChar"/>
    <w:link w:val="CommentSubject"/>
    <w:uiPriority w:val="99"/>
    <w:semiHidden/>
    <w:rsid w:val="00360BD0"/>
    <w:rPr>
      <w:b/>
      <w:bCs/>
      <w:sz w:val="20"/>
      <w:szCs w:val="20"/>
    </w:rPr>
  </w:style>
  <w:style w:type="paragraph" w:styleId="Revision">
    <w:name w:val="Revision"/>
    <w:hidden/>
    <w:uiPriority w:val="99"/>
    <w:semiHidden/>
    <w:rsid w:val="00D030C7"/>
    <w:pPr>
      <w:spacing w:after="0" w:line="240" w:lineRule="auto"/>
    </w:pPr>
  </w:style>
  <w:style w:type="character" w:styleId="Hyperlink">
    <w:name w:val="Hyperlink"/>
    <w:basedOn w:val="DefaultParagraphFont"/>
    <w:uiPriority w:val="99"/>
    <w:unhideWhenUsed/>
    <w:rsid w:val="000C3B08"/>
    <w:rPr>
      <w:color w:val="0000FF"/>
      <w:u w:val="single"/>
    </w:rPr>
  </w:style>
  <w:style w:type="paragraph" w:customStyle="1" w:styleId="EndNoteBibliographyTitle">
    <w:name w:val="EndNote Bibliography Title"/>
    <w:basedOn w:val="Normal"/>
    <w:link w:val="EndNoteBibliographyTitleChar"/>
    <w:rsid w:val="003F0A78"/>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3F0A78"/>
    <w:rPr>
      <w:rFonts w:ascii="Calibri" w:hAnsi="Calibri" w:cs="Calibri"/>
      <w:noProof/>
    </w:rPr>
  </w:style>
  <w:style w:type="paragraph" w:customStyle="1" w:styleId="EndNoteBibliography">
    <w:name w:val="EndNote Bibliography"/>
    <w:basedOn w:val="Normal"/>
    <w:link w:val="EndNoteBibliographyChar"/>
    <w:rsid w:val="003F0A78"/>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3F0A78"/>
    <w:rPr>
      <w:rFonts w:ascii="Calibri" w:hAnsi="Calibri" w:cs="Calibri"/>
      <w:noProof/>
    </w:rPr>
  </w:style>
  <w:style w:type="character" w:styleId="UnresolvedMention">
    <w:name w:val="Unresolved Mention"/>
    <w:basedOn w:val="DefaultParagraphFont"/>
    <w:uiPriority w:val="99"/>
    <w:semiHidden/>
    <w:unhideWhenUsed/>
    <w:rsid w:val="003F0A78"/>
    <w:rPr>
      <w:color w:val="605E5C"/>
      <w:shd w:val="clear" w:color="auto" w:fill="E1DFDD"/>
    </w:rPr>
  </w:style>
  <w:style w:type="paragraph" w:styleId="FootnoteText">
    <w:name w:val="footnote text"/>
    <w:basedOn w:val="Normal"/>
    <w:link w:val="FootnoteTextChar"/>
    <w:uiPriority w:val="99"/>
    <w:semiHidden/>
    <w:unhideWhenUsed/>
    <w:rsid w:val="00E672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7227"/>
    <w:rPr>
      <w:sz w:val="20"/>
      <w:szCs w:val="20"/>
    </w:rPr>
  </w:style>
  <w:style w:type="character" w:styleId="FootnoteReference">
    <w:name w:val="footnote reference"/>
    <w:basedOn w:val="DefaultParagraphFont"/>
    <w:uiPriority w:val="99"/>
    <w:semiHidden/>
    <w:unhideWhenUsed/>
    <w:rsid w:val="00E67227"/>
    <w:rPr>
      <w:vertAlign w:val="superscript"/>
    </w:rPr>
  </w:style>
  <w:style w:type="character" w:customStyle="1" w:styleId="cf01">
    <w:name w:val="cf01"/>
    <w:basedOn w:val="DefaultParagraphFont"/>
    <w:rsid w:val="00D866E0"/>
    <w:rPr>
      <w:rFonts w:ascii="Segoe UI" w:hAnsi="Segoe UI" w:cs="Segoe UI" w:hint="default"/>
      <w:sz w:val="18"/>
      <w:szCs w:val="18"/>
    </w:rPr>
  </w:style>
  <w:style w:type="character" w:customStyle="1" w:styleId="cf11">
    <w:name w:val="cf11"/>
    <w:basedOn w:val="DefaultParagraphFont"/>
    <w:rsid w:val="00425D7D"/>
    <w:rPr>
      <w:rFonts w:ascii="Segoe UI" w:hAnsi="Segoe UI" w:cs="Segoe UI" w:hint="default"/>
      <w:i/>
      <w:iCs/>
      <w:color w:val="222222"/>
      <w:sz w:val="18"/>
      <w:szCs w:val="18"/>
      <w:shd w:val="clear" w:color="auto" w:fill="FFFFFF"/>
    </w:rPr>
  </w:style>
  <w:style w:type="character" w:customStyle="1" w:styleId="cf21">
    <w:name w:val="cf21"/>
    <w:basedOn w:val="DefaultParagraphFont"/>
    <w:rsid w:val="00CD4986"/>
    <w:rPr>
      <w:rFonts w:ascii="Segoe UI" w:hAnsi="Segoe UI" w:cs="Segoe UI" w:hint="default"/>
      <w:sz w:val="18"/>
      <w:szCs w:val="18"/>
    </w:rPr>
  </w:style>
  <w:style w:type="paragraph" w:styleId="NormalWeb">
    <w:name w:val="Normal (Web)"/>
    <w:basedOn w:val="Normal"/>
    <w:uiPriority w:val="99"/>
    <w:semiHidden/>
    <w:unhideWhenUsed/>
    <w:rsid w:val="00E14215"/>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styleId="FollowedHyperlink">
    <w:name w:val="FollowedHyperlink"/>
    <w:basedOn w:val="DefaultParagraphFont"/>
    <w:uiPriority w:val="99"/>
    <w:semiHidden/>
    <w:unhideWhenUsed/>
    <w:rsid w:val="004D7D25"/>
    <w:rPr>
      <w:color w:val="954F72" w:themeColor="followedHyperlink"/>
      <w:u w:val="single"/>
    </w:rPr>
  </w:style>
  <w:style w:type="table" w:styleId="PlainTable1">
    <w:name w:val="Plain Table 1"/>
    <w:basedOn w:val="TableNormal"/>
    <w:uiPriority w:val="41"/>
    <w:rsid w:val="00DA43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5B1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60881">
      <w:bodyDiv w:val="1"/>
      <w:marLeft w:val="0"/>
      <w:marRight w:val="0"/>
      <w:marTop w:val="0"/>
      <w:marBottom w:val="0"/>
      <w:divBdr>
        <w:top w:val="none" w:sz="0" w:space="0" w:color="auto"/>
        <w:left w:val="none" w:sz="0" w:space="0" w:color="auto"/>
        <w:bottom w:val="none" w:sz="0" w:space="0" w:color="auto"/>
        <w:right w:val="none" w:sz="0" w:space="0" w:color="auto"/>
      </w:divBdr>
    </w:div>
    <w:div w:id="133179326">
      <w:bodyDiv w:val="1"/>
      <w:marLeft w:val="0"/>
      <w:marRight w:val="0"/>
      <w:marTop w:val="0"/>
      <w:marBottom w:val="0"/>
      <w:divBdr>
        <w:top w:val="none" w:sz="0" w:space="0" w:color="auto"/>
        <w:left w:val="none" w:sz="0" w:space="0" w:color="auto"/>
        <w:bottom w:val="none" w:sz="0" w:space="0" w:color="auto"/>
        <w:right w:val="none" w:sz="0" w:space="0" w:color="auto"/>
      </w:divBdr>
    </w:div>
    <w:div w:id="134763699">
      <w:bodyDiv w:val="1"/>
      <w:marLeft w:val="0"/>
      <w:marRight w:val="0"/>
      <w:marTop w:val="0"/>
      <w:marBottom w:val="0"/>
      <w:divBdr>
        <w:top w:val="none" w:sz="0" w:space="0" w:color="auto"/>
        <w:left w:val="none" w:sz="0" w:space="0" w:color="auto"/>
        <w:bottom w:val="none" w:sz="0" w:space="0" w:color="auto"/>
        <w:right w:val="none" w:sz="0" w:space="0" w:color="auto"/>
      </w:divBdr>
    </w:div>
    <w:div w:id="149561826">
      <w:bodyDiv w:val="1"/>
      <w:marLeft w:val="0"/>
      <w:marRight w:val="0"/>
      <w:marTop w:val="0"/>
      <w:marBottom w:val="0"/>
      <w:divBdr>
        <w:top w:val="none" w:sz="0" w:space="0" w:color="auto"/>
        <w:left w:val="none" w:sz="0" w:space="0" w:color="auto"/>
        <w:bottom w:val="none" w:sz="0" w:space="0" w:color="auto"/>
        <w:right w:val="none" w:sz="0" w:space="0" w:color="auto"/>
      </w:divBdr>
    </w:div>
    <w:div w:id="267398351">
      <w:bodyDiv w:val="1"/>
      <w:marLeft w:val="0"/>
      <w:marRight w:val="0"/>
      <w:marTop w:val="0"/>
      <w:marBottom w:val="0"/>
      <w:divBdr>
        <w:top w:val="none" w:sz="0" w:space="0" w:color="auto"/>
        <w:left w:val="none" w:sz="0" w:space="0" w:color="auto"/>
        <w:bottom w:val="none" w:sz="0" w:space="0" w:color="auto"/>
        <w:right w:val="none" w:sz="0" w:space="0" w:color="auto"/>
      </w:divBdr>
    </w:div>
    <w:div w:id="316687279">
      <w:bodyDiv w:val="1"/>
      <w:marLeft w:val="0"/>
      <w:marRight w:val="0"/>
      <w:marTop w:val="0"/>
      <w:marBottom w:val="0"/>
      <w:divBdr>
        <w:top w:val="none" w:sz="0" w:space="0" w:color="auto"/>
        <w:left w:val="none" w:sz="0" w:space="0" w:color="auto"/>
        <w:bottom w:val="none" w:sz="0" w:space="0" w:color="auto"/>
        <w:right w:val="none" w:sz="0" w:space="0" w:color="auto"/>
      </w:divBdr>
    </w:div>
    <w:div w:id="343285992">
      <w:bodyDiv w:val="1"/>
      <w:marLeft w:val="0"/>
      <w:marRight w:val="0"/>
      <w:marTop w:val="0"/>
      <w:marBottom w:val="0"/>
      <w:divBdr>
        <w:top w:val="none" w:sz="0" w:space="0" w:color="auto"/>
        <w:left w:val="none" w:sz="0" w:space="0" w:color="auto"/>
        <w:bottom w:val="none" w:sz="0" w:space="0" w:color="auto"/>
        <w:right w:val="none" w:sz="0" w:space="0" w:color="auto"/>
      </w:divBdr>
    </w:div>
    <w:div w:id="373189183">
      <w:bodyDiv w:val="1"/>
      <w:marLeft w:val="0"/>
      <w:marRight w:val="0"/>
      <w:marTop w:val="0"/>
      <w:marBottom w:val="0"/>
      <w:divBdr>
        <w:top w:val="none" w:sz="0" w:space="0" w:color="auto"/>
        <w:left w:val="none" w:sz="0" w:space="0" w:color="auto"/>
        <w:bottom w:val="none" w:sz="0" w:space="0" w:color="auto"/>
        <w:right w:val="none" w:sz="0" w:space="0" w:color="auto"/>
      </w:divBdr>
    </w:div>
    <w:div w:id="419764209">
      <w:bodyDiv w:val="1"/>
      <w:marLeft w:val="0"/>
      <w:marRight w:val="0"/>
      <w:marTop w:val="0"/>
      <w:marBottom w:val="0"/>
      <w:divBdr>
        <w:top w:val="none" w:sz="0" w:space="0" w:color="auto"/>
        <w:left w:val="none" w:sz="0" w:space="0" w:color="auto"/>
        <w:bottom w:val="none" w:sz="0" w:space="0" w:color="auto"/>
        <w:right w:val="none" w:sz="0" w:space="0" w:color="auto"/>
      </w:divBdr>
    </w:div>
    <w:div w:id="420027380">
      <w:bodyDiv w:val="1"/>
      <w:marLeft w:val="0"/>
      <w:marRight w:val="0"/>
      <w:marTop w:val="0"/>
      <w:marBottom w:val="0"/>
      <w:divBdr>
        <w:top w:val="none" w:sz="0" w:space="0" w:color="auto"/>
        <w:left w:val="none" w:sz="0" w:space="0" w:color="auto"/>
        <w:bottom w:val="none" w:sz="0" w:space="0" w:color="auto"/>
        <w:right w:val="none" w:sz="0" w:space="0" w:color="auto"/>
      </w:divBdr>
    </w:div>
    <w:div w:id="422262143">
      <w:bodyDiv w:val="1"/>
      <w:marLeft w:val="0"/>
      <w:marRight w:val="0"/>
      <w:marTop w:val="0"/>
      <w:marBottom w:val="0"/>
      <w:divBdr>
        <w:top w:val="none" w:sz="0" w:space="0" w:color="auto"/>
        <w:left w:val="none" w:sz="0" w:space="0" w:color="auto"/>
        <w:bottom w:val="none" w:sz="0" w:space="0" w:color="auto"/>
        <w:right w:val="none" w:sz="0" w:space="0" w:color="auto"/>
      </w:divBdr>
    </w:div>
    <w:div w:id="432436910">
      <w:bodyDiv w:val="1"/>
      <w:marLeft w:val="0"/>
      <w:marRight w:val="0"/>
      <w:marTop w:val="0"/>
      <w:marBottom w:val="0"/>
      <w:divBdr>
        <w:top w:val="none" w:sz="0" w:space="0" w:color="auto"/>
        <w:left w:val="none" w:sz="0" w:space="0" w:color="auto"/>
        <w:bottom w:val="none" w:sz="0" w:space="0" w:color="auto"/>
        <w:right w:val="none" w:sz="0" w:space="0" w:color="auto"/>
      </w:divBdr>
    </w:div>
    <w:div w:id="461188772">
      <w:bodyDiv w:val="1"/>
      <w:marLeft w:val="0"/>
      <w:marRight w:val="0"/>
      <w:marTop w:val="0"/>
      <w:marBottom w:val="0"/>
      <w:divBdr>
        <w:top w:val="none" w:sz="0" w:space="0" w:color="auto"/>
        <w:left w:val="none" w:sz="0" w:space="0" w:color="auto"/>
        <w:bottom w:val="none" w:sz="0" w:space="0" w:color="auto"/>
        <w:right w:val="none" w:sz="0" w:space="0" w:color="auto"/>
      </w:divBdr>
    </w:div>
    <w:div w:id="522599017">
      <w:bodyDiv w:val="1"/>
      <w:marLeft w:val="0"/>
      <w:marRight w:val="0"/>
      <w:marTop w:val="0"/>
      <w:marBottom w:val="0"/>
      <w:divBdr>
        <w:top w:val="none" w:sz="0" w:space="0" w:color="auto"/>
        <w:left w:val="none" w:sz="0" w:space="0" w:color="auto"/>
        <w:bottom w:val="none" w:sz="0" w:space="0" w:color="auto"/>
        <w:right w:val="none" w:sz="0" w:space="0" w:color="auto"/>
      </w:divBdr>
      <w:divsChild>
        <w:div w:id="634877116">
          <w:marLeft w:val="1800"/>
          <w:marRight w:val="0"/>
          <w:marTop w:val="100"/>
          <w:marBottom w:val="0"/>
          <w:divBdr>
            <w:top w:val="none" w:sz="0" w:space="0" w:color="auto"/>
            <w:left w:val="none" w:sz="0" w:space="0" w:color="auto"/>
            <w:bottom w:val="none" w:sz="0" w:space="0" w:color="auto"/>
            <w:right w:val="none" w:sz="0" w:space="0" w:color="auto"/>
          </w:divBdr>
        </w:div>
        <w:div w:id="466440145">
          <w:marLeft w:val="1800"/>
          <w:marRight w:val="0"/>
          <w:marTop w:val="100"/>
          <w:marBottom w:val="0"/>
          <w:divBdr>
            <w:top w:val="none" w:sz="0" w:space="0" w:color="auto"/>
            <w:left w:val="none" w:sz="0" w:space="0" w:color="auto"/>
            <w:bottom w:val="none" w:sz="0" w:space="0" w:color="auto"/>
            <w:right w:val="none" w:sz="0" w:space="0" w:color="auto"/>
          </w:divBdr>
        </w:div>
      </w:divsChild>
    </w:div>
    <w:div w:id="525993491">
      <w:bodyDiv w:val="1"/>
      <w:marLeft w:val="0"/>
      <w:marRight w:val="0"/>
      <w:marTop w:val="0"/>
      <w:marBottom w:val="0"/>
      <w:divBdr>
        <w:top w:val="none" w:sz="0" w:space="0" w:color="auto"/>
        <w:left w:val="none" w:sz="0" w:space="0" w:color="auto"/>
        <w:bottom w:val="none" w:sz="0" w:space="0" w:color="auto"/>
        <w:right w:val="none" w:sz="0" w:space="0" w:color="auto"/>
      </w:divBdr>
    </w:div>
    <w:div w:id="596864388">
      <w:bodyDiv w:val="1"/>
      <w:marLeft w:val="0"/>
      <w:marRight w:val="0"/>
      <w:marTop w:val="0"/>
      <w:marBottom w:val="0"/>
      <w:divBdr>
        <w:top w:val="none" w:sz="0" w:space="0" w:color="auto"/>
        <w:left w:val="none" w:sz="0" w:space="0" w:color="auto"/>
        <w:bottom w:val="none" w:sz="0" w:space="0" w:color="auto"/>
        <w:right w:val="none" w:sz="0" w:space="0" w:color="auto"/>
      </w:divBdr>
    </w:div>
    <w:div w:id="606305754">
      <w:bodyDiv w:val="1"/>
      <w:marLeft w:val="0"/>
      <w:marRight w:val="0"/>
      <w:marTop w:val="0"/>
      <w:marBottom w:val="0"/>
      <w:divBdr>
        <w:top w:val="none" w:sz="0" w:space="0" w:color="auto"/>
        <w:left w:val="none" w:sz="0" w:space="0" w:color="auto"/>
        <w:bottom w:val="none" w:sz="0" w:space="0" w:color="auto"/>
        <w:right w:val="none" w:sz="0" w:space="0" w:color="auto"/>
      </w:divBdr>
    </w:div>
    <w:div w:id="609821832">
      <w:bodyDiv w:val="1"/>
      <w:marLeft w:val="0"/>
      <w:marRight w:val="0"/>
      <w:marTop w:val="0"/>
      <w:marBottom w:val="0"/>
      <w:divBdr>
        <w:top w:val="none" w:sz="0" w:space="0" w:color="auto"/>
        <w:left w:val="none" w:sz="0" w:space="0" w:color="auto"/>
        <w:bottom w:val="none" w:sz="0" w:space="0" w:color="auto"/>
        <w:right w:val="none" w:sz="0" w:space="0" w:color="auto"/>
      </w:divBdr>
    </w:div>
    <w:div w:id="615259217">
      <w:bodyDiv w:val="1"/>
      <w:marLeft w:val="0"/>
      <w:marRight w:val="0"/>
      <w:marTop w:val="0"/>
      <w:marBottom w:val="0"/>
      <w:divBdr>
        <w:top w:val="none" w:sz="0" w:space="0" w:color="auto"/>
        <w:left w:val="none" w:sz="0" w:space="0" w:color="auto"/>
        <w:bottom w:val="none" w:sz="0" w:space="0" w:color="auto"/>
        <w:right w:val="none" w:sz="0" w:space="0" w:color="auto"/>
      </w:divBdr>
    </w:div>
    <w:div w:id="639529910">
      <w:bodyDiv w:val="1"/>
      <w:marLeft w:val="0"/>
      <w:marRight w:val="0"/>
      <w:marTop w:val="0"/>
      <w:marBottom w:val="0"/>
      <w:divBdr>
        <w:top w:val="none" w:sz="0" w:space="0" w:color="auto"/>
        <w:left w:val="none" w:sz="0" w:space="0" w:color="auto"/>
        <w:bottom w:val="none" w:sz="0" w:space="0" w:color="auto"/>
        <w:right w:val="none" w:sz="0" w:space="0" w:color="auto"/>
      </w:divBdr>
      <w:divsChild>
        <w:div w:id="669791114">
          <w:marLeft w:val="360"/>
          <w:marRight w:val="0"/>
          <w:marTop w:val="200"/>
          <w:marBottom w:val="0"/>
          <w:divBdr>
            <w:top w:val="none" w:sz="0" w:space="0" w:color="auto"/>
            <w:left w:val="none" w:sz="0" w:space="0" w:color="auto"/>
            <w:bottom w:val="none" w:sz="0" w:space="0" w:color="auto"/>
            <w:right w:val="none" w:sz="0" w:space="0" w:color="auto"/>
          </w:divBdr>
        </w:div>
        <w:div w:id="1369835862">
          <w:marLeft w:val="360"/>
          <w:marRight w:val="0"/>
          <w:marTop w:val="200"/>
          <w:marBottom w:val="0"/>
          <w:divBdr>
            <w:top w:val="none" w:sz="0" w:space="0" w:color="auto"/>
            <w:left w:val="none" w:sz="0" w:space="0" w:color="auto"/>
            <w:bottom w:val="none" w:sz="0" w:space="0" w:color="auto"/>
            <w:right w:val="none" w:sz="0" w:space="0" w:color="auto"/>
          </w:divBdr>
        </w:div>
        <w:div w:id="1302424005">
          <w:marLeft w:val="360"/>
          <w:marRight w:val="0"/>
          <w:marTop w:val="200"/>
          <w:marBottom w:val="0"/>
          <w:divBdr>
            <w:top w:val="none" w:sz="0" w:space="0" w:color="auto"/>
            <w:left w:val="none" w:sz="0" w:space="0" w:color="auto"/>
            <w:bottom w:val="none" w:sz="0" w:space="0" w:color="auto"/>
            <w:right w:val="none" w:sz="0" w:space="0" w:color="auto"/>
          </w:divBdr>
        </w:div>
        <w:div w:id="1263759200">
          <w:marLeft w:val="360"/>
          <w:marRight w:val="0"/>
          <w:marTop w:val="200"/>
          <w:marBottom w:val="0"/>
          <w:divBdr>
            <w:top w:val="none" w:sz="0" w:space="0" w:color="auto"/>
            <w:left w:val="none" w:sz="0" w:space="0" w:color="auto"/>
            <w:bottom w:val="none" w:sz="0" w:space="0" w:color="auto"/>
            <w:right w:val="none" w:sz="0" w:space="0" w:color="auto"/>
          </w:divBdr>
        </w:div>
        <w:div w:id="760446293">
          <w:marLeft w:val="360"/>
          <w:marRight w:val="0"/>
          <w:marTop w:val="200"/>
          <w:marBottom w:val="0"/>
          <w:divBdr>
            <w:top w:val="none" w:sz="0" w:space="0" w:color="auto"/>
            <w:left w:val="none" w:sz="0" w:space="0" w:color="auto"/>
            <w:bottom w:val="none" w:sz="0" w:space="0" w:color="auto"/>
            <w:right w:val="none" w:sz="0" w:space="0" w:color="auto"/>
          </w:divBdr>
        </w:div>
        <w:div w:id="1311251843">
          <w:marLeft w:val="360"/>
          <w:marRight w:val="0"/>
          <w:marTop w:val="200"/>
          <w:marBottom w:val="0"/>
          <w:divBdr>
            <w:top w:val="none" w:sz="0" w:space="0" w:color="auto"/>
            <w:left w:val="none" w:sz="0" w:space="0" w:color="auto"/>
            <w:bottom w:val="none" w:sz="0" w:space="0" w:color="auto"/>
            <w:right w:val="none" w:sz="0" w:space="0" w:color="auto"/>
          </w:divBdr>
        </w:div>
        <w:div w:id="1002588823">
          <w:marLeft w:val="360"/>
          <w:marRight w:val="0"/>
          <w:marTop w:val="200"/>
          <w:marBottom w:val="0"/>
          <w:divBdr>
            <w:top w:val="none" w:sz="0" w:space="0" w:color="auto"/>
            <w:left w:val="none" w:sz="0" w:space="0" w:color="auto"/>
            <w:bottom w:val="none" w:sz="0" w:space="0" w:color="auto"/>
            <w:right w:val="none" w:sz="0" w:space="0" w:color="auto"/>
          </w:divBdr>
        </w:div>
      </w:divsChild>
    </w:div>
    <w:div w:id="658004060">
      <w:bodyDiv w:val="1"/>
      <w:marLeft w:val="0"/>
      <w:marRight w:val="0"/>
      <w:marTop w:val="0"/>
      <w:marBottom w:val="0"/>
      <w:divBdr>
        <w:top w:val="none" w:sz="0" w:space="0" w:color="auto"/>
        <w:left w:val="none" w:sz="0" w:space="0" w:color="auto"/>
        <w:bottom w:val="none" w:sz="0" w:space="0" w:color="auto"/>
        <w:right w:val="none" w:sz="0" w:space="0" w:color="auto"/>
      </w:divBdr>
    </w:div>
    <w:div w:id="670135012">
      <w:bodyDiv w:val="1"/>
      <w:marLeft w:val="0"/>
      <w:marRight w:val="0"/>
      <w:marTop w:val="0"/>
      <w:marBottom w:val="0"/>
      <w:divBdr>
        <w:top w:val="none" w:sz="0" w:space="0" w:color="auto"/>
        <w:left w:val="none" w:sz="0" w:space="0" w:color="auto"/>
        <w:bottom w:val="none" w:sz="0" w:space="0" w:color="auto"/>
        <w:right w:val="none" w:sz="0" w:space="0" w:color="auto"/>
      </w:divBdr>
    </w:div>
    <w:div w:id="725836504">
      <w:bodyDiv w:val="1"/>
      <w:marLeft w:val="0"/>
      <w:marRight w:val="0"/>
      <w:marTop w:val="0"/>
      <w:marBottom w:val="0"/>
      <w:divBdr>
        <w:top w:val="none" w:sz="0" w:space="0" w:color="auto"/>
        <w:left w:val="none" w:sz="0" w:space="0" w:color="auto"/>
        <w:bottom w:val="none" w:sz="0" w:space="0" w:color="auto"/>
        <w:right w:val="none" w:sz="0" w:space="0" w:color="auto"/>
      </w:divBdr>
    </w:div>
    <w:div w:id="821896758">
      <w:bodyDiv w:val="1"/>
      <w:marLeft w:val="0"/>
      <w:marRight w:val="0"/>
      <w:marTop w:val="0"/>
      <w:marBottom w:val="0"/>
      <w:divBdr>
        <w:top w:val="none" w:sz="0" w:space="0" w:color="auto"/>
        <w:left w:val="none" w:sz="0" w:space="0" w:color="auto"/>
        <w:bottom w:val="none" w:sz="0" w:space="0" w:color="auto"/>
        <w:right w:val="none" w:sz="0" w:space="0" w:color="auto"/>
      </w:divBdr>
    </w:div>
    <w:div w:id="842624364">
      <w:bodyDiv w:val="1"/>
      <w:marLeft w:val="0"/>
      <w:marRight w:val="0"/>
      <w:marTop w:val="0"/>
      <w:marBottom w:val="0"/>
      <w:divBdr>
        <w:top w:val="none" w:sz="0" w:space="0" w:color="auto"/>
        <w:left w:val="none" w:sz="0" w:space="0" w:color="auto"/>
        <w:bottom w:val="none" w:sz="0" w:space="0" w:color="auto"/>
        <w:right w:val="none" w:sz="0" w:space="0" w:color="auto"/>
      </w:divBdr>
    </w:div>
    <w:div w:id="877736587">
      <w:bodyDiv w:val="1"/>
      <w:marLeft w:val="0"/>
      <w:marRight w:val="0"/>
      <w:marTop w:val="0"/>
      <w:marBottom w:val="0"/>
      <w:divBdr>
        <w:top w:val="none" w:sz="0" w:space="0" w:color="auto"/>
        <w:left w:val="none" w:sz="0" w:space="0" w:color="auto"/>
        <w:bottom w:val="none" w:sz="0" w:space="0" w:color="auto"/>
        <w:right w:val="none" w:sz="0" w:space="0" w:color="auto"/>
      </w:divBdr>
    </w:div>
    <w:div w:id="958024992">
      <w:bodyDiv w:val="1"/>
      <w:marLeft w:val="0"/>
      <w:marRight w:val="0"/>
      <w:marTop w:val="0"/>
      <w:marBottom w:val="0"/>
      <w:divBdr>
        <w:top w:val="none" w:sz="0" w:space="0" w:color="auto"/>
        <w:left w:val="none" w:sz="0" w:space="0" w:color="auto"/>
        <w:bottom w:val="none" w:sz="0" w:space="0" w:color="auto"/>
        <w:right w:val="none" w:sz="0" w:space="0" w:color="auto"/>
      </w:divBdr>
    </w:div>
    <w:div w:id="958032842">
      <w:bodyDiv w:val="1"/>
      <w:marLeft w:val="0"/>
      <w:marRight w:val="0"/>
      <w:marTop w:val="0"/>
      <w:marBottom w:val="0"/>
      <w:divBdr>
        <w:top w:val="none" w:sz="0" w:space="0" w:color="auto"/>
        <w:left w:val="none" w:sz="0" w:space="0" w:color="auto"/>
        <w:bottom w:val="none" w:sz="0" w:space="0" w:color="auto"/>
        <w:right w:val="none" w:sz="0" w:space="0" w:color="auto"/>
      </w:divBdr>
    </w:div>
    <w:div w:id="977804712">
      <w:bodyDiv w:val="1"/>
      <w:marLeft w:val="0"/>
      <w:marRight w:val="0"/>
      <w:marTop w:val="0"/>
      <w:marBottom w:val="0"/>
      <w:divBdr>
        <w:top w:val="none" w:sz="0" w:space="0" w:color="auto"/>
        <w:left w:val="none" w:sz="0" w:space="0" w:color="auto"/>
        <w:bottom w:val="none" w:sz="0" w:space="0" w:color="auto"/>
        <w:right w:val="none" w:sz="0" w:space="0" w:color="auto"/>
      </w:divBdr>
    </w:div>
    <w:div w:id="1012611432">
      <w:bodyDiv w:val="1"/>
      <w:marLeft w:val="0"/>
      <w:marRight w:val="0"/>
      <w:marTop w:val="0"/>
      <w:marBottom w:val="0"/>
      <w:divBdr>
        <w:top w:val="none" w:sz="0" w:space="0" w:color="auto"/>
        <w:left w:val="none" w:sz="0" w:space="0" w:color="auto"/>
        <w:bottom w:val="none" w:sz="0" w:space="0" w:color="auto"/>
        <w:right w:val="none" w:sz="0" w:space="0" w:color="auto"/>
      </w:divBdr>
    </w:div>
    <w:div w:id="1014454255">
      <w:bodyDiv w:val="1"/>
      <w:marLeft w:val="0"/>
      <w:marRight w:val="0"/>
      <w:marTop w:val="0"/>
      <w:marBottom w:val="0"/>
      <w:divBdr>
        <w:top w:val="none" w:sz="0" w:space="0" w:color="auto"/>
        <w:left w:val="none" w:sz="0" w:space="0" w:color="auto"/>
        <w:bottom w:val="none" w:sz="0" w:space="0" w:color="auto"/>
        <w:right w:val="none" w:sz="0" w:space="0" w:color="auto"/>
      </w:divBdr>
    </w:div>
    <w:div w:id="1137842562">
      <w:bodyDiv w:val="1"/>
      <w:marLeft w:val="0"/>
      <w:marRight w:val="0"/>
      <w:marTop w:val="0"/>
      <w:marBottom w:val="0"/>
      <w:divBdr>
        <w:top w:val="none" w:sz="0" w:space="0" w:color="auto"/>
        <w:left w:val="none" w:sz="0" w:space="0" w:color="auto"/>
        <w:bottom w:val="none" w:sz="0" w:space="0" w:color="auto"/>
        <w:right w:val="none" w:sz="0" w:space="0" w:color="auto"/>
      </w:divBdr>
    </w:div>
    <w:div w:id="1140609679">
      <w:bodyDiv w:val="1"/>
      <w:marLeft w:val="0"/>
      <w:marRight w:val="0"/>
      <w:marTop w:val="0"/>
      <w:marBottom w:val="0"/>
      <w:divBdr>
        <w:top w:val="none" w:sz="0" w:space="0" w:color="auto"/>
        <w:left w:val="none" w:sz="0" w:space="0" w:color="auto"/>
        <w:bottom w:val="none" w:sz="0" w:space="0" w:color="auto"/>
        <w:right w:val="none" w:sz="0" w:space="0" w:color="auto"/>
      </w:divBdr>
    </w:div>
    <w:div w:id="1275672507">
      <w:bodyDiv w:val="1"/>
      <w:marLeft w:val="0"/>
      <w:marRight w:val="0"/>
      <w:marTop w:val="0"/>
      <w:marBottom w:val="0"/>
      <w:divBdr>
        <w:top w:val="none" w:sz="0" w:space="0" w:color="auto"/>
        <w:left w:val="none" w:sz="0" w:space="0" w:color="auto"/>
        <w:bottom w:val="none" w:sz="0" w:space="0" w:color="auto"/>
        <w:right w:val="none" w:sz="0" w:space="0" w:color="auto"/>
      </w:divBdr>
    </w:div>
    <w:div w:id="1327435096">
      <w:bodyDiv w:val="1"/>
      <w:marLeft w:val="0"/>
      <w:marRight w:val="0"/>
      <w:marTop w:val="0"/>
      <w:marBottom w:val="0"/>
      <w:divBdr>
        <w:top w:val="none" w:sz="0" w:space="0" w:color="auto"/>
        <w:left w:val="none" w:sz="0" w:space="0" w:color="auto"/>
        <w:bottom w:val="none" w:sz="0" w:space="0" w:color="auto"/>
        <w:right w:val="none" w:sz="0" w:space="0" w:color="auto"/>
      </w:divBdr>
    </w:div>
    <w:div w:id="1348142341">
      <w:bodyDiv w:val="1"/>
      <w:marLeft w:val="0"/>
      <w:marRight w:val="0"/>
      <w:marTop w:val="0"/>
      <w:marBottom w:val="0"/>
      <w:divBdr>
        <w:top w:val="none" w:sz="0" w:space="0" w:color="auto"/>
        <w:left w:val="none" w:sz="0" w:space="0" w:color="auto"/>
        <w:bottom w:val="none" w:sz="0" w:space="0" w:color="auto"/>
        <w:right w:val="none" w:sz="0" w:space="0" w:color="auto"/>
      </w:divBdr>
    </w:div>
    <w:div w:id="1363480774">
      <w:bodyDiv w:val="1"/>
      <w:marLeft w:val="0"/>
      <w:marRight w:val="0"/>
      <w:marTop w:val="0"/>
      <w:marBottom w:val="0"/>
      <w:divBdr>
        <w:top w:val="none" w:sz="0" w:space="0" w:color="auto"/>
        <w:left w:val="none" w:sz="0" w:space="0" w:color="auto"/>
        <w:bottom w:val="none" w:sz="0" w:space="0" w:color="auto"/>
        <w:right w:val="none" w:sz="0" w:space="0" w:color="auto"/>
      </w:divBdr>
    </w:div>
    <w:div w:id="1369261765">
      <w:bodyDiv w:val="1"/>
      <w:marLeft w:val="0"/>
      <w:marRight w:val="0"/>
      <w:marTop w:val="0"/>
      <w:marBottom w:val="0"/>
      <w:divBdr>
        <w:top w:val="none" w:sz="0" w:space="0" w:color="auto"/>
        <w:left w:val="none" w:sz="0" w:space="0" w:color="auto"/>
        <w:bottom w:val="none" w:sz="0" w:space="0" w:color="auto"/>
        <w:right w:val="none" w:sz="0" w:space="0" w:color="auto"/>
      </w:divBdr>
    </w:div>
    <w:div w:id="1378747750">
      <w:bodyDiv w:val="1"/>
      <w:marLeft w:val="0"/>
      <w:marRight w:val="0"/>
      <w:marTop w:val="0"/>
      <w:marBottom w:val="0"/>
      <w:divBdr>
        <w:top w:val="none" w:sz="0" w:space="0" w:color="auto"/>
        <w:left w:val="none" w:sz="0" w:space="0" w:color="auto"/>
        <w:bottom w:val="none" w:sz="0" w:space="0" w:color="auto"/>
        <w:right w:val="none" w:sz="0" w:space="0" w:color="auto"/>
      </w:divBdr>
    </w:div>
    <w:div w:id="1381855852">
      <w:bodyDiv w:val="1"/>
      <w:marLeft w:val="0"/>
      <w:marRight w:val="0"/>
      <w:marTop w:val="0"/>
      <w:marBottom w:val="0"/>
      <w:divBdr>
        <w:top w:val="none" w:sz="0" w:space="0" w:color="auto"/>
        <w:left w:val="none" w:sz="0" w:space="0" w:color="auto"/>
        <w:bottom w:val="none" w:sz="0" w:space="0" w:color="auto"/>
        <w:right w:val="none" w:sz="0" w:space="0" w:color="auto"/>
      </w:divBdr>
    </w:div>
    <w:div w:id="1384253355">
      <w:bodyDiv w:val="1"/>
      <w:marLeft w:val="0"/>
      <w:marRight w:val="0"/>
      <w:marTop w:val="0"/>
      <w:marBottom w:val="0"/>
      <w:divBdr>
        <w:top w:val="none" w:sz="0" w:space="0" w:color="auto"/>
        <w:left w:val="none" w:sz="0" w:space="0" w:color="auto"/>
        <w:bottom w:val="none" w:sz="0" w:space="0" w:color="auto"/>
        <w:right w:val="none" w:sz="0" w:space="0" w:color="auto"/>
      </w:divBdr>
    </w:div>
    <w:div w:id="1384254954">
      <w:bodyDiv w:val="1"/>
      <w:marLeft w:val="0"/>
      <w:marRight w:val="0"/>
      <w:marTop w:val="0"/>
      <w:marBottom w:val="0"/>
      <w:divBdr>
        <w:top w:val="none" w:sz="0" w:space="0" w:color="auto"/>
        <w:left w:val="none" w:sz="0" w:space="0" w:color="auto"/>
        <w:bottom w:val="none" w:sz="0" w:space="0" w:color="auto"/>
        <w:right w:val="none" w:sz="0" w:space="0" w:color="auto"/>
      </w:divBdr>
    </w:div>
    <w:div w:id="1387994007">
      <w:bodyDiv w:val="1"/>
      <w:marLeft w:val="0"/>
      <w:marRight w:val="0"/>
      <w:marTop w:val="0"/>
      <w:marBottom w:val="0"/>
      <w:divBdr>
        <w:top w:val="none" w:sz="0" w:space="0" w:color="auto"/>
        <w:left w:val="none" w:sz="0" w:space="0" w:color="auto"/>
        <w:bottom w:val="none" w:sz="0" w:space="0" w:color="auto"/>
        <w:right w:val="none" w:sz="0" w:space="0" w:color="auto"/>
      </w:divBdr>
    </w:div>
    <w:div w:id="1392650267">
      <w:bodyDiv w:val="1"/>
      <w:marLeft w:val="0"/>
      <w:marRight w:val="0"/>
      <w:marTop w:val="0"/>
      <w:marBottom w:val="0"/>
      <w:divBdr>
        <w:top w:val="none" w:sz="0" w:space="0" w:color="auto"/>
        <w:left w:val="none" w:sz="0" w:space="0" w:color="auto"/>
        <w:bottom w:val="none" w:sz="0" w:space="0" w:color="auto"/>
        <w:right w:val="none" w:sz="0" w:space="0" w:color="auto"/>
      </w:divBdr>
    </w:div>
    <w:div w:id="1422723585">
      <w:bodyDiv w:val="1"/>
      <w:marLeft w:val="0"/>
      <w:marRight w:val="0"/>
      <w:marTop w:val="0"/>
      <w:marBottom w:val="0"/>
      <w:divBdr>
        <w:top w:val="none" w:sz="0" w:space="0" w:color="auto"/>
        <w:left w:val="none" w:sz="0" w:space="0" w:color="auto"/>
        <w:bottom w:val="none" w:sz="0" w:space="0" w:color="auto"/>
        <w:right w:val="none" w:sz="0" w:space="0" w:color="auto"/>
      </w:divBdr>
    </w:div>
    <w:div w:id="1447038104">
      <w:bodyDiv w:val="1"/>
      <w:marLeft w:val="0"/>
      <w:marRight w:val="0"/>
      <w:marTop w:val="0"/>
      <w:marBottom w:val="0"/>
      <w:divBdr>
        <w:top w:val="none" w:sz="0" w:space="0" w:color="auto"/>
        <w:left w:val="none" w:sz="0" w:space="0" w:color="auto"/>
        <w:bottom w:val="none" w:sz="0" w:space="0" w:color="auto"/>
        <w:right w:val="none" w:sz="0" w:space="0" w:color="auto"/>
      </w:divBdr>
    </w:div>
    <w:div w:id="1457093848">
      <w:bodyDiv w:val="1"/>
      <w:marLeft w:val="0"/>
      <w:marRight w:val="0"/>
      <w:marTop w:val="0"/>
      <w:marBottom w:val="0"/>
      <w:divBdr>
        <w:top w:val="none" w:sz="0" w:space="0" w:color="auto"/>
        <w:left w:val="none" w:sz="0" w:space="0" w:color="auto"/>
        <w:bottom w:val="none" w:sz="0" w:space="0" w:color="auto"/>
        <w:right w:val="none" w:sz="0" w:space="0" w:color="auto"/>
      </w:divBdr>
    </w:div>
    <w:div w:id="1481186906">
      <w:bodyDiv w:val="1"/>
      <w:marLeft w:val="0"/>
      <w:marRight w:val="0"/>
      <w:marTop w:val="0"/>
      <w:marBottom w:val="0"/>
      <w:divBdr>
        <w:top w:val="none" w:sz="0" w:space="0" w:color="auto"/>
        <w:left w:val="none" w:sz="0" w:space="0" w:color="auto"/>
        <w:bottom w:val="none" w:sz="0" w:space="0" w:color="auto"/>
        <w:right w:val="none" w:sz="0" w:space="0" w:color="auto"/>
      </w:divBdr>
    </w:div>
    <w:div w:id="1538858400">
      <w:bodyDiv w:val="1"/>
      <w:marLeft w:val="0"/>
      <w:marRight w:val="0"/>
      <w:marTop w:val="0"/>
      <w:marBottom w:val="0"/>
      <w:divBdr>
        <w:top w:val="none" w:sz="0" w:space="0" w:color="auto"/>
        <w:left w:val="none" w:sz="0" w:space="0" w:color="auto"/>
        <w:bottom w:val="none" w:sz="0" w:space="0" w:color="auto"/>
        <w:right w:val="none" w:sz="0" w:space="0" w:color="auto"/>
      </w:divBdr>
    </w:div>
    <w:div w:id="1574044287">
      <w:bodyDiv w:val="1"/>
      <w:marLeft w:val="0"/>
      <w:marRight w:val="0"/>
      <w:marTop w:val="0"/>
      <w:marBottom w:val="0"/>
      <w:divBdr>
        <w:top w:val="none" w:sz="0" w:space="0" w:color="auto"/>
        <w:left w:val="none" w:sz="0" w:space="0" w:color="auto"/>
        <w:bottom w:val="none" w:sz="0" w:space="0" w:color="auto"/>
        <w:right w:val="none" w:sz="0" w:space="0" w:color="auto"/>
      </w:divBdr>
    </w:div>
    <w:div w:id="1606888328">
      <w:bodyDiv w:val="1"/>
      <w:marLeft w:val="0"/>
      <w:marRight w:val="0"/>
      <w:marTop w:val="0"/>
      <w:marBottom w:val="0"/>
      <w:divBdr>
        <w:top w:val="none" w:sz="0" w:space="0" w:color="auto"/>
        <w:left w:val="none" w:sz="0" w:space="0" w:color="auto"/>
        <w:bottom w:val="none" w:sz="0" w:space="0" w:color="auto"/>
        <w:right w:val="none" w:sz="0" w:space="0" w:color="auto"/>
      </w:divBdr>
    </w:div>
    <w:div w:id="1609770815">
      <w:bodyDiv w:val="1"/>
      <w:marLeft w:val="0"/>
      <w:marRight w:val="0"/>
      <w:marTop w:val="0"/>
      <w:marBottom w:val="0"/>
      <w:divBdr>
        <w:top w:val="none" w:sz="0" w:space="0" w:color="auto"/>
        <w:left w:val="none" w:sz="0" w:space="0" w:color="auto"/>
        <w:bottom w:val="none" w:sz="0" w:space="0" w:color="auto"/>
        <w:right w:val="none" w:sz="0" w:space="0" w:color="auto"/>
      </w:divBdr>
    </w:div>
    <w:div w:id="1937515873">
      <w:bodyDiv w:val="1"/>
      <w:marLeft w:val="0"/>
      <w:marRight w:val="0"/>
      <w:marTop w:val="0"/>
      <w:marBottom w:val="0"/>
      <w:divBdr>
        <w:top w:val="none" w:sz="0" w:space="0" w:color="auto"/>
        <w:left w:val="none" w:sz="0" w:space="0" w:color="auto"/>
        <w:bottom w:val="none" w:sz="0" w:space="0" w:color="auto"/>
        <w:right w:val="none" w:sz="0" w:space="0" w:color="auto"/>
      </w:divBdr>
    </w:div>
    <w:div w:id="1983149415">
      <w:bodyDiv w:val="1"/>
      <w:marLeft w:val="0"/>
      <w:marRight w:val="0"/>
      <w:marTop w:val="0"/>
      <w:marBottom w:val="0"/>
      <w:divBdr>
        <w:top w:val="none" w:sz="0" w:space="0" w:color="auto"/>
        <w:left w:val="none" w:sz="0" w:space="0" w:color="auto"/>
        <w:bottom w:val="none" w:sz="0" w:space="0" w:color="auto"/>
        <w:right w:val="none" w:sz="0" w:space="0" w:color="auto"/>
      </w:divBdr>
    </w:div>
    <w:div w:id="1990017817">
      <w:bodyDiv w:val="1"/>
      <w:marLeft w:val="0"/>
      <w:marRight w:val="0"/>
      <w:marTop w:val="0"/>
      <w:marBottom w:val="0"/>
      <w:divBdr>
        <w:top w:val="none" w:sz="0" w:space="0" w:color="auto"/>
        <w:left w:val="none" w:sz="0" w:space="0" w:color="auto"/>
        <w:bottom w:val="none" w:sz="0" w:space="0" w:color="auto"/>
        <w:right w:val="none" w:sz="0" w:space="0" w:color="auto"/>
      </w:divBdr>
    </w:div>
    <w:div w:id="1997371402">
      <w:bodyDiv w:val="1"/>
      <w:marLeft w:val="0"/>
      <w:marRight w:val="0"/>
      <w:marTop w:val="0"/>
      <w:marBottom w:val="0"/>
      <w:divBdr>
        <w:top w:val="none" w:sz="0" w:space="0" w:color="auto"/>
        <w:left w:val="none" w:sz="0" w:space="0" w:color="auto"/>
        <w:bottom w:val="none" w:sz="0" w:space="0" w:color="auto"/>
        <w:right w:val="none" w:sz="0" w:space="0" w:color="auto"/>
      </w:divBdr>
    </w:div>
    <w:div w:id="2024429553">
      <w:bodyDiv w:val="1"/>
      <w:marLeft w:val="0"/>
      <w:marRight w:val="0"/>
      <w:marTop w:val="0"/>
      <w:marBottom w:val="0"/>
      <w:divBdr>
        <w:top w:val="none" w:sz="0" w:space="0" w:color="auto"/>
        <w:left w:val="none" w:sz="0" w:space="0" w:color="auto"/>
        <w:bottom w:val="none" w:sz="0" w:space="0" w:color="auto"/>
        <w:right w:val="none" w:sz="0" w:space="0" w:color="auto"/>
      </w:divBdr>
    </w:div>
    <w:div w:id="2031910190">
      <w:bodyDiv w:val="1"/>
      <w:marLeft w:val="0"/>
      <w:marRight w:val="0"/>
      <w:marTop w:val="0"/>
      <w:marBottom w:val="0"/>
      <w:divBdr>
        <w:top w:val="none" w:sz="0" w:space="0" w:color="auto"/>
        <w:left w:val="none" w:sz="0" w:space="0" w:color="auto"/>
        <w:bottom w:val="none" w:sz="0" w:space="0" w:color="auto"/>
        <w:right w:val="none" w:sz="0" w:space="0" w:color="auto"/>
      </w:divBdr>
    </w:div>
    <w:div w:id="2057272388">
      <w:bodyDiv w:val="1"/>
      <w:marLeft w:val="0"/>
      <w:marRight w:val="0"/>
      <w:marTop w:val="0"/>
      <w:marBottom w:val="0"/>
      <w:divBdr>
        <w:top w:val="none" w:sz="0" w:space="0" w:color="auto"/>
        <w:left w:val="none" w:sz="0" w:space="0" w:color="auto"/>
        <w:bottom w:val="none" w:sz="0" w:space="0" w:color="auto"/>
        <w:right w:val="none" w:sz="0" w:space="0" w:color="auto"/>
      </w:divBdr>
    </w:div>
    <w:div w:id="2064674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ernicekuang@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cain.ulster.ac.uk/ni/housing.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file:///\\filestore.soton.ac.uk\users\bk1f20\mydocuments\Bernice%20Kuang\Fertility%20Trends\Manuscripts\Education%20and%20childlessness\Dem%20Research%20Submission\dem%20research%20revision-%20may%202024\www.humanfertilit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hyperlink" Target="https://doi.org/10.1093/ije/dyq27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EF4B-353B-4FC8-B8AC-78B8C5A7E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22100</Words>
  <Characters>125975</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147780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Berrington</dc:creator>
  <cp:keywords/>
  <dc:description/>
  <cp:lastModifiedBy>Bernice Kuang</cp:lastModifiedBy>
  <cp:revision>3</cp:revision>
  <cp:lastPrinted>2024-01-15T14:51:00Z</cp:lastPrinted>
  <dcterms:created xsi:type="dcterms:W3CDTF">2024-10-01T14:54:00Z</dcterms:created>
  <dcterms:modified xsi:type="dcterms:W3CDTF">2024-10-01T14:55:00Z</dcterms:modified>
</cp:coreProperties>
</file>