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2AEDE" w14:textId="77777777" w:rsidR="00293054" w:rsidRPr="00293054" w:rsidRDefault="00293054" w:rsidP="00293054">
      <w:pPr>
        <w:rPr>
          <w:b/>
          <w:bCs/>
        </w:rPr>
      </w:pPr>
      <w:r w:rsidRPr="00293054">
        <w:rPr>
          <w:b/>
          <w:bCs/>
        </w:rPr>
        <w:t>Reflection on Transoral Robotic Surgery vs Transoral Laser Microsurgery in HPV-Positive Oropharyngeal Squamous Cell Carcinoma—Reply</w:t>
      </w:r>
    </w:p>
    <w:p w14:paraId="1B0B5504" w14:textId="08831C4F" w:rsidR="00293054" w:rsidRDefault="00293054" w:rsidP="00293054">
      <w:pPr>
        <w:rPr>
          <w:vertAlign w:val="superscript"/>
        </w:rPr>
      </w:pPr>
      <w:r w:rsidRPr="00293054">
        <w:t>James T. O’Hara, MD</w:t>
      </w:r>
      <w:r w:rsidRPr="00293054">
        <w:rPr>
          <w:vertAlign w:val="superscript"/>
        </w:rPr>
        <w:t>1</w:t>
      </w:r>
      <w:r w:rsidRPr="00293054">
        <w:t>; Christopher N. Hurt, MSc</w:t>
      </w:r>
      <w:r w:rsidRPr="00293054">
        <w:rPr>
          <w:vertAlign w:val="superscript"/>
        </w:rPr>
        <w:t>2</w:t>
      </w:r>
      <w:r w:rsidRPr="00293054">
        <w:t>; Terry M. Jones, MD</w:t>
      </w:r>
      <w:r w:rsidRPr="00293054">
        <w:rPr>
          <w:vertAlign w:val="superscript"/>
        </w:rPr>
        <w:t>3</w:t>
      </w:r>
    </w:p>
    <w:p w14:paraId="6C70CE04" w14:textId="77777777" w:rsidR="00293054" w:rsidRPr="00293054" w:rsidRDefault="00293054" w:rsidP="00293054">
      <w:r w:rsidRPr="00293054">
        <w:rPr>
          <w:vertAlign w:val="superscript"/>
        </w:rPr>
        <w:t>1</w:t>
      </w:r>
      <w:r w:rsidRPr="00293054">
        <w:t>Population Health Sciences Institute, Newcastle University/Department of Otolaryngology–Head and Neck Surgery, Newcastle-upon-Tyne Hospitals National Health Service Foundation Trust, Newcastle-upon-Tyne, England</w:t>
      </w:r>
    </w:p>
    <w:p w14:paraId="3E9C676A" w14:textId="77777777" w:rsidR="00293054" w:rsidRPr="00293054" w:rsidRDefault="00293054" w:rsidP="00293054">
      <w:r w:rsidRPr="00293054">
        <w:rPr>
          <w:vertAlign w:val="superscript"/>
        </w:rPr>
        <w:t>2</w:t>
      </w:r>
      <w:r w:rsidRPr="00293054">
        <w:t>Southampton Clinical Trials Unit, University of Southampton, Southampton, England</w:t>
      </w:r>
    </w:p>
    <w:p w14:paraId="11382002" w14:textId="77777777" w:rsidR="00293054" w:rsidRPr="00293054" w:rsidRDefault="00293054" w:rsidP="00293054">
      <w:r w:rsidRPr="00293054">
        <w:rPr>
          <w:vertAlign w:val="superscript"/>
        </w:rPr>
        <w:t>3</w:t>
      </w:r>
      <w:r w:rsidRPr="00293054">
        <w:t>Liverpool Head and Neck Centre, University of Liverpool, Liverpool, England</w:t>
      </w:r>
    </w:p>
    <w:p w14:paraId="7544D775" w14:textId="77777777" w:rsidR="00293054" w:rsidRPr="00293054" w:rsidRDefault="00293054" w:rsidP="00293054"/>
    <w:p w14:paraId="3AF1485A" w14:textId="77777777" w:rsidR="00293054" w:rsidRPr="00293054" w:rsidRDefault="00293054" w:rsidP="00293054">
      <w:r w:rsidRPr="00293054">
        <w:rPr>
          <w:b/>
          <w:bCs/>
        </w:rPr>
        <w:t>In Reply</w:t>
      </w:r>
      <w:r w:rsidRPr="00293054">
        <w:t> We thank Ganesh et al for commending our recent study.</w:t>
      </w:r>
      <w:hyperlink r:id="rId5" w:anchor="olr240021r1" w:history="1">
        <w:r w:rsidRPr="00293054">
          <w:rPr>
            <w:rStyle w:val="Hyperlink"/>
            <w:vertAlign w:val="superscript"/>
          </w:rPr>
          <w:t>1</w:t>
        </w:r>
      </w:hyperlink>
      <w:r w:rsidRPr="00293054">
        <w:t xml:space="preserve"> The main driver to us performing the analysis now and using only the functional data on the immediate postoperative 4 weeks was that we are aware of the ever-shifting landscape from transoral laser microsurgery (TLM) to transoral robotic surgery (TORS) as more head and neck units develop their TORS programs. This PATHOS </w:t>
      </w:r>
      <w:proofErr w:type="spellStart"/>
      <w:r w:rsidRPr="00293054">
        <w:t>substudy</w:t>
      </w:r>
      <w:proofErr w:type="spellEnd"/>
      <w:r w:rsidRPr="00293054">
        <w:t xml:space="preserve"> included 38% of procedures performed with TLM. In the ECOG 3311 trial, only 8.3% of 495 transoral procedures used TLM.</w:t>
      </w:r>
      <w:hyperlink r:id="rId6" w:anchor="olr240021r2" w:history="1">
        <w:r w:rsidRPr="00293054">
          <w:rPr>
            <w:rStyle w:val="Hyperlink"/>
            <w:vertAlign w:val="superscript"/>
          </w:rPr>
          <w:t>2</w:t>
        </w:r>
      </w:hyperlink>
      <w:r w:rsidRPr="00293054">
        <w:t> Soon there will be very few practicing TLM surgeons, and the questions posed by our study</w:t>
      </w:r>
      <w:hyperlink r:id="rId7" w:anchor="olr240021r1" w:history="1">
        <w:r w:rsidRPr="00293054">
          <w:rPr>
            <w:rStyle w:val="Hyperlink"/>
            <w:vertAlign w:val="superscript"/>
          </w:rPr>
          <w:t>1</w:t>
        </w:r>
      </w:hyperlink>
      <w:r w:rsidRPr="00293054">
        <w:t> may then be less applicable to our audience.</w:t>
      </w:r>
    </w:p>
    <w:p w14:paraId="5571770A" w14:textId="77777777" w:rsidR="00293054" w:rsidRPr="00293054" w:rsidRDefault="00293054" w:rsidP="00293054">
      <w:r w:rsidRPr="00293054">
        <w:t xml:space="preserve">TLM and the philosophy of </w:t>
      </w:r>
      <w:proofErr w:type="spellStart"/>
      <w:r w:rsidRPr="00293054">
        <w:t>transtumoral</w:t>
      </w:r>
      <w:proofErr w:type="spellEnd"/>
      <w:r w:rsidRPr="00293054">
        <w:t xml:space="preserve"> resections may offer a functional benefit vs </w:t>
      </w:r>
      <w:proofErr w:type="spellStart"/>
      <w:r w:rsidRPr="00293054">
        <w:t>en</w:t>
      </w:r>
      <w:proofErr w:type="spellEnd"/>
      <w:r w:rsidRPr="00293054">
        <w:t xml:space="preserve"> bloc TORS resections, as our findings implied, but there are many elements to consider in this discussion. Ganesh et al are correct: the longer-term functional outcomes will be very important. PATHOS has now completed recruitment and will report on the primary outcome oncological results after a 3-year follow-up period.</w:t>
      </w:r>
      <w:hyperlink r:id="rId8" w:anchor="olr240021r3" w:history="1">
        <w:r w:rsidRPr="00293054">
          <w:rPr>
            <w:rStyle w:val="Hyperlink"/>
            <w:vertAlign w:val="superscript"/>
          </w:rPr>
          <w:t>3</w:t>
        </w:r>
      </w:hyperlink>
      <w:r w:rsidRPr="00293054">
        <w:t> Longer-term functional results will be presented, but the surgical discussions on the merits of TLM and TORS are likely to be directed by margin status and adjuvant therapy received for the 2 groups. The 4-week functional data compare the 2 techniques directly for the immediate postoperative period before adjuvant commences. The longer-term PATHOS detailed data may facilitate a full economic evaluation of the 2 techniques.</w:t>
      </w:r>
    </w:p>
    <w:p w14:paraId="7CF0AC5F" w14:textId="77777777" w:rsidR="00293054" w:rsidRPr="00293054" w:rsidRDefault="00293054" w:rsidP="00293054">
      <w:r w:rsidRPr="00293054">
        <w:t>We have witnessed the evolution of the currently available robotic instruments and would argue that the economics of a growing market for robotic platforms have driven this evolution. There has been little consideration for the requirements for transoral head and neck surgery. We hope our work encourages transoral surgeons to develop relationships with manufacturers and design optimal transoral robotic platforms in the future.</w:t>
      </w:r>
    </w:p>
    <w:p w14:paraId="4E30A26C" w14:textId="77777777" w:rsidR="00293054" w:rsidRPr="00293054" w:rsidRDefault="00293054" w:rsidP="00293054">
      <w:r w:rsidRPr="00293054">
        <w:t>Article Information</w:t>
      </w:r>
    </w:p>
    <w:p w14:paraId="3AD3F090" w14:textId="77777777" w:rsidR="00293054" w:rsidRPr="00293054" w:rsidRDefault="00293054" w:rsidP="00293054">
      <w:r w:rsidRPr="00293054">
        <w:rPr>
          <w:b/>
          <w:bCs/>
        </w:rPr>
        <w:t>Corresponding Author:</w:t>
      </w:r>
      <w:r w:rsidRPr="00293054">
        <w:t xml:space="preserve"> Christopher N. Hurt, MSc, Southampton Clinical Trials Unit, Southampton General Hospital, </w:t>
      </w:r>
      <w:proofErr w:type="spellStart"/>
      <w:r w:rsidRPr="00293054">
        <w:t>Tremona</w:t>
      </w:r>
      <w:proofErr w:type="spellEnd"/>
      <w:r w:rsidRPr="00293054">
        <w:t xml:space="preserve"> Road, Mail Point 131, Southampton, Hampshire SO16 6YD, England (</w:t>
      </w:r>
      <w:hyperlink r:id="rId9" w:tgtFrame="_blank" w:history="1">
        <w:r w:rsidRPr="00293054">
          <w:rPr>
            <w:rStyle w:val="Hyperlink"/>
          </w:rPr>
          <w:t>c.hurt@soton.ac.uk</w:t>
        </w:r>
      </w:hyperlink>
      <w:r w:rsidRPr="00293054">
        <w:t>).</w:t>
      </w:r>
    </w:p>
    <w:p w14:paraId="6FC08A4B" w14:textId="77777777" w:rsidR="00293054" w:rsidRPr="00293054" w:rsidRDefault="00293054" w:rsidP="00293054">
      <w:r w:rsidRPr="00293054">
        <w:rPr>
          <w:b/>
          <w:bCs/>
        </w:rPr>
        <w:t>Published Online:</w:t>
      </w:r>
      <w:r w:rsidRPr="00293054">
        <w:t> January 30, 2025. doi:10.1001/jamaoto.2024.5064</w:t>
      </w:r>
    </w:p>
    <w:p w14:paraId="4886521C" w14:textId="77777777" w:rsidR="00293054" w:rsidRPr="00293054" w:rsidRDefault="00293054" w:rsidP="00293054">
      <w:r w:rsidRPr="00293054">
        <w:rPr>
          <w:b/>
          <w:bCs/>
        </w:rPr>
        <w:t>Conflict of Interest Disclosures:</w:t>
      </w:r>
      <w:r w:rsidRPr="00293054">
        <w:t> Dr O'Hara reported travel costs to visit Intuitive and test robotic systems outside the submitted work. Dr Hurt reported personal fees from AstraZeneca and Daiichi Sankyo outside the submitted work. No other disclosures were reported.</w:t>
      </w:r>
    </w:p>
    <w:p w14:paraId="6408E78B" w14:textId="77777777" w:rsidR="00293054" w:rsidRPr="00293054" w:rsidRDefault="00293054" w:rsidP="00293054">
      <w:r w:rsidRPr="00293054">
        <w:rPr>
          <w:b/>
          <w:bCs/>
        </w:rPr>
        <w:lastRenderedPageBreak/>
        <w:t>Funding/Support:</w:t>
      </w:r>
      <w:r w:rsidRPr="00293054">
        <w:t> The study was funded by PATHOS and is cosponsored by Velindre University NHS Trust and Cardiff University and coordinated by the Wales Centre for Trials Research.</w:t>
      </w:r>
    </w:p>
    <w:p w14:paraId="44A7A480" w14:textId="77777777" w:rsidR="00293054" w:rsidRPr="00293054" w:rsidRDefault="00293054" w:rsidP="00293054">
      <w:r w:rsidRPr="00293054">
        <w:t>References</w:t>
      </w:r>
    </w:p>
    <w:p w14:paraId="3DC6111B" w14:textId="40187C5F" w:rsidR="00293054" w:rsidRPr="00293054" w:rsidRDefault="00293054" w:rsidP="00293054">
      <w:r w:rsidRPr="00293054">
        <w:t>1.</w:t>
      </w:r>
      <w:r>
        <w:t xml:space="preserve"> </w:t>
      </w:r>
      <w:proofErr w:type="gramStart"/>
      <w:r w:rsidRPr="00293054">
        <w:t>O’Hara  JT</w:t>
      </w:r>
      <w:r w:rsidRPr="00293054">
        <w:rPr>
          <w:rFonts w:ascii="Tahoma" w:hAnsi="Tahoma" w:cs="Tahoma"/>
        </w:rPr>
        <w:t>﻿</w:t>
      </w:r>
      <w:proofErr w:type="gramEnd"/>
      <w:r w:rsidRPr="00293054">
        <w:t xml:space="preserve">, Hurt </w:t>
      </w:r>
      <w:r w:rsidRPr="00293054">
        <w:rPr>
          <w:rFonts w:ascii="Aptos" w:hAnsi="Aptos" w:cs="Aptos"/>
        </w:rPr>
        <w:t> </w:t>
      </w:r>
      <w:r w:rsidRPr="00293054">
        <w:t>CN</w:t>
      </w:r>
      <w:r w:rsidRPr="00293054">
        <w:rPr>
          <w:rFonts w:ascii="Tahoma" w:hAnsi="Tahoma" w:cs="Tahoma"/>
        </w:rPr>
        <w:t>﻿</w:t>
      </w:r>
      <w:r w:rsidRPr="00293054">
        <w:t xml:space="preserve">, Ingarfield </w:t>
      </w:r>
      <w:r w:rsidRPr="00293054">
        <w:rPr>
          <w:rFonts w:ascii="Aptos" w:hAnsi="Aptos" w:cs="Aptos"/>
        </w:rPr>
        <w:t> </w:t>
      </w:r>
      <w:r w:rsidRPr="00293054">
        <w:t>K</w:t>
      </w:r>
      <w:r w:rsidRPr="00293054">
        <w:rPr>
          <w:rFonts w:ascii="Tahoma" w:hAnsi="Tahoma" w:cs="Tahoma"/>
        </w:rPr>
        <w:t>﻿</w:t>
      </w:r>
      <w:r w:rsidRPr="00293054">
        <w:t xml:space="preserve">, </w:t>
      </w:r>
      <w:r w:rsidRPr="00293054">
        <w:rPr>
          <w:rFonts w:ascii="Aptos" w:hAnsi="Aptos" w:cs="Aptos"/>
        </w:rPr>
        <w:t> </w:t>
      </w:r>
      <w:r w:rsidRPr="00293054">
        <w:t xml:space="preserve">et al. </w:t>
      </w:r>
      <w:r w:rsidRPr="00293054">
        <w:rPr>
          <w:rFonts w:ascii="Aptos" w:hAnsi="Aptos" w:cs="Aptos"/>
        </w:rPr>
        <w:t> </w:t>
      </w:r>
      <w:r w:rsidRPr="00293054">
        <w:t>Transoral laser or robotic surgery outcomes for oropharyngeal carcinoma: secondary analysis of the PATHOS randomized clinical trial.</w:t>
      </w:r>
      <w:r w:rsidRPr="00293054">
        <w:rPr>
          <w:rFonts w:ascii="Aptos" w:hAnsi="Aptos" w:cs="Aptos"/>
        </w:rPr>
        <w:t> </w:t>
      </w:r>
      <w:proofErr w:type="gramStart"/>
      <w:r w:rsidRPr="00293054">
        <w:rPr>
          <w:rFonts w:ascii="Tahoma" w:hAnsi="Tahoma" w:cs="Tahoma"/>
        </w:rPr>
        <w:t>﻿</w:t>
      </w:r>
      <w:r w:rsidRPr="00293054">
        <w:rPr>
          <w:rFonts w:ascii="Aptos" w:hAnsi="Aptos" w:cs="Aptos"/>
        </w:rPr>
        <w:t> </w:t>
      </w:r>
      <w:r w:rsidRPr="00293054">
        <w:rPr>
          <w:i/>
          <w:iCs/>
        </w:rPr>
        <w:t> JAMA</w:t>
      </w:r>
      <w:proofErr w:type="gramEnd"/>
      <w:r w:rsidRPr="00293054">
        <w:rPr>
          <w:i/>
          <w:iCs/>
        </w:rPr>
        <w:t xml:space="preserve"> </w:t>
      </w:r>
      <w:proofErr w:type="spellStart"/>
      <w:r w:rsidRPr="00293054">
        <w:rPr>
          <w:i/>
          <w:iCs/>
        </w:rPr>
        <w:t>Otolaryngol</w:t>
      </w:r>
      <w:proofErr w:type="spellEnd"/>
      <w:r w:rsidRPr="00293054">
        <w:rPr>
          <w:i/>
          <w:iCs/>
        </w:rPr>
        <w:t xml:space="preserve"> Head Neck Surg</w:t>
      </w:r>
      <w:r w:rsidRPr="00293054">
        <w:t>. 2024;150(11):1002-1011. doi:</w:t>
      </w:r>
      <w:hyperlink r:id="rId10" w:history="1">
        <w:r w:rsidRPr="00293054">
          <w:rPr>
            <w:rStyle w:val="Hyperlink"/>
          </w:rPr>
          <w:t>10.1001/jamaoto.2024.3371</w:t>
        </w:r>
      </w:hyperlink>
      <w:r w:rsidRPr="00293054">
        <w:br/>
      </w:r>
    </w:p>
    <w:p w14:paraId="5D3D31A1" w14:textId="60A7CEA5" w:rsidR="00293054" w:rsidRPr="00293054" w:rsidRDefault="00293054" w:rsidP="00293054">
      <w:r w:rsidRPr="00293054">
        <w:t>2.</w:t>
      </w:r>
      <w:r>
        <w:t xml:space="preserve"> </w:t>
      </w:r>
      <w:proofErr w:type="gramStart"/>
      <w:r w:rsidRPr="00293054">
        <w:t>Ferris  RL</w:t>
      </w:r>
      <w:r w:rsidRPr="00293054">
        <w:rPr>
          <w:rFonts w:ascii="Tahoma" w:hAnsi="Tahoma" w:cs="Tahoma"/>
        </w:rPr>
        <w:t>﻿</w:t>
      </w:r>
      <w:proofErr w:type="gramEnd"/>
      <w:r w:rsidRPr="00293054">
        <w:t xml:space="preserve">, Flamand </w:t>
      </w:r>
      <w:r w:rsidRPr="00293054">
        <w:rPr>
          <w:rFonts w:ascii="Aptos" w:hAnsi="Aptos" w:cs="Aptos"/>
        </w:rPr>
        <w:t> </w:t>
      </w:r>
      <w:r w:rsidRPr="00293054">
        <w:t>Y</w:t>
      </w:r>
      <w:r w:rsidRPr="00293054">
        <w:rPr>
          <w:rFonts w:ascii="Tahoma" w:hAnsi="Tahoma" w:cs="Tahoma"/>
        </w:rPr>
        <w:t>﻿</w:t>
      </w:r>
      <w:r w:rsidRPr="00293054">
        <w:t xml:space="preserve">, Weinstein </w:t>
      </w:r>
      <w:r w:rsidRPr="00293054">
        <w:rPr>
          <w:rFonts w:ascii="Aptos" w:hAnsi="Aptos" w:cs="Aptos"/>
        </w:rPr>
        <w:t> </w:t>
      </w:r>
      <w:r w:rsidRPr="00293054">
        <w:t>GS</w:t>
      </w:r>
      <w:r w:rsidRPr="00293054">
        <w:rPr>
          <w:rFonts w:ascii="Tahoma" w:hAnsi="Tahoma" w:cs="Tahoma"/>
        </w:rPr>
        <w:t>﻿</w:t>
      </w:r>
      <w:r w:rsidRPr="00293054">
        <w:t xml:space="preserve">, </w:t>
      </w:r>
      <w:r w:rsidRPr="00293054">
        <w:rPr>
          <w:rFonts w:ascii="Aptos" w:hAnsi="Aptos" w:cs="Aptos"/>
        </w:rPr>
        <w:t> </w:t>
      </w:r>
      <w:r w:rsidRPr="00293054">
        <w:t xml:space="preserve">et al. </w:t>
      </w:r>
      <w:r w:rsidRPr="00293054">
        <w:rPr>
          <w:rFonts w:ascii="Aptos" w:hAnsi="Aptos" w:cs="Aptos"/>
        </w:rPr>
        <w:t> </w:t>
      </w:r>
      <w:r w:rsidRPr="00293054">
        <w:t xml:space="preserve">Phase II randomized trial of transoral surgery and low-dose intensity modulated radiation therapy in </w:t>
      </w:r>
      <w:proofErr w:type="spellStart"/>
      <w:r w:rsidRPr="00293054">
        <w:t>resectable</w:t>
      </w:r>
      <w:proofErr w:type="spellEnd"/>
      <w:r w:rsidRPr="00293054">
        <w:t xml:space="preserve"> p16+ locally advanced oropharynx cancer: an ECOG-ACRIN Cancer Research Group trial (E3311).</w:t>
      </w:r>
      <w:r w:rsidRPr="00293054">
        <w:rPr>
          <w:rFonts w:ascii="Aptos" w:hAnsi="Aptos" w:cs="Aptos"/>
        </w:rPr>
        <w:t> </w:t>
      </w:r>
      <w:proofErr w:type="gramStart"/>
      <w:r w:rsidRPr="00293054">
        <w:rPr>
          <w:rFonts w:ascii="Tahoma" w:hAnsi="Tahoma" w:cs="Tahoma"/>
        </w:rPr>
        <w:t>﻿</w:t>
      </w:r>
      <w:r w:rsidRPr="00293054">
        <w:rPr>
          <w:rFonts w:ascii="Aptos" w:hAnsi="Aptos" w:cs="Aptos"/>
        </w:rPr>
        <w:t> </w:t>
      </w:r>
      <w:r w:rsidRPr="00293054">
        <w:rPr>
          <w:i/>
          <w:iCs/>
        </w:rPr>
        <w:t> J</w:t>
      </w:r>
      <w:proofErr w:type="gramEnd"/>
      <w:r w:rsidRPr="00293054">
        <w:rPr>
          <w:i/>
          <w:iCs/>
        </w:rPr>
        <w:t xml:space="preserve"> Clin Oncol</w:t>
      </w:r>
      <w:r w:rsidRPr="00293054">
        <w:t>. 2022;40(2):138-149. doi:</w:t>
      </w:r>
      <w:hyperlink r:id="rId11" w:history="1">
        <w:r w:rsidRPr="00293054">
          <w:rPr>
            <w:rStyle w:val="Hyperlink"/>
          </w:rPr>
          <w:t>10.1200/JCO.21.01752</w:t>
        </w:r>
      </w:hyperlink>
    </w:p>
    <w:p w14:paraId="682718CE" w14:textId="08FD7B58" w:rsidR="00293054" w:rsidRPr="00293054" w:rsidRDefault="00293054" w:rsidP="00293054">
      <w:r w:rsidRPr="00293054">
        <w:t>3.</w:t>
      </w:r>
      <w:r>
        <w:t xml:space="preserve"> </w:t>
      </w:r>
      <w:proofErr w:type="gramStart"/>
      <w:r w:rsidRPr="00293054">
        <w:t>Owadally  W</w:t>
      </w:r>
      <w:r w:rsidRPr="00293054">
        <w:rPr>
          <w:rFonts w:ascii="Tahoma" w:hAnsi="Tahoma" w:cs="Tahoma"/>
        </w:rPr>
        <w:t>﻿</w:t>
      </w:r>
      <w:proofErr w:type="gramEnd"/>
      <w:r w:rsidRPr="00293054">
        <w:t xml:space="preserve">, Hurt </w:t>
      </w:r>
      <w:r w:rsidRPr="00293054">
        <w:rPr>
          <w:rFonts w:ascii="Aptos" w:hAnsi="Aptos" w:cs="Aptos"/>
        </w:rPr>
        <w:t> </w:t>
      </w:r>
      <w:r w:rsidRPr="00293054">
        <w:t>C</w:t>
      </w:r>
      <w:r w:rsidRPr="00293054">
        <w:rPr>
          <w:rFonts w:ascii="Tahoma" w:hAnsi="Tahoma" w:cs="Tahoma"/>
        </w:rPr>
        <w:t>﻿</w:t>
      </w:r>
      <w:r w:rsidRPr="00293054">
        <w:t xml:space="preserve">, Timmins </w:t>
      </w:r>
      <w:r w:rsidRPr="00293054">
        <w:rPr>
          <w:rFonts w:ascii="Aptos" w:hAnsi="Aptos" w:cs="Aptos"/>
        </w:rPr>
        <w:t> </w:t>
      </w:r>
      <w:r w:rsidRPr="00293054">
        <w:t>H</w:t>
      </w:r>
      <w:r w:rsidRPr="00293054">
        <w:rPr>
          <w:rFonts w:ascii="Tahoma" w:hAnsi="Tahoma" w:cs="Tahoma"/>
        </w:rPr>
        <w:t>﻿</w:t>
      </w:r>
      <w:r w:rsidRPr="00293054">
        <w:t xml:space="preserve">, </w:t>
      </w:r>
      <w:r w:rsidRPr="00293054">
        <w:rPr>
          <w:rFonts w:ascii="Aptos" w:hAnsi="Aptos" w:cs="Aptos"/>
        </w:rPr>
        <w:t> </w:t>
      </w:r>
      <w:r w:rsidRPr="00293054">
        <w:t xml:space="preserve">et al. </w:t>
      </w:r>
      <w:r w:rsidRPr="00293054">
        <w:rPr>
          <w:rFonts w:ascii="Aptos" w:hAnsi="Aptos" w:cs="Aptos"/>
        </w:rPr>
        <w:t> </w:t>
      </w:r>
      <w:r w:rsidRPr="00293054">
        <w:t>PATHOS: a phase II/III trial of risk-stratified, reduced intensity adjuvant treatment in patients undergoing transoral surgery for Human papillomavirus (HPV) positive oropharyngeal cancer.</w:t>
      </w:r>
      <w:r w:rsidRPr="00293054">
        <w:rPr>
          <w:rFonts w:ascii="Aptos" w:hAnsi="Aptos" w:cs="Aptos"/>
        </w:rPr>
        <w:t> </w:t>
      </w:r>
      <w:proofErr w:type="gramStart"/>
      <w:r w:rsidRPr="00293054">
        <w:rPr>
          <w:rFonts w:ascii="Tahoma" w:hAnsi="Tahoma" w:cs="Tahoma"/>
        </w:rPr>
        <w:t>﻿</w:t>
      </w:r>
      <w:r w:rsidRPr="00293054">
        <w:rPr>
          <w:rFonts w:ascii="Aptos" w:hAnsi="Aptos" w:cs="Aptos"/>
        </w:rPr>
        <w:t> </w:t>
      </w:r>
      <w:r w:rsidRPr="00293054">
        <w:rPr>
          <w:i/>
          <w:iCs/>
        </w:rPr>
        <w:t> BMC</w:t>
      </w:r>
      <w:proofErr w:type="gramEnd"/>
      <w:r w:rsidRPr="00293054">
        <w:rPr>
          <w:i/>
          <w:iCs/>
        </w:rPr>
        <w:t xml:space="preserve"> Cancer</w:t>
      </w:r>
      <w:r w:rsidRPr="00293054">
        <w:t xml:space="preserve">. </w:t>
      </w:r>
      <w:proofErr w:type="gramStart"/>
      <w:r w:rsidRPr="00293054">
        <w:t>2015;15:602</w:t>
      </w:r>
      <w:proofErr w:type="gramEnd"/>
      <w:r w:rsidRPr="00293054">
        <w:t>. doi:</w:t>
      </w:r>
      <w:hyperlink r:id="rId12" w:history="1">
        <w:r w:rsidRPr="00293054">
          <w:rPr>
            <w:rStyle w:val="Hyperlink"/>
          </w:rPr>
          <w:t>10.1186/s12885-015-1598-x</w:t>
        </w:r>
      </w:hyperlink>
    </w:p>
    <w:p w14:paraId="46C1AB64" w14:textId="77777777" w:rsidR="00C065F7" w:rsidRDefault="00C065F7"/>
    <w:sectPr w:rsidR="00C065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410D"/>
    <w:multiLevelType w:val="multilevel"/>
    <w:tmpl w:val="B4743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EE0E61"/>
    <w:multiLevelType w:val="multilevel"/>
    <w:tmpl w:val="7F64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1934061">
    <w:abstractNumId w:val="0"/>
  </w:num>
  <w:num w:numId="2" w16cid:durableId="982271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054"/>
    <w:rsid w:val="00293054"/>
    <w:rsid w:val="003208D9"/>
    <w:rsid w:val="004A5AE2"/>
    <w:rsid w:val="00773F1A"/>
    <w:rsid w:val="009A367B"/>
    <w:rsid w:val="00A46486"/>
    <w:rsid w:val="00BB4B8E"/>
    <w:rsid w:val="00C065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71F90"/>
  <w15:chartTrackingRefBased/>
  <w15:docId w15:val="{F12174E1-3302-44A4-8794-F881ED907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0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0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0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0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0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0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0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0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0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0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0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0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0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0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0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0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0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054"/>
    <w:rPr>
      <w:rFonts w:eastAsiaTheme="majorEastAsia" w:cstheme="majorBidi"/>
      <w:color w:val="272727" w:themeColor="text1" w:themeTint="D8"/>
    </w:rPr>
  </w:style>
  <w:style w:type="paragraph" w:styleId="Title">
    <w:name w:val="Title"/>
    <w:basedOn w:val="Normal"/>
    <w:next w:val="Normal"/>
    <w:link w:val="TitleChar"/>
    <w:uiPriority w:val="10"/>
    <w:qFormat/>
    <w:rsid w:val="002930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0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0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0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054"/>
    <w:pPr>
      <w:spacing w:before="160"/>
      <w:jc w:val="center"/>
    </w:pPr>
    <w:rPr>
      <w:i/>
      <w:iCs/>
      <w:color w:val="404040" w:themeColor="text1" w:themeTint="BF"/>
    </w:rPr>
  </w:style>
  <w:style w:type="character" w:customStyle="1" w:styleId="QuoteChar">
    <w:name w:val="Quote Char"/>
    <w:basedOn w:val="DefaultParagraphFont"/>
    <w:link w:val="Quote"/>
    <w:uiPriority w:val="29"/>
    <w:rsid w:val="00293054"/>
    <w:rPr>
      <w:i/>
      <w:iCs/>
      <w:color w:val="404040" w:themeColor="text1" w:themeTint="BF"/>
    </w:rPr>
  </w:style>
  <w:style w:type="paragraph" w:styleId="ListParagraph">
    <w:name w:val="List Paragraph"/>
    <w:basedOn w:val="Normal"/>
    <w:uiPriority w:val="34"/>
    <w:qFormat/>
    <w:rsid w:val="00293054"/>
    <w:pPr>
      <w:ind w:left="720"/>
      <w:contextualSpacing/>
    </w:pPr>
  </w:style>
  <w:style w:type="character" w:styleId="IntenseEmphasis">
    <w:name w:val="Intense Emphasis"/>
    <w:basedOn w:val="DefaultParagraphFont"/>
    <w:uiPriority w:val="21"/>
    <w:qFormat/>
    <w:rsid w:val="00293054"/>
    <w:rPr>
      <w:i/>
      <w:iCs/>
      <w:color w:val="0F4761" w:themeColor="accent1" w:themeShade="BF"/>
    </w:rPr>
  </w:style>
  <w:style w:type="paragraph" w:styleId="IntenseQuote">
    <w:name w:val="Intense Quote"/>
    <w:basedOn w:val="Normal"/>
    <w:next w:val="Normal"/>
    <w:link w:val="IntenseQuoteChar"/>
    <w:uiPriority w:val="30"/>
    <w:qFormat/>
    <w:rsid w:val="002930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054"/>
    <w:rPr>
      <w:i/>
      <w:iCs/>
      <w:color w:val="0F4761" w:themeColor="accent1" w:themeShade="BF"/>
    </w:rPr>
  </w:style>
  <w:style w:type="character" w:styleId="IntenseReference">
    <w:name w:val="Intense Reference"/>
    <w:basedOn w:val="DefaultParagraphFont"/>
    <w:uiPriority w:val="32"/>
    <w:qFormat/>
    <w:rsid w:val="00293054"/>
    <w:rPr>
      <w:b/>
      <w:bCs/>
      <w:smallCaps/>
      <w:color w:val="0F4761" w:themeColor="accent1" w:themeShade="BF"/>
      <w:spacing w:val="5"/>
    </w:rPr>
  </w:style>
  <w:style w:type="character" w:styleId="Hyperlink">
    <w:name w:val="Hyperlink"/>
    <w:basedOn w:val="DefaultParagraphFont"/>
    <w:uiPriority w:val="99"/>
    <w:unhideWhenUsed/>
    <w:rsid w:val="00293054"/>
    <w:rPr>
      <w:color w:val="467886" w:themeColor="hyperlink"/>
      <w:u w:val="single"/>
    </w:rPr>
  </w:style>
  <w:style w:type="character" w:styleId="UnresolvedMention">
    <w:name w:val="Unresolved Mention"/>
    <w:basedOn w:val="DefaultParagraphFont"/>
    <w:uiPriority w:val="99"/>
    <w:semiHidden/>
    <w:unhideWhenUsed/>
    <w:rsid w:val="002930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00796">
      <w:bodyDiv w:val="1"/>
      <w:marLeft w:val="0"/>
      <w:marRight w:val="0"/>
      <w:marTop w:val="0"/>
      <w:marBottom w:val="0"/>
      <w:divBdr>
        <w:top w:val="none" w:sz="0" w:space="0" w:color="auto"/>
        <w:left w:val="none" w:sz="0" w:space="0" w:color="auto"/>
        <w:bottom w:val="none" w:sz="0" w:space="0" w:color="auto"/>
        <w:right w:val="none" w:sz="0" w:space="0" w:color="auto"/>
      </w:divBdr>
      <w:divsChild>
        <w:div w:id="1531261443">
          <w:marLeft w:val="0"/>
          <w:marRight w:val="0"/>
          <w:marTop w:val="56"/>
          <w:marBottom w:val="140"/>
          <w:divBdr>
            <w:top w:val="none" w:sz="0" w:space="0" w:color="auto"/>
            <w:left w:val="none" w:sz="0" w:space="0" w:color="auto"/>
            <w:bottom w:val="none" w:sz="0" w:space="0" w:color="auto"/>
            <w:right w:val="none" w:sz="0" w:space="0" w:color="auto"/>
          </w:divBdr>
          <w:divsChild>
            <w:div w:id="1647975765">
              <w:marLeft w:val="0"/>
              <w:marRight w:val="0"/>
              <w:marTop w:val="0"/>
              <w:marBottom w:val="0"/>
              <w:divBdr>
                <w:top w:val="none" w:sz="0" w:space="0" w:color="auto"/>
                <w:left w:val="none" w:sz="0" w:space="0" w:color="auto"/>
                <w:bottom w:val="none" w:sz="0" w:space="0" w:color="auto"/>
                <w:right w:val="none" w:sz="0" w:space="0" w:color="auto"/>
              </w:divBdr>
            </w:div>
          </w:divsChild>
        </w:div>
        <w:div w:id="1604266456">
          <w:marLeft w:val="0"/>
          <w:marRight w:val="0"/>
          <w:marTop w:val="56"/>
          <w:marBottom w:val="140"/>
          <w:divBdr>
            <w:top w:val="none" w:sz="0" w:space="0" w:color="auto"/>
            <w:left w:val="none" w:sz="0" w:space="0" w:color="auto"/>
            <w:bottom w:val="none" w:sz="0" w:space="0" w:color="auto"/>
            <w:right w:val="none" w:sz="0" w:space="0" w:color="auto"/>
          </w:divBdr>
          <w:divsChild>
            <w:div w:id="596911936">
              <w:marLeft w:val="0"/>
              <w:marRight w:val="0"/>
              <w:marTop w:val="0"/>
              <w:marBottom w:val="0"/>
              <w:divBdr>
                <w:top w:val="none" w:sz="0" w:space="0" w:color="auto"/>
                <w:left w:val="none" w:sz="0" w:space="0" w:color="auto"/>
                <w:bottom w:val="none" w:sz="0" w:space="0" w:color="auto"/>
                <w:right w:val="none" w:sz="0" w:space="0" w:color="auto"/>
              </w:divBdr>
              <w:divsChild>
                <w:div w:id="102570935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11919047">
          <w:marLeft w:val="0"/>
          <w:marRight w:val="0"/>
          <w:marTop w:val="0"/>
          <w:marBottom w:val="480"/>
          <w:divBdr>
            <w:top w:val="none" w:sz="0" w:space="0" w:color="auto"/>
            <w:left w:val="none" w:sz="0" w:space="0" w:color="auto"/>
            <w:bottom w:val="none" w:sz="0" w:space="0" w:color="auto"/>
            <w:right w:val="none" w:sz="0" w:space="0" w:color="auto"/>
          </w:divBdr>
          <w:divsChild>
            <w:div w:id="797189761">
              <w:marLeft w:val="0"/>
              <w:marRight w:val="0"/>
              <w:marTop w:val="0"/>
              <w:marBottom w:val="240"/>
              <w:divBdr>
                <w:top w:val="none" w:sz="0" w:space="0" w:color="auto"/>
                <w:left w:val="none" w:sz="0" w:space="0" w:color="auto"/>
                <w:bottom w:val="none" w:sz="0" w:space="0" w:color="auto"/>
                <w:right w:val="none" w:sz="0" w:space="0" w:color="auto"/>
              </w:divBdr>
              <w:divsChild>
                <w:div w:id="1489706548">
                  <w:marLeft w:val="0"/>
                  <w:marRight w:val="0"/>
                  <w:marTop w:val="0"/>
                  <w:marBottom w:val="0"/>
                  <w:divBdr>
                    <w:top w:val="none" w:sz="0" w:space="0" w:color="auto"/>
                    <w:left w:val="none" w:sz="0" w:space="0" w:color="auto"/>
                    <w:bottom w:val="none" w:sz="0" w:space="0" w:color="auto"/>
                    <w:right w:val="none" w:sz="0" w:space="0" w:color="auto"/>
                  </w:divBdr>
                </w:div>
              </w:divsChild>
            </w:div>
            <w:div w:id="1226843221">
              <w:marLeft w:val="0"/>
              <w:marRight w:val="0"/>
              <w:marTop w:val="0"/>
              <w:marBottom w:val="240"/>
              <w:divBdr>
                <w:top w:val="none" w:sz="0" w:space="0" w:color="auto"/>
                <w:left w:val="none" w:sz="0" w:space="0" w:color="auto"/>
                <w:bottom w:val="none" w:sz="0" w:space="0" w:color="auto"/>
                <w:right w:val="none" w:sz="0" w:space="0" w:color="auto"/>
              </w:divBdr>
              <w:divsChild>
                <w:div w:id="1037893720">
                  <w:marLeft w:val="0"/>
                  <w:marRight w:val="0"/>
                  <w:marTop w:val="0"/>
                  <w:marBottom w:val="0"/>
                  <w:divBdr>
                    <w:top w:val="none" w:sz="0" w:space="0" w:color="auto"/>
                    <w:left w:val="none" w:sz="0" w:space="0" w:color="auto"/>
                    <w:bottom w:val="none" w:sz="0" w:space="0" w:color="auto"/>
                    <w:right w:val="none" w:sz="0" w:space="0" w:color="auto"/>
                  </w:divBdr>
                </w:div>
              </w:divsChild>
            </w:div>
            <w:div w:id="970672442">
              <w:marLeft w:val="0"/>
              <w:marRight w:val="0"/>
              <w:marTop w:val="0"/>
              <w:marBottom w:val="240"/>
              <w:divBdr>
                <w:top w:val="none" w:sz="0" w:space="0" w:color="auto"/>
                <w:left w:val="none" w:sz="0" w:space="0" w:color="auto"/>
                <w:bottom w:val="none" w:sz="0" w:space="0" w:color="auto"/>
                <w:right w:val="none" w:sz="0" w:space="0" w:color="auto"/>
              </w:divBdr>
              <w:divsChild>
                <w:div w:id="19211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300105">
      <w:bodyDiv w:val="1"/>
      <w:marLeft w:val="0"/>
      <w:marRight w:val="0"/>
      <w:marTop w:val="0"/>
      <w:marBottom w:val="0"/>
      <w:divBdr>
        <w:top w:val="none" w:sz="0" w:space="0" w:color="auto"/>
        <w:left w:val="none" w:sz="0" w:space="0" w:color="auto"/>
        <w:bottom w:val="none" w:sz="0" w:space="0" w:color="auto"/>
        <w:right w:val="none" w:sz="0" w:space="0" w:color="auto"/>
      </w:divBdr>
      <w:divsChild>
        <w:div w:id="1834031286">
          <w:marLeft w:val="0"/>
          <w:marRight w:val="0"/>
          <w:marTop w:val="0"/>
          <w:marBottom w:val="480"/>
          <w:divBdr>
            <w:top w:val="none" w:sz="0" w:space="0" w:color="auto"/>
            <w:left w:val="none" w:sz="0" w:space="0" w:color="auto"/>
            <w:bottom w:val="none" w:sz="0" w:space="0" w:color="auto"/>
            <w:right w:val="none" w:sz="0" w:space="0" w:color="auto"/>
          </w:divBdr>
          <w:divsChild>
            <w:div w:id="1408964788">
              <w:marLeft w:val="0"/>
              <w:marRight w:val="0"/>
              <w:marTop w:val="0"/>
              <w:marBottom w:val="0"/>
              <w:divBdr>
                <w:top w:val="none" w:sz="0" w:space="0" w:color="auto"/>
                <w:left w:val="none" w:sz="0" w:space="0" w:color="auto"/>
                <w:bottom w:val="none" w:sz="0" w:space="0" w:color="auto"/>
                <w:right w:val="none" w:sz="0" w:space="0" w:color="auto"/>
              </w:divBdr>
            </w:div>
            <w:div w:id="1301307577">
              <w:marLeft w:val="0"/>
              <w:marRight w:val="0"/>
              <w:marTop w:val="0"/>
              <w:marBottom w:val="180"/>
              <w:divBdr>
                <w:top w:val="none" w:sz="0" w:space="0" w:color="auto"/>
                <w:left w:val="none" w:sz="0" w:space="0" w:color="auto"/>
                <w:bottom w:val="none" w:sz="0" w:space="0" w:color="auto"/>
                <w:right w:val="none" w:sz="0" w:space="0" w:color="auto"/>
              </w:divBdr>
            </w:div>
            <w:div w:id="935601898">
              <w:marLeft w:val="0"/>
              <w:marRight w:val="0"/>
              <w:marTop w:val="0"/>
              <w:marBottom w:val="120"/>
              <w:divBdr>
                <w:top w:val="none" w:sz="0" w:space="0" w:color="auto"/>
                <w:left w:val="none" w:sz="0" w:space="0" w:color="auto"/>
                <w:bottom w:val="none" w:sz="0" w:space="0" w:color="auto"/>
                <w:right w:val="none" w:sz="0" w:space="0" w:color="auto"/>
              </w:divBdr>
            </w:div>
            <w:div w:id="1764491287">
              <w:marLeft w:val="0"/>
              <w:marRight w:val="0"/>
              <w:marTop w:val="0"/>
              <w:marBottom w:val="0"/>
              <w:divBdr>
                <w:top w:val="none" w:sz="0" w:space="0" w:color="auto"/>
                <w:left w:val="none" w:sz="0" w:space="0" w:color="auto"/>
                <w:bottom w:val="none" w:sz="0" w:space="0" w:color="auto"/>
                <w:right w:val="none" w:sz="0" w:space="0" w:color="auto"/>
              </w:divBdr>
            </w:div>
          </w:divsChild>
        </w:div>
        <w:div w:id="618027124">
          <w:marLeft w:val="0"/>
          <w:marRight w:val="0"/>
          <w:marTop w:val="0"/>
          <w:marBottom w:val="0"/>
          <w:divBdr>
            <w:top w:val="none" w:sz="0" w:space="0" w:color="auto"/>
            <w:left w:val="none" w:sz="0" w:space="0" w:color="auto"/>
            <w:bottom w:val="none" w:sz="0" w:space="0" w:color="auto"/>
            <w:right w:val="none" w:sz="0" w:space="0" w:color="auto"/>
          </w:divBdr>
          <w:divsChild>
            <w:div w:id="364674138">
              <w:marLeft w:val="0"/>
              <w:marRight w:val="0"/>
              <w:marTop w:val="0"/>
              <w:marBottom w:val="480"/>
              <w:divBdr>
                <w:top w:val="none" w:sz="0" w:space="0" w:color="auto"/>
                <w:left w:val="none" w:sz="0" w:space="0" w:color="auto"/>
                <w:bottom w:val="none" w:sz="0" w:space="0" w:color="auto"/>
                <w:right w:val="none" w:sz="0" w:space="0" w:color="auto"/>
              </w:divBdr>
              <w:divsChild>
                <w:div w:id="1291012799">
                  <w:marLeft w:val="0"/>
                  <w:marRight w:val="0"/>
                  <w:marTop w:val="0"/>
                  <w:marBottom w:val="0"/>
                  <w:divBdr>
                    <w:top w:val="none" w:sz="0" w:space="0" w:color="auto"/>
                    <w:left w:val="none" w:sz="0" w:space="0" w:color="auto"/>
                    <w:bottom w:val="none" w:sz="0" w:space="0" w:color="auto"/>
                    <w:right w:val="none" w:sz="0" w:space="0" w:color="auto"/>
                  </w:divBdr>
                  <w:divsChild>
                    <w:div w:id="1568807623">
                      <w:marLeft w:val="0"/>
                      <w:marRight w:val="0"/>
                      <w:marTop w:val="0"/>
                      <w:marBottom w:val="0"/>
                      <w:divBdr>
                        <w:top w:val="none" w:sz="0" w:space="0" w:color="auto"/>
                        <w:left w:val="none" w:sz="0" w:space="0" w:color="auto"/>
                        <w:bottom w:val="none" w:sz="0" w:space="0" w:color="auto"/>
                        <w:right w:val="none" w:sz="0" w:space="0" w:color="auto"/>
                      </w:divBdr>
                    </w:div>
                  </w:divsChild>
                </w:div>
                <w:div w:id="2103528527">
                  <w:marLeft w:val="0"/>
                  <w:marRight w:val="0"/>
                  <w:marTop w:val="0"/>
                  <w:marBottom w:val="0"/>
                  <w:divBdr>
                    <w:top w:val="none" w:sz="0" w:space="0" w:color="auto"/>
                    <w:left w:val="none" w:sz="0" w:space="0" w:color="auto"/>
                    <w:bottom w:val="none" w:sz="0" w:space="0" w:color="auto"/>
                    <w:right w:val="none" w:sz="0" w:space="0" w:color="auto"/>
                  </w:divBdr>
                  <w:divsChild>
                    <w:div w:id="888423078">
                      <w:marLeft w:val="-15"/>
                      <w:marRight w:val="-15"/>
                      <w:marTop w:val="0"/>
                      <w:marBottom w:val="0"/>
                      <w:divBdr>
                        <w:top w:val="none" w:sz="0" w:space="0" w:color="auto"/>
                        <w:left w:val="none" w:sz="0" w:space="0" w:color="auto"/>
                        <w:bottom w:val="none" w:sz="0" w:space="0" w:color="auto"/>
                        <w:right w:val="none" w:sz="0" w:space="0" w:color="auto"/>
                      </w:divBdr>
                      <w:divsChild>
                        <w:div w:id="154274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043524">
          <w:marLeft w:val="0"/>
          <w:marRight w:val="0"/>
          <w:marTop w:val="0"/>
          <w:marBottom w:val="720"/>
          <w:divBdr>
            <w:top w:val="none" w:sz="0" w:space="0" w:color="auto"/>
            <w:left w:val="none" w:sz="0" w:space="0" w:color="auto"/>
            <w:bottom w:val="none" w:sz="0" w:space="0" w:color="auto"/>
            <w:right w:val="none" w:sz="0" w:space="0" w:color="auto"/>
          </w:divBdr>
          <w:divsChild>
            <w:div w:id="2090928210">
              <w:marLeft w:val="0"/>
              <w:marRight w:val="0"/>
              <w:marTop w:val="0"/>
              <w:marBottom w:val="0"/>
              <w:divBdr>
                <w:top w:val="none" w:sz="0" w:space="0" w:color="auto"/>
                <w:left w:val="none" w:sz="0" w:space="0" w:color="auto"/>
                <w:bottom w:val="none" w:sz="0" w:space="0" w:color="auto"/>
                <w:right w:val="none" w:sz="0" w:space="0" w:color="auto"/>
              </w:divBdr>
              <w:divsChild>
                <w:div w:id="196346335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109353898">
      <w:bodyDiv w:val="1"/>
      <w:marLeft w:val="0"/>
      <w:marRight w:val="0"/>
      <w:marTop w:val="0"/>
      <w:marBottom w:val="0"/>
      <w:divBdr>
        <w:top w:val="none" w:sz="0" w:space="0" w:color="auto"/>
        <w:left w:val="none" w:sz="0" w:space="0" w:color="auto"/>
        <w:bottom w:val="none" w:sz="0" w:space="0" w:color="auto"/>
        <w:right w:val="none" w:sz="0" w:space="0" w:color="auto"/>
      </w:divBdr>
      <w:divsChild>
        <w:div w:id="124399158">
          <w:marLeft w:val="0"/>
          <w:marRight w:val="0"/>
          <w:marTop w:val="0"/>
          <w:marBottom w:val="0"/>
          <w:divBdr>
            <w:top w:val="none" w:sz="0" w:space="0" w:color="auto"/>
            <w:left w:val="none" w:sz="0" w:space="0" w:color="auto"/>
            <w:bottom w:val="none" w:sz="0" w:space="0" w:color="auto"/>
            <w:right w:val="none" w:sz="0" w:space="0" w:color="auto"/>
          </w:divBdr>
        </w:div>
        <w:div w:id="1611469924">
          <w:marLeft w:val="0"/>
          <w:marRight w:val="0"/>
          <w:marTop w:val="0"/>
          <w:marBottom w:val="0"/>
          <w:divBdr>
            <w:top w:val="none" w:sz="0" w:space="0" w:color="auto"/>
            <w:left w:val="none" w:sz="0" w:space="0" w:color="auto"/>
            <w:bottom w:val="none" w:sz="0" w:space="0" w:color="auto"/>
            <w:right w:val="none" w:sz="0" w:space="0" w:color="auto"/>
          </w:divBdr>
        </w:div>
        <w:div w:id="1160539188">
          <w:marLeft w:val="0"/>
          <w:marRight w:val="0"/>
          <w:marTop w:val="0"/>
          <w:marBottom w:val="0"/>
          <w:divBdr>
            <w:top w:val="none" w:sz="0" w:space="0" w:color="auto"/>
            <w:left w:val="none" w:sz="0" w:space="0" w:color="auto"/>
            <w:bottom w:val="none" w:sz="0" w:space="0" w:color="auto"/>
            <w:right w:val="none" w:sz="0" w:space="0" w:color="auto"/>
          </w:divBdr>
        </w:div>
      </w:divsChild>
    </w:div>
    <w:div w:id="1134787340">
      <w:bodyDiv w:val="1"/>
      <w:marLeft w:val="0"/>
      <w:marRight w:val="0"/>
      <w:marTop w:val="0"/>
      <w:marBottom w:val="0"/>
      <w:divBdr>
        <w:top w:val="none" w:sz="0" w:space="0" w:color="auto"/>
        <w:left w:val="none" w:sz="0" w:space="0" w:color="auto"/>
        <w:bottom w:val="none" w:sz="0" w:space="0" w:color="auto"/>
        <w:right w:val="none" w:sz="0" w:space="0" w:color="auto"/>
      </w:divBdr>
      <w:divsChild>
        <w:div w:id="387145871">
          <w:marLeft w:val="0"/>
          <w:marRight w:val="0"/>
          <w:marTop w:val="0"/>
          <w:marBottom w:val="0"/>
          <w:divBdr>
            <w:top w:val="none" w:sz="0" w:space="0" w:color="auto"/>
            <w:left w:val="none" w:sz="0" w:space="0" w:color="auto"/>
            <w:bottom w:val="none" w:sz="0" w:space="0" w:color="auto"/>
            <w:right w:val="none" w:sz="0" w:space="0" w:color="auto"/>
          </w:divBdr>
        </w:div>
        <w:div w:id="2018076232">
          <w:marLeft w:val="0"/>
          <w:marRight w:val="0"/>
          <w:marTop w:val="0"/>
          <w:marBottom w:val="0"/>
          <w:divBdr>
            <w:top w:val="none" w:sz="0" w:space="0" w:color="auto"/>
            <w:left w:val="none" w:sz="0" w:space="0" w:color="auto"/>
            <w:bottom w:val="none" w:sz="0" w:space="0" w:color="auto"/>
            <w:right w:val="none" w:sz="0" w:space="0" w:color="auto"/>
          </w:divBdr>
        </w:div>
        <w:div w:id="294912575">
          <w:marLeft w:val="0"/>
          <w:marRight w:val="0"/>
          <w:marTop w:val="0"/>
          <w:marBottom w:val="0"/>
          <w:divBdr>
            <w:top w:val="none" w:sz="0" w:space="0" w:color="auto"/>
            <w:left w:val="none" w:sz="0" w:space="0" w:color="auto"/>
            <w:bottom w:val="none" w:sz="0" w:space="0" w:color="auto"/>
            <w:right w:val="none" w:sz="0" w:space="0" w:color="auto"/>
          </w:divBdr>
        </w:div>
      </w:divsChild>
    </w:div>
    <w:div w:id="1410228473">
      <w:bodyDiv w:val="1"/>
      <w:marLeft w:val="0"/>
      <w:marRight w:val="0"/>
      <w:marTop w:val="0"/>
      <w:marBottom w:val="0"/>
      <w:divBdr>
        <w:top w:val="none" w:sz="0" w:space="0" w:color="auto"/>
        <w:left w:val="none" w:sz="0" w:space="0" w:color="auto"/>
        <w:bottom w:val="none" w:sz="0" w:space="0" w:color="auto"/>
        <w:right w:val="none" w:sz="0" w:space="0" w:color="auto"/>
      </w:divBdr>
      <w:divsChild>
        <w:div w:id="393234484">
          <w:marLeft w:val="0"/>
          <w:marRight w:val="0"/>
          <w:marTop w:val="0"/>
          <w:marBottom w:val="480"/>
          <w:divBdr>
            <w:top w:val="none" w:sz="0" w:space="0" w:color="auto"/>
            <w:left w:val="none" w:sz="0" w:space="0" w:color="auto"/>
            <w:bottom w:val="none" w:sz="0" w:space="0" w:color="auto"/>
            <w:right w:val="none" w:sz="0" w:space="0" w:color="auto"/>
          </w:divBdr>
          <w:divsChild>
            <w:div w:id="1516650986">
              <w:marLeft w:val="0"/>
              <w:marRight w:val="0"/>
              <w:marTop w:val="0"/>
              <w:marBottom w:val="0"/>
              <w:divBdr>
                <w:top w:val="none" w:sz="0" w:space="0" w:color="auto"/>
                <w:left w:val="none" w:sz="0" w:space="0" w:color="auto"/>
                <w:bottom w:val="none" w:sz="0" w:space="0" w:color="auto"/>
                <w:right w:val="none" w:sz="0" w:space="0" w:color="auto"/>
              </w:divBdr>
            </w:div>
            <w:div w:id="1416246267">
              <w:marLeft w:val="0"/>
              <w:marRight w:val="0"/>
              <w:marTop w:val="0"/>
              <w:marBottom w:val="180"/>
              <w:divBdr>
                <w:top w:val="none" w:sz="0" w:space="0" w:color="auto"/>
                <w:left w:val="none" w:sz="0" w:space="0" w:color="auto"/>
                <w:bottom w:val="none" w:sz="0" w:space="0" w:color="auto"/>
                <w:right w:val="none" w:sz="0" w:space="0" w:color="auto"/>
              </w:divBdr>
            </w:div>
            <w:div w:id="900600218">
              <w:marLeft w:val="0"/>
              <w:marRight w:val="0"/>
              <w:marTop w:val="0"/>
              <w:marBottom w:val="120"/>
              <w:divBdr>
                <w:top w:val="none" w:sz="0" w:space="0" w:color="auto"/>
                <w:left w:val="none" w:sz="0" w:space="0" w:color="auto"/>
                <w:bottom w:val="none" w:sz="0" w:space="0" w:color="auto"/>
                <w:right w:val="none" w:sz="0" w:space="0" w:color="auto"/>
              </w:divBdr>
            </w:div>
            <w:div w:id="1207138360">
              <w:marLeft w:val="0"/>
              <w:marRight w:val="0"/>
              <w:marTop w:val="0"/>
              <w:marBottom w:val="0"/>
              <w:divBdr>
                <w:top w:val="none" w:sz="0" w:space="0" w:color="auto"/>
                <w:left w:val="none" w:sz="0" w:space="0" w:color="auto"/>
                <w:bottom w:val="none" w:sz="0" w:space="0" w:color="auto"/>
                <w:right w:val="none" w:sz="0" w:space="0" w:color="auto"/>
              </w:divBdr>
            </w:div>
          </w:divsChild>
        </w:div>
        <w:div w:id="1083336834">
          <w:marLeft w:val="0"/>
          <w:marRight w:val="0"/>
          <w:marTop w:val="0"/>
          <w:marBottom w:val="0"/>
          <w:divBdr>
            <w:top w:val="none" w:sz="0" w:space="0" w:color="auto"/>
            <w:left w:val="none" w:sz="0" w:space="0" w:color="auto"/>
            <w:bottom w:val="none" w:sz="0" w:space="0" w:color="auto"/>
            <w:right w:val="none" w:sz="0" w:space="0" w:color="auto"/>
          </w:divBdr>
          <w:divsChild>
            <w:div w:id="744691829">
              <w:marLeft w:val="0"/>
              <w:marRight w:val="0"/>
              <w:marTop w:val="0"/>
              <w:marBottom w:val="480"/>
              <w:divBdr>
                <w:top w:val="none" w:sz="0" w:space="0" w:color="auto"/>
                <w:left w:val="none" w:sz="0" w:space="0" w:color="auto"/>
                <w:bottom w:val="none" w:sz="0" w:space="0" w:color="auto"/>
                <w:right w:val="none" w:sz="0" w:space="0" w:color="auto"/>
              </w:divBdr>
              <w:divsChild>
                <w:div w:id="1110274029">
                  <w:marLeft w:val="0"/>
                  <w:marRight w:val="0"/>
                  <w:marTop w:val="0"/>
                  <w:marBottom w:val="0"/>
                  <w:divBdr>
                    <w:top w:val="none" w:sz="0" w:space="0" w:color="auto"/>
                    <w:left w:val="none" w:sz="0" w:space="0" w:color="auto"/>
                    <w:bottom w:val="none" w:sz="0" w:space="0" w:color="auto"/>
                    <w:right w:val="none" w:sz="0" w:space="0" w:color="auto"/>
                  </w:divBdr>
                  <w:divsChild>
                    <w:div w:id="50354207">
                      <w:marLeft w:val="0"/>
                      <w:marRight w:val="0"/>
                      <w:marTop w:val="0"/>
                      <w:marBottom w:val="0"/>
                      <w:divBdr>
                        <w:top w:val="none" w:sz="0" w:space="0" w:color="auto"/>
                        <w:left w:val="none" w:sz="0" w:space="0" w:color="auto"/>
                        <w:bottom w:val="none" w:sz="0" w:space="0" w:color="auto"/>
                        <w:right w:val="none" w:sz="0" w:space="0" w:color="auto"/>
                      </w:divBdr>
                    </w:div>
                  </w:divsChild>
                </w:div>
                <w:div w:id="1122262200">
                  <w:marLeft w:val="0"/>
                  <w:marRight w:val="0"/>
                  <w:marTop w:val="0"/>
                  <w:marBottom w:val="0"/>
                  <w:divBdr>
                    <w:top w:val="none" w:sz="0" w:space="0" w:color="auto"/>
                    <w:left w:val="none" w:sz="0" w:space="0" w:color="auto"/>
                    <w:bottom w:val="none" w:sz="0" w:space="0" w:color="auto"/>
                    <w:right w:val="none" w:sz="0" w:space="0" w:color="auto"/>
                  </w:divBdr>
                  <w:divsChild>
                    <w:div w:id="385759548">
                      <w:marLeft w:val="-15"/>
                      <w:marRight w:val="-15"/>
                      <w:marTop w:val="0"/>
                      <w:marBottom w:val="0"/>
                      <w:divBdr>
                        <w:top w:val="none" w:sz="0" w:space="0" w:color="auto"/>
                        <w:left w:val="none" w:sz="0" w:space="0" w:color="auto"/>
                        <w:bottom w:val="none" w:sz="0" w:space="0" w:color="auto"/>
                        <w:right w:val="none" w:sz="0" w:space="0" w:color="auto"/>
                      </w:divBdr>
                      <w:divsChild>
                        <w:div w:id="11178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299205">
          <w:marLeft w:val="0"/>
          <w:marRight w:val="0"/>
          <w:marTop w:val="0"/>
          <w:marBottom w:val="720"/>
          <w:divBdr>
            <w:top w:val="none" w:sz="0" w:space="0" w:color="auto"/>
            <w:left w:val="none" w:sz="0" w:space="0" w:color="auto"/>
            <w:bottom w:val="none" w:sz="0" w:space="0" w:color="auto"/>
            <w:right w:val="none" w:sz="0" w:space="0" w:color="auto"/>
          </w:divBdr>
          <w:divsChild>
            <w:div w:id="728849122">
              <w:marLeft w:val="0"/>
              <w:marRight w:val="0"/>
              <w:marTop w:val="0"/>
              <w:marBottom w:val="0"/>
              <w:divBdr>
                <w:top w:val="none" w:sz="0" w:space="0" w:color="auto"/>
                <w:left w:val="none" w:sz="0" w:space="0" w:color="auto"/>
                <w:bottom w:val="none" w:sz="0" w:space="0" w:color="auto"/>
                <w:right w:val="none" w:sz="0" w:space="0" w:color="auto"/>
              </w:divBdr>
              <w:divsChild>
                <w:div w:id="160749691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716849281">
      <w:bodyDiv w:val="1"/>
      <w:marLeft w:val="0"/>
      <w:marRight w:val="0"/>
      <w:marTop w:val="0"/>
      <w:marBottom w:val="0"/>
      <w:divBdr>
        <w:top w:val="none" w:sz="0" w:space="0" w:color="auto"/>
        <w:left w:val="none" w:sz="0" w:space="0" w:color="auto"/>
        <w:bottom w:val="none" w:sz="0" w:space="0" w:color="auto"/>
        <w:right w:val="none" w:sz="0" w:space="0" w:color="auto"/>
      </w:divBdr>
      <w:divsChild>
        <w:div w:id="753666089">
          <w:marLeft w:val="0"/>
          <w:marRight w:val="0"/>
          <w:marTop w:val="56"/>
          <w:marBottom w:val="140"/>
          <w:divBdr>
            <w:top w:val="none" w:sz="0" w:space="0" w:color="auto"/>
            <w:left w:val="none" w:sz="0" w:space="0" w:color="auto"/>
            <w:bottom w:val="none" w:sz="0" w:space="0" w:color="auto"/>
            <w:right w:val="none" w:sz="0" w:space="0" w:color="auto"/>
          </w:divBdr>
          <w:divsChild>
            <w:div w:id="1384252100">
              <w:marLeft w:val="0"/>
              <w:marRight w:val="0"/>
              <w:marTop w:val="0"/>
              <w:marBottom w:val="0"/>
              <w:divBdr>
                <w:top w:val="none" w:sz="0" w:space="0" w:color="auto"/>
                <w:left w:val="none" w:sz="0" w:space="0" w:color="auto"/>
                <w:bottom w:val="none" w:sz="0" w:space="0" w:color="auto"/>
                <w:right w:val="none" w:sz="0" w:space="0" w:color="auto"/>
              </w:divBdr>
            </w:div>
          </w:divsChild>
        </w:div>
        <w:div w:id="207955952">
          <w:marLeft w:val="0"/>
          <w:marRight w:val="0"/>
          <w:marTop w:val="56"/>
          <w:marBottom w:val="140"/>
          <w:divBdr>
            <w:top w:val="none" w:sz="0" w:space="0" w:color="auto"/>
            <w:left w:val="none" w:sz="0" w:space="0" w:color="auto"/>
            <w:bottom w:val="none" w:sz="0" w:space="0" w:color="auto"/>
            <w:right w:val="none" w:sz="0" w:space="0" w:color="auto"/>
          </w:divBdr>
          <w:divsChild>
            <w:div w:id="467478374">
              <w:marLeft w:val="0"/>
              <w:marRight w:val="0"/>
              <w:marTop w:val="0"/>
              <w:marBottom w:val="0"/>
              <w:divBdr>
                <w:top w:val="none" w:sz="0" w:space="0" w:color="auto"/>
                <w:left w:val="none" w:sz="0" w:space="0" w:color="auto"/>
                <w:bottom w:val="none" w:sz="0" w:space="0" w:color="auto"/>
                <w:right w:val="none" w:sz="0" w:space="0" w:color="auto"/>
              </w:divBdr>
              <w:divsChild>
                <w:div w:id="62790250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 w:id="1268854203">
          <w:marLeft w:val="0"/>
          <w:marRight w:val="0"/>
          <w:marTop w:val="0"/>
          <w:marBottom w:val="480"/>
          <w:divBdr>
            <w:top w:val="none" w:sz="0" w:space="0" w:color="auto"/>
            <w:left w:val="none" w:sz="0" w:space="0" w:color="auto"/>
            <w:bottom w:val="none" w:sz="0" w:space="0" w:color="auto"/>
            <w:right w:val="none" w:sz="0" w:space="0" w:color="auto"/>
          </w:divBdr>
          <w:divsChild>
            <w:div w:id="185944253">
              <w:marLeft w:val="0"/>
              <w:marRight w:val="0"/>
              <w:marTop w:val="0"/>
              <w:marBottom w:val="240"/>
              <w:divBdr>
                <w:top w:val="none" w:sz="0" w:space="0" w:color="auto"/>
                <w:left w:val="none" w:sz="0" w:space="0" w:color="auto"/>
                <w:bottom w:val="none" w:sz="0" w:space="0" w:color="auto"/>
                <w:right w:val="none" w:sz="0" w:space="0" w:color="auto"/>
              </w:divBdr>
              <w:divsChild>
                <w:div w:id="1149597594">
                  <w:marLeft w:val="0"/>
                  <w:marRight w:val="0"/>
                  <w:marTop w:val="0"/>
                  <w:marBottom w:val="0"/>
                  <w:divBdr>
                    <w:top w:val="none" w:sz="0" w:space="0" w:color="auto"/>
                    <w:left w:val="none" w:sz="0" w:space="0" w:color="auto"/>
                    <w:bottom w:val="none" w:sz="0" w:space="0" w:color="auto"/>
                    <w:right w:val="none" w:sz="0" w:space="0" w:color="auto"/>
                  </w:divBdr>
                </w:div>
              </w:divsChild>
            </w:div>
            <w:div w:id="40860740">
              <w:marLeft w:val="0"/>
              <w:marRight w:val="0"/>
              <w:marTop w:val="0"/>
              <w:marBottom w:val="240"/>
              <w:divBdr>
                <w:top w:val="none" w:sz="0" w:space="0" w:color="auto"/>
                <w:left w:val="none" w:sz="0" w:space="0" w:color="auto"/>
                <w:bottom w:val="none" w:sz="0" w:space="0" w:color="auto"/>
                <w:right w:val="none" w:sz="0" w:space="0" w:color="auto"/>
              </w:divBdr>
              <w:divsChild>
                <w:div w:id="299917616">
                  <w:marLeft w:val="0"/>
                  <w:marRight w:val="0"/>
                  <w:marTop w:val="0"/>
                  <w:marBottom w:val="0"/>
                  <w:divBdr>
                    <w:top w:val="none" w:sz="0" w:space="0" w:color="auto"/>
                    <w:left w:val="none" w:sz="0" w:space="0" w:color="auto"/>
                    <w:bottom w:val="none" w:sz="0" w:space="0" w:color="auto"/>
                    <w:right w:val="none" w:sz="0" w:space="0" w:color="auto"/>
                  </w:divBdr>
                </w:div>
              </w:divsChild>
            </w:div>
            <w:div w:id="2137940243">
              <w:marLeft w:val="0"/>
              <w:marRight w:val="0"/>
              <w:marTop w:val="0"/>
              <w:marBottom w:val="240"/>
              <w:divBdr>
                <w:top w:val="none" w:sz="0" w:space="0" w:color="auto"/>
                <w:left w:val="none" w:sz="0" w:space="0" w:color="auto"/>
                <w:bottom w:val="none" w:sz="0" w:space="0" w:color="auto"/>
                <w:right w:val="none" w:sz="0" w:space="0" w:color="auto"/>
              </w:divBdr>
              <w:divsChild>
                <w:div w:id="206124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amanetwork.com/journals/jamaotolaryngology/fullarticle/28296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jamanetwork.com/journals/jamaotolaryngology/fullarticle/2829682" TargetMode="External"/><Relationship Id="rId12" Type="http://schemas.openxmlformats.org/officeDocument/2006/relationships/hyperlink" Target="https://dx.doi.org/10.1186/s12885-015-1598-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anetwork.com/journals/jamaotolaryngology/fullarticle/2829682" TargetMode="External"/><Relationship Id="rId11" Type="http://schemas.openxmlformats.org/officeDocument/2006/relationships/hyperlink" Target="https://dx.doi.org/10.1200/JCO.21.01752" TargetMode="External"/><Relationship Id="rId5" Type="http://schemas.openxmlformats.org/officeDocument/2006/relationships/hyperlink" Target="https://jamanetwork.com/journals/jamaotolaryngology/fullarticle/2829682" TargetMode="External"/><Relationship Id="rId10" Type="http://schemas.openxmlformats.org/officeDocument/2006/relationships/hyperlink" Target="http://jamanetwork.com/article.aspx?doi=10.1001/jamaoto.2024.3371" TargetMode="External"/><Relationship Id="rId4" Type="http://schemas.openxmlformats.org/officeDocument/2006/relationships/webSettings" Target="webSettings.xml"/><Relationship Id="rId9" Type="http://schemas.openxmlformats.org/officeDocument/2006/relationships/hyperlink" Target="mailto:c.hurt@soton.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717</Words>
  <Characters>4087</Characters>
  <Application>Microsoft Office Word</Application>
  <DocSecurity>0</DocSecurity>
  <Lines>34</Lines>
  <Paragraphs>9</Paragraphs>
  <ScaleCrop>false</ScaleCrop>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Hurt</dc:creator>
  <cp:keywords/>
  <dc:description/>
  <cp:lastModifiedBy>Christopher Hurt</cp:lastModifiedBy>
  <cp:revision>1</cp:revision>
  <dcterms:created xsi:type="dcterms:W3CDTF">2025-02-25T14:07:00Z</dcterms:created>
  <dcterms:modified xsi:type="dcterms:W3CDTF">2025-02-25T14:09:00Z</dcterms:modified>
</cp:coreProperties>
</file>