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E810" w14:textId="075C1784" w:rsidR="008E5D0B" w:rsidRPr="0098539B" w:rsidRDefault="00E500DA" w:rsidP="008E5D0B">
      <w:pPr>
        <w:pStyle w:val="MDPI11articletype"/>
      </w:pPr>
      <w:r w:rsidRPr="0098539B">
        <w:t>Article</w:t>
      </w:r>
    </w:p>
    <w:p w14:paraId="3030FE4C" w14:textId="255C6DD3" w:rsidR="001161DA" w:rsidRPr="0098539B" w:rsidRDefault="00516B3A" w:rsidP="00D42C20">
      <w:pPr>
        <w:spacing w:line="480" w:lineRule="auto"/>
        <w:rPr>
          <w:b/>
          <w:bCs/>
          <w:sz w:val="36"/>
          <w:szCs w:val="36"/>
        </w:rPr>
      </w:pPr>
      <w:r w:rsidRPr="0098539B">
        <w:rPr>
          <w:b/>
          <w:bCs/>
          <w:sz w:val="36"/>
          <w:szCs w:val="36"/>
        </w:rPr>
        <w:t>Measuring Reflective Inquiry In Professional Learning Networks: A Conceptual Framework</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1161DA" w:rsidRPr="0098539B" w14:paraId="7234DFC2" w14:textId="77777777" w:rsidTr="000D20E3">
        <w:tc>
          <w:tcPr>
            <w:tcW w:w="2410" w:type="dxa"/>
            <w:shd w:val="clear" w:color="auto" w:fill="auto"/>
          </w:tcPr>
          <w:p w14:paraId="62987BBB" w14:textId="77777777" w:rsidR="001161DA" w:rsidRPr="0098539B" w:rsidRDefault="001161DA" w:rsidP="000D20E3">
            <w:pPr>
              <w:pStyle w:val="MDPI15academiceditor"/>
              <w:spacing w:before="0" w:after="120"/>
            </w:pPr>
            <w:r w:rsidRPr="0098539B">
              <w:t xml:space="preserve">Academic Editor: </w:t>
            </w:r>
            <w:proofErr w:type="spellStart"/>
            <w:r w:rsidRPr="0098539B">
              <w:t>Firstname</w:t>
            </w:r>
            <w:proofErr w:type="spellEnd"/>
            <w:r w:rsidRPr="0098539B">
              <w:t xml:space="preserve"> </w:t>
            </w:r>
            <w:proofErr w:type="spellStart"/>
            <w:r w:rsidRPr="0098539B">
              <w:t>Lastname</w:t>
            </w:r>
            <w:proofErr w:type="spellEnd"/>
          </w:p>
          <w:p w14:paraId="0ECF91C6" w14:textId="77777777" w:rsidR="001161DA" w:rsidRPr="0098539B" w:rsidRDefault="001161DA" w:rsidP="000D20E3">
            <w:pPr>
              <w:pStyle w:val="MDPI14history"/>
              <w:spacing w:before="120"/>
            </w:pPr>
            <w:r w:rsidRPr="0098539B">
              <w:t>Received: date</w:t>
            </w:r>
          </w:p>
          <w:p w14:paraId="4C180E6E" w14:textId="77777777" w:rsidR="001161DA" w:rsidRPr="0098539B" w:rsidRDefault="001161DA" w:rsidP="000D20E3">
            <w:pPr>
              <w:pStyle w:val="MDPI14history"/>
            </w:pPr>
            <w:r w:rsidRPr="0098539B">
              <w:t>Revised: date</w:t>
            </w:r>
          </w:p>
          <w:p w14:paraId="51EE5FF6" w14:textId="77777777" w:rsidR="001161DA" w:rsidRPr="0098539B" w:rsidRDefault="001161DA" w:rsidP="000D20E3">
            <w:pPr>
              <w:pStyle w:val="MDPI14history"/>
            </w:pPr>
            <w:r w:rsidRPr="0098539B">
              <w:t>Accepted: date</w:t>
            </w:r>
          </w:p>
          <w:p w14:paraId="40E43D94" w14:textId="77777777" w:rsidR="001161DA" w:rsidRPr="0098539B" w:rsidRDefault="001161DA" w:rsidP="000D20E3">
            <w:pPr>
              <w:pStyle w:val="MDPI14history"/>
              <w:spacing w:after="120"/>
            </w:pPr>
            <w:r w:rsidRPr="0098539B">
              <w:t>Published: date</w:t>
            </w:r>
          </w:p>
          <w:p w14:paraId="0F1B2F1C" w14:textId="77777777" w:rsidR="001161DA" w:rsidRPr="0098539B" w:rsidRDefault="001161DA" w:rsidP="000D20E3">
            <w:pPr>
              <w:pStyle w:val="MDPI61citation"/>
              <w:rPr>
                <w:lang w:bidi="en-US"/>
              </w:rPr>
            </w:pPr>
            <w:r w:rsidRPr="0098539B">
              <w:rPr>
                <w:b/>
                <w:lang w:bidi="en-US"/>
              </w:rPr>
              <w:t xml:space="preserve">Citation: </w:t>
            </w:r>
            <w:r w:rsidRPr="0098539B">
              <w:rPr>
                <w:lang w:bidi="en-US"/>
              </w:rPr>
              <w:t>To be added by editorial staff during production.</w:t>
            </w:r>
          </w:p>
          <w:p w14:paraId="20EAFE92" w14:textId="77777777" w:rsidR="001161DA" w:rsidRPr="0098539B" w:rsidRDefault="001161DA" w:rsidP="000D20E3">
            <w:pPr>
              <w:pStyle w:val="MDPI72copyright"/>
              <w:rPr>
                <w:rFonts w:eastAsia="DengXian"/>
                <w:lang w:bidi="en-US"/>
              </w:rPr>
            </w:pPr>
            <w:r w:rsidRPr="0098539B">
              <w:rPr>
                <w:rFonts w:eastAsia="DengXian"/>
                <w:b/>
                <w:lang w:bidi="en-US"/>
              </w:rPr>
              <w:t>Copyright:</w:t>
            </w:r>
            <w:r w:rsidRPr="0098539B">
              <w:rPr>
                <w:rFonts w:eastAsia="DengXian"/>
                <w:lang w:bidi="en-US"/>
              </w:rPr>
              <w:t xml:space="preserve"> © 2025 by the authors. Submitted for possible open access publication under the terms and conditions of the Creative Commons Attribution (CC BY) license (https://creativecommons.org/licenses/by/4.0/).</w:t>
            </w:r>
          </w:p>
        </w:tc>
      </w:tr>
    </w:tbl>
    <w:p w14:paraId="77C0E300" w14:textId="77777777" w:rsidR="00211453" w:rsidRPr="0098539B" w:rsidRDefault="00211453" w:rsidP="00211453">
      <w:pPr>
        <w:pStyle w:val="MDPI13authornames"/>
      </w:pPr>
      <w:r w:rsidRPr="0098539B">
        <w:t xml:space="preserve">Ariadne </w:t>
      </w:r>
      <w:proofErr w:type="spellStart"/>
      <w:r w:rsidRPr="0098539B">
        <w:t>Warmoes</w:t>
      </w:r>
      <w:proofErr w:type="spellEnd"/>
      <w:r w:rsidRPr="0098539B">
        <w:t xml:space="preserve"> </w:t>
      </w:r>
      <w:r w:rsidRPr="0098539B">
        <w:rPr>
          <w:vertAlign w:val="superscript"/>
        </w:rPr>
        <w:t>1*</w:t>
      </w:r>
      <w:r w:rsidRPr="0098539B">
        <w:t xml:space="preserve">, Chris Brown </w:t>
      </w:r>
      <w:r w:rsidRPr="0098539B">
        <w:rPr>
          <w:vertAlign w:val="superscript"/>
        </w:rPr>
        <w:t>2</w:t>
      </w:r>
      <w:r w:rsidRPr="0098539B">
        <w:t xml:space="preserve"> Iris </w:t>
      </w:r>
      <w:proofErr w:type="spellStart"/>
      <w:r w:rsidRPr="0098539B">
        <w:t>Decabooter</w:t>
      </w:r>
      <w:proofErr w:type="spellEnd"/>
      <w:r w:rsidRPr="0098539B">
        <w:t xml:space="preserve"> </w:t>
      </w:r>
      <w:r w:rsidRPr="0098539B">
        <w:rPr>
          <w:vertAlign w:val="superscript"/>
        </w:rPr>
        <w:t>3</w:t>
      </w:r>
      <w:r w:rsidRPr="0098539B">
        <w:t xml:space="preserve">, and Els </w:t>
      </w:r>
      <w:proofErr w:type="spellStart"/>
      <w:r w:rsidRPr="0098539B">
        <w:t>Consuegra</w:t>
      </w:r>
      <w:proofErr w:type="spellEnd"/>
      <w:r w:rsidRPr="0098539B">
        <w:t xml:space="preserve"> </w:t>
      </w:r>
      <w:proofErr w:type="gramStart"/>
      <w:r w:rsidRPr="0098539B">
        <w:rPr>
          <w:vertAlign w:val="superscript"/>
        </w:rPr>
        <w:t>2,</w:t>
      </w:r>
      <w:r w:rsidRPr="0098539B">
        <w:t>*</w:t>
      </w:r>
      <w:proofErr w:type="gramEnd"/>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211453" w:rsidRPr="0098539B" w14:paraId="4299D285" w14:textId="77777777" w:rsidTr="00D7666B">
        <w:tc>
          <w:tcPr>
            <w:tcW w:w="2410" w:type="dxa"/>
            <w:shd w:val="clear" w:color="auto" w:fill="auto"/>
          </w:tcPr>
          <w:p w14:paraId="3DD17E2C" w14:textId="77777777" w:rsidR="00211453" w:rsidRPr="0098539B" w:rsidRDefault="00211453" w:rsidP="00D7666B">
            <w:pPr>
              <w:pStyle w:val="MDPI15academiceditor"/>
              <w:spacing w:before="0" w:after="120"/>
            </w:pPr>
            <w:r w:rsidRPr="0098539B">
              <w:t xml:space="preserve">Academic Editor: </w:t>
            </w:r>
            <w:proofErr w:type="spellStart"/>
            <w:r w:rsidRPr="0098539B">
              <w:t>Firstname</w:t>
            </w:r>
            <w:proofErr w:type="spellEnd"/>
            <w:r w:rsidRPr="0098539B">
              <w:t xml:space="preserve"> </w:t>
            </w:r>
            <w:proofErr w:type="spellStart"/>
            <w:r w:rsidRPr="0098539B">
              <w:t>Lastname</w:t>
            </w:r>
            <w:proofErr w:type="spellEnd"/>
          </w:p>
          <w:p w14:paraId="28E22B89" w14:textId="77777777" w:rsidR="00211453" w:rsidRPr="0098539B" w:rsidRDefault="00211453" w:rsidP="00D7666B">
            <w:pPr>
              <w:pStyle w:val="MDPI14history"/>
              <w:spacing w:before="120"/>
            </w:pPr>
            <w:r w:rsidRPr="0098539B">
              <w:t>Received: date</w:t>
            </w:r>
          </w:p>
          <w:p w14:paraId="07AD008A" w14:textId="77777777" w:rsidR="00211453" w:rsidRPr="0098539B" w:rsidRDefault="00211453" w:rsidP="00D7666B">
            <w:pPr>
              <w:pStyle w:val="MDPI14history"/>
            </w:pPr>
            <w:r w:rsidRPr="0098539B">
              <w:t>Revised: date</w:t>
            </w:r>
          </w:p>
          <w:p w14:paraId="12FA527A" w14:textId="77777777" w:rsidR="00211453" w:rsidRPr="0098539B" w:rsidRDefault="00211453" w:rsidP="00D7666B">
            <w:pPr>
              <w:pStyle w:val="MDPI14history"/>
            </w:pPr>
            <w:r w:rsidRPr="0098539B">
              <w:t>Accepted: date</w:t>
            </w:r>
          </w:p>
          <w:p w14:paraId="283AC978" w14:textId="77777777" w:rsidR="00211453" w:rsidRPr="0098539B" w:rsidRDefault="00211453" w:rsidP="00D7666B">
            <w:pPr>
              <w:pStyle w:val="MDPI14history"/>
              <w:spacing w:after="120"/>
            </w:pPr>
            <w:r w:rsidRPr="0098539B">
              <w:t>Published: date</w:t>
            </w:r>
          </w:p>
          <w:p w14:paraId="724FCE71" w14:textId="77777777" w:rsidR="00211453" w:rsidRPr="0098539B" w:rsidRDefault="00211453" w:rsidP="00D7666B">
            <w:pPr>
              <w:pStyle w:val="MDPI61citation"/>
              <w:rPr>
                <w:lang w:bidi="en-US"/>
              </w:rPr>
            </w:pPr>
            <w:r w:rsidRPr="0098539B">
              <w:rPr>
                <w:b/>
                <w:lang w:bidi="en-US"/>
              </w:rPr>
              <w:t xml:space="preserve">Citation: </w:t>
            </w:r>
            <w:r w:rsidRPr="0098539B">
              <w:rPr>
                <w:lang w:bidi="en-US"/>
              </w:rPr>
              <w:t>To be added by editorial staff during production.</w:t>
            </w:r>
          </w:p>
          <w:p w14:paraId="7AAFBAAF" w14:textId="77777777" w:rsidR="00211453" w:rsidRPr="0098539B" w:rsidRDefault="00211453" w:rsidP="00D7666B">
            <w:pPr>
              <w:pStyle w:val="MDPI72copyright"/>
              <w:rPr>
                <w:rFonts w:eastAsia="DengXian"/>
                <w:lang w:bidi="en-US"/>
              </w:rPr>
            </w:pPr>
            <w:r w:rsidRPr="0098539B">
              <w:rPr>
                <w:rFonts w:eastAsia="DengXian"/>
                <w:b/>
                <w:lang w:bidi="en-US"/>
              </w:rPr>
              <w:t>Copyright:</w:t>
            </w:r>
            <w:r w:rsidRPr="0098539B">
              <w:rPr>
                <w:rFonts w:eastAsia="DengXian"/>
                <w:lang w:bidi="en-US"/>
              </w:rPr>
              <w:t xml:space="preserve"> © 2025 by the authors. Submitted for possible open access publication under the terms and conditions of the Creative Commons Attribution (CC BY) license (https://creativecommons.org/licenses/by/4.0/).</w:t>
            </w:r>
          </w:p>
        </w:tc>
      </w:tr>
    </w:tbl>
    <w:p w14:paraId="222E1767" w14:textId="77777777" w:rsidR="00211453" w:rsidRPr="0098539B" w:rsidRDefault="00211453" w:rsidP="00211453">
      <w:pPr>
        <w:pStyle w:val="MDPI16affiliation"/>
        <w:rPr>
          <w:lang w:val="nl-BE"/>
        </w:rPr>
      </w:pPr>
      <w:r w:rsidRPr="0098539B">
        <w:rPr>
          <w:vertAlign w:val="superscript"/>
          <w:lang w:val="nl-BE"/>
        </w:rPr>
        <w:t>1</w:t>
      </w:r>
      <w:r w:rsidRPr="0098539B">
        <w:rPr>
          <w:lang w:val="nl-BE"/>
        </w:rPr>
        <w:tab/>
      </w:r>
      <w:r w:rsidRPr="0098539B">
        <w:rPr>
          <w:rStyle w:val="normaltextrun"/>
          <w:lang w:val="nl-BE"/>
        </w:rPr>
        <w:t xml:space="preserve">BRITE, Vrije Universiteit Brussel; Pleinlaan 9, 1050 Brussel, Belgium ; </w:t>
      </w:r>
      <w:r w:rsidRPr="0098539B">
        <w:fldChar w:fldCharType="begin"/>
      </w:r>
      <w:r w:rsidRPr="0098539B">
        <w:rPr>
          <w:lang w:val="nl-BE"/>
        </w:rPr>
        <w:instrText>HYPERLINK "mailto:ariadne.warmoes@vub.be"</w:instrText>
      </w:r>
      <w:r w:rsidRPr="0098539B">
        <w:fldChar w:fldCharType="separate"/>
      </w:r>
      <w:r w:rsidRPr="0098539B">
        <w:rPr>
          <w:rStyle w:val="Hyperlink"/>
          <w:lang w:val="nl-BE"/>
        </w:rPr>
        <w:t>ariadne.warmoes@vub.be</w:t>
      </w:r>
      <w:r w:rsidRPr="0098539B">
        <w:fldChar w:fldCharType="end"/>
      </w:r>
      <w:r w:rsidRPr="0098539B">
        <w:rPr>
          <w:rStyle w:val="normaltextrun"/>
          <w:lang w:val="nl-BE"/>
        </w:rPr>
        <w:t xml:space="preserve"> and </w:t>
      </w:r>
      <w:r w:rsidRPr="0098539B">
        <w:fldChar w:fldCharType="begin"/>
      </w:r>
      <w:r w:rsidRPr="0098539B">
        <w:rPr>
          <w:lang w:val="nl-BE"/>
        </w:rPr>
        <w:instrText>HYPERLINK "mailto:els.consuegra@vub.be"</w:instrText>
      </w:r>
      <w:r w:rsidRPr="0098539B">
        <w:fldChar w:fldCharType="separate"/>
      </w:r>
      <w:r w:rsidRPr="0098539B">
        <w:rPr>
          <w:rStyle w:val="Hyperlink"/>
          <w:lang w:val="nl-BE"/>
        </w:rPr>
        <w:t>els.consuegra@vub.be</w:t>
      </w:r>
      <w:r w:rsidRPr="0098539B">
        <w:fldChar w:fldCharType="end"/>
      </w:r>
      <w:r w:rsidRPr="0098539B">
        <w:rPr>
          <w:rStyle w:val="normaltextrun"/>
          <w:lang w:val="nl-BE"/>
        </w:rPr>
        <w:t xml:space="preserve"> </w:t>
      </w:r>
    </w:p>
    <w:p w14:paraId="5D449126" w14:textId="77777777" w:rsidR="00211453" w:rsidRPr="0098539B" w:rsidRDefault="00211453" w:rsidP="00211453">
      <w:pPr>
        <w:pStyle w:val="MDPI16affiliation"/>
        <w:rPr>
          <w:rFonts w:ascii="Times New Roman" w:hAnsi="Times New Roman"/>
        </w:rPr>
      </w:pPr>
      <w:r w:rsidRPr="0098539B">
        <w:rPr>
          <w:vertAlign w:val="superscript"/>
        </w:rPr>
        <w:t>2</w:t>
      </w:r>
      <w:r w:rsidRPr="0098539B">
        <w:tab/>
      </w:r>
      <w:r w:rsidRPr="0098539B">
        <w:rPr>
          <w:rFonts w:ascii="Times New Roman" w:hAnsi="Times New Roman"/>
        </w:rPr>
        <w:t xml:space="preserve">Southampton Education School, University of Southampton, Southampton, SO17 1BJ, United </w:t>
      </w:r>
      <w:proofErr w:type="gramStart"/>
      <w:r w:rsidRPr="0098539B">
        <w:rPr>
          <w:rFonts w:ascii="Times New Roman" w:hAnsi="Times New Roman"/>
        </w:rPr>
        <w:t>Kingdom ;</w:t>
      </w:r>
      <w:proofErr w:type="gramEnd"/>
      <w:r w:rsidRPr="0098539B">
        <w:rPr>
          <w:rFonts w:ascii="Times New Roman" w:hAnsi="Times New Roman"/>
        </w:rPr>
        <w:t xml:space="preserve"> </w:t>
      </w:r>
      <w:hyperlink r:id="rId10" w:history="1">
        <w:r w:rsidRPr="0098539B">
          <w:rPr>
            <w:rStyle w:val="Hyperlink"/>
            <w:rFonts w:ascii="Times New Roman" w:hAnsi="Times New Roman"/>
          </w:rPr>
          <w:t>Christopher.brown@soton.ac.uk</w:t>
        </w:r>
      </w:hyperlink>
    </w:p>
    <w:p w14:paraId="2A814AA1" w14:textId="77777777" w:rsidR="00211453" w:rsidRPr="0098539B" w:rsidRDefault="00211453" w:rsidP="00211453">
      <w:pPr>
        <w:pStyle w:val="MDPI16affiliation"/>
        <w:rPr>
          <w:lang w:val="nl-BE"/>
        </w:rPr>
      </w:pPr>
      <w:proofErr w:type="gramStart"/>
      <w:r w:rsidRPr="0098539B">
        <w:rPr>
          <w:vertAlign w:val="superscript"/>
        </w:rPr>
        <w:t>3</w:t>
      </w:r>
      <w:r w:rsidRPr="0098539B">
        <w:t xml:space="preserve">  U</w:t>
      </w:r>
      <w:proofErr w:type="gramEnd"/>
      <w:r w:rsidRPr="0098539B">
        <w:t xml:space="preserve">-Rise research group, Hasselt University. </w:t>
      </w:r>
      <w:r w:rsidRPr="0098539B">
        <w:rPr>
          <w:lang w:val="nl-BE"/>
        </w:rPr>
        <w:t xml:space="preserve">Wetenschapspark 24, 3590 Diepenbeek, Belgium ; </w:t>
      </w:r>
      <w:hyperlink r:id="rId11" w:history="1">
        <w:r w:rsidRPr="0098539B">
          <w:rPr>
            <w:rStyle w:val="Hyperlink"/>
            <w:lang w:val="nl-BE"/>
          </w:rPr>
          <w:t>iris.decabooter@uhasselt.be</w:t>
        </w:r>
      </w:hyperlink>
      <w:r w:rsidRPr="0098539B">
        <w:rPr>
          <w:lang w:val="nl-BE"/>
        </w:rPr>
        <w:t xml:space="preserve"> </w:t>
      </w:r>
    </w:p>
    <w:p w14:paraId="26FFEA48" w14:textId="3B5BB478" w:rsidR="00211453" w:rsidRPr="0098539B" w:rsidRDefault="00211453" w:rsidP="00211453">
      <w:pPr>
        <w:pStyle w:val="MDPI16affiliation"/>
      </w:pPr>
      <w:r w:rsidRPr="0098539B">
        <w:rPr>
          <w:b/>
        </w:rPr>
        <w:t>*</w:t>
      </w:r>
      <w:r w:rsidRPr="0098539B">
        <w:tab/>
        <w:t xml:space="preserve">Correspondence: </w:t>
      </w:r>
      <w:hyperlink r:id="rId12" w:history="1">
        <w:r w:rsidRPr="0098539B">
          <w:rPr>
            <w:rStyle w:val="Hyperlink"/>
          </w:rPr>
          <w:t>ariadne.warmoes@vub.be</w:t>
        </w:r>
      </w:hyperlink>
    </w:p>
    <w:p w14:paraId="63E39429" w14:textId="55E400CF" w:rsidR="008E5D0B" w:rsidRPr="0098539B" w:rsidRDefault="008E5D0B" w:rsidP="00AA1154">
      <w:pPr>
        <w:pStyle w:val="MDPI17abstract"/>
        <w:rPr>
          <w:szCs w:val="18"/>
        </w:rPr>
      </w:pPr>
      <w:r w:rsidRPr="0098539B">
        <w:rPr>
          <w:b/>
          <w:szCs w:val="18"/>
        </w:rPr>
        <w:t xml:space="preserve">Abstract: </w:t>
      </w:r>
      <w:r w:rsidR="00516B3A" w:rsidRPr="0098539B">
        <w:rPr>
          <w:szCs w:val="18"/>
        </w:rPr>
        <w:t>This study introduces a conceptual framework to measure reflective inquiry in professional learning networks (PLNs). The framework represents a continuum of three components: critical dialogue, use of multiple data sources, and depth of reflection. It is validated through 8 hours of PLN conversations (2,195 contributions). Results show predominantly free-flow discussions (64.</w:t>
      </w:r>
      <w:r w:rsidR="000D5773" w:rsidRPr="0098539B">
        <w:rPr>
          <w:szCs w:val="18"/>
        </w:rPr>
        <w:t>37</w:t>
      </w:r>
      <w:r w:rsidR="00516B3A" w:rsidRPr="0098539B">
        <w:rPr>
          <w:szCs w:val="18"/>
        </w:rPr>
        <w:t>%), personal experiences as data source (92.</w:t>
      </w:r>
      <w:r w:rsidR="00CE2C92" w:rsidRPr="0098539B">
        <w:rPr>
          <w:szCs w:val="18"/>
        </w:rPr>
        <w:t>5</w:t>
      </w:r>
      <w:r w:rsidR="00516B3A" w:rsidRPr="0098539B">
        <w:rPr>
          <w:szCs w:val="18"/>
        </w:rPr>
        <w:t>7%), and descriptive reflection with external attribution (R1: 79.</w:t>
      </w:r>
      <w:r w:rsidR="00CE2C92" w:rsidRPr="0098539B">
        <w:rPr>
          <w:szCs w:val="18"/>
        </w:rPr>
        <w:t>82</w:t>
      </w:r>
      <w:r w:rsidR="00516B3A" w:rsidRPr="0098539B">
        <w:rPr>
          <w:szCs w:val="18"/>
        </w:rPr>
        <w:t>%). High-level reflective inquiry was rare (0.18%). Findings highlight the need for skilled facilitation and strategies to foster reflective inquiry.</w:t>
      </w:r>
    </w:p>
    <w:p w14:paraId="26147A27" w14:textId="1B154864" w:rsidR="008E5D0B" w:rsidRPr="0098539B" w:rsidRDefault="008E5D0B" w:rsidP="00516B3A">
      <w:pPr>
        <w:pStyle w:val="MDPI18keywords"/>
      </w:pPr>
      <w:r w:rsidRPr="0098539B">
        <w:rPr>
          <w:b/>
          <w:szCs w:val="18"/>
        </w:rPr>
        <w:t xml:space="preserve">Keywords: </w:t>
      </w:r>
      <w:r w:rsidR="00516B3A" w:rsidRPr="0098539B">
        <w:t>reflective inquiry; professional learning networks; measurement instrument; professional development; in-service teachers</w:t>
      </w:r>
    </w:p>
    <w:p w14:paraId="7D363A54" w14:textId="77777777" w:rsidR="008E5D0B" w:rsidRPr="0098539B" w:rsidRDefault="008E5D0B" w:rsidP="00AA1154">
      <w:pPr>
        <w:pStyle w:val="MDPI21heading1"/>
      </w:pPr>
      <w:r w:rsidRPr="0098539B">
        <w:t>1. Introduction</w:t>
      </w:r>
    </w:p>
    <w:p w14:paraId="4A153E30" w14:textId="49D8CF03" w:rsidR="00516B3A" w:rsidRPr="0098539B" w:rsidRDefault="005C680B" w:rsidP="00AA1154">
      <w:pPr>
        <w:pStyle w:val="MDPI21heading1"/>
        <w:rPr>
          <w:b w:val="0"/>
          <w:sz w:val="20"/>
        </w:rPr>
      </w:pPr>
      <w:r w:rsidRPr="0098539B">
        <w:rPr>
          <w:b w:val="0"/>
          <w:sz w:val="20"/>
        </w:rPr>
        <w:t xml:space="preserve">For education to stimulate and support positive societal change, schools and education systems must be populated by the most effective educators. </w:t>
      </w:r>
      <w:r w:rsidR="00516B3A" w:rsidRPr="0098539B">
        <w:rPr>
          <w:b w:val="0"/>
          <w:sz w:val="20"/>
        </w:rPr>
        <w:t xml:space="preserve">This means a workforce of lifelong learners who engage in continuous learning to ensure that their knowledge and practice responds to the changing needs of society and students (Schleicher, 2016). Collaborative approaches in which social capital resource (e.g. knowledge and support) is exchanged with colleagues can serve as an effective way of facilitating such learning (and such approaches are more effective than other forms of professional development (OECD, 2015). In this context, Professional Learning Networks (PLNs), defined as groups of educators who engage in collaborative learning, with the aim of improving teaching and student outcomes – provide a promising means through which to achieve this type of collaborative approach at scale (Stoll, 2015). However, If PLNs are to deliver meaningful change through collaboration, reflective inquiry is essential, as it encourages educators to embrace new ideas and work together effectively toward improvement </w:t>
      </w:r>
      <w:r w:rsidR="00DF4ECC" w:rsidRPr="0098539B">
        <w:rPr>
          <w:b w:val="0"/>
          <w:sz w:val="20"/>
        </w:rPr>
        <w:t xml:space="preserve">(Katz &amp; Earl, 2010; Poortman et al., 2022; Rincón-Gallardo &amp; Fullan, 2016; </w:t>
      </w:r>
      <w:proofErr w:type="spellStart"/>
      <w:r w:rsidR="00DF4ECC" w:rsidRPr="0098539B">
        <w:rPr>
          <w:b w:val="0"/>
          <w:sz w:val="20"/>
        </w:rPr>
        <w:t>Warmoes</w:t>
      </w:r>
      <w:proofErr w:type="spellEnd"/>
      <w:r w:rsidR="00DF4ECC" w:rsidRPr="0098539B">
        <w:rPr>
          <w:b w:val="0"/>
          <w:sz w:val="20"/>
        </w:rPr>
        <w:t xml:space="preserve"> et al., 2025). </w:t>
      </w:r>
      <w:r w:rsidR="00516B3A" w:rsidRPr="0098539B">
        <w:rPr>
          <w:b w:val="0"/>
          <w:sz w:val="20"/>
        </w:rPr>
        <w:t xml:space="preserve">This process relies on a reflective, collaborative, and dialogic approach, which helps participants deepen and change their understanding of both </w:t>
      </w:r>
      <w:proofErr w:type="gramStart"/>
      <w:r w:rsidR="00516B3A" w:rsidRPr="0098539B">
        <w:rPr>
          <w:b w:val="0"/>
          <w:sz w:val="20"/>
        </w:rPr>
        <w:t>themselves</w:t>
      </w:r>
      <w:proofErr w:type="gramEnd"/>
      <w:r w:rsidR="00516B3A" w:rsidRPr="0098539B">
        <w:rPr>
          <w:b w:val="0"/>
          <w:sz w:val="20"/>
        </w:rPr>
        <w:t xml:space="preserve"> and their teaching. Research further confirms that when educators engage in collaborative reflective practices, the likelihood of learning significantly increases (</w:t>
      </w:r>
      <w:proofErr w:type="spellStart"/>
      <w:r w:rsidR="00516B3A" w:rsidRPr="0098539B">
        <w:rPr>
          <w:b w:val="0"/>
          <w:sz w:val="20"/>
        </w:rPr>
        <w:t>Alzayed</w:t>
      </w:r>
      <w:proofErr w:type="spellEnd"/>
      <w:r w:rsidR="00516B3A" w:rsidRPr="0098539B">
        <w:rPr>
          <w:b w:val="0"/>
          <w:sz w:val="20"/>
        </w:rPr>
        <w:t xml:space="preserve"> and </w:t>
      </w:r>
      <w:proofErr w:type="spellStart"/>
      <w:r w:rsidR="00516B3A" w:rsidRPr="0098539B">
        <w:rPr>
          <w:b w:val="0"/>
          <w:sz w:val="20"/>
        </w:rPr>
        <w:t>Alabdulkareem</w:t>
      </w:r>
      <w:proofErr w:type="spellEnd"/>
      <w:r w:rsidR="00516B3A" w:rsidRPr="0098539B">
        <w:rPr>
          <w:b w:val="0"/>
          <w:sz w:val="20"/>
        </w:rPr>
        <w:t xml:space="preserve">, 2020; Mitchell &amp; </w:t>
      </w:r>
      <w:proofErr w:type="spellStart"/>
      <w:r w:rsidR="00516B3A" w:rsidRPr="0098539B">
        <w:rPr>
          <w:b w:val="0"/>
          <w:sz w:val="20"/>
        </w:rPr>
        <w:t>Sackney</w:t>
      </w:r>
      <w:proofErr w:type="spellEnd"/>
      <w:r w:rsidR="00516B3A" w:rsidRPr="0098539B">
        <w:rPr>
          <w:b w:val="0"/>
          <w:sz w:val="20"/>
        </w:rPr>
        <w:t xml:space="preserve">, 2011; </w:t>
      </w:r>
      <w:proofErr w:type="spellStart"/>
      <w:r w:rsidR="00516B3A" w:rsidRPr="0098539B">
        <w:rPr>
          <w:b w:val="0"/>
          <w:sz w:val="20"/>
        </w:rPr>
        <w:t>Vanblaere</w:t>
      </w:r>
      <w:proofErr w:type="spellEnd"/>
      <w:r w:rsidR="00516B3A" w:rsidRPr="0098539B">
        <w:rPr>
          <w:b w:val="0"/>
          <w:sz w:val="20"/>
        </w:rPr>
        <w:t xml:space="preserve"> &amp; Devos, 2016).</w:t>
      </w:r>
    </w:p>
    <w:p w14:paraId="505FFEE1" w14:textId="481351C9" w:rsidR="00516B3A" w:rsidRPr="0098539B" w:rsidRDefault="00516B3A" w:rsidP="00516B3A">
      <w:pPr>
        <w:pStyle w:val="MDPI21heading1"/>
        <w:rPr>
          <w:b w:val="0"/>
          <w:sz w:val="20"/>
        </w:rPr>
      </w:pPr>
      <w:r w:rsidRPr="0098539B">
        <w:rPr>
          <w:b w:val="0"/>
          <w:sz w:val="20"/>
        </w:rPr>
        <w:lastRenderedPageBreak/>
        <w:t xml:space="preserve">Despite ongoing research into PLNs, however, there remains ambiguity surrounding the concept, processes and stimulation of reflective inquiry </w:t>
      </w:r>
      <w:r w:rsidR="00162A68" w:rsidRPr="0098539B">
        <w:rPr>
          <w:b w:val="0"/>
          <w:sz w:val="20"/>
        </w:rPr>
        <w:t xml:space="preserve">(Poortman et al., 2022). </w:t>
      </w:r>
      <w:r w:rsidRPr="0098539B">
        <w:rPr>
          <w:b w:val="0"/>
          <w:sz w:val="20"/>
        </w:rPr>
        <w:t xml:space="preserve">Research gaps persist in understanding how to effectively enhance educators' reflective inquiry, measure the success of such approaches, and ascertain their impact on teaching practice and student outcomes </w:t>
      </w:r>
      <w:r w:rsidR="00162A68" w:rsidRPr="0098539B">
        <w:rPr>
          <w:b w:val="0"/>
          <w:sz w:val="20"/>
        </w:rPr>
        <w:t xml:space="preserve">(Poortman et al., 2022). </w:t>
      </w:r>
      <w:r w:rsidRPr="0098539B">
        <w:rPr>
          <w:b w:val="0"/>
          <w:sz w:val="20"/>
        </w:rPr>
        <w:t xml:space="preserve">Currently, approaches to measuring reflective inquiry are challenging. They often rely on subjective tools, such as self-reports, or labor-intensive methods, like recording and analyzing discourse, which limits studies to a small scale </w:t>
      </w:r>
      <w:r w:rsidR="007B58E5" w:rsidRPr="0098539B">
        <w:rPr>
          <w:b w:val="0"/>
          <w:sz w:val="20"/>
        </w:rPr>
        <w:t xml:space="preserve">(Brown et al., 2021). </w:t>
      </w:r>
      <w:r w:rsidRPr="0098539B">
        <w:rPr>
          <w:b w:val="0"/>
          <w:sz w:val="20"/>
        </w:rPr>
        <w:t xml:space="preserve">Consequently, more effective approaches associated with measuring reflective inquiry need to be established. In response, </w:t>
      </w:r>
      <w:r w:rsidR="007B58E5" w:rsidRPr="0098539B">
        <w:rPr>
          <w:b w:val="0"/>
          <w:sz w:val="20"/>
        </w:rPr>
        <w:t>Brown</w:t>
      </w:r>
      <w:r w:rsidR="00D42C20" w:rsidRPr="0098539B">
        <w:rPr>
          <w:b w:val="0"/>
          <w:sz w:val="20"/>
        </w:rPr>
        <w:t xml:space="preserve"> and colleagues </w:t>
      </w:r>
      <w:r w:rsidRPr="0098539B">
        <w:rPr>
          <w:b w:val="0"/>
          <w:sz w:val="20"/>
        </w:rPr>
        <w:t>(2021) previously proposed an AI approach, involving the use of AI to analyze and identify aspects of reflective and non-reflective inquiry. Such an approach offers several benefits. AI can take just minutes to process hours of recorded conversation and produce an objective report to indicate whether educators in a PLN are engaging in reflective practices. An AI approach could potentially provide an objective, large-scale, quantitative analysis of qualitative data for assessing the success of any new approaches to facilitating reflective inquiry.</w:t>
      </w:r>
    </w:p>
    <w:p w14:paraId="56074DC3" w14:textId="1F6D60D3" w:rsidR="00516B3A" w:rsidRPr="0098539B" w:rsidRDefault="00516B3A" w:rsidP="00516B3A">
      <w:pPr>
        <w:pStyle w:val="MDPI21heading1"/>
        <w:rPr>
          <w:b w:val="0"/>
          <w:sz w:val="20"/>
        </w:rPr>
      </w:pPr>
      <w:r w:rsidRPr="0098539B">
        <w:rPr>
          <w:b w:val="0"/>
          <w:sz w:val="20"/>
        </w:rPr>
        <w:t xml:space="preserve">Correspondingly, this paper aims to measure reflective inquiry objectively and apply such an approach to existing data to gain an initial understanding of how reflective inquiry translates into conversation, while also exploring the potential of AI to help measure reflective inquiry within PLNs. The research questions it seeks to address </w:t>
      </w:r>
      <w:r w:rsidR="00967703" w:rsidRPr="0098539B">
        <w:rPr>
          <w:b w:val="0"/>
          <w:sz w:val="20"/>
        </w:rPr>
        <w:t>are</w:t>
      </w:r>
      <w:r w:rsidRPr="0098539B">
        <w:rPr>
          <w:b w:val="0"/>
          <w:sz w:val="20"/>
        </w:rPr>
        <w:t xml:space="preserve"> as follows:  </w:t>
      </w:r>
    </w:p>
    <w:p w14:paraId="6D53BC4E" w14:textId="719E03DE" w:rsidR="00516B3A" w:rsidRPr="0098539B" w:rsidRDefault="00516B3A" w:rsidP="00516B3A">
      <w:pPr>
        <w:pStyle w:val="MDPI21heading1"/>
        <w:numPr>
          <w:ilvl w:val="0"/>
          <w:numId w:val="24"/>
        </w:numPr>
        <w:rPr>
          <w:b w:val="0"/>
          <w:sz w:val="20"/>
        </w:rPr>
      </w:pPr>
      <w:r w:rsidRPr="0098539B">
        <w:rPr>
          <w:b w:val="0"/>
          <w:sz w:val="20"/>
        </w:rPr>
        <w:t>How can reflective inquiry in conversations within PLNs be measured?</w:t>
      </w:r>
    </w:p>
    <w:p w14:paraId="4626E6F1" w14:textId="0BE49D2E" w:rsidR="00C3501D" w:rsidRPr="0098539B" w:rsidRDefault="00C3501D" w:rsidP="00516B3A">
      <w:pPr>
        <w:pStyle w:val="MDPI21heading1"/>
        <w:numPr>
          <w:ilvl w:val="0"/>
          <w:numId w:val="24"/>
        </w:numPr>
        <w:rPr>
          <w:b w:val="0"/>
          <w:sz w:val="20"/>
        </w:rPr>
      </w:pPr>
      <w:r w:rsidRPr="0098539B">
        <w:rPr>
          <w:b w:val="0"/>
          <w:sz w:val="20"/>
        </w:rPr>
        <w:t>How can AI be used to support this measurement approach?</w:t>
      </w:r>
    </w:p>
    <w:p w14:paraId="760AADBB" w14:textId="61469F22" w:rsidR="00516B3A" w:rsidRPr="0098539B" w:rsidRDefault="00516B3A" w:rsidP="00516B3A">
      <w:pPr>
        <w:pStyle w:val="MDPI21heading1"/>
        <w:numPr>
          <w:ilvl w:val="0"/>
          <w:numId w:val="24"/>
        </w:numPr>
        <w:rPr>
          <w:b w:val="0"/>
          <w:sz w:val="20"/>
        </w:rPr>
      </w:pPr>
      <w:r w:rsidRPr="0098539B">
        <w:rPr>
          <w:b w:val="0"/>
          <w:sz w:val="20"/>
        </w:rPr>
        <w:t>What insights does this measurement approach provide about the different types of reflective inquiry occurring in PLNs?</w:t>
      </w:r>
    </w:p>
    <w:p w14:paraId="5B600C25" w14:textId="70282A34" w:rsidR="008E5D0B" w:rsidRPr="0098539B" w:rsidRDefault="008E5D0B" w:rsidP="00AA1154">
      <w:pPr>
        <w:pStyle w:val="MDPI21heading1"/>
      </w:pPr>
      <w:r w:rsidRPr="0098539B">
        <w:rPr>
          <w:lang w:eastAsia="zh-CN"/>
        </w:rPr>
        <w:t xml:space="preserve">2. </w:t>
      </w:r>
      <w:r w:rsidR="00516B3A" w:rsidRPr="0098539B">
        <w:t>Theoretical Framework</w:t>
      </w:r>
    </w:p>
    <w:p w14:paraId="34D1A4AB" w14:textId="013DDE53" w:rsidR="00516B3A" w:rsidRPr="0098539B" w:rsidRDefault="00516B3A" w:rsidP="00516B3A">
      <w:pPr>
        <w:pStyle w:val="MDPI21heading1"/>
      </w:pPr>
      <w:r w:rsidRPr="0098539B">
        <w:t>Reflective inquiry in Professional Learning Networks</w:t>
      </w:r>
    </w:p>
    <w:p w14:paraId="69A70378" w14:textId="308DA191" w:rsidR="00516B3A" w:rsidRPr="0098539B" w:rsidRDefault="00516B3A" w:rsidP="00516B3A">
      <w:pPr>
        <w:pStyle w:val="MDPI21heading1"/>
        <w:rPr>
          <w:b w:val="0"/>
          <w:sz w:val="20"/>
        </w:rPr>
      </w:pPr>
      <w:r w:rsidRPr="0098539B">
        <w:rPr>
          <w:b w:val="0"/>
          <w:sz w:val="20"/>
        </w:rPr>
        <w:t xml:space="preserve">The potential of collective reflection is further demonstrated in research on PLNs, where reflective inquiry has been identified as a key enactment process influencing positive outcomes </w:t>
      </w:r>
      <w:r w:rsidR="00927604" w:rsidRPr="0098539B">
        <w:rPr>
          <w:b w:val="0"/>
          <w:sz w:val="20"/>
        </w:rPr>
        <w:t xml:space="preserve">(Katz &amp; Earl, 2010; Poortman et al., 2022; Rincón-Gallardo &amp; Fullan, 2016; </w:t>
      </w:r>
      <w:proofErr w:type="spellStart"/>
      <w:r w:rsidR="00927604" w:rsidRPr="0098539B">
        <w:rPr>
          <w:b w:val="0"/>
          <w:sz w:val="20"/>
        </w:rPr>
        <w:t>Warmoes</w:t>
      </w:r>
      <w:proofErr w:type="spellEnd"/>
      <w:r w:rsidR="00927604" w:rsidRPr="0098539B">
        <w:rPr>
          <w:b w:val="0"/>
          <w:sz w:val="20"/>
        </w:rPr>
        <w:t xml:space="preserve"> et al., 2025). </w:t>
      </w:r>
      <w:r w:rsidRPr="0098539B">
        <w:rPr>
          <w:b w:val="0"/>
          <w:sz w:val="20"/>
        </w:rPr>
        <w:t xml:space="preserve">Research on professional learning communities (PLCs)—which differ from PLNs in terms of their scope and membership </w:t>
      </w:r>
      <w:r w:rsidR="00FF32A5" w:rsidRPr="0098539B">
        <w:rPr>
          <w:b w:val="0"/>
          <w:sz w:val="20"/>
        </w:rPr>
        <w:t xml:space="preserve">(see Brown and Poortman, 2018) </w:t>
      </w:r>
      <w:r w:rsidRPr="0098539B">
        <w:rPr>
          <w:b w:val="0"/>
          <w:sz w:val="20"/>
        </w:rPr>
        <w:t xml:space="preserve">has reported similar findings (e.g., Doğan &amp; Adams, 2018; Vangrieken et al., 2015). Furthermore, multilevel analyses by </w:t>
      </w:r>
      <w:proofErr w:type="spellStart"/>
      <w:r w:rsidRPr="0098539B">
        <w:rPr>
          <w:b w:val="0"/>
          <w:sz w:val="20"/>
        </w:rPr>
        <w:t>Vanblaere</w:t>
      </w:r>
      <w:proofErr w:type="spellEnd"/>
      <w:r w:rsidRPr="0098539B">
        <w:rPr>
          <w:b w:val="0"/>
          <w:sz w:val="20"/>
        </w:rPr>
        <w:t xml:space="preserve"> and Devos (2016) show that, among the various characteristics of PLCs, only reflective dialogue significantly contributes to perceived changes in practices.</w:t>
      </w:r>
    </w:p>
    <w:p w14:paraId="473CFA25" w14:textId="51FD1491" w:rsidR="00516B3A" w:rsidRPr="0098539B" w:rsidRDefault="00516B3A" w:rsidP="00516B3A">
      <w:pPr>
        <w:pStyle w:val="MDPI21heading1"/>
        <w:rPr>
          <w:b w:val="0"/>
          <w:sz w:val="20"/>
        </w:rPr>
      </w:pPr>
      <w:r w:rsidRPr="0098539B">
        <w:rPr>
          <w:b w:val="0"/>
          <w:sz w:val="20"/>
        </w:rPr>
        <w:t xml:space="preserve">Reflective inquiry is a concept that encompasses various terms and definitions, such as reflective professional inquiry (e.g. </w:t>
      </w:r>
      <w:r w:rsidR="00FF32A5" w:rsidRPr="0098539B">
        <w:rPr>
          <w:b w:val="0"/>
          <w:sz w:val="20"/>
        </w:rPr>
        <w:t>Poortman</w:t>
      </w:r>
      <w:r w:rsidR="00D42C20" w:rsidRPr="0098539B">
        <w:rPr>
          <w:b w:val="0"/>
          <w:sz w:val="20"/>
        </w:rPr>
        <w:t xml:space="preserve"> et al., </w:t>
      </w:r>
      <w:r w:rsidRPr="0098539B">
        <w:rPr>
          <w:b w:val="0"/>
          <w:sz w:val="20"/>
        </w:rPr>
        <w:t xml:space="preserve">2022), critical colleagueship (e.g. </w:t>
      </w:r>
      <w:proofErr w:type="spellStart"/>
      <w:r w:rsidRPr="0098539B">
        <w:rPr>
          <w:b w:val="0"/>
          <w:sz w:val="20"/>
        </w:rPr>
        <w:t>Klintz</w:t>
      </w:r>
      <w:proofErr w:type="spellEnd"/>
      <w:r w:rsidRPr="0098539B">
        <w:rPr>
          <w:b w:val="0"/>
          <w:sz w:val="20"/>
        </w:rPr>
        <w:t xml:space="preserve"> et al., 2015), collaborative inquiry (e.g. Katz &amp; Earl, 2010) and learning conversations (e.g. Earl &amp; Timperley, 2008). While these definitions share common ground, they highlight different aspects that need to be considered. A process-oriented dimension is often central to these definitions, emphasizing the methods through which collective learning occurs. Next to this, elements such as sharing critical opinions, giving feedback, introducing new perspectives, and confronting conflicts are highlighted as essential for </w:t>
      </w:r>
      <w:r w:rsidRPr="0098539B">
        <w:rPr>
          <w:b w:val="0"/>
          <w:sz w:val="20"/>
        </w:rPr>
        <w:lastRenderedPageBreak/>
        <w:t xml:space="preserve">fostering learning (Katz &amp; Dack, 2014). Furthermore, some scholars incorporate an explicit layer of inquiry, emphasizing systematic investigation and the application of new ideas (e.g., Earl &amp; Timperley, 2008). Building on these perspectives, </w:t>
      </w:r>
      <w:r w:rsidR="00FF32A5" w:rsidRPr="0098539B">
        <w:rPr>
          <w:b w:val="0"/>
          <w:sz w:val="20"/>
        </w:rPr>
        <w:t>Brown</w:t>
      </w:r>
      <w:r w:rsidR="00D42C20" w:rsidRPr="0098539B">
        <w:rPr>
          <w:b w:val="0"/>
          <w:sz w:val="20"/>
        </w:rPr>
        <w:t xml:space="preserve"> et al., </w:t>
      </w:r>
      <w:r w:rsidRPr="0098539B">
        <w:rPr>
          <w:b w:val="0"/>
          <w:sz w:val="20"/>
        </w:rPr>
        <w:t xml:space="preserve">(2021) provide a comprehensive definition of reflective inquiry as “a collaborative, dialogic process in which educators both consider and aim to address pressing educational issues or problems. Such a process involves the collective generation and testing of ideas linked to enhancing their own practice, with these ideas based on evidence in the form of literature and/or data and displaying internal attribution.” (p.9). </w:t>
      </w:r>
    </w:p>
    <w:p w14:paraId="09553855" w14:textId="77777777" w:rsidR="00516B3A" w:rsidRPr="0098539B" w:rsidRDefault="00516B3A" w:rsidP="00516B3A">
      <w:pPr>
        <w:pStyle w:val="MDPI21heading1"/>
      </w:pPr>
      <w:r w:rsidRPr="0098539B">
        <w:t>Observing reflective inquiry</w:t>
      </w:r>
    </w:p>
    <w:p w14:paraId="0B9084F7" w14:textId="29D8AC68" w:rsidR="00B53DB9" w:rsidRPr="0098539B" w:rsidRDefault="00B53DB9" w:rsidP="00516B3A">
      <w:pPr>
        <w:pStyle w:val="MDPI21heading1"/>
        <w:rPr>
          <w:b w:val="0"/>
          <w:sz w:val="20"/>
        </w:rPr>
      </w:pPr>
      <w:r w:rsidRPr="0098539B">
        <w:rPr>
          <w:b w:val="0"/>
          <w:sz w:val="20"/>
        </w:rPr>
        <w:t xml:space="preserve">Based on this definition, a measurement instrument should focus on (1) the degree of </w:t>
      </w:r>
      <w:r w:rsidR="00327851" w:rsidRPr="0098539B">
        <w:rPr>
          <w:bCs/>
          <w:sz w:val="20"/>
        </w:rPr>
        <w:t>C</w:t>
      </w:r>
      <w:r w:rsidRPr="0098539B">
        <w:rPr>
          <w:b w:val="0"/>
          <w:sz w:val="20"/>
        </w:rPr>
        <w:t>ollaborative and dialogic process (</w:t>
      </w:r>
      <w:r w:rsidRPr="0098539B">
        <w:rPr>
          <w:bCs/>
          <w:sz w:val="20"/>
        </w:rPr>
        <w:t>C</w:t>
      </w:r>
      <w:r w:rsidRPr="0098539B">
        <w:rPr>
          <w:b w:val="0"/>
          <w:sz w:val="20"/>
        </w:rPr>
        <w:t xml:space="preserve">), (2) the degree of using multiple </w:t>
      </w:r>
      <w:r w:rsidR="00327851" w:rsidRPr="0098539B">
        <w:rPr>
          <w:bCs/>
          <w:sz w:val="20"/>
        </w:rPr>
        <w:t>D</w:t>
      </w:r>
      <w:r w:rsidRPr="0098539B">
        <w:rPr>
          <w:b w:val="0"/>
          <w:sz w:val="20"/>
        </w:rPr>
        <w:t>ata sources (</w:t>
      </w:r>
      <w:r w:rsidRPr="0098539B">
        <w:rPr>
          <w:bCs/>
          <w:sz w:val="20"/>
        </w:rPr>
        <w:t>D</w:t>
      </w:r>
      <w:r w:rsidRPr="0098539B">
        <w:rPr>
          <w:b w:val="0"/>
          <w:sz w:val="20"/>
        </w:rPr>
        <w:t xml:space="preserve">) to generate and/or test ideas, and (3) the degree of </w:t>
      </w:r>
      <w:r w:rsidR="00327851" w:rsidRPr="0098539B">
        <w:rPr>
          <w:bCs/>
          <w:sz w:val="20"/>
        </w:rPr>
        <w:t>R</w:t>
      </w:r>
      <w:r w:rsidRPr="0098539B">
        <w:rPr>
          <w:b w:val="0"/>
          <w:sz w:val="20"/>
        </w:rPr>
        <w:t>eflection (</w:t>
      </w:r>
      <w:r w:rsidRPr="0098539B">
        <w:rPr>
          <w:bCs/>
          <w:sz w:val="20"/>
        </w:rPr>
        <w:t>R</w:t>
      </w:r>
      <w:r w:rsidRPr="0098539B">
        <w:rPr>
          <w:b w:val="0"/>
          <w:sz w:val="20"/>
        </w:rPr>
        <w:t xml:space="preserve">) as evidenced by internal attribution (see Table 1 for the summary). In the next paragraph, we will delve into these three components in greater detail, drawing on the literature to outline each one and proposing a continuum for each component, where the highest levels across all three indicate the presence of reflective inquiry. </w:t>
      </w:r>
    </w:p>
    <w:p w14:paraId="34071460" w14:textId="341E5ADC" w:rsidR="004C7D13" w:rsidRPr="0098539B" w:rsidRDefault="004C7D13" w:rsidP="00516B3A">
      <w:pPr>
        <w:pStyle w:val="MDPI21heading1"/>
        <w:rPr>
          <w:b w:val="0"/>
          <w:sz w:val="20"/>
        </w:rPr>
      </w:pPr>
      <w:r w:rsidRPr="0098539B">
        <w:rPr>
          <w:b w:val="0"/>
          <w:sz w:val="20"/>
        </w:rPr>
        <w:t>[Table 1 here]</w:t>
      </w:r>
    </w:p>
    <w:p w14:paraId="51509FBC" w14:textId="5E30F00E" w:rsidR="004C7D13" w:rsidRPr="0098539B" w:rsidRDefault="004C7D13" w:rsidP="004C7D13">
      <w:pPr>
        <w:pStyle w:val="MDPI21heading1"/>
        <w:rPr>
          <w:bCs/>
          <w:i/>
          <w:iCs/>
          <w:sz w:val="20"/>
        </w:rPr>
      </w:pPr>
      <w:r w:rsidRPr="0098539B">
        <w:rPr>
          <w:bCs/>
          <w:i/>
          <w:iCs/>
          <w:sz w:val="20"/>
        </w:rPr>
        <w:t xml:space="preserve">The degree of collaborative and dialogic process </w:t>
      </w:r>
      <w:r w:rsidR="009A19D6" w:rsidRPr="0098539B">
        <w:rPr>
          <w:bCs/>
          <w:i/>
          <w:iCs/>
          <w:sz w:val="20"/>
        </w:rPr>
        <w:t>(C)</w:t>
      </w:r>
    </w:p>
    <w:p w14:paraId="1D0CC2C5" w14:textId="77777777" w:rsidR="004C7D13" w:rsidRPr="0098539B" w:rsidRDefault="004C7D13" w:rsidP="004C7D13">
      <w:pPr>
        <w:pStyle w:val="MDPI21heading1"/>
        <w:rPr>
          <w:b w:val="0"/>
          <w:sz w:val="20"/>
        </w:rPr>
      </w:pPr>
      <w:r w:rsidRPr="0098539B">
        <w:rPr>
          <w:b w:val="0"/>
          <w:sz w:val="20"/>
        </w:rPr>
        <w:t>Educational change requires fostering a critical stance toward teaching by confronting traditional practices and adopting an inquiry-driven mindset (Earl &amp; Timperley, 2008). Through talk, new realizations and greater insights come about. However, when a group of people engages in free-flowing discussion, they often settle on topics where there is already high agreement among members, leading to a lack of variability in perspectives (Katz et al., 2009). Earl &amp; Timperley (2008) acknowledges that improvement involve taking the time to understand each other’s viewpoints, but the ultimate purpose is to challenge each other’s reasoning on which the different viewpoints are based.</w:t>
      </w:r>
    </w:p>
    <w:p w14:paraId="0D98C062" w14:textId="77777777" w:rsidR="004C7D13" w:rsidRPr="0098539B" w:rsidRDefault="004C7D13" w:rsidP="004C7D13">
      <w:pPr>
        <w:pStyle w:val="MDPI21heading1"/>
        <w:rPr>
          <w:b w:val="0"/>
          <w:sz w:val="20"/>
        </w:rPr>
      </w:pPr>
      <w:r w:rsidRPr="0098539B">
        <w:rPr>
          <w:b w:val="0"/>
          <w:sz w:val="20"/>
        </w:rPr>
        <w:t xml:space="preserve">Therefore, a key aspect of the dialogic process is the intentional disruption of biased thinking (Katz &amp; Dack, 2013). This requires participants to challenge each other’s viewpoints, sharing critical opinions, giving feedback and encouraging critical reflection (Charteris &amp; </w:t>
      </w:r>
      <w:proofErr w:type="spellStart"/>
      <w:r w:rsidRPr="0098539B">
        <w:rPr>
          <w:b w:val="0"/>
          <w:sz w:val="20"/>
        </w:rPr>
        <w:t>Smardon</w:t>
      </w:r>
      <w:proofErr w:type="spellEnd"/>
      <w:r w:rsidRPr="0098539B">
        <w:rPr>
          <w:b w:val="0"/>
          <w:sz w:val="20"/>
        </w:rPr>
        <w:t xml:space="preserve">, 2014; De </w:t>
      </w:r>
      <w:proofErr w:type="spellStart"/>
      <w:r w:rsidRPr="0098539B">
        <w:rPr>
          <w:b w:val="0"/>
          <w:sz w:val="20"/>
        </w:rPr>
        <w:t>Keijzer</w:t>
      </w:r>
      <w:proofErr w:type="spellEnd"/>
      <w:r w:rsidRPr="0098539B">
        <w:rPr>
          <w:b w:val="0"/>
          <w:sz w:val="20"/>
        </w:rPr>
        <w:t xml:space="preserve"> et al., 2020; Katz &amp; Dack, 2013). Probing questions are important for intentional disruption, as they encourage reflection, synthesis, and critical thinking, helping individuals challenge their assumptions (</w:t>
      </w:r>
      <w:proofErr w:type="spellStart"/>
      <w:r w:rsidRPr="0098539B">
        <w:rPr>
          <w:b w:val="0"/>
          <w:sz w:val="20"/>
        </w:rPr>
        <w:t>Klintz</w:t>
      </w:r>
      <w:proofErr w:type="spellEnd"/>
      <w:r w:rsidRPr="0098539B">
        <w:rPr>
          <w:b w:val="0"/>
          <w:sz w:val="20"/>
        </w:rPr>
        <w:t xml:space="preserve"> et al., 2015). In contrast, clarifying questions focus on gathering information. </w:t>
      </w:r>
      <w:proofErr w:type="spellStart"/>
      <w:r w:rsidRPr="0098539B">
        <w:rPr>
          <w:b w:val="0"/>
          <w:sz w:val="20"/>
        </w:rPr>
        <w:t>Klintz</w:t>
      </w:r>
      <w:proofErr w:type="spellEnd"/>
      <w:r w:rsidRPr="0098539B">
        <w:rPr>
          <w:b w:val="0"/>
          <w:sz w:val="20"/>
        </w:rPr>
        <w:t xml:space="preserve"> et al. (2015) found that communities with deeper discussions used probing questions more often, while shallower discussions relied on clarifying ones. Based on these insights, we propose the following levels of collaborative and dialogic process within reflective inquiry:</w:t>
      </w:r>
    </w:p>
    <w:p w14:paraId="3812E00D" w14:textId="3AD199B4" w:rsidR="004C7D13" w:rsidRPr="0098539B" w:rsidRDefault="004C7D13" w:rsidP="004C7D13">
      <w:pPr>
        <w:pStyle w:val="MDPI21heading1"/>
        <w:rPr>
          <w:b w:val="0"/>
          <w:sz w:val="20"/>
        </w:rPr>
      </w:pPr>
      <w:r w:rsidRPr="0098539B">
        <w:rPr>
          <w:b w:val="0"/>
          <w:sz w:val="20"/>
        </w:rPr>
        <w:t xml:space="preserve">C1: Free-flow conversation. At this level, conversations are characterized by free-flowing dialogue, often settling on topics where there is already high agreement among members (Katz et al., 2009). Initiating speakers focus on sharing descriptive information or recounting experiences, providing a starting point for discussion, without inviting critical engagement. Responding speakers agree with the initiator's input, often offering their own experiences or perspectives. </w:t>
      </w:r>
    </w:p>
    <w:p w14:paraId="34BDA75C" w14:textId="4190103A" w:rsidR="004C7D13" w:rsidRPr="0098539B" w:rsidRDefault="004C7D13" w:rsidP="004C7D13">
      <w:pPr>
        <w:pStyle w:val="MDPI21heading1"/>
        <w:rPr>
          <w:b w:val="0"/>
          <w:sz w:val="20"/>
        </w:rPr>
      </w:pPr>
      <w:r w:rsidRPr="0098539B">
        <w:rPr>
          <w:b w:val="0"/>
          <w:sz w:val="20"/>
        </w:rPr>
        <w:t xml:space="preserve">C2: Engagement Through Clarifying Questions. At this stage, speakers take the time to understand each other’s viewpoints (Earl &amp; Timperley, 2008). Initiating speakers frame </w:t>
      </w:r>
      <w:r w:rsidRPr="0098539B">
        <w:rPr>
          <w:b w:val="0"/>
          <w:sz w:val="20"/>
        </w:rPr>
        <w:lastRenderedPageBreak/>
        <w:t>their input to invite further discussion. Responding speakers expand on the initiator’s ideas by asking clarifying questions that help gather information and facilitate understanding (</w:t>
      </w:r>
      <w:proofErr w:type="spellStart"/>
      <w:r w:rsidRPr="0098539B">
        <w:rPr>
          <w:b w:val="0"/>
          <w:sz w:val="20"/>
        </w:rPr>
        <w:t>Klintz</w:t>
      </w:r>
      <w:proofErr w:type="spellEnd"/>
      <w:r w:rsidRPr="0098539B">
        <w:rPr>
          <w:b w:val="0"/>
          <w:sz w:val="20"/>
        </w:rPr>
        <w:t xml:space="preserve"> et al., 2015). Feedback is framed as suggestions but stays rather practical.</w:t>
      </w:r>
    </w:p>
    <w:p w14:paraId="6E5A0FD0" w14:textId="67010D8F" w:rsidR="004C7D13" w:rsidRPr="0098539B" w:rsidRDefault="004C7D13" w:rsidP="004C7D13">
      <w:pPr>
        <w:pStyle w:val="MDPI21heading1"/>
        <w:rPr>
          <w:b w:val="0"/>
          <w:sz w:val="20"/>
        </w:rPr>
      </w:pPr>
      <w:r w:rsidRPr="0098539B">
        <w:rPr>
          <w:b w:val="0"/>
          <w:sz w:val="20"/>
        </w:rPr>
        <w:t>C3: Intentional interruption. At this level, initiating speakers introduce topics with probing or thought-provoking questions that challenge existing practices and assumptions (</w:t>
      </w:r>
      <w:proofErr w:type="spellStart"/>
      <w:r w:rsidRPr="0098539B">
        <w:rPr>
          <w:b w:val="0"/>
          <w:sz w:val="20"/>
        </w:rPr>
        <w:t>Klintz</w:t>
      </w:r>
      <w:proofErr w:type="spellEnd"/>
      <w:r w:rsidRPr="0098539B">
        <w:rPr>
          <w:b w:val="0"/>
          <w:sz w:val="20"/>
        </w:rPr>
        <w:t xml:space="preserve"> et al., 2015) Responding speakers actively challenge each other’s viewpoints, share critical opinions, and give feedback (Charteris &amp; </w:t>
      </w:r>
      <w:proofErr w:type="spellStart"/>
      <w:r w:rsidRPr="0098539B">
        <w:rPr>
          <w:b w:val="0"/>
          <w:sz w:val="20"/>
        </w:rPr>
        <w:t>Smardon</w:t>
      </w:r>
      <w:proofErr w:type="spellEnd"/>
      <w:r w:rsidRPr="0098539B">
        <w:rPr>
          <w:b w:val="0"/>
          <w:sz w:val="20"/>
        </w:rPr>
        <w:t xml:space="preserve">, 2014; De </w:t>
      </w:r>
      <w:proofErr w:type="spellStart"/>
      <w:r w:rsidRPr="0098539B">
        <w:rPr>
          <w:b w:val="0"/>
          <w:sz w:val="20"/>
        </w:rPr>
        <w:t>Keijzer</w:t>
      </w:r>
      <w:proofErr w:type="spellEnd"/>
      <w:r w:rsidRPr="0098539B">
        <w:rPr>
          <w:b w:val="0"/>
          <w:sz w:val="20"/>
        </w:rPr>
        <w:t xml:space="preserve"> et al., 2020; Katz &amp; Dack, 2013).</w:t>
      </w:r>
    </w:p>
    <w:p w14:paraId="101D7EB3" w14:textId="5FAB466A" w:rsidR="004C7D13" w:rsidRPr="0098539B" w:rsidRDefault="004C7D13" w:rsidP="004C7D13">
      <w:pPr>
        <w:pStyle w:val="MDPI21heading1"/>
        <w:rPr>
          <w:bCs/>
          <w:i/>
          <w:iCs/>
          <w:sz w:val="20"/>
        </w:rPr>
      </w:pPr>
      <w:r w:rsidRPr="0098539B">
        <w:rPr>
          <w:bCs/>
          <w:i/>
          <w:iCs/>
          <w:sz w:val="20"/>
        </w:rPr>
        <w:t xml:space="preserve">The degree of generating and/or testing ideas based on multiple </w:t>
      </w:r>
      <w:r w:rsidR="00AA3773" w:rsidRPr="0098539B">
        <w:rPr>
          <w:bCs/>
          <w:i/>
          <w:iCs/>
          <w:sz w:val="20"/>
        </w:rPr>
        <w:t xml:space="preserve">data </w:t>
      </w:r>
      <w:r w:rsidRPr="0098539B">
        <w:rPr>
          <w:bCs/>
          <w:i/>
          <w:iCs/>
          <w:sz w:val="20"/>
        </w:rPr>
        <w:t>sources</w:t>
      </w:r>
      <w:r w:rsidR="00DE6EF8" w:rsidRPr="0098539B">
        <w:rPr>
          <w:bCs/>
          <w:i/>
          <w:iCs/>
          <w:sz w:val="20"/>
        </w:rPr>
        <w:t xml:space="preserve"> (D)</w:t>
      </w:r>
    </w:p>
    <w:p w14:paraId="45D2BF6E" w14:textId="376CCB16" w:rsidR="004C7D13" w:rsidRPr="0098539B" w:rsidRDefault="004C7D13" w:rsidP="004C7D13">
      <w:pPr>
        <w:pStyle w:val="MDPI21heading1"/>
        <w:rPr>
          <w:b w:val="0"/>
          <w:sz w:val="20"/>
        </w:rPr>
      </w:pPr>
      <w:r w:rsidRPr="0098539B">
        <w:rPr>
          <w:b w:val="0"/>
          <w:sz w:val="20"/>
        </w:rPr>
        <w:t xml:space="preserve">The second component of the framework emphasizes the importance of using multiple sources—such as data, evidence, and practical knowledge—to generate or assess ideas for improving practice. While educators often rely on local, anecdotal knowledge because it feels personal and contextually relevant, this knowledge is frequently based on untested assumptions (Earl &amp; Timperley, 2008). However, change requires going beyond intuition by integrating additional data sources and testing assumptions. Triangulating formal data (e.g., classroom observations, assessments), informal data (e.g., professional judgment), and research evidence strengthens decision-making and ensures more robust outcomes (Farley-Ripple et al., 2018;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2020). Rather than prioritizing one type of data over another, it is the thoughtful linking of these sources that creates actionable insights (</w:t>
      </w:r>
      <w:proofErr w:type="spellStart"/>
      <w:r w:rsidRPr="0098539B">
        <w:rPr>
          <w:b w:val="0"/>
          <w:sz w:val="20"/>
        </w:rPr>
        <w:t>Klintz</w:t>
      </w:r>
      <w:proofErr w:type="spellEnd"/>
      <w:r w:rsidRPr="0098539B">
        <w:rPr>
          <w:b w:val="0"/>
          <w:sz w:val="20"/>
        </w:rPr>
        <w:t xml:space="preserve"> et al., 2015).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xml:space="preserve"> (2020) found that teams engaging in higher levels of inquiry integrate diverse data sources to develop new knowledge and focus on actionable plans to improve teaching and learning. Conversely, teams with lower levels of inquiry rely predominantly on informal data, often engaging in storytelling or description without triangulating. </w:t>
      </w:r>
    </w:p>
    <w:p w14:paraId="3C4806FD" w14:textId="1CED86BB" w:rsidR="004C7D13" w:rsidRPr="0098539B" w:rsidRDefault="004C7D13" w:rsidP="004C7D13">
      <w:pPr>
        <w:pStyle w:val="MDPI21heading1"/>
        <w:rPr>
          <w:b w:val="0"/>
          <w:sz w:val="20"/>
        </w:rPr>
      </w:pPr>
      <w:r w:rsidRPr="0098539B">
        <w:rPr>
          <w:b w:val="0"/>
          <w:sz w:val="20"/>
        </w:rPr>
        <w:t>Based on these insights, we propose the following levels of use of multiple data sources in reflective inquiry:</w:t>
      </w:r>
    </w:p>
    <w:p w14:paraId="7D3FCA2E" w14:textId="30316136" w:rsidR="004C7D13" w:rsidRPr="0098539B" w:rsidRDefault="004C7D13" w:rsidP="004C7D13">
      <w:pPr>
        <w:pStyle w:val="MDPI21heading1"/>
        <w:rPr>
          <w:b w:val="0"/>
          <w:sz w:val="20"/>
        </w:rPr>
      </w:pPr>
      <w:r w:rsidRPr="0098539B">
        <w:rPr>
          <w:b w:val="0"/>
          <w:sz w:val="20"/>
        </w:rPr>
        <w:t>D1: Personal experiences. This level reflects Earl and Timperley’s (2008) observation that educators often rely on their rich personal encyclopedias of experiences and actions, which, while valuable, remain untested. Contributions center on storytelling or re-telling of personal experiences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xml:space="preserve">, 2020). There is no reference to formal data or research evidence to support their </w:t>
      </w:r>
      <w:proofErr w:type="spellStart"/>
      <w:proofErr w:type="gramStart"/>
      <w:r w:rsidRPr="0098539B">
        <w:rPr>
          <w:b w:val="0"/>
          <w:sz w:val="20"/>
        </w:rPr>
        <w:t>points.Responding</w:t>
      </w:r>
      <w:proofErr w:type="spellEnd"/>
      <w:proofErr w:type="gramEnd"/>
      <w:r w:rsidRPr="0098539B">
        <w:rPr>
          <w:b w:val="0"/>
          <w:sz w:val="20"/>
        </w:rPr>
        <w:t xml:space="preserve"> speakers at this level rely on informal data as well, often agreeing or expanding on the initiating speaker’s observations without introducing or referencing other sources.</w:t>
      </w:r>
    </w:p>
    <w:p w14:paraId="1190A29E" w14:textId="7A715F9F" w:rsidR="00671FA7" w:rsidRPr="0098539B" w:rsidRDefault="00671FA7" w:rsidP="004C7D13">
      <w:pPr>
        <w:pStyle w:val="MDPI21heading1"/>
        <w:rPr>
          <w:b w:val="0"/>
          <w:sz w:val="20"/>
        </w:rPr>
      </w:pPr>
      <w:r w:rsidRPr="0098539B">
        <w:rPr>
          <w:b w:val="0"/>
          <w:sz w:val="20"/>
        </w:rPr>
        <w:t>D2: Personal experience with reference to another source. At this level, initiating speakers’ contributions still rely on personal experiences, but they begin incorporating references to additional sources. These sources can help expand, assess, or compare personal experience and may include formal data (e.g., classroom observations, standardized tests, curriculum and audit reports) and research evidence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2020). This reflects an effort to move beyond anecdotal knowledge by linking it to other data sources (Farley-Ripple et al., 2018). However, the use of sources remains limited, typically referencing only one additional source, and the connection is made in a thoughtful but not yet fully integrated manner (</w:t>
      </w:r>
      <w:proofErr w:type="spellStart"/>
      <w:r w:rsidRPr="0098539B">
        <w:rPr>
          <w:b w:val="0"/>
          <w:sz w:val="20"/>
        </w:rPr>
        <w:t>Klintz</w:t>
      </w:r>
      <w:proofErr w:type="spellEnd"/>
      <w:r w:rsidRPr="0098539B">
        <w:rPr>
          <w:b w:val="0"/>
          <w:sz w:val="20"/>
        </w:rPr>
        <w:t xml:space="preserve"> et al., 2015).</w:t>
      </w:r>
    </w:p>
    <w:p w14:paraId="10F7C71A" w14:textId="40407423" w:rsidR="004C7D13" w:rsidRPr="0098539B" w:rsidRDefault="004C7D13" w:rsidP="00671FA7">
      <w:pPr>
        <w:pStyle w:val="MDPI21heading1"/>
        <w:rPr>
          <w:b w:val="0"/>
          <w:sz w:val="20"/>
        </w:rPr>
      </w:pPr>
      <w:r w:rsidRPr="0098539B">
        <w:rPr>
          <w:b w:val="0"/>
          <w:sz w:val="20"/>
        </w:rPr>
        <w:t xml:space="preserve">D3: Balanced Use of Multiple Data Sources. At this highest level, initiating speakers engage in a deliberate and balanced integration of multiple data sources to test </w:t>
      </w:r>
      <w:r w:rsidRPr="0098539B">
        <w:rPr>
          <w:b w:val="0"/>
          <w:sz w:val="20"/>
        </w:rPr>
        <w:lastRenderedPageBreak/>
        <w:t xml:space="preserve">assumptions and ground their reflections or action plans (Farley-Ripple et al., 2018;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2020). Responding speakers at this level build on the initiating speaker’s contributions by offering suggestions informed by evidence, triangulating across multiple sources themselves.</w:t>
      </w:r>
    </w:p>
    <w:p w14:paraId="0C9DDBFB" w14:textId="2AD2D9F1" w:rsidR="004C7D13" w:rsidRPr="0098539B" w:rsidRDefault="004C7D13" w:rsidP="004C7D13">
      <w:pPr>
        <w:pStyle w:val="MDPI21heading1"/>
        <w:rPr>
          <w:bCs/>
          <w:i/>
          <w:iCs/>
          <w:sz w:val="20"/>
        </w:rPr>
      </w:pPr>
      <w:r w:rsidRPr="0098539B">
        <w:rPr>
          <w:bCs/>
          <w:i/>
          <w:iCs/>
          <w:sz w:val="20"/>
        </w:rPr>
        <w:t>Degree of reflection and internal attribution</w:t>
      </w:r>
      <w:r w:rsidR="00DE6EF8" w:rsidRPr="0098539B">
        <w:rPr>
          <w:bCs/>
          <w:i/>
          <w:iCs/>
          <w:sz w:val="20"/>
        </w:rPr>
        <w:t xml:space="preserve"> (R)</w:t>
      </w:r>
    </w:p>
    <w:p w14:paraId="1F0CF41E" w14:textId="0A07F7A3" w:rsidR="004C7D13" w:rsidRPr="0098539B" w:rsidRDefault="004C7D13" w:rsidP="004C7D13">
      <w:pPr>
        <w:pStyle w:val="MDPI21heading1"/>
        <w:rPr>
          <w:b w:val="0"/>
          <w:sz w:val="20"/>
        </w:rPr>
      </w:pPr>
      <w:r w:rsidRPr="0098539B">
        <w:rPr>
          <w:b w:val="0"/>
          <w:sz w:val="20"/>
        </w:rPr>
        <w:t xml:space="preserve">Dewey (1933) originally described reflection as the "active, persistent, and careful consideration of any belief or supposed form of knowledge in light of the grounds that support it." Since then, scholars have expanded on this concept, examining its attributes, development, and measurement (e.g., Schön, 1987; Van </w:t>
      </w:r>
      <w:proofErr w:type="spellStart"/>
      <w:r w:rsidRPr="0098539B">
        <w:rPr>
          <w:b w:val="0"/>
          <w:sz w:val="20"/>
        </w:rPr>
        <w:t>Manen</w:t>
      </w:r>
      <w:proofErr w:type="spellEnd"/>
      <w:r w:rsidRPr="0098539B">
        <w:rPr>
          <w:b w:val="0"/>
          <w:sz w:val="20"/>
        </w:rPr>
        <w:t xml:space="preserve">, 1977). Reflection is not a binary concept but occurs across levels, from non-reflective description to critical reflection (Van </w:t>
      </w:r>
      <w:proofErr w:type="spellStart"/>
      <w:r w:rsidRPr="0098539B">
        <w:rPr>
          <w:b w:val="0"/>
          <w:sz w:val="20"/>
        </w:rPr>
        <w:t>Manen</w:t>
      </w:r>
      <w:proofErr w:type="spellEnd"/>
      <w:r w:rsidRPr="0098539B">
        <w:rPr>
          <w:b w:val="0"/>
          <w:sz w:val="20"/>
        </w:rPr>
        <w:t>, 1977).</w:t>
      </w:r>
      <w:r w:rsidR="00E149E8" w:rsidRPr="0098539B">
        <w:rPr>
          <w:rFonts w:ascii="AppleSystemUIFont" w:hAnsi="AppleSystemUIFont" w:cs="AppleSystemUIFont"/>
          <w:color w:val="auto"/>
          <w:sz w:val="26"/>
          <w:szCs w:val="26"/>
        </w:rPr>
        <w:t xml:space="preserve"> </w:t>
      </w:r>
      <w:r w:rsidR="0038437A" w:rsidRPr="0098539B">
        <w:rPr>
          <w:b w:val="0"/>
          <w:sz w:val="20"/>
        </w:rPr>
        <w:t>Reflection often begins with describing a situation, before progressing toward more complex reflective processes, such as questioning assumptions, comparing different perspectives, and making judgments (Jay &amp; Johnson, 2002</w:t>
      </w:r>
      <w:r w:rsidR="004A1E1D" w:rsidRPr="0098539B">
        <w:rPr>
          <w:b w:val="0"/>
          <w:sz w:val="20"/>
        </w:rPr>
        <w:t xml:space="preserve">; </w:t>
      </w:r>
      <w:r w:rsidR="005C7F8C" w:rsidRPr="0098539B">
        <w:rPr>
          <w:b w:val="0"/>
          <w:sz w:val="20"/>
        </w:rPr>
        <w:t xml:space="preserve">Liu et al. 2017; </w:t>
      </w:r>
      <w:proofErr w:type="spellStart"/>
      <w:r w:rsidR="004A1E1D" w:rsidRPr="0098539B">
        <w:rPr>
          <w:b w:val="0"/>
          <w:sz w:val="20"/>
        </w:rPr>
        <w:t>Walkington</w:t>
      </w:r>
      <w:proofErr w:type="spellEnd"/>
      <w:r w:rsidR="0021457B" w:rsidRPr="0098539B">
        <w:rPr>
          <w:b w:val="0"/>
          <w:sz w:val="20"/>
        </w:rPr>
        <w:t xml:space="preserve"> et al.</w:t>
      </w:r>
      <w:r w:rsidR="004A1E1D" w:rsidRPr="0098539B">
        <w:rPr>
          <w:b w:val="0"/>
          <w:sz w:val="20"/>
        </w:rPr>
        <w:t>, 2001</w:t>
      </w:r>
      <w:r w:rsidR="0038437A" w:rsidRPr="0098539B">
        <w:rPr>
          <w:b w:val="0"/>
          <w:sz w:val="20"/>
        </w:rPr>
        <w:t xml:space="preserve">). </w:t>
      </w:r>
      <w:r w:rsidR="00165685" w:rsidRPr="0098539B">
        <w:rPr>
          <w:b w:val="0"/>
          <w:sz w:val="20"/>
        </w:rPr>
        <w:t>This is in line with other models and protocols of reflection, where structured reflection begins with description, as individuals first need to articulate what they perceive as a problem or challenge before deeper analysis can take place (Brookfield, 1995; Schön, 198</w:t>
      </w:r>
      <w:r w:rsidR="006B6C9B" w:rsidRPr="0098539B">
        <w:rPr>
          <w:b w:val="0"/>
          <w:sz w:val="20"/>
        </w:rPr>
        <w:t>3</w:t>
      </w:r>
      <w:r w:rsidR="00165685" w:rsidRPr="0098539B">
        <w:rPr>
          <w:b w:val="0"/>
          <w:sz w:val="20"/>
        </w:rPr>
        <w:t xml:space="preserve">). </w:t>
      </w:r>
      <w:r w:rsidR="00147FC4" w:rsidRPr="0098539B">
        <w:rPr>
          <w:b w:val="0"/>
          <w:sz w:val="20"/>
        </w:rPr>
        <w:t>In h</w:t>
      </w:r>
      <w:r w:rsidR="0038437A" w:rsidRPr="0098539B">
        <w:rPr>
          <w:b w:val="0"/>
          <w:sz w:val="20"/>
        </w:rPr>
        <w:t>igher levels of reflection</w:t>
      </w:r>
      <w:r w:rsidR="00147FC4" w:rsidRPr="0098539B">
        <w:rPr>
          <w:b w:val="0"/>
          <w:sz w:val="20"/>
        </w:rPr>
        <w:t xml:space="preserve">, </w:t>
      </w:r>
      <w:r w:rsidR="0038437A" w:rsidRPr="0098539B">
        <w:rPr>
          <w:b w:val="0"/>
          <w:sz w:val="20"/>
        </w:rPr>
        <w:t xml:space="preserve">individuals recognize the subjectivity of knowledge, critically examine their assumptions, and engage with multiple perspectives (El-Dib, 2006). </w:t>
      </w:r>
      <w:r w:rsidR="00514BFB" w:rsidRPr="0098539B">
        <w:rPr>
          <w:b w:val="0"/>
          <w:sz w:val="20"/>
        </w:rPr>
        <w:t>From this perspective,</w:t>
      </w:r>
      <w:r w:rsidR="00314DE4" w:rsidRPr="0098539B">
        <w:rPr>
          <w:b w:val="0"/>
          <w:sz w:val="20"/>
        </w:rPr>
        <w:t xml:space="preserve"> merely</w:t>
      </w:r>
      <w:r w:rsidR="00514BFB" w:rsidRPr="0098539B">
        <w:rPr>
          <w:b w:val="0"/>
          <w:sz w:val="20"/>
        </w:rPr>
        <w:t xml:space="preserve"> </w:t>
      </w:r>
      <w:r w:rsidR="007D394A" w:rsidRPr="0098539B">
        <w:rPr>
          <w:b w:val="0"/>
          <w:sz w:val="20"/>
        </w:rPr>
        <w:t>describing a situation does</w:t>
      </w:r>
      <w:r w:rsidR="00514BFB" w:rsidRPr="0098539B">
        <w:rPr>
          <w:b w:val="0"/>
          <w:sz w:val="20"/>
        </w:rPr>
        <w:t xml:space="preserve"> not represent </w:t>
      </w:r>
      <w:proofErr w:type="gramStart"/>
      <w:r w:rsidR="00514BFB" w:rsidRPr="0098539B">
        <w:rPr>
          <w:b w:val="0"/>
          <w:sz w:val="20"/>
        </w:rPr>
        <w:t>reflection in itself, but</w:t>
      </w:r>
      <w:proofErr w:type="gramEnd"/>
      <w:r w:rsidR="00514BFB" w:rsidRPr="0098539B">
        <w:rPr>
          <w:b w:val="0"/>
          <w:sz w:val="20"/>
        </w:rPr>
        <w:t xml:space="preserve"> it is a necessary step in the reflective process. Reflection cannot occur without first describing the problem or situation being analyzed, as surfacing initial understandings is essential before moving toward deeper analysis.</w:t>
      </w:r>
    </w:p>
    <w:p w14:paraId="4EFDE4C3" w14:textId="64CC6379" w:rsidR="004C7D13" w:rsidRPr="0098539B" w:rsidRDefault="004C7D13" w:rsidP="004C7D13">
      <w:pPr>
        <w:pStyle w:val="MDPI21heading1"/>
        <w:rPr>
          <w:b w:val="0"/>
          <w:sz w:val="20"/>
        </w:rPr>
      </w:pPr>
      <w:r w:rsidRPr="0098539B">
        <w:rPr>
          <w:b w:val="0"/>
          <w:sz w:val="20"/>
        </w:rPr>
        <w:t>In recent years, collective reflection has gained attention for its significant advantages over individual reflection. When educators engage in critical dialogue, they can surface presuppositions, ideas, and beliefs, making these explicit and available for exploration (</w:t>
      </w:r>
      <w:proofErr w:type="spellStart"/>
      <w:r w:rsidRPr="0098539B">
        <w:rPr>
          <w:b w:val="0"/>
          <w:sz w:val="20"/>
        </w:rPr>
        <w:t>Hakkarainen</w:t>
      </w:r>
      <w:proofErr w:type="spellEnd"/>
      <w:r w:rsidRPr="0098539B">
        <w:rPr>
          <w:b w:val="0"/>
          <w:sz w:val="20"/>
        </w:rPr>
        <w:t xml:space="preserve"> et al., 2004). As Nonaka and Takeuchi (1995) emphasize, making tacit knowledge explicit is a key part of professional growth—this involves revealing subjective insights, intuitions, and beliefs that are otherwise difficult to articulate and subjecting them to collaborative critique and refinement. Such dialogue requires participants to articulate their perspectives, explain their reasoning, and engage with competing viewpoints, thereby challenging assumptions in the process.</w:t>
      </w:r>
      <w:r w:rsidR="00C25195" w:rsidRPr="0098539B">
        <w:rPr>
          <w:b w:val="0"/>
          <w:sz w:val="20"/>
        </w:rPr>
        <w:t xml:space="preserve"> </w:t>
      </w:r>
    </w:p>
    <w:p w14:paraId="7D3DD9B6" w14:textId="332479C9" w:rsidR="004C7D13" w:rsidRPr="0098539B" w:rsidRDefault="004C7D13" w:rsidP="004C7D13">
      <w:pPr>
        <w:pStyle w:val="MDPI21heading1"/>
        <w:rPr>
          <w:b w:val="0"/>
          <w:sz w:val="20"/>
        </w:rPr>
      </w:pPr>
      <w:r w:rsidRPr="0098539B">
        <w:rPr>
          <w:b w:val="0"/>
          <w:sz w:val="20"/>
        </w:rPr>
        <w:t>A key component of reflection, particularly in groups, is internal attribution, where educators examine how their own teaching practices influence student outcomes rather than attributing success or failure to external factors like socioeconomic status or family background (</w:t>
      </w:r>
      <w:r w:rsidR="00050619" w:rsidRPr="0098539B">
        <w:rPr>
          <w:b w:val="0"/>
          <w:sz w:val="20"/>
        </w:rPr>
        <w:t>Brown</w:t>
      </w:r>
      <w:r w:rsidR="00D42C20" w:rsidRPr="0098539B">
        <w:rPr>
          <w:b w:val="0"/>
          <w:sz w:val="20"/>
        </w:rPr>
        <w:t xml:space="preserve"> et al., </w:t>
      </w:r>
      <w:r w:rsidRPr="0098539B">
        <w:rPr>
          <w:b w:val="0"/>
          <w:sz w:val="20"/>
        </w:rPr>
        <w:t xml:space="preserve">2021; Earl &amp; Timperley, 2008; Farley-Ripple et al., 2018). Teams that move beyond external attribution and adopt internal accountability are more likely to achieve meaningful professional growth and positively impact student outcomes (Mitchell &amp; </w:t>
      </w:r>
      <w:proofErr w:type="spellStart"/>
      <w:r w:rsidRPr="0098539B">
        <w:rPr>
          <w:b w:val="0"/>
          <w:sz w:val="20"/>
        </w:rPr>
        <w:t>Sackney</w:t>
      </w:r>
      <w:proofErr w:type="spellEnd"/>
      <w:r w:rsidRPr="0098539B">
        <w:rPr>
          <w:b w:val="0"/>
          <w:sz w:val="20"/>
        </w:rPr>
        <w:t xml:space="preserve">, 2011;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2020).</w:t>
      </w:r>
    </w:p>
    <w:p w14:paraId="5AF9927B" w14:textId="36FD71DA" w:rsidR="004C7D13" w:rsidRPr="0098539B" w:rsidRDefault="004C7D13" w:rsidP="004C7D13">
      <w:pPr>
        <w:pStyle w:val="MDPI21heading1"/>
        <w:rPr>
          <w:b w:val="0"/>
          <w:sz w:val="20"/>
        </w:rPr>
      </w:pPr>
      <w:r w:rsidRPr="0098539B">
        <w:rPr>
          <w:b w:val="0"/>
          <w:sz w:val="20"/>
        </w:rPr>
        <w:t>R1: Describing. At this level, initiating speakers recount experiences or provide descriptive information (</w:t>
      </w:r>
      <w:r w:rsidR="00BB0873" w:rsidRPr="0098539B">
        <w:rPr>
          <w:b w:val="0"/>
          <w:sz w:val="20"/>
        </w:rPr>
        <w:t xml:space="preserve">Jay &amp; Johnson, 2002; </w:t>
      </w:r>
      <w:r w:rsidR="00314DE4" w:rsidRPr="0098539B">
        <w:rPr>
          <w:b w:val="0"/>
          <w:sz w:val="20"/>
        </w:rPr>
        <w:t xml:space="preserve">Liu et al. 2017; </w:t>
      </w:r>
      <w:r w:rsidRPr="0098539B">
        <w:rPr>
          <w:b w:val="0"/>
          <w:sz w:val="20"/>
        </w:rPr>
        <w:t xml:space="preserve">Van </w:t>
      </w:r>
      <w:proofErr w:type="spellStart"/>
      <w:r w:rsidRPr="0098539B">
        <w:rPr>
          <w:b w:val="0"/>
          <w:sz w:val="20"/>
        </w:rPr>
        <w:t>Manen</w:t>
      </w:r>
      <w:proofErr w:type="spellEnd"/>
      <w:r w:rsidRPr="0098539B">
        <w:rPr>
          <w:b w:val="0"/>
          <w:sz w:val="20"/>
        </w:rPr>
        <w:t>, 1977</w:t>
      </w:r>
      <w:r w:rsidR="008232ED" w:rsidRPr="0098539B">
        <w:rPr>
          <w:b w:val="0"/>
          <w:sz w:val="20"/>
        </w:rPr>
        <w:t xml:space="preserve">; </w:t>
      </w:r>
      <w:proofErr w:type="spellStart"/>
      <w:r w:rsidR="008232ED" w:rsidRPr="0098539B">
        <w:rPr>
          <w:b w:val="0"/>
          <w:sz w:val="20"/>
        </w:rPr>
        <w:t>Walkington</w:t>
      </w:r>
      <w:proofErr w:type="spellEnd"/>
      <w:r w:rsidR="00046532" w:rsidRPr="0098539B">
        <w:rPr>
          <w:b w:val="0"/>
          <w:sz w:val="20"/>
        </w:rPr>
        <w:t xml:space="preserve"> et al.</w:t>
      </w:r>
      <w:r w:rsidR="008232ED" w:rsidRPr="0098539B">
        <w:rPr>
          <w:b w:val="0"/>
          <w:sz w:val="20"/>
        </w:rPr>
        <w:t>, 2001</w:t>
      </w:r>
      <w:r w:rsidRPr="0098539B">
        <w:rPr>
          <w:b w:val="0"/>
          <w:sz w:val="20"/>
        </w:rPr>
        <w:t>). Responding speakers acknowledge or expand on the descriptive information shared by the initiator but do not analyze or question it. Such interactions do not make tacit knowledge explicit (Nonaka &amp; Takeuchi, 1995).</w:t>
      </w:r>
    </w:p>
    <w:p w14:paraId="337559CB" w14:textId="48A391B0" w:rsidR="004C7D13" w:rsidRPr="0098539B" w:rsidRDefault="004C7D13" w:rsidP="004C7D13">
      <w:pPr>
        <w:pStyle w:val="MDPI21heading1"/>
        <w:rPr>
          <w:b w:val="0"/>
          <w:sz w:val="20"/>
        </w:rPr>
      </w:pPr>
      <w:r w:rsidRPr="0098539B">
        <w:rPr>
          <w:b w:val="0"/>
          <w:sz w:val="20"/>
        </w:rPr>
        <w:t>R2: Analyzing with External Attribution. At this level, initiating speakers identify problems or express a need for change, offering explanations, ideas, and beliefs that are articulated and made explicit for exploration (</w:t>
      </w:r>
      <w:r w:rsidR="00323C10" w:rsidRPr="0098539B">
        <w:rPr>
          <w:b w:val="0"/>
          <w:sz w:val="20"/>
        </w:rPr>
        <w:t xml:space="preserve">Jay &amp; Johnson, 2002; </w:t>
      </w:r>
      <w:proofErr w:type="spellStart"/>
      <w:r w:rsidRPr="0098539B">
        <w:rPr>
          <w:b w:val="0"/>
          <w:sz w:val="20"/>
        </w:rPr>
        <w:t>Hakkarainen</w:t>
      </w:r>
      <w:proofErr w:type="spellEnd"/>
      <w:r w:rsidRPr="0098539B">
        <w:rPr>
          <w:b w:val="0"/>
          <w:sz w:val="20"/>
        </w:rPr>
        <w:t xml:space="preserve"> et al., 2004</w:t>
      </w:r>
      <w:r w:rsidR="008232ED" w:rsidRPr="0098539B">
        <w:rPr>
          <w:b w:val="0"/>
          <w:sz w:val="20"/>
        </w:rPr>
        <w:t xml:space="preserve">; </w:t>
      </w:r>
      <w:r w:rsidR="00227A49" w:rsidRPr="0098539B">
        <w:rPr>
          <w:b w:val="0"/>
          <w:sz w:val="20"/>
        </w:rPr>
        <w:lastRenderedPageBreak/>
        <w:t xml:space="preserve">Liu et al. 2017; </w:t>
      </w:r>
      <w:proofErr w:type="spellStart"/>
      <w:r w:rsidR="008232ED" w:rsidRPr="0098539B">
        <w:rPr>
          <w:b w:val="0"/>
          <w:sz w:val="20"/>
        </w:rPr>
        <w:t>Walkington</w:t>
      </w:r>
      <w:proofErr w:type="spellEnd"/>
      <w:r w:rsidR="00046532" w:rsidRPr="0098539B">
        <w:rPr>
          <w:b w:val="0"/>
          <w:sz w:val="20"/>
        </w:rPr>
        <w:t xml:space="preserve"> et al.</w:t>
      </w:r>
      <w:r w:rsidR="008232ED" w:rsidRPr="0098539B">
        <w:rPr>
          <w:b w:val="0"/>
          <w:sz w:val="20"/>
        </w:rPr>
        <w:t>, 2001</w:t>
      </w:r>
      <w:r w:rsidRPr="0098539B">
        <w:rPr>
          <w:b w:val="0"/>
          <w:sz w:val="20"/>
        </w:rPr>
        <w:t xml:space="preserve">). They make tacit knowledge explicit, but explanations are often rooted in external circumstances (Earl &amp; Timperley, 2008). Responding speakers contribute by analyzing the initiator’s problem or idea, offering additional perspectives or expanding on the initiator’s logic. </w:t>
      </w:r>
    </w:p>
    <w:p w14:paraId="5387657A" w14:textId="28D1BAC5" w:rsidR="004C7D13" w:rsidRPr="0098539B" w:rsidRDefault="004C7D13" w:rsidP="00671FA7">
      <w:pPr>
        <w:pStyle w:val="MDPI21heading1"/>
        <w:rPr>
          <w:b w:val="0"/>
          <w:sz w:val="20"/>
        </w:rPr>
      </w:pPr>
      <w:r w:rsidRPr="0098539B">
        <w:rPr>
          <w:b w:val="0"/>
          <w:sz w:val="20"/>
        </w:rPr>
        <w:t xml:space="preserve">R3: Critiquing with Internal Attribution. At the highest level, initiating speakers engage in critical reflection by examining their own assumptions, beliefs, and actions (El-Dib, 2006) and expressing personal accountability for their role in the situation (Mitchell &amp; </w:t>
      </w:r>
      <w:proofErr w:type="spellStart"/>
      <w:r w:rsidRPr="0098539B">
        <w:rPr>
          <w:b w:val="0"/>
          <w:sz w:val="20"/>
        </w:rPr>
        <w:t>Sackney</w:t>
      </w:r>
      <w:proofErr w:type="spellEnd"/>
      <w:r w:rsidRPr="0098539B">
        <w:rPr>
          <w:b w:val="0"/>
          <w:sz w:val="20"/>
        </w:rPr>
        <w:t xml:space="preserve">, 2011;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2020). Initiators move beyond simply describing or analyzing to explicitly question established practices and explore how their own actions contribute to the situation they observe (</w:t>
      </w:r>
      <w:r w:rsidR="00050619" w:rsidRPr="0098539B">
        <w:rPr>
          <w:b w:val="0"/>
          <w:sz w:val="20"/>
        </w:rPr>
        <w:t>Brown</w:t>
      </w:r>
      <w:r w:rsidR="00D42C20" w:rsidRPr="0098539B">
        <w:rPr>
          <w:b w:val="0"/>
          <w:sz w:val="20"/>
        </w:rPr>
        <w:t xml:space="preserve"> et al., </w:t>
      </w:r>
      <w:r w:rsidRPr="0098539B">
        <w:rPr>
          <w:b w:val="0"/>
          <w:sz w:val="20"/>
        </w:rPr>
        <w:t>2021; Earl &amp; Timperley, 2008; Farley-Ripple et al., 2018). Responding speakers at this level engage critically with the initiator’s ideas, evaluating their reasoning and encouraging deeper reflection through internal attribution.</w:t>
      </w:r>
    </w:p>
    <w:p w14:paraId="0C4CEBE4" w14:textId="77777777" w:rsidR="004C7D13" w:rsidRPr="0098539B" w:rsidRDefault="004C7D13" w:rsidP="004C7D13">
      <w:pPr>
        <w:pStyle w:val="MDPI21heading1"/>
        <w:rPr>
          <w:bCs/>
          <w:i/>
          <w:iCs/>
          <w:sz w:val="20"/>
        </w:rPr>
      </w:pPr>
      <w:r w:rsidRPr="0098539B">
        <w:rPr>
          <w:bCs/>
          <w:i/>
          <w:iCs/>
          <w:sz w:val="20"/>
        </w:rPr>
        <w:t>Towards a framework for reflective inquiry</w:t>
      </w:r>
    </w:p>
    <w:p w14:paraId="1F9B81A0" w14:textId="7E0232E3" w:rsidR="004C7D13" w:rsidRPr="0098539B" w:rsidRDefault="004C7D13" w:rsidP="004C7D13">
      <w:pPr>
        <w:pStyle w:val="MDPI21heading1"/>
        <w:rPr>
          <w:b w:val="0"/>
          <w:sz w:val="20"/>
        </w:rPr>
      </w:pPr>
      <w:r w:rsidRPr="0098539B">
        <w:rPr>
          <w:b w:val="0"/>
          <w:sz w:val="20"/>
        </w:rPr>
        <w:t>Table 2 summarizes the three aspects of reflective inquiry and the three levels each aspect encompasses. When a conversation is labeled with C3, D3, and R3—indicating a high degree of critical dialogue, the use of multiple data sources to generate and/or test ideas, and a high degree of reflection through internal attribution— we classify it as reflective inquiry. However, this framework does not account for actual behavior change. While these conversations demonstrate the highest levels of reflective inquiry, we cannot establish a direct link between reflective inquiry in conversations and meaningful changes in practice.</w:t>
      </w:r>
    </w:p>
    <w:p w14:paraId="43B0013C" w14:textId="4FEF319A" w:rsidR="004C7D13" w:rsidRPr="0098539B" w:rsidRDefault="004C7D13" w:rsidP="004C7D13">
      <w:pPr>
        <w:pStyle w:val="MDPI21heading1"/>
        <w:rPr>
          <w:b w:val="0"/>
          <w:sz w:val="20"/>
        </w:rPr>
      </w:pPr>
      <w:r w:rsidRPr="0098539B">
        <w:rPr>
          <w:b w:val="0"/>
          <w:sz w:val="20"/>
        </w:rPr>
        <w:t>[Table 2 here]</w:t>
      </w:r>
    </w:p>
    <w:p w14:paraId="747EF817" w14:textId="4E4C59D5" w:rsidR="004C7D13" w:rsidRPr="0098539B" w:rsidRDefault="008E5D0B" w:rsidP="00AA1154">
      <w:pPr>
        <w:pStyle w:val="MDPI21heading1"/>
      </w:pPr>
      <w:r w:rsidRPr="0098539B">
        <w:t xml:space="preserve">3. </w:t>
      </w:r>
      <w:r w:rsidR="004C7D13" w:rsidRPr="0098539B">
        <w:t>Methodology</w:t>
      </w:r>
    </w:p>
    <w:p w14:paraId="32C95035" w14:textId="4F67FD1E" w:rsidR="00292813" w:rsidRPr="0098539B" w:rsidRDefault="00885918" w:rsidP="00A37BDB">
      <w:pPr>
        <w:pStyle w:val="MDPI21heading1"/>
        <w:rPr>
          <w:b w:val="0"/>
          <w:sz w:val="20"/>
        </w:rPr>
      </w:pPr>
      <w:r w:rsidRPr="0098539B">
        <w:rPr>
          <w:b w:val="0"/>
          <w:sz w:val="20"/>
        </w:rPr>
        <w:t xml:space="preserve">To address the first research question—How can reflective inquiry in conversations within PLNs be </w:t>
      </w:r>
      <w:proofErr w:type="gramStart"/>
      <w:r w:rsidRPr="0098539B">
        <w:rPr>
          <w:b w:val="0"/>
          <w:sz w:val="20"/>
        </w:rPr>
        <w:t>measured?—</w:t>
      </w:r>
      <w:proofErr w:type="gramEnd"/>
      <w:r w:rsidRPr="0098539B">
        <w:rPr>
          <w:b w:val="0"/>
          <w:sz w:val="20"/>
        </w:rPr>
        <w:t xml:space="preserve">we validated the model by analyzing conversational data from three PLNs observed between January 2023 and May 2024. </w:t>
      </w:r>
      <w:r w:rsidR="00A37BDB" w:rsidRPr="0098539B">
        <w:rPr>
          <w:b w:val="0"/>
          <w:sz w:val="20"/>
        </w:rPr>
        <w:t>A total of 19 PLN sessions were recorded, yielding approximately 78 hours.</w:t>
      </w:r>
      <w:r w:rsidR="00DF3CB7" w:rsidRPr="0098539B">
        <w:rPr>
          <w:b w:val="0"/>
          <w:sz w:val="20"/>
        </w:rPr>
        <w:t xml:space="preserve"> </w:t>
      </w:r>
      <w:r w:rsidR="00292813" w:rsidRPr="0098539B">
        <w:rPr>
          <w:b w:val="0"/>
          <w:sz w:val="20"/>
        </w:rPr>
        <w:t xml:space="preserve">Each network exhibited a distinct design and focus area. </w:t>
      </w:r>
      <w:r w:rsidR="001A5E06" w:rsidRPr="0098539B">
        <w:rPr>
          <w:b w:val="0"/>
          <w:sz w:val="20"/>
        </w:rPr>
        <w:t>All PLNs were organized and led by one or two facilitators, and participants varied in age and experience.</w:t>
      </w:r>
      <w:r w:rsidR="00AA197D" w:rsidRPr="0098539B">
        <w:rPr>
          <w:b w:val="0"/>
          <w:sz w:val="20"/>
        </w:rPr>
        <w:t xml:space="preserve"> </w:t>
      </w:r>
      <w:r w:rsidR="00292813" w:rsidRPr="0098539B">
        <w:rPr>
          <w:b w:val="0"/>
          <w:sz w:val="20"/>
        </w:rPr>
        <w:t xml:space="preserve">Network 1 consisted of school leaders from eight elementary schools, concentrating </w:t>
      </w:r>
      <w:r w:rsidR="0050601B" w:rsidRPr="0098539B">
        <w:rPr>
          <w:b w:val="0"/>
          <w:sz w:val="20"/>
        </w:rPr>
        <w:t>on implementing change processes</w:t>
      </w:r>
      <w:r w:rsidR="007112D0" w:rsidRPr="0098539B">
        <w:rPr>
          <w:b w:val="0"/>
          <w:sz w:val="20"/>
        </w:rPr>
        <w:t xml:space="preserve"> to stimulate more goal and data-driven practices</w:t>
      </w:r>
      <w:r w:rsidR="00292813" w:rsidRPr="0098539B">
        <w:rPr>
          <w:b w:val="0"/>
          <w:sz w:val="20"/>
        </w:rPr>
        <w:t>. Network 2 included first-grade teachers from approximately 20 secondary schools, focusing on promoting reading comprehension and motivation. Network 3 was composed of first-grade math teachers from four secondary schools, with an emphasis on foundational math literacy.</w:t>
      </w:r>
      <w:r w:rsidR="00AA197D" w:rsidRPr="0098539B">
        <w:rPr>
          <w:b w:val="0"/>
        </w:rPr>
        <w:t xml:space="preserve"> </w:t>
      </w:r>
    </w:p>
    <w:p w14:paraId="4FE72CE8" w14:textId="357A6033" w:rsidR="004C7D13" w:rsidRPr="0098539B" w:rsidRDefault="004C7D13" w:rsidP="00AA1154">
      <w:pPr>
        <w:pStyle w:val="MDPI21heading1"/>
        <w:rPr>
          <w:b w:val="0"/>
          <w:sz w:val="20"/>
        </w:rPr>
      </w:pPr>
      <w:r w:rsidRPr="0098539B">
        <w:rPr>
          <w:b w:val="0"/>
          <w:sz w:val="20"/>
        </w:rPr>
        <w:t xml:space="preserve">For the validation process, we used theoretical sampling. Theoretical sampling is a purposive, iterative sampling method aimed at developing and refining theoretical constructs. It involves selecting data based on their potential to contribute to the creation and testing of emerging theories. Researchers collect an initial sample, analyze the data, and then choose subsequent samples based on emerging theoretical insights. Theoretical saturation occurs when </w:t>
      </w:r>
      <w:proofErr w:type="gramStart"/>
      <w:r w:rsidRPr="0098539B">
        <w:rPr>
          <w:b w:val="0"/>
          <w:sz w:val="20"/>
        </w:rPr>
        <w:t>all of</w:t>
      </w:r>
      <w:proofErr w:type="gramEnd"/>
      <w:r w:rsidRPr="0098539B">
        <w:rPr>
          <w:b w:val="0"/>
          <w:sz w:val="20"/>
        </w:rPr>
        <w:t xml:space="preserve"> the main variations of the phenomenon have been identified and incorporated into the emerging theory (Ritchie &amp; Lewis, 2003). In this approach, the researcher deliberately searches for extreme variations of each concept in the theory to exhaustion (</w:t>
      </w:r>
      <w:proofErr w:type="spellStart"/>
      <w:r w:rsidRPr="0098539B">
        <w:rPr>
          <w:b w:val="0"/>
          <w:sz w:val="20"/>
        </w:rPr>
        <w:t>Hennink</w:t>
      </w:r>
      <w:proofErr w:type="spellEnd"/>
      <w:r w:rsidRPr="0098539B">
        <w:rPr>
          <w:b w:val="0"/>
          <w:sz w:val="20"/>
        </w:rPr>
        <w:t xml:space="preserve"> et al., 2016). Their study on saturation in qualitative research (in field methods) highlights that six samples (around 10%) often suffice for understanding </w:t>
      </w:r>
      <w:r w:rsidRPr="0098539B">
        <w:rPr>
          <w:b w:val="0"/>
          <w:sz w:val="20"/>
        </w:rPr>
        <w:lastRenderedPageBreak/>
        <w:t>themes and testing coding frameworks, provided the data is rich (Guest et al., 2005). Therefore, we selected +- 10% of the data divided over the four PLNs to have a variety of data analyzed segments where educators engaged in conversation (see Table 3). We applied the coding framework to these conversations to look for examples of each code and to tweak the framework.</w:t>
      </w:r>
    </w:p>
    <w:p w14:paraId="23A4295B" w14:textId="0DB57B84" w:rsidR="004C7D13" w:rsidRPr="0098539B" w:rsidRDefault="004C7D13" w:rsidP="004C7D13">
      <w:pPr>
        <w:pStyle w:val="MDPI21heading1"/>
        <w:rPr>
          <w:b w:val="0"/>
          <w:sz w:val="20"/>
        </w:rPr>
      </w:pPr>
      <w:r w:rsidRPr="0098539B">
        <w:rPr>
          <w:b w:val="0"/>
          <w:sz w:val="20"/>
        </w:rPr>
        <w:t>[Table 3 here]</w:t>
      </w:r>
    </w:p>
    <w:p w14:paraId="3D5FDF44" w14:textId="6CBBB6A7" w:rsidR="003C48CA" w:rsidRPr="0098539B" w:rsidRDefault="003C48CA" w:rsidP="004C7D13">
      <w:pPr>
        <w:pStyle w:val="MDPI21heading1"/>
        <w:rPr>
          <w:b w:val="0"/>
          <w:sz w:val="20"/>
        </w:rPr>
      </w:pPr>
      <w:r w:rsidRPr="0098539B">
        <w:rPr>
          <w:b w:val="0"/>
          <w:sz w:val="20"/>
        </w:rPr>
        <w:t xml:space="preserve">The recorded conversations were transcribed using </w:t>
      </w:r>
      <w:proofErr w:type="spellStart"/>
      <w:r w:rsidRPr="0098539B">
        <w:rPr>
          <w:b w:val="0"/>
          <w:sz w:val="20"/>
        </w:rPr>
        <w:t>Trint</w:t>
      </w:r>
      <w:proofErr w:type="spellEnd"/>
      <w:r w:rsidRPr="0098539B">
        <w:rPr>
          <w:b w:val="0"/>
          <w:sz w:val="20"/>
        </w:rPr>
        <w:t xml:space="preserve"> software, after which all transcriptions were manually checked by the first author for accuracy. The verified transcripts were then downloaded in Excel, where each speaker contribution was represented as a separate </w:t>
      </w:r>
      <w:r w:rsidR="003F52DB" w:rsidRPr="0098539B">
        <w:rPr>
          <w:b w:val="0"/>
          <w:sz w:val="20"/>
        </w:rPr>
        <w:t xml:space="preserve">row </w:t>
      </w:r>
      <w:r w:rsidRPr="0098539B">
        <w:rPr>
          <w:b w:val="0"/>
          <w:sz w:val="20"/>
        </w:rPr>
        <w:t>(N = 2,195)</w:t>
      </w:r>
      <w:r w:rsidR="003F52DB" w:rsidRPr="0098539B">
        <w:rPr>
          <w:b w:val="0"/>
          <w:sz w:val="20"/>
        </w:rPr>
        <w:t>. Every contribution</w:t>
      </w:r>
      <w:r w:rsidRPr="0098539B">
        <w:rPr>
          <w:b w:val="0"/>
          <w:sz w:val="20"/>
        </w:rPr>
        <w:t xml:space="preserve"> was manually coded with a code for the degree of collaborative and dialogic process (C1, C2, or C3), the use of multiple data sources to generate and/or test ideas (D1, D2, or D3), and the degree of reflection (R1, R2, or R3) (see coding example in Table 4). </w:t>
      </w:r>
    </w:p>
    <w:p w14:paraId="7F9D03E1" w14:textId="1008D1A8" w:rsidR="004C7D13" w:rsidRPr="0098539B" w:rsidRDefault="004C7D13" w:rsidP="004C7D13">
      <w:pPr>
        <w:pStyle w:val="MDPI21heading1"/>
        <w:rPr>
          <w:b w:val="0"/>
          <w:sz w:val="20"/>
        </w:rPr>
      </w:pPr>
      <w:r w:rsidRPr="0098539B">
        <w:rPr>
          <w:b w:val="0"/>
          <w:sz w:val="20"/>
        </w:rPr>
        <w:t>[Table 4 here]</w:t>
      </w:r>
    </w:p>
    <w:p w14:paraId="36F4835F" w14:textId="77777777" w:rsidR="005A4C91" w:rsidRPr="0098539B" w:rsidRDefault="004C7D13" w:rsidP="004C7D13">
      <w:pPr>
        <w:pStyle w:val="MDPI21heading1"/>
        <w:rPr>
          <w:b w:val="0"/>
          <w:sz w:val="20"/>
        </w:rPr>
      </w:pPr>
      <w:proofErr w:type="gramStart"/>
      <w:r w:rsidRPr="0098539B">
        <w:rPr>
          <w:b w:val="0"/>
          <w:sz w:val="20"/>
        </w:rPr>
        <w:t>In order to</w:t>
      </w:r>
      <w:proofErr w:type="gramEnd"/>
      <w:r w:rsidRPr="0098539B">
        <w:rPr>
          <w:b w:val="0"/>
          <w:sz w:val="20"/>
        </w:rPr>
        <w:t xml:space="preserve"> ensure objectivity and accuracy in the analysis, we measured interrater reliability.</w:t>
      </w:r>
      <w:r w:rsidR="00BF16E9" w:rsidRPr="0098539B">
        <w:rPr>
          <w:b w:val="0"/>
          <w:sz w:val="20"/>
        </w:rPr>
        <w:t xml:space="preserve"> </w:t>
      </w:r>
      <w:r w:rsidR="00CC2430" w:rsidRPr="0098539B">
        <w:rPr>
          <w:b w:val="0"/>
          <w:sz w:val="20"/>
        </w:rPr>
        <w:t xml:space="preserve">This </w:t>
      </w:r>
      <w:r w:rsidR="00BF16E9" w:rsidRPr="0098539B">
        <w:rPr>
          <w:b w:val="0"/>
          <w:sz w:val="20"/>
        </w:rPr>
        <w:t xml:space="preserve">was assessed </w:t>
      </w:r>
      <w:r w:rsidR="00CC2430" w:rsidRPr="0098539B">
        <w:rPr>
          <w:b w:val="0"/>
          <w:sz w:val="20"/>
        </w:rPr>
        <w:t xml:space="preserve">with the third author </w:t>
      </w:r>
      <w:r w:rsidR="00BF16E9" w:rsidRPr="0098539B">
        <w:rPr>
          <w:b w:val="0"/>
          <w:sz w:val="20"/>
        </w:rPr>
        <w:t xml:space="preserve">by independently coding 10% of the dataset and calculating </w:t>
      </w:r>
      <w:proofErr w:type="spellStart"/>
      <w:r w:rsidR="00BF16E9" w:rsidRPr="0098539B">
        <w:rPr>
          <w:b w:val="0"/>
          <w:sz w:val="20"/>
        </w:rPr>
        <w:t>Krippendorff’s</w:t>
      </w:r>
      <w:proofErr w:type="spellEnd"/>
      <w:r w:rsidR="00BF16E9" w:rsidRPr="0098539B">
        <w:rPr>
          <w:b w:val="0"/>
          <w:sz w:val="20"/>
        </w:rPr>
        <w:t xml:space="preserve"> Alpha. The initial agreement yielded a </w:t>
      </w:r>
      <w:proofErr w:type="spellStart"/>
      <w:r w:rsidR="00BF16E9" w:rsidRPr="0098539B">
        <w:rPr>
          <w:b w:val="0"/>
          <w:sz w:val="20"/>
        </w:rPr>
        <w:t>Krippendorff’s</w:t>
      </w:r>
      <w:proofErr w:type="spellEnd"/>
      <w:r w:rsidR="00BF16E9" w:rsidRPr="0098539B">
        <w:rPr>
          <w:b w:val="0"/>
          <w:sz w:val="20"/>
        </w:rPr>
        <w:t xml:space="preserve"> Alpha of 0.489. Upon reviewing discrepancies, we found that most coding inconsistencies occurred in the categories D2 (use of multiple data sources) and R3 (critiquing with internal attribution). To enhance precision, we refined the definitions of these categories, clarifying what constitutes “another data source” and specifying criteria for</w:t>
      </w:r>
      <w:r w:rsidR="00770387" w:rsidRPr="0098539B">
        <w:rPr>
          <w:b w:val="0"/>
          <w:sz w:val="20"/>
        </w:rPr>
        <w:t xml:space="preserve"> when reflection is critical with internal attribution</w:t>
      </w:r>
      <w:r w:rsidR="00BF16E9" w:rsidRPr="0098539B">
        <w:rPr>
          <w:b w:val="0"/>
          <w:sz w:val="20"/>
        </w:rPr>
        <w:t xml:space="preserve">. Following these refinements, a second round of coding was conducted, resulting in a </w:t>
      </w:r>
      <w:proofErr w:type="spellStart"/>
      <w:r w:rsidR="00BF16E9" w:rsidRPr="0098539B">
        <w:rPr>
          <w:b w:val="0"/>
          <w:sz w:val="20"/>
        </w:rPr>
        <w:t>Krippendorff’s</w:t>
      </w:r>
      <w:proofErr w:type="spellEnd"/>
      <w:r w:rsidR="00BF16E9" w:rsidRPr="0098539B">
        <w:rPr>
          <w:b w:val="0"/>
          <w:sz w:val="20"/>
        </w:rPr>
        <w:t xml:space="preserve"> Alpha of 0.904, demonstrating a substantial increase in reliability.</w:t>
      </w:r>
      <w:r w:rsidRPr="0098539B">
        <w:rPr>
          <w:b w:val="0"/>
          <w:sz w:val="20"/>
        </w:rPr>
        <w:t xml:space="preserve"> </w:t>
      </w:r>
    </w:p>
    <w:p w14:paraId="25B5862C" w14:textId="7BDCB36A" w:rsidR="004C7D13" w:rsidRPr="0098539B" w:rsidRDefault="001019A0" w:rsidP="004C7D13">
      <w:pPr>
        <w:pStyle w:val="MDPI21heading1"/>
        <w:rPr>
          <w:b w:val="0"/>
          <w:sz w:val="20"/>
        </w:rPr>
      </w:pPr>
      <w:r w:rsidRPr="0098539B">
        <w:rPr>
          <w:b w:val="0"/>
          <w:sz w:val="20"/>
        </w:rPr>
        <w:t xml:space="preserve">To address our second research question—how AI can be used to support the measurement of reflective inquiry—we had ChatGPT code 10% of the data using the optimized framework and afterwards assessed intercoder reliability. </w:t>
      </w:r>
      <w:r w:rsidR="004C7D13" w:rsidRPr="0098539B">
        <w:rPr>
          <w:b w:val="0"/>
          <w:sz w:val="20"/>
        </w:rPr>
        <w:t xml:space="preserve">Based on the recommendations of </w:t>
      </w:r>
      <w:proofErr w:type="spellStart"/>
      <w:r w:rsidR="004C7D13" w:rsidRPr="0098539B">
        <w:rPr>
          <w:b w:val="0"/>
          <w:sz w:val="20"/>
        </w:rPr>
        <w:t>Theelen</w:t>
      </w:r>
      <w:proofErr w:type="spellEnd"/>
      <w:r w:rsidR="004C7D13" w:rsidRPr="0098539B">
        <w:rPr>
          <w:b w:val="0"/>
          <w:sz w:val="20"/>
        </w:rPr>
        <w:t xml:space="preserve"> et al. (2024), we refined the prompts to ensure accuracy in coding by making them clear, specific, and closely aligned with the predefined coding categories. This included leveraging ChatGPT’s own definitions to enhance its understanding of complex concepts and coding tasks. Additionally, we provided contextual information to improve the model's performance, such as theoretical frameworks and sample annotations, which allowed ChatGPT to apply codes more effectively. To further optimize its output, we utilized structured datasets, as these were found to improve coding reliability by offering explicit cues for analysis, thereby minimizing ambiguity. We gave 10% of the data to ChatGPT 4.0. After ChatGPT coded the CSV file, intercoder reliability was measured using </w:t>
      </w:r>
      <w:proofErr w:type="spellStart"/>
      <w:r w:rsidR="004C7D13" w:rsidRPr="0098539B">
        <w:rPr>
          <w:b w:val="0"/>
          <w:sz w:val="20"/>
        </w:rPr>
        <w:t>Krippendorff's</w:t>
      </w:r>
      <w:proofErr w:type="spellEnd"/>
      <w:r w:rsidR="004C7D13" w:rsidRPr="0098539B">
        <w:rPr>
          <w:b w:val="0"/>
          <w:sz w:val="20"/>
        </w:rPr>
        <w:t xml:space="preserve"> Alpha Calculator (</w:t>
      </w:r>
      <w:proofErr w:type="spellStart"/>
      <w:r w:rsidR="004C7D13" w:rsidRPr="0098539B">
        <w:rPr>
          <w:b w:val="0"/>
          <w:sz w:val="20"/>
        </w:rPr>
        <w:t>Marzi</w:t>
      </w:r>
      <w:proofErr w:type="spellEnd"/>
      <w:r w:rsidR="004C7D13" w:rsidRPr="0098539B">
        <w:rPr>
          <w:b w:val="0"/>
          <w:sz w:val="20"/>
        </w:rPr>
        <w:t xml:space="preserve"> et al., 2024), resulting in a </w:t>
      </w:r>
      <w:proofErr w:type="spellStart"/>
      <w:r w:rsidR="004C7D13" w:rsidRPr="0098539B">
        <w:rPr>
          <w:b w:val="0"/>
          <w:sz w:val="20"/>
        </w:rPr>
        <w:t>Krippendorff's</w:t>
      </w:r>
      <w:proofErr w:type="spellEnd"/>
      <w:r w:rsidR="004C7D13" w:rsidRPr="0098539B">
        <w:rPr>
          <w:b w:val="0"/>
          <w:sz w:val="20"/>
        </w:rPr>
        <w:t xml:space="preserve"> Alpha of 0.503, which is considered too low. Even after additional training and refined prompts, the alpha remained below acceptable thresholds. The free version of ChatGPT was not useful; when we input data into the chat (three contributions at once), the model began hallucinating its own framework during the coding process. </w:t>
      </w:r>
    </w:p>
    <w:p w14:paraId="13D8E944" w14:textId="27D5028E" w:rsidR="006F5A20" w:rsidRPr="0098539B" w:rsidRDefault="0096386D" w:rsidP="00CA5EA4">
      <w:pPr>
        <w:pStyle w:val="MDPI21heading1"/>
        <w:rPr>
          <w:b w:val="0"/>
          <w:sz w:val="20"/>
        </w:rPr>
      </w:pPr>
      <w:r w:rsidRPr="0098539B">
        <w:rPr>
          <w:b w:val="0"/>
          <w:sz w:val="20"/>
        </w:rPr>
        <w:t xml:space="preserve">Afterward, to address our third research question—What insights does this measurement approach provide about the different types of reflective inquiry occurring in </w:t>
      </w:r>
      <w:proofErr w:type="gramStart"/>
      <w:r w:rsidRPr="0098539B">
        <w:rPr>
          <w:b w:val="0"/>
          <w:sz w:val="20"/>
        </w:rPr>
        <w:t>PLNs?—</w:t>
      </w:r>
      <w:proofErr w:type="gramEnd"/>
      <w:r w:rsidRPr="0098539B">
        <w:rPr>
          <w:b w:val="0"/>
          <w:sz w:val="20"/>
        </w:rPr>
        <w:t xml:space="preserve">we used the built-in functions in Excel to calculate the frequency and percentage of each individual code to determine how often each </w:t>
      </w:r>
      <w:r w:rsidR="0082705E" w:rsidRPr="0098539B">
        <w:rPr>
          <w:b w:val="0"/>
          <w:sz w:val="20"/>
        </w:rPr>
        <w:t>code and code combination</w:t>
      </w:r>
      <w:r w:rsidRPr="0098539B">
        <w:rPr>
          <w:b w:val="0"/>
          <w:sz w:val="20"/>
        </w:rPr>
        <w:t xml:space="preserve"> was applied. Specifically, we used the following formula to count occurrences of a </w:t>
      </w:r>
      <w:r w:rsidRPr="0098539B">
        <w:rPr>
          <w:b w:val="0"/>
          <w:sz w:val="20"/>
        </w:rPr>
        <w:lastRenderedPageBreak/>
        <w:t>specific code (e.g., C1): “=</w:t>
      </w:r>
      <w:proofErr w:type="gramStart"/>
      <w:r w:rsidRPr="0098539B">
        <w:rPr>
          <w:b w:val="0"/>
          <w:sz w:val="20"/>
        </w:rPr>
        <w:t>COUNTIF(</w:t>
      </w:r>
      <w:proofErr w:type="spellStart"/>
      <w:proofErr w:type="gramEnd"/>
      <w:r w:rsidR="00580447" w:rsidRPr="0098539B">
        <w:rPr>
          <w:b w:val="0"/>
          <w:sz w:val="20"/>
        </w:rPr>
        <w:t>Column_C</w:t>
      </w:r>
      <w:proofErr w:type="spellEnd"/>
      <w:r w:rsidRPr="0098539B">
        <w:rPr>
          <w:b w:val="0"/>
          <w:sz w:val="20"/>
        </w:rPr>
        <w:t xml:space="preserve">, "C1")”where </w:t>
      </w:r>
      <w:proofErr w:type="spellStart"/>
      <w:r w:rsidR="00580447" w:rsidRPr="0098539B">
        <w:rPr>
          <w:b w:val="0"/>
          <w:sz w:val="20"/>
        </w:rPr>
        <w:t>Column_C</w:t>
      </w:r>
      <w:proofErr w:type="spellEnd"/>
      <w:r w:rsidRPr="0098539B">
        <w:rPr>
          <w:b w:val="0"/>
          <w:sz w:val="20"/>
        </w:rPr>
        <w:t xml:space="preserve"> represents the column containing the coded data</w:t>
      </w:r>
      <w:r w:rsidR="006F5A20" w:rsidRPr="0098539B">
        <w:rPr>
          <w:b w:val="0"/>
          <w:sz w:val="20"/>
        </w:rPr>
        <w:t xml:space="preserve"> C1-C3</w:t>
      </w:r>
      <w:r w:rsidRPr="0098539B">
        <w:rPr>
          <w:b w:val="0"/>
          <w:sz w:val="20"/>
        </w:rPr>
        <w:t xml:space="preserve">, and "C1" specifies </w:t>
      </w:r>
      <w:r w:rsidR="006F5A20" w:rsidRPr="0098539B">
        <w:rPr>
          <w:b w:val="0"/>
          <w:sz w:val="20"/>
        </w:rPr>
        <w:t>which</w:t>
      </w:r>
      <w:r w:rsidRPr="0098539B">
        <w:rPr>
          <w:b w:val="0"/>
          <w:sz w:val="20"/>
        </w:rPr>
        <w:t xml:space="preserve"> code being counted. Similarly, we applied this formula for</w:t>
      </w:r>
      <w:r w:rsidR="00FF0120" w:rsidRPr="0098539B">
        <w:rPr>
          <w:b w:val="0"/>
          <w:sz w:val="20"/>
        </w:rPr>
        <w:t xml:space="preserve"> the</w:t>
      </w:r>
      <w:r w:rsidRPr="0098539B">
        <w:rPr>
          <w:b w:val="0"/>
          <w:sz w:val="20"/>
        </w:rPr>
        <w:t xml:space="preserve"> other codes</w:t>
      </w:r>
      <w:r w:rsidR="00B86FB3" w:rsidRPr="0098539B">
        <w:rPr>
          <w:b w:val="0"/>
          <w:sz w:val="20"/>
        </w:rPr>
        <w:t>.</w:t>
      </w:r>
    </w:p>
    <w:p w14:paraId="24E00B2C" w14:textId="775DE02F" w:rsidR="003E4726" w:rsidRPr="0098539B" w:rsidRDefault="003E4726" w:rsidP="00CA5EA4">
      <w:pPr>
        <w:pStyle w:val="MDPI21heading1"/>
        <w:rPr>
          <w:b w:val="0"/>
          <w:sz w:val="20"/>
        </w:rPr>
      </w:pPr>
      <w:r w:rsidRPr="0098539B">
        <w:rPr>
          <w:b w:val="0"/>
          <w:sz w:val="20"/>
        </w:rPr>
        <w:t>Additionally, we examined the distribution of all 27 possible code combinations (C1</w:t>
      </w:r>
      <w:r w:rsidR="00FF0120" w:rsidRPr="0098539B">
        <w:rPr>
          <w:b w:val="0"/>
          <w:sz w:val="20"/>
        </w:rPr>
        <w:t>-</w:t>
      </w:r>
      <w:r w:rsidRPr="0098539B">
        <w:rPr>
          <w:b w:val="0"/>
          <w:sz w:val="20"/>
        </w:rPr>
        <w:t>D1</w:t>
      </w:r>
      <w:r w:rsidR="00FF0120" w:rsidRPr="0098539B">
        <w:rPr>
          <w:b w:val="0"/>
          <w:sz w:val="20"/>
        </w:rPr>
        <w:t>-</w:t>
      </w:r>
      <w:r w:rsidRPr="0098539B">
        <w:rPr>
          <w:b w:val="0"/>
          <w:sz w:val="20"/>
        </w:rPr>
        <w:t>R1, C</w:t>
      </w:r>
      <w:r w:rsidR="00FF0120" w:rsidRPr="0098539B">
        <w:rPr>
          <w:b w:val="0"/>
          <w:sz w:val="20"/>
        </w:rPr>
        <w:t>2-</w:t>
      </w:r>
      <w:r w:rsidRPr="0098539B">
        <w:rPr>
          <w:b w:val="0"/>
          <w:sz w:val="20"/>
        </w:rPr>
        <w:t>D</w:t>
      </w:r>
      <w:r w:rsidR="00FF0120" w:rsidRPr="0098539B">
        <w:rPr>
          <w:b w:val="0"/>
          <w:sz w:val="20"/>
        </w:rPr>
        <w:t>1-</w:t>
      </w:r>
      <w:r w:rsidRPr="0098539B">
        <w:rPr>
          <w:b w:val="0"/>
          <w:sz w:val="20"/>
        </w:rPr>
        <w:t>R</w:t>
      </w:r>
      <w:r w:rsidR="00FF0120" w:rsidRPr="0098539B">
        <w:rPr>
          <w:b w:val="0"/>
          <w:sz w:val="20"/>
        </w:rPr>
        <w:t>1</w:t>
      </w:r>
      <w:r w:rsidRPr="0098539B">
        <w:rPr>
          <w:b w:val="0"/>
          <w:sz w:val="20"/>
        </w:rPr>
        <w:t>, C</w:t>
      </w:r>
      <w:r w:rsidR="00FF0120" w:rsidRPr="0098539B">
        <w:rPr>
          <w:b w:val="0"/>
          <w:sz w:val="20"/>
        </w:rPr>
        <w:t>3-</w:t>
      </w:r>
      <w:r w:rsidRPr="0098539B">
        <w:rPr>
          <w:b w:val="0"/>
          <w:sz w:val="20"/>
        </w:rPr>
        <w:t>D1</w:t>
      </w:r>
      <w:r w:rsidR="00FF0120" w:rsidRPr="0098539B">
        <w:rPr>
          <w:b w:val="0"/>
          <w:sz w:val="20"/>
        </w:rPr>
        <w:t>-R1</w:t>
      </w:r>
      <w:r w:rsidRPr="0098539B">
        <w:rPr>
          <w:b w:val="0"/>
          <w:sz w:val="20"/>
        </w:rPr>
        <w:t>, ... C3</w:t>
      </w:r>
      <w:r w:rsidR="00FF0120" w:rsidRPr="0098539B">
        <w:rPr>
          <w:b w:val="0"/>
          <w:sz w:val="20"/>
        </w:rPr>
        <w:t>-</w:t>
      </w:r>
      <w:r w:rsidRPr="0098539B">
        <w:rPr>
          <w:b w:val="0"/>
          <w:sz w:val="20"/>
        </w:rPr>
        <w:t>D3</w:t>
      </w:r>
      <w:r w:rsidR="00FF0120" w:rsidRPr="0098539B">
        <w:rPr>
          <w:b w:val="0"/>
          <w:sz w:val="20"/>
        </w:rPr>
        <w:t>-</w:t>
      </w:r>
      <w:r w:rsidRPr="0098539B">
        <w:rPr>
          <w:b w:val="0"/>
          <w:sz w:val="20"/>
        </w:rPr>
        <w:t>R3). To systematically analyze these combinations, we first created a new tab where we manually listed all possible combination identification (</w:t>
      </w:r>
      <w:proofErr w:type="spellStart"/>
      <w:r w:rsidRPr="0098539B">
        <w:rPr>
          <w:b w:val="0"/>
          <w:sz w:val="20"/>
        </w:rPr>
        <w:t>combi_IDs</w:t>
      </w:r>
      <w:proofErr w:type="spellEnd"/>
      <w:r w:rsidRPr="0098539B">
        <w:rPr>
          <w:b w:val="0"/>
          <w:sz w:val="20"/>
        </w:rPr>
        <w:t xml:space="preserve">) and their corresponding merged code strings (e.g., </w:t>
      </w:r>
      <w:proofErr w:type="spellStart"/>
      <w:r w:rsidRPr="0098539B">
        <w:rPr>
          <w:b w:val="0"/>
          <w:sz w:val="20"/>
        </w:rPr>
        <w:t>combi_ID</w:t>
      </w:r>
      <w:proofErr w:type="spellEnd"/>
      <w:r w:rsidRPr="0098539B">
        <w:rPr>
          <w:b w:val="0"/>
          <w:sz w:val="20"/>
        </w:rPr>
        <w:t xml:space="preserve"> 1 = C1D1R1, </w:t>
      </w:r>
      <w:proofErr w:type="spellStart"/>
      <w:r w:rsidRPr="0098539B">
        <w:rPr>
          <w:b w:val="0"/>
          <w:sz w:val="20"/>
        </w:rPr>
        <w:t>combi_ID</w:t>
      </w:r>
      <w:proofErr w:type="spellEnd"/>
      <w:r w:rsidRPr="0098539B">
        <w:rPr>
          <w:b w:val="0"/>
          <w:sz w:val="20"/>
        </w:rPr>
        <w:t xml:space="preserve"> 2 = C</w:t>
      </w:r>
      <w:r w:rsidR="008F2856" w:rsidRPr="0098539B">
        <w:rPr>
          <w:b w:val="0"/>
          <w:sz w:val="20"/>
        </w:rPr>
        <w:t>2</w:t>
      </w:r>
      <w:r w:rsidRPr="0098539B">
        <w:rPr>
          <w:b w:val="0"/>
          <w:sz w:val="20"/>
        </w:rPr>
        <w:t>D1R</w:t>
      </w:r>
      <w:r w:rsidR="008F2856" w:rsidRPr="0098539B">
        <w:rPr>
          <w:b w:val="0"/>
          <w:sz w:val="20"/>
        </w:rPr>
        <w:t>1</w:t>
      </w:r>
      <w:r w:rsidRPr="0098539B">
        <w:rPr>
          <w:b w:val="0"/>
          <w:sz w:val="20"/>
        </w:rPr>
        <w:t xml:space="preserve">, </w:t>
      </w:r>
      <w:proofErr w:type="spellStart"/>
      <w:r w:rsidR="008F2856" w:rsidRPr="0098539B">
        <w:rPr>
          <w:b w:val="0"/>
          <w:sz w:val="20"/>
        </w:rPr>
        <w:t>combi_ID</w:t>
      </w:r>
      <w:proofErr w:type="spellEnd"/>
      <w:r w:rsidR="008F2856" w:rsidRPr="0098539B">
        <w:rPr>
          <w:b w:val="0"/>
          <w:sz w:val="20"/>
        </w:rPr>
        <w:t xml:space="preserve"> 27 = C3D3R3</w:t>
      </w:r>
      <w:r w:rsidRPr="0098539B">
        <w:rPr>
          <w:b w:val="0"/>
          <w:sz w:val="20"/>
        </w:rPr>
        <w:t>).</w:t>
      </w:r>
      <w:r w:rsidR="00CA5EA4" w:rsidRPr="0098539B">
        <w:rPr>
          <w:b w:val="0"/>
          <w:sz w:val="20"/>
        </w:rPr>
        <w:t xml:space="preserve"> </w:t>
      </w:r>
      <w:r w:rsidRPr="0098539B">
        <w:rPr>
          <w:b w:val="0"/>
          <w:sz w:val="20"/>
        </w:rPr>
        <w:t xml:space="preserve">Next, in our coded dataset, we added a new column to automatically assign the correct combination ID for each row using the VLOOKUP function </w:t>
      </w:r>
      <w:r w:rsidR="00CA5EA4" w:rsidRPr="0098539B">
        <w:rPr>
          <w:b w:val="0"/>
          <w:sz w:val="20"/>
        </w:rPr>
        <w:t>“</w:t>
      </w:r>
      <w:r w:rsidRPr="0098539B">
        <w:rPr>
          <w:b w:val="0"/>
          <w:sz w:val="20"/>
        </w:rPr>
        <w:t>=</w:t>
      </w:r>
      <w:proofErr w:type="gramStart"/>
      <w:r w:rsidRPr="0098539B">
        <w:rPr>
          <w:b w:val="0"/>
          <w:sz w:val="20"/>
        </w:rPr>
        <w:t>VLOOKUP(</w:t>
      </w:r>
      <w:proofErr w:type="gramEnd"/>
      <w:r w:rsidRPr="0098539B">
        <w:rPr>
          <w:b w:val="0"/>
          <w:sz w:val="20"/>
        </w:rPr>
        <w:t>CONCATENATE(</w:t>
      </w:r>
      <w:proofErr w:type="spellStart"/>
      <w:r w:rsidRPr="0098539B">
        <w:rPr>
          <w:b w:val="0"/>
          <w:sz w:val="20"/>
        </w:rPr>
        <w:t>Column_C</w:t>
      </w:r>
      <w:proofErr w:type="spellEnd"/>
      <w:r w:rsidRPr="0098539B">
        <w:rPr>
          <w:b w:val="0"/>
          <w:sz w:val="20"/>
        </w:rPr>
        <w:t xml:space="preserve">, </w:t>
      </w:r>
      <w:proofErr w:type="spellStart"/>
      <w:r w:rsidRPr="0098539B">
        <w:rPr>
          <w:b w:val="0"/>
          <w:sz w:val="20"/>
        </w:rPr>
        <w:t>Column_D</w:t>
      </w:r>
      <w:proofErr w:type="spellEnd"/>
      <w:r w:rsidRPr="0098539B">
        <w:rPr>
          <w:b w:val="0"/>
          <w:sz w:val="20"/>
        </w:rPr>
        <w:t xml:space="preserve">, </w:t>
      </w:r>
      <w:proofErr w:type="spellStart"/>
      <w:r w:rsidRPr="0098539B">
        <w:rPr>
          <w:b w:val="0"/>
          <w:sz w:val="20"/>
        </w:rPr>
        <w:t>Column_R</w:t>
      </w:r>
      <w:proofErr w:type="spellEnd"/>
      <w:r w:rsidRPr="0098539B">
        <w:rPr>
          <w:b w:val="0"/>
          <w:sz w:val="20"/>
        </w:rPr>
        <w:t xml:space="preserve">), </w:t>
      </w:r>
      <w:proofErr w:type="spellStart"/>
      <w:r w:rsidRPr="0098539B">
        <w:rPr>
          <w:b w:val="0"/>
          <w:sz w:val="20"/>
        </w:rPr>
        <w:t>Lookup_Table_Range</w:t>
      </w:r>
      <w:proofErr w:type="spellEnd"/>
      <w:r w:rsidRPr="0098539B">
        <w:rPr>
          <w:b w:val="0"/>
          <w:sz w:val="20"/>
        </w:rPr>
        <w:t xml:space="preserve">, </w:t>
      </w:r>
      <w:proofErr w:type="spellStart"/>
      <w:r w:rsidRPr="0098539B">
        <w:rPr>
          <w:b w:val="0"/>
          <w:sz w:val="20"/>
        </w:rPr>
        <w:t>Column_Index</w:t>
      </w:r>
      <w:proofErr w:type="spellEnd"/>
      <w:r w:rsidRPr="0098539B">
        <w:rPr>
          <w:b w:val="0"/>
          <w:sz w:val="20"/>
        </w:rPr>
        <w:t>, FALSE)</w:t>
      </w:r>
      <w:r w:rsidR="00CA5EA4" w:rsidRPr="0098539B">
        <w:rPr>
          <w:b w:val="0"/>
          <w:sz w:val="20"/>
        </w:rPr>
        <w:t xml:space="preserve">”. </w:t>
      </w:r>
      <w:proofErr w:type="spellStart"/>
      <w:r w:rsidRPr="0098539B">
        <w:rPr>
          <w:b w:val="0"/>
          <w:sz w:val="20"/>
        </w:rPr>
        <w:t>Column_C</w:t>
      </w:r>
      <w:proofErr w:type="spellEnd"/>
      <w:r w:rsidRPr="0098539B">
        <w:rPr>
          <w:b w:val="0"/>
          <w:sz w:val="20"/>
        </w:rPr>
        <w:t xml:space="preserve">, </w:t>
      </w:r>
      <w:proofErr w:type="spellStart"/>
      <w:r w:rsidRPr="0098539B">
        <w:rPr>
          <w:b w:val="0"/>
          <w:sz w:val="20"/>
        </w:rPr>
        <w:t>Column_D</w:t>
      </w:r>
      <w:proofErr w:type="spellEnd"/>
      <w:r w:rsidRPr="0098539B">
        <w:rPr>
          <w:b w:val="0"/>
          <w:sz w:val="20"/>
        </w:rPr>
        <w:t xml:space="preserve">, </w:t>
      </w:r>
      <w:proofErr w:type="spellStart"/>
      <w:r w:rsidRPr="0098539B">
        <w:rPr>
          <w:b w:val="0"/>
          <w:sz w:val="20"/>
        </w:rPr>
        <w:t>Column_R</w:t>
      </w:r>
      <w:proofErr w:type="spellEnd"/>
      <w:r w:rsidRPr="0098539B">
        <w:rPr>
          <w:b w:val="0"/>
          <w:sz w:val="20"/>
        </w:rPr>
        <w:t xml:space="preserve"> refer to the columns containing the individual codes (C, D, and R) in the main dataset.</w:t>
      </w:r>
      <w:r w:rsidR="00CA5EA4" w:rsidRPr="0098539B">
        <w:rPr>
          <w:b w:val="0"/>
          <w:sz w:val="20"/>
        </w:rPr>
        <w:t xml:space="preserve"> </w:t>
      </w:r>
      <w:proofErr w:type="spellStart"/>
      <w:r w:rsidRPr="0098539B">
        <w:rPr>
          <w:b w:val="0"/>
          <w:sz w:val="20"/>
        </w:rPr>
        <w:t>Lookup_Table_Range</w:t>
      </w:r>
      <w:proofErr w:type="spellEnd"/>
      <w:r w:rsidRPr="0098539B">
        <w:rPr>
          <w:b w:val="0"/>
          <w:sz w:val="20"/>
        </w:rPr>
        <w:t xml:space="preserve"> refers to the range in the separate tab where the predefined combination IDs are stored.</w:t>
      </w:r>
      <w:r w:rsidR="00CA5EA4" w:rsidRPr="0098539B">
        <w:rPr>
          <w:b w:val="0"/>
          <w:sz w:val="20"/>
        </w:rPr>
        <w:t xml:space="preserve"> </w:t>
      </w:r>
      <w:proofErr w:type="spellStart"/>
      <w:r w:rsidRPr="0098539B">
        <w:rPr>
          <w:b w:val="0"/>
          <w:sz w:val="20"/>
        </w:rPr>
        <w:t>Column_Index</w:t>
      </w:r>
      <w:proofErr w:type="spellEnd"/>
      <w:r w:rsidRPr="0098539B">
        <w:rPr>
          <w:b w:val="0"/>
          <w:sz w:val="20"/>
        </w:rPr>
        <w:t xml:space="preserve"> specifies the column number in the lookup table that contains the combination </w:t>
      </w:r>
      <w:proofErr w:type="gramStart"/>
      <w:r w:rsidRPr="0098539B">
        <w:rPr>
          <w:b w:val="0"/>
          <w:sz w:val="20"/>
        </w:rPr>
        <w:t>ID.FALSE</w:t>
      </w:r>
      <w:proofErr w:type="gramEnd"/>
      <w:r w:rsidRPr="0098539B">
        <w:rPr>
          <w:b w:val="0"/>
          <w:sz w:val="20"/>
        </w:rPr>
        <w:t xml:space="preserve"> ensures an exact match.</w:t>
      </w:r>
    </w:p>
    <w:p w14:paraId="779943BE" w14:textId="178D0E48" w:rsidR="003E4726" w:rsidRPr="0098539B" w:rsidRDefault="003E4726" w:rsidP="00797AE3">
      <w:pPr>
        <w:pStyle w:val="MDPI21heading1"/>
        <w:rPr>
          <w:b w:val="0"/>
          <w:sz w:val="20"/>
        </w:rPr>
      </w:pPr>
      <w:r w:rsidRPr="0098539B">
        <w:rPr>
          <w:b w:val="0"/>
          <w:sz w:val="20"/>
        </w:rPr>
        <w:t xml:space="preserve">Once each row had an assigned </w:t>
      </w:r>
      <w:proofErr w:type="spellStart"/>
      <w:r w:rsidR="00CA5EA4" w:rsidRPr="0098539B">
        <w:rPr>
          <w:b w:val="0"/>
          <w:sz w:val="20"/>
        </w:rPr>
        <w:t>combi_ID</w:t>
      </w:r>
      <w:proofErr w:type="spellEnd"/>
      <w:r w:rsidRPr="0098539B">
        <w:rPr>
          <w:b w:val="0"/>
          <w:sz w:val="20"/>
        </w:rPr>
        <w:t>, we calculated the frequency of each unique combination using the COUNTIF function:</w:t>
      </w:r>
      <w:r w:rsidR="00CA5EA4" w:rsidRPr="0098539B">
        <w:rPr>
          <w:b w:val="0"/>
          <w:sz w:val="20"/>
        </w:rPr>
        <w:t xml:space="preserve"> </w:t>
      </w:r>
      <w:r w:rsidRPr="0098539B">
        <w:rPr>
          <w:b w:val="0"/>
          <w:sz w:val="20"/>
        </w:rPr>
        <w:t>=</w:t>
      </w:r>
      <w:proofErr w:type="gramStart"/>
      <w:r w:rsidRPr="0098539B">
        <w:rPr>
          <w:b w:val="0"/>
          <w:sz w:val="20"/>
        </w:rPr>
        <w:t>COUNTIF(</w:t>
      </w:r>
      <w:proofErr w:type="spellStart"/>
      <w:proofErr w:type="gramEnd"/>
      <w:r w:rsidRPr="0098539B">
        <w:rPr>
          <w:b w:val="0"/>
          <w:sz w:val="20"/>
        </w:rPr>
        <w:t>Column</w:t>
      </w:r>
      <w:r w:rsidR="004F1FCF" w:rsidRPr="0098539B">
        <w:rPr>
          <w:b w:val="0"/>
          <w:sz w:val="20"/>
        </w:rPr>
        <w:t>_combi_ID</w:t>
      </w:r>
      <w:proofErr w:type="spellEnd"/>
      <w:r w:rsidRPr="0098539B">
        <w:rPr>
          <w:b w:val="0"/>
          <w:sz w:val="20"/>
        </w:rPr>
        <w:t xml:space="preserve">, </w:t>
      </w:r>
      <w:proofErr w:type="spellStart"/>
      <w:r w:rsidRPr="0098539B">
        <w:rPr>
          <w:b w:val="0"/>
          <w:sz w:val="20"/>
        </w:rPr>
        <w:t>Specific_Comb</w:t>
      </w:r>
      <w:r w:rsidR="004F1FCF" w:rsidRPr="0098539B">
        <w:rPr>
          <w:b w:val="0"/>
          <w:sz w:val="20"/>
        </w:rPr>
        <w:t>i</w:t>
      </w:r>
      <w:r w:rsidRPr="0098539B">
        <w:rPr>
          <w:b w:val="0"/>
          <w:sz w:val="20"/>
        </w:rPr>
        <w:t>_ID</w:t>
      </w:r>
      <w:proofErr w:type="spellEnd"/>
      <w:r w:rsidRPr="0098539B">
        <w:rPr>
          <w:b w:val="0"/>
          <w:sz w:val="20"/>
        </w:rPr>
        <w:t>)</w:t>
      </w:r>
      <w:r w:rsidR="00797AE3" w:rsidRPr="0098539B">
        <w:rPr>
          <w:b w:val="0"/>
          <w:sz w:val="20"/>
        </w:rPr>
        <w:t xml:space="preserve">, </w:t>
      </w:r>
      <w:r w:rsidRPr="0098539B">
        <w:rPr>
          <w:b w:val="0"/>
          <w:sz w:val="20"/>
        </w:rPr>
        <w:t xml:space="preserve">where </w:t>
      </w:r>
      <w:proofErr w:type="spellStart"/>
      <w:r w:rsidR="004F1FCF" w:rsidRPr="0098539B">
        <w:rPr>
          <w:b w:val="0"/>
          <w:sz w:val="20"/>
        </w:rPr>
        <w:t>Column_combi_ID</w:t>
      </w:r>
      <w:proofErr w:type="spellEnd"/>
      <w:r w:rsidR="004F1FCF" w:rsidRPr="0098539B">
        <w:rPr>
          <w:b w:val="0"/>
          <w:sz w:val="20"/>
        </w:rPr>
        <w:t xml:space="preserve"> </w:t>
      </w:r>
      <w:r w:rsidRPr="0098539B">
        <w:rPr>
          <w:b w:val="0"/>
          <w:sz w:val="20"/>
        </w:rPr>
        <w:t xml:space="preserve">represents the column containing the assigned combination IDs, and </w:t>
      </w:r>
      <w:proofErr w:type="spellStart"/>
      <w:r w:rsidR="004F1FCF" w:rsidRPr="0098539B">
        <w:rPr>
          <w:b w:val="0"/>
          <w:sz w:val="20"/>
        </w:rPr>
        <w:t>Specific_Combi_ID</w:t>
      </w:r>
      <w:proofErr w:type="spellEnd"/>
      <w:r w:rsidR="004F1FCF" w:rsidRPr="0098539B">
        <w:rPr>
          <w:b w:val="0"/>
          <w:sz w:val="20"/>
        </w:rPr>
        <w:t xml:space="preserve"> </w:t>
      </w:r>
      <w:r w:rsidR="00E141F4" w:rsidRPr="0098539B">
        <w:rPr>
          <w:b w:val="0"/>
          <w:sz w:val="20"/>
        </w:rPr>
        <w:t xml:space="preserve">(1-27) </w:t>
      </w:r>
      <w:r w:rsidRPr="0098539B">
        <w:rPr>
          <w:b w:val="0"/>
          <w:sz w:val="20"/>
        </w:rPr>
        <w:t>refers to the specific combination being counted.</w:t>
      </w:r>
    </w:p>
    <w:p w14:paraId="4DC8CAE8" w14:textId="77777777" w:rsidR="003E4726" w:rsidRPr="0098539B" w:rsidRDefault="003E4726" w:rsidP="003E4726">
      <w:pPr>
        <w:pStyle w:val="MDPI21heading1"/>
        <w:rPr>
          <w:b w:val="0"/>
          <w:sz w:val="20"/>
        </w:rPr>
      </w:pPr>
    </w:p>
    <w:p w14:paraId="33CC5E92" w14:textId="1E5412C6" w:rsidR="0083669C" w:rsidRPr="0098539B" w:rsidRDefault="0096386D" w:rsidP="0096386D">
      <w:pPr>
        <w:pStyle w:val="MDPI21heading1"/>
        <w:rPr>
          <w:b w:val="0"/>
          <w:sz w:val="20"/>
        </w:rPr>
      </w:pPr>
      <w:r w:rsidRPr="0098539B">
        <w:rPr>
          <w:b w:val="0"/>
          <w:sz w:val="20"/>
        </w:rPr>
        <w:t>This approach provided a structured and systematic way to identify patterns and trends in reflective inquiry, ensuring that we could quantitatively analyze the interactions between different levels of coll</w:t>
      </w:r>
      <w:r w:rsidR="001450D5" w:rsidRPr="0098539B">
        <w:rPr>
          <w:b w:val="0"/>
          <w:sz w:val="20"/>
        </w:rPr>
        <w:t>aborative</w:t>
      </w:r>
      <w:r w:rsidRPr="0098539B">
        <w:rPr>
          <w:b w:val="0"/>
          <w:sz w:val="20"/>
        </w:rPr>
        <w:t xml:space="preserve"> dialogue, </w:t>
      </w:r>
      <w:r w:rsidR="001450D5" w:rsidRPr="0098539B">
        <w:rPr>
          <w:b w:val="0"/>
          <w:sz w:val="20"/>
        </w:rPr>
        <w:t>use of multiple data sources</w:t>
      </w:r>
      <w:r w:rsidRPr="0098539B">
        <w:rPr>
          <w:b w:val="0"/>
          <w:sz w:val="20"/>
        </w:rPr>
        <w:t xml:space="preserve">, and </w:t>
      </w:r>
      <w:r w:rsidR="001450D5" w:rsidRPr="0098539B">
        <w:rPr>
          <w:b w:val="0"/>
          <w:sz w:val="20"/>
        </w:rPr>
        <w:t xml:space="preserve">degree of </w:t>
      </w:r>
      <w:r w:rsidRPr="0098539B">
        <w:rPr>
          <w:b w:val="0"/>
          <w:sz w:val="20"/>
        </w:rPr>
        <w:t>reflection.</w:t>
      </w:r>
    </w:p>
    <w:p w14:paraId="5860598B" w14:textId="30F14AB9" w:rsidR="008E5D0B" w:rsidRPr="0098539B" w:rsidRDefault="004C7D13" w:rsidP="0096386D">
      <w:pPr>
        <w:pStyle w:val="MDPI21heading1"/>
      </w:pPr>
      <w:r w:rsidRPr="0098539B">
        <w:t xml:space="preserve">4. </w:t>
      </w:r>
      <w:r w:rsidR="008E5D0B" w:rsidRPr="0098539B">
        <w:t>Results</w:t>
      </w:r>
    </w:p>
    <w:p w14:paraId="5E5B91B0" w14:textId="7DDA089F" w:rsidR="004C7D13" w:rsidRPr="0098539B" w:rsidRDefault="004C7D13" w:rsidP="00AA1154">
      <w:pPr>
        <w:pStyle w:val="MDPI21heading1"/>
        <w:rPr>
          <w:b w:val="0"/>
          <w:sz w:val="20"/>
        </w:rPr>
      </w:pPr>
      <w:r w:rsidRPr="0098539B">
        <w:rPr>
          <w:b w:val="0"/>
          <w:sz w:val="20"/>
        </w:rPr>
        <w:t xml:space="preserve">Overall, the analysis of 2,195 contributions revealed a predominance of basic interaction and reliance on informal data. Table 5 shows the relative contribution of each code to the total contributions made by both participants and facilitators. Participants accounted for </w:t>
      </w:r>
      <w:proofErr w:type="gramStart"/>
      <w:r w:rsidRPr="0098539B">
        <w:rPr>
          <w:b w:val="0"/>
          <w:sz w:val="20"/>
        </w:rPr>
        <w:t>the majority of</w:t>
      </w:r>
      <w:proofErr w:type="gramEnd"/>
      <w:r w:rsidRPr="0098539B">
        <w:rPr>
          <w:b w:val="0"/>
          <w:sz w:val="20"/>
        </w:rPr>
        <w:t xml:space="preserve"> contributions (74%), with facilitators contributing 26%. Most conversation fell into C1: Free-flow Conversation (64.</w:t>
      </w:r>
      <w:r w:rsidR="003005CD" w:rsidRPr="0098539B">
        <w:rPr>
          <w:b w:val="0"/>
          <w:sz w:val="20"/>
        </w:rPr>
        <w:t>37</w:t>
      </w:r>
      <w:r w:rsidRPr="0098539B">
        <w:rPr>
          <w:b w:val="0"/>
          <w:sz w:val="20"/>
        </w:rPr>
        <w:t>%), followed by C2: Engagement Through Clarifying Questions (32.</w:t>
      </w:r>
      <w:r w:rsidR="003005CD" w:rsidRPr="0098539B">
        <w:rPr>
          <w:b w:val="0"/>
          <w:sz w:val="20"/>
        </w:rPr>
        <w:t>76</w:t>
      </w:r>
      <w:r w:rsidRPr="0098539B">
        <w:rPr>
          <w:b w:val="0"/>
          <w:sz w:val="20"/>
        </w:rPr>
        <w:t>%), and C3: Intentional interruption (2.</w:t>
      </w:r>
      <w:r w:rsidR="008A16EB" w:rsidRPr="0098539B">
        <w:rPr>
          <w:b w:val="0"/>
          <w:sz w:val="20"/>
        </w:rPr>
        <w:t>87</w:t>
      </w:r>
      <w:r w:rsidRPr="0098539B">
        <w:rPr>
          <w:b w:val="0"/>
          <w:sz w:val="20"/>
        </w:rPr>
        <w:t>%). Similarly, the degree of data use was largely concentrated in D1: Reliance on personal experience (92.</w:t>
      </w:r>
      <w:r w:rsidR="008A16EB" w:rsidRPr="0098539B">
        <w:rPr>
          <w:b w:val="0"/>
          <w:sz w:val="20"/>
        </w:rPr>
        <w:t>57</w:t>
      </w:r>
      <w:r w:rsidRPr="0098539B">
        <w:rPr>
          <w:b w:val="0"/>
          <w:sz w:val="20"/>
        </w:rPr>
        <w:t>%), with limited contributions incorporating an additional data source (D2: 6.9</w:t>
      </w:r>
      <w:r w:rsidR="00D8595F" w:rsidRPr="0098539B">
        <w:rPr>
          <w:b w:val="0"/>
          <w:sz w:val="20"/>
        </w:rPr>
        <w:t>7</w:t>
      </w:r>
      <w:r w:rsidRPr="0098539B">
        <w:rPr>
          <w:b w:val="0"/>
          <w:sz w:val="20"/>
        </w:rPr>
        <w:t>%) or achieving a balanced use of multiple sources (D3: 0.4</w:t>
      </w:r>
      <w:r w:rsidR="00D8595F" w:rsidRPr="0098539B">
        <w:rPr>
          <w:b w:val="0"/>
          <w:sz w:val="20"/>
        </w:rPr>
        <w:t>6</w:t>
      </w:r>
      <w:r w:rsidRPr="0098539B">
        <w:rPr>
          <w:b w:val="0"/>
          <w:sz w:val="20"/>
        </w:rPr>
        <w:t>%). Reflection depth followed a similar trend, with R1: Describing accounting for 79.</w:t>
      </w:r>
      <w:r w:rsidR="00D8595F" w:rsidRPr="0098539B">
        <w:rPr>
          <w:b w:val="0"/>
          <w:sz w:val="20"/>
        </w:rPr>
        <w:t>82</w:t>
      </w:r>
      <w:r w:rsidRPr="0098539B">
        <w:rPr>
          <w:b w:val="0"/>
          <w:sz w:val="20"/>
        </w:rPr>
        <w:t xml:space="preserve">% of contributions, while deeper reflection </w:t>
      </w:r>
      <w:proofErr w:type="gramStart"/>
      <w:r w:rsidRPr="0098539B">
        <w:rPr>
          <w:b w:val="0"/>
          <w:sz w:val="20"/>
        </w:rPr>
        <w:t>levels—R2</w:t>
      </w:r>
      <w:proofErr w:type="gramEnd"/>
      <w:r w:rsidRPr="0098539B">
        <w:rPr>
          <w:b w:val="0"/>
          <w:sz w:val="20"/>
        </w:rPr>
        <w:t>: Explaining (18.</w:t>
      </w:r>
      <w:r w:rsidR="00D8595F" w:rsidRPr="0098539B">
        <w:rPr>
          <w:b w:val="0"/>
          <w:sz w:val="20"/>
        </w:rPr>
        <w:t>31</w:t>
      </w:r>
      <w:r w:rsidRPr="0098539B">
        <w:rPr>
          <w:b w:val="0"/>
          <w:sz w:val="20"/>
        </w:rPr>
        <w:t>%) and R3: Critiquing (1.</w:t>
      </w:r>
      <w:r w:rsidR="003E2E61" w:rsidRPr="0098539B">
        <w:rPr>
          <w:b w:val="0"/>
          <w:sz w:val="20"/>
        </w:rPr>
        <w:t>87</w:t>
      </w:r>
      <w:r w:rsidRPr="0098539B">
        <w:rPr>
          <w:b w:val="0"/>
          <w:sz w:val="20"/>
        </w:rPr>
        <w:t>%)—were less frequent.</w:t>
      </w:r>
    </w:p>
    <w:p w14:paraId="5BC9FC95" w14:textId="73336A9F" w:rsidR="004C7D13" w:rsidRPr="0098539B" w:rsidRDefault="004C7D13" w:rsidP="004C7D13">
      <w:pPr>
        <w:pStyle w:val="MDPI21heading1"/>
        <w:rPr>
          <w:b w:val="0"/>
          <w:sz w:val="20"/>
        </w:rPr>
      </w:pPr>
      <w:r w:rsidRPr="0098539B">
        <w:rPr>
          <w:b w:val="0"/>
          <w:sz w:val="20"/>
        </w:rPr>
        <w:t>[Table 5 here]</w:t>
      </w:r>
    </w:p>
    <w:p w14:paraId="335B1403" w14:textId="77777777" w:rsidR="004C7D13" w:rsidRPr="0098539B" w:rsidRDefault="004C7D13" w:rsidP="004C7D13">
      <w:pPr>
        <w:pStyle w:val="MDPI21heading1"/>
        <w:rPr>
          <w:b w:val="0"/>
          <w:sz w:val="20"/>
        </w:rPr>
      </w:pPr>
      <w:r w:rsidRPr="0098539B">
        <w:rPr>
          <w:b w:val="0"/>
          <w:sz w:val="20"/>
        </w:rPr>
        <w:t xml:space="preserve">Figure 1 further illustrates the internal distribution of codes between participants and facilitators across the three categories. Facilitators generally show a more balanced distribution across levels 1, 2, and 3, while participants are more skewed toward level 1. Facilitators demonstrate higher levels dialogue (C2 and C3) compared to participants, while the distribution for the use of data sources (D codes) is similar for both groups, </w:t>
      </w:r>
      <w:r w:rsidRPr="0098539B">
        <w:rPr>
          <w:b w:val="0"/>
          <w:sz w:val="20"/>
        </w:rPr>
        <w:lastRenderedPageBreak/>
        <w:t>with a clear predominance of D1 and minimal contributions at D3. In terms of reflection (R codes), both groups are primarily concentrated at R1, though participants exhibit slightly higher proportions of R2 and R3, suggesting progress toward deeper reflection.</w:t>
      </w:r>
    </w:p>
    <w:p w14:paraId="4848B4A6" w14:textId="481B7B33" w:rsidR="004C7D13" w:rsidRPr="0098539B" w:rsidRDefault="004C7D13" w:rsidP="004C7D13">
      <w:pPr>
        <w:pStyle w:val="MDPI21heading1"/>
        <w:rPr>
          <w:b w:val="0"/>
          <w:sz w:val="20"/>
        </w:rPr>
      </w:pPr>
      <w:r w:rsidRPr="0098539B">
        <w:rPr>
          <w:b w:val="0"/>
          <w:sz w:val="20"/>
        </w:rPr>
        <w:t>Below, we examine the three levels separately, along with the occurrence of reflective inquiry.</w:t>
      </w:r>
    </w:p>
    <w:p w14:paraId="3AB7972D" w14:textId="3AB4BEC1" w:rsidR="004C7D13" w:rsidRPr="0098539B" w:rsidRDefault="004C7D13" w:rsidP="004C7D13">
      <w:pPr>
        <w:pStyle w:val="MDPI21heading1"/>
        <w:rPr>
          <w:b w:val="0"/>
          <w:sz w:val="20"/>
        </w:rPr>
      </w:pPr>
      <w:r w:rsidRPr="0098539B">
        <w:rPr>
          <w:b w:val="0"/>
          <w:sz w:val="20"/>
        </w:rPr>
        <w:t>[Figure 1 here]</w:t>
      </w:r>
    </w:p>
    <w:p w14:paraId="1F64B825" w14:textId="7E9F14CF" w:rsidR="004C7D13" w:rsidRPr="0098539B" w:rsidRDefault="004C7D13" w:rsidP="004C7D13">
      <w:pPr>
        <w:pStyle w:val="MDPI21heading1"/>
      </w:pPr>
      <w:r w:rsidRPr="0098539B">
        <w:t xml:space="preserve">Degree of </w:t>
      </w:r>
      <w:r w:rsidR="000C2276" w:rsidRPr="0098539B">
        <w:t>collaborative</w:t>
      </w:r>
      <w:r w:rsidRPr="0098539B">
        <w:t xml:space="preserve"> dialogue</w:t>
      </w:r>
    </w:p>
    <w:p w14:paraId="75F92659" w14:textId="1C19945D" w:rsidR="004C7D13" w:rsidRPr="0098539B" w:rsidRDefault="004C7D13" w:rsidP="004C7D13">
      <w:pPr>
        <w:pStyle w:val="MDPI21heading1"/>
        <w:rPr>
          <w:b w:val="0"/>
          <w:sz w:val="20"/>
        </w:rPr>
      </w:pPr>
      <w:r w:rsidRPr="0098539B">
        <w:rPr>
          <w:b w:val="0"/>
          <w:sz w:val="20"/>
        </w:rPr>
        <w:t xml:space="preserve">The analysis of dialogue indicated that free-flow conversation (C1) </w:t>
      </w:r>
      <w:proofErr w:type="gramStart"/>
      <w:r w:rsidRPr="0098539B">
        <w:rPr>
          <w:b w:val="0"/>
          <w:sz w:val="20"/>
        </w:rPr>
        <w:t>were</w:t>
      </w:r>
      <w:proofErr w:type="gramEnd"/>
      <w:r w:rsidRPr="0098539B">
        <w:rPr>
          <w:b w:val="0"/>
          <w:sz w:val="20"/>
        </w:rPr>
        <w:t xml:space="preserve"> the most frequently observed, accounting for 64.</w:t>
      </w:r>
      <w:r w:rsidR="003E2E61" w:rsidRPr="0098539B">
        <w:rPr>
          <w:b w:val="0"/>
          <w:sz w:val="20"/>
        </w:rPr>
        <w:t>37</w:t>
      </w:r>
      <w:r w:rsidRPr="0098539B">
        <w:rPr>
          <w:b w:val="0"/>
          <w:sz w:val="20"/>
        </w:rPr>
        <w:t>% of all contributions. An excerpt of a conversation coded as C1 is provided below. These interactions were typically characterized by initiating speakers (I) sharing information without actively inviting further engagement through questions or requests for opinions. Responses (R) often consisted of brief agreement (e.g., “that’s really nice”) or responders’ personal experiences (e.g., “that’s not how it works in our school cluster”), which shifted the conversation to another speaker or topic.</w:t>
      </w:r>
    </w:p>
    <w:p w14:paraId="72412C66" w14:textId="77777777" w:rsidR="004C7D13" w:rsidRPr="0098539B" w:rsidRDefault="004C7D13" w:rsidP="004C7D13">
      <w:pPr>
        <w:pStyle w:val="MDPI21heading1"/>
        <w:ind w:left="3060"/>
        <w:rPr>
          <w:b w:val="0"/>
          <w:sz w:val="20"/>
        </w:rPr>
      </w:pPr>
      <w:r w:rsidRPr="0098539B">
        <w:rPr>
          <w:b w:val="0"/>
          <w:sz w:val="20"/>
        </w:rPr>
        <w:t>Speaker I: The professionalization days are focused on that as well. Everyone comes together: all first-grade teachers, all second-grade teachers, and so on, to exchange ideas. (C1)</w:t>
      </w:r>
    </w:p>
    <w:p w14:paraId="49513FDD" w14:textId="77777777" w:rsidR="004C7D13" w:rsidRPr="0098539B" w:rsidRDefault="004C7D13" w:rsidP="004C7D13">
      <w:pPr>
        <w:pStyle w:val="MDPI21heading1"/>
        <w:ind w:left="3060"/>
        <w:rPr>
          <w:b w:val="0"/>
          <w:sz w:val="20"/>
        </w:rPr>
      </w:pPr>
      <w:r w:rsidRPr="0098539B">
        <w:rPr>
          <w:b w:val="0"/>
          <w:sz w:val="20"/>
        </w:rPr>
        <w:t xml:space="preserve">Speaker R1: That’s </w:t>
      </w:r>
      <w:proofErr w:type="gramStart"/>
      <w:r w:rsidRPr="0098539B">
        <w:rPr>
          <w:b w:val="0"/>
          <w:sz w:val="20"/>
        </w:rPr>
        <w:t>really nice</w:t>
      </w:r>
      <w:proofErr w:type="gramEnd"/>
      <w:r w:rsidRPr="0098539B">
        <w:rPr>
          <w:b w:val="0"/>
          <w:sz w:val="20"/>
        </w:rPr>
        <w:t>. (C1)</w:t>
      </w:r>
    </w:p>
    <w:p w14:paraId="4D0BD009" w14:textId="77777777" w:rsidR="004C7D13" w:rsidRPr="0098539B" w:rsidRDefault="004C7D13" w:rsidP="004C7D13">
      <w:pPr>
        <w:pStyle w:val="MDPI21heading1"/>
        <w:ind w:left="3060"/>
        <w:rPr>
          <w:b w:val="0"/>
          <w:sz w:val="20"/>
        </w:rPr>
      </w:pPr>
      <w:r w:rsidRPr="0098539B">
        <w:rPr>
          <w:b w:val="0"/>
          <w:sz w:val="20"/>
        </w:rPr>
        <w:t>Speaker R2: That’s not how it works in our school cluster. (C1)</w:t>
      </w:r>
    </w:p>
    <w:p w14:paraId="5938BF70" w14:textId="77777777" w:rsidR="004C7D13" w:rsidRPr="0098539B" w:rsidRDefault="004C7D13" w:rsidP="004C7D13">
      <w:pPr>
        <w:pStyle w:val="MDPI21heading1"/>
        <w:ind w:left="3060"/>
        <w:rPr>
          <w:b w:val="0"/>
          <w:sz w:val="20"/>
        </w:rPr>
      </w:pPr>
      <w:r w:rsidRPr="0098539B">
        <w:rPr>
          <w:b w:val="0"/>
          <w:sz w:val="20"/>
        </w:rPr>
        <w:t>Speaker R3: Same here. (C1)</w:t>
      </w:r>
    </w:p>
    <w:p w14:paraId="7115012E" w14:textId="77777777" w:rsidR="004C7D13" w:rsidRPr="0098539B" w:rsidRDefault="004C7D13" w:rsidP="004C7D13">
      <w:pPr>
        <w:pStyle w:val="MDPI21heading1"/>
        <w:ind w:left="3060"/>
        <w:rPr>
          <w:b w:val="0"/>
          <w:sz w:val="20"/>
        </w:rPr>
      </w:pPr>
      <w:r w:rsidRPr="0098539B">
        <w:rPr>
          <w:b w:val="0"/>
          <w:sz w:val="20"/>
        </w:rPr>
        <w:t>Speaker R2: Even with sharing resources, there are still schools who say, "No, this is specific to our school." I think that’s nonsense. (C1)</w:t>
      </w:r>
    </w:p>
    <w:p w14:paraId="6B2F9136" w14:textId="6A536658" w:rsidR="004C7D13" w:rsidRPr="0098539B" w:rsidRDefault="004C7D13" w:rsidP="004C7D13">
      <w:pPr>
        <w:pStyle w:val="MDPI21heading1"/>
        <w:rPr>
          <w:b w:val="0"/>
          <w:sz w:val="20"/>
        </w:rPr>
      </w:pPr>
      <w:r w:rsidRPr="0098539B">
        <w:rPr>
          <w:b w:val="0"/>
          <w:sz w:val="20"/>
        </w:rPr>
        <w:t>In contrast, the next level of engagement (C2) involved more engaged dialogue through asking questions and offering suggestions. These interactions accounted for 32.</w:t>
      </w:r>
      <w:r w:rsidR="003E2E61" w:rsidRPr="0098539B">
        <w:rPr>
          <w:b w:val="0"/>
          <w:sz w:val="20"/>
        </w:rPr>
        <w:t>76</w:t>
      </w:r>
      <w:r w:rsidRPr="0098539B">
        <w:rPr>
          <w:b w:val="0"/>
          <w:sz w:val="20"/>
        </w:rPr>
        <w:t>% of the data. An instance of this type of dialogue can be found below. Contributions at this level often included initiating speakers asking questions or seeking opinions (e.g., “Isn’t that it? What do you think?”) or responding speakers posing clarifying or exploratory questions to facilitate dialogue (e.g., “Do you do that with all your mathematical problems too?”). C2 interactions were also characterized by responding speakers providing suggestions (e.g., “Maybe with a 'problem of the week,' you could offer problems at varying levels of difficulty.”).</w:t>
      </w:r>
    </w:p>
    <w:p w14:paraId="03A65784" w14:textId="2E1FCF16" w:rsidR="004C7D13" w:rsidRPr="0098539B" w:rsidRDefault="004C7D13" w:rsidP="004C7D13">
      <w:pPr>
        <w:pStyle w:val="MDPI21heading1"/>
        <w:ind w:left="3060"/>
        <w:rPr>
          <w:b w:val="0"/>
          <w:sz w:val="20"/>
        </w:rPr>
      </w:pPr>
      <w:r w:rsidRPr="0098539B">
        <w:rPr>
          <w:b w:val="0"/>
          <w:sz w:val="20"/>
        </w:rPr>
        <w:t xml:space="preserve">Speaker I: We’ve been working on it, and it gets a bit clearer every year, which is nice. But about mathematising, so that’s turning something into a math problem, and </w:t>
      </w:r>
      <w:proofErr w:type="spellStart"/>
      <w:r w:rsidRPr="0098539B">
        <w:rPr>
          <w:b w:val="0"/>
          <w:sz w:val="20"/>
        </w:rPr>
        <w:t>demathematising</w:t>
      </w:r>
      <w:proofErr w:type="spellEnd"/>
      <w:r w:rsidRPr="0098539B">
        <w:rPr>
          <w:b w:val="0"/>
          <w:sz w:val="20"/>
        </w:rPr>
        <w:t>, is taking it away from math. That’s what I think those two words mean. Like turning Dutch into math or turning math into Dutch. Isn’t that it? What do you think? (C2)</w:t>
      </w:r>
    </w:p>
    <w:p w14:paraId="5BCDB978" w14:textId="1DB7F8B0" w:rsidR="004C7D13" w:rsidRPr="0098539B" w:rsidRDefault="004C7D13" w:rsidP="004C7D13">
      <w:pPr>
        <w:pStyle w:val="MDPI21heading1"/>
        <w:ind w:left="3060"/>
        <w:rPr>
          <w:b w:val="0"/>
          <w:sz w:val="20"/>
        </w:rPr>
      </w:pPr>
      <w:r w:rsidRPr="0098539B">
        <w:rPr>
          <w:b w:val="0"/>
          <w:sz w:val="20"/>
        </w:rPr>
        <w:t>Speaker R1: That’s what it means. And do you do that with all your mathematical problems too? (C2)</w:t>
      </w:r>
    </w:p>
    <w:p w14:paraId="08D0160E" w14:textId="561E1FD6" w:rsidR="004C7D13" w:rsidRPr="0098539B" w:rsidRDefault="004C7D13" w:rsidP="004C7D13">
      <w:pPr>
        <w:pStyle w:val="MDPI21heading1"/>
        <w:ind w:left="3060"/>
        <w:rPr>
          <w:b w:val="0"/>
          <w:sz w:val="20"/>
        </w:rPr>
      </w:pPr>
      <w:r w:rsidRPr="0098539B">
        <w:rPr>
          <w:b w:val="0"/>
          <w:sz w:val="20"/>
        </w:rPr>
        <w:lastRenderedPageBreak/>
        <w:t>Speaker I: Yes, we look for solution strategies to solve certain real-life problems. (C1)</w:t>
      </w:r>
    </w:p>
    <w:p w14:paraId="31EADC19" w14:textId="77777777" w:rsidR="004C7D13" w:rsidRPr="0098539B" w:rsidRDefault="004C7D13" w:rsidP="004C7D13">
      <w:pPr>
        <w:pStyle w:val="MDPI21heading1"/>
        <w:ind w:left="3060"/>
        <w:rPr>
          <w:b w:val="0"/>
          <w:sz w:val="20"/>
        </w:rPr>
      </w:pPr>
      <w:r w:rsidRPr="0098539B">
        <w:rPr>
          <w:b w:val="0"/>
          <w:sz w:val="20"/>
        </w:rPr>
        <w:t>Speaker R1: And those solution strategies, have you given them specific names? (C2)</w:t>
      </w:r>
    </w:p>
    <w:p w14:paraId="1A0A69BA" w14:textId="77777777" w:rsidR="004C7D13" w:rsidRPr="0098539B" w:rsidRDefault="004C7D13" w:rsidP="004C7D13">
      <w:pPr>
        <w:pStyle w:val="MDPI21heading1"/>
        <w:ind w:left="3060"/>
        <w:rPr>
          <w:b w:val="0"/>
          <w:sz w:val="20"/>
        </w:rPr>
      </w:pPr>
      <w:r w:rsidRPr="0098539B">
        <w:rPr>
          <w:b w:val="0"/>
          <w:sz w:val="20"/>
        </w:rPr>
        <w:t>[ ... ]</w:t>
      </w:r>
    </w:p>
    <w:p w14:paraId="1C86B25B" w14:textId="77777777" w:rsidR="004C7D13" w:rsidRPr="0098539B" w:rsidRDefault="004C7D13" w:rsidP="004C7D13">
      <w:pPr>
        <w:pStyle w:val="MDPI21heading1"/>
        <w:ind w:left="3060"/>
        <w:rPr>
          <w:b w:val="0"/>
          <w:sz w:val="20"/>
        </w:rPr>
      </w:pPr>
      <w:r w:rsidRPr="0098539B">
        <w:rPr>
          <w:b w:val="0"/>
          <w:sz w:val="20"/>
        </w:rPr>
        <w:t>Speaker R2: Maybe with a "problem of the week," you could offer problems at varying levels of difficulty. (C2)</w:t>
      </w:r>
    </w:p>
    <w:p w14:paraId="7674FFDB" w14:textId="1B9060FA" w:rsidR="004C7D13" w:rsidRPr="0098539B" w:rsidRDefault="004C7D13" w:rsidP="004C7D13">
      <w:pPr>
        <w:pStyle w:val="MDPI21heading1"/>
        <w:rPr>
          <w:b w:val="0"/>
          <w:sz w:val="20"/>
        </w:rPr>
      </w:pPr>
      <w:r w:rsidRPr="0098539B">
        <w:rPr>
          <w:b w:val="0"/>
          <w:sz w:val="20"/>
        </w:rPr>
        <w:t>The third level, C3: Intentional Interruption, was the least frequent, representing only 2.</w:t>
      </w:r>
      <w:r w:rsidR="003E2E61" w:rsidRPr="0098539B">
        <w:rPr>
          <w:b w:val="0"/>
          <w:sz w:val="20"/>
        </w:rPr>
        <w:t>87</w:t>
      </w:r>
      <w:r w:rsidRPr="0098539B">
        <w:rPr>
          <w:b w:val="0"/>
          <w:sz w:val="20"/>
        </w:rPr>
        <w:t>% of the dialogue segments. Of the 6</w:t>
      </w:r>
      <w:r w:rsidR="00296B9C" w:rsidRPr="0098539B">
        <w:rPr>
          <w:b w:val="0"/>
          <w:sz w:val="20"/>
        </w:rPr>
        <w:t>3</w:t>
      </w:r>
      <w:r w:rsidRPr="0098539B">
        <w:rPr>
          <w:b w:val="0"/>
          <w:sz w:val="20"/>
        </w:rPr>
        <w:t xml:space="preserve"> contributions coded as C3, 6 were made by participants, while the remaining 5</w:t>
      </w:r>
      <w:r w:rsidR="00296B9C" w:rsidRPr="0098539B">
        <w:rPr>
          <w:b w:val="0"/>
          <w:sz w:val="20"/>
        </w:rPr>
        <w:t>7</w:t>
      </w:r>
      <w:r w:rsidRPr="0098539B">
        <w:rPr>
          <w:b w:val="0"/>
          <w:sz w:val="20"/>
        </w:rPr>
        <w:t xml:space="preserve"> came from facilitators. These contributions were marked by critical engagement and questioning assumptions to deepen discussions. In the C3 example below, a speaker responded to a suggestion to introduce core knowledge tests each trimester by challenging how the proposal would fail to evaluate core knowledge, instead arguing it would assess prerequisite knowledge.</w:t>
      </w:r>
    </w:p>
    <w:p w14:paraId="6BD4647F" w14:textId="69776711" w:rsidR="004C7D13" w:rsidRPr="0098539B" w:rsidRDefault="004C7D13" w:rsidP="004C7D13">
      <w:pPr>
        <w:pStyle w:val="MDPI21heading1"/>
        <w:ind w:left="3060"/>
        <w:rPr>
          <w:b w:val="0"/>
          <w:sz w:val="20"/>
        </w:rPr>
      </w:pPr>
      <w:r w:rsidRPr="0098539B">
        <w:rPr>
          <w:b w:val="0"/>
          <w:sz w:val="20"/>
        </w:rPr>
        <w:t>Speaker R1: [...] That’s why I’d propose having a core knowledge test at the start or end of each trimester. A few per semester would clearly show where they stand. (C2)</w:t>
      </w:r>
    </w:p>
    <w:p w14:paraId="494FC0A7" w14:textId="4CBA05F3" w:rsidR="004C7D13" w:rsidRPr="0098539B" w:rsidRDefault="004C7D13" w:rsidP="004C7D13">
      <w:pPr>
        <w:pStyle w:val="MDPI21heading1"/>
        <w:ind w:left="3060"/>
        <w:rPr>
          <w:b w:val="0"/>
          <w:sz w:val="20"/>
        </w:rPr>
      </w:pPr>
      <w:r w:rsidRPr="0098539B">
        <w:rPr>
          <w:b w:val="0"/>
          <w:sz w:val="20"/>
        </w:rPr>
        <w:t>Speaker R2: You’d miss the point of core knowledge. For example, if it’s about triangles, core knowledge only covers naming the triangles. Then it’s no longer core knowledge—it’s just studying. It’s more useful to say, "With Pythagoras, you get a relationship, but what was it again?" It’s meant to build on or recall what they’ve seen before. Otherwise, it’s just a prerequisite knowledge test. (C3)</w:t>
      </w:r>
    </w:p>
    <w:p w14:paraId="139EB1F8" w14:textId="77777777" w:rsidR="004C7D13" w:rsidRPr="0098539B" w:rsidRDefault="004C7D13" w:rsidP="004C7D13">
      <w:pPr>
        <w:pStyle w:val="MDPI21heading1"/>
      </w:pPr>
      <w:r w:rsidRPr="0098539B">
        <w:t>The degree of generating and/or testing ideas based on multiple sources</w:t>
      </w:r>
    </w:p>
    <w:p w14:paraId="4A1E2EC4" w14:textId="38D89278" w:rsidR="004C7D13" w:rsidRPr="0098539B" w:rsidRDefault="004C7D13" w:rsidP="004C7D13">
      <w:pPr>
        <w:pStyle w:val="MDPI21heading1"/>
        <w:rPr>
          <w:b w:val="0"/>
          <w:sz w:val="20"/>
        </w:rPr>
      </w:pPr>
      <w:r w:rsidRPr="0098539B">
        <w:rPr>
          <w:b w:val="0"/>
          <w:sz w:val="20"/>
        </w:rPr>
        <w:t>The data revealed that conversations predominantly relied on personal experiences (D1), constituting 92.</w:t>
      </w:r>
      <w:r w:rsidR="001309DC" w:rsidRPr="0098539B">
        <w:rPr>
          <w:b w:val="0"/>
          <w:sz w:val="20"/>
        </w:rPr>
        <w:t>5</w:t>
      </w:r>
      <w:r w:rsidRPr="0098539B">
        <w:rPr>
          <w:b w:val="0"/>
          <w:sz w:val="20"/>
        </w:rPr>
        <w:t>7% of the contributions. At this level, participants based their reflections on anecdotal evidence or personal observations. For example, when asked about consultation meetings, one speaker primarily used personal anecdotes and, in analyzing the situation, relied on personal observations (e.g., “I’ve told them, and I’m noticing a slight change.”).</w:t>
      </w:r>
    </w:p>
    <w:p w14:paraId="0946ED63" w14:textId="2D43842A" w:rsidR="004C7D13" w:rsidRPr="0098539B" w:rsidRDefault="004C7D13" w:rsidP="004C7D13">
      <w:pPr>
        <w:pStyle w:val="MDPI21heading1"/>
        <w:ind w:left="3060"/>
        <w:rPr>
          <w:b w:val="0"/>
          <w:sz w:val="20"/>
        </w:rPr>
      </w:pPr>
      <w:r w:rsidRPr="0098539B">
        <w:rPr>
          <w:b w:val="0"/>
          <w:sz w:val="20"/>
        </w:rPr>
        <w:t>Speaker R1: You experience these difficulties during the meeting. Do you ask questions, or do you run into your own lack of motivation? (D1)</w:t>
      </w:r>
    </w:p>
    <w:p w14:paraId="0485018E" w14:textId="369B31CE" w:rsidR="004C7D13" w:rsidRPr="0098539B" w:rsidRDefault="004C7D13" w:rsidP="004C7D13">
      <w:pPr>
        <w:pStyle w:val="MDPI21heading1"/>
        <w:ind w:left="3060"/>
        <w:rPr>
          <w:b w:val="0"/>
          <w:sz w:val="20"/>
        </w:rPr>
      </w:pPr>
      <w:r w:rsidRPr="0098539B">
        <w:rPr>
          <w:b w:val="0"/>
          <w:sz w:val="20"/>
        </w:rPr>
        <w:t>Speaker I: I find the most tiring thing to keep convincing others about it. They are so quick to say: "I need special needs assistance, or there needs to be a diagnosis." They want to forget the phases before that and go straight to the third phase of IEP. (D1)</w:t>
      </w:r>
    </w:p>
    <w:p w14:paraId="7E6813D9" w14:textId="69FE7D09" w:rsidR="004C7D13" w:rsidRPr="0098539B" w:rsidRDefault="004C7D13" w:rsidP="004C7D13">
      <w:pPr>
        <w:pStyle w:val="MDPI21heading1"/>
        <w:ind w:left="3060"/>
        <w:rPr>
          <w:b w:val="0"/>
          <w:sz w:val="20"/>
        </w:rPr>
      </w:pPr>
      <w:r w:rsidRPr="0098539B">
        <w:rPr>
          <w:b w:val="0"/>
          <w:sz w:val="20"/>
        </w:rPr>
        <w:t xml:space="preserve">Speaker R2: Or they rely on you as the special </w:t>
      </w:r>
      <w:proofErr w:type="gramStart"/>
      <w:r w:rsidRPr="0098539B">
        <w:rPr>
          <w:b w:val="0"/>
          <w:sz w:val="20"/>
        </w:rPr>
        <w:t>needs</w:t>
      </w:r>
      <w:proofErr w:type="gramEnd"/>
      <w:r w:rsidRPr="0098539B">
        <w:rPr>
          <w:b w:val="0"/>
          <w:sz w:val="20"/>
        </w:rPr>
        <w:t xml:space="preserve"> coordinator. (D1)</w:t>
      </w:r>
    </w:p>
    <w:p w14:paraId="79CE6D61" w14:textId="77777777" w:rsidR="004C7D13" w:rsidRPr="0098539B" w:rsidRDefault="004C7D13" w:rsidP="004C7D13">
      <w:pPr>
        <w:pStyle w:val="MDPI21heading1"/>
        <w:ind w:left="3060"/>
        <w:rPr>
          <w:b w:val="0"/>
          <w:sz w:val="20"/>
        </w:rPr>
      </w:pPr>
      <w:r w:rsidRPr="0098539B">
        <w:rPr>
          <w:b w:val="0"/>
          <w:sz w:val="20"/>
        </w:rPr>
        <w:t xml:space="preserve">Speaker I: I also got the question last week. I thought it was a good meeting in itself—it was a meeting with the second preschooler's teacher who has resistance, and I just clearly sent an email on the needed preparation. If nothing comes... I </w:t>
      </w:r>
      <w:r w:rsidRPr="0098539B">
        <w:rPr>
          <w:b w:val="0"/>
          <w:sz w:val="20"/>
        </w:rPr>
        <w:lastRenderedPageBreak/>
        <w:t xml:space="preserve">mainly bump into the teachers who have never had anything to say, but then the kids are in the third preschool, and it's just "they didn't see that in the previous year," so there was a gap in that. </w:t>
      </w:r>
      <w:proofErr w:type="gramStart"/>
      <w:r w:rsidRPr="0098539B">
        <w:rPr>
          <w:b w:val="0"/>
          <w:sz w:val="20"/>
        </w:rPr>
        <w:t>So</w:t>
      </w:r>
      <w:proofErr w:type="gramEnd"/>
      <w:r w:rsidRPr="0098539B">
        <w:rPr>
          <w:b w:val="0"/>
          <w:sz w:val="20"/>
        </w:rPr>
        <w:t xml:space="preserve"> I’ve started this school year by telling them very clearly that when it's time to consult, you get ready, you make an overview about the kids, and you tell me if there is a child you want to discuss at the meeting. I've told them, and I'm noticing a slight change. (D1)</w:t>
      </w:r>
    </w:p>
    <w:p w14:paraId="7F4724AF" w14:textId="5B86CCFC" w:rsidR="004C7D13" w:rsidRPr="0098539B" w:rsidRDefault="004C7D13" w:rsidP="004C7D13">
      <w:pPr>
        <w:pStyle w:val="MDPI21heading1"/>
        <w:rPr>
          <w:b w:val="0"/>
          <w:sz w:val="20"/>
        </w:rPr>
      </w:pPr>
      <w:r w:rsidRPr="0098539B">
        <w:rPr>
          <w:b w:val="0"/>
          <w:sz w:val="20"/>
        </w:rPr>
        <w:t xml:space="preserve">D2 contributions represented </w:t>
      </w:r>
      <w:r w:rsidR="00C938BD" w:rsidRPr="0098539B">
        <w:rPr>
          <w:b w:val="0"/>
          <w:sz w:val="20"/>
        </w:rPr>
        <w:t xml:space="preserve">6.97% </w:t>
      </w:r>
      <w:r w:rsidRPr="0098539B">
        <w:rPr>
          <w:b w:val="0"/>
          <w:sz w:val="20"/>
        </w:rPr>
        <w:t xml:space="preserve">of </w:t>
      </w:r>
      <w:r w:rsidR="00C938BD" w:rsidRPr="0098539B">
        <w:rPr>
          <w:b w:val="0"/>
          <w:sz w:val="20"/>
        </w:rPr>
        <w:t>the</w:t>
      </w:r>
      <w:r w:rsidRPr="0098539B">
        <w:rPr>
          <w:b w:val="0"/>
          <w:sz w:val="20"/>
        </w:rPr>
        <w:t xml:space="preserve"> total contributions</w:t>
      </w:r>
      <w:r w:rsidR="00C938BD" w:rsidRPr="0098539B">
        <w:rPr>
          <w:b w:val="0"/>
          <w:sz w:val="20"/>
        </w:rPr>
        <w:t xml:space="preserve">. </w:t>
      </w:r>
      <w:r w:rsidRPr="0098539B">
        <w:rPr>
          <w:b w:val="0"/>
          <w:sz w:val="20"/>
        </w:rPr>
        <w:t>Participants primarily referred to self-collected data, such as logbooks or tracking student scores, as well as standardized test scores, curriculum documents, and audit reports. Facilitators similarly referenced self-collected data but also mentioned research evidence more frequently, curriculum documents, and standardized test data. Less frequently, both groups cited sources like government data, professional development insights, and expert opinions.</w:t>
      </w:r>
    </w:p>
    <w:p w14:paraId="1CAE4D44" w14:textId="57668D1F" w:rsidR="004C7D13" w:rsidRPr="0098539B" w:rsidRDefault="004C7D13" w:rsidP="0085362E">
      <w:pPr>
        <w:pStyle w:val="MDPI21heading1"/>
        <w:rPr>
          <w:b w:val="0"/>
          <w:sz w:val="20"/>
        </w:rPr>
      </w:pPr>
      <w:r w:rsidRPr="0098539B">
        <w:rPr>
          <w:b w:val="0"/>
          <w:sz w:val="20"/>
        </w:rPr>
        <w:t>Only 0.4</w:t>
      </w:r>
      <w:r w:rsidR="006828FF" w:rsidRPr="0098539B">
        <w:rPr>
          <w:b w:val="0"/>
          <w:sz w:val="20"/>
        </w:rPr>
        <w:t>6</w:t>
      </w:r>
      <w:r w:rsidRPr="0098539B">
        <w:rPr>
          <w:b w:val="0"/>
          <w:sz w:val="20"/>
        </w:rPr>
        <w:t xml:space="preserve">% of contributions demonstrated a balanced use of multiple data sources (D3), with </w:t>
      </w:r>
      <w:r w:rsidR="006828FF" w:rsidRPr="0098539B">
        <w:rPr>
          <w:b w:val="0"/>
          <w:sz w:val="20"/>
        </w:rPr>
        <w:t>3</w:t>
      </w:r>
      <w:r w:rsidRPr="0098539B">
        <w:rPr>
          <w:b w:val="0"/>
          <w:sz w:val="20"/>
        </w:rPr>
        <w:t xml:space="preserve"> out of </w:t>
      </w:r>
      <w:r w:rsidR="006828FF" w:rsidRPr="0098539B">
        <w:rPr>
          <w:b w:val="0"/>
          <w:sz w:val="20"/>
        </w:rPr>
        <w:t>10</w:t>
      </w:r>
      <w:r w:rsidRPr="0098539B">
        <w:rPr>
          <w:b w:val="0"/>
          <w:sz w:val="20"/>
        </w:rPr>
        <w:t xml:space="preserve"> contributions made by participants. For instance, a special needs coordinator systematically monitored their tasks and cross-referenced them with the evidence-based roles associated with their position to evaluate alignment and identify areas for improvement:</w:t>
      </w:r>
    </w:p>
    <w:p w14:paraId="7F4EDB1D" w14:textId="0F614B45" w:rsidR="004C7D13" w:rsidRPr="0098539B" w:rsidRDefault="004C7D13" w:rsidP="0085362E">
      <w:pPr>
        <w:pStyle w:val="MDPI21heading1"/>
        <w:ind w:left="3060"/>
        <w:rPr>
          <w:b w:val="0"/>
          <w:sz w:val="20"/>
        </w:rPr>
      </w:pPr>
      <w:r w:rsidRPr="0098539B">
        <w:rPr>
          <w:b w:val="0"/>
          <w:sz w:val="20"/>
        </w:rPr>
        <w:t xml:space="preserve">I'm someone who also likes to do it for myself, too. As a teacher, you check the goals you want to achieve with your students, and as a special </w:t>
      </w:r>
      <w:proofErr w:type="gramStart"/>
      <w:r w:rsidRPr="0098539B">
        <w:rPr>
          <w:b w:val="0"/>
          <w:sz w:val="20"/>
        </w:rPr>
        <w:t>needs</w:t>
      </w:r>
      <w:proofErr w:type="gramEnd"/>
      <w:r w:rsidRPr="0098539B">
        <w:rPr>
          <w:b w:val="0"/>
          <w:sz w:val="20"/>
        </w:rPr>
        <w:t xml:space="preserve"> coordinator, I also want to check my goals for myself. I check my &lt;evidence based&gt; roles, I want to monitor myself with the number of hours I have, 32 out of 36, I personally think that's achievable, and that I should strive for that. </w:t>
      </w:r>
      <w:proofErr w:type="gramStart"/>
      <w:r w:rsidRPr="0098539B">
        <w:rPr>
          <w:b w:val="0"/>
          <w:sz w:val="20"/>
        </w:rPr>
        <w:t>So</w:t>
      </w:r>
      <w:proofErr w:type="gramEnd"/>
      <w:r w:rsidRPr="0098539B">
        <w:rPr>
          <w:b w:val="0"/>
          <w:sz w:val="20"/>
        </w:rPr>
        <w:t xml:space="preserve"> I created a template for myself with those &lt;evidence based&gt; roles and their explanations in it, and once a month, at the end of the month, I'll take my agenda and I'm going to tout for myself: that task includes that role, that task with that role. In such a way that I see: I did not uptake that role much </w:t>
      </w:r>
      <w:proofErr w:type="gramStart"/>
      <w:r w:rsidRPr="0098539B">
        <w:rPr>
          <w:b w:val="0"/>
          <w:sz w:val="20"/>
        </w:rPr>
        <w:t>at the moment</w:t>
      </w:r>
      <w:proofErr w:type="gramEnd"/>
      <w:r w:rsidRPr="0098539B">
        <w:rPr>
          <w:b w:val="0"/>
          <w:sz w:val="20"/>
        </w:rPr>
        <w:t>, or I have not covered that much, that I can check why? Was there a question or is that something I've lost sight of?</w:t>
      </w:r>
    </w:p>
    <w:p w14:paraId="11EBD431" w14:textId="49FEB648" w:rsidR="004C7D13" w:rsidRPr="0098539B" w:rsidRDefault="004C7D13" w:rsidP="0085362E">
      <w:pPr>
        <w:pStyle w:val="MDPI21heading1"/>
      </w:pPr>
      <w:r w:rsidRPr="0098539B">
        <w:t>Degree of reflection and internal attribution</w:t>
      </w:r>
    </w:p>
    <w:p w14:paraId="1F38266F" w14:textId="2DD13611" w:rsidR="004C7D13" w:rsidRPr="0098539B" w:rsidRDefault="004C7D13" w:rsidP="004C7D13">
      <w:pPr>
        <w:pStyle w:val="MDPI21heading1"/>
        <w:rPr>
          <w:b w:val="0"/>
          <w:sz w:val="20"/>
        </w:rPr>
      </w:pPr>
      <w:r w:rsidRPr="0098539B">
        <w:rPr>
          <w:b w:val="0"/>
          <w:sz w:val="20"/>
        </w:rPr>
        <w:t>The depth of reflection was largely limited to R1: Describing, which accounted for 79.</w:t>
      </w:r>
      <w:r w:rsidR="00ED02DA" w:rsidRPr="0098539B">
        <w:rPr>
          <w:b w:val="0"/>
          <w:sz w:val="20"/>
        </w:rPr>
        <w:t>82</w:t>
      </w:r>
      <w:r w:rsidRPr="0098539B">
        <w:rPr>
          <w:b w:val="0"/>
          <w:sz w:val="20"/>
        </w:rPr>
        <w:t xml:space="preserve">% of contributions. At this level, participants mainly described experiences, practices or problems without deeper analysis or critique. For instance, “I find it </w:t>
      </w:r>
      <w:proofErr w:type="gramStart"/>
      <w:r w:rsidRPr="0098539B">
        <w:rPr>
          <w:b w:val="0"/>
          <w:sz w:val="20"/>
        </w:rPr>
        <w:t>really difficult</w:t>
      </w:r>
      <w:proofErr w:type="gramEnd"/>
      <w:r w:rsidRPr="0098539B">
        <w:rPr>
          <w:b w:val="0"/>
          <w:sz w:val="20"/>
        </w:rPr>
        <w:t xml:space="preserve"> with students who don’t have books. I used to give them a punishment task to teach them to be prepared, but honestly, that doesn’t sit well with me.”</w:t>
      </w:r>
    </w:p>
    <w:p w14:paraId="48272081" w14:textId="16F925F8" w:rsidR="004C7D13" w:rsidRPr="0098539B" w:rsidRDefault="004C7D13" w:rsidP="004C7D13">
      <w:pPr>
        <w:pStyle w:val="MDPI21heading1"/>
        <w:rPr>
          <w:b w:val="0"/>
          <w:sz w:val="20"/>
        </w:rPr>
      </w:pPr>
      <w:r w:rsidRPr="0098539B">
        <w:rPr>
          <w:b w:val="0"/>
          <w:sz w:val="20"/>
        </w:rPr>
        <w:t>Contributions including reasoning or explanations for practices (R2) represented 18.</w:t>
      </w:r>
      <w:r w:rsidR="00ED02DA" w:rsidRPr="0098539B">
        <w:rPr>
          <w:b w:val="0"/>
          <w:sz w:val="20"/>
        </w:rPr>
        <w:t>31</w:t>
      </w:r>
      <w:r w:rsidRPr="0098539B">
        <w:rPr>
          <w:b w:val="0"/>
          <w:sz w:val="20"/>
        </w:rPr>
        <w:t>% of the contributions. However, these reasons or explanations often highlighted external attributions for challenges or successes. For example, “The worksheets and tests from &lt;anonymized&gt; are perceived as very challenging. But they say you should see it as a progress monitoring tool rather than a test. That’s a difficult shift for us because my teachers want immediate results.”</w:t>
      </w:r>
    </w:p>
    <w:p w14:paraId="2016C6D6" w14:textId="4428B4A2" w:rsidR="004C7D13" w:rsidRPr="0098539B" w:rsidRDefault="004C7D13" w:rsidP="004C7D13">
      <w:pPr>
        <w:pStyle w:val="MDPI21heading1"/>
        <w:rPr>
          <w:b w:val="0"/>
          <w:sz w:val="20"/>
        </w:rPr>
      </w:pPr>
      <w:r w:rsidRPr="0098539B">
        <w:rPr>
          <w:b w:val="0"/>
          <w:sz w:val="20"/>
        </w:rPr>
        <w:t>Finally, R3: Critiquing, which involves critical self-reflection and internal attribution, occurred in only 1.</w:t>
      </w:r>
      <w:r w:rsidR="00475985" w:rsidRPr="0098539B">
        <w:rPr>
          <w:b w:val="0"/>
          <w:sz w:val="20"/>
        </w:rPr>
        <w:t>87</w:t>
      </w:r>
      <w:r w:rsidRPr="0098539B">
        <w:rPr>
          <w:b w:val="0"/>
          <w:sz w:val="20"/>
        </w:rPr>
        <w:t xml:space="preserve">% of contributions. These instances demonstrated a willingness to question personal assumptions or practices. An illustrative example is a special needs coordinator, who reflects on her competences to ask teachers the right questions: </w:t>
      </w:r>
    </w:p>
    <w:p w14:paraId="24D6CEA5" w14:textId="77777777" w:rsidR="004C7D13" w:rsidRPr="0098539B" w:rsidRDefault="004C7D13" w:rsidP="0085362E">
      <w:pPr>
        <w:pStyle w:val="MDPI21heading1"/>
        <w:ind w:left="3060"/>
        <w:rPr>
          <w:b w:val="0"/>
          <w:sz w:val="20"/>
        </w:rPr>
      </w:pPr>
      <w:r w:rsidRPr="0098539B">
        <w:rPr>
          <w:b w:val="0"/>
          <w:sz w:val="20"/>
        </w:rPr>
        <w:lastRenderedPageBreak/>
        <w:t>Yes, I think for myself, because I've only been a special needs coordinator for a few months, it's still difficult to ask the right questions to them like that. Certain things that make me wonder, we have a mentor and when I hear her asking questions, when she afterwards discusses them with us, that I think yes, sure, those are the most logical questions. But I won't figure that out myself, I'm still early in my career, I still need to learn how to ask the right questions.</w:t>
      </w:r>
    </w:p>
    <w:p w14:paraId="5FC24DAE" w14:textId="77777777" w:rsidR="004C7D13" w:rsidRPr="0098539B" w:rsidRDefault="004C7D13" w:rsidP="004C7D13">
      <w:pPr>
        <w:pStyle w:val="MDPI21heading1"/>
      </w:pPr>
      <w:r w:rsidRPr="0098539B">
        <w:t>Occurrence of reflective inquiry</w:t>
      </w:r>
    </w:p>
    <w:p w14:paraId="404731C2" w14:textId="3C2AFFD3" w:rsidR="004C7D13" w:rsidRPr="0098539B" w:rsidRDefault="004C7D13" w:rsidP="004C7D13">
      <w:pPr>
        <w:pStyle w:val="MDPI21heading1"/>
        <w:rPr>
          <w:b w:val="0"/>
          <w:sz w:val="20"/>
        </w:rPr>
      </w:pPr>
      <w:r w:rsidRPr="0098539B">
        <w:rPr>
          <w:b w:val="0"/>
          <w:sz w:val="20"/>
        </w:rPr>
        <w:t>Out of 2195 contributions, the combination C3, D3 and R3, defined as reflective inquiry, occurred only 4 times, making up 0.18% of all interactions. For an overview of the distribution for each code combination, see Table 6.</w:t>
      </w:r>
    </w:p>
    <w:p w14:paraId="482B507B" w14:textId="5EBF4978" w:rsidR="0085362E" w:rsidRPr="0098539B" w:rsidRDefault="0085362E" w:rsidP="0085362E">
      <w:pPr>
        <w:pStyle w:val="MDPI21heading1"/>
        <w:rPr>
          <w:b w:val="0"/>
          <w:sz w:val="20"/>
        </w:rPr>
      </w:pPr>
      <w:r w:rsidRPr="0098539B">
        <w:rPr>
          <w:b w:val="0"/>
          <w:sz w:val="20"/>
        </w:rPr>
        <w:t>[Table 6 here]</w:t>
      </w:r>
    </w:p>
    <w:p w14:paraId="46AFE20F" w14:textId="5650F719" w:rsidR="0085362E" w:rsidRPr="0098539B" w:rsidRDefault="0085362E" w:rsidP="0085362E">
      <w:pPr>
        <w:pStyle w:val="MDPI21heading1"/>
        <w:rPr>
          <w:b w:val="0"/>
          <w:sz w:val="20"/>
        </w:rPr>
      </w:pPr>
      <w:r w:rsidRPr="0098539B">
        <w:rPr>
          <w:b w:val="0"/>
          <w:sz w:val="20"/>
        </w:rPr>
        <w:t>The most frequent combination was number 1 (</w:t>
      </w:r>
      <w:r w:rsidR="004246BA" w:rsidRPr="0098539B">
        <w:rPr>
          <w:b w:val="0"/>
          <w:sz w:val="20"/>
        </w:rPr>
        <w:t>C</w:t>
      </w:r>
      <w:r w:rsidRPr="0098539B">
        <w:rPr>
          <w:b w:val="0"/>
          <w:sz w:val="20"/>
        </w:rPr>
        <w:t xml:space="preserve">1, D1, </w:t>
      </w:r>
      <w:r w:rsidR="004246BA" w:rsidRPr="0098539B">
        <w:rPr>
          <w:b w:val="0"/>
          <w:sz w:val="20"/>
        </w:rPr>
        <w:t>R</w:t>
      </w:r>
      <w:r w:rsidRPr="0098539B">
        <w:rPr>
          <w:b w:val="0"/>
          <w:sz w:val="20"/>
        </w:rPr>
        <w:t>1), number 2 (</w:t>
      </w:r>
      <w:r w:rsidR="00892207" w:rsidRPr="0098539B">
        <w:rPr>
          <w:b w:val="0"/>
          <w:sz w:val="20"/>
        </w:rPr>
        <w:t>C2</w:t>
      </w:r>
      <w:r w:rsidRPr="0098539B">
        <w:rPr>
          <w:b w:val="0"/>
          <w:sz w:val="20"/>
        </w:rPr>
        <w:t xml:space="preserve">, D1, </w:t>
      </w:r>
      <w:r w:rsidR="00892207" w:rsidRPr="0098539B">
        <w:rPr>
          <w:b w:val="0"/>
          <w:sz w:val="20"/>
        </w:rPr>
        <w:t>R1</w:t>
      </w:r>
      <w:r w:rsidRPr="0098539B">
        <w:rPr>
          <w:b w:val="0"/>
          <w:sz w:val="20"/>
        </w:rPr>
        <w:t>) and number 10 (R2, R1, R1). Number 1, (</w:t>
      </w:r>
      <w:r w:rsidR="002B7AD7" w:rsidRPr="0098539B">
        <w:rPr>
          <w:b w:val="0"/>
          <w:sz w:val="20"/>
        </w:rPr>
        <w:t>C</w:t>
      </w:r>
      <w:r w:rsidRPr="0098539B">
        <w:rPr>
          <w:b w:val="0"/>
          <w:sz w:val="20"/>
        </w:rPr>
        <w:t xml:space="preserve">1, D1, </w:t>
      </w:r>
      <w:r w:rsidR="002B7AD7" w:rsidRPr="0098539B">
        <w:rPr>
          <w:b w:val="0"/>
          <w:sz w:val="20"/>
        </w:rPr>
        <w:t>R</w:t>
      </w:r>
      <w:r w:rsidRPr="0098539B">
        <w:rPr>
          <w:b w:val="0"/>
          <w:sz w:val="20"/>
        </w:rPr>
        <w:t>1), accounted for 51.</w:t>
      </w:r>
      <w:r w:rsidR="00784DAD" w:rsidRPr="0098539B">
        <w:rPr>
          <w:b w:val="0"/>
          <w:sz w:val="20"/>
        </w:rPr>
        <w:t>71</w:t>
      </w:r>
      <w:r w:rsidRPr="0098539B">
        <w:rPr>
          <w:b w:val="0"/>
          <w:sz w:val="20"/>
        </w:rPr>
        <w:t>% of contributions. These interactions were characterized by descriptive sharing of experiences based on personal experiences, without inviting further engagement or exploration. Another common combination was</w:t>
      </w:r>
      <w:r w:rsidR="002B7AD7" w:rsidRPr="0098539B">
        <w:rPr>
          <w:b w:val="0"/>
          <w:sz w:val="20"/>
        </w:rPr>
        <w:t xml:space="preserve"> C2</w:t>
      </w:r>
      <w:r w:rsidRPr="0098539B">
        <w:rPr>
          <w:b w:val="0"/>
          <w:sz w:val="20"/>
        </w:rPr>
        <w:t>, D1,</w:t>
      </w:r>
      <w:r w:rsidR="002B7AD7" w:rsidRPr="0098539B">
        <w:rPr>
          <w:b w:val="0"/>
          <w:sz w:val="20"/>
        </w:rPr>
        <w:t xml:space="preserve"> R1</w:t>
      </w:r>
      <w:r w:rsidRPr="0098539B">
        <w:rPr>
          <w:b w:val="0"/>
          <w:sz w:val="20"/>
        </w:rPr>
        <w:t xml:space="preserve"> (25.10%), where other speakers engaged with clarifying questions or provided suggestions, but the reasoning remained descriptive.</w:t>
      </w:r>
      <w:r w:rsidR="007418CB" w:rsidRPr="0098539B">
        <w:rPr>
          <w:b w:val="0"/>
          <w:sz w:val="20"/>
        </w:rPr>
        <w:t xml:space="preserve"> </w:t>
      </w:r>
      <w:r w:rsidR="00E319C2" w:rsidRPr="0098539B">
        <w:rPr>
          <w:b w:val="0"/>
          <w:sz w:val="20"/>
        </w:rPr>
        <w:t>Free</w:t>
      </w:r>
      <w:r w:rsidR="007F0A6F" w:rsidRPr="0098539B">
        <w:rPr>
          <w:b w:val="0"/>
          <w:sz w:val="20"/>
        </w:rPr>
        <w:t>-</w:t>
      </w:r>
      <w:r w:rsidR="00E319C2" w:rsidRPr="0098539B">
        <w:rPr>
          <w:b w:val="0"/>
          <w:sz w:val="20"/>
        </w:rPr>
        <w:t>flow conversation</w:t>
      </w:r>
      <w:r w:rsidR="007418CB" w:rsidRPr="0098539B">
        <w:rPr>
          <w:b w:val="0"/>
          <w:sz w:val="20"/>
        </w:rPr>
        <w:t xml:space="preserve"> (C1) </w:t>
      </w:r>
      <w:r w:rsidRPr="0098539B">
        <w:rPr>
          <w:b w:val="0"/>
          <w:sz w:val="20"/>
        </w:rPr>
        <w:t xml:space="preserve">paired with personal experiences (D1) and </w:t>
      </w:r>
      <w:r w:rsidR="00381C35" w:rsidRPr="0098539B">
        <w:rPr>
          <w:b w:val="0"/>
          <w:sz w:val="20"/>
        </w:rPr>
        <w:t>a</w:t>
      </w:r>
      <w:r w:rsidR="007418CB" w:rsidRPr="0098539B">
        <w:rPr>
          <w:b w:val="0"/>
          <w:sz w:val="20"/>
        </w:rPr>
        <w:t xml:space="preserve">nalytical reasoning (R2) </w:t>
      </w:r>
      <w:r w:rsidRPr="0098539B">
        <w:rPr>
          <w:b w:val="0"/>
          <w:sz w:val="20"/>
        </w:rPr>
        <w:t>occurred in 8.</w:t>
      </w:r>
      <w:r w:rsidR="00784DAD" w:rsidRPr="0098539B">
        <w:rPr>
          <w:b w:val="0"/>
          <w:sz w:val="20"/>
        </w:rPr>
        <w:t>52</w:t>
      </w:r>
      <w:r w:rsidRPr="0098539B">
        <w:rPr>
          <w:b w:val="0"/>
          <w:sz w:val="20"/>
        </w:rPr>
        <w:t>% of contributions. Here, speakers shared their rationale for certain practices but did not engage others with questions or asked for input.</w:t>
      </w:r>
    </w:p>
    <w:p w14:paraId="648034EF" w14:textId="77777777" w:rsidR="0085362E" w:rsidRPr="0098539B" w:rsidRDefault="0085362E" w:rsidP="0085362E">
      <w:pPr>
        <w:pStyle w:val="MDPI21heading1"/>
        <w:rPr>
          <w:b w:val="0"/>
          <w:sz w:val="20"/>
        </w:rPr>
      </w:pPr>
      <w:r w:rsidRPr="0098539B">
        <w:rPr>
          <w:b w:val="0"/>
          <w:sz w:val="20"/>
        </w:rPr>
        <w:t xml:space="preserve">True reflective inquiry (C3, D3, R3) occurred in only four instances. All four were by facilitators. An excerpt of the conversation coded as C3, D3 &amp; R3 can be found below. The facilitator demonstrated questioning established ways of working (e.g., “We won’t convince teachers if we say, 'We read twice a week and have a few results, but they’re not really convincing.’ That creates a vicious cycle.”) calling for change with internal attribution (e.g.,” If you can convince people with data, you’ll take a step forward. (…) </w:t>
      </w:r>
      <w:proofErr w:type="gramStart"/>
      <w:r w:rsidRPr="0098539B">
        <w:rPr>
          <w:b w:val="0"/>
          <w:sz w:val="20"/>
        </w:rPr>
        <w:t>so</w:t>
      </w:r>
      <w:proofErr w:type="gramEnd"/>
      <w:r w:rsidRPr="0098539B">
        <w:rPr>
          <w:b w:val="0"/>
          <w:sz w:val="20"/>
        </w:rPr>
        <w:t xml:space="preserve"> show them.”), giving arguments (e.g., “Subject teachers are not language teachers. They think differently, work differently, and want numbers, and numbers can be persuasive. </w:t>
      </w:r>
      <w:proofErr w:type="gramStart"/>
      <w:r w:rsidRPr="0098539B">
        <w:rPr>
          <w:b w:val="0"/>
          <w:sz w:val="20"/>
        </w:rPr>
        <w:t>So</w:t>
      </w:r>
      <w:proofErr w:type="gramEnd"/>
      <w:r w:rsidRPr="0098539B">
        <w:rPr>
          <w:b w:val="0"/>
          <w:sz w:val="20"/>
        </w:rPr>
        <w:t xml:space="preserve"> show them.”) and showing a balanced use of multiple data sources (e.g., collecting data on amount of books read, effect on math results &amp; using evidence-based reading scan), while facilitating critical dialogue through probing questions (e.g., "How often are you reading? That’s where we need to start.").</w:t>
      </w:r>
    </w:p>
    <w:p w14:paraId="149D8D93" w14:textId="188C65F8" w:rsidR="0085362E" w:rsidRPr="0098539B" w:rsidRDefault="0085362E" w:rsidP="0085362E">
      <w:pPr>
        <w:pStyle w:val="MDPI21heading1"/>
        <w:ind w:left="3060"/>
        <w:rPr>
          <w:b w:val="0"/>
          <w:sz w:val="20"/>
        </w:rPr>
      </w:pPr>
      <w:r w:rsidRPr="0098539B">
        <w:rPr>
          <w:b w:val="0"/>
          <w:sz w:val="20"/>
        </w:rPr>
        <w:t>Speaker R: That’s also problematic for a school if no one can handle the data. You must be able to work with data literacy—you need to work with standard deviation, boxplots, and the information they provide. (C2, D2, R2)</w:t>
      </w:r>
    </w:p>
    <w:p w14:paraId="51B3763B" w14:textId="1C19FECF" w:rsidR="0085362E" w:rsidRPr="0098539B" w:rsidRDefault="0085362E" w:rsidP="0085362E">
      <w:pPr>
        <w:pStyle w:val="MDPI21heading1"/>
        <w:ind w:left="3060"/>
        <w:rPr>
          <w:b w:val="0"/>
          <w:sz w:val="20"/>
        </w:rPr>
      </w:pPr>
      <w:r w:rsidRPr="0098539B">
        <w:rPr>
          <w:b w:val="0"/>
          <w:sz w:val="20"/>
        </w:rPr>
        <w:t>Speaker I: In &lt;learning platform&gt;, there’s a possibility to work with data, but apparently, that wasn’t purchased. And among the staff, there’s no data analyst either. (C1, D1, R1)</w:t>
      </w:r>
    </w:p>
    <w:p w14:paraId="6FBDBA96" w14:textId="6CCB8887" w:rsidR="0085362E" w:rsidRPr="0098539B" w:rsidRDefault="0085362E" w:rsidP="0085362E">
      <w:pPr>
        <w:pStyle w:val="MDPI21heading1"/>
        <w:ind w:left="3060"/>
        <w:rPr>
          <w:b w:val="0"/>
          <w:sz w:val="20"/>
        </w:rPr>
      </w:pPr>
      <w:r w:rsidRPr="0098539B">
        <w:rPr>
          <w:b w:val="0"/>
          <w:sz w:val="20"/>
        </w:rPr>
        <w:t xml:space="preserve">Speaker R: You should </w:t>
      </w:r>
      <w:proofErr w:type="gramStart"/>
      <w:r w:rsidRPr="0098539B">
        <w:rPr>
          <w:b w:val="0"/>
          <w:sz w:val="20"/>
        </w:rPr>
        <w:t>definitely look</w:t>
      </w:r>
      <w:proofErr w:type="gramEnd"/>
      <w:r w:rsidRPr="0098539B">
        <w:rPr>
          <w:b w:val="0"/>
          <w:sz w:val="20"/>
        </w:rPr>
        <w:t xml:space="preserve"> for colleagues willing to help. This will also support realizing this initiative. If you can convince people with data, you’ll take a step forward. Who do we want to convince? We all want to win over subject teachers. Subject teachers are not language teachers. They think differently, work differently, and want numbers, and numbers can be persuasive. </w:t>
      </w:r>
      <w:proofErr w:type="gramStart"/>
      <w:r w:rsidRPr="0098539B">
        <w:rPr>
          <w:b w:val="0"/>
          <w:sz w:val="20"/>
        </w:rPr>
        <w:t>So</w:t>
      </w:r>
      <w:proofErr w:type="gramEnd"/>
      <w:r w:rsidRPr="0098539B">
        <w:rPr>
          <w:b w:val="0"/>
          <w:sz w:val="20"/>
        </w:rPr>
        <w:t xml:space="preserve"> show them. For example, "We started with zero books; students had never read a book before. Now </w:t>
      </w:r>
      <w:r w:rsidRPr="0098539B">
        <w:rPr>
          <w:b w:val="0"/>
          <w:sz w:val="20"/>
        </w:rPr>
        <w:lastRenderedPageBreak/>
        <w:t>it’s 27 books." And this is reflected in math results. If you can demonstrate that, you’ve done excellent work, really. Let me check, I printed it out for you. This comes from ‘The Reading Scan.’ Did you also conduct this with your school? I believe you did some time ago. This aspect of the reading policy plan is critical for expanding it across the school. But the key question remains: How often are you reading? That’s where we need to start. From there, we won’t convince teachers if we say, "We read twice a week and have a few results, but they’re not really convincing." That creates a vicious cycle. (C3, D3, R3)</w:t>
      </w:r>
    </w:p>
    <w:p w14:paraId="23C4A8C2" w14:textId="77777777" w:rsidR="004C7D13" w:rsidRPr="0098539B" w:rsidRDefault="004C7D13" w:rsidP="004C7D13">
      <w:pPr>
        <w:pStyle w:val="MDPI21heading1"/>
        <w:rPr>
          <w:b w:val="0"/>
          <w:sz w:val="20"/>
        </w:rPr>
      </w:pPr>
    </w:p>
    <w:p w14:paraId="460326D0" w14:textId="7A9173CB" w:rsidR="008E5D0B" w:rsidRPr="0098539B" w:rsidRDefault="004C7D13" w:rsidP="00AA1154">
      <w:pPr>
        <w:pStyle w:val="MDPI21heading1"/>
      </w:pPr>
      <w:r w:rsidRPr="0098539B">
        <w:t>5</w:t>
      </w:r>
      <w:r w:rsidR="008E5D0B" w:rsidRPr="0098539B">
        <w:t>. Discussion</w:t>
      </w:r>
    </w:p>
    <w:p w14:paraId="51B2A1AF" w14:textId="7A527913" w:rsidR="0085362E" w:rsidRPr="0098539B" w:rsidRDefault="0085362E" w:rsidP="0085362E">
      <w:pPr>
        <w:pStyle w:val="MDPI21heading1"/>
        <w:rPr>
          <w:b w:val="0"/>
          <w:sz w:val="20"/>
        </w:rPr>
      </w:pPr>
      <w:r w:rsidRPr="0098539B">
        <w:rPr>
          <w:b w:val="0"/>
          <w:sz w:val="20"/>
        </w:rPr>
        <w:t xml:space="preserve">This study explored the measurement of reflective inquiry and its varying levels, as well as their prevalence within PLNs. The use of a coding framework to measure reflective inquiry provides a structured way to assess dialogue. This is reflected in the interrater reliability of </w:t>
      </w:r>
      <w:proofErr w:type="spellStart"/>
      <w:r w:rsidR="00770387" w:rsidRPr="0098539B">
        <w:rPr>
          <w:b w:val="0"/>
          <w:sz w:val="20"/>
        </w:rPr>
        <w:t>Krippendorff’s</w:t>
      </w:r>
      <w:proofErr w:type="spellEnd"/>
      <w:r w:rsidR="00770387" w:rsidRPr="0098539B">
        <w:rPr>
          <w:b w:val="0"/>
          <w:sz w:val="20"/>
        </w:rPr>
        <w:t xml:space="preserve"> Alpha of 0.904.</w:t>
      </w:r>
    </w:p>
    <w:p w14:paraId="4CF1943C" w14:textId="10E3AA62" w:rsidR="0085362E" w:rsidRPr="0098539B" w:rsidRDefault="0085362E" w:rsidP="0085362E">
      <w:pPr>
        <w:pStyle w:val="MDPI21heading1"/>
        <w:rPr>
          <w:b w:val="0"/>
          <w:sz w:val="20"/>
        </w:rPr>
      </w:pPr>
      <w:r w:rsidRPr="0098539B">
        <w:rPr>
          <w:b w:val="0"/>
          <w:sz w:val="20"/>
        </w:rPr>
        <w:t xml:space="preserve">The interrater reliability with ChatGPT was below the acceptable threshold, suggesting that the complexity of the framework exceeds the current capabilities of ChatGPT. This finding aligns with observations by </w:t>
      </w:r>
      <w:proofErr w:type="spellStart"/>
      <w:r w:rsidRPr="0098539B">
        <w:rPr>
          <w:b w:val="0"/>
          <w:sz w:val="20"/>
        </w:rPr>
        <w:t>Theelen</w:t>
      </w:r>
      <w:proofErr w:type="spellEnd"/>
      <w:r w:rsidRPr="0098539B">
        <w:rPr>
          <w:b w:val="0"/>
          <w:sz w:val="20"/>
        </w:rPr>
        <w:t xml:space="preserve"> et al. (2024), who noted that AI tools struggle when labels are not explicitly present in the text, as they lack the ability to accurately infer contextual cues. Similarly, </w:t>
      </w:r>
      <w:proofErr w:type="spellStart"/>
      <w:r w:rsidRPr="0098539B">
        <w:rPr>
          <w:b w:val="0"/>
          <w:sz w:val="20"/>
        </w:rPr>
        <w:t>Khademi</w:t>
      </w:r>
      <w:proofErr w:type="spellEnd"/>
      <w:r w:rsidRPr="0098539B">
        <w:rPr>
          <w:b w:val="0"/>
          <w:sz w:val="20"/>
        </w:rPr>
        <w:t xml:space="preserve"> (2023) demonstrated that AI tools underperform compared to human experts when tasked with evaluating complex constructs, particularly due to challenges in interpreting semantic and pragmatic nuances. </w:t>
      </w:r>
      <w:proofErr w:type="spellStart"/>
      <w:r w:rsidRPr="0098539B">
        <w:rPr>
          <w:b w:val="0"/>
          <w:sz w:val="20"/>
        </w:rPr>
        <w:t>Farrokhnia</w:t>
      </w:r>
      <w:proofErr w:type="spellEnd"/>
      <w:r w:rsidRPr="0098539B">
        <w:rPr>
          <w:b w:val="0"/>
          <w:sz w:val="20"/>
        </w:rPr>
        <w:t xml:space="preserve"> et al. (2023) further highlighted that ChatGPT lacks a deep understanding of the meaning behind the words it processes. While it recognizes patterns and generates plausible responses, its inability to grasp underlying concepts limits its performance, especially in tasks requiring higher-order thinking skills such as critical and analytical reasoning (Rudolph et al., 2023). These limitations are likely compounded in our study, where distinguishing between nuanced levels of </w:t>
      </w:r>
      <w:r w:rsidR="000C2276" w:rsidRPr="0098539B">
        <w:rPr>
          <w:b w:val="0"/>
          <w:sz w:val="20"/>
        </w:rPr>
        <w:t xml:space="preserve">collaborative </w:t>
      </w:r>
      <w:r w:rsidRPr="0098539B">
        <w:rPr>
          <w:b w:val="0"/>
          <w:sz w:val="20"/>
        </w:rPr>
        <w:t>dialogue, data use, and reflection requires not only textual analysis but also an understanding of the broader context, reasoning, and intent behind the contributions.</w:t>
      </w:r>
    </w:p>
    <w:p w14:paraId="6AD09D95" w14:textId="37BFA4CE" w:rsidR="0085362E" w:rsidRPr="0098539B" w:rsidRDefault="0085362E" w:rsidP="0085362E">
      <w:pPr>
        <w:pStyle w:val="MDPI21heading1"/>
        <w:rPr>
          <w:b w:val="0"/>
          <w:sz w:val="20"/>
        </w:rPr>
      </w:pPr>
      <w:r w:rsidRPr="0098539B">
        <w:rPr>
          <w:b w:val="0"/>
          <w:sz w:val="20"/>
        </w:rPr>
        <w:t>The results indicate that conversations within PLNs are primarily characterized by free-flow interactions (C1) and a preference for personal experiences (D1), with little examples of critical reflection</w:t>
      </w:r>
      <w:r w:rsidR="00F41BE2" w:rsidRPr="0098539B">
        <w:rPr>
          <w:b w:val="0"/>
          <w:sz w:val="20"/>
        </w:rPr>
        <w:t xml:space="preserve"> (R3)</w:t>
      </w:r>
      <w:r w:rsidRPr="0098539B">
        <w:rPr>
          <w:b w:val="0"/>
          <w:sz w:val="20"/>
        </w:rPr>
        <w:t xml:space="preserve">. </w:t>
      </w:r>
    </w:p>
    <w:p w14:paraId="603A4A86" w14:textId="0834537B" w:rsidR="0085362E" w:rsidRPr="0098539B" w:rsidRDefault="002B2CFC" w:rsidP="002B2CFC">
      <w:pPr>
        <w:pStyle w:val="MDPI21heading1"/>
        <w:rPr>
          <w:b w:val="0"/>
          <w:sz w:val="20"/>
        </w:rPr>
      </w:pPr>
      <w:r w:rsidRPr="0098539B">
        <w:rPr>
          <w:b w:val="0"/>
          <w:sz w:val="20"/>
        </w:rPr>
        <w:t xml:space="preserve">One plausible explanation for the predominance of free-flow interaction (C1: 64.37%) is group dynamics. Katz and Dack (2014) observe that groups tend to settle on areas of agreement, which can limit the range of perspectives explored and reduce opportunities for challenging existing thinking. Similarly, Earl and Timperley (2008) found that while participants often demonstrate respect and support for one another, they may hesitate to challenge others' interpretations or actions. This highlights that psychological safety and trust are essential for participants to share challenges, reflect on failures, and question existing practices without fear of judgment, which is a prerequisite for critical and transformative dialogue (Katz &amp; Earl, 2010). Additionally, participants' professional backgrounds and work experience influence group dynamics. More experienced teachers may bring rich professional knowledge, but if discussions are hierarchical, they may limit open inquiry and mutual learning rather than encourage critical engagement (York-Barr et al., 2016). Beyond group dynamics, individual competencies also play a crucial role in shaping critical conversations. The depth of critical discussions depends </w:t>
      </w:r>
      <w:r w:rsidRPr="0098539B">
        <w:rPr>
          <w:b w:val="0"/>
          <w:sz w:val="20"/>
        </w:rPr>
        <w:lastRenderedPageBreak/>
        <w:t>on participants' ability to ask probing questions, analyze information, and engage in reflective dialogue (Rodgers, 2002; Katz &amp; Earl, 2010). This illustrates the complexity of fostering the critical dialogue needed for transformational learning (Katz &amp; Dack, 2014).</w:t>
      </w:r>
      <w:r w:rsidR="0085362E" w:rsidRPr="0098539B">
        <w:rPr>
          <w:b w:val="0"/>
          <w:sz w:val="20"/>
        </w:rPr>
        <w:t xml:space="preserve"> </w:t>
      </w:r>
      <w:r w:rsidR="000D018A" w:rsidRPr="0098539B">
        <w:rPr>
          <w:b w:val="0"/>
          <w:sz w:val="20"/>
        </w:rPr>
        <w:t xml:space="preserve">Although low levels of critical dialogue require more intentional facilitation to foster substantive changes in practice, they may still contribute positively by enhancing job satisfaction and motivation. </w:t>
      </w:r>
      <w:r w:rsidR="007A3FF7" w:rsidRPr="0098539B">
        <w:rPr>
          <w:b w:val="0"/>
          <w:sz w:val="20"/>
        </w:rPr>
        <w:t>T</w:t>
      </w:r>
      <w:r w:rsidR="0085362E" w:rsidRPr="0098539B">
        <w:rPr>
          <w:b w:val="0"/>
          <w:sz w:val="20"/>
        </w:rPr>
        <w:t>he patterns of coll</w:t>
      </w:r>
      <w:r w:rsidR="000C2276" w:rsidRPr="0098539B">
        <w:rPr>
          <w:b w:val="0"/>
          <w:sz w:val="20"/>
        </w:rPr>
        <w:t>aborative</w:t>
      </w:r>
      <w:r w:rsidR="0085362E" w:rsidRPr="0098539B">
        <w:rPr>
          <w:b w:val="0"/>
          <w:sz w:val="20"/>
        </w:rPr>
        <w:t xml:space="preserve"> dialogue observed in this study are consistent with Little’s (1990) findings that interactions focused on mutual assistance and sharing may contribute to teacher satisfaction but are less likely to drive innovation or significant instructional changes. A recent review similarly </w:t>
      </w:r>
      <w:proofErr w:type="gramStart"/>
      <w:r w:rsidR="0085362E" w:rsidRPr="0098539B">
        <w:rPr>
          <w:b w:val="0"/>
          <w:sz w:val="20"/>
        </w:rPr>
        <w:t>highlight</w:t>
      </w:r>
      <w:proofErr w:type="gramEnd"/>
      <w:r w:rsidR="0085362E" w:rsidRPr="0098539B">
        <w:rPr>
          <w:b w:val="0"/>
          <w:sz w:val="20"/>
        </w:rPr>
        <w:t xml:space="preserve"> that while PLNs are associated with positive effects on PLN members’ motivation and well-being, their impact on practice and school-level change can vary (</w:t>
      </w:r>
      <w:proofErr w:type="spellStart"/>
      <w:r w:rsidR="00050619" w:rsidRPr="0098539B">
        <w:rPr>
          <w:b w:val="0"/>
          <w:sz w:val="20"/>
        </w:rPr>
        <w:t>Warmoes</w:t>
      </w:r>
      <w:proofErr w:type="spellEnd"/>
      <w:r w:rsidR="00050619" w:rsidRPr="0098539B">
        <w:rPr>
          <w:b w:val="0"/>
          <w:sz w:val="20"/>
        </w:rPr>
        <w:t xml:space="preserve"> </w:t>
      </w:r>
      <w:r w:rsidR="00D42C20" w:rsidRPr="0098539B">
        <w:rPr>
          <w:b w:val="0"/>
          <w:sz w:val="20"/>
        </w:rPr>
        <w:t xml:space="preserve">et al., </w:t>
      </w:r>
      <w:r w:rsidR="0085362E" w:rsidRPr="0098539B">
        <w:rPr>
          <w:b w:val="0"/>
          <w:sz w:val="20"/>
        </w:rPr>
        <w:t>2025). It seems plausible that conversations characterized by lower levels of reflective inquiry may enhance job satisfaction but require more intentional facilitation to foster substantive changes in practice.</w:t>
      </w:r>
      <w:r w:rsidR="004B2A7C" w:rsidRPr="0098539B">
        <w:rPr>
          <w:b w:val="0"/>
          <w:sz w:val="20"/>
        </w:rPr>
        <w:t xml:space="preserve"> </w:t>
      </w:r>
    </w:p>
    <w:p w14:paraId="3749D803" w14:textId="1F75D09D" w:rsidR="0085362E" w:rsidRPr="0098539B" w:rsidRDefault="0085362E" w:rsidP="0085362E">
      <w:pPr>
        <w:pStyle w:val="MDPI21heading1"/>
        <w:rPr>
          <w:b w:val="0"/>
          <w:sz w:val="20"/>
        </w:rPr>
      </w:pPr>
      <w:r w:rsidRPr="0098539B">
        <w:rPr>
          <w:b w:val="0"/>
          <w:sz w:val="20"/>
        </w:rPr>
        <w:t>The frequent use of personal experiences (92.</w:t>
      </w:r>
      <w:r w:rsidR="00FE2C17" w:rsidRPr="0098539B">
        <w:rPr>
          <w:b w:val="0"/>
          <w:sz w:val="20"/>
        </w:rPr>
        <w:t>5</w:t>
      </w:r>
      <w:r w:rsidRPr="0098539B">
        <w:rPr>
          <w:b w:val="0"/>
          <w:sz w:val="20"/>
        </w:rPr>
        <w:t xml:space="preserve">7%) aligns with </w:t>
      </w:r>
      <w:proofErr w:type="spellStart"/>
      <w:r w:rsidRPr="0098539B">
        <w:rPr>
          <w:b w:val="0"/>
          <w:sz w:val="20"/>
        </w:rPr>
        <w:t>Schildkamp</w:t>
      </w:r>
      <w:proofErr w:type="spellEnd"/>
      <w:r w:rsidRPr="0098539B">
        <w:rPr>
          <w:b w:val="0"/>
          <w:sz w:val="20"/>
        </w:rPr>
        <w:t xml:space="preserve"> and </w:t>
      </w:r>
      <w:proofErr w:type="spellStart"/>
      <w:r w:rsidRPr="0098539B">
        <w:rPr>
          <w:b w:val="0"/>
          <w:sz w:val="20"/>
        </w:rPr>
        <w:t>Datnow’s</w:t>
      </w:r>
      <w:proofErr w:type="spellEnd"/>
      <w:r w:rsidRPr="0098539B">
        <w:rPr>
          <w:b w:val="0"/>
          <w:sz w:val="20"/>
        </w:rPr>
        <w:t xml:space="preserve"> (2020) findings that team conversations often center around storytelling and describing, rather than integrating diverse data sources. Earl and Timperley (2008) argue that incorporating evidence into conversations requires not only bringing data into discussions but also fostering a mindset that challenges ideas and promotes the creation of new knowledge. </w:t>
      </w:r>
      <w:r w:rsidR="00354998" w:rsidRPr="0098539B">
        <w:rPr>
          <w:b w:val="0"/>
          <w:sz w:val="20"/>
        </w:rPr>
        <w:t xml:space="preserve">However, this process does not occur spontaneously—it requires explicit support to develop inquiry skills, such as the ability to analyze data and generate insights (Ciampa &amp; Gallagher, 2016). </w:t>
      </w:r>
      <w:r w:rsidRPr="0098539B">
        <w:rPr>
          <w:b w:val="0"/>
          <w:sz w:val="20"/>
        </w:rPr>
        <w:t>Encouraging the use of multiple data sources and supporting teams in connecting diverse evidence can contribute to richer discussions and more actionable insights (</w:t>
      </w:r>
      <w:proofErr w:type="spellStart"/>
      <w:r w:rsidRPr="0098539B">
        <w:rPr>
          <w:b w:val="0"/>
          <w:sz w:val="20"/>
        </w:rPr>
        <w:t>Kintz</w:t>
      </w:r>
      <w:proofErr w:type="spellEnd"/>
      <w:r w:rsidRPr="0098539B">
        <w:rPr>
          <w:b w:val="0"/>
          <w:sz w:val="20"/>
        </w:rPr>
        <w:t xml:space="preserve"> et al., 2015; </w:t>
      </w:r>
      <w:proofErr w:type="spellStart"/>
      <w:r w:rsidRPr="0098539B">
        <w:rPr>
          <w:b w:val="0"/>
          <w:sz w:val="20"/>
        </w:rPr>
        <w:t>Schildkamp</w:t>
      </w:r>
      <w:proofErr w:type="spellEnd"/>
      <w:r w:rsidRPr="0098539B">
        <w:rPr>
          <w:b w:val="0"/>
          <w:sz w:val="20"/>
        </w:rPr>
        <w:t xml:space="preserve"> &amp; </w:t>
      </w:r>
      <w:proofErr w:type="spellStart"/>
      <w:r w:rsidRPr="0098539B">
        <w:rPr>
          <w:b w:val="0"/>
          <w:sz w:val="20"/>
        </w:rPr>
        <w:t>Datnow</w:t>
      </w:r>
      <w:proofErr w:type="spellEnd"/>
      <w:r w:rsidRPr="0098539B">
        <w:rPr>
          <w:b w:val="0"/>
          <w:sz w:val="20"/>
        </w:rPr>
        <w:t>, 2020).</w:t>
      </w:r>
      <w:r w:rsidR="00321DED" w:rsidRPr="0098539B">
        <w:rPr>
          <w:b w:val="0"/>
          <w:sz w:val="20"/>
        </w:rPr>
        <w:t xml:space="preserve"> </w:t>
      </w:r>
    </w:p>
    <w:p w14:paraId="26F0C30F" w14:textId="2C6CE4C5" w:rsidR="0085362E" w:rsidRPr="0098539B" w:rsidRDefault="0085362E" w:rsidP="0085362E">
      <w:pPr>
        <w:pStyle w:val="MDPI21heading1"/>
        <w:rPr>
          <w:b w:val="0"/>
          <w:sz w:val="20"/>
        </w:rPr>
      </w:pPr>
      <w:r w:rsidRPr="0098539B">
        <w:rPr>
          <w:b w:val="0"/>
          <w:sz w:val="20"/>
        </w:rPr>
        <w:t xml:space="preserve">Instances of R3-level reflections were relatively uncommon, reflecting the difficulty of fostering internal attribution and critical self-examination (El-Dib, 2006). Similarly, Earl &amp; Timperley (2008) noted how hard it is to penetrate tacit knowledge, make it explicit and move learning forward on a new level. </w:t>
      </w:r>
      <w:r w:rsidR="00E16004" w:rsidRPr="0098539B">
        <w:rPr>
          <w:b w:val="0"/>
          <w:sz w:val="20"/>
        </w:rPr>
        <w:t>The capacity to engage in reflective dialogue varies between participants based on their previous training, openness to critique, and ability to connect insights to practice (</w:t>
      </w:r>
      <w:proofErr w:type="spellStart"/>
      <w:r w:rsidR="00E16004" w:rsidRPr="0098539B">
        <w:rPr>
          <w:b w:val="0"/>
          <w:sz w:val="20"/>
        </w:rPr>
        <w:t>Alzayed</w:t>
      </w:r>
      <w:proofErr w:type="spellEnd"/>
      <w:r w:rsidR="00E16004" w:rsidRPr="0098539B">
        <w:rPr>
          <w:b w:val="0"/>
          <w:sz w:val="20"/>
        </w:rPr>
        <w:t xml:space="preserve"> &amp; </w:t>
      </w:r>
      <w:proofErr w:type="spellStart"/>
      <w:r w:rsidR="00E16004" w:rsidRPr="0098539B">
        <w:rPr>
          <w:b w:val="0"/>
          <w:sz w:val="20"/>
        </w:rPr>
        <w:t>Alabdulkareem</w:t>
      </w:r>
      <w:proofErr w:type="spellEnd"/>
      <w:r w:rsidR="00E16004" w:rsidRPr="0098539B">
        <w:rPr>
          <w:b w:val="0"/>
          <w:sz w:val="20"/>
        </w:rPr>
        <w:t xml:space="preserve">, 2020). </w:t>
      </w:r>
      <w:r w:rsidRPr="0098539B">
        <w:rPr>
          <w:b w:val="0"/>
          <w:sz w:val="20"/>
        </w:rPr>
        <w:t xml:space="preserve">Kuh (2015) also highlights that, without structured processes to guide discussions toward examining teaching and learning, conversations can shift toward general issues, missing opportunities for deeper critical reflection. </w:t>
      </w:r>
    </w:p>
    <w:p w14:paraId="21275255" w14:textId="1EADABB2" w:rsidR="0085362E" w:rsidRPr="0098539B" w:rsidRDefault="0085362E" w:rsidP="00C66725">
      <w:pPr>
        <w:pStyle w:val="MDPI21heading1"/>
        <w:rPr>
          <w:b w:val="0"/>
          <w:sz w:val="20"/>
          <w:szCs w:val="20"/>
        </w:rPr>
      </w:pPr>
      <w:r w:rsidRPr="0098539B">
        <w:rPr>
          <w:b w:val="0"/>
          <w:sz w:val="20"/>
        </w:rPr>
        <w:t>Reflective inquiry was observed in only 0.18% of contributions. While this may reflect the inherent challenges of developing an inquiry stance, as noted by it also underscores the importance of deliberate facilitation in supporting these processes (</w:t>
      </w:r>
      <w:proofErr w:type="spellStart"/>
      <w:r w:rsidRPr="0098539B">
        <w:rPr>
          <w:b w:val="0"/>
          <w:sz w:val="20"/>
        </w:rPr>
        <w:t>Alzayed</w:t>
      </w:r>
      <w:proofErr w:type="spellEnd"/>
      <w:r w:rsidRPr="0098539B">
        <w:rPr>
          <w:b w:val="0"/>
          <w:sz w:val="20"/>
        </w:rPr>
        <w:t xml:space="preserve"> &amp; </w:t>
      </w:r>
      <w:proofErr w:type="spellStart"/>
      <w:r w:rsidRPr="0098539B">
        <w:rPr>
          <w:b w:val="0"/>
          <w:sz w:val="20"/>
        </w:rPr>
        <w:t>Alabdulkareem</w:t>
      </w:r>
      <w:proofErr w:type="spellEnd"/>
      <w:r w:rsidRPr="0098539B">
        <w:rPr>
          <w:b w:val="0"/>
          <w:sz w:val="20"/>
        </w:rPr>
        <w:t xml:space="preserve">, 2020). Facilitators emerged as key contributors to deeper levels of reflective inquiry, with a disproportionate share of contributions at C3, D3, and R3 levels. This finding aligns with research highlighting the role of skilled facilitators in disrupting entrenched thinking, modeling reflective practices, and encouraging critical dialogue </w:t>
      </w:r>
      <w:r w:rsidRPr="0098539B">
        <w:rPr>
          <w:b w:val="0"/>
          <w:bCs/>
          <w:sz w:val="20"/>
          <w:szCs w:val="20"/>
        </w:rPr>
        <w:t xml:space="preserve">(Fisher-Yoshida &amp; Yoshida, 2018; Katz &amp; Dack, 2013). Similarly, </w:t>
      </w:r>
      <w:proofErr w:type="spellStart"/>
      <w:r w:rsidRPr="0098539B">
        <w:rPr>
          <w:b w:val="0"/>
          <w:bCs/>
          <w:sz w:val="20"/>
          <w:szCs w:val="20"/>
        </w:rPr>
        <w:t>Murugaiah</w:t>
      </w:r>
      <w:proofErr w:type="spellEnd"/>
      <w:r w:rsidRPr="0098539B">
        <w:rPr>
          <w:b w:val="0"/>
          <w:bCs/>
          <w:sz w:val="20"/>
          <w:szCs w:val="20"/>
        </w:rPr>
        <w:t xml:space="preserve"> et al. (2012) emphasized the critical role of facilitators in advancing learning processes, particularly in resolution and critical thinking. These findings suggest</w:t>
      </w:r>
      <w:r w:rsidRPr="0098539B">
        <w:rPr>
          <w:b w:val="0"/>
          <w:sz w:val="20"/>
          <w:szCs w:val="20"/>
        </w:rPr>
        <w:t xml:space="preserve"> that facilitators play an essential role in creating the conditions for reflective inquiry and supporting teams in achieving higher levels of engagement and learning.</w:t>
      </w:r>
    </w:p>
    <w:p w14:paraId="2AB7AD10" w14:textId="0B965429" w:rsidR="008E5D0B" w:rsidRPr="0098539B" w:rsidRDefault="004C7D13" w:rsidP="0085362E">
      <w:pPr>
        <w:pStyle w:val="MDPI21heading1"/>
      </w:pPr>
      <w:r w:rsidRPr="0098539B">
        <w:t>6</w:t>
      </w:r>
      <w:r w:rsidR="008E5D0B" w:rsidRPr="0098539B">
        <w:t>. Conclusions</w:t>
      </w:r>
    </w:p>
    <w:p w14:paraId="671C7176" w14:textId="4BB251B4" w:rsidR="0085362E" w:rsidRPr="0098539B" w:rsidRDefault="0085362E" w:rsidP="0085362E">
      <w:pPr>
        <w:pStyle w:val="MDPI21heading1"/>
        <w:rPr>
          <w:b w:val="0"/>
          <w:sz w:val="20"/>
        </w:rPr>
      </w:pPr>
      <w:r w:rsidRPr="0098539B">
        <w:rPr>
          <w:b w:val="0"/>
          <w:sz w:val="20"/>
        </w:rPr>
        <w:lastRenderedPageBreak/>
        <w:t>This study examined how reflective inquiry can be measured and its prevalence within PLNs. The first research question asked, "How can reflective inquiry in conversations within PLNs be measured?” Findings demonstrate that reflective inquiry can be measured using a coding framework that categorizes dialogue into three dimensions: the degree of coll</w:t>
      </w:r>
      <w:r w:rsidR="000C2276" w:rsidRPr="0098539B">
        <w:rPr>
          <w:b w:val="0"/>
          <w:sz w:val="20"/>
        </w:rPr>
        <w:t>aborative</w:t>
      </w:r>
      <w:r w:rsidRPr="0098539B">
        <w:rPr>
          <w:b w:val="0"/>
          <w:sz w:val="20"/>
        </w:rPr>
        <w:t xml:space="preserve"> dialogue (C1–C3), the degree of use of data sources (D1–D3), and the depth of reflection (R1–R3). This framework provides a structured method for analyzing dialogue by identifying contributions ranging from basic level interactions and reliance on informal data to those involving critical dialogue, balanced use of multiple data sources, and internal attribution. This is reflected in the interrater reliability of </w:t>
      </w:r>
      <w:proofErr w:type="spellStart"/>
      <w:r w:rsidR="00671FA7" w:rsidRPr="0098539B">
        <w:rPr>
          <w:b w:val="0"/>
          <w:sz w:val="20"/>
        </w:rPr>
        <w:t>Krippendorff’s</w:t>
      </w:r>
      <w:proofErr w:type="spellEnd"/>
      <w:r w:rsidR="00671FA7" w:rsidRPr="0098539B">
        <w:rPr>
          <w:b w:val="0"/>
          <w:sz w:val="20"/>
        </w:rPr>
        <w:t xml:space="preserve"> Alpha of 0.904. </w:t>
      </w:r>
      <w:r w:rsidR="0019594F" w:rsidRPr="0098539B">
        <w:rPr>
          <w:b w:val="0"/>
          <w:sz w:val="20"/>
        </w:rPr>
        <w:t xml:space="preserve">For the second research question—"How can AI be used to support this measurement approach?"—we examined ChatGPT's ability to independently code the data based on the coding framework. </w:t>
      </w:r>
      <w:r w:rsidRPr="0098539B">
        <w:rPr>
          <w:b w:val="0"/>
          <w:sz w:val="20"/>
        </w:rPr>
        <w:t xml:space="preserve">The interrater reliability with ChatGPT was below the acceptable threshold, suggesting that the complexity of the framework exceeds the current capabilities of ChatGPT. </w:t>
      </w:r>
    </w:p>
    <w:p w14:paraId="4646BABC" w14:textId="6D2DA76E" w:rsidR="0085362E" w:rsidRPr="0098539B" w:rsidRDefault="0085362E" w:rsidP="0085362E">
      <w:pPr>
        <w:pStyle w:val="MDPI21heading1"/>
        <w:rPr>
          <w:b w:val="0"/>
          <w:sz w:val="20"/>
        </w:rPr>
      </w:pPr>
      <w:r w:rsidRPr="0098539B">
        <w:rPr>
          <w:b w:val="0"/>
          <w:sz w:val="20"/>
        </w:rPr>
        <w:t xml:space="preserve">The </w:t>
      </w:r>
      <w:r w:rsidR="009B0C51" w:rsidRPr="0098539B">
        <w:rPr>
          <w:b w:val="0"/>
          <w:sz w:val="20"/>
        </w:rPr>
        <w:t>third</w:t>
      </w:r>
      <w:r w:rsidRPr="0098539B">
        <w:rPr>
          <w:b w:val="0"/>
          <w:sz w:val="20"/>
        </w:rPr>
        <w:t xml:space="preserve"> research question asked, "What insights does this measurement approach provide about the different types of reflective inquiry occurring in PLNs?". Findings indicate that </w:t>
      </w:r>
      <w:proofErr w:type="gramStart"/>
      <w:r w:rsidRPr="0098539B">
        <w:rPr>
          <w:b w:val="0"/>
          <w:sz w:val="20"/>
        </w:rPr>
        <w:t>the majority of</w:t>
      </w:r>
      <w:proofErr w:type="gramEnd"/>
      <w:r w:rsidRPr="0098539B">
        <w:rPr>
          <w:b w:val="0"/>
          <w:sz w:val="20"/>
        </w:rPr>
        <w:t xml:space="preserve"> dialogue within PLNs consisted of free-flow conversation (C1: 64.</w:t>
      </w:r>
      <w:r w:rsidR="00517B68" w:rsidRPr="0098539B">
        <w:rPr>
          <w:b w:val="0"/>
          <w:sz w:val="20"/>
        </w:rPr>
        <w:t>37</w:t>
      </w:r>
      <w:r w:rsidRPr="0098539B">
        <w:rPr>
          <w:b w:val="0"/>
          <w:sz w:val="20"/>
        </w:rPr>
        <w:t>%) and reliance on personal experience (D1: 92.</w:t>
      </w:r>
      <w:r w:rsidR="00517B68" w:rsidRPr="0098539B">
        <w:rPr>
          <w:b w:val="0"/>
          <w:sz w:val="20"/>
        </w:rPr>
        <w:t>5</w:t>
      </w:r>
      <w:r w:rsidRPr="0098539B">
        <w:rPr>
          <w:b w:val="0"/>
          <w:sz w:val="20"/>
        </w:rPr>
        <w:t>7%) and descriptive reflection (R1: 79</w:t>
      </w:r>
      <w:r w:rsidR="00517B68" w:rsidRPr="0098539B">
        <w:rPr>
          <w:b w:val="0"/>
          <w:sz w:val="20"/>
        </w:rPr>
        <w:t>.82</w:t>
      </w:r>
      <w:r w:rsidRPr="0098539B">
        <w:rPr>
          <w:b w:val="0"/>
          <w:sz w:val="20"/>
        </w:rPr>
        <w:t>%). True reflective inquiry was observed in 0.18% of contributions and was exclusively associated with facilitators. This shows that facilitators play an important role in modeling and fostering higher levels of reflective inquiry.</w:t>
      </w:r>
    </w:p>
    <w:p w14:paraId="685065FE" w14:textId="571AD3A7" w:rsidR="008E5D0B" w:rsidRPr="0098539B" w:rsidRDefault="004C7D13" w:rsidP="008B2D97">
      <w:pPr>
        <w:pStyle w:val="Kop1"/>
        <w:jc w:val="center"/>
        <w:rPr>
          <w:rFonts w:cs="Times New Roman"/>
          <w:bCs/>
          <w:szCs w:val="24"/>
          <w:lang w:val="en-US"/>
        </w:rPr>
      </w:pPr>
      <w:r w:rsidRPr="0098539B">
        <w:rPr>
          <w:lang w:val="en-US"/>
        </w:rPr>
        <w:t>7</w:t>
      </w:r>
      <w:r w:rsidR="008E5D0B" w:rsidRPr="0098539B">
        <w:rPr>
          <w:lang w:val="en-US"/>
        </w:rPr>
        <w:t xml:space="preserve">. </w:t>
      </w:r>
      <w:r w:rsidR="0085362E" w:rsidRPr="0098539B">
        <w:rPr>
          <w:rFonts w:cs="Times New Roman"/>
          <w:bCs/>
          <w:szCs w:val="24"/>
          <w:lang w:val="en-US"/>
        </w:rPr>
        <w:t>Limitations and suggestions for future research</w:t>
      </w:r>
    </w:p>
    <w:p w14:paraId="250BBEA9" w14:textId="77777777" w:rsidR="0085362E" w:rsidRPr="0098539B" w:rsidRDefault="0085362E" w:rsidP="0085362E">
      <w:pPr>
        <w:pStyle w:val="MDPI62backmatter"/>
        <w:spacing w:before="240"/>
        <w:rPr>
          <w:sz w:val="20"/>
          <w:szCs w:val="22"/>
          <w:lang w:eastAsia="de-DE"/>
        </w:rPr>
      </w:pPr>
      <w:r w:rsidRPr="0098539B">
        <w:rPr>
          <w:sz w:val="20"/>
          <w:szCs w:val="22"/>
          <w:lang w:eastAsia="de-DE"/>
        </w:rPr>
        <w:t>This study provides insights into reflective inquiry within PLNs, but there are some limitations. First, the research was conducted in a natural setting without an intervention designed to promote reflective inquiry. While the PLNs aimed to foster learning, data use, and changes in practice, reflective inquiry was not explicitly stimulated. As a result, the findings reflect existing practices rather than the potential impact of targeted interventions.</w:t>
      </w:r>
    </w:p>
    <w:p w14:paraId="4E9E30E9" w14:textId="77777777" w:rsidR="0085362E" w:rsidRPr="0098539B" w:rsidRDefault="0085362E" w:rsidP="0085362E">
      <w:pPr>
        <w:pStyle w:val="MDPI62backmatter"/>
        <w:spacing w:before="240"/>
        <w:rPr>
          <w:sz w:val="20"/>
          <w:szCs w:val="22"/>
          <w:lang w:eastAsia="de-DE"/>
        </w:rPr>
      </w:pPr>
      <w:r w:rsidRPr="0098539B">
        <w:rPr>
          <w:sz w:val="20"/>
          <w:szCs w:val="22"/>
          <w:lang w:eastAsia="de-DE"/>
        </w:rPr>
        <w:t>Second, the study does not account for changes in behavior resulting from reflective inquiry. Although the conversations analyzed demonstrated instances of reflective inquiry, it is not possible to determine whether these interactions directly influenced meaningful changes in practice. The framework isolates the dialogue itself and does not account for contextual factors that may mediate the translation of reflective inquiry into change.</w:t>
      </w:r>
    </w:p>
    <w:p w14:paraId="25C73A7B" w14:textId="77777777" w:rsidR="0085362E" w:rsidRPr="0098539B" w:rsidRDefault="0085362E" w:rsidP="0085362E">
      <w:pPr>
        <w:pStyle w:val="MDPI62backmatter"/>
        <w:spacing w:before="240"/>
        <w:rPr>
          <w:sz w:val="20"/>
          <w:szCs w:val="22"/>
          <w:lang w:eastAsia="de-DE"/>
        </w:rPr>
      </w:pPr>
      <w:r w:rsidRPr="0098539B">
        <w:rPr>
          <w:sz w:val="20"/>
          <w:szCs w:val="22"/>
          <w:lang w:eastAsia="de-DE"/>
        </w:rPr>
        <w:t>Third, while the coding framework provides a structured method for analyzing conversation, the reliance on a purposive sample comprising 10% of the data, although consistent with theoretical sampling principles, may limit the generalizability of the findings.</w:t>
      </w:r>
    </w:p>
    <w:p w14:paraId="2C903977" w14:textId="08BA17C1" w:rsidR="0085362E" w:rsidRPr="0098539B" w:rsidRDefault="0085362E" w:rsidP="0085362E">
      <w:pPr>
        <w:pStyle w:val="MDPI62backmatter"/>
        <w:spacing w:before="240"/>
        <w:rPr>
          <w:sz w:val="20"/>
          <w:szCs w:val="22"/>
          <w:lang w:eastAsia="de-DE"/>
        </w:rPr>
      </w:pPr>
      <w:r w:rsidRPr="0098539B">
        <w:rPr>
          <w:sz w:val="20"/>
          <w:szCs w:val="22"/>
          <w:lang w:eastAsia="de-DE"/>
        </w:rPr>
        <w:t xml:space="preserve">Future research could build on these findings by expanding the dataset to include a larger and more diverse sample of PLNs, enabling a broader understanding of reflective inquiry across various contexts. </w:t>
      </w:r>
      <w:r w:rsidR="003B407B" w:rsidRPr="0098539B">
        <w:rPr>
          <w:sz w:val="20"/>
          <w:szCs w:val="22"/>
          <w:lang w:eastAsia="de-DE"/>
        </w:rPr>
        <w:t xml:space="preserve">Additionally, investigating how factors such as </w:t>
      </w:r>
      <w:r w:rsidR="003B2942" w:rsidRPr="0098539B">
        <w:rPr>
          <w:sz w:val="20"/>
          <w:szCs w:val="22"/>
          <w:lang w:eastAsia="de-DE"/>
        </w:rPr>
        <w:t xml:space="preserve">facilitation, group composition, </w:t>
      </w:r>
      <w:r w:rsidR="006B1456" w:rsidRPr="0098539B">
        <w:rPr>
          <w:sz w:val="20"/>
          <w:szCs w:val="22"/>
          <w:lang w:eastAsia="de-DE"/>
        </w:rPr>
        <w:t xml:space="preserve">activities, </w:t>
      </w:r>
      <w:r w:rsidR="003B2942" w:rsidRPr="0098539B">
        <w:rPr>
          <w:sz w:val="20"/>
          <w:szCs w:val="22"/>
          <w:lang w:eastAsia="de-DE"/>
        </w:rPr>
        <w:t>trust, collaboration</w:t>
      </w:r>
      <w:r w:rsidR="004016ED" w:rsidRPr="0098539B">
        <w:rPr>
          <w:sz w:val="20"/>
          <w:szCs w:val="22"/>
          <w:lang w:eastAsia="de-DE"/>
        </w:rPr>
        <w:t xml:space="preserve"> and </w:t>
      </w:r>
      <w:r w:rsidR="003B2942" w:rsidRPr="0098539B">
        <w:rPr>
          <w:sz w:val="20"/>
          <w:szCs w:val="22"/>
          <w:lang w:eastAsia="de-DE"/>
        </w:rPr>
        <w:t>individual competencies</w:t>
      </w:r>
      <w:r w:rsidR="006B1456" w:rsidRPr="0098539B">
        <w:rPr>
          <w:sz w:val="20"/>
          <w:szCs w:val="22"/>
          <w:lang w:eastAsia="de-DE"/>
        </w:rPr>
        <w:t xml:space="preserve"> influence </w:t>
      </w:r>
      <w:r w:rsidR="003B407B" w:rsidRPr="0098539B">
        <w:rPr>
          <w:sz w:val="20"/>
          <w:szCs w:val="22"/>
          <w:lang w:eastAsia="de-DE"/>
        </w:rPr>
        <w:t xml:space="preserve">the depth and nature of reflective inquiry would provide valuable insights into how to foster </w:t>
      </w:r>
      <w:r w:rsidR="007B74D6" w:rsidRPr="0098539B">
        <w:rPr>
          <w:sz w:val="20"/>
          <w:szCs w:val="22"/>
          <w:lang w:eastAsia="de-DE"/>
        </w:rPr>
        <w:t>reflective inquiry</w:t>
      </w:r>
      <w:r w:rsidR="003B407B" w:rsidRPr="0098539B">
        <w:rPr>
          <w:sz w:val="20"/>
          <w:szCs w:val="22"/>
          <w:lang w:eastAsia="de-DE"/>
        </w:rPr>
        <w:t xml:space="preserve">. For example, different levels of experience among participants may affect their ability to challenge assumptions and integrate multiple data sources, while group cohesion and facilitation strategies might shape the extent to which probing </w:t>
      </w:r>
      <w:r w:rsidR="003B407B" w:rsidRPr="0098539B">
        <w:rPr>
          <w:sz w:val="20"/>
          <w:szCs w:val="22"/>
          <w:lang w:eastAsia="de-DE"/>
        </w:rPr>
        <w:lastRenderedPageBreak/>
        <w:t xml:space="preserve">questions and constructive discussions emerge. </w:t>
      </w:r>
      <w:r w:rsidRPr="0098539B">
        <w:rPr>
          <w:sz w:val="20"/>
          <w:szCs w:val="22"/>
          <w:lang w:eastAsia="de-DE"/>
        </w:rPr>
        <w:t>Moreover, examining the relationship between reflective inquiry in conversations and measurable changes in teaching practices, student outcomes, or organizational improvement would bridge the gap between reflective inquiry and outcomes.</w:t>
      </w:r>
    </w:p>
    <w:p w14:paraId="0AE53113" w14:textId="77777777" w:rsidR="0050537B" w:rsidRPr="0098539B" w:rsidRDefault="0050537B" w:rsidP="0050537B">
      <w:pPr>
        <w:pStyle w:val="MDPI62backmatter"/>
      </w:pPr>
      <w:bookmarkStart w:id="0" w:name="_Hlk181004646"/>
      <w:r w:rsidRPr="0098539B">
        <w:rPr>
          <w:b/>
        </w:rPr>
        <w:t>Author Contributions:</w:t>
      </w:r>
      <w:r w:rsidRPr="0098539B">
        <w:t xml:space="preserve"> “Conceptualization, A.W., C.B. and E.C.; methodology, A.W.; validation, I.D.; formal analysis, A.W.; investigation, A.W.; data curation, A.W.; writing—original draft preparation, A.W.; writing—review and editing, A.W.; C.B.; E.C.; visualization, A.W.; supervision, E.C.; project administration, A.W.; funding acquisition, E.C. </w:t>
      </w:r>
      <w:r w:rsidRPr="0098539B">
        <w:br/>
        <w:t>All authors have read and agreed to the published version of the manuscript.</w:t>
      </w:r>
    </w:p>
    <w:p w14:paraId="159850D7" w14:textId="77777777" w:rsidR="0050537B" w:rsidRPr="0098539B" w:rsidRDefault="0050537B" w:rsidP="0050537B">
      <w:pPr>
        <w:pStyle w:val="MDPI62backmatter"/>
      </w:pPr>
      <w:r w:rsidRPr="0098539B">
        <w:rPr>
          <w:b/>
        </w:rPr>
        <w:t>Funding:</w:t>
      </w:r>
      <w:r w:rsidRPr="0098539B">
        <w:t xml:space="preserve"> This research was supported by the Ministry of Education in Flanders (Belgium) and is part of a broader project entitled ‘</w:t>
      </w:r>
      <w:proofErr w:type="spellStart"/>
      <w:r w:rsidRPr="0098539B">
        <w:t>Steunpunt</w:t>
      </w:r>
      <w:proofErr w:type="spellEnd"/>
      <w:r w:rsidRPr="0098539B">
        <w:t xml:space="preserve"> Centrale </w:t>
      </w:r>
      <w:proofErr w:type="spellStart"/>
      <w:r w:rsidRPr="0098539B">
        <w:t>Toetsen</w:t>
      </w:r>
      <w:proofErr w:type="spellEnd"/>
      <w:r w:rsidRPr="0098539B">
        <w:t xml:space="preserve"> in </w:t>
      </w:r>
      <w:proofErr w:type="spellStart"/>
      <w:r w:rsidRPr="0098539B">
        <w:t>Onderwijs</w:t>
      </w:r>
      <w:proofErr w:type="spellEnd"/>
      <w:r w:rsidRPr="0098539B">
        <w:t xml:space="preserve">’. The collaboration between the VUB and University of Southampton was funded by FWO grant for a long stay abroad (V450424N). </w:t>
      </w:r>
    </w:p>
    <w:p w14:paraId="0F61FEA8" w14:textId="77777777" w:rsidR="0050537B" w:rsidRPr="0098539B" w:rsidRDefault="0050537B" w:rsidP="0050537B">
      <w:pPr>
        <w:pStyle w:val="MDPI62backmatter"/>
        <w:rPr>
          <w:b/>
        </w:rPr>
      </w:pPr>
      <w:bookmarkStart w:id="1" w:name="_Hlk89945590"/>
      <w:r w:rsidRPr="0098539B">
        <w:rPr>
          <w:b/>
        </w:rPr>
        <w:t xml:space="preserve">Institutional Review Board Statement: </w:t>
      </w:r>
      <w:r w:rsidRPr="0098539B">
        <w:t>The study was conducted in accordance with the Declaration of Helsinki and approved by approved by the Human Sciences Ethics Committee of the Vrije Universiteit Brussel (Approval Code: ECHW_402.02) on the 2nd of February 2023.</w:t>
      </w:r>
    </w:p>
    <w:bookmarkEnd w:id="1"/>
    <w:p w14:paraId="3D732F80" w14:textId="77777777" w:rsidR="0050537B" w:rsidRPr="0098539B" w:rsidRDefault="0050537B" w:rsidP="0050537B">
      <w:pPr>
        <w:pStyle w:val="MDPI62backmatter"/>
        <w:spacing w:after="0"/>
      </w:pPr>
      <w:r w:rsidRPr="0098539B">
        <w:rPr>
          <w:b/>
        </w:rPr>
        <w:t xml:space="preserve">Informed Consent Statement: </w:t>
      </w:r>
      <w:r w:rsidRPr="0098539B">
        <w:t>Written informed consent has been obtained from the participants to publish this paper.</w:t>
      </w:r>
    </w:p>
    <w:p w14:paraId="06F20B62" w14:textId="77777777" w:rsidR="0050537B" w:rsidRPr="0098539B" w:rsidRDefault="0050537B" w:rsidP="0050537B">
      <w:pPr>
        <w:pStyle w:val="MDPI62backmatter"/>
        <w:spacing w:after="0"/>
      </w:pPr>
    </w:p>
    <w:p w14:paraId="0EAB65D4" w14:textId="77777777" w:rsidR="0050537B" w:rsidRPr="0098539B" w:rsidRDefault="0050537B" w:rsidP="0050537B">
      <w:pPr>
        <w:pStyle w:val="MDPI62backmatter"/>
      </w:pPr>
      <w:r w:rsidRPr="0098539B">
        <w:rPr>
          <w:b/>
        </w:rPr>
        <w:t>Conflicts of Interest:</w:t>
      </w:r>
      <w:r w:rsidRPr="0098539B">
        <w:t xml:space="preserve"> The authors declare no conflicts of interest. The funders had no role in the design of the study; in the collection, analyses, or interpretation of data; in the writing of the manuscript; or in the decision to publish the results.</w:t>
      </w:r>
    </w:p>
    <w:p w14:paraId="25D44061" w14:textId="77777777" w:rsidR="00AA1154" w:rsidRPr="0098539B" w:rsidRDefault="00AA1154" w:rsidP="00AA1154">
      <w:pPr>
        <w:pStyle w:val="MDPI21heading1"/>
        <w:rPr>
          <w:szCs w:val="24"/>
        </w:rPr>
      </w:pPr>
      <w:r w:rsidRPr="0098539B">
        <w:rPr>
          <w:szCs w:val="24"/>
        </w:rPr>
        <w:t>Abbreviations</w:t>
      </w:r>
    </w:p>
    <w:p w14:paraId="5AB683D5" w14:textId="77777777" w:rsidR="00AA1154" w:rsidRPr="0098539B" w:rsidRDefault="00AA1154" w:rsidP="00AA1154">
      <w:pPr>
        <w:pStyle w:val="MDPI32textnoindent"/>
        <w:spacing w:after="240"/>
        <w:rPr>
          <w:sz w:val="18"/>
          <w:szCs w:val="18"/>
        </w:rPr>
      </w:pPr>
      <w:r w:rsidRPr="0098539B">
        <w:rPr>
          <w:sz w:val="18"/>
          <w:szCs w:val="18"/>
        </w:rPr>
        <w:t>The following abbreviations are used in this manuscript:</w:t>
      </w:r>
    </w:p>
    <w:tbl>
      <w:tblPr>
        <w:tblStyle w:val="Tabelraster"/>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AA1154" w:rsidRPr="0098539B" w14:paraId="03C462E0" w14:textId="77777777" w:rsidTr="000D20E3">
        <w:tc>
          <w:tcPr>
            <w:tcW w:w="936" w:type="dxa"/>
            <w:shd w:val="clear" w:color="auto" w:fill="auto"/>
            <w:vAlign w:val="center"/>
          </w:tcPr>
          <w:p w14:paraId="26EC74DF" w14:textId="429B6D80" w:rsidR="00AA1154" w:rsidRPr="0098539B" w:rsidRDefault="00160802" w:rsidP="000D20E3">
            <w:pPr>
              <w:pStyle w:val="MDPI42tablebody"/>
              <w:spacing w:line="240" w:lineRule="auto"/>
              <w:jc w:val="left"/>
              <w:rPr>
                <w:sz w:val="18"/>
                <w:szCs w:val="18"/>
              </w:rPr>
            </w:pPr>
            <w:r w:rsidRPr="0098539B">
              <w:rPr>
                <w:sz w:val="18"/>
                <w:szCs w:val="18"/>
              </w:rPr>
              <w:t>PLN</w:t>
            </w:r>
          </w:p>
        </w:tc>
        <w:tc>
          <w:tcPr>
            <w:tcW w:w="6921" w:type="dxa"/>
            <w:shd w:val="clear" w:color="auto" w:fill="auto"/>
            <w:vAlign w:val="center"/>
          </w:tcPr>
          <w:p w14:paraId="584C5777" w14:textId="2912FD6B" w:rsidR="00AA1154" w:rsidRPr="0098539B" w:rsidRDefault="00160802" w:rsidP="000D20E3">
            <w:pPr>
              <w:pStyle w:val="MDPI42tablebody"/>
              <w:spacing w:line="240" w:lineRule="auto"/>
              <w:jc w:val="left"/>
              <w:rPr>
                <w:sz w:val="18"/>
                <w:szCs w:val="18"/>
              </w:rPr>
            </w:pPr>
            <w:r w:rsidRPr="0098539B">
              <w:rPr>
                <w:sz w:val="18"/>
                <w:szCs w:val="18"/>
              </w:rPr>
              <w:t>Professional Learning Network</w:t>
            </w:r>
          </w:p>
        </w:tc>
      </w:tr>
      <w:tr w:rsidR="00AA1154" w:rsidRPr="0098539B" w14:paraId="6B627111" w14:textId="77777777" w:rsidTr="000D20E3">
        <w:tc>
          <w:tcPr>
            <w:tcW w:w="936" w:type="dxa"/>
            <w:shd w:val="clear" w:color="auto" w:fill="auto"/>
            <w:vAlign w:val="center"/>
          </w:tcPr>
          <w:p w14:paraId="2011DB68" w14:textId="637373FD" w:rsidR="00AA1154" w:rsidRPr="0098539B" w:rsidRDefault="00C4316C" w:rsidP="000D20E3">
            <w:pPr>
              <w:pStyle w:val="MDPI42tablebody"/>
              <w:spacing w:line="240" w:lineRule="auto"/>
              <w:jc w:val="left"/>
              <w:rPr>
                <w:sz w:val="18"/>
                <w:szCs w:val="18"/>
              </w:rPr>
            </w:pPr>
            <w:r w:rsidRPr="0098539B">
              <w:rPr>
                <w:sz w:val="18"/>
                <w:szCs w:val="18"/>
              </w:rPr>
              <w:t>PLC</w:t>
            </w:r>
          </w:p>
        </w:tc>
        <w:tc>
          <w:tcPr>
            <w:tcW w:w="6921" w:type="dxa"/>
            <w:shd w:val="clear" w:color="auto" w:fill="auto"/>
            <w:vAlign w:val="center"/>
          </w:tcPr>
          <w:p w14:paraId="681AE8D0" w14:textId="411AF33A" w:rsidR="00AA1154" w:rsidRPr="0098539B" w:rsidRDefault="00C4316C" w:rsidP="000D20E3">
            <w:pPr>
              <w:pStyle w:val="MDPI42tablebody"/>
              <w:spacing w:line="240" w:lineRule="auto"/>
              <w:jc w:val="left"/>
              <w:rPr>
                <w:sz w:val="18"/>
                <w:szCs w:val="18"/>
              </w:rPr>
            </w:pPr>
            <w:r w:rsidRPr="0098539B">
              <w:rPr>
                <w:sz w:val="18"/>
                <w:szCs w:val="18"/>
              </w:rPr>
              <w:t>Professional Learning Community</w:t>
            </w:r>
          </w:p>
        </w:tc>
      </w:tr>
    </w:tbl>
    <w:bookmarkEnd w:id="0"/>
    <w:p w14:paraId="092D2D2C" w14:textId="77777777" w:rsidR="008E5D0B" w:rsidRPr="0098539B" w:rsidRDefault="008E5D0B" w:rsidP="00AA1154">
      <w:pPr>
        <w:pStyle w:val="MDPI21heading1"/>
        <w:ind w:left="0"/>
      </w:pPr>
      <w:r w:rsidRPr="0098539B">
        <w:t>References</w:t>
      </w:r>
    </w:p>
    <w:p w14:paraId="5523479D" w14:textId="217B69C9"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Alzayed</w:t>
      </w:r>
      <w:proofErr w:type="spellEnd"/>
      <w:r w:rsidRPr="0098539B">
        <w:rPr>
          <w:rFonts w:eastAsia="Times New Roman"/>
          <w:snapToGrid/>
          <w:lang w:eastAsia="de-DE"/>
        </w:rPr>
        <w:t xml:space="preserve">, Z. A., &amp; </w:t>
      </w:r>
      <w:proofErr w:type="spellStart"/>
      <w:r w:rsidRPr="0098539B">
        <w:rPr>
          <w:rFonts w:eastAsia="Times New Roman"/>
          <w:snapToGrid/>
          <w:lang w:eastAsia="de-DE"/>
        </w:rPr>
        <w:t>Alabdulkareem</w:t>
      </w:r>
      <w:proofErr w:type="spellEnd"/>
      <w:r w:rsidRPr="0098539B">
        <w:rPr>
          <w:rFonts w:eastAsia="Times New Roman"/>
          <w:snapToGrid/>
          <w:lang w:eastAsia="de-DE"/>
        </w:rPr>
        <w:t xml:space="preserve">, R. H. (2020). Enhancing cognitive presence in teachers’ professional learning communities via reflective practice. </w:t>
      </w:r>
      <w:r w:rsidRPr="0098539B">
        <w:rPr>
          <w:rFonts w:eastAsia="Times New Roman"/>
          <w:i/>
          <w:iCs/>
          <w:snapToGrid/>
          <w:lang w:eastAsia="de-DE"/>
        </w:rPr>
        <w:t>Journal of Education for Teaching International Research and Pedagogy, 47</w:t>
      </w:r>
      <w:r w:rsidRPr="0098539B">
        <w:rPr>
          <w:rFonts w:eastAsia="Times New Roman"/>
          <w:snapToGrid/>
          <w:lang w:eastAsia="de-DE"/>
        </w:rPr>
        <w:t xml:space="preserve">(1), 18–31. </w:t>
      </w:r>
      <w:hyperlink r:id="rId13" w:history="1">
        <w:r w:rsidRPr="0098539B">
          <w:rPr>
            <w:rStyle w:val="Hyperlink"/>
            <w:rFonts w:eastAsia="Times New Roman"/>
            <w:snapToGrid/>
            <w:lang w:eastAsia="de-DE"/>
          </w:rPr>
          <w:t>https://doi.org/10.1080/02607476.2020.1842134</w:t>
        </w:r>
      </w:hyperlink>
      <w:r w:rsidRPr="0098539B">
        <w:rPr>
          <w:rFonts w:eastAsia="Times New Roman"/>
          <w:snapToGrid/>
          <w:lang w:eastAsia="de-DE"/>
        </w:rPr>
        <w:t xml:space="preserve">  </w:t>
      </w:r>
    </w:p>
    <w:p w14:paraId="49054814" w14:textId="24692955" w:rsidR="007D55AC" w:rsidRPr="0098539B" w:rsidRDefault="007D55AC" w:rsidP="00160802">
      <w:pPr>
        <w:pStyle w:val="MDPI63notes"/>
        <w:jc w:val="left"/>
        <w:rPr>
          <w:rFonts w:eastAsia="Times New Roman"/>
          <w:snapToGrid/>
          <w:lang w:eastAsia="de-DE"/>
        </w:rPr>
      </w:pPr>
      <w:r w:rsidRPr="0098539B">
        <w:rPr>
          <w:rFonts w:eastAsia="Times New Roman"/>
          <w:snapToGrid/>
          <w:lang w:eastAsia="de-DE"/>
        </w:rPr>
        <w:t>Brookfield, S. D. (1995</w:t>
      </w:r>
      <w:r w:rsidRPr="002A1B81">
        <w:rPr>
          <w:rFonts w:eastAsia="Times New Roman"/>
          <w:i/>
          <w:iCs/>
          <w:snapToGrid/>
          <w:lang w:eastAsia="de-DE"/>
        </w:rPr>
        <w:t>). Becoming a critically reflective teacher.</w:t>
      </w:r>
      <w:r w:rsidRPr="0098539B">
        <w:rPr>
          <w:rFonts w:eastAsia="Times New Roman"/>
          <w:snapToGrid/>
          <w:lang w:eastAsia="de-DE"/>
        </w:rPr>
        <w:t xml:space="preserve"> Jossey-Bass.</w:t>
      </w:r>
    </w:p>
    <w:p w14:paraId="7F2983A2" w14:textId="77777777" w:rsidR="004F52A9" w:rsidRPr="0098539B" w:rsidRDefault="004F52A9" w:rsidP="004F52A9">
      <w:pPr>
        <w:pStyle w:val="MDPI63notes"/>
        <w:jc w:val="left"/>
        <w:rPr>
          <w:rFonts w:eastAsia="Times New Roman"/>
          <w:snapToGrid/>
          <w:lang w:eastAsia="de-DE"/>
        </w:rPr>
      </w:pPr>
      <w:r w:rsidRPr="0098539B">
        <w:rPr>
          <w:rFonts w:eastAsia="Times New Roman"/>
          <w:snapToGrid/>
          <w:lang w:eastAsia="de-DE"/>
        </w:rPr>
        <w:t xml:space="preserve">Brown, C., &amp; Poortman, C. (2018). </w:t>
      </w:r>
      <w:r w:rsidRPr="002A1B81">
        <w:rPr>
          <w:rFonts w:eastAsia="Times New Roman"/>
          <w:i/>
          <w:iCs/>
          <w:snapToGrid/>
          <w:lang w:eastAsia="de-DE"/>
        </w:rPr>
        <w:t>Networks for Learning: Effective collaboration for teacher, school and system improvement</w:t>
      </w:r>
      <w:r w:rsidRPr="0098539B">
        <w:rPr>
          <w:rFonts w:eastAsia="Times New Roman"/>
          <w:snapToGrid/>
          <w:lang w:eastAsia="de-DE"/>
        </w:rPr>
        <w:t xml:space="preserve"> (1st ed.). Routledge.</w:t>
      </w:r>
    </w:p>
    <w:p w14:paraId="2ABB0926" w14:textId="65131C8F" w:rsidR="004F52A9" w:rsidRPr="0098539B" w:rsidRDefault="004F52A9" w:rsidP="00160802">
      <w:pPr>
        <w:pStyle w:val="MDPI63notes"/>
        <w:jc w:val="left"/>
        <w:rPr>
          <w:rFonts w:eastAsia="Times New Roman"/>
          <w:snapToGrid/>
          <w:lang w:eastAsia="de-DE"/>
        </w:rPr>
      </w:pPr>
      <w:r w:rsidRPr="0098539B">
        <w:rPr>
          <w:rFonts w:eastAsia="Times New Roman"/>
          <w:snapToGrid/>
          <w:lang w:eastAsia="de-DE"/>
        </w:rPr>
        <w:t xml:space="preserve">Brown, C., Poortman, C., Gray, H., </w:t>
      </w:r>
      <w:proofErr w:type="spellStart"/>
      <w:r w:rsidRPr="0098539B">
        <w:rPr>
          <w:rFonts w:eastAsia="Times New Roman"/>
          <w:snapToGrid/>
          <w:lang w:eastAsia="de-DE"/>
        </w:rPr>
        <w:t>Ophoff</w:t>
      </w:r>
      <w:proofErr w:type="spellEnd"/>
      <w:r w:rsidRPr="0098539B">
        <w:rPr>
          <w:rFonts w:eastAsia="Times New Roman"/>
          <w:snapToGrid/>
          <w:lang w:eastAsia="de-DE"/>
        </w:rPr>
        <w:t xml:space="preserve">, J. G., &amp; Wharf, M. (2021). Facilitating collaborative reflective inquiry amongst teachers: What do we currently know? </w:t>
      </w:r>
      <w:r w:rsidRPr="0098539B">
        <w:rPr>
          <w:rFonts w:eastAsia="Times New Roman"/>
          <w:i/>
          <w:iCs/>
          <w:snapToGrid/>
          <w:lang w:eastAsia="de-DE"/>
        </w:rPr>
        <w:t>International Journal of Educational Research, 105</w:t>
      </w:r>
      <w:r w:rsidRPr="0098539B">
        <w:rPr>
          <w:rFonts w:eastAsia="Times New Roman"/>
          <w:snapToGrid/>
          <w:lang w:eastAsia="de-DE"/>
        </w:rPr>
        <w:t xml:space="preserve">, 101695. </w:t>
      </w:r>
      <w:hyperlink r:id="rId14" w:history="1">
        <w:r w:rsidRPr="0098539B">
          <w:rPr>
            <w:rStyle w:val="Hyperlink"/>
            <w:rFonts w:eastAsia="Times New Roman"/>
            <w:snapToGrid/>
            <w:lang w:eastAsia="de-DE"/>
          </w:rPr>
          <w:t>https://doi.org/10.1016/j.ijer.2020.101695</w:t>
        </w:r>
      </w:hyperlink>
      <w:r w:rsidRPr="0098539B">
        <w:rPr>
          <w:rFonts w:eastAsia="Times New Roman"/>
          <w:snapToGrid/>
          <w:lang w:eastAsia="de-DE"/>
        </w:rPr>
        <w:t xml:space="preserve">  </w:t>
      </w:r>
    </w:p>
    <w:p w14:paraId="4835A582" w14:textId="1DB634D4"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Charteris, J., &amp; </w:t>
      </w:r>
      <w:proofErr w:type="spellStart"/>
      <w:r w:rsidRPr="0098539B">
        <w:rPr>
          <w:rFonts w:eastAsia="Times New Roman"/>
          <w:snapToGrid/>
          <w:lang w:eastAsia="de-DE"/>
        </w:rPr>
        <w:t>Smardon</w:t>
      </w:r>
      <w:proofErr w:type="spellEnd"/>
      <w:r w:rsidRPr="0098539B">
        <w:rPr>
          <w:rFonts w:eastAsia="Times New Roman"/>
          <w:snapToGrid/>
          <w:lang w:eastAsia="de-DE"/>
        </w:rPr>
        <w:t xml:space="preserve">, D. (2014). Dialogic peer coaching as teacher leadership for professional inquiry. </w:t>
      </w:r>
      <w:r w:rsidRPr="0098539B">
        <w:rPr>
          <w:rFonts w:eastAsia="Times New Roman"/>
          <w:i/>
          <w:iCs/>
          <w:snapToGrid/>
          <w:lang w:eastAsia="de-DE"/>
        </w:rPr>
        <w:t>International Journal of Mentoring and Coaching in Education, 3</w:t>
      </w:r>
      <w:r w:rsidRPr="0098539B">
        <w:rPr>
          <w:rFonts w:eastAsia="Times New Roman"/>
          <w:snapToGrid/>
          <w:lang w:eastAsia="de-DE"/>
        </w:rPr>
        <w:t xml:space="preserve">(2), 108–124. </w:t>
      </w:r>
      <w:hyperlink r:id="rId15" w:history="1">
        <w:r w:rsidRPr="0098539B">
          <w:rPr>
            <w:rStyle w:val="Hyperlink"/>
            <w:rFonts w:eastAsia="Times New Roman"/>
            <w:snapToGrid/>
            <w:lang w:eastAsia="de-DE"/>
          </w:rPr>
          <w:t>https://doi.org/10.1108/ijmce-03-2013-0022</w:t>
        </w:r>
      </w:hyperlink>
      <w:r w:rsidRPr="0098539B">
        <w:rPr>
          <w:rFonts w:eastAsia="Times New Roman"/>
          <w:snapToGrid/>
          <w:lang w:eastAsia="de-DE"/>
        </w:rPr>
        <w:t xml:space="preserve"> </w:t>
      </w:r>
    </w:p>
    <w:p w14:paraId="26F42CD9" w14:textId="2E9893B2" w:rsidR="007C3478" w:rsidRPr="0098539B" w:rsidRDefault="007C3478" w:rsidP="00160802">
      <w:pPr>
        <w:pStyle w:val="MDPI63notes"/>
        <w:jc w:val="left"/>
        <w:rPr>
          <w:rFonts w:eastAsia="Times New Roman"/>
          <w:snapToGrid/>
          <w:lang w:val="nl-BE" w:eastAsia="de-DE"/>
        </w:rPr>
      </w:pPr>
      <w:r w:rsidRPr="0098539B">
        <w:rPr>
          <w:rFonts w:eastAsia="Times New Roman"/>
          <w:snapToGrid/>
          <w:lang w:eastAsia="de-DE"/>
        </w:rPr>
        <w:t xml:space="preserve">Ciampa, K., &amp; Gallagher, T. L. (2016). Teacher collaborative inquiry in the context of literacy education: examining the effects on teacher self-efficacy, instructional and assessment practices. </w:t>
      </w:r>
      <w:r w:rsidRPr="002A1B81">
        <w:rPr>
          <w:rFonts w:eastAsia="Times New Roman"/>
          <w:i/>
          <w:iCs/>
          <w:snapToGrid/>
          <w:lang w:val="nl-BE" w:eastAsia="de-DE"/>
        </w:rPr>
        <w:t>Teachers And Teaching, 22</w:t>
      </w:r>
      <w:r w:rsidRPr="0098539B">
        <w:rPr>
          <w:rFonts w:eastAsia="Times New Roman"/>
          <w:snapToGrid/>
          <w:lang w:val="nl-BE" w:eastAsia="de-DE"/>
        </w:rPr>
        <w:t xml:space="preserve">(7), 858–878. </w:t>
      </w:r>
      <w:r w:rsidRPr="0098539B">
        <w:fldChar w:fldCharType="begin"/>
      </w:r>
      <w:r w:rsidRPr="0098539B">
        <w:rPr>
          <w:lang w:val="nl-BE"/>
        </w:rPr>
        <w:instrText>HYPERLINK "https://doi.org/10.1080/13540602.2016.1185821"</w:instrText>
      </w:r>
      <w:r w:rsidRPr="0098539B">
        <w:fldChar w:fldCharType="separate"/>
      </w:r>
      <w:r w:rsidRPr="0098539B">
        <w:rPr>
          <w:rStyle w:val="Hyperlink"/>
          <w:rFonts w:eastAsia="Times New Roman"/>
          <w:snapToGrid/>
          <w:lang w:val="nl-BE" w:eastAsia="de-DE"/>
        </w:rPr>
        <w:t>https://doi.org/10.1080/13540602.2016.1185821</w:t>
      </w:r>
      <w:r w:rsidRPr="0098539B">
        <w:fldChar w:fldCharType="end"/>
      </w:r>
      <w:r w:rsidRPr="0098539B">
        <w:rPr>
          <w:rFonts w:eastAsia="Times New Roman"/>
          <w:snapToGrid/>
          <w:lang w:val="nl-BE" w:eastAsia="de-DE"/>
        </w:rPr>
        <w:t xml:space="preserve"> </w:t>
      </w:r>
    </w:p>
    <w:p w14:paraId="4D1B47A3" w14:textId="5002A9C4" w:rsidR="00160802" w:rsidRPr="0098539B" w:rsidRDefault="00160802" w:rsidP="00160802">
      <w:pPr>
        <w:pStyle w:val="MDPI63notes"/>
        <w:jc w:val="left"/>
        <w:rPr>
          <w:rFonts w:eastAsia="Times New Roman"/>
          <w:snapToGrid/>
          <w:lang w:eastAsia="de-DE"/>
        </w:rPr>
      </w:pPr>
      <w:r w:rsidRPr="0098539B">
        <w:rPr>
          <w:rFonts w:eastAsia="Times New Roman"/>
          <w:snapToGrid/>
          <w:lang w:val="nl-BE" w:eastAsia="de-DE"/>
        </w:rPr>
        <w:lastRenderedPageBreak/>
        <w:t xml:space="preserve">De Keijzer, H., Jacobs, G., Van Swet, J., &amp; Veugelers, W. (2020). </w:t>
      </w:r>
      <w:r w:rsidRPr="0098539B">
        <w:rPr>
          <w:rFonts w:eastAsia="Times New Roman"/>
          <w:snapToGrid/>
          <w:lang w:eastAsia="de-DE"/>
        </w:rPr>
        <w:t xml:space="preserve">Identifying coaching approaches that enable teachers’ moral learning in professional learning communities. </w:t>
      </w:r>
      <w:r w:rsidRPr="0098539B">
        <w:rPr>
          <w:rFonts w:eastAsia="Times New Roman"/>
          <w:i/>
          <w:iCs/>
          <w:snapToGrid/>
          <w:lang w:eastAsia="de-DE"/>
        </w:rPr>
        <w:t>International Journal of Mentoring and Coaching in Education, 9(</w:t>
      </w:r>
      <w:r w:rsidRPr="0098539B">
        <w:rPr>
          <w:rFonts w:eastAsia="Times New Roman"/>
          <w:snapToGrid/>
          <w:lang w:eastAsia="de-DE"/>
        </w:rPr>
        <w:t xml:space="preserve">4), 375–392. </w:t>
      </w:r>
      <w:hyperlink r:id="rId16" w:history="1">
        <w:r w:rsidRPr="0098539B">
          <w:rPr>
            <w:rStyle w:val="Hyperlink"/>
            <w:rFonts w:eastAsia="Times New Roman"/>
            <w:snapToGrid/>
            <w:lang w:eastAsia="de-DE"/>
          </w:rPr>
          <w:t>https://doi.org/10.1108/ijmce-11-2019-0104</w:t>
        </w:r>
      </w:hyperlink>
      <w:r w:rsidRPr="0098539B">
        <w:rPr>
          <w:rFonts w:eastAsia="Times New Roman"/>
          <w:snapToGrid/>
          <w:lang w:eastAsia="de-DE"/>
        </w:rPr>
        <w:t xml:space="preserve">  </w:t>
      </w:r>
    </w:p>
    <w:p w14:paraId="2A6ECCED" w14:textId="54C40BA9"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Dewey, J. (1910). How we think. </w:t>
      </w:r>
      <w:hyperlink r:id="rId17" w:history="1">
        <w:r w:rsidRPr="0098539B">
          <w:rPr>
            <w:rStyle w:val="Hyperlink"/>
            <w:rFonts w:eastAsia="Times New Roman"/>
            <w:snapToGrid/>
            <w:lang w:eastAsia="de-DE"/>
          </w:rPr>
          <w:t>https://pure.mpg.de/pubman/item/item_2316308_3/component/file_2316307/Dewey_1910_How_we_think.pdf</w:t>
        </w:r>
      </w:hyperlink>
      <w:r w:rsidRPr="0098539B">
        <w:rPr>
          <w:rFonts w:eastAsia="Times New Roman"/>
          <w:snapToGrid/>
          <w:lang w:eastAsia="de-DE"/>
        </w:rPr>
        <w:t xml:space="preserve"> </w:t>
      </w:r>
    </w:p>
    <w:p w14:paraId="77B87630" w14:textId="5622263F"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Doğan, S., &amp; Adams, A. (2018). Effect of professional learning communities on teachers and students: Reporting updated results and raising questions about research design. </w:t>
      </w:r>
      <w:r w:rsidRPr="0098539B">
        <w:rPr>
          <w:rFonts w:eastAsia="Times New Roman"/>
          <w:i/>
          <w:iCs/>
          <w:snapToGrid/>
          <w:lang w:eastAsia="de-DE"/>
        </w:rPr>
        <w:t>School Effectiveness and School Improvement, 29</w:t>
      </w:r>
      <w:r w:rsidRPr="0098539B">
        <w:rPr>
          <w:rFonts w:eastAsia="Times New Roman"/>
          <w:snapToGrid/>
          <w:lang w:eastAsia="de-DE"/>
        </w:rPr>
        <w:t xml:space="preserve">(4), 634–659. </w:t>
      </w:r>
      <w:hyperlink r:id="rId18" w:history="1">
        <w:r w:rsidRPr="0098539B">
          <w:rPr>
            <w:rStyle w:val="Hyperlink"/>
            <w:rFonts w:eastAsia="Times New Roman"/>
            <w:snapToGrid/>
            <w:lang w:eastAsia="de-DE"/>
          </w:rPr>
          <w:t>https://doi.org/10.1080/09243453.2018.1500921</w:t>
        </w:r>
      </w:hyperlink>
      <w:r w:rsidRPr="0098539B">
        <w:rPr>
          <w:rFonts w:eastAsia="Times New Roman"/>
          <w:snapToGrid/>
          <w:lang w:eastAsia="de-DE"/>
        </w:rPr>
        <w:t xml:space="preserve">   </w:t>
      </w:r>
    </w:p>
    <w:p w14:paraId="7A9B0453" w14:textId="06D1F98E"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Earl, L. M., &amp; Timperley, H. (2008). </w:t>
      </w:r>
      <w:r w:rsidRPr="0098539B">
        <w:rPr>
          <w:rFonts w:eastAsia="Times New Roman"/>
          <w:i/>
          <w:iCs/>
          <w:snapToGrid/>
          <w:lang w:eastAsia="de-DE"/>
        </w:rPr>
        <w:t>Professional Learning Conversations: Challenges in using evidence for improvement</w:t>
      </w:r>
      <w:r w:rsidRPr="0098539B">
        <w:rPr>
          <w:rFonts w:eastAsia="Times New Roman"/>
          <w:snapToGrid/>
          <w:lang w:eastAsia="de-DE"/>
        </w:rPr>
        <w:t xml:space="preserve">. In Springer eBooks. </w:t>
      </w:r>
      <w:hyperlink r:id="rId19" w:history="1">
        <w:r w:rsidRPr="0098539B">
          <w:rPr>
            <w:rStyle w:val="Hyperlink"/>
            <w:rFonts w:eastAsia="Times New Roman"/>
            <w:snapToGrid/>
            <w:lang w:eastAsia="de-DE"/>
          </w:rPr>
          <w:t>https://doi.org/10.1007/978-1-4020-6917-8</w:t>
        </w:r>
      </w:hyperlink>
      <w:r w:rsidRPr="0098539B">
        <w:rPr>
          <w:rFonts w:eastAsia="Times New Roman"/>
          <w:snapToGrid/>
          <w:lang w:eastAsia="de-DE"/>
        </w:rPr>
        <w:t xml:space="preserve">  </w:t>
      </w:r>
    </w:p>
    <w:p w14:paraId="2801CBC8" w14:textId="22DCFEB8"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El-Dib, M. a. B. (2006). Levels of reflection in action research. An overview and an assessment tool. </w:t>
      </w:r>
      <w:r w:rsidRPr="0098539B">
        <w:rPr>
          <w:rFonts w:eastAsia="Times New Roman"/>
          <w:i/>
          <w:iCs/>
          <w:snapToGrid/>
          <w:lang w:eastAsia="de-DE"/>
        </w:rPr>
        <w:t>Teaching and Teacher Education, 23</w:t>
      </w:r>
      <w:r w:rsidRPr="0098539B">
        <w:rPr>
          <w:rFonts w:eastAsia="Times New Roman"/>
          <w:snapToGrid/>
          <w:lang w:eastAsia="de-DE"/>
        </w:rPr>
        <w:t xml:space="preserve">(1), 24–35. </w:t>
      </w:r>
      <w:hyperlink r:id="rId20" w:history="1">
        <w:r w:rsidRPr="0098539B">
          <w:rPr>
            <w:rStyle w:val="Hyperlink"/>
            <w:rFonts w:eastAsia="Times New Roman"/>
            <w:snapToGrid/>
            <w:lang w:eastAsia="de-DE"/>
          </w:rPr>
          <w:t>https://doi.org/10.1016/j.tate.2006.04.002</w:t>
        </w:r>
      </w:hyperlink>
      <w:r w:rsidRPr="0098539B">
        <w:rPr>
          <w:rFonts w:eastAsia="Times New Roman"/>
          <w:snapToGrid/>
          <w:lang w:eastAsia="de-DE"/>
        </w:rPr>
        <w:t xml:space="preserve">  </w:t>
      </w:r>
    </w:p>
    <w:p w14:paraId="67F37339" w14:textId="77A1A362"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Farley-Ripple, E., May, H., </w:t>
      </w:r>
      <w:proofErr w:type="spellStart"/>
      <w:r w:rsidRPr="0098539B">
        <w:rPr>
          <w:rFonts w:eastAsia="Times New Roman"/>
          <w:snapToGrid/>
          <w:lang w:eastAsia="de-DE"/>
        </w:rPr>
        <w:t>Karpyn</w:t>
      </w:r>
      <w:proofErr w:type="spellEnd"/>
      <w:r w:rsidRPr="0098539B">
        <w:rPr>
          <w:rFonts w:eastAsia="Times New Roman"/>
          <w:snapToGrid/>
          <w:lang w:eastAsia="de-DE"/>
        </w:rPr>
        <w:t xml:space="preserve">, A., Tilley, K., &amp; McDonough, K. (2018). </w:t>
      </w:r>
      <w:r w:rsidRPr="0098539B">
        <w:rPr>
          <w:rFonts w:eastAsia="Times New Roman"/>
          <w:i/>
          <w:iCs/>
          <w:snapToGrid/>
          <w:lang w:eastAsia="de-DE"/>
        </w:rPr>
        <w:t>Rethinking Connections Between Research and Practice in Education: A Conceptual Framework. Educational Researcher, 47</w:t>
      </w:r>
      <w:r w:rsidRPr="0098539B">
        <w:rPr>
          <w:rFonts w:eastAsia="Times New Roman"/>
          <w:snapToGrid/>
          <w:lang w:eastAsia="de-DE"/>
        </w:rPr>
        <w:t xml:space="preserve">(4), 235–245. </w:t>
      </w:r>
      <w:hyperlink r:id="rId21" w:history="1">
        <w:r w:rsidRPr="0098539B">
          <w:rPr>
            <w:rStyle w:val="Hyperlink"/>
            <w:rFonts w:eastAsia="Times New Roman"/>
            <w:snapToGrid/>
            <w:lang w:eastAsia="de-DE"/>
          </w:rPr>
          <w:t>https://doi.org/10.3102/0013189x18761042</w:t>
        </w:r>
      </w:hyperlink>
      <w:r w:rsidRPr="0098539B">
        <w:rPr>
          <w:rFonts w:eastAsia="Times New Roman"/>
          <w:snapToGrid/>
          <w:lang w:eastAsia="de-DE"/>
        </w:rPr>
        <w:t xml:space="preserve"> </w:t>
      </w:r>
    </w:p>
    <w:p w14:paraId="01983B0F" w14:textId="3DEF71FF"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Farrokhnia</w:t>
      </w:r>
      <w:proofErr w:type="spellEnd"/>
      <w:r w:rsidRPr="0098539B">
        <w:rPr>
          <w:rFonts w:eastAsia="Times New Roman"/>
          <w:snapToGrid/>
          <w:lang w:eastAsia="de-DE"/>
        </w:rPr>
        <w:t xml:space="preserve">, M., </w:t>
      </w:r>
      <w:proofErr w:type="spellStart"/>
      <w:r w:rsidRPr="0098539B">
        <w:rPr>
          <w:rFonts w:eastAsia="Times New Roman"/>
          <w:snapToGrid/>
          <w:lang w:eastAsia="de-DE"/>
        </w:rPr>
        <w:t>Banihashem</w:t>
      </w:r>
      <w:proofErr w:type="spellEnd"/>
      <w:r w:rsidRPr="0098539B">
        <w:rPr>
          <w:rFonts w:eastAsia="Times New Roman"/>
          <w:snapToGrid/>
          <w:lang w:eastAsia="de-DE"/>
        </w:rPr>
        <w:t xml:space="preserve">, S. K., </w:t>
      </w:r>
      <w:proofErr w:type="spellStart"/>
      <w:r w:rsidRPr="0098539B">
        <w:rPr>
          <w:rFonts w:eastAsia="Times New Roman"/>
          <w:snapToGrid/>
          <w:lang w:eastAsia="de-DE"/>
        </w:rPr>
        <w:t>Noroozi</w:t>
      </w:r>
      <w:proofErr w:type="spellEnd"/>
      <w:r w:rsidRPr="0098539B">
        <w:rPr>
          <w:rFonts w:eastAsia="Times New Roman"/>
          <w:snapToGrid/>
          <w:lang w:eastAsia="de-DE"/>
        </w:rPr>
        <w:t xml:space="preserve">, O., &amp; </w:t>
      </w:r>
      <w:proofErr w:type="spellStart"/>
      <w:r w:rsidRPr="0098539B">
        <w:rPr>
          <w:rFonts w:eastAsia="Times New Roman"/>
          <w:snapToGrid/>
          <w:lang w:eastAsia="de-DE"/>
        </w:rPr>
        <w:t>Wals</w:t>
      </w:r>
      <w:proofErr w:type="spellEnd"/>
      <w:r w:rsidRPr="0098539B">
        <w:rPr>
          <w:rFonts w:eastAsia="Times New Roman"/>
          <w:snapToGrid/>
          <w:lang w:eastAsia="de-DE"/>
        </w:rPr>
        <w:t>, A. (2023). A SWOT analysis of ChatGPT: Implications for educational practice and research</w:t>
      </w:r>
      <w:r w:rsidRPr="0098539B">
        <w:rPr>
          <w:rFonts w:eastAsia="Times New Roman"/>
          <w:i/>
          <w:iCs/>
          <w:snapToGrid/>
          <w:lang w:eastAsia="de-DE"/>
        </w:rPr>
        <w:t>. Innovations in Education and Teaching International, 61</w:t>
      </w:r>
      <w:r w:rsidRPr="0098539B">
        <w:rPr>
          <w:rFonts w:eastAsia="Times New Roman"/>
          <w:snapToGrid/>
          <w:lang w:eastAsia="de-DE"/>
        </w:rPr>
        <w:t xml:space="preserve">(3), 460–474. </w:t>
      </w:r>
      <w:hyperlink r:id="rId22" w:history="1">
        <w:r w:rsidRPr="0098539B">
          <w:rPr>
            <w:rStyle w:val="Hyperlink"/>
            <w:rFonts w:eastAsia="Times New Roman"/>
            <w:snapToGrid/>
            <w:lang w:eastAsia="de-DE"/>
          </w:rPr>
          <w:t>https://doi.org/10.1080/14703297.2023.2195846</w:t>
        </w:r>
      </w:hyperlink>
      <w:r w:rsidRPr="0098539B">
        <w:rPr>
          <w:rFonts w:eastAsia="Times New Roman"/>
          <w:snapToGrid/>
          <w:lang w:eastAsia="de-DE"/>
        </w:rPr>
        <w:t xml:space="preserve">  </w:t>
      </w:r>
    </w:p>
    <w:p w14:paraId="481E70C3" w14:textId="7BB5E47E"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Fisher-Yoshida, B., &amp; Yoshida, R. (2022). </w:t>
      </w:r>
      <w:r w:rsidRPr="0098539B">
        <w:rPr>
          <w:rFonts w:eastAsia="Times New Roman"/>
          <w:i/>
          <w:iCs/>
          <w:snapToGrid/>
          <w:lang w:eastAsia="de-DE"/>
        </w:rPr>
        <w:t>Transformative learning and its relevance to coaching.</w:t>
      </w:r>
      <w:r w:rsidRPr="0098539B">
        <w:rPr>
          <w:rFonts w:eastAsia="Times New Roman"/>
          <w:snapToGrid/>
          <w:lang w:eastAsia="de-DE"/>
        </w:rPr>
        <w:t xml:space="preserve"> In Springer eBooks (pp. 935–948). </w:t>
      </w:r>
      <w:hyperlink r:id="rId23" w:history="1">
        <w:r w:rsidRPr="0098539B">
          <w:rPr>
            <w:rStyle w:val="Hyperlink"/>
            <w:rFonts w:eastAsia="Times New Roman"/>
            <w:snapToGrid/>
            <w:lang w:eastAsia="de-DE"/>
          </w:rPr>
          <w:t>https://doi.org/10.1007/978-3-030-81938-5_77</w:t>
        </w:r>
      </w:hyperlink>
      <w:r w:rsidRPr="0098539B">
        <w:rPr>
          <w:rFonts w:eastAsia="Times New Roman"/>
          <w:snapToGrid/>
          <w:lang w:eastAsia="de-DE"/>
        </w:rPr>
        <w:t xml:space="preserve">  </w:t>
      </w:r>
    </w:p>
    <w:p w14:paraId="52D8B92A" w14:textId="31ED52B8"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Guest, G., Bunce, A., &amp; Johnson, L. (2005). How many interviews are enough? </w:t>
      </w:r>
      <w:r w:rsidRPr="0098539B">
        <w:rPr>
          <w:rFonts w:eastAsia="Times New Roman"/>
          <w:i/>
          <w:iCs/>
          <w:snapToGrid/>
          <w:lang w:eastAsia="de-DE"/>
        </w:rPr>
        <w:t>Field Methods, 18</w:t>
      </w:r>
      <w:r w:rsidRPr="0098539B">
        <w:rPr>
          <w:rFonts w:eastAsia="Times New Roman"/>
          <w:snapToGrid/>
          <w:lang w:eastAsia="de-DE"/>
        </w:rPr>
        <w:t xml:space="preserve">(1), 59–82. </w:t>
      </w:r>
      <w:hyperlink r:id="rId24" w:history="1">
        <w:r w:rsidRPr="0098539B">
          <w:rPr>
            <w:rStyle w:val="Hyperlink"/>
            <w:rFonts w:eastAsia="Times New Roman"/>
            <w:snapToGrid/>
            <w:lang w:eastAsia="de-DE"/>
          </w:rPr>
          <w:t>https://doi.org/10.1177/1525822x05279903</w:t>
        </w:r>
      </w:hyperlink>
      <w:r w:rsidRPr="0098539B">
        <w:rPr>
          <w:rFonts w:eastAsia="Times New Roman"/>
          <w:snapToGrid/>
          <w:lang w:eastAsia="de-DE"/>
        </w:rPr>
        <w:t xml:space="preserve">  </w:t>
      </w:r>
    </w:p>
    <w:p w14:paraId="5F445AC5" w14:textId="70CFDCEA"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Hakkarainen</w:t>
      </w:r>
      <w:proofErr w:type="spellEnd"/>
      <w:r w:rsidRPr="0098539B">
        <w:rPr>
          <w:rFonts w:eastAsia="Times New Roman"/>
          <w:snapToGrid/>
          <w:lang w:eastAsia="de-DE"/>
        </w:rPr>
        <w:t xml:space="preserve">, K., </w:t>
      </w:r>
      <w:proofErr w:type="spellStart"/>
      <w:r w:rsidRPr="0098539B">
        <w:rPr>
          <w:rFonts w:eastAsia="Times New Roman"/>
          <w:snapToGrid/>
          <w:lang w:eastAsia="de-DE"/>
        </w:rPr>
        <w:t>Palonen</w:t>
      </w:r>
      <w:proofErr w:type="spellEnd"/>
      <w:r w:rsidRPr="0098539B">
        <w:rPr>
          <w:rFonts w:eastAsia="Times New Roman"/>
          <w:snapToGrid/>
          <w:lang w:eastAsia="de-DE"/>
        </w:rPr>
        <w:t xml:space="preserve">, T., Paavola, S., &amp; Lehtinen, E. (2004). </w:t>
      </w:r>
      <w:r w:rsidRPr="0098539B">
        <w:rPr>
          <w:rFonts w:eastAsia="Times New Roman"/>
          <w:i/>
          <w:iCs/>
          <w:snapToGrid/>
          <w:lang w:eastAsia="de-DE"/>
        </w:rPr>
        <w:t>Communities of Networked Expertise: professional and educational perspectives.</w:t>
      </w:r>
      <w:r w:rsidRPr="0098539B">
        <w:rPr>
          <w:rFonts w:eastAsia="Times New Roman"/>
          <w:snapToGrid/>
          <w:lang w:eastAsia="de-DE"/>
        </w:rPr>
        <w:t xml:space="preserve"> </w:t>
      </w:r>
      <w:hyperlink r:id="rId25" w:history="1">
        <w:r w:rsidRPr="0098539B">
          <w:rPr>
            <w:rStyle w:val="Hyperlink"/>
            <w:rFonts w:eastAsia="Times New Roman"/>
            <w:snapToGrid/>
            <w:lang w:eastAsia="de-DE"/>
          </w:rPr>
          <w:t>http://ci.nii.ac.jp/ncid/BB05229407</w:t>
        </w:r>
      </w:hyperlink>
      <w:r w:rsidRPr="0098539B">
        <w:rPr>
          <w:rFonts w:eastAsia="Times New Roman"/>
          <w:snapToGrid/>
          <w:lang w:eastAsia="de-DE"/>
        </w:rPr>
        <w:t xml:space="preserve">  </w:t>
      </w:r>
    </w:p>
    <w:p w14:paraId="5C5B2197" w14:textId="55060E7F"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Hennink</w:t>
      </w:r>
      <w:proofErr w:type="spellEnd"/>
      <w:r w:rsidRPr="0098539B">
        <w:rPr>
          <w:rFonts w:eastAsia="Times New Roman"/>
          <w:snapToGrid/>
          <w:lang w:eastAsia="de-DE"/>
        </w:rPr>
        <w:t xml:space="preserve">, M. M., Kaiser, B. N., &amp; Marconi, V. C. (2016). Code saturation versus meaning saturation. </w:t>
      </w:r>
      <w:r w:rsidRPr="0098539B">
        <w:rPr>
          <w:rFonts w:eastAsia="Times New Roman"/>
          <w:i/>
          <w:iCs/>
          <w:snapToGrid/>
          <w:lang w:eastAsia="de-DE"/>
        </w:rPr>
        <w:t>Qualitative Health Research, 27</w:t>
      </w:r>
      <w:r w:rsidRPr="0098539B">
        <w:rPr>
          <w:rFonts w:eastAsia="Times New Roman"/>
          <w:snapToGrid/>
          <w:lang w:eastAsia="de-DE"/>
        </w:rPr>
        <w:t xml:space="preserve">(4), 591–608. </w:t>
      </w:r>
      <w:hyperlink r:id="rId26" w:history="1">
        <w:r w:rsidRPr="0098539B">
          <w:rPr>
            <w:rStyle w:val="Hyperlink"/>
            <w:rFonts w:eastAsia="Times New Roman"/>
            <w:snapToGrid/>
            <w:lang w:eastAsia="de-DE"/>
          </w:rPr>
          <w:t>https://doi.org/10.1177/1049732316665344</w:t>
        </w:r>
      </w:hyperlink>
      <w:r w:rsidRPr="0098539B">
        <w:rPr>
          <w:rFonts w:eastAsia="Times New Roman"/>
          <w:snapToGrid/>
          <w:lang w:eastAsia="de-DE"/>
        </w:rPr>
        <w:t xml:space="preserve">  </w:t>
      </w:r>
    </w:p>
    <w:p w14:paraId="249C089E" w14:textId="118BEB7B" w:rsidR="000167A5" w:rsidRPr="0098539B" w:rsidRDefault="000167A5" w:rsidP="00160802">
      <w:pPr>
        <w:pStyle w:val="MDPI63notes"/>
        <w:jc w:val="left"/>
        <w:rPr>
          <w:rFonts w:eastAsia="Times New Roman"/>
          <w:snapToGrid/>
          <w:lang w:eastAsia="de-DE"/>
        </w:rPr>
      </w:pPr>
      <w:r w:rsidRPr="0098539B">
        <w:rPr>
          <w:rFonts w:eastAsia="Times New Roman"/>
          <w:snapToGrid/>
          <w:lang w:eastAsia="de-DE"/>
        </w:rPr>
        <w:t xml:space="preserve">Jay, J. K., &amp; Johnson, K. L. (2002). Capturing complexity: </w:t>
      </w:r>
      <w:r w:rsidR="002A1B81">
        <w:rPr>
          <w:rFonts w:eastAsia="Times New Roman"/>
          <w:snapToGrid/>
          <w:lang w:eastAsia="de-DE"/>
        </w:rPr>
        <w:t>A</w:t>
      </w:r>
      <w:r w:rsidRPr="0098539B">
        <w:rPr>
          <w:rFonts w:eastAsia="Times New Roman"/>
          <w:snapToGrid/>
          <w:lang w:eastAsia="de-DE"/>
        </w:rPr>
        <w:t xml:space="preserve"> typology of reflective practice for teacher education. </w:t>
      </w:r>
      <w:r w:rsidRPr="002A1B81">
        <w:rPr>
          <w:rFonts w:eastAsia="Times New Roman"/>
          <w:i/>
          <w:iCs/>
          <w:snapToGrid/>
          <w:lang w:eastAsia="de-DE"/>
        </w:rPr>
        <w:t>Teaching And Teacher Education, 18</w:t>
      </w:r>
      <w:r w:rsidRPr="0098539B">
        <w:rPr>
          <w:rFonts w:eastAsia="Times New Roman"/>
          <w:snapToGrid/>
          <w:lang w:eastAsia="de-DE"/>
        </w:rPr>
        <w:t xml:space="preserve">(1), 73–85. </w:t>
      </w:r>
      <w:hyperlink r:id="rId27" w:history="1">
        <w:r w:rsidRPr="0098539B">
          <w:rPr>
            <w:rStyle w:val="Hyperlink"/>
            <w:rFonts w:eastAsia="Times New Roman"/>
            <w:snapToGrid/>
            <w:lang w:eastAsia="de-DE"/>
          </w:rPr>
          <w:t>https://doi.org/10.1016/s0742-051x(01)00051-8</w:t>
        </w:r>
      </w:hyperlink>
      <w:r w:rsidRPr="0098539B">
        <w:rPr>
          <w:rFonts w:eastAsia="Times New Roman"/>
          <w:snapToGrid/>
          <w:lang w:eastAsia="de-DE"/>
        </w:rPr>
        <w:t xml:space="preserve"> </w:t>
      </w:r>
    </w:p>
    <w:p w14:paraId="2F247885" w14:textId="75F6AE22"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Katz, S., &amp; Dack, L. A. (2013). Towards a culture of inquiry for data use in schools: Breaking down professional learning barriers through intentional interruption. </w:t>
      </w:r>
      <w:r w:rsidRPr="0098539B">
        <w:rPr>
          <w:rFonts w:eastAsia="Times New Roman"/>
          <w:i/>
          <w:iCs/>
          <w:snapToGrid/>
          <w:lang w:eastAsia="de-DE"/>
        </w:rPr>
        <w:t>Studies in Educational Evaluation, 42</w:t>
      </w:r>
      <w:r w:rsidRPr="0098539B">
        <w:rPr>
          <w:rFonts w:eastAsia="Times New Roman"/>
          <w:snapToGrid/>
          <w:lang w:eastAsia="de-DE"/>
        </w:rPr>
        <w:t xml:space="preserve">, 35–40. </w:t>
      </w:r>
      <w:hyperlink r:id="rId28" w:history="1">
        <w:r w:rsidRPr="0098539B">
          <w:rPr>
            <w:rStyle w:val="Hyperlink"/>
            <w:rFonts w:eastAsia="Times New Roman"/>
            <w:snapToGrid/>
            <w:lang w:eastAsia="de-DE"/>
          </w:rPr>
          <w:t>https://doi.org/10.1016/j.stueduc.2013.10.006</w:t>
        </w:r>
      </w:hyperlink>
      <w:r w:rsidRPr="0098539B">
        <w:rPr>
          <w:rFonts w:eastAsia="Times New Roman"/>
          <w:snapToGrid/>
          <w:lang w:eastAsia="de-DE"/>
        </w:rPr>
        <w:t xml:space="preserve">  </w:t>
      </w:r>
    </w:p>
    <w:p w14:paraId="253057EA" w14:textId="3E200674"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Katz, S., &amp; Earl, L. (2010). Learning about networked learning communities. </w:t>
      </w:r>
      <w:r w:rsidRPr="0098539B">
        <w:rPr>
          <w:rFonts w:eastAsia="Times New Roman"/>
          <w:i/>
          <w:iCs/>
          <w:snapToGrid/>
          <w:lang w:eastAsia="de-DE"/>
        </w:rPr>
        <w:t>School Effectiveness and School Improvement, 21</w:t>
      </w:r>
      <w:r w:rsidRPr="0098539B">
        <w:rPr>
          <w:rFonts w:eastAsia="Times New Roman"/>
          <w:snapToGrid/>
          <w:lang w:eastAsia="de-DE"/>
        </w:rPr>
        <w:t xml:space="preserve">(1), 27–51. </w:t>
      </w:r>
      <w:hyperlink r:id="rId29" w:history="1">
        <w:r w:rsidRPr="0098539B">
          <w:rPr>
            <w:rStyle w:val="Hyperlink"/>
            <w:rFonts w:eastAsia="Times New Roman"/>
            <w:snapToGrid/>
            <w:lang w:eastAsia="de-DE"/>
          </w:rPr>
          <w:t>https://doi.org/10.1080/09243450903569718</w:t>
        </w:r>
      </w:hyperlink>
      <w:r w:rsidRPr="0098539B">
        <w:rPr>
          <w:rFonts w:eastAsia="Times New Roman"/>
          <w:snapToGrid/>
          <w:lang w:eastAsia="de-DE"/>
        </w:rPr>
        <w:t xml:space="preserve">  </w:t>
      </w:r>
    </w:p>
    <w:p w14:paraId="4AA97E6E" w14:textId="3A86FE13"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Katz, S., Earl, L., &amp; Jaafar, S. (2009). </w:t>
      </w:r>
      <w:r w:rsidRPr="0098539B">
        <w:rPr>
          <w:rFonts w:eastAsia="Times New Roman"/>
          <w:i/>
          <w:iCs/>
          <w:snapToGrid/>
          <w:lang w:eastAsia="de-DE"/>
        </w:rPr>
        <w:t>Building and Connecting Learning Communities: The Power of Networks for School Improvement.</w:t>
      </w:r>
      <w:r w:rsidRPr="0098539B">
        <w:t xml:space="preserve"> </w:t>
      </w:r>
      <w:r w:rsidRPr="0098539B">
        <w:rPr>
          <w:rFonts w:eastAsia="Times New Roman"/>
          <w:snapToGrid/>
          <w:lang w:eastAsia="de-DE"/>
        </w:rPr>
        <w:t xml:space="preserve">Corwin Press. </w:t>
      </w:r>
      <w:hyperlink r:id="rId30" w:history="1">
        <w:r w:rsidRPr="0098539B">
          <w:rPr>
            <w:rStyle w:val="Hyperlink"/>
            <w:rFonts w:eastAsia="Times New Roman"/>
            <w:snapToGrid/>
            <w:lang w:eastAsia="de-DE"/>
          </w:rPr>
          <w:t>https://doi.org/10.4135/9781452219196</w:t>
        </w:r>
      </w:hyperlink>
      <w:r w:rsidRPr="0098539B">
        <w:rPr>
          <w:rFonts w:eastAsia="Times New Roman"/>
          <w:snapToGrid/>
          <w:lang w:eastAsia="de-DE"/>
        </w:rPr>
        <w:t xml:space="preserve">  </w:t>
      </w:r>
    </w:p>
    <w:p w14:paraId="6364144E" w14:textId="0746F0DA"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Khademi</w:t>
      </w:r>
      <w:proofErr w:type="spellEnd"/>
      <w:r w:rsidRPr="0098539B">
        <w:rPr>
          <w:rFonts w:eastAsia="Times New Roman"/>
          <w:snapToGrid/>
          <w:lang w:eastAsia="de-DE"/>
        </w:rPr>
        <w:t xml:space="preserve">, A. (2023). Can ChatGPT and Bard Generate Aligned Assessment Items? A Reliability Analysis against Human Performance. </w:t>
      </w:r>
      <w:proofErr w:type="spellStart"/>
      <w:r w:rsidRPr="0098539B">
        <w:rPr>
          <w:rFonts w:eastAsia="Times New Roman"/>
          <w:i/>
          <w:iCs/>
          <w:snapToGrid/>
          <w:lang w:eastAsia="de-DE"/>
        </w:rPr>
        <w:t>arXiv</w:t>
      </w:r>
      <w:proofErr w:type="spellEnd"/>
      <w:r w:rsidRPr="0098539B">
        <w:rPr>
          <w:rFonts w:eastAsia="Times New Roman"/>
          <w:i/>
          <w:iCs/>
          <w:snapToGrid/>
          <w:lang w:eastAsia="de-DE"/>
        </w:rPr>
        <w:t xml:space="preserve"> </w:t>
      </w:r>
      <w:r w:rsidRPr="0098539B">
        <w:rPr>
          <w:rFonts w:eastAsia="Times New Roman"/>
          <w:snapToGrid/>
          <w:lang w:eastAsia="de-DE"/>
        </w:rPr>
        <w:t xml:space="preserve">(Cornell University). </w:t>
      </w:r>
      <w:hyperlink r:id="rId31" w:history="1">
        <w:r w:rsidRPr="0098539B">
          <w:rPr>
            <w:rStyle w:val="Hyperlink"/>
            <w:rFonts w:eastAsia="Times New Roman"/>
            <w:snapToGrid/>
            <w:lang w:eastAsia="de-DE"/>
          </w:rPr>
          <w:t>https://doi.org/10.48550/arxiv.2304.05372</w:t>
        </w:r>
      </w:hyperlink>
      <w:r w:rsidRPr="0098539B">
        <w:rPr>
          <w:rFonts w:eastAsia="Times New Roman"/>
          <w:snapToGrid/>
          <w:lang w:eastAsia="de-DE"/>
        </w:rPr>
        <w:t xml:space="preserve">  </w:t>
      </w:r>
    </w:p>
    <w:p w14:paraId="116BE615" w14:textId="6C34489A"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Kintz</w:t>
      </w:r>
      <w:proofErr w:type="spellEnd"/>
      <w:r w:rsidRPr="0098539B">
        <w:rPr>
          <w:rFonts w:eastAsia="Times New Roman"/>
          <w:snapToGrid/>
          <w:lang w:eastAsia="de-DE"/>
        </w:rPr>
        <w:t xml:space="preserve">, T., Lane, J., </w:t>
      </w:r>
      <w:proofErr w:type="spellStart"/>
      <w:r w:rsidRPr="0098539B">
        <w:rPr>
          <w:rFonts w:eastAsia="Times New Roman"/>
          <w:snapToGrid/>
          <w:lang w:eastAsia="de-DE"/>
        </w:rPr>
        <w:t>Gotwals</w:t>
      </w:r>
      <w:proofErr w:type="spellEnd"/>
      <w:r w:rsidRPr="0098539B">
        <w:rPr>
          <w:rFonts w:eastAsia="Times New Roman"/>
          <w:snapToGrid/>
          <w:lang w:eastAsia="de-DE"/>
        </w:rPr>
        <w:t xml:space="preserve">, A., &amp; Cisterna, D. (2015). Professional development at the local level: Necessary and sufficient conditions for critical colleagueship. </w:t>
      </w:r>
      <w:r w:rsidRPr="0098539B">
        <w:rPr>
          <w:rFonts w:eastAsia="Times New Roman"/>
          <w:i/>
          <w:iCs/>
          <w:snapToGrid/>
          <w:lang w:eastAsia="de-DE"/>
        </w:rPr>
        <w:t>Teaching and Teacher Education, 51,</w:t>
      </w:r>
      <w:r w:rsidRPr="0098539B">
        <w:rPr>
          <w:rFonts w:eastAsia="Times New Roman"/>
          <w:snapToGrid/>
          <w:lang w:eastAsia="de-DE"/>
        </w:rPr>
        <w:t xml:space="preserve"> 121–136. </w:t>
      </w:r>
      <w:hyperlink r:id="rId32" w:history="1">
        <w:r w:rsidRPr="0098539B">
          <w:rPr>
            <w:rStyle w:val="Hyperlink"/>
            <w:rFonts w:eastAsia="Times New Roman"/>
            <w:snapToGrid/>
            <w:lang w:eastAsia="de-DE"/>
          </w:rPr>
          <w:t>https://doi.org/10.1016/j.tate.2015.06.004</w:t>
        </w:r>
      </w:hyperlink>
      <w:r w:rsidRPr="0098539B">
        <w:rPr>
          <w:rFonts w:eastAsia="Times New Roman"/>
          <w:snapToGrid/>
          <w:lang w:eastAsia="de-DE"/>
        </w:rPr>
        <w:t xml:space="preserve">  </w:t>
      </w:r>
    </w:p>
    <w:p w14:paraId="73665CC3" w14:textId="652BF173"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lastRenderedPageBreak/>
        <w:t xml:space="preserve">Kuh, L. P. (2015). Teachers talking about teaching and school: collaboration and reflective practice via Critical Friends Groups. </w:t>
      </w:r>
      <w:r w:rsidRPr="0098539B">
        <w:rPr>
          <w:rFonts w:eastAsia="Times New Roman"/>
          <w:i/>
          <w:iCs/>
          <w:snapToGrid/>
          <w:lang w:eastAsia="de-DE"/>
        </w:rPr>
        <w:t>Teachers and Teaching, 22</w:t>
      </w:r>
      <w:r w:rsidRPr="0098539B">
        <w:rPr>
          <w:rFonts w:eastAsia="Times New Roman"/>
          <w:snapToGrid/>
          <w:lang w:eastAsia="de-DE"/>
        </w:rPr>
        <w:t xml:space="preserve">(3), 293–314. </w:t>
      </w:r>
      <w:hyperlink r:id="rId33" w:history="1">
        <w:r w:rsidRPr="0098539B">
          <w:rPr>
            <w:rStyle w:val="Hyperlink"/>
            <w:rFonts w:eastAsia="Times New Roman"/>
            <w:snapToGrid/>
            <w:lang w:eastAsia="de-DE"/>
          </w:rPr>
          <w:t>https://doi.org/10.1080/13540602.2015.1058589</w:t>
        </w:r>
      </w:hyperlink>
      <w:r w:rsidRPr="0098539B">
        <w:rPr>
          <w:rFonts w:eastAsia="Times New Roman"/>
          <w:snapToGrid/>
          <w:lang w:eastAsia="de-DE"/>
        </w:rPr>
        <w:t xml:space="preserve">  </w:t>
      </w:r>
    </w:p>
    <w:p w14:paraId="39019A54" w14:textId="2B0BEDFD"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Little, J. W. (1990). The Persistence of Privacy: Autonomy and initiative in teachers’ professional relations. </w:t>
      </w:r>
      <w:r w:rsidRPr="0098539B">
        <w:rPr>
          <w:rFonts w:eastAsia="Times New Roman"/>
          <w:i/>
          <w:iCs/>
          <w:snapToGrid/>
          <w:lang w:eastAsia="de-DE"/>
        </w:rPr>
        <w:t>Teachers College Record the Voice of Scholarship in Education, 91</w:t>
      </w:r>
      <w:r w:rsidRPr="0098539B">
        <w:rPr>
          <w:rFonts w:eastAsia="Times New Roman"/>
          <w:snapToGrid/>
          <w:lang w:eastAsia="de-DE"/>
        </w:rPr>
        <w:t xml:space="preserve">(4), 509–536. </w:t>
      </w:r>
      <w:hyperlink r:id="rId34" w:history="1">
        <w:r w:rsidRPr="0098539B">
          <w:rPr>
            <w:rStyle w:val="Hyperlink"/>
            <w:rFonts w:eastAsia="Times New Roman"/>
            <w:snapToGrid/>
            <w:lang w:eastAsia="de-DE"/>
          </w:rPr>
          <w:t>https://doi.org/10.1177/016146819009100403</w:t>
        </w:r>
      </w:hyperlink>
      <w:r w:rsidRPr="0098539B">
        <w:rPr>
          <w:rFonts w:eastAsia="Times New Roman"/>
          <w:snapToGrid/>
          <w:lang w:eastAsia="de-DE"/>
        </w:rPr>
        <w:t xml:space="preserve">  </w:t>
      </w:r>
    </w:p>
    <w:p w14:paraId="12BE9EE9" w14:textId="53ADA78A" w:rsidR="00F46A7D" w:rsidRPr="0098539B" w:rsidRDefault="00F46A7D" w:rsidP="00160802">
      <w:pPr>
        <w:pStyle w:val="MDPI63notes"/>
        <w:jc w:val="left"/>
        <w:rPr>
          <w:rFonts w:eastAsia="Times New Roman"/>
          <w:snapToGrid/>
          <w:lang w:eastAsia="de-DE"/>
        </w:rPr>
      </w:pPr>
      <w:r w:rsidRPr="0098539B">
        <w:rPr>
          <w:rFonts w:eastAsia="Times New Roman"/>
          <w:snapToGrid/>
          <w:lang w:val="nl-BE" w:eastAsia="de-DE"/>
        </w:rPr>
        <w:t xml:space="preserve">Liu, Q., Zhang, S., Wang, Q., &amp; Chen, W. (2017b). </w:t>
      </w:r>
      <w:r w:rsidRPr="0098539B">
        <w:rPr>
          <w:rFonts w:eastAsia="Times New Roman"/>
          <w:snapToGrid/>
          <w:lang w:eastAsia="de-DE"/>
        </w:rPr>
        <w:t xml:space="preserve">Mining Online Discussion Data for Understanding Teachers Reflective Thinking. </w:t>
      </w:r>
      <w:r w:rsidRPr="00542055">
        <w:rPr>
          <w:rFonts w:eastAsia="Times New Roman"/>
          <w:i/>
          <w:iCs/>
          <w:snapToGrid/>
          <w:lang w:eastAsia="de-DE"/>
        </w:rPr>
        <w:t xml:space="preserve">IEEE Transactions </w:t>
      </w:r>
      <w:proofErr w:type="gramStart"/>
      <w:r w:rsidRPr="00542055">
        <w:rPr>
          <w:rFonts w:eastAsia="Times New Roman"/>
          <w:i/>
          <w:iCs/>
          <w:snapToGrid/>
          <w:lang w:eastAsia="de-DE"/>
        </w:rPr>
        <w:t>On</w:t>
      </w:r>
      <w:proofErr w:type="gramEnd"/>
      <w:r w:rsidRPr="00542055">
        <w:rPr>
          <w:rFonts w:eastAsia="Times New Roman"/>
          <w:i/>
          <w:iCs/>
          <w:snapToGrid/>
          <w:lang w:eastAsia="de-DE"/>
        </w:rPr>
        <w:t xml:space="preserve"> Learning Technologies, 11</w:t>
      </w:r>
      <w:r w:rsidRPr="0098539B">
        <w:rPr>
          <w:rFonts w:eastAsia="Times New Roman"/>
          <w:snapToGrid/>
          <w:lang w:eastAsia="de-DE"/>
        </w:rPr>
        <w:t xml:space="preserve">(2), 243–254. </w:t>
      </w:r>
      <w:hyperlink r:id="rId35" w:history="1">
        <w:r w:rsidRPr="0098539B">
          <w:rPr>
            <w:rStyle w:val="Hyperlink"/>
            <w:rFonts w:eastAsia="Times New Roman"/>
            <w:snapToGrid/>
            <w:lang w:eastAsia="de-DE"/>
          </w:rPr>
          <w:t>https://doi.org/10.1109/tlt.2017.2708115</w:t>
        </w:r>
      </w:hyperlink>
      <w:r w:rsidRPr="0098539B">
        <w:rPr>
          <w:rFonts w:eastAsia="Times New Roman"/>
          <w:snapToGrid/>
          <w:lang w:eastAsia="de-DE"/>
        </w:rPr>
        <w:t xml:space="preserve"> </w:t>
      </w:r>
    </w:p>
    <w:p w14:paraId="0D8A5B2A" w14:textId="549385E1"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Marzi</w:t>
      </w:r>
      <w:proofErr w:type="spellEnd"/>
      <w:r w:rsidRPr="0098539B">
        <w:rPr>
          <w:rFonts w:eastAsia="Times New Roman"/>
          <w:snapToGrid/>
          <w:lang w:eastAsia="de-DE"/>
        </w:rPr>
        <w:t xml:space="preserve">, G., Balzano, M., &amp; </w:t>
      </w:r>
      <w:proofErr w:type="spellStart"/>
      <w:r w:rsidRPr="0098539B">
        <w:rPr>
          <w:rFonts w:eastAsia="Times New Roman"/>
          <w:snapToGrid/>
          <w:lang w:eastAsia="de-DE"/>
        </w:rPr>
        <w:t>Marchiori</w:t>
      </w:r>
      <w:proofErr w:type="spellEnd"/>
      <w:r w:rsidRPr="0098539B">
        <w:rPr>
          <w:rFonts w:eastAsia="Times New Roman"/>
          <w:snapToGrid/>
          <w:lang w:eastAsia="de-DE"/>
        </w:rPr>
        <w:t>, D. (2024). K-Alpha Calculator–</w:t>
      </w:r>
      <w:proofErr w:type="spellStart"/>
      <w:r w:rsidRPr="0098539B">
        <w:rPr>
          <w:rFonts w:eastAsia="Times New Roman"/>
          <w:snapToGrid/>
          <w:lang w:eastAsia="de-DE"/>
        </w:rPr>
        <w:t>Krippendorff’s</w:t>
      </w:r>
      <w:proofErr w:type="spellEnd"/>
      <w:r w:rsidRPr="0098539B">
        <w:rPr>
          <w:rFonts w:eastAsia="Times New Roman"/>
          <w:snapToGrid/>
          <w:lang w:eastAsia="de-DE"/>
        </w:rPr>
        <w:t xml:space="preserve"> Alpha Calculator: A user-friendly tool for computing </w:t>
      </w:r>
      <w:proofErr w:type="spellStart"/>
      <w:r w:rsidRPr="0098539B">
        <w:rPr>
          <w:rFonts w:eastAsia="Times New Roman"/>
          <w:snapToGrid/>
          <w:lang w:eastAsia="de-DE"/>
        </w:rPr>
        <w:t>Krippendorff’s</w:t>
      </w:r>
      <w:proofErr w:type="spellEnd"/>
      <w:r w:rsidRPr="0098539B">
        <w:rPr>
          <w:rFonts w:eastAsia="Times New Roman"/>
          <w:snapToGrid/>
          <w:lang w:eastAsia="de-DE"/>
        </w:rPr>
        <w:t xml:space="preserve"> Alpha inter-rater reliability coefficient. </w:t>
      </w:r>
      <w:proofErr w:type="spellStart"/>
      <w:r w:rsidRPr="0098539B">
        <w:rPr>
          <w:rFonts w:eastAsia="Times New Roman"/>
          <w:i/>
          <w:iCs/>
          <w:snapToGrid/>
          <w:lang w:eastAsia="de-DE"/>
        </w:rPr>
        <w:t>MethodsX</w:t>
      </w:r>
      <w:proofErr w:type="spellEnd"/>
      <w:r w:rsidRPr="0098539B">
        <w:rPr>
          <w:rFonts w:eastAsia="Times New Roman"/>
          <w:i/>
          <w:iCs/>
          <w:snapToGrid/>
          <w:lang w:eastAsia="de-DE"/>
        </w:rPr>
        <w:t>, 12</w:t>
      </w:r>
      <w:r w:rsidRPr="0098539B">
        <w:rPr>
          <w:rFonts w:eastAsia="Times New Roman"/>
          <w:snapToGrid/>
          <w:lang w:eastAsia="de-DE"/>
        </w:rPr>
        <w:t xml:space="preserve">, 102545. </w:t>
      </w:r>
      <w:hyperlink r:id="rId36" w:history="1">
        <w:r w:rsidRPr="0098539B">
          <w:rPr>
            <w:rStyle w:val="Hyperlink"/>
            <w:rFonts w:eastAsia="Times New Roman"/>
            <w:snapToGrid/>
            <w:lang w:eastAsia="de-DE"/>
          </w:rPr>
          <w:t>https://doi.org/10.1016/j.mex.2023.102545</w:t>
        </w:r>
      </w:hyperlink>
      <w:r w:rsidRPr="0098539B">
        <w:rPr>
          <w:rFonts w:eastAsia="Times New Roman"/>
          <w:snapToGrid/>
          <w:lang w:eastAsia="de-DE"/>
        </w:rPr>
        <w:t xml:space="preserve">  </w:t>
      </w:r>
    </w:p>
    <w:p w14:paraId="0FD81B26" w14:textId="77777777"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Mitchell, C., &amp; </w:t>
      </w:r>
      <w:proofErr w:type="spellStart"/>
      <w:r w:rsidRPr="0098539B">
        <w:rPr>
          <w:rFonts w:eastAsia="Times New Roman"/>
          <w:snapToGrid/>
          <w:lang w:eastAsia="de-DE"/>
        </w:rPr>
        <w:t>Sackney</w:t>
      </w:r>
      <w:proofErr w:type="spellEnd"/>
      <w:r w:rsidRPr="0098539B">
        <w:rPr>
          <w:rFonts w:eastAsia="Times New Roman"/>
          <w:snapToGrid/>
          <w:lang w:eastAsia="de-DE"/>
        </w:rPr>
        <w:t xml:space="preserve">, L. (2011). </w:t>
      </w:r>
      <w:r w:rsidRPr="0098539B">
        <w:rPr>
          <w:rFonts w:eastAsia="Times New Roman"/>
          <w:i/>
          <w:iCs/>
          <w:snapToGrid/>
          <w:lang w:eastAsia="de-DE"/>
        </w:rPr>
        <w:t>Profound improvement: Building capacity for a learning community.</w:t>
      </w:r>
      <w:r w:rsidRPr="0098539B">
        <w:rPr>
          <w:rFonts w:eastAsia="Times New Roman"/>
          <w:snapToGrid/>
          <w:lang w:eastAsia="de-DE"/>
        </w:rPr>
        <w:t xml:space="preserve"> Taylor &amp; Francis.</w:t>
      </w:r>
    </w:p>
    <w:p w14:paraId="70963FD1" w14:textId="30B7C85F"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Murugaiah</w:t>
      </w:r>
      <w:proofErr w:type="spellEnd"/>
      <w:r w:rsidRPr="0098539B">
        <w:rPr>
          <w:rFonts w:eastAsia="Times New Roman"/>
          <w:snapToGrid/>
          <w:lang w:eastAsia="de-DE"/>
        </w:rPr>
        <w:t xml:space="preserve">, P., Azman, H., Thang, S. M., &amp; Krish, P. (2012). Teacher learning via communities of practice: A Malaysian case study. </w:t>
      </w:r>
      <w:r w:rsidRPr="0098539B">
        <w:rPr>
          <w:rFonts w:eastAsia="Times New Roman"/>
          <w:i/>
          <w:iCs/>
          <w:snapToGrid/>
          <w:lang w:eastAsia="de-DE"/>
        </w:rPr>
        <w:t>International Journal of Pedagogies and Learning, 7</w:t>
      </w:r>
      <w:r w:rsidRPr="0098539B">
        <w:rPr>
          <w:rFonts w:eastAsia="Times New Roman"/>
          <w:snapToGrid/>
          <w:lang w:eastAsia="de-DE"/>
        </w:rPr>
        <w:t xml:space="preserve">(2), 162–174. </w:t>
      </w:r>
      <w:hyperlink r:id="rId37" w:history="1">
        <w:r w:rsidRPr="0098539B">
          <w:rPr>
            <w:rStyle w:val="Hyperlink"/>
            <w:rFonts w:eastAsia="Times New Roman"/>
            <w:snapToGrid/>
            <w:lang w:eastAsia="de-DE"/>
          </w:rPr>
          <w:t>https://doi.org/10.5172/ijpl.2012.7.2.162</w:t>
        </w:r>
      </w:hyperlink>
      <w:r w:rsidRPr="0098539B">
        <w:rPr>
          <w:rFonts w:eastAsia="Times New Roman"/>
          <w:snapToGrid/>
          <w:lang w:eastAsia="de-DE"/>
        </w:rPr>
        <w:t xml:space="preserve">  </w:t>
      </w:r>
    </w:p>
    <w:p w14:paraId="4F1B2BE9" w14:textId="2076F736"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Nonaka, I., &amp; Takeuchi, H. (1995). </w:t>
      </w:r>
      <w:r w:rsidRPr="0098539B">
        <w:rPr>
          <w:rFonts w:eastAsia="Times New Roman"/>
          <w:i/>
          <w:iCs/>
          <w:snapToGrid/>
          <w:lang w:eastAsia="de-DE"/>
        </w:rPr>
        <w:t>The Knowledge-Creating company</w:t>
      </w:r>
      <w:r w:rsidRPr="0098539B">
        <w:rPr>
          <w:rFonts w:eastAsia="Times New Roman"/>
          <w:snapToGrid/>
          <w:lang w:eastAsia="de-DE"/>
        </w:rPr>
        <w:t xml:space="preserve">. Oxford University Press. </w:t>
      </w:r>
      <w:hyperlink r:id="rId38" w:history="1">
        <w:r w:rsidRPr="0098539B">
          <w:rPr>
            <w:rStyle w:val="Hyperlink"/>
            <w:rFonts w:eastAsia="Times New Roman"/>
            <w:snapToGrid/>
            <w:lang w:eastAsia="de-DE"/>
          </w:rPr>
          <w:t>https://doi.org/10.1093/oso/9780195092691.001.0001</w:t>
        </w:r>
      </w:hyperlink>
      <w:r w:rsidRPr="0098539B">
        <w:rPr>
          <w:rFonts w:eastAsia="Times New Roman"/>
          <w:snapToGrid/>
          <w:lang w:eastAsia="de-DE"/>
        </w:rPr>
        <w:t xml:space="preserve">  </w:t>
      </w:r>
    </w:p>
    <w:p w14:paraId="60707491" w14:textId="2B771B61"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OECD (2015). </w:t>
      </w:r>
      <w:r w:rsidRPr="0098539B">
        <w:rPr>
          <w:rFonts w:eastAsia="Times New Roman"/>
          <w:i/>
          <w:iCs/>
          <w:snapToGrid/>
          <w:lang w:eastAsia="de-DE"/>
        </w:rPr>
        <w:t>Education policy outlook 2015: Making reforms happen.</w:t>
      </w:r>
      <w:r w:rsidRPr="0098539B">
        <w:rPr>
          <w:rFonts w:eastAsia="Times New Roman"/>
          <w:snapToGrid/>
          <w:lang w:eastAsia="de-DE"/>
        </w:rPr>
        <w:t xml:space="preserve"> OECD Publishing. Paris. </w:t>
      </w:r>
      <w:hyperlink r:id="rId39" w:history="1">
        <w:r w:rsidRPr="0098539B">
          <w:rPr>
            <w:rStyle w:val="Hyperlink"/>
            <w:rFonts w:eastAsia="Times New Roman"/>
            <w:snapToGrid/>
            <w:lang w:eastAsia="de-DE"/>
          </w:rPr>
          <w:t>https://doi.org/10.1787/9789264225442-en</w:t>
        </w:r>
      </w:hyperlink>
      <w:r w:rsidRPr="0098539B">
        <w:rPr>
          <w:rFonts w:eastAsia="Times New Roman"/>
          <w:snapToGrid/>
          <w:lang w:eastAsia="de-DE"/>
        </w:rPr>
        <w:t xml:space="preserve">. </w:t>
      </w:r>
    </w:p>
    <w:p w14:paraId="0C51563E" w14:textId="3D48E0EF" w:rsidR="00FE5F91" w:rsidRPr="0098539B" w:rsidRDefault="00FE5F91" w:rsidP="00160802">
      <w:pPr>
        <w:pStyle w:val="MDPI63notes"/>
        <w:jc w:val="left"/>
        <w:rPr>
          <w:rFonts w:eastAsia="Times New Roman"/>
          <w:snapToGrid/>
          <w:lang w:eastAsia="de-DE"/>
        </w:rPr>
      </w:pPr>
      <w:r w:rsidRPr="0098539B">
        <w:rPr>
          <w:rFonts w:eastAsia="Times New Roman"/>
          <w:snapToGrid/>
          <w:lang w:eastAsia="de-DE"/>
        </w:rPr>
        <w:t xml:space="preserve">Poortman, C. L., Brown, C., &amp; </w:t>
      </w:r>
      <w:proofErr w:type="spellStart"/>
      <w:r w:rsidRPr="0098539B">
        <w:rPr>
          <w:rFonts w:eastAsia="Times New Roman"/>
          <w:snapToGrid/>
          <w:lang w:eastAsia="de-DE"/>
        </w:rPr>
        <w:t>Schildkamp</w:t>
      </w:r>
      <w:proofErr w:type="spellEnd"/>
      <w:r w:rsidRPr="0098539B">
        <w:rPr>
          <w:rFonts w:eastAsia="Times New Roman"/>
          <w:snapToGrid/>
          <w:lang w:eastAsia="de-DE"/>
        </w:rPr>
        <w:t xml:space="preserve">, K. (2022). Professional learning networks: A conceptual model and research opportunities. </w:t>
      </w:r>
      <w:r w:rsidRPr="0098539B">
        <w:rPr>
          <w:rFonts w:eastAsia="Times New Roman"/>
          <w:i/>
          <w:iCs/>
          <w:snapToGrid/>
          <w:lang w:eastAsia="de-DE"/>
        </w:rPr>
        <w:t>Educational Research, 64</w:t>
      </w:r>
      <w:r w:rsidRPr="0098539B">
        <w:rPr>
          <w:rFonts w:eastAsia="Times New Roman"/>
          <w:snapToGrid/>
          <w:lang w:eastAsia="de-DE"/>
        </w:rPr>
        <w:t xml:space="preserve">(1), 95–112. </w:t>
      </w:r>
      <w:hyperlink r:id="rId40" w:history="1">
        <w:r w:rsidRPr="0098539B">
          <w:rPr>
            <w:rStyle w:val="Hyperlink"/>
            <w:rFonts w:eastAsia="Times New Roman"/>
            <w:snapToGrid/>
            <w:lang w:eastAsia="de-DE"/>
          </w:rPr>
          <w:t>https://doi.org/10.1080/00131881.2021.1985398</w:t>
        </w:r>
      </w:hyperlink>
      <w:r w:rsidRPr="0098539B">
        <w:rPr>
          <w:rFonts w:eastAsia="Times New Roman"/>
          <w:snapToGrid/>
          <w:lang w:eastAsia="de-DE"/>
        </w:rPr>
        <w:t xml:space="preserve">  </w:t>
      </w:r>
    </w:p>
    <w:p w14:paraId="63BF844D" w14:textId="12DAA042"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Rincón-Gallardo, S., &amp; Fullan, M. (2016). Essential features of effective networks in education. </w:t>
      </w:r>
      <w:r w:rsidRPr="0098539B">
        <w:rPr>
          <w:rFonts w:eastAsia="Times New Roman"/>
          <w:i/>
          <w:iCs/>
          <w:snapToGrid/>
          <w:lang w:eastAsia="de-DE"/>
        </w:rPr>
        <w:t>Journal of Professional Capital and Community, 1</w:t>
      </w:r>
      <w:r w:rsidRPr="0098539B">
        <w:rPr>
          <w:rFonts w:eastAsia="Times New Roman"/>
          <w:snapToGrid/>
          <w:lang w:eastAsia="de-DE"/>
        </w:rPr>
        <w:t xml:space="preserve">(1), 5–22. </w:t>
      </w:r>
      <w:hyperlink r:id="rId41" w:history="1">
        <w:r w:rsidRPr="0098539B">
          <w:rPr>
            <w:rStyle w:val="Hyperlink"/>
            <w:rFonts w:eastAsia="Times New Roman"/>
            <w:snapToGrid/>
            <w:lang w:eastAsia="de-DE"/>
          </w:rPr>
          <w:t>https://doi.org/10.1108/jpcc-09-2015-0007</w:t>
        </w:r>
      </w:hyperlink>
      <w:r w:rsidRPr="0098539B">
        <w:rPr>
          <w:rFonts w:eastAsia="Times New Roman"/>
          <w:snapToGrid/>
          <w:lang w:eastAsia="de-DE"/>
        </w:rPr>
        <w:t xml:space="preserve"> </w:t>
      </w:r>
    </w:p>
    <w:p w14:paraId="45437B41" w14:textId="77777777"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Ritchie, J., &amp; Lewis, J. (2003). </w:t>
      </w:r>
      <w:r w:rsidRPr="00542055">
        <w:rPr>
          <w:rFonts w:eastAsia="Times New Roman"/>
          <w:i/>
          <w:iCs/>
          <w:snapToGrid/>
          <w:lang w:eastAsia="de-DE"/>
        </w:rPr>
        <w:t>Qualitative research practice: A guide for social science students and researchers</w:t>
      </w:r>
      <w:r w:rsidRPr="0098539B">
        <w:rPr>
          <w:rFonts w:eastAsia="Times New Roman"/>
          <w:snapToGrid/>
          <w:lang w:eastAsia="de-DE"/>
        </w:rPr>
        <w:t>. SAGE.</w:t>
      </w:r>
    </w:p>
    <w:p w14:paraId="54AFA157" w14:textId="1E9A83EC" w:rsidR="005B5360" w:rsidRPr="0098539B" w:rsidRDefault="005B5360" w:rsidP="00160802">
      <w:pPr>
        <w:pStyle w:val="MDPI63notes"/>
        <w:jc w:val="left"/>
        <w:rPr>
          <w:rFonts w:eastAsia="Times New Roman"/>
          <w:snapToGrid/>
          <w:lang w:eastAsia="de-DE"/>
        </w:rPr>
      </w:pPr>
      <w:r w:rsidRPr="0098539B">
        <w:rPr>
          <w:rFonts w:eastAsia="Times New Roman"/>
          <w:snapToGrid/>
          <w:lang w:eastAsia="de-DE"/>
        </w:rPr>
        <w:t xml:space="preserve">Rodgers, C. (2002). Defining Reflection: Another Look at John Dewey and Reflective Thinking. </w:t>
      </w:r>
      <w:r w:rsidRPr="00542055">
        <w:rPr>
          <w:rFonts w:eastAsia="Times New Roman"/>
          <w:i/>
          <w:iCs/>
          <w:snapToGrid/>
          <w:lang w:eastAsia="de-DE"/>
        </w:rPr>
        <w:t xml:space="preserve">Teachers College Record </w:t>
      </w:r>
      <w:proofErr w:type="gramStart"/>
      <w:r w:rsidRPr="00542055">
        <w:rPr>
          <w:rFonts w:eastAsia="Times New Roman"/>
          <w:i/>
          <w:iCs/>
          <w:snapToGrid/>
          <w:lang w:eastAsia="de-DE"/>
        </w:rPr>
        <w:t>The</w:t>
      </w:r>
      <w:proofErr w:type="gramEnd"/>
      <w:r w:rsidRPr="00542055">
        <w:rPr>
          <w:rFonts w:eastAsia="Times New Roman"/>
          <w:i/>
          <w:iCs/>
          <w:snapToGrid/>
          <w:lang w:eastAsia="de-DE"/>
        </w:rPr>
        <w:t xml:space="preserve"> Voice Of Scholarship in Education, 104</w:t>
      </w:r>
      <w:r w:rsidRPr="0098539B">
        <w:rPr>
          <w:rFonts w:eastAsia="Times New Roman"/>
          <w:snapToGrid/>
          <w:lang w:eastAsia="de-DE"/>
        </w:rPr>
        <w:t xml:space="preserve">(4), 842–866. </w:t>
      </w:r>
      <w:hyperlink r:id="rId42" w:history="1">
        <w:r w:rsidRPr="0098539B">
          <w:rPr>
            <w:rStyle w:val="Hyperlink"/>
            <w:rFonts w:eastAsia="Times New Roman"/>
            <w:snapToGrid/>
            <w:lang w:eastAsia="de-DE"/>
          </w:rPr>
          <w:t>https://doi.org/10.1111/1467-9620.00181</w:t>
        </w:r>
      </w:hyperlink>
      <w:r w:rsidRPr="0098539B">
        <w:rPr>
          <w:rFonts w:eastAsia="Times New Roman"/>
          <w:snapToGrid/>
          <w:lang w:eastAsia="de-DE"/>
        </w:rPr>
        <w:t xml:space="preserve"> </w:t>
      </w:r>
    </w:p>
    <w:p w14:paraId="48DC3B10" w14:textId="34845B4E"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Rudolph, J., Tan, S., &amp; Tan, S. (2023). ChatGPT: Bullshit spewer or the end of traditional assessments in higher education? </w:t>
      </w:r>
      <w:r w:rsidRPr="0098539B">
        <w:rPr>
          <w:rFonts w:eastAsia="Times New Roman"/>
          <w:i/>
          <w:iCs/>
          <w:snapToGrid/>
          <w:lang w:eastAsia="de-DE"/>
        </w:rPr>
        <w:t>Journal of Applied Learning &amp; Teaching, 6</w:t>
      </w:r>
      <w:r w:rsidRPr="0098539B">
        <w:rPr>
          <w:rFonts w:eastAsia="Times New Roman"/>
          <w:snapToGrid/>
          <w:lang w:eastAsia="de-DE"/>
        </w:rPr>
        <w:t xml:space="preserve">(1). </w:t>
      </w:r>
      <w:hyperlink r:id="rId43" w:history="1">
        <w:r w:rsidRPr="0098539B">
          <w:rPr>
            <w:rStyle w:val="Hyperlink"/>
            <w:rFonts w:eastAsia="Times New Roman"/>
            <w:snapToGrid/>
            <w:lang w:eastAsia="de-DE"/>
          </w:rPr>
          <w:t>https://doi.org/10.37074/jalt.2023.6.1.9</w:t>
        </w:r>
      </w:hyperlink>
      <w:r w:rsidRPr="0098539B">
        <w:rPr>
          <w:rFonts w:eastAsia="Times New Roman"/>
          <w:snapToGrid/>
          <w:lang w:eastAsia="de-DE"/>
        </w:rPr>
        <w:t xml:space="preserve">  </w:t>
      </w:r>
    </w:p>
    <w:p w14:paraId="43D2B578" w14:textId="1FDA4F2C"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Schildkamp</w:t>
      </w:r>
      <w:proofErr w:type="spellEnd"/>
      <w:r w:rsidRPr="0098539B">
        <w:rPr>
          <w:rFonts w:eastAsia="Times New Roman"/>
          <w:snapToGrid/>
          <w:lang w:eastAsia="de-DE"/>
        </w:rPr>
        <w:t xml:space="preserve">, K., &amp; </w:t>
      </w:r>
      <w:proofErr w:type="spellStart"/>
      <w:r w:rsidRPr="0098539B">
        <w:rPr>
          <w:rFonts w:eastAsia="Times New Roman"/>
          <w:snapToGrid/>
          <w:lang w:eastAsia="de-DE"/>
        </w:rPr>
        <w:t>Datnow</w:t>
      </w:r>
      <w:proofErr w:type="spellEnd"/>
      <w:r w:rsidRPr="0098539B">
        <w:rPr>
          <w:rFonts w:eastAsia="Times New Roman"/>
          <w:snapToGrid/>
          <w:lang w:eastAsia="de-DE"/>
        </w:rPr>
        <w:t xml:space="preserve">, A. (2020). When Data Teams Struggle: Learning from Less Successful Data Use Efforts. </w:t>
      </w:r>
      <w:r w:rsidRPr="0098539B">
        <w:rPr>
          <w:rFonts w:eastAsia="Times New Roman"/>
          <w:i/>
          <w:iCs/>
          <w:snapToGrid/>
          <w:lang w:eastAsia="de-DE"/>
        </w:rPr>
        <w:t>Leadership and Policy in Schools, 21</w:t>
      </w:r>
      <w:r w:rsidRPr="0098539B">
        <w:rPr>
          <w:rFonts w:eastAsia="Times New Roman"/>
          <w:snapToGrid/>
          <w:lang w:eastAsia="de-DE"/>
        </w:rPr>
        <w:t xml:space="preserve">(2), 147–166. </w:t>
      </w:r>
      <w:hyperlink r:id="rId44" w:history="1">
        <w:r w:rsidRPr="0098539B">
          <w:rPr>
            <w:rStyle w:val="Hyperlink"/>
            <w:rFonts w:eastAsia="Times New Roman"/>
            <w:snapToGrid/>
            <w:lang w:eastAsia="de-DE"/>
          </w:rPr>
          <w:t>https://doi.org/10.1080/15700763.2020.1734630</w:t>
        </w:r>
      </w:hyperlink>
      <w:r w:rsidRPr="0098539B">
        <w:rPr>
          <w:rFonts w:eastAsia="Times New Roman"/>
          <w:snapToGrid/>
          <w:lang w:eastAsia="de-DE"/>
        </w:rPr>
        <w:t xml:space="preserve">  </w:t>
      </w:r>
    </w:p>
    <w:p w14:paraId="0588A293" w14:textId="4AC7A634"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Schleicher, A. (ed.) (2012), </w:t>
      </w:r>
      <w:r w:rsidRPr="0098539B">
        <w:rPr>
          <w:rFonts w:eastAsia="Times New Roman"/>
          <w:i/>
          <w:iCs/>
          <w:snapToGrid/>
          <w:lang w:eastAsia="de-DE"/>
        </w:rPr>
        <w:t>Preparing teachers and developing school leaders for the 21st century: Lessons from around the world</w:t>
      </w:r>
      <w:r w:rsidRPr="0098539B">
        <w:rPr>
          <w:rFonts w:eastAsia="Times New Roman"/>
          <w:snapToGrid/>
          <w:lang w:eastAsia="de-DE"/>
        </w:rPr>
        <w:t xml:space="preserve">. International Summit on the Teaching Profession. OECD Publishing. Paris. </w:t>
      </w:r>
      <w:hyperlink r:id="rId45" w:history="1">
        <w:r w:rsidRPr="0098539B">
          <w:rPr>
            <w:rStyle w:val="Hyperlink"/>
            <w:rFonts w:eastAsia="Times New Roman"/>
            <w:snapToGrid/>
            <w:lang w:eastAsia="de-DE"/>
          </w:rPr>
          <w:t>https://doi.org/10.1787/9789264174559-en</w:t>
        </w:r>
      </w:hyperlink>
      <w:r w:rsidRPr="0098539B">
        <w:rPr>
          <w:rFonts w:eastAsia="Times New Roman"/>
          <w:snapToGrid/>
          <w:lang w:eastAsia="de-DE"/>
        </w:rPr>
        <w:t xml:space="preserve">. </w:t>
      </w:r>
    </w:p>
    <w:p w14:paraId="29CBD300" w14:textId="2EC14D5A" w:rsidR="006B6C9B" w:rsidRPr="0098539B" w:rsidRDefault="006B6C9B" w:rsidP="00160802">
      <w:pPr>
        <w:pStyle w:val="MDPI63notes"/>
        <w:jc w:val="left"/>
        <w:rPr>
          <w:rFonts w:eastAsia="Times New Roman"/>
          <w:snapToGrid/>
          <w:lang w:eastAsia="de-DE"/>
        </w:rPr>
      </w:pPr>
      <w:r w:rsidRPr="0098539B">
        <w:rPr>
          <w:rFonts w:eastAsia="Times New Roman"/>
          <w:snapToGrid/>
          <w:lang w:eastAsia="de-DE"/>
        </w:rPr>
        <w:t xml:space="preserve">Schön, D. A. (1983). </w:t>
      </w:r>
      <w:r w:rsidRPr="00542055">
        <w:rPr>
          <w:rFonts w:eastAsia="Times New Roman"/>
          <w:i/>
          <w:iCs/>
          <w:snapToGrid/>
          <w:lang w:eastAsia="de-DE"/>
        </w:rPr>
        <w:t>The Reflective Practitioner: How professionals think in action</w:t>
      </w:r>
      <w:r w:rsidRPr="0098539B">
        <w:rPr>
          <w:rFonts w:eastAsia="Times New Roman"/>
          <w:snapToGrid/>
          <w:lang w:eastAsia="de-DE"/>
        </w:rPr>
        <w:t>. Basic Books.</w:t>
      </w:r>
    </w:p>
    <w:p w14:paraId="65D19D0B" w14:textId="7780F88B"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Schön, D. A. (1987). </w:t>
      </w:r>
      <w:r w:rsidRPr="0098539B">
        <w:rPr>
          <w:rFonts w:eastAsia="Times New Roman"/>
          <w:i/>
          <w:iCs/>
          <w:snapToGrid/>
          <w:lang w:eastAsia="de-DE"/>
        </w:rPr>
        <w:t xml:space="preserve">Educating the Reflective Practitioner: Toward a New Design for Teaching and Learning in the Professions. </w:t>
      </w:r>
      <w:hyperlink r:id="rId46" w:history="1">
        <w:r w:rsidRPr="0098539B">
          <w:rPr>
            <w:rStyle w:val="Hyperlink"/>
            <w:rFonts w:eastAsia="Times New Roman"/>
            <w:snapToGrid/>
            <w:lang w:eastAsia="de-DE"/>
          </w:rPr>
          <w:t>http://psycnet.apa.org/record/1987-97655-000</w:t>
        </w:r>
      </w:hyperlink>
      <w:r w:rsidRPr="0098539B">
        <w:rPr>
          <w:rFonts w:eastAsia="Times New Roman"/>
          <w:snapToGrid/>
          <w:lang w:eastAsia="de-DE"/>
        </w:rPr>
        <w:t xml:space="preserve">  </w:t>
      </w:r>
    </w:p>
    <w:p w14:paraId="35829F51" w14:textId="77777777"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Stoll, L. (2015). </w:t>
      </w:r>
      <w:r w:rsidRPr="0098539B">
        <w:rPr>
          <w:rFonts w:eastAsia="Times New Roman"/>
          <w:i/>
          <w:iCs/>
          <w:snapToGrid/>
          <w:lang w:eastAsia="de-DE"/>
        </w:rPr>
        <w:t>Using evidence, learning and the role of professional learning communities.</w:t>
      </w:r>
      <w:r w:rsidRPr="0098539B">
        <w:rPr>
          <w:rFonts w:eastAsia="Times New Roman"/>
          <w:snapToGrid/>
          <w:lang w:eastAsia="de-DE"/>
        </w:rPr>
        <w:t xml:space="preserve"> In C. Brown (Ed.), Leading the use of research and evidence in schools (1st ed., pp. 54–65). IOE Press.</w:t>
      </w:r>
    </w:p>
    <w:p w14:paraId="6F26A49D" w14:textId="194EF24C"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Theelen</w:t>
      </w:r>
      <w:proofErr w:type="spellEnd"/>
      <w:r w:rsidRPr="0098539B">
        <w:rPr>
          <w:rFonts w:eastAsia="Times New Roman"/>
          <w:snapToGrid/>
          <w:lang w:eastAsia="de-DE"/>
        </w:rPr>
        <w:t xml:space="preserve">, H., </w:t>
      </w:r>
      <w:proofErr w:type="spellStart"/>
      <w:r w:rsidRPr="0098539B">
        <w:rPr>
          <w:rFonts w:eastAsia="Times New Roman"/>
          <w:snapToGrid/>
          <w:lang w:eastAsia="de-DE"/>
        </w:rPr>
        <w:t>Vreuls</w:t>
      </w:r>
      <w:proofErr w:type="spellEnd"/>
      <w:r w:rsidRPr="0098539B">
        <w:rPr>
          <w:rFonts w:eastAsia="Times New Roman"/>
          <w:snapToGrid/>
          <w:lang w:eastAsia="de-DE"/>
        </w:rPr>
        <w:t xml:space="preserve">, J., &amp; Rutten, J. (2024). Doing Research with Help from ChatGPT: Promising Examples for Coding and Inter-Rater Reliability. </w:t>
      </w:r>
      <w:r w:rsidRPr="0098539B">
        <w:rPr>
          <w:rFonts w:eastAsia="Times New Roman"/>
          <w:i/>
          <w:iCs/>
          <w:snapToGrid/>
          <w:lang w:eastAsia="de-DE"/>
        </w:rPr>
        <w:t>International Journal of Technology in Education, 7</w:t>
      </w:r>
      <w:r w:rsidRPr="0098539B">
        <w:rPr>
          <w:rFonts w:eastAsia="Times New Roman"/>
          <w:snapToGrid/>
          <w:lang w:eastAsia="de-DE"/>
        </w:rPr>
        <w:t xml:space="preserve">(1), 1–18. </w:t>
      </w:r>
      <w:hyperlink r:id="rId47" w:history="1">
        <w:r w:rsidRPr="0098539B">
          <w:rPr>
            <w:rStyle w:val="Hyperlink"/>
            <w:rFonts w:eastAsia="Times New Roman"/>
            <w:snapToGrid/>
            <w:lang w:eastAsia="de-DE"/>
          </w:rPr>
          <w:t>https://doi.org/10.46328/ijte.537</w:t>
        </w:r>
      </w:hyperlink>
      <w:r w:rsidRPr="0098539B">
        <w:rPr>
          <w:rFonts w:eastAsia="Times New Roman"/>
          <w:snapToGrid/>
          <w:lang w:eastAsia="de-DE"/>
        </w:rPr>
        <w:t xml:space="preserve">  </w:t>
      </w:r>
    </w:p>
    <w:p w14:paraId="38861219" w14:textId="362F644F"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lastRenderedPageBreak/>
        <w:t xml:space="preserve">Van </w:t>
      </w:r>
      <w:proofErr w:type="spellStart"/>
      <w:r w:rsidRPr="0098539B">
        <w:rPr>
          <w:rFonts w:eastAsia="Times New Roman"/>
          <w:snapToGrid/>
          <w:lang w:eastAsia="de-DE"/>
        </w:rPr>
        <w:t>Manen</w:t>
      </w:r>
      <w:proofErr w:type="spellEnd"/>
      <w:r w:rsidRPr="0098539B">
        <w:rPr>
          <w:rFonts w:eastAsia="Times New Roman"/>
          <w:snapToGrid/>
          <w:lang w:eastAsia="de-DE"/>
        </w:rPr>
        <w:t xml:space="preserve">, M. (1977). Linking Ways of Knowing with Ways of Being Practical. </w:t>
      </w:r>
      <w:r w:rsidRPr="0098539B">
        <w:rPr>
          <w:rFonts w:eastAsia="Times New Roman"/>
          <w:i/>
          <w:iCs/>
          <w:snapToGrid/>
          <w:lang w:eastAsia="de-DE"/>
        </w:rPr>
        <w:t>Curriculum Inquiry, 6</w:t>
      </w:r>
      <w:r w:rsidRPr="0098539B">
        <w:rPr>
          <w:rFonts w:eastAsia="Times New Roman"/>
          <w:snapToGrid/>
          <w:lang w:eastAsia="de-DE"/>
        </w:rPr>
        <w:t xml:space="preserve">(3), 205. </w:t>
      </w:r>
      <w:hyperlink r:id="rId48" w:history="1">
        <w:r w:rsidRPr="0098539B">
          <w:rPr>
            <w:rStyle w:val="Hyperlink"/>
            <w:rFonts w:eastAsia="Times New Roman"/>
            <w:snapToGrid/>
            <w:lang w:eastAsia="de-DE"/>
          </w:rPr>
          <w:t>https://doi.org/10.2307/1179579</w:t>
        </w:r>
      </w:hyperlink>
      <w:r w:rsidRPr="0098539B">
        <w:rPr>
          <w:rFonts w:eastAsia="Times New Roman"/>
          <w:snapToGrid/>
          <w:lang w:eastAsia="de-DE"/>
        </w:rPr>
        <w:t xml:space="preserve">  </w:t>
      </w:r>
    </w:p>
    <w:p w14:paraId="0A7114B0" w14:textId="77F8E65B" w:rsidR="00160802" w:rsidRPr="0098539B" w:rsidRDefault="00160802" w:rsidP="00160802">
      <w:pPr>
        <w:pStyle w:val="MDPI63notes"/>
        <w:jc w:val="left"/>
        <w:rPr>
          <w:rFonts w:eastAsia="Times New Roman"/>
          <w:snapToGrid/>
          <w:lang w:eastAsia="de-DE"/>
        </w:rPr>
      </w:pPr>
      <w:proofErr w:type="spellStart"/>
      <w:r w:rsidRPr="0098539B">
        <w:rPr>
          <w:rFonts w:eastAsia="Times New Roman"/>
          <w:snapToGrid/>
          <w:lang w:eastAsia="de-DE"/>
        </w:rPr>
        <w:t>Vanblaere</w:t>
      </w:r>
      <w:proofErr w:type="spellEnd"/>
      <w:r w:rsidRPr="0098539B">
        <w:rPr>
          <w:rFonts w:eastAsia="Times New Roman"/>
          <w:snapToGrid/>
          <w:lang w:eastAsia="de-DE"/>
        </w:rPr>
        <w:t xml:space="preserve">, B., &amp; Devos, G. (2016). Exploring the link between experienced teachers’ learning outcomes and individual and professional learning community characteristics. </w:t>
      </w:r>
      <w:r w:rsidRPr="0098539B">
        <w:rPr>
          <w:rFonts w:eastAsia="Times New Roman"/>
          <w:i/>
          <w:iCs/>
          <w:snapToGrid/>
          <w:lang w:eastAsia="de-DE"/>
        </w:rPr>
        <w:t>School Effectiveness and School Improvement, 27</w:t>
      </w:r>
      <w:r w:rsidRPr="0098539B">
        <w:rPr>
          <w:rFonts w:eastAsia="Times New Roman"/>
          <w:snapToGrid/>
          <w:lang w:eastAsia="de-DE"/>
        </w:rPr>
        <w:t xml:space="preserve">(2), 205–227. </w:t>
      </w:r>
      <w:hyperlink r:id="rId49" w:history="1">
        <w:r w:rsidRPr="0098539B">
          <w:rPr>
            <w:rStyle w:val="Hyperlink"/>
            <w:rFonts w:eastAsia="Times New Roman"/>
            <w:snapToGrid/>
            <w:lang w:eastAsia="de-DE"/>
          </w:rPr>
          <w:t>https://doi.org/10.1080/09243453.2015.1064455</w:t>
        </w:r>
      </w:hyperlink>
      <w:r w:rsidRPr="0098539B">
        <w:rPr>
          <w:rFonts w:eastAsia="Times New Roman"/>
          <w:snapToGrid/>
          <w:lang w:eastAsia="de-DE"/>
        </w:rPr>
        <w:t xml:space="preserve">  </w:t>
      </w:r>
    </w:p>
    <w:p w14:paraId="2F3361FB" w14:textId="76E2B5DF" w:rsidR="00160802" w:rsidRPr="0098539B" w:rsidRDefault="00160802" w:rsidP="00160802">
      <w:pPr>
        <w:pStyle w:val="MDPI63notes"/>
        <w:jc w:val="left"/>
        <w:rPr>
          <w:rFonts w:eastAsia="Times New Roman"/>
          <w:snapToGrid/>
          <w:lang w:eastAsia="de-DE"/>
        </w:rPr>
      </w:pPr>
      <w:r w:rsidRPr="0098539B">
        <w:rPr>
          <w:rFonts w:eastAsia="Times New Roman"/>
          <w:snapToGrid/>
          <w:lang w:eastAsia="de-DE"/>
        </w:rPr>
        <w:t xml:space="preserve">Vangrieken, K., </w:t>
      </w:r>
      <w:proofErr w:type="spellStart"/>
      <w:r w:rsidRPr="0098539B">
        <w:rPr>
          <w:rFonts w:eastAsia="Times New Roman"/>
          <w:snapToGrid/>
          <w:lang w:eastAsia="de-DE"/>
        </w:rPr>
        <w:t>Dochy</w:t>
      </w:r>
      <w:proofErr w:type="spellEnd"/>
      <w:r w:rsidRPr="0098539B">
        <w:rPr>
          <w:rFonts w:eastAsia="Times New Roman"/>
          <w:snapToGrid/>
          <w:lang w:eastAsia="de-DE"/>
        </w:rPr>
        <w:t xml:space="preserve">, F., </w:t>
      </w:r>
      <w:proofErr w:type="spellStart"/>
      <w:r w:rsidRPr="0098539B">
        <w:rPr>
          <w:rFonts w:eastAsia="Times New Roman"/>
          <w:snapToGrid/>
          <w:lang w:eastAsia="de-DE"/>
        </w:rPr>
        <w:t>Raes</w:t>
      </w:r>
      <w:proofErr w:type="spellEnd"/>
      <w:r w:rsidRPr="0098539B">
        <w:rPr>
          <w:rFonts w:eastAsia="Times New Roman"/>
          <w:snapToGrid/>
          <w:lang w:eastAsia="de-DE"/>
        </w:rPr>
        <w:t xml:space="preserve">, E., &amp; </w:t>
      </w:r>
      <w:proofErr w:type="spellStart"/>
      <w:r w:rsidRPr="0098539B">
        <w:rPr>
          <w:rFonts w:eastAsia="Times New Roman"/>
          <w:snapToGrid/>
          <w:lang w:eastAsia="de-DE"/>
        </w:rPr>
        <w:t>Kyndt</w:t>
      </w:r>
      <w:proofErr w:type="spellEnd"/>
      <w:r w:rsidRPr="0098539B">
        <w:rPr>
          <w:rFonts w:eastAsia="Times New Roman"/>
          <w:snapToGrid/>
          <w:lang w:eastAsia="de-DE"/>
        </w:rPr>
        <w:t xml:space="preserve">, E. (2015). Teacher collaboration: A systematic review. </w:t>
      </w:r>
      <w:r w:rsidRPr="0098539B">
        <w:rPr>
          <w:rFonts w:eastAsia="Times New Roman"/>
          <w:i/>
          <w:iCs/>
          <w:snapToGrid/>
          <w:lang w:eastAsia="de-DE"/>
        </w:rPr>
        <w:t>Educational Research Review, 15</w:t>
      </w:r>
      <w:r w:rsidRPr="0098539B">
        <w:rPr>
          <w:rFonts w:eastAsia="Times New Roman"/>
          <w:snapToGrid/>
          <w:lang w:eastAsia="de-DE"/>
        </w:rPr>
        <w:t xml:space="preserve">, 17–40. </w:t>
      </w:r>
      <w:hyperlink r:id="rId50" w:history="1">
        <w:r w:rsidRPr="0098539B">
          <w:rPr>
            <w:rStyle w:val="Hyperlink"/>
            <w:rFonts w:eastAsia="Times New Roman"/>
            <w:snapToGrid/>
            <w:lang w:eastAsia="de-DE"/>
          </w:rPr>
          <w:t>https://doi.org/10.1016/j.edurev.2015.04.002</w:t>
        </w:r>
      </w:hyperlink>
      <w:r w:rsidRPr="0098539B">
        <w:rPr>
          <w:rFonts w:eastAsia="Times New Roman"/>
          <w:snapToGrid/>
          <w:lang w:eastAsia="de-DE"/>
        </w:rPr>
        <w:t xml:space="preserve">   </w:t>
      </w:r>
    </w:p>
    <w:p w14:paraId="17D76594" w14:textId="1C294F4C" w:rsidR="009B52EF" w:rsidRPr="0098539B" w:rsidRDefault="009B52EF" w:rsidP="00160802">
      <w:pPr>
        <w:pStyle w:val="MDPI63notes"/>
        <w:jc w:val="left"/>
        <w:rPr>
          <w:rFonts w:eastAsia="Times New Roman"/>
          <w:snapToGrid/>
          <w:lang w:eastAsia="de-DE"/>
        </w:rPr>
      </w:pPr>
      <w:proofErr w:type="spellStart"/>
      <w:r w:rsidRPr="0098539B">
        <w:rPr>
          <w:rFonts w:eastAsia="Times New Roman"/>
          <w:snapToGrid/>
          <w:lang w:eastAsia="de-DE"/>
        </w:rPr>
        <w:t>Walkington</w:t>
      </w:r>
      <w:proofErr w:type="spellEnd"/>
      <w:r w:rsidRPr="0098539B">
        <w:rPr>
          <w:rFonts w:eastAsia="Times New Roman"/>
          <w:snapToGrid/>
          <w:lang w:eastAsia="de-DE"/>
        </w:rPr>
        <w:t xml:space="preserve">, J., Christensen, H. P., &amp; Kock, H. (2001). Developing critical reflection as a part of teaching training and teaching practice. </w:t>
      </w:r>
      <w:r w:rsidRPr="00542055">
        <w:rPr>
          <w:rFonts w:eastAsia="Times New Roman"/>
          <w:i/>
          <w:iCs/>
          <w:snapToGrid/>
          <w:lang w:eastAsia="de-DE"/>
        </w:rPr>
        <w:t xml:space="preserve">European Journal </w:t>
      </w:r>
      <w:proofErr w:type="gramStart"/>
      <w:r w:rsidRPr="00542055">
        <w:rPr>
          <w:rFonts w:eastAsia="Times New Roman"/>
          <w:i/>
          <w:iCs/>
          <w:snapToGrid/>
          <w:lang w:eastAsia="de-DE"/>
        </w:rPr>
        <w:t>Of</w:t>
      </w:r>
      <w:proofErr w:type="gramEnd"/>
      <w:r w:rsidRPr="00542055">
        <w:rPr>
          <w:rFonts w:eastAsia="Times New Roman"/>
          <w:i/>
          <w:iCs/>
          <w:snapToGrid/>
          <w:lang w:eastAsia="de-DE"/>
        </w:rPr>
        <w:t xml:space="preserve"> Engineering Education, 26</w:t>
      </w:r>
      <w:r w:rsidRPr="0098539B">
        <w:rPr>
          <w:rFonts w:eastAsia="Times New Roman"/>
          <w:snapToGrid/>
          <w:lang w:eastAsia="de-DE"/>
        </w:rPr>
        <w:t xml:space="preserve">(4), 343–350. </w:t>
      </w:r>
      <w:hyperlink r:id="rId51" w:history="1">
        <w:r w:rsidRPr="0098539B">
          <w:rPr>
            <w:rStyle w:val="Hyperlink"/>
            <w:rFonts w:eastAsia="Times New Roman"/>
            <w:snapToGrid/>
            <w:lang w:eastAsia="de-DE"/>
          </w:rPr>
          <w:t>https://doi.org/10.1080/03433790110068242</w:t>
        </w:r>
      </w:hyperlink>
      <w:r w:rsidRPr="0098539B">
        <w:rPr>
          <w:rFonts w:eastAsia="Times New Roman"/>
          <w:snapToGrid/>
          <w:lang w:eastAsia="de-DE"/>
        </w:rPr>
        <w:t xml:space="preserve"> </w:t>
      </w:r>
    </w:p>
    <w:p w14:paraId="4DD24525" w14:textId="6ACCF1F8" w:rsidR="0098539B" w:rsidRDefault="0098539B" w:rsidP="00160802">
      <w:pPr>
        <w:pStyle w:val="MDPI63notes"/>
        <w:jc w:val="left"/>
        <w:rPr>
          <w:rFonts w:eastAsia="Times New Roman"/>
          <w:snapToGrid/>
          <w:lang w:eastAsia="de-DE"/>
        </w:rPr>
      </w:pPr>
      <w:proofErr w:type="spellStart"/>
      <w:r w:rsidRPr="0098539B">
        <w:rPr>
          <w:rFonts w:eastAsia="Times New Roman"/>
          <w:snapToGrid/>
          <w:lang w:eastAsia="de-DE"/>
        </w:rPr>
        <w:t>Warmoes</w:t>
      </w:r>
      <w:proofErr w:type="spellEnd"/>
      <w:r w:rsidRPr="0098539B">
        <w:rPr>
          <w:rFonts w:eastAsia="Times New Roman"/>
          <w:snapToGrid/>
          <w:lang w:eastAsia="de-DE"/>
        </w:rPr>
        <w:t xml:space="preserve">, A., </w:t>
      </w:r>
      <w:proofErr w:type="spellStart"/>
      <w:r w:rsidRPr="0098539B">
        <w:rPr>
          <w:rFonts w:eastAsia="Times New Roman"/>
          <w:snapToGrid/>
          <w:lang w:eastAsia="de-DE"/>
        </w:rPr>
        <w:t>Decabooter</w:t>
      </w:r>
      <w:proofErr w:type="spellEnd"/>
      <w:r w:rsidRPr="0098539B">
        <w:rPr>
          <w:rFonts w:eastAsia="Times New Roman"/>
          <w:snapToGrid/>
          <w:lang w:eastAsia="de-DE"/>
        </w:rPr>
        <w:t xml:space="preserve">, I., </w:t>
      </w:r>
      <w:proofErr w:type="spellStart"/>
      <w:r w:rsidRPr="0098539B">
        <w:rPr>
          <w:rFonts w:eastAsia="Times New Roman"/>
          <w:snapToGrid/>
          <w:lang w:eastAsia="de-DE"/>
        </w:rPr>
        <w:t>Struyven</w:t>
      </w:r>
      <w:proofErr w:type="spellEnd"/>
      <w:r w:rsidRPr="0098539B">
        <w:rPr>
          <w:rFonts w:eastAsia="Times New Roman"/>
          <w:snapToGrid/>
          <w:lang w:eastAsia="de-DE"/>
        </w:rPr>
        <w:t xml:space="preserve">, K., &amp; </w:t>
      </w:r>
      <w:proofErr w:type="spellStart"/>
      <w:r w:rsidRPr="0098539B">
        <w:rPr>
          <w:rFonts w:eastAsia="Times New Roman"/>
          <w:snapToGrid/>
          <w:lang w:eastAsia="de-DE"/>
        </w:rPr>
        <w:t>Consuegra</w:t>
      </w:r>
      <w:proofErr w:type="spellEnd"/>
      <w:r w:rsidRPr="0098539B">
        <w:rPr>
          <w:rFonts w:eastAsia="Times New Roman"/>
          <w:snapToGrid/>
          <w:lang w:eastAsia="de-DE"/>
        </w:rPr>
        <w:t xml:space="preserve">, E. (2025). Exploring learning outcomes: the impact of professional learning networks on members, schools, and students. </w:t>
      </w:r>
      <w:r w:rsidRPr="00542055">
        <w:rPr>
          <w:rFonts w:eastAsia="Times New Roman"/>
          <w:i/>
          <w:iCs/>
          <w:snapToGrid/>
          <w:lang w:eastAsia="de-DE"/>
        </w:rPr>
        <w:t xml:space="preserve">School Effectiveness </w:t>
      </w:r>
      <w:proofErr w:type="gramStart"/>
      <w:r w:rsidRPr="00542055">
        <w:rPr>
          <w:rFonts w:eastAsia="Times New Roman"/>
          <w:i/>
          <w:iCs/>
          <w:snapToGrid/>
          <w:lang w:eastAsia="de-DE"/>
        </w:rPr>
        <w:t>And</w:t>
      </w:r>
      <w:proofErr w:type="gramEnd"/>
      <w:r w:rsidRPr="00542055">
        <w:rPr>
          <w:rFonts w:eastAsia="Times New Roman"/>
          <w:i/>
          <w:iCs/>
          <w:snapToGrid/>
          <w:lang w:eastAsia="de-DE"/>
        </w:rPr>
        <w:t xml:space="preserve"> School Improvement</w:t>
      </w:r>
      <w:r w:rsidRPr="0098539B">
        <w:rPr>
          <w:rFonts w:eastAsia="Times New Roman"/>
          <w:snapToGrid/>
          <w:lang w:eastAsia="de-DE"/>
        </w:rPr>
        <w:t xml:space="preserve">, 1–35. </w:t>
      </w:r>
      <w:hyperlink r:id="rId52" w:history="1">
        <w:r w:rsidRPr="009525E6">
          <w:rPr>
            <w:rStyle w:val="Hyperlink"/>
            <w:rFonts w:eastAsia="Times New Roman"/>
            <w:snapToGrid/>
            <w:lang w:eastAsia="de-DE"/>
          </w:rPr>
          <w:t>https://doi.org/10.1080/09243453.2025.2463641</w:t>
        </w:r>
      </w:hyperlink>
    </w:p>
    <w:p w14:paraId="292D9073" w14:textId="24FE60BF" w:rsidR="00724FC0" w:rsidRPr="0098539B" w:rsidRDefault="00724FC0" w:rsidP="00160802">
      <w:pPr>
        <w:pStyle w:val="MDPI63notes"/>
        <w:jc w:val="left"/>
        <w:rPr>
          <w:rFonts w:eastAsia="Times New Roman"/>
          <w:snapToGrid/>
          <w:lang w:eastAsia="de-DE"/>
        </w:rPr>
      </w:pPr>
      <w:r w:rsidRPr="0098539B">
        <w:rPr>
          <w:rFonts w:eastAsia="Times New Roman"/>
          <w:snapToGrid/>
          <w:lang w:eastAsia="de-DE"/>
        </w:rPr>
        <w:t xml:space="preserve">York-Barr, J., Sommers, W. A., </w:t>
      </w:r>
      <w:proofErr w:type="spellStart"/>
      <w:r w:rsidRPr="0098539B">
        <w:rPr>
          <w:rFonts w:eastAsia="Times New Roman"/>
          <w:snapToGrid/>
          <w:lang w:eastAsia="de-DE"/>
        </w:rPr>
        <w:t>Ghere</w:t>
      </w:r>
      <w:proofErr w:type="spellEnd"/>
      <w:r w:rsidRPr="0098539B">
        <w:rPr>
          <w:rFonts w:eastAsia="Times New Roman"/>
          <w:snapToGrid/>
          <w:lang w:eastAsia="de-DE"/>
        </w:rPr>
        <w:t>, G. S., &amp; Montie, J. (2016</w:t>
      </w:r>
      <w:r w:rsidRPr="00542055">
        <w:rPr>
          <w:rFonts w:eastAsia="Times New Roman"/>
          <w:snapToGrid/>
          <w:lang w:eastAsia="de-DE"/>
        </w:rPr>
        <w:t>)</w:t>
      </w:r>
      <w:r w:rsidRPr="00542055">
        <w:rPr>
          <w:rFonts w:eastAsia="Times New Roman"/>
          <w:i/>
          <w:iCs/>
          <w:snapToGrid/>
          <w:lang w:eastAsia="de-DE"/>
        </w:rPr>
        <w:t>. Reflective Practice for Renewing Schools: An Action Guide for Educators</w:t>
      </w:r>
      <w:r w:rsidRPr="0098539B">
        <w:rPr>
          <w:rFonts w:eastAsia="Times New Roman"/>
          <w:snapToGrid/>
          <w:lang w:eastAsia="de-DE"/>
        </w:rPr>
        <w:t>. Corwin Press.</w:t>
      </w:r>
    </w:p>
    <w:p w14:paraId="2391FEAB" w14:textId="116E724A" w:rsidR="008E5D0B" w:rsidRPr="00D427E7" w:rsidRDefault="00D427E7" w:rsidP="00AA1154">
      <w:pPr>
        <w:pStyle w:val="MDPI63notes"/>
      </w:pPr>
      <w:r w:rsidRPr="0098539B">
        <w:t>author(s) and contributor(s) and not of MDPI and/or the editor(s). MDPI and/or the editor(s) disclaim responsibility for any injury to people or property resulting from any ideas, methods, instructions or products referred to in the content.</w:t>
      </w:r>
    </w:p>
    <w:sectPr w:rsidR="008E5D0B" w:rsidRPr="00D427E7" w:rsidSect="00AA1154">
      <w:headerReference w:type="even" r:id="rId53"/>
      <w:headerReference w:type="default" r:id="rId54"/>
      <w:headerReference w:type="first" r:id="rId55"/>
      <w:footerReference w:type="first" r:id="rId56"/>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C375" w14:textId="77777777" w:rsidR="00E07BDB" w:rsidRDefault="00E07BDB">
      <w:pPr>
        <w:spacing w:line="240" w:lineRule="auto"/>
      </w:pPr>
      <w:r>
        <w:separator/>
      </w:r>
    </w:p>
  </w:endnote>
  <w:endnote w:type="continuationSeparator" w:id="0">
    <w:p w14:paraId="3D1B343E" w14:textId="77777777" w:rsidR="00E07BDB" w:rsidRDefault="00E07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E0C6" w14:textId="77777777" w:rsidR="00BF06D7" w:rsidRDefault="00BF06D7" w:rsidP="0003197E">
    <w:pPr>
      <w:pBdr>
        <w:top w:val="single" w:sz="4" w:space="0" w:color="000000"/>
      </w:pBdr>
      <w:tabs>
        <w:tab w:val="right" w:pos="8844"/>
      </w:tabs>
      <w:adjustRightInd w:val="0"/>
      <w:snapToGrid w:val="0"/>
      <w:spacing w:before="480" w:line="100" w:lineRule="exact"/>
      <w:jc w:val="left"/>
      <w:rPr>
        <w:i/>
        <w:sz w:val="16"/>
        <w:szCs w:val="16"/>
      </w:rPr>
    </w:pPr>
  </w:p>
  <w:p w14:paraId="1CF8D583" w14:textId="77777777" w:rsidR="00A66794" w:rsidRPr="00372FCD" w:rsidRDefault="00A66794" w:rsidP="007F664D">
    <w:pPr>
      <w:tabs>
        <w:tab w:val="right" w:pos="10466"/>
      </w:tabs>
      <w:adjustRightInd w:val="0"/>
      <w:snapToGrid w:val="0"/>
      <w:spacing w:line="240" w:lineRule="auto"/>
      <w:rPr>
        <w:sz w:val="16"/>
        <w:szCs w:val="16"/>
        <w:lang w:val="fr-CH"/>
      </w:rPr>
    </w:pPr>
    <w:r w:rsidRPr="000613A0">
      <w:rPr>
        <w:i/>
        <w:sz w:val="16"/>
        <w:szCs w:val="16"/>
      </w:rPr>
      <w:t>Educ. Sci.</w:t>
    </w:r>
    <w:r w:rsidRPr="000613A0">
      <w:rPr>
        <w:iCs/>
        <w:sz w:val="16"/>
        <w:szCs w:val="16"/>
      </w:rPr>
      <w:t xml:space="preserve"> </w:t>
    </w:r>
    <w:r w:rsidR="00AA1154">
      <w:rPr>
        <w:b/>
        <w:bCs/>
        <w:iCs/>
        <w:sz w:val="16"/>
        <w:szCs w:val="16"/>
      </w:rPr>
      <w:t>2025</w:t>
    </w:r>
    <w:r w:rsidR="00C80CE7" w:rsidRPr="00C80CE7">
      <w:rPr>
        <w:bCs/>
        <w:iCs/>
        <w:sz w:val="16"/>
        <w:szCs w:val="16"/>
      </w:rPr>
      <w:t>,</w:t>
    </w:r>
    <w:r w:rsidR="00AA1154">
      <w:rPr>
        <w:bCs/>
        <w:i/>
        <w:iCs/>
        <w:sz w:val="16"/>
        <w:szCs w:val="16"/>
      </w:rPr>
      <w:t xml:space="preserve"> 15</w:t>
    </w:r>
    <w:r w:rsidR="00C80CE7" w:rsidRPr="00C80CE7">
      <w:rPr>
        <w:bCs/>
        <w:iCs/>
        <w:sz w:val="16"/>
        <w:szCs w:val="16"/>
      </w:rPr>
      <w:t xml:space="preserve">, </w:t>
    </w:r>
    <w:r w:rsidR="00F12796">
      <w:rPr>
        <w:bCs/>
        <w:iCs/>
        <w:sz w:val="16"/>
        <w:szCs w:val="16"/>
      </w:rPr>
      <w:t>x</w:t>
    </w:r>
    <w:r w:rsidR="007F664D" w:rsidRPr="00372FCD">
      <w:rPr>
        <w:sz w:val="16"/>
        <w:szCs w:val="16"/>
        <w:lang w:val="fr-CH"/>
      </w:rPr>
      <w:tab/>
    </w:r>
    <w:r w:rsidR="00AA1154">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C27A" w14:textId="77777777" w:rsidR="00E07BDB" w:rsidRDefault="00E07BDB">
      <w:pPr>
        <w:spacing w:line="240" w:lineRule="auto"/>
      </w:pPr>
      <w:r>
        <w:separator/>
      </w:r>
    </w:p>
  </w:footnote>
  <w:footnote w:type="continuationSeparator" w:id="0">
    <w:p w14:paraId="57B7D669" w14:textId="77777777" w:rsidR="00E07BDB" w:rsidRDefault="00E07B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7BE9" w14:textId="77777777" w:rsidR="00A66794" w:rsidRDefault="00A66794" w:rsidP="00A66794">
    <w:pPr>
      <w:pStyle w:val="Kopteks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C202" w14:textId="77777777" w:rsidR="00BF06D7" w:rsidRPr="00AA1154" w:rsidRDefault="00A66794" w:rsidP="007F664D">
    <w:pPr>
      <w:tabs>
        <w:tab w:val="right" w:pos="10466"/>
      </w:tabs>
      <w:adjustRightInd w:val="0"/>
      <w:snapToGrid w:val="0"/>
      <w:spacing w:line="240" w:lineRule="auto"/>
      <w:rPr>
        <w:sz w:val="16"/>
      </w:rPr>
    </w:pPr>
    <w:r>
      <w:rPr>
        <w:i/>
        <w:sz w:val="16"/>
      </w:rPr>
      <w:t xml:space="preserve">Educ. Sci. </w:t>
    </w:r>
    <w:r w:rsidR="00AA1154">
      <w:rPr>
        <w:b/>
        <w:sz w:val="16"/>
      </w:rPr>
      <w:t>2025</w:t>
    </w:r>
    <w:r w:rsidR="00C80CE7" w:rsidRPr="00C80CE7">
      <w:rPr>
        <w:sz w:val="16"/>
      </w:rPr>
      <w:t>,</w:t>
    </w:r>
    <w:r w:rsidR="00AA1154">
      <w:rPr>
        <w:i/>
        <w:sz w:val="16"/>
      </w:rPr>
      <w:t xml:space="preserve"> 15</w:t>
    </w:r>
    <w:r w:rsidR="00F12796">
      <w:rPr>
        <w:sz w:val="16"/>
      </w:rPr>
      <w:t xml:space="preserve">, x </w:t>
    </w:r>
    <w:r w:rsidR="00AA1154">
      <w:rPr>
        <w:sz w:val="16"/>
      </w:rPr>
      <w:t>FOR PEER REVIEW</w:t>
    </w:r>
    <w:r w:rsidR="00AA1154">
      <w:rPr>
        <w:sz w:val="16"/>
      </w:rPr>
      <w:ptab w:relativeTo="margin" w:alignment="right" w:leader="none"/>
    </w:r>
    <w:r w:rsidR="00AA1154">
      <w:rPr>
        <w:sz w:val="16"/>
      </w:rPr>
      <w:fldChar w:fldCharType="begin"/>
    </w:r>
    <w:r w:rsidR="00AA1154">
      <w:rPr>
        <w:sz w:val="16"/>
      </w:rPr>
      <w:instrText xml:space="preserve"> PAGE   \* MERGEFORMAT </w:instrText>
    </w:r>
    <w:r w:rsidR="00AA1154">
      <w:rPr>
        <w:sz w:val="16"/>
      </w:rPr>
      <w:fldChar w:fldCharType="separate"/>
    </w:r>
    <w:r w:rsidR="00AA1154">
      <w:rPr>
        <w:sz w:val="16"/>
      </w:rPr>
      <w:t>2</w:t>
    </w:r>
    <w:r w:rsidR="00AA1154">
      <w:rPr>
        <w:sz w:val="16"/>
      </w:rPr>
      <w:fldChar w:fldCharType="end"/>
    </w:r>
    <w:r w:rsidR="00AA1154">
      <w:rPr>
        <w:sz w:val="16"/>
      </w:rPr>
      <w:t xml:space="preserve"> of </w:t>
    </w:r>
    <w:r w:rsidR="00AA1154">
      <w:rPr>
        <w:sz w:val="16"/>
      </w:rPr>
      <w:fldChar w:fldCharType="begin"/>
    </w:r>
    <w:r w:rsidR="00AA1154">
      <w:rPr>
        <w:sz w:val="16"/>
      </w:rPr>
      <w:instrText xml:space="preserve"> NUMPAGES   \* MERGEFORMAT </w:instrText>
    </w:r>
    <w:r w:rsidR="00AA1154">
      <w:rPr>
        <w:sz w:val="16"/>
      </w:rPr>
      <w:fldChar w:fldCharType="separate"/>
    </w:r>
    <w:r w:rsidR="00AA1154">
      <w:rPr>
        <w:sz w:val="16"/>
      </w:rPr>
      <w:t>7</w:t>
    </w:r>
    <w:r w:rsidR="00AA1154">
      <w:rPr>
        <w:sz w:val="16"/>
      </w:rPr>
      <w:fldChar w:fldCharType="end"/>
    </w:r>
  </w:p>
  <w:p w14:paraId="24529448" w14:textId="77777777" w:rsidR="00A66794" w:rsidRPr="002F664C" w:rsidRDefault="00A66794" w:rsidP="0003197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BF06D7" w:rsidRPr="007F664D" w14:paraId="3DD03A96" w14:textId="77777777" w:rsidTr="003A10F7">
      <w:trPr>
        <w:trHeight w:val="686"/>
      </w:trPr>
      <w:tc>
        <w:tcPr>
          <w:tcW w:w="3679" w:type="dxa"/>
          <w:shd w:val="clear" w:color="auto" w:fill="auto"/>
          <w:vAlign w:val="center"/>
        </w:tcPr>
        <w:p w14:paraId="5752D5A7" w14:textId="77777777" w:rsidR="00BF06D7" w:rsidRPr="00B047B8" w:rsidRDefault="0054539A" w:rsidP="007F664D">
          <w:pPr>
            <w:pStyle w:val="Koptekst"/>
            <w:pBdr>
              <w:bottom w:val="none" w:sz="0" w:space="0" w:color="auto"/>
            </w:pBdr>
            <w:jc w:val="left"/>
            <w:rPr>
              <w:rFonts w:eastAsia="DengXian"/>
              <w:b/>
              <w:bCs/>
            </w:rPr>
          </w:pPr>
          <w:r>
            <w:rPr>
              <w:rFonts w:eastAsia="DengXian"/>
              <w:b/>
              <w:bCs/>
            </w:rPr>
            <w:drawing>
              <wp:inline distT="0" distB="0" distL="0" distR="0" wp14:anchorId="2C3AA473" wp14:editId="60C39875">
                <wp:extent cx="1901408" cy="432000"/>
                <wp:effectExtent l="0" t="0" r="3810" b="6350"/>
                <wp:docPr id="11621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3699" name=""/>
                        <pic:cNvPicPr/>
                      </pic:nvPicPr>
                      <pic:blipFill>
                        <a:blip r:embed="rId1"/>
                        <a:stretch>
                          <a:fillRect/>
                        </a:stretch>
                      </pic:blipFill>
                      <pic:spPr>
                        <a:xfrm>
                          <a:off x="0" y="0"/>
                          <a:ext cx="1901408" cy="432000"/>
                        </a:xfrm>
                        <a:prstGeom prst="rect">
                          <a:avLst/>
                        </a:prstGeom>
                      </pic:spPr>
                    </pic:pic>
                  </a:graphicData>
                </a:graphic>
              </wp:inline>
            </w:drawing>
          </w:r>
        </w:p>
      </w:tc>
      <w:tc>
        <w:tcPr>
          <w:tcW w:w="4535" w:type="dxa"/>
          <w:shd w:val="clear" w:color="auto" w:fill="auto"/>
          <w:vAlign w:val="center"/>
        </w:tcPr>
        <w:p w14:paraId="1FDB452E" w14:textId="77777777" w:rsidR="00BF06D7" w:rsidRPr="00B047B8" w:rsidRDefault="00BF06D7" w:rsidP="007F664D">
          <w:pPr>
            <w:pStyle w:val="Koptekst"/>
            <w:pBdr>
              <w:bottom w:val="none" w:sz="0" w:space="0" w:color="auto"/>
            </w:pBdr>
            <w:rPr>
              <w:rFonts w:eastAsia="DengXian"/>
              <w:b/>
              <w:bCs/>
            </w:rPr>
          </w:pPr>
        </w:p>
      </w:tc>
      <w:tc>
        <w:tcPr>
          <w:tcW w:w="2273" w:type="dxa"/>
          <w:shd w:val="clear" w:color="auto" w:fill="auto"/>
          <w:vAlign w:val="center"/>
        </w:tcPr>
        <w:p w14:paraId="39F9C390" w14:textId="77777777" w:rsidR="00BF06D7" w:rsidRPr="00B047B8" w:rsidRDefault="003A10F7" w:rsidP="003A10F7">
          <w:pPr>
            <w:pStyle w:val="Koptekst"/>
            <w:pBdr>
              <w:bottom w:val="none" w:sz="0" w:space="0" w:color="auto"/>
            </w:pBdr>
            <w:jc w:val="right"/>
            <w:rPr>
              <w:rFonts w:eastAsia="DengXian"/>
              <w:b/>
              <w:bCs/>
            </w:rPr>
          </w:pPr>
          <w:r>
            <w:rPr>
              <w:rFonts w:eastAsia="DengXian"/>
              <w:b/>
              <w:bCs/>
            </w:rPr>
            <w:drawing>
              <wp:inline distT="0" distB="0" distL="0" distR="0" wp14:anchorId="4ABCA1B0" wp14:editId="4193A6F8">
                <wp:extent cx="540000" cy="360000"/>
                <wp:effectExtent l="0" t="0" r="0" b="2540"/>
                <wp:docPr id="738597879" name="Picture 1"/>
                <wp:cNvGraphicFramePr/>
                <a:graphic xmlns:a="http://schemas.openxmlformats.org/drawingml/2006/main">
                  <a:graphicData uri="http://schemas.openxmlformats.org/drawingml/2006/picture">
                    <pic:pic xmlns:pic="http://schemas.openxmlformats.org/drawingml/2006/picture">
                      <pic:nvPicPr>
                        <pic:cNvPr id="738597879" name=""/>
                        <pic:cNvPicPr/>
                      </pic:nvPicPr>
                      <pic:blipFill>
                        <a:blip r:embed="rId2"/>
                        <a:stretch>
                          <a:fillRect/>
                        </a:stretch>
                      </pic:blipFill>
                      <pic:spPr>
                        <a:xfrm>
                          <a:off x="0" y="0"/>
                          <a:ext cx="540000" cy="360000"/>
                        </a:xfrm>
                        <a:prstGeom prst="rect">
                          <a:avLst/>
                        </a:prstGeom>
                      </pic:spPr>
                    </pic:pic>
                  </a:graphicData>
                </a:graphic>
              </wp:inline>
            </w:drawing>
          </w:r>
        </w:p>
      </w:tc>
    </w:tr>
  </w:tbl>
  <w:p w14:paraId="78646D12" w14:textId="77777777" w:rsidR="00A66794" w:rsidRPr="00BF06D7" w:rsidRDefault="00A66794" w:rsidP="00AA115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4C22268E"/>
    <w:lvl w:ilvl="0" w:tplc="5DBA1DD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9767E"/>
    <w:multiLevelType w:val="hybridMultilevel"/>
    <w:tmpl w:val="3C389FCC"/>
    <w:lvl w:ilvl="0" w:tplc="ACB6716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594E45AE"/>
    <w:multiLevelType w:val="hybridMultilevel"/>
    <w:tmpl w:val="EB0CEEF0"/>
    <w:lvl w:ilvl="0" w:tplc="4912A528">
      <w:start w:val="2"/>
      <w:numFmt w:val="bullet"/>
      <w:lvlText w:val="-"/>
      <w:lvlJc w:val="left"/>
      <w:pPr>
        <w:ind w:left="3328" w:hanging="360"/>
      </w:pPr>
      <w:rPr>
        <w:rFonts w:ascii="Times New Roman" w:eastAsia="Times New Roman" w:hAnsi="Times New Roman" w:cs="Times New Roman" w:hint="default"/>
        <w:b w:val="0"/>
      </w:rPr>
    </w:lvl>
    <w:lvl w:ilvl="1" w:tplc="04130003" w:tentative="1">
      <w:start w:val="1"/>
      <w:numFmt w:val="bullet"/>
      <w:lvlText w:val="o"/>
      <w:lvlJc w:val="left"/>
      <w:pPr>
        <w:ind w:left="4048" w:hanging="360"/>
      </w:pPr>
      <w:rPr>
        <w:rFonts w:ascii="Courier New" w:hAnsi="Courier New" w:hint="default"/>
      </w:rPr>
    </w:lvl>
    <w:lvl w:ilvl="2" w:tplc="04130005" w:tentative="1">
      <w:start w:val="1"/>
      <w:numFmt w:val="bullet"/>
      <w:lvlText w:val=""/>
      <w:lvlJc w:val="left"/>
      <w:pPr>
        <w:ind w:left="4768" w:hanging="360"/>
      </w:pPr>
      <w:rPr>
        <w:rFonts w:ascii="Wingdings" w:hAnsi="Wingdings" w:hint="default"/>
      </w:rPr>
    </w:lvl>
    <w:lvl w:ilvl="3" w:tplc="04130001" w:tentative="1">
      <w:start w:val="1"/>
      <w:numFmt w:val="bullet"/>
      <w:lvlText w:val=""/>
      <w:lvlJc w:val="left"/>
      <w:pPr>
        <w:ind w:left="5488" w:hanging="360"/>
      </w:pPr>
      <w:rPr>
        <w:rFonts w:ascii="Symbol" w:hAnsi="Symbol" w:hint="default"/>
      </w:rPr>
    </w:lvl>
    <w:lvl w:ilvl="4" w:tplc="04130003" w:tentative="1">
      <w:start w:val="1"/>
      <w:numFmt w:val="bullet"/>
      <w:lvlText w:val="o"/>
      <w:lvlJc w:val="left"/>
      <w:pPr>
        <w:ind w:left="6208" w:hanging="360"/>
      </w:pPr>
      <w:rPr>
        <w:rFonts w:ascii="Courier New" w:hAnsi="Courier New" w:hint="default"/>
      </w:rPr>
    </w:lvl>
    <w:lvl w:ilvl="5" w:tplc="04130005" w:tentative="1">
      <w:start w:val="1"/>
      <w:numFmt w:val="bullet"/>
      <w:lvlText w:val=""/>
      <w:lvlJc w:val="left"/>
      <w:pPr>
        <w:ind w:left="6928" w:hanging="360"/>
      </w:pPr>
      <w:rPr>
        <w:rFonts w:ascii="Wingdings" w:hAnsi="Wingdings" w:hint="default"/>
      </w:rPr>
    </w:lvl>
    <w:lvl w:ilvl="6" w:tplc="04130001" w:tentative="1">
      <w:start w:val="1"/>
      <w:numFmt w:val="bullet"/>
      <w:lvlText w:val=""/>
      <w:lvlJc w:val="left"/>
      <w:pPr>
        <w:ind w:left="7648" w:hanging="360"/>
      </w:pPr>
      <w:rPr>
        <w:rFonts w:ascii="Symbol" w:hAnsi="Symbol" w:hint="default"/>
      </w:rPr>
    </w:lvl>
    <w:lvl w:ilvl="7" w:tplc="04130003" w:tentative="1">
      <w:start w:val="1"/>
      <w:numFmt w:val="bullet"/>
      <w:lvlText w:val="o"/>
      <w:lvlJc w:val="left"/>
      <w:pPr>
        <w:ind w:left="8368" w:hanging="360"/>
      </w:pPr>
      <w:rPr>
        <w:rFonts w:ascii="Courier New" w:hAnsi="Courier New" w:hint="default"/>
      </w:rPr>
    </w:lvl>
    <w:lvl w:ilvl="8" w:tplc="04130005" w:tentative="1">
      <w:start w:val="1"/>
      <w:numFmt w:val="bullet"/>
      <w:lvlText w:val=""/>
      <w:lvlJc w:val="left"/>
      <w:pPr>
        <w:ind w:left="9088" w:hanging="360"/>
      </w:pPr>
      <w:rPr>
        <w:rFonts w:ascii="Wingdings" w:hAnsi="Wingdings" w:hint="default"/>
      </w:rPr>
    </w:lvl>
  </w:abstractNum>
  <w:abstractNum w:abstractNumId="10" w15:restartNumberingAfterBreak="0">
    <w:nsid w:val="5D210A25"/>
    <w:multiLevelType w:val="hybridMultilevel"/>
    <w:tmpl w:val="74229910"/>
    <w:lvl w:ilvl="0" w:tplc="5EB0FEFA">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A50F7"/>
    <w:multiLevelType w:val="hybridMultilevel"/>
    <w:tmpl w:val="0C9ACC94"/>
    <w:lvl w:ilvl="0" w:tplc="6B760C2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84213">
    <w:abstractNumId w:val="4"/>
  </w:num>
  <w:num w:numId="2" w16cid:durableId="1371226274">
    <w:abstractNumId w:val="6"/>
  </w:num>
  <w:num w:numId="3" w16cid:durableId="90275526">
    <w:abstractNumId w:val="3"/>
  </w:num>
  <w:num w:numId="4" w16cid:durableId="770202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540062">
    <w:abstractNumId w:val="5"/>
  </w:num>
  <w:num w:numId="6" w16cid:durableId="1363823505">
    <w:abstractNumId w:val="8"/>
  </w:num>
  <w:num w:numId="7" w16cid:durableId="850342911">
    <w:abstractNumId w:val="2"/>
  </w:num>
  <w:num w:numId="8" w16cid:durableId="920792267">
    <w:abstractNumId w:val="8"/>
  </w:num>
  <w:num w:numId="9" w16cid:durableId="1328821277">
    <w:abstractNumId w:val="2"/>
  </w:num>
  <w:num w:numId="10" w16cid:durableId="39673409">
    <w:abstractNumId w:val="8"/>
  </w:num>
  <w:num w:numId="11" w16cid:durableId="230698488">
    <w:abstractNumId w:val="2"/>
  </w:num>
  <w:num w:numId="12" w16cid:durableId="1511531724">
    <w:abstractNumId w:val="12"/>
  </w:num>
  <w:num w:numId="13" w16cid:durableId="1081875926">
    <w:abstractNumId w:val="8"/>
  </w:num>
  <w:num w:numId="14" w16cid:durableId="1297444702">
    <w:abstractNumId w:val="2"/>
  </w:num>
  <w:num w:numId="15" w16cid:durableId="983433347">
    <w:abstractNumId w:val="0"/>
  </w:num>
  <w:num w:numId="16" w16cid:durableId="1997368909">
    <w:abstractNumId w:val="7"/>
  </w:num>
  <w:num w:numId="17" w16cid:durableId="2004895783">
    <w:abstractNumId w:val="0"/>
  </w:num>
  <w:num w:numId="18" w16cid:durableId="1477841710">
    <w:abstractNumId w:val="8"/>
  </w:num>
  <w:num w:numId="19" w16cid:durableId="950208070">
    <w:abstractNumId w:val="2"/>
  </w:num>
  <w:num w:numId="20" w16cid:durableId="316887825">
    <w:abstractNumId w:val="0"/>
  </w:num>
  <w:num w:numId="21" w16cid:durableId="1110860111">
    <w:abstractNumId w:val="1"/>
  </w:num>
  <w:num w:numId="22" w16cid:durableId="2058967999">
    <w:abstractNumId w:val="11"/>
  </w:num>
  <w:num w:numId="23" w16cid:durableId="880746674">
    <w:abstractNumId w:val="10"/>
  </w:num>
  <w:num w:numId="24" w16cid:durableId="1530407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3A"/>
    <w:rsid w:val="00007056"/>
    <w:rsid w:val="000116FC"/>
    <w:rsid w:val="0001578B"/>
    <w:rsid w:val="000167A5"/>
    <w:rsid w:val="00026853"/>
    <w:rsid w:val="0003197E"/>
    <w:rsid w:val="00046205"/>
    <w:rsid w:val="00046532"/>
    <w:rsid w:val="000478E9"/>
    <w:rsid w:val="0005028E"/>
    <w:rsid w:val="00050619"/>
    <w:rsid w:val="00080228"/>
    <w:rsid w:val="00081B54"/>
    <w:rsid w:val="00086532"/>
    <w:rsid w:val="000910A5"/>
    <w:rsid w:val="00092A1C"/>
    <w:rsid w:val="000C2276"/>
    <w:rsid w:val="000C30DC"/>
    <w:rsid w:val="000D018A"/>
    <w:rsid w:val="000D5773"/>
    <w:rsid w:val="001019A0"/>
    <w:rsid w:val="0010432F"/>
    <w:rsid w:val="00112B73"/>
    <w:rsid w:val="001140E5"/>
    <w:rsid w:val="001161DA"/>
    <w:rsid w:val="00127983"/>
    <w:rsid w:val="001309DC"/>
    <w:rsid w:val="00132589"/>
    <w:rsid w:val="001450D5"/>
    <w:rsid w:val="00147FC4"/>
    <w:rsid w:val="001530C6"/>
    <w:rsid w:val="00153B31"/>
    <w:rsid w:val="00160802"/>
    <w:rsid w:val="00162A68"/>
    <w:rsid w:val="00165685"/>
    <w:rsid w:val="001766DD"/>
    <w:rsid w:val="001817EE"/>
    <w:rsid w:val="001879C3"/>
    <w:rsid w:val="001907E7"/>
    <w:rsid w:val="0019594F"/>
    <w:rsid w:val="00197C82"/>
    <w:rsid w:val="001A4A8A"/>
    <w:rsid w:val="001A5E06"/>
    <w:rsid w:val="001C1A58"/>
    <w:rsid w:val="001D67BC"/>
    <w:rsid w:val="001E2AEB"/>
    <w:rsid w:val="00206E0C"/>
    <w:rsid w:val="00211453"/>
    <w:rsid w:val="0021457B"/>
    <w:rsid w:val="0022742F"/>
    <w:rsid w:val="00227A49"/>
    <w:rsid w:val="002516A2"/>
    <w:rsid w:val="00251CD5"/>
    <w:rsid w:val="00251FEB"/>
    <w:rsid w:val="002539D0"/>
    <w:rsid w:val="002848D1"/>
    <w:rsid w:val="00285321"/>
    <w:rsid w:val="002901FA"/>
    <w:rsid w:val="00292813"/>
    <w:rsid w:val="00296B9C"/>
    <w:rsid w:val="002A1B81"/>
    <w:rsid w:val="002A4EEA"/>
    <w:rsid w:val="002A7142"/>
    <w:rsid w:val="002B2CFC"/>
    <w:rsid w:val="002B64BE"/>
    <w:rsid w:val="002B7AD7"/>
    <w:rsid w:val="003005CD"/>
    <w:rsid w:val="003022C2"/>
    <w:rsid w:val="00302DBE"/>
    <w:rsid w:val="00306625"/>
    <w:rsid w:val="00314DE4"/>
    <w:rsid w:val="003163EF"/>
    <w:rsid w:val="00321DED"/>
    <w:rsid w:val="003233D4"/>
    <w:rsid w:val="00323C10"/>
    <w:rsid w:val="00325279"/>
    <w:rsid w:val="00326141"/>
    <w:rsid w:val="00327851"/>
    <w:rsid w:val="00347291"/>
    <w:rsid w:val="0034775F"/>
    <w:rsid w:val="00354998"/>
    <w:rsid w:val="00362969"/>
    <w:rsid w:val="00367C20"/>
    <w:rsid w:val="00375CDC"/>
    <w:rsid w:val="003810CB"/>
    <w:rsid w:val="00381C35"/>
    <w:rsid w:val="00383717"/>
    <w:rsid w:val="0038437A"/>
    <w:rsid w:val="003843FA"/>
    <w:rsid w:val="003A10F7"/>
    <w:rsid w:val="003A5528"/>
    <w:rsid w:val="003A7A91"/>
    <w:rsid w:val="003B2942"/>
    <w:rsid w:val="003B38A7"/>
    <w:rsid w:val="003B407B"/>
    <w:rsid w:val="003B59D7"/>
    <w:rsid w:val="003B64D3"/>
    <w:rsid w:val="003C48CA"/>
    <w:rsid w:val="003E2E61"/>
    <w:rsid w:val="003E4726"/>
    <w:rsid w:val="003F3E4B"/>
    <w:rsid w:val="003F52DB"/>
    <w:rsid w:val="003F742F"/>
    <w:rsid w:val="004016ED"/>
    <w:rsid w:val="00401C0F"/>
    <w:rsid w:val="00401D30"/>
    <w:rsid w:val="004049F5"/>
    <w:rsid w:val="00415530"/>
    <w:rsid w:val="00421D34"/>
    <w:rsid w:val="00421E49"/>
    <w:rsid w:val="004246BA"/>
    <w:rsid w:val="00430A31"/>
    <w:rsid w:val="00442045"/>
    <w:rsid w:val="00465AC3"/>
    <w:rsid w:val="00475985"/>
    <w:rsid w:val="00483794"/>
    <w:rsid w:val="00491FC9"/>
    <w:rsid w:val="00492DB3"/>
    <w:rsid w:val="004A1E1D"/>
    <w:rsid w:val="004A327A"/>
    <w:rsid w:val="004B0742"/>
    <w:rsid w:val="004B2A7C"/>
    <w:rsid w:val="004B6460"/>
    <w:rsid w:val="004C7D13"/>
    <w:rsid w:val="004E7AA0"/>
    <w:rsid w:val="004F0C25"/>
    <w:rsid w:val="004F1FCF"/>
    <w:rsid w:val="004F52A9"/>
    <w:rsid w:val="004F6061"/>
    <w:rsid w:val="0050134A"/>
    <w:rsid w:val="00501DB1"/>
    <w:rsid w:val="00503787"/>
    <w:rsid w:val="0050537B"/>
    <w:rsid w:val="0050601B"/>
    <w:rsid w:val="005127CC"/>
    <w:rsid w:val="00514BFB"/>
    <w:rsid w:val="00516B3A"/>
    <w:rsid w:val="00517B68"/>
    <w:rsid w:val="00525C82"/>
    <w:rsid w:val="00526719"/>
    <w:rsid w:val="00531172"/>
    <w:rsid w:val="00542055"/>
    <w:rsid w:val="0054539A"/>
    <w:rsid w:val="0055019C"/>
    <w:rsid w:val="005505EC"/>
    <w:rsid w:val="00553154"/>
    <w:rsid w:val="0056505D"/>
    <w:rsid w:val="00574148"/>
    <w:rsid w:val="00580447"/>
    <w:rsid w:val="00593C24"/>
    <w:rsid w:val="005953CF"/>
    <w:rsid w:val="005A32F7"/>
    <w:rsid w:val="005A39BE"/>
    <w:rsid w:val="005A4C91"/>
    <w:rsid w:val="005B1C3A"/>
    <w:rsid w:val="005B2865"/>
    <w:rsid w:val="005B5360"/>
    <w:rsid w:val="005B7184"/>
    <w:rsid w:val="005C48CF"/>
    <w:rsid w:val="005C680B"/>
    <w:rsid w:val="005C7F8C"/>
    <w:rsid w:val="005D0936"/>
    <w:rsid w:val="005E3CCA"/>
    <w:rsid w:val="005E6EF0"/>
    <w:rsid w:val="00603180"/>
    <w:rsid w:val="00606E48"/>
    <w:rsid w:val="006073C3"/>
    <w:rsid w:val="00614F5B"/>
    <w:rsid w:val="00622DAD"/>
    <w:rsid w:val="00642157"/>
    <w:rsid w:val="006479AE"/>
    <w:rsid w:val="006527CA"/>
    <w:rsid w:val="00671FA7"/>
    <w:rsid w:val="006828FF"/>
    <w:rsid w:val="00686E18"/>
    <w:rsid w:val="00692393"/>
    <w:rsid w:val="00693822"/>
    <w:rsid w:val="006B1456"/>
    <w:rsid w:val="006B6C9B"/>
    <w:rsid w:val="006C4E27"/>
    <w:rsid w:val="006C5091"/>
    <w:rsid w:val="006C6632"/>
    <w:rsid w:val="006F5A20"/>
    <w:rsid w:val="006F6234"/>
    <w:rsid w:val="006F6B24"/>
    <w:rsid w:val="006F6D6F"/>
    <w:rsid w:val="007112D0"/>
    <w:rsid w:val="00711F4F"/>
    <w:rsid w:val="007121C5"/>
    <w:rsid w:val="00724FC0"/>
    <w:rsid w:val="007418CB"/>
    <w:rsid w:val="00743942"/>
    <w:rsid w:val="0075284C"/>
    <w:rsid w:val="00770387"/>
    <w:rsid w:val="00780687"/>
    <w:rsid w:val="00784DAD"/>
    <w:rsid w:val="00787C6B"/>
    <w:rsid w:val="007927F6"/>
    <w:rsid w:val="007960EB"/>
    <w:rsid w:val="00796698"/>
    <w:rsid w:val="00797AE3"/>
    <w:rsid w:val="007A16FD"/>
    <w:rsid w:val="007A37DA"/>
    <w:rsid w:val="007A3FF7"/>
    <w:rsid w:val="007B232F"/>
    <w:rsid w:val="007B58E5"/>
    <w:rsid w:val="007B74D6"/>
    <w:rsid w:val="007C3478"/>
    <w:rsid w:val="007D02EF"/>
    <w:rsid w:val="007D394A"/>
    <w:rsid w:val="007D55AC"/>
    <w:rsid w:val="007F0A6F"/>
    <w:rsid w:val="007F664D"/>
    <w:rsid w:val="007F6C31"/>
    <w:rsid w:val="008013D6"/>
    <w:rsid w:val="00821554"/>
    <w:rsid w:val="008232ED"/>
    <w:rsid w:val="0082705E"/>
    <w:rsid w:val="00835ABC"/>
    <w:rsid w:val="00836084"/>
    <w:rsid w:val="0083669C"/>
    <w:rsid w:val="00851029"/>
    <w:rsid w:val="0085362E"/>
    <w:rsid w:val="0086346B"/>
    <w:rsid w:val="00866988"/>
    <w:rsid w:val="00870FDD"/>
    <w:rsid w:val="00885918"/>
    <w:rsid w:val="00892207"/>
    <w:rsid w:val="00892AB0"/>
    <w:rsid w:val="00896E96"/>
    <w:rsid w:val="008A16EB"/>
    <w:rsid w:val="008B2D97"/>
    <w:rsid w:val="008C3790"/>
    <w:rsid w:val="008D22D4"/>
    <w:rsid w:val="008E1A3A"/>
    <w:rsid w:val="008E5D0B"/>
    <w:rsid w:val="008F2316"/>
    <w:rsid w:val="008F2856"/>
    <w:rsid w:val="00900F19"/>
    <w:rsid w:val="00901B8A"/>
    <w:rsid w:val="00904913"/>
    <w:rsid w:val="009137EF"/>
    <w:rsid w:val="00916952"/>
    <w:rsid w:val="00921547"/>
    <w:rsid w:val="00927604"/>
    <w:rsid w:val="009320EB"/>
    <w:rsid w:val="009330D2"/>
    <w:rsid w:val="0093795F"/>
    <w:rsid w:val="00945CFF"/>
    <w:rsid w:val="00946FD7"/>
    <w:rsid w:val="009510AC"/>
    <w:rsid w:val="00960779"/>
    <w:rsid w:val="00960F6B"/>
    <w:rsid w:val="009611B3"/>
    <w:rsid w:val="0096386D"/>
    <w:rsid w:val="00967703"/>
    <w:rsid w:val="00976597"/>
    <w:rsid w:val="00980BA0"/>
    <w:rsid w:val="00980D99"/>
    <w:rsid w:val="0098539B"/>
    <w:rsid w:val="009A19D6"/>
    <w:rsid w:val="009A2046"/>
    <w:rsid w:val="009B09EA"/>
    <w:rsid w:val="009B0C51"/>
    <w:rsid w:val="009B52EF"/>
    <w:rsid w:val="009B5865"/>
    <w:rsid w:val="009B66C8"/>
    <w:rsid w:val="009C1403"/>
    <w:rsid w:val="009C4A26"/>
    <w:rsid w:val="009D56C5"/>
    <w:rsid w:val="009E068B"/>
    <w:rsid w:val="009F70E6"/>
    <w:rsid w:val="00A20D68"/>
    <w:rsid w:val="00A36425"/>
    <w:rsid w:val="00A37BDB"/>
    <w:rsid w:val="00A414B9"/>
    <w:rsid w:val="00A569AF"/>
    <w:rsid w:val="00A62055"/>
    <w:rsid w:val="00A66794"/>
    <w:rsid w:val="00A66B25"/>
    <w:rsid w:val="00A7590B"/>
    <w:rsid w:val="00A8165B"/>
    <w:rsid w:val="00A84CF5"/>
    <w:rsid w:val="00A904F7"/>
    <w:rsid w:val="00A945D0"/>
    <w:rsid w:val="00A97635"/>
    <w:rsid w:val="00AA1154"/>
    <w:rsid w:val="00AA197D"/>
    <w:rsid w:val="00AA3773"/>
    <w:rsid w:val="00AB5232"/>
    <w:rsid w:val="00AC1CF8"/>
    <w:rsid w:val="00AC7A01"/>
    <w:rsid w:val="00AD4C7B"/>
    <w:rsid w:val="00AE4E87"/>
    <w:rsid w:val="00AE5DB1"/>
    <w:rsid w:val="00B00DB9"/>
    <w:rsid w:val="00B047B8"/>
    <w:rsid w:val="00B1477C"/>
    <w:rsid w:val="00B22837"/>
    <w:rsid w:val="00B2437F"/>
    <w:rsid w:val="00B2516A"/>
    <w:rsid w:val="00B36DB7"/>
    <w:rsid w:val="00B46543"/>
    <w:rsid w:val="00B53DB9"/>
    <w:rsid w:val="00B57FCD"/>
    <w:rsid w:val="00B7047E"/>
    <w:rsid w:val="00B7274B"/>
    <w:rsid w:val="00B77BD4"/>
    <w:rsid w:val="00B80CA2"/>
    <w:rsid w:val="00B854A8"/>
    <w:rsid w:val="00B86FB3"/>
    <w:rsid w:val="00B878DF"/>
    <w:rsid w:val="00BA3A78"/>
    <w:rsid w:val="00BA3BE8"/>
    <w:rsid w:val="00BA6EE8"/>
    <w:rsid w:val="00BB0873"/>
    <w:rsid w:val="00BB588E"/>
    <w:rsid w:val="00BD1845"/>
    <w:rsid w:val="00BD26C3"/>
    <w:rsid w:val="00BD3EF3"/>
    <w:rsid w:val="00BF06D7"/>
    <w:rsid w:val="00BF16E9"/>
    <w:rsid w:val="00C202B1"/>
    <w:rsid w:val="00C22897"/>
    <w:rsid w:val="00C25195"/>
    <w:rsid w:val="00C3108A"/>
    <w:rsid w:val="00C3501D"/>
    <w:rsid w:val="00C3572C"/>
    <w:rsid w:val="00C36BA8"/>
    <w:rsid w:val="00C417D9"/>
    <w:rsid w:val="00C4316C"/>
    <w:rsid w:val="00C43EBD"/>
    <w:rsid w:val="00C5001C"/>
    <w:rsid w:val="00C513FE"/>
    <w:rsid w:val="00C53164"/>
    <w:rsid w:val="00C53237"/>
    <w:rsid w:val="00C62B40"/>
    <w:rsid w:val="00C631E0"/>
    <w:rsid w:val="00C63DBE"/>
    <w:rsid w:val="00C66725"/>
    <w:rsid w:val="00C67AB3"/>
    <w:rsid w:val="00C72D2D"/>
    <w:rsid w:val="00C73A12"/>
    <w:rsid w:val="00C80CE7"/>
    <w:rsid w:val="00C86DBA"/>
    <w:rsid w:val="00C938BD"/>
    <w:rsid w:val="00C97349"/>
    <w:rsid w:val="00CA3C9F"/>
    <w:rsid w:val="00CA5EA4"/>
    <w:rsid w:val="00CB0A69"/>
    <w:rsid w:val="00CB1C43"/>
    <w:rsid w:val="00CC2430"/>
    <w:rsid w:val="00CC27B4"/>
    <w:rsid w:val="00CE2C92"/>
    <w:rsid w:val="00CE64C7"/>
    <w:rsid w:val="00CE75C1"/>
    <w:rsid w:val="00D00CAE"/>
    <w:rsid w:val="00D04ED2"/>
    <w:rsid w:val="00D1351F"/>
    <w:rsid w:val="00D2451E"/>
    <w:rsid w:val="00D30B8A"/>
    <w:rsid w:val="00D349CC"/>
    <w:rsid w:val="00D42727"/>
    <w:rsid w:val="00D427E7"/>
    <w:rsid w:val="00D42C20"/>
    <w:rsid w:val="00D55ADB"/>
    <w:rsid w:val="00D57FF4"/>
    <w:rsid w:val="00D66901"/>
    <w:rsid w:val="00D67430"/>
    <w:rsid w:val="00D741CA"/>
    <w:rsid w:val="00D82175"/>
    <w:rsid w:val="00D8595F"/>
    <w:rsid w:val="00D8658D"/>
    <w:rsid w:val="00D9407F"/>
    <w:rsid w:val="00DB1C17"/>
    <w:rsid w:val="00DB3819"/>
    <w:rsid w:val="00DE0514"/>
    <w:rsid w:val="00DE121E"/>
    <w:rsid w:val="00DE6EF8"/>
    <w:rsid w:val="00DF3CB7"/>
    <w:rsid w:val="00DF4AC7"/>
    <w:rsid w:val="00DF4ECC"/>
    <w:rsid w:val="00E00C6D"/>
    <w:rsid w:val="00E049A4"/>
    <w:rsid w:val="00E07BDB"/>
    <w:rsid w:val="00E13D12"/>
    <w:rsid w:val="00E141F4"/>
    <w:rsid w:val="00E149E8"/>
    <w:rsid w:val="00E16004"/>
    <w:rsid w:val="00E17803"/>
    <w:rsid w:val="00E203E4"/>
    <w:rsid w:val="00E21F9C"/>
    <w:rsid w:val="00E261CF"/>
    <w:rsid w:val="00E26448"/>
    <w:rsid w:val="00E319C2"/>
    <w:rsid w:val="00E32392"/>
    <w:rsid w:val="00E500DA"/>
    <w:rsid w:val="00E608A8"/>
    <w:rsid w:val="00E7244B"/>
    <w:rsid w:val="00E77506"/>
    <w:rsid w:val="00E92826"/>
    <w:rsid w:val="00E932B9"/>
    <w:rsid w:val="00EA7889"/>
    <w:rsid w:val="00EB4729"/>
    <w:rsid w:val="00EB605D"/>
    <w:rsid w:val="00ED02DA"/>
    <w:rsid w:val="00ED1F8E"/>
    <w:rsid w:val="00ED79BA"/>
    <w:rsid w:val="00EF2262"/>
    <w:rsid w:val="00EF42BB"/>
    <w:rsid w:val="00EF6206"/>
    <w:rsid w:val="00F12796"/>
    <w:rsid w:val="00F159AD"/>
    <w:rsid w:val="00F26EF9"/>
    <w:rsid w:val="00F41BE2"/>
    <w:rsid w:val="00F44F36"/>
    <w:rsid w:val="00F46A7D"/>
    <w:rsid w:val="00F6268F"/>
    <w:rsid w:val="00F7531C"/>
    <w:rsid w:val="00F77B67"/>
    <w:rsid w:val="00F824D3"/>
    <w:rsid w:val="00F8276E"/>
    <w:rsid w:val="00F84EF5"/>
    <w:rsid w:val="00FA6AE7"/>
    <w:rsid w:val="00FB154E"/>
    <w:rsid w:val="00FB5606"/>
    <w:rsid w:val="00FC00D3"/>
    <w:rsid w:val="00FC418A"/>
    <w:rsid w:val="00FE2C17"/>
    <w:rsid w:val="00FE5F91"/>
    <w:rsid w:val="00FE7F66"/>
    <w:rsid w:val="00FF0120"/>
    <w:rsid w:val="00FF32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FB331"/>
  <w15:chartTrackingRefBased/>
  <w15:docId w15:val="{202A0BBD-1F5A-DB45-ABEA-7BBAED75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D0B"/>
    <w:pPr>
      <w:spacing w:line="280" w:lineRule="atLeast"/>
      <w:jc w:val="both"/>
    </w:pPr>
    <w:rPr>
      <w:rFonts w:ascii="Palatino Linotype" w:hAnsi="Palatino Linotype"/>
      <w:noProof/>
      <w:color w:val="000000"/>
    </w:rPr>
  </w:style>
  <w:style w:type="paragraph" w:styleId="Kop1">
    <w:name w:val="heading 1"/>
    <w:aliases w:val="Kop 1 journal"/>
    <w:basedOn w:val="Standaard"/>
    <w:next w:val="Standaard"/>
    <w:link w:val="Kop1Char"/>
    <w:uiPriority w:val="9"/>
    <w:qFormat/>
    <w:rsid w:val="0085362E"/>
    <w:pPr>
      <w:keepNext/>
      <w:keepLines/>
      <w:tabs>
        <w:tab w:val="left" w:pos="3686"/>
      </w:tabs>
      <w:spacing w:before="240" w:line="480" w:lineRule="auto"/>
      <w:contextualSpacing/>
      <w:outlineLvl w:val="0"/>
    </w:pPr>
    <w:rPr>
      <w:rFonts w:ascii="Times New Roman" w:eastAsiaTheme="majorEastAsia" w:hAnsi="Times New Roman" w:cstheme="majorBidi"/>
      <w:b/>
      <w:noProof w:val="0"/>
      <w:color w:val="000000" w:themeColor="text1"/>
      <w:sz w:val="24"/>
      <w:szCs w:val="3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DPI11articletype">
    <w:name w:val="MDPI_1.1_article_type"/>
    <w:next w:val="Standaard"/>
    <w:qFormat/>
    <w:rsid w:val="008E5D0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Standaard"/>
    <w:qFormat/>
    <w:rsid w:val="008E5D0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Standaard"/>
    <w:qFormat/>
    <w:rsid w:val="008E5D0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Standaard"/>
    <w:next w:val="Standaard"/>
    <w:qFormat/>
    <w:rsid w:val="008E5D0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8E5D0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Standaard"/>
    <w:qFormat/>
    <w:rsid w:val="008E5D0B"/>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Standaard"/>
    <w:qFormat/>
    <w:rsid w:val="008E5D0B"/>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8E5D0B"/>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Standaardtabel"/>
    <w:uiPriority w:val="99"/>
    <w:rsid w:val="006F623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raster">
    <w:name w:val="Table Grid"/>
    <w:basedOn w:val="Standaardtabel"/>
    <w:uiPriority w:val="59"/>
    <w:rsid w:val="008E5D0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KoptekstChar">
    <w:name w:val="Koptekst Char"/>
    <w:link w:val="Koptekst"/>
    <w:uiPriority w:val="99"/>
    <w:rsid w:val="008E5D0B"/>
    <w:rPr>
      <w:rFonts w:ascii="Palatino Linotype" w:hAnsi="Palatino Linotype"/>
      <w:noProof/>
      <w:color w:val="000000"/>
      <w:szCs w:val="18"/>
    </w:rPr>
  </w:style>
  <w:style w:type="paragraph" w:customStyle="1" w:styleId="MDPI32textnoindent">
    <w:name w:val="MDPI_3.2_text_no_indent"/>
    <w:basedOn w:val="MDPI31text"/>
    <w:qFormat/>
    <w:rsid w:val="008E5D0B"/>
    <w:pPr>
      <w:ind w:firstLine="0"/>
    </w:pPr>
  </w:style>
  <w:style w:type="paragraph" w:customStyle="1" w:styleId="MDPI31text">
    <w:name w:val="MDPI_3.1_text"/>
    <w:qFormat/>
    <w:rsid w:val="00251FE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8E5D0B"/>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8E5D0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8E5D0B"/>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4F0C25"/>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4F0C25"/>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8E5D0B"/>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8E5D0B"/>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8E5D0B"/>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DE121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8E5D0B"/>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8E5D0B"/>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8E5D0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8E5D0B"/>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8E5D0B"/>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8E5D0B"/>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A36425"/>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ntekst">
    <w:name w:val="Balloon Text"/>
    <w:basedOn w:val="Standaard"/>
    <w:link w:val="BallontekstChar"/>
    <w:uiPriority w:val="99"/>
    <w:rsid w:val="008E5D0B"/>
    <w:rPr>
      <w:rFonts w:cs="Tahoma"/>
      <w:szCs w:val="18"/>
    </w:rPr>
  </w:style>
  <w:style w:type="character" w:customStyle="1" w:styleId="BallontekstChar">
    <w:name w:val="Ballontekst Char"/>
    <w:link w:val="Ballontekst"/>
    <w:uiPriority w:val="99"/>
    <w:rsid w:val="008E5D0B"/>
    <w:rPr>
      <w:rFonts w:ascii="Palatino Linotype" w:hAnsi="Palatino Linotype" w:cs="Tahoma"/>
      <w:noProof/>
      <w:color w:val="000000"/>
      <w:szCs w:val="18"/>
    </w:rPr>
  </w:style>
  <w:style w:type="character" w:styleId="Regelnummer">
    <w:name w:val="line number"/>
    <w:uiPriority w:val="99"/>
    <w:rsid w:val="00F824D3"/>
    <w:rPr>
      <w:rFonts w:ascii="Palatino Linotype" w:hAnsi="Palatino Linotype"/>
      <w:sz w:val="16"/>
    </w:rPr>
  </w:style>
  <w:style w:type="table" w:customStyle="1" w:styleId="MDPI41threelinetable">
    <w:name w:val="MDPI_4.1_three_line_table"/>
    <w:basedOn w:val="Standaardtabel"/>
    <w:uiPriority w:val="99"/>
    <w:rsid w:val="008E5D0B"/>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E5D0B"/>
    <w:rPr>
      <w:color w:val="0000FF"/>
      <w:u w:val="single"/>
    </w:rPr>
  </w:style>
  <w:style w:type="character" w:styleId="Onopgelostemelding">
    <w:name w:val="Unresolved Mention"/>
    <w:uiPriority w:val="99"/>
    <w:semiHidden/>
    <w:unhideWhenUsed/>
    <w:rsid w:val="004E7AA0"/>
    <w:rPr>
      <w:color w:val="605E5C"/>
      <w:shd w:val="clear" w:color="auto" w:fill="E1DFDD"/>
    </w:rPr>
  </w:style>
  <w:style w:type="paragraph" w:styleId="Voettekst">
    <w:name w:val="footer"/>
    <w:basedOn w:val="Standaard"/>
    <w:link w:val="VoettekstChar"/>
    <w:uiPriority w:val="99"/>
    <w:rsid w:val="008E5D0B"/>
    <w:pPr>
      <w:tabs>
        <w:tab w:val="center" w:pos="4153"/>
        <w:tab w:val="right" w:pos="8306"/>
      </w:tabs>
      <w:snapToGrid w:val="0"/>
      <w:spacing w:line="240" w:lineRule="atLeast"/>
    </w:pPr>
    <w:rPr>
      <w:szCs w:val="18"/>
    </w:rPr>
  </w:style>
  <w:style w:type="character" w:customStyle="1" w:styleId="VoettekstChar">
    <w:name w:val="Voettekst Char"/>
    <w:link w:val="Voettekst"/>
    <w:uiPriority w:val="99"/>
    <w:rsid w:val="008E5D0B"/>
    <w:rPr>
      <w:rFonts w:ascii="Palatino Linotype" w:hAnsi="Palatino Linotype"/>
      <w:noProof/>
      <w:color w:val="000000"/>
      <w:szCs w:val="18"/>
    </w:rPr>
  </w:style>
  <w:style w:type="table" w:styleId="Onopgemaaktetabel4">
    <w:name w:val="Plain Table 4"/>
    <w:basedOn w:val="Standaardtabel"/>
    <w:uiPriority w:val="44"/>
    <w:rsid w:val="00C80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8E5D0B"/>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8E5D0B"/>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8E5D0B"/>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8E5D0B"/>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8E5D0B"/>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8E5D0B"/>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901B8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8E5D0B"/>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8E5D0B"/>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3843FA"/>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Standaardtabel"/>
    <w:uiPriority w:val="99"/>
    <w:rsid w:val="008E5D0B"/>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8E5D0B"/>
  </w:style>
  <w:style w:type="paragraph" w:styleId="Bibliografie">
    <w:name w:val="Bibliography"/>
    <w:basedOn w:val="Standaard"/>
    <w:next w:val="Standaard"/>
    <w:uiPriority w:val="37"/>
    <w:semiHidden/>
    <w:unhideWhenUsed/>
    <w:rsid w:val="008E5D0B"/>
  </w:style>
  <w:style w:type="paragraph" w:styleId="Plattetekst">
    <w:name w:val="Body Text"/>
    <w:link w:val="PlattetekstChar"/>
    <w:rsid w:val="008E5D0B"/>
    <w:pPr>
      <w:spacing w:after="120" w:line="340" w:lineRule="atLeast"/>
      <w:jc w:val="both"/>
    </w:pPr>
    <w:rPr>
      <w:rFonts w:ascii="Palatino Linotype" w:hAnsi="Palatino Linotype"/>
      <w:color w:val="000000"/>
      <w:sz w:val="24"/>
      <w:lang w:eastAsia="de-DE"/>
    </w:rPr>
  </w:style>
  <w:style w:type="character" w:customStyle="1" w:styleId="PlattetekstChar">
    <w:name w:val="Platte tekst Char"/>
    <w:link w:val="Plattetekst"/>
    <w:rsid w:val="008E5D0B"/>
    <w:rPr>
      <w:rFonts w:ascii="Palatino Linotype" w:hAnsi="Palatino Linotype"/>
      <w:color w:val="000000"/>
      <w:sz w:val="24"/>
      <w:lang w:eastAsia="de-DE"/>
    </w:rPr>
  </w:style>
  <w:style w:type="character" w:styleId="Verwijzingopmerking">
    <w:name w:val="annotation reference"/>
    <w:rsid w:val="008E5D0B"/>
    <w:rPr>
      <w:sz w:val="21"/>
      <w:szCs w:val="21"/>
    </w:rPr>
  </w:style>
  <w:style w:type="paragraph" w:styleId="Tekstopmerking">
    <w:name w:val="annotation text"/>
    <w:basedOn w:val="Standaard"/>
    <w:link w:val="TekstopmerkingChar"/>
    <w:rsid w:val="008E5D0B"/>
  </w:style>
  <w:style w:type="character" w:customStyle="1" w:styleId="TekstopmerkingChar">
    <w:name w:val="Tekst opmerking Char"/>
    <w:link w:val="Tekstopmerking"/>
    <w:rsid w:val="008E5D0B"/>
    <w:rPr>
      <w:rFonts w:ascii="Palatino Linotype" w:hAnsi="Palatino Linotype"/>
      <w:noProof/>
      <w:color w:val="000000"/>
    </w:rPr>
  </w:style>
  <w:style w:type="paragraph" w:styleId="Onderwerpvanopmerking">
    <w:name w:val="annotation subject"/>
    <w:basedOn w:val="Tekstopmerking"/>
    <w:next w:val="Tekstopmerking"/>
    <w:link w:val="OnderwerpvanopmerkingChar"/>
    <w:rsid w:val="008E5D0B"/>
    <w:rPr>
      <w:b/>
      <w:bCs/>
    </w:rPr>
  </w:style>
  <w:style w:type="character" w:customStyle="1" w:styleId="OnderwerpvanopmerkingChar">
    <w:name w:val="Onderwerp van opmerking Char"/>
    <w:link w:val="Onderwerpvanopmerking"/>
    <w:rsid w:val="008E5D0B"/>
    <w:rPr>
      <w:rFonts w:ascii="Palatino Linotype" w:hAnsi="Palatino Linotype"/>
      <w:b/>
      <w:bCs/>
      <w:noProof/>
      <w:color w:val="000000"/>
    </w:rPr>
  </w:style>
  <w:style w:type="character" w:styleId="Eindnootmarkering">
    <w:name w:val="endnote reference"/>
    <w:rsid w:val="008E5D0B"/>
    <w:rPr>
      <w:vertAlign w:val="superscript"/>
    </w:rPr>
  </w:style>
  <w:style w:type="paragraph" w:styleId="Eindnoottekst">
    <w:name w:val="endnote text"/>
    <w:basedOn w:val="Standaard"/>
    <w:link w:val="EindnoottekstChar"/>
    <w:semiHidden/>
    <w:unhideWhenUsed/>
    <w:rsid w:val="008E5D0B"/>
    <w:pPr>
      <w:spacing w:line="240" w:lineRule="auto"/>
    </w:pPr>
  </w:style>
  <w:style w:type="character" w:customStyle="1" w:styleId="EindnoottekstChar">
    <w:name w:val="Eindnoottekst Char"/>
    <w:link w:val="Eindnoottekst"/>
    <w:semiHidden/>
    <w:rsid w:val="008E5D0B"/>
    <w:rPr>
      <w:rFonts w:ascii="Palatino Linotype" w:hAnsi="Palatino Linotype"/>
      <w:noProof/>
      <w:color w:val="000000"/>
    </w:rPr>
  </w:style>
  <w:style w:type="character" w:styleId="GevolgdeHyperlink">
    <w:name w:val="FollowedHyperlink"/>
    <w:rsid w:val="008E5D0B"/>
    <w:rPr>
      <w:color w:val="954F72"/>
      <w:u w:val="single"/>
    </w:rPr>
  </w:style>
  <w:style w:type="paragraph" w:styleId="Voetnoottekst">
    <w:name w:val="footnote text"/>
    <w:basedOn w:val="Standaard"/>
    <w:link w:val="VoetnoottekstChar"/>
    <w:semiHidden/>
    <w:unhideWhenUsed/>
    <w:rsid w:val="008E5D0B"/>
    <w:pPr>
      <w:spacing w:line="240" w:lineRule="auto"/>
    </w:pPr>
  </w:style>
  <w:style w:type="character" w:customStyle="1" w:styleId="VoetnoottekstChar">
    <w:name w:val="Voetnoottekst Char"/>
    <w:link w:val="Voetnoottekst"/>
    <w:semiHidden/>
    <w:rsid w:val="008E5D0B"/>
    <w:rPr>
      <w:rFonts w:ascii="Palatino Linotype" w:hAnsi="Palatino Linotype"/>
      <w:noProof/>
      <w:color w:val="000000"/>
    </w:rPr>
  </w:style>
  <w:style w:type="paragraph" w:styleId="Normaalweb">
    <w:name w:val="Normal (Web)"/>
    <w:basedOn w:val="Standaard"/>
    <w:uiPriority w:val="99"/>
    <w:rsid w:val="008E5D0B"/>
    <w:rPr>
      <w:szCs w:val="24"/>
    </w:rPr>
  </w:style>
  <w:style w:type="paragraph" w:customStyle="1" w:styleId="MsoFootnoteText0">
    <w:name w:val="MsoFootnoteText"/>
    <w:basedOn w:val="Normaalweb"/>
    <w:qFormat/>
    <w:rsid w:val="008E5D0B"/>
    <w:rPr>
      <w:rFonts w:ascii="Times New Roman" w:hAnsi="Times New Roman"/>
    </w:rPr>
  </w:style>
  <w:style w:type="character" w:styleId="Paginanummer">
    <w:name w:val="page number"/>
    <w:rsid w:val="008E5D0B"/>
  </w:style>
  <w:style w:type="character" w:styleId="Tekstvantijdelijkeaanduiding">
    <w:name w:val="Placeholder Text"/>
    <w:uiPriority w:val="99"/>
    <w:semiHidden/>
    <w:rsid w:val="008E5D0B"/>
    <w:rPr>
      <w:color w:val="808080"/>
    </w:rPr>
  </w:style>
  <w:style w:type="paragraph" w:customStyle="1" w:styleId="MDPI71footnotes">
    <w:name w:val="MDPI_7.1_footnotes"/>
    <w:qFormat/>
    <w:rsid w:val="00C43EBD"/>
    <w:pPr>
      <w:numPr>
        <w:numId w:val="21"/>
      </w:numPr>
      <w:adjustRightInd w:val="0"/>
      <w:snapToGrid w:val="0"/>
      <w:spacing w:line="280" w:lineRule="atLeast"/>
    </w:pPr>
    <w:rPr>
      <w:rFonts w:ascii="Palatino Linotype" w:eastAsiaTheme="minorEastAsia" w:hAnsi="Palatino Linotype"/>
      <w:noProof/>
      <w:color w:val="000000"/>
      <w:sz w:val="18"/>
    </w:rPr>
  </w:style>
  <w:style w:type="character" w:customStyle="1" w:styleId="normaltextrun">
    <w:name w:val="normaltextrun"/>
    <w:basedOn w:val="Standaardalinea-lettertype"/>
    <w:rsid w:val="00516B3A"/>
  </w:style>
  <w:style w:type="character" w:customStyle="1" w:styleId="eop">
    <w:name w:val="eop"/>
    <w:basedOn w:val="Standaardalinea-lettertype"/>
    <w:rsid w:val="00516B3A"/>
  </w:style>
  <w:style w:type="character" w:customStyle="1" w:styleId="Kop1Char">
    <w:name w:val="Kop 1 Char"/>
    <w:aliases w:val="Kop 1 journal Char"/>
    <w:basedOn w:val="Standaardalinea-lettertype"/>
    <w:link w:val="Kop1"/>
    <w:uiPriority w:val="9"/>
    <w:rsid w:val="0085362E"/>
    <w:rPr>
      <w:rFonts w:ascii="Times New Roman" w:eastAsiaTheme="majorEastAsia" w:hAnsi="Times New Roman" w:cstheme="majorBidi"/>
      <w:b/>
      <w:color w:val="000000" w:themeColor="text1"/>
      <w:sz w:val="24"/>
      <w:szCs w:val="32"/>
      <w:lang w:val="nl-BE" w:eastAsia="en-US"/>
    </w:rPr>
  </w:style>
  <w:style w:type="character" w:styleId="Zwaar">
    <w:name w:val="Strong"/>
    <w:basedOn w:val="Standaardalinea-lettertype"/>
    <w:uiPriority w:val="22"/>
    <w:qFormat/>
    <w:rsid w:val="00292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2229">
      <w:bodyDiv w:val="1"/>
      <w:marLeft w:val="0"/>
      <w:marRight w:val="0"/>
      <w:marTop w:val="0"/>
      <w:marBottom w:val="0"/>
      <w:divBdr>
        <w:top w:val="none" w:sz="0" w:space="0" w:color="auto"/>
        <w:left w:val="none" w:sz="0" w:space="0" w:color="auto"/>
        <w:bottom w:val="none" w:sz="0" w:space="0" w:color="auto"/>
        <w:right w:val="none" w:sz="0" w:space="0" w:color="auto"/>
      </w:divBdr>
      <w:divsChild>
        <w:div w:id="1936671429">
          <w:marLeft w:val="-720"/>
          <w:marRight w:val="0"/>
          <w:marTop w:val="0"/>
          <w:marBottom w:val="0"/>
          <w:divBdr>
            <w:top w:val="none" w:sz="0" w:space="0" w:color="auto"/>
            <w:left w:val="none" w:sz="0" w:space="0" w:color="auto"/>
            <w:bottom w:val="none" w:sz="0" w:space="0" w:color="auto"/>
            <w:right w:val="none" w:sz="0" w:space="0" w:color="auto"/>
          </w:divBdr>
        </w:div>
      </w:divsChild>
    </w:div>
    <w:div w:id="355011410">
      <w:bodyDiv w:val="1"/>
      <w:marLeft w:val="0"/>
      <w:marRight w:val="0"/>
      <w:marTop w:val="0"/>
      <w:marBottom w:val="0"/>
      <w:divBdr>
        <w:top w:val="none" w:sz="0" w:space="0" w:color="auto"/>
        <w:left w:val="none" w:sz="0" w:space="0" w:color="auto"/>
        <w:bottom w:val="none" w:sz="0" w:space="0" w:color="auto"/>
        <w:right w:val="none" w:sz="0" w:space="0" w:color="auto"/>
      </w:divBdr>
      <w:divsChild>
        <w:div w:id="586766403">
          <w:marLeft w:val="-720"/>
          <w:marRight w:val="0"/>
          <w:marTop w:val="0"/>
          <w:marBottom w:val="0"/>
          <w:divBdr>
            <w:top w:val="none" w:sz="0" w:space="0" w:color="auto"/>
            <w:left w:val="none" w:sz="0" w:space="0" w:color="auto"/>
            <w:bottom w:val="none" w:sz="0" w:space="0" w:color="auto"/>
            <w:right w:val="none" w:sz="0" w:space="0" w:color="auto"/>
          </w:divBdr>
        </w:div>
      </w:divsChild>
    </w:div>
    <w:div w:id="565652648">
      <w:bodyDiv w:val="1"/>
      <w:marLeft w:val="0"/>
      <w:marRight w:val="0"/>
      <w:marTop w:val="0"/>
      <w:marBottom w:val="0"/>
      <w:divBdr>
        <w:top w:val="none" w:sz="0" w:space="0" w:color="auto"/>
        <w:left w:val="none" w:sz="0" w:space="0" w:color="auto"/>
        <w:bottom w:val="none" w:sz="0" w:space="0" w:color="auto"/>
        <w:right w:val="none" w:sz="0" w:space="0" w:color="auto"/>
      </w:divBdr>
      <w:divsChild>
        <w:div w:id="574240849">
          <w:marLeft w:val="-720"/>
          <w:marRight w:val="0"/>
          <w:marTop w:val="0"/>
          <w:marBottom w:val="0"/>
          <w:divBdr>
            <w:top w:val="none" w:sz="0" w:space="0" w:color="auto"/>
            <w:left w:val="none" w:sz="0" w:space="0" w:color="auto"/>
            <w:bottom w:val="none" w:sz="0" w:space="0" w:color="auto"/>
            <w:right w:val="none" w:sz="0" w:space="0" w:color="auto"/>
          </w:divBdr>
        </w:div>
      </w:divsChild>
    </w:div>
    <w:div w:id="1153912939">
      <w:bodyDiv w:val="1"/>
      <w:marLeft w:val="0"/>
      <w:marRight w:val="0"/>
      <w:marTop w:val="0"/>
      <w:marBottom w:val="0"/>
      <w:divBdr>
        <w:top w:val="none" w:sz="0" w:space="0" w:color="auto"/>
        <w:left w:val="none" w:sz="0" w:space="0" w:color="auto"/>
        <w:bottom w:val="none" w:sz="0" w:space="0" w:color="auto"/>
        <w:right w:val="none" w:sz="0" w:space="0" w:color="auto"/>
      </w:divBdr>
    </w:div>
    <w:div w:id="1423068867">
      <w:bodyDiv w:val="1"/>
      <w:marLeft w:val="0"/>
      <w:marRight w:val="0"/>
      <w:marTop w:val="0"/>
      <w:marBottom w:val="0"/>
      <w:divBdr>
        <w:top w:val="none" w:sz="0" w:space="0" w:color="auto"/>
        <w:left w:val="none" w:sz="0" w:space="0" w:color="auto"/>
        <w:bottom w:val="none" w:sz="0" w:space="0" w:color="auto"/>
        <w:right w:val="none" w:sz="0" w:space="0" w:color="auto"/>
      </w:divBdr>
      <w:divsChild>
        <w:div w:id="1175539463">
          <w:marLeft w:val="-720"/>
          <w:marRight w:val="0"/>
          <w:marTop w:val="0"/>
          <w:marBottom w:val="0"/>
          <w:divBdr>
            <w:top w:val="none" w:sz="0" w:space="0" w:color="auto"/>
            <w:left w:val="none" w:sz="0" w:space="0" w:color="auto"/>
            <w:bottom w:val="none" w:sz="0" w:space="0" w:color="auto"/>
            <w:right w:val="none" w:sz="0" w:space="0" w:color="auto"/>
          </w:divBdr>
        </w:div>
      </w:divsChild>
    </w:div>
    <w:div w:id="1542789920">
      <w:bodyDiv w:val="1"/>
      <w:marLeft w:val="0"/>
      <w:marRight w:val="0"/>
      <w:marTop w:val="0"/>
      <w:marBottom w:val="0"/>
      <w:divBdr>
        <w:top w:val="none" w:sz="0" w:space="0" w:color="auto"/>
        <w:left w:val="none" w:sz="0" w:space="0" w:color="auto"/>
        <w:bottom w:val="none" w:sz="0" w:space="0" w:color="auto"/>
        <w:right w:val="none" w:sz="0" w:space="0" w:color="auto"/>
      </w:divBdr>
    </w:div>
    <w:div w:id="1543055674">
      <w:bodyDiv w:val="1"/>
      <w:marLeft w:val="0"/>
      <w:marRight w:val="0"/>
      <w:marTop w:val="0"/>
      <w:marBottom w:val="0"/>
      <w:divBdr>
        <w:top w:val="none" w:sz="0" w:space="0" w:color="auto"/>
        <w:left w:val="none" w:sz="0" w:space="0" w:color="auto"/>
        <w:bottom w:val="none" w:sz="0" w:space="0" w:color="auto"/>
        <w:right w:val="none" w:sz="0" w:space="0" w:color="auto"/>
      </w:divBdr>
      <w:divsChild>
        <w:div w:id="1685208978">
          <w:marLeft w:val="-720"/>
          <w:marRight w:val="0"/>
          <w:marTop w:val="0"/>
          <w:marBottom w:val="0"/>
          <w:divBdr>
            <w:top w:val="none" w:sz="0" w:space="0" w:color="auto"/>
            <w:left w:val="none" w:sz="0" w:space="0" w:color="auto"/>
            <w:bottom w:val="none" w:sz="0" w:space="0" w:color="auto"/>
            <w:right w:val="none" w:sz="0" w:space="0" w:color="auto"/>
          </w:divBdr>
        </w:div>
      </w:divsChild>
    </w:div>
    <w:div w:id="1601059327">
      <w:bodyDiv w:val="1"/>
      <w:marLeft w:val="0"/>
      <w:marRight w:val="0"/>
      <w:marTop w:val="0"/>
      <w:marBottom w:val="0"/>
      <w:divBdr>
        <w:top w:val="none" w:sz="0" w:space="0" w:color="auto"/>
        <w:left w:val="none" w:sz="0" w:space="0" w:color="auto"/>
        <w:bottom w:val="none" w:sz="0" w:space="0" w:color="auto"/>
        <w:right w:val="none" w:sz="0" w:space="0" w:color="auto"/>
      </w:divBdr>
      <w:divsChild>
        <w:div w:id="163130634">
          <w:marLeft w:val="-720"/>
          <w:marRight w:val="0"/>
          <w:marTop w:val="0"/>
          <w:marBottom w:val="0"/>
          <w:divBdr>
            <w:top w:val="none" w:sz="0" w:space="0" w:color="auto"/>
            <w:left w:val="none" w:sz="0" w:space="0" w:color="auto"/>
            <w:bottom w:val="none" w:sz="0" w:space="0" w:color="auto"/>
            <w:right w:val="none" w:sz="0" w:space="0" w:color="auto"/>
          </w:divBdr>
        </w:div>
      </w:divsChild>
    </w:div>
    <w:div w:id="1732383542">
      <w:bodyDiv w:val="1"/>
      <w:marLeft w:val="0"/>
      <w:marRight w:val="0"/>
      <w:marTop w:val="0"/>
      <w:marBottom w:val="0"/>
      <w:divBdr>
        <w:top w:val="none" w:sz="0" w:space="0" w:color="auto"/>
        <w:left w:val="none" w:sz="0" w:space="0" w:color="auto"/>
        <w:bottom w:val="none" w:sz="0" w:space="0" w:color="auto"/>
        <w:right w:val="none" w:sz="0" w:space="0" w:color="auto"/>
      </w:divBdr>
      <w:divsChild>
        <w:div w:id="89393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0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80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72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63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9357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37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87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814033">
      <w:bodyDiv w:val="1"/>
      <w:marLeft w:val="0"/>
      <w:marRight w:val="0"/>
      <w:marTop w:val="0"/>
      <w:marBottom w:val="0"/>
      <w:divBdr>
        <w:top w:val="none" w:sz="0" w:space="0" w:color="auto"/>
        <w:left w:val="none" w:sz="0" w:space="0" w:color="auto"/>
        <w:bottom w:val="none" w:sz="0" w:space="0" w:color="auto"/>
        <w:right w:val="none" w:sz="0" w:space="0" w:color="auto"/>
      </w:divBdr>
      <w:divsChild>
        <w:div w:id="2070030879">
          <w:marLeft w:val="-720"/>
          <w:marRight w:val="0"/>
          <w:marTop w:val="0"/>
          <w:marBottom w:val="0"/>
          <w:divBdr>
            <w:top w:val="none" w:sz="0" w:space="0" w:color="auto"/>
            <w:left w:val="none" w:sz="0" w:space="0" w:color="auto"/>
            <w:bottom w:val="none" w:sz="0" w:space="0" w:color="auto"/>
            <w:right w:val="none" w:sz="0" w:space="0" w:color="auto"/>
          </w:divBdr>
        </w:div>
      </w:divsChild>
    </w:div>
    <w:div w:id="1857114830">
      <w:bodyDiv w:val="1"/>
      <w:marLeft w:val="0"/>
      <w:marRight w:val="0"/>
      <w:marTop w:val="0"/>
      <w:marBottom w:val="0"/>
      <w:divBdr>
        <w:top w:val="none" w:sz="0" w:space="0" w:color="auto"/>
        <w:left w:val="none" w:sz="0" w:space="0" w:color="auto"/>
        <w:bottom w:val="none" w:sz="0" w:space="0" w:color="auto"/>
        <w:right w:val="none" w:sz="0" w:space="0" w:color="auto"/>
      </w:divBdr>
      <w:divsChild>
        <w:div w:id="1109735838">
          <w:marLeft w:val="0"/>
          <w:marRight w:val="0"/>
          <w:marTop w:val="0"/>
          <w:marBottom w:val="0"/>
          <w:divBdr>
            <w:top w:val="none" w:sz="0" w:space="0" w:color="auto"/>
            <w:left w:val="none" w:sz="0" w:space="0" w:color="auto"/>
            <w:bottom w:val="none" w:sz="0" w:space="0" w:color="auto"/>
            <w:right w:val="none" w:sz="0" w:space="0" w:color="auto"/>
          </w:divBdr>
          <w:divsChild>
            <w:div w:id="1997486993">
              <w:marLeft w:val="0"/>
              <w:marRight w:val="0"/>
              <w:marTop w:val="0"/>
              <w:marBottom w:val="0"/>
              <w:divBdr>
                <w:top w:val="none" w:sz="0" w:space="0" w:color="auto"/>
                <w:left w:val="none" w:sz="0" w:space="0" w:color="auto"/>
                <w:bottom w:val="none" w:sz="0" w:space="0" w:color="auto"/>
                <w:right w:val="none" w:sz="0" w:space="0" w:color="auto"/>
              </w:divBdr>
              <w:divsChild>
                <w:div w:id="1157378975">
                  <w:marLeft w:val="0"/>
                  <w:marRight w:val="0"/>
                  <w:marTop w:val="0"/>
                  <w:marBottom w:val="0"/>
                  <w:divBdr>
                    <w:top w:val="none" w:sz="0" w:space="0" w:color="auto"/>
                    <w:left w:val="none" w:sz="0" w:space="0" w:color="auto"/>
                    <w:bottom w:val="none" w:sz="0" w:space="0" w:color="auto"/>
                    <w:right w:val="none" w:sz="0" w:space="0" w:color="auto"/>
                  </w:divBdr>
                  <w:divsChild>
                    <w:div w:id="12454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3351">
      <w:bodyDiv w:val="1"/>
      <w:marLeft w:val="0"/>
      <w:marRight w:val="0"/>
      <w:marTop w:val="0"/>
      <w:marBottom w:val="0"/>
      <w:divBdr>
        <w:top w:val="none" w:sz="0" w:space="0" w:color="auto"/>
        <w:left w:val="none" w:sz="0" w:space="0" w:color="auto"/>
        <w:bottom w:val="none" w:sz="0" w:space="0" w:color="auto"/>
        <w:right w:val="none" w:sz="0" w:space="0" w:color="auto"/>
      </w:divBdr>
      <w:divsChild>
        <w:div w:id="573859783">
          <w:marLeft w:val="-720"/>
          <w:marRight w:val="0"/>
          <w:marTop w:val="0"/>
          <w:marBottom w:val="0"/>
          <w:divBdr>
            <w:top w:val="none" w:sz="0" w:space="0" w:color="auto"/>
            <w:left w:val="none" w:sz="0" w:space="0" w:color="auto"/>
            <w:bottom w:val="none" w:sz="0" w:space="0" w:color="auto"/>
            <w:right w:val="none" w:sz="0" w:space="0" w:color="auto"/>
          </w:divBdr>
        </w:div>
      </w:divsChild>
    </w:div>
    <w:div w:id="1948848596">
      <w:bodyDiv w:val="1"/>
      <w:marLeft w:val="0"/>
      <w:marRight w:val="0"/>
      <w:marTop w:val="0"/>
      <w:marBottom w:val="0"/>
      <w:divBdr>
        <w:top w:val="none" w:sz="0" w:space="0" w:color="auto"/>
        <w:left w:val="none" w:sz="0" w:space="0" w:color="auto"/>
        <w:bottom w:val="none" w:sz="0" w:space="0" w:color="auto"/>
        <w:right w:val="none" w:sz="0" w:space="0" w:color="auto"/>
      </w:divBdr>
      <w:divsChild>
        <w:div w:id="628433392">
          <w:marLeft w:val="-72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07476.2020.1842134" TargetMode="External"/><Relationship Id="rId18" Type="http://schemas.openxmlformats.org/officeDocument/2006/relationships/hyperlink" Target="https://doi.org/10.1080/09243453.2018.1500921" TargetMode="External"/><Relationship Id="rId26" Type="http://schemas.openxmlformats.org/officeDocument/2006/relationships/hyperlink" Target="https://doi.org/10.1177/1049732316665344" TargetMode="External"/><Relationship Id="rId39" Type="http://schemas.openxmlformats.org/officeDocument/2006/relationships/hyperlink" Target="https://doi.org/10.1787/9789264225442-en" TargetMode="External"/><Relationship Id="rId21" Type="http://schemas.openxmlformats.org/officeDocument/2006/relationships/hyperlink" Target="https://doi.org/10.3102/0013189x18761042" TargetMode="External"/><Relationship Id="rId34" Type="http://schemas.openxmlformats.org/officeDocument/2006/relationships/hyperlink" Target="https://doi.org/10.1177/016146819009100403" TargetMode="External"/><Relationship Id="rId42" Type="http://schemas.openxmlformats.org/officeDocument/2006/relationships/hyperlink" Target="https://doi.org/10.1111/1467-9620.00181" TargetMode="External"/><Relationship Id="rId47" Type="http://schemas.openxmlformats.org/officeDocument/2006/relationships/hyperlink" Target="https://doi.org/10.46328/ijte.537" TargetMode="External"/><Relationship Id="rId50" Type="http://schemas.openxmlformats.org/officeDocument/2006/relationships/hyperlink" Target="https://doi.org/10.1016/j.edurev.2015.04.002" TargetMode="External"/><Relationship Id="rId55"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10.1108/ijmce-11-2019-0104" TargetMode="External"/><Relationship Id="rId29" Type="http://schemas.openxmlformats.org/officeDocument/2006/relationships/hyperlink" Target="https://doi.org/10.1080/09243450903569718" TargetMode="External"/><Relationship Id="rId11" Type="http://schemas.openxmlformats.org/officeDocument/2006/relationships/hyperlink" Target="mailto:iris.decabooter@uhasselt.be" TargetMode="External"/><Relationship Id="rId24" Type="http://schemas.openxmlformats.org/officeDocument/2006/relationships/hyperlink" Target="https://doi.org/10.1177/1525822x05279903" TargetMode="External"/><Relationship Id="rId32" Type="http://schemas.openxmlformats.org/officeDocument/2006/relationships/hyperlink" Target="https://doi.org/10.1016/j.tate.2015.06.004" TargetMode="External"/><Relationship Id="rId37" Type="http://schemas.openxmlformats.org/officeDocument/2006/relationships/hyperlink" Target="https://doi.org/10.5172/ijpl.2012.7.2.162" TargetMode="External"/><Relationship Id="rId40" Type="http://schemas.openxmlformats.org/officeDocument/2006/relationships/hyperlink" Target="https://doi.org/10.1080/00131881.2021.1985398" TargetMode="External"/><Relationship Id="rId45" Type="http://schemas.openxmlformats.org/officeDocument/2006/relationships/hyperlink" Target="https://doi.org/10.1787/9789264174559-en"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doi.org/10.1007/978-1-4020-691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ijer.2020.101695" TargetMode="External"/><Relationship Id="rId22" Type="http://schemas.openxmlformats.org/officeDocument/2006/relationships/hyperlink" Target="https://doi.org/10.1080/14703297.2023.2195846" TargetMode="External"/><Relationship Id="rId27" Type="http://schemas.openxmlformats.org/officeDocument/2006/relationships/hyperlink" Target="https://doi.org/10.1016/s0742-051x(01)00051-8" TargetMode="External"/><Relationship Id="rId30" Type="http://schemas.openxmlformats.org/officeDocument/2006/relationships/hyperlink" Target="https://doi.org/10.4135/9781452219196" TargetMode="External"/><Relationship Id="rId35" Type="http://schemas.openxmlformats.org/officeDocument/2006/relationships/hyperlink" Target="https://doi.org/10.1109/tlt.2017.2708115" TargetMode="External"/><Relationship Id="rId43" Type="http://schemas.openxmlformats.org/officeDocument/2006/relationships/hyperlink" Target="https://doi.org/10.37074/jalt.2023.6.1.9" TargetMode="External"/><Relationship Id="rId48" Type="http://schemas.openxmlformats.org/officeDocument/2006/relationships/hyperlink" Target="https://doi.org/10.2307/1179579"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doi.org/10.1080/03433790110068242" TargetMode="External"/><Relationship Id="rId3" Type="http://schemas.openxmlformats.org/officeDocument/2006/relationships/customXml" Target="../customXml/item3.xml"/><Relationship Id="rId12" Type="http://schemas.openxmlformats.org/officeDocument/2006/relationships/hyperlink" Target="mailto:ariadne.warmoes@vub.be" TargetMode="External"/><Relationship Id="rId17" Type="http://schemas.openxmlformats.org/officeDocument/2006/relationships/hyperlink" Target="https://pure.mpg.de/pubman/item/item_2316308_3/component/file_2316307/Dewey_1910_How_we_think.pdf" TargetMode="External"/><Relationship Id="rId25" Type="http://schemas.openxmlformats.org/officeDocument/2006/relationships/hyperlink" Target="http://ci.nii.ac.jp/ncid/BB05229407" TargetMode="External"/><Relationship Id="rId33" Type="http://schemas.openxmlformats.org/officeDocument/2006/relationships/hyperlink" Target="https://doi.org/10.1080/13540602.2015.1058589" TargetMode="External"/><Relationship Id="rId38" Type="http://schemas.openxmlformats.org/officeDocument/2006/relationships/hyperlink" Target="https://doi.org/10.1093/oso/9780195092691.001.0001" TargetMode="External"/><Relationship Id="rId46" Type="http://schemas.openxmlformats.org/officeDocument/2006/relationships/hyperlink" Target="http://psycnet.apa.org/record/1987-97655-000" TargetMode="External"/><Relationship Id="rId20" Type="http://schemas.openxmlformats.org/officeDocument/2006/relationships/hyperlink" Target="https://doi.org/10.1016/j.tate.2006.04.002" TargetMode="External"/><Relationship Id="rId41" Type="http://schemas.openxmlformats.org/officeDocument/2006/relationships/hyperlink" Target="https://doi.org/10.1108/jpcc-09-2015-000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108/ijmce-03-2013-0022" TargetMode="External"/><Relationship Id="rId23" Type="http://schemas.openxmlformats.org/officeDocument/2006/relationships/hyperlink" Target="https://doi.org/10.1007/978-3-030-81938-5_77" TargetMode="External"/><Relationship Id="rId28" Type="http://schemas.openxmlformats.org/officeDocument/2006/relationships/hyperlink" Target="https://doi.org/10.1016/j.stueduc.2013.10.006" TargetMode="External"/><Relationship Id="rId36" Type="http://schemas.openxmlformats.org/officeDocument/2006/relationships/hyperlink" Target="https://doi.org/10.1016/j.mex.2023.102545" TargetMode="External"/><Relationship Id="rId49" Type="http://schemas.openxmlformats.org/officeDocument/2006/relationships/hyperlink" Target="https://doi.org/10.1080/09243453.2015.1064455" TargetMode="External"/><Relationship Id="rId57" Type="http://schemas.openxmlformats.org/officeDocument/2006/relationships/fontTable" Target="fontTable.xml"/><Relationship Id="rId10" Type="http://schemas.openxmlformats.org/officeDocument/2006/relationships/hyperlink" Target="mailto:Christopher.brown@soton.ac.uk" TargetMode="External"/><Relationship Id="rId31" Type="http://schemas.openxmlformats.org/officeDocument/2006/relationships/hyperlink" Target="https://doi.org/10.48550/arxiv.2304.05372" TargetMode="External"/><Relationship Id="rId44" Type="http://schemas.openxmlformats.org/officeDocument/2006/relationships/hyperlink" Target="https://doi.org/10.1080/15700763.2020.1734630" TargetMode="External"/><Relationship Id="rId52" Type="http://schemas.openxmlformats.org/officeDocument/2006/relationships/hyperlink" Target="https://doi.org/10.1080/09243453.2025.246364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iadnewarmoes/Downloads/educati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502a12-e106-41ac-8eed-06e7540601f5">
      <Terms xmlns="http://schemas.microsoft.com/office/infopath/2007/PartnerControls"/>
    </lcf76f155ced4ddcb4097134ff3c332f>
    <TaxCatchAll xmlns="27eebdaa-f0f7-437f-a53b-e6fb4965fb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1820C2588A324FAE06D2A7F95EF779" ma:contentTypeVersion="18" ma:contentTypeDescription="Een nieuw document maken." ma:contentTypeScope="" ma:versionID="fcff416e314bc077edcddbdfab3fa3d9">
  <xsd:schema xmlns:xsd="http://www.w3.org/2001/XMLSchema" xmlns:xs="http://www.w3.org/2001/XMLSchema" xmlns:p="http://schemas.microsoft.com/office/2006/metadata/properties" xmlns:ns2="7a502a12-e106-41ac-8eed-06e7540601f5" xmlns:ns3="27eebdaa-f0f7-437f-a53b-e6fb4965fb68" targetNamespace="http://schemas.microsoft.com/office/2006/metadata/properties" ma:root="true" ma:fieldsID="093179dfa590d05b228097487bfccb08" ns2:_="" ns3:_="">
    <xsd:import namespace="7a502a12-e106-41ac-8eed-06e7540601f5"/>
    <xsd:import namespace="27eebdaa-f0f7-437f-a53b-e6fb4965fb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2a12-e106-41ac-8eed-06e754060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bdaa-f0f7-437f-a53b-e6fb4965fb6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aeaa8e4-073f-4652-b5dd-8eda500fbed6}" ma:internalName="TaxCatchAll" ma:showField="CatchAllData" ma:web="27eebdaa-f0f7-437f-a53b-e6fb4965f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316C9-2FDE-4647-8380-447592F8D910}">
  <ds:schemaRefs>
    <ds:schemaRef ds:uri="http://schemas.microsoft.com/office/2006/metadata/properties"/>
    <ds:schemaRef ds:uri="http://schemas.microsoft.com/office/infopath/2007/PartnerControls"/>
    <ds:schemaRef ds:uri="7a502a12-e106-41ac-8eed-06e7540601f5"/>
    <ds:schemaRef ds:uri="27eebdaa-f0f7-437f-a53b-e6fb4965fb68"/>
  </ds:schemaRefs>
</ds:datastoreItem>
</file>

<file path=customXml/itemProps2.xml><?xml version="1.0" encoding="utf-8"?>
<ds:datastoreItem xmlns:ds="http://schemas.openxmlformats.org/officeDocument/2006/customXml" ds:itemID="{12AD40E9-984B-4C7F-9F41-F178430B2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2a12-e106-41ac-8eed-06e7540601f5"/>
    <ds:schemaRef ds:uri="27eebdaa-f0f7-437f-a53b-e6fb4965f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EBEA3-F40D-43A7-A9CB-E8E1D6615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education-template.dot</Template>
  <TotalTime>8</TotalTime>
  <Pages>19</Pages>
  <Words>10242</Words>
  <Characters>56335</Characters>
  <Application>Microsoft Office Word</Application>
  <DocSecurity>0</DocSecurity>
  <Lines>469</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66445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Ariadne Warmoes</cp:lastModifiedBy>
  <cp:revision>17</cp:revision>
  <cp:lastPrinted>2025-01-31T15:45:00Z</cp:lastPrinted>
  <dcterms:created xsi:type="dcterms:W3CDTF">2025-02-27T17:53:00Z</dcterms:created>
  <dcterms:modified xsi:type="dcterms:W3CDTF">2025-03-05T09:08:00Z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0x010100FD1820C2588A324FAE06D2A7F95EF779</vt:lpwstr>
  </property>
  <property fmtid="{D5CDD505-2E9C-101B-9397-08002B2CF9AE}" pid="3" name="MediaServiceImageTags">
    <vt:lpwstr/>
  </property>
</Properties>
</file>