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ADC7" w14:textId="77777777" w:rsidR="00D9232C" w:rsidRPr="0074390A" w:rsidRDefault="00D9232C" w:rsidP="00D9232C">
      <w:pPr>
        <w:spacing w:line="480" w:lineRule="auto"/>
        <w:jc w:val="center"/>
        <w:rPr>
          <w:rFonts w:ascii="Times New Roman" w:hAnsi="Times New Roman" w:cs="Times New Roman"/>
          <w:b/>
          <w:bCs/>
        </w:rPr>
      </w:pPr>
      <w:r w:rsidRPr="0074390A">
        <w:rPr>
          <w:rFonts w:ascii="Times New Roman" w:hAnsi="Times New Roman" w:cs="Times New Roman"/>
          <w:b/>
          <w:bCs/>
        </w:rPr>
        <w:t>Bone Mineral Density and Cardiovascular Diseases: A Two-sample Mendelian Randomization Study</w:t>
      </w:r>
    </w:p>
    <w:p w14:paraId="16187420" w14:textId="179A44F9" w:rsidR="00D9232C" w:rsidRPr="0074390A" w:rsidRDefault="00D9232C" w:rsidP="00D9232C">
      <w:pPr>
        <w:pStyle w:val="NormalWeb"/>
        <w:spacing w:line="480" w:lineRule="auto"/>
        <w:jc w:val="both"/>
      </w:pPr>
      <w:r w:rsidRPr="0074390A">
        <w:t>Ahmed M. Salih (MSc, PhD)</w:t>
      </w:r>
      <w:r w:rsidRPr="0074390A">
        <w:rPr>
          <w:vertAlign w:val="superscript"/>
        </w:rPr>
        <w:t>1,2,3,4*</w:t>
      </w:r>
      <w:r w:rsidRPr="0074390A">
        <w:t>, Dorina-Gabriela Condurache (MBBS)</w:t>
      </w:r>
      <w:r w:rsidRPr="0074390A">
        <w:rPr>
          <w:vertAlign w:val="superscript"/>
        </w:rPr>
        <w:t>1,4*</w:t>
      </w:r>
      <w:r w:rsidRPr="0074390A">
        <w:t>, Stefania D’Angelo (MSc)</w:t>
      </w:r>
      <w:r w:rsidRPr="0074390A">
        <w:rPr>
          <w:vertAlign w:val="superscript"/>
        </w:rPr>
        <w:t>5</w:t>
      </w:r>
      <w:r w:rsidRPr="0074390A">
        <w:t>, Elizabeth M. Curtis (MBBS, PhD)</w:t>
      </w:r>
      <w:r w:rsidRPr="0074390A">
        <w:rPr>
          <w:vertAlign w:val="superscript"/>
        </w:rPr>
        <w:t>5,6</w:t>
      </w:r>
      <w:r w:rsidRPr="0074390A">
        <w:t>, Steffen E. Petersen (MSc, MPH, MD, DPhil)</w:t>
      </w:r>
      <w:r w:rsidRPr="0074390A">
        <w:rPr>
          <w:vertAlign w:val="superscript"/>
        </w:rPr>
        <w:t>1,4</w:t>
      </w:r>
      <w:r w:rsidRPr="0074390A">
        <w:t>, Andre Altmann (MSc, PhD)</w:t>
      </w:r>
      <w:r w:rsidRPr="0074390A">
        <w:rPr>
          <w:vertAlign w:val="superscript"/>
        </w:rPr>
        <w:t>7</w:t>
      </w:r>
      <w:r w:rsidRPr="0074390A">
        <w:t>, Nicholas C. Harvey (MBBChir, PhD)</w:t>
      </w:r>
      <w:r w:rsidRPr="0074390A">
        <w:rPr>
          <w:vertAlign w:val="superscript"/>
        </w:rPr>
        <w:t>†5,6</w:t>
      </w:r>
      <w:r w:rsidRPr="0074390A">
        <w:t>, Zahra Raisi-Estabragh (MBChB, PhD)</w:t>
      </w:r>
      <w:r w:rsidRPr="0074390A">
        <w:rPr>
          <w:vertAlign w:val="superscript"/>
        </w:rPr>
        <w:t>†1,4</w:t>
      </w:r>
    </w:p>
    <w:p w14:paraId="432BB861" w14:textId="77777777" w:rsidR="00D9232C" w:rsidRPr="0074390A" w:rsidRDefault="00D9232C" w:rsidP="00D9232C">
      <w:pPr>
        <w:pStyle w:val="ListParagraph"/>
        <w:numPr>
          <w:ilvl w:val="0"/>
          <w:numId w:val="1"/>
        </w:numPr>
        <w:spacing w:line="480" w:lineRule="auto"/>
        <w:jc w:val="both"/>
        <w:rPr>
          <w:rFonts w:ascii="Times New Roman" w:hAnsi="Times New Roman" w:cs="Times New Roman"/>
          <w:color w:val="000000" w:themeColor="text1"/>
        </w:rPr>
      </w:pPr>
      <w:r w:rsidRPr="0074390A">
        <w:rPr>
          <w:rFonts w:ascii="Times New Roman" w:hAnsi="Times New Roman" w:cs="Times New Roman"/>
        </w:rPr>
        <w:t xml:space="preserve">William Harvey Research Institute, NIHR Barts Biomedical Research Centre, Queen Mary </w:t>
      </w:r>
      <w:r w:rsidRPr="0074390A">
        <w:rPr>
          <w:rFonts w:ascii="Times New Roman" w:hAnsi="Times New Roman" w:cs="Times New Roman"/>
          <w:color w:val="000000" w:themeColor="text1"/>
        </w:rPr>
        <w:t>University of London, Charterhouse Square, London, EC1M 6BQ, UK </w:t>
      </w:r>
    </w:p>
    <w:p w14:paraId="7F4D4963" w14:textId="77777777" w:rsidR="00D9232C" w:rsidRPr="0074390A" w:rsidRDefault="00D9232C" w:rsidP="00D9232C">
      <w:pPr>
        <w:pStyle w:val="ListParagraph"/>
        <w:numPr>
          <w:ilvl w:val="0"/>
          <w:numId w:val="1"/>
        </w:numPr>
        <w:spacing w:line="480" w:lineRule="auto"/>
        <w:jc w:val="both"/>
        <w:rPr>
          <w:rFonts w:ascii="Times New Roman" w:hAnsi="Times New Roman" w:cs="Times New Roman"/>
          <w:color w:val="000000" w:themeColor="text1"/>
        </w:rPr>
      </w:pPr>
      <w:r w:rsidRPr="0074390A">
        <w:rPr>
          <w:rFonts w:ascii="Times New Roman" w:hAnsi="Times New Roman" w:cs="Times New Roman"/>
          <w:color w:val="000000" w:themeColor="text1"/>
        </w:rPr>
        <w:t>Department of Population Health Sciences, University of Leicester, Leicester, UK</w:t>
      </w:r>
    </w:p>
    <w:p w14:paraId="5305473C" w14:textId="16D9CF2D" w:rsidR="00D9232C" w:rsidRPr="0074390A" w:rsidRDefault="00A05F00" w:rsidP="00D9232C">
      <w:pPr>
        <w:pStyle w:val="ListParagraph"/>
        <w:numPr>
          <w:ilvl w:val="0"/>
          <w:numId w:val="1"/>
        </w:numPr>
        <w:spacing w:line="480" w:lineRule="auto"/>
        <w:jc w:val="both"/>
        <w:rPr>
          <w:rFonts w:ascii="Times New Roman" w:hAnsi="Times New Roman" w:cs="Times New Roman"/>
          <w:color w:val="000000" w:themeColor="text1"/>
        </w:rPr>
      </w:pPr>
      <w:r w:rsidRPr="0074390A">
        <w:rPr>
          <w:rFonts w:ascii="Times New Roman" w:hAnsi="Times New Roman" w:cs="Times New Roman"/>
          <w:color w:val="000000" w:themeColor="text1"/>
        </w:rPr>
        <w:t>PRIME Lab</w:t>
      </w:r>
      <w:r w:rsidR="00D9232C" w:rsidRPr="0074390A">
        <w:rPr>
          <w:rFonts w:ascii="Times New Roman" w:hAnsi="Times New Roman" w:cs="Times New Roman"/>
          <w:color w:val="000000" w:themeColor="text1"/>
        </w:rPr>
        <w:t xml:space="preserve">, </w:t>
      </w:r>
      <w:r w:rsidRPr="0074390A">
        <w:rPr>
          <w:rFonts w:ascii="Times New Roman" w:hAnsi="Times New Roman" w:cs="Times New Roman"/>
          <w:color w:val="000000" w:themeColor="text1"/>
        </w:rPr>
        <w:t xml:space="preserve">Scientific Research </w:t>
      </w:r>
      <w:proofErr w:type="spellStart"/>
      <w:r w:rsidRPr="0074390A">
        <w:rPr>
          <w:rFonts w:ascii="Times New Roman" w:hAnsi="Times New Roman" w:cs="Times New Roman"/>
          <w:color w:val="000000" w:themeColor="text1"/>
        </w:rPr>
        <w:t>Center</w:t>
      </w:r>
      <w:proofErr w:type="spellEnd"/>
      <w:r w:rsidRPr="0074390A">
        <w:rPr>
          <w:rFonts w:ascii="Times New Roman" w:hAnsi="Times New Roman" w:cs="Times New Roman"/>
          <w:color w:val="000000" w:themeColor="text1"/>
        </w:rPr>
        <w:t>,</w:t>
      </w:r>
      <w:r w:rsidR="00D9232C" w:rsidRPr="0074390A">
        <w:rPr>
          <w:rFonts w:ascii="Times New Roman" w:hAnsi="Times New Roman" w:cs="Times New Roman"/>
          <w:color w:val="000000" w:themeColor="text1"/>
        </w:rPr>
        <w:t xml:space="preserve"> University of </w:t>
      </w:r>
      <w:proofErr w:type="spellStart"/>
      <w:r w:rsidR="00D9232C" w:rsidRPr="0074390A">
        <w:rPr>
          <w:rFonts w:ascii="Times New Roman" w:hAnsi="Times New Roman" w:cs="Times New Roman"/>
          <w:color w:val="000000" w:themeColor="text1"/>
        </w:rPr>
        <w:t>Zakho</w:t>
      </w:r>
      <w:proofErr w:type="spellEnd"/>
      <w:r w:rsidR="00D9232C" w:rsidRPr="0074390A">
        <w:rPr>
          <w:rFonts w:ascii="Times New Roman" w:hAnsi="Times New Roman" w:cs="Times New Roman"/>
          <w:color w:val="000000" w:themeColor="text1"/>
        </w:rPr>
        <w:t xml:space="preserve">, </w:t>
      </w:r>
      <w:proofErr w:type="spellStart"/>
      <w:r w:rsidR="00D9232C" w:rsidRPr="0074390A">
        <w:rPr>
          <w:rFonts w:ascii="Times New Roman" w:hAnsi="Times New Roman" w:cs="Times New Roman"/>
          <w:color w:val="000000" w:themeColor="text1"/>
        </w:rPr>
        <w:t>Zakho</w:t>
      </w:r>
      <w:proofErr w:type="spellEnd"/>
      <w:r w:rsidR="00D9232C" w:rsidRPr="0074390A">
        <w:rPr>
          <w:rFonts w:ascii="Times New Roman" w:hAnsi="Times New Roman" w:cs="Times New Roman"/>
          <w:color w:val="000000" w:themeColor="text1"/>
        </w:rPr>
        <w:t>, Kurdistan Region, Iraq</w:t>
      </w:r>
    </w:p>
    <w:p w14:paraId="0C8AB4C6" w14:textId="77777777" w:rsidR="00D9232C" w:rsidRPr="0074390A" w:rsidRDefault="00D9232C" w:rsidP="00D9232C">
      <w:pPr>
        <w:pStyle w:val="ListParagraph"/>
        <w:numPr>
          <w:ilvl w:val="0"/>
          <w:numId w:val="1"/>
        </w:numPr>
        <w:spacing w:line="480" w:lineRule="auto"/>
        <w:jc w:val="both"/>
        <w:rPr>
          <w:rFonts w:ascii="Times New Roman" w:hAnsi="Times New Roman" w:cs="Times New Roman"/>
          <w:color w:val="000000" w:themeColor="text1"/>
        </w:rPr>
      </w:pPr>
      <w:r w:rsidRPr="0074390A">
        <w:rPr>
          <w:rFonts w:ascii="Times New Roman" w:hAnsi="Times New Roman" w:cs="Times New Roman"/>
          <w:color w:val="000000" w:themeColor="text1"/>
        </w:rPr>
        <w:t>Barts Heart Centre, St Bartholomew’s Hospital, Barts Health NHS Trust, West Smithfield, EC1A 7BE, London, UK</w:t>
      </w:r>
    </w:p>
    <w:p w14:paraId="4045B997" w14:textId="77777777" w:rsidR="00D9232C" w:rsidRPr="0074390A" w:rsidRDefault="00D9232C" w:rsidP="00D9232C">
      <w:pPr>
        <w:pStyle w:val="ListParagraph"/>
        <w:numPr>
          <w:ilvl w:val="0"/>
          <w:numId w:val="1"/>
        </w:numPr>
        <w:spacing w:line="480" w:lineRule="auto"/>
        <w:jc w:val="both"/>
        <w:rPr>
          <w:rFonts w:ascii="Times New Roman" w:hAnsi="Times New Roman" w:cs="Times New Roman"/>
          <w:color w:val="000000" w:themeColor="text1"/>
        </w:rPr>
      </w:pPr>
      <w:r w:rsidRPr="0074390A">
        <w:rPr>
          <w:rFonts w:ascii="Times New Roman" w:hAnsi="Times New Roman" w:cs="Times New Roman"/>
          <w:color w:val="000000" w:themeColor="text1"/>
        </w:rPr>
        <w:t>MRC Lifecourse Epidemiology Centre, University of Southampton, Southampton, SO16 6YD, UK</w:t>
      </w:r>
    </w:p>
    <w:p w14:paraId="7FA8220A" w14:textId="77777777" w:rsidR="00756AF9" w:rsidRDefault="00D9232C" w:rsidP="00756AF9">
      <w:pPr>
        <w:pStyle w:val="ListParagraph"/>
        <w:numPr>
          <w:ilvl w:val="0"/>
          <w:numId w:val="1"/>
        </w:numPr>
        <w:spacing w:line="480" w:lineRule="auto"/>
        <w:jc w:val="both"/>
        <w:rPr>
          <w:rFonts w:ascii="Times New Roman" w:hAnsi="Times New Roman" w:cs="Times New Roman"/>
        </w:rPr>
      </w:pPr>
      <w:r w:rsidRPr="0074390A">
        <w:rPr>
          <w:rFonts w:ascii="Times New Roman" w:hAnsi="Times New Roman" w:cs="Times New Roman"/>
          <w:color w:val="000000" w:themeColor="text1"/>
        </w:rPr>
        <w:t xml:space="preserve">NIHR Southampton </w:t>
      </w:r>
      <w:r w:rsidRPr="0074390A">
        <w:rPr>
          <w:rFonts w:ascii="Times New Roman" w:hAnsi="Times New Roman" w:cs="Times New Roman"/>
        </w:rPr>
        <w:t>Biomedical Research Centre, University of Southampton and University Hospital Southampton NHS Foundation Trust, Southampton, UK</w:t>
      </w:r>
    </w:p>
    <w:p w14:paraId="5180FAF5" w14:textId="4C129342" w:rsidR="00756AF9" w:rsidRPr="00756AF9" w:rsidRDefault="00756AF9" w:rsidP="00756AF9">
      <w:pPr>
        <w:pStyle w:val="ListParagraph"/>
        <w:numPr>
          <w:ilvl w:val="0"/>
          <w:numId w:val="1"/>
        </w:numPr>
        <w:spacing w:line="480" w:lineRule="auto"/>
        <w:jc w:val="both"/>
        <w:rPr>
          <w:rStyle w:val="normaltextrun"/>
          <w:rFonts w:ascii="Times New Roman" w:hAnsi="Times New Roman" w:cs="Times New Roman"/>
        </w:rPr>
      </w:pPr>
      <w:r w:rsidRPr="00756AF9">
        <w:rPr>
          <w:rStyle w:val="normaltextrun"/>
          <w:rFonts w:ascii="Times New Roman" w:hAnsi="Times New Roman" w:cs="Times New Roman"/>
          <w:color w:val="000000"/>
          <w:shd w:val="clear" w:color="auto" w:fill="FFFFFF"/>
          <w:lang w:val="en-US"/>
        </w:rPr>
        <w:t>The UCL Hawkes Institute, Department of Medical Physics and Biomedical Engineering, University College London, London, United Kingdom</w:t>
      </w:r>
      <w:r w:rsidRPr="00756AF9">
        <w:rPr>
          <w:rStyle w:val="eop"/>
          <w:rFonts w:ascii="Times New Roman" w:hAnsi="Times New Roman" w:cs="Times New Roman"/>
          <w:color w:val="000000"/>
          <w:shd w:val="clear" w:color="auto" w:fill="FFFFFF"/>
        </w:rPr>
        <w:t> </w:t>
      </w:r>
    </w:p>
    <w:p w14:paraId="45CDFF8B" w14:textId="77777777" w:rsidR="00D9232C" w:rsidRPr="0074390A" w:rsidRDefault="00D9232C" w:rsidP="00D9232C">
      <w:pPr>
        <w:spacing w:line="480" w:lineRule="auto"/>
        <w:rPr>
          <w:rFonts w:ascii="Times New Roman" w:hAnsi="Times New Roman" w:cs="Times New Roman"/>
        </w:rPr>
      </w:pPr>
    </w:p>
    <w:p w14:paraId="0AD1492C" w14:textId="77777777" w:rsidR="00D9232C" w:rsidRPr="0074390A" w:rsidRDefault="00D9232C" w:rsidP="00D9232C">
      <w:pPr>
        <w:spacing w:line="480" w:lineRule="auto"/>
        <w:rPr>
          <w:rFonts w:ascii="Times New Roman" w:hAnsi="Times New Roman" w:cs="Times New Roman"/>
          <w:b/>
          <w:bCs/>
        </w:rPr>
      </w:pPr>
      <w:r w:rsidRPr="0074390A">
        <w:rPr>
          <w:rFonts w:ascii="Times New Roman" w:hAnsi="Times New Roman" w:cs="Times New Roman"/>
          <w:b/>
          <w:bCs/>
        </w:rPr>
        <w:t xml:space="preserve">Address for correspondence: </w:t>
      </w:r>
      <w:r w:rsidRPr="0074390A">
        <w:rPr>
          <w:rFonts w:ascii="Times New Roman" w:hAnsi="Times New Roman" w:cs="Times New Roman"/>
        </w:rPr>
        <w:t>Dr Zahra Raisi-Estabragh. William Harvey Research Institute, NIHR Barts Biomedical Research Centre, Queen Mary University of London, Charterhouse Square, London, EC1M 6BQ. E-mail: zahraraisi@doctors.org.uk, Tel: +44(20) 37658766</w:t>
      </w:r>
    </w:p>
    <w:p w14:paraId="19F0D003" w14:textId="77777777" w:rsidR="00D9232C" w:rsidRPr="0074390A" w:rsidRDefault="00D9232C" w:rsidP="00D9232C">
      <w:pPr>
        <w:spacing w:line="480" w:lineRule="auto"/>
        <w:rPr>
          <w:rFonts w:ascii="Times New Roman" w:hAnsi="Times New Roman" w:cs="Times New Roman"/>
          <w:b/>
          <w:bCs/>
        </w:rPr>
      </w:pPr>
    </w:p>
    <w:p w14:paraId="4668D151" w14:textId="07095F99" w:rsidR="00D9232C" w:rsidRPr="0074390A" w:rsidRDefault="00D9232C" w:rsidP="00D9232C">
      <w:pPr>
        <w:spacing w:line="480" w:lineRule="auto"/>
        <w:rPr>
          <w:rFonts w:ascii="Times New Roman" w:hAnsi="Times New Roman" w:cs="Times New Roman"/>
        </w:rPr>
      </w:pPr>
      <w:r w:rsidRPr="0074390A">
        <w:rPr>
          <w:rFonts w:ascii="Times New Roman" w:hAnsi="Times New Roman" w:cs="Times New Roman"/>
          <w:b/>
          <w:bCs/>
        </w:rPr>
        <w:lastRenderedPageBreak/>
        <w:t>Key Words:</w:t>
      </w:r>
      <w:r w:rsidRPr="0074390A">
        <w:rPr>
          <w:rFonts w:ascii="Times New Roman" w:hAnsi="Times New Roman" w:cs="Times New Roman"/>
        </w:rPr>
        <w:t xml:space="preserve"> </w:t>
      </w:r>
      <w:r w:rsidR="00A05F00" w:rsidRPr="0074390A">
        <w:rPr>
          <w:rFonts w:ascii="Times New Roman" w:hAnsi="Times New Roman" w:cs="Times New Roman"/>
        </w:rPr>
        <w:t>C</w:t>
      </w:r>
      <w:r w:rsidRPr="0074390A">
        <w:rPr>
          <w:rFonts w:ascii="Times New Roman" w:hAnsi="Times New Roman" w:cs="Times New Roman"/>
        </w:rPr>
        <w:t>ardiovascular diseases, osteoporosis, Mendelian randomization, genome-wide association study, bone mineral density, causality</w:t>
      </w:r>
    </w:p>
    <w:p w14:paraId="63C8ECD1" w14:textId="77777777" w:rsidR="00D9232C" w:rsidRPr="0074390A" w:rsidRDefault="00D9232C" w:rsidP="00D9232C">
      <w:pPr>
        <w:spacing w:line="480" w:lineRule="auto"/>
        <w:rPr>
          <w:rFonts w:ascii="Times New Roman" w:hAnsi="Times New Roman" w:cs="Times New Roman"/>
        </w:rPr>
      </w:pPr>
    </w:p>
    <w:p w14:paraId="2E3208CF" w14:textId="77777777" w:rsidR="00D9232C" w:rsidRPr="0074390A" w:rsidRDefault="00D9232C" w:rsidP="00D9232C">
      <w:pPr>
        <w:spacing w:line="480" w:lineRule="auto"/>
        <w:jc w:val="both"/>
        <w:rPr>
          <w:rFonts w:ascii="Times New Roman" w:hAnsi="Times New Roman" w:cs="Times New Roman"/>
        </w:rPr>
      </w:pPr>
      <w:r w:rsidRPr="0074390A">
        <w:rPr>
          <w:rFonts w:ascii="Times New Roman" w:hAnsi="Times New Roman" w:cs="Times New Roman"/>
        </w:rPr>
        <w:t>*AMS and DGC are joint first authors</w:t>
      </w:r>
    </w:p>
    <w:p w14:paraId="5088C2D7" w14:textId="77777777" w:rsidR="00D9232C" w:rsidRPr="0074390A" w:rsidRDefault="00D9232C" w:rsidP="00D9232C">
      <w:pPr>
        <w:spacing w:line="480" w:lineRule="auto"/>
        <w:jc w:val="both"/>
        <w:rPr>
          <w:rFonts w:ascii="Times New Roman" w:hAnsi="Times New Roman" w:cs="Times New Roman"/>
        </w:rPr>
      </w:pPr>
      <w:r w:rsidRPr="0074390A">
        <w:rPr>
          <w:rFonts w:ascii="Times New Roman" w:hAnsi="Times New Roman" w:cs="Times New Roman"/>
          <w:vertAlign w:val="superscript"/>
        </w:rPr>
        <w:t>†</w:t>
      </w:r>
      <w:r w:rsidRPr="0074390A">
        <w:rPr>
          <w:rFonts w:ascii="Times New Roman" w:hAnsi="Times New Roman" w:cs="Times New Roman"/>
        </w:rPr>
        <w:t xml:space="preserve">NCH and ZRE jointly supervised this work </w:t>
      </w:r>
    </w:p>
    <w:p w14:paraId="29A7A38C" w14:textId="77777777" w:rsidR="00D9232C" w:rsidRPr="0074390A" w:rsidRDefault="00D9232C" w:rsidP="00D9232C">
      <w:pPr>
        <w:spacing w:line="480" w:lineRule="auto"/>
        <w:rPr>
          <w:rFonts w:ascii="Times New Roman" w:hAnsi="Times New Roman" w:cs="Times New Roman"/>
        </w:rPr>
      </w:pPr>
    </w:p>
    <w:p w14:paraId="1F3A0BDA" w14:textId="77777777" w:rsidR="00D9232C" w:rsidRPr="0074390A" w:rsidRDefault="00D9232C" w:rsidP="00D9232C">
      <w:pPr>
        <w:spacing w:line="480" w:lineRule="auto"/>
        <w:rPr>
          <w:rFonts w:ascii="Times New Roman" w:hAnsi="Times New Roman" w:cs="Times New Roman"/>
        </w:rPr>
      </w:pPr>
    </w:p>
    <w:p w14:paraId="10E56372" w14:textId="77777777" w:rsidR="00D9232C" w:rsidRPr="0074390A" w:rsidRDefault="00D9232C" w:rsidP="00D9232C">
      <w:pPr>
        <w:spacing w:line="480" w:lineRule="auto"/>
        <w:rPr>
          <w:rFonts w:ascii="Times New Roman" w:hAnsi="Times New Roman" w:cs="Times New Roman"/>
        </w:rPr>
      </w:pPr>
    </w:p>
    <w:p w14:paraId="4B24B733" w14:textId="77777777" w:rsidR="00D9232C" w:rsidRPr="0074390A" w:rsidRDefault="00D9232C" w:rsidP="00D9232C">
      <w:pPr>
        <w:spacing w:line="480" w:lineRule="auto"/>
        <w:rPr>
          <w:rFonts w:ascii="Times New Roman" w:hAnsi="Times New Roman" w:cs="Times New Roman"/>
        </w:rPr>
      </w:pPr>
    </w:p>
    <w:p w14:paraId="5A94EE80" w14:textId="77777777" w:rsidR="00D9232C" w:rsidRPr="0074390A" w:rsidRDefault="00D9232C" w:rsidP="00D9232C">
      <w:pPr>
        <w:spacing w:line="480" w:lineRule="auto"/>
        <w:rPr>
          <w:rFonts w:ascii="Times New Roman" w:hAnsi="Times New Roman" w:cs="Times New Roman"/>
        </w:rPr>
      </w:pPr>
    </w:p>
    <w:p w14:paraId="1E8E8F93" w14:textId="77777777" w:rsidR="00D9232C" w:rsidRPr="0074390A" w:rsidRDefault="00D9232C" w:rsidP="008E4C89">
      <w:pPr>
        <w:spacing w:line="480" w:lineRule="auto"/>
        <w:rPr>
          <w:rFonts w:ascii="Times New Roman" w:hAnsi="Times New Roman" w:cs="Times New Roman"/>
        </w:rPr>
      </w:pPr>
      <w:r w:rsidRPr="0074390A">
        <w:rPr>
          <w:rFonts w:ascii="Times New Roman" w:hAnsi="Times New Roman" w:cs="Times New Roman"/>
        </w:rPr>
        <w:br w:type="page"/>
      </w:r>
    </w:p>
    <w:p w14:paraId="2E3A4085" w14:textId="43CE7FCB" w:rsidR="00C75F87" w:rsidRPr="0074390A" w:rsidRDefault="00D9232C" w:rsidP="00BB0E7B">
      <w:pPr>
        <w:spacing w:line="360" w:lineRule="auto"/>
        <w:rPr>
          <w:rFonts w:ascii="Times New Roman" w:hAnsi="Times New Roman" w:cs="Times New Roman"/>
          <w:b/>
          <w:bCs/>
        </w:rPr>
      </w:pPr>
      <w:r w:rsidRPr="0074390A">
        <w:rPr>
          <w:rFonts w:ascii="Times New Roman" w:hAnsi="Times New Roman" w:cs="Times New Roman"/>
          <w:b/>
          <w:bCs/>
        </w:rPr>
        <w:lastRenderedPageBreak/>
        <w:t>Unstructured abstract</w:t>
      </w:r>
    </w:p>
    <w:p w14:paraId="5A8B0939" w14:textId="77777777" w:rsidR="00D9232C" w:rsidRPr="0074390A" w:rsidRDefault="00D9232C" w:rsidP="00BB0E7B">
      <w:pPr>
        <w:spacing w:line="360" w:lineRule="auto"/>
        <w:rPr>
          <w:rFonts w:ascii="Times New Roman" w:hAnsi="Times New Roman" w:cs="Times New Roman"/>
          <w:b/>
          <w:bCs/>
        </w:rPr>
      </w:pPr>
    </w:p>
    <w:p w14:paraId="169EC2B8" w14:textId="6684E432" w:rsidR="00D9232C" w:rsidRPr="0074390A" w:rsidRDefault="00D9232C" w:rsidP="00BB0E7B">
      <w:pPr>
        <w:spacing w:line="360" w:lineRule="auto"/>
        <w:rPr>
          <w:rFonts w:ascii="Times New Roman" w:hAnsi="Times New Roman" w:cs="Times New Roman"/>
        </w:rPr>
      </w:pPr>
      <w:r w:rsidRPr="0074390A">
        <w:rPr>
          <w:rFonts w:ascii="Times New Roman" w:hAnsi="Times New Roman" w:cs="Times New Roman"/>
        </w:rPr>
        <w:t xml:space="preserve">The link between bone </w:t>
      </w:r>
      <w:r w:rsidR="00281FAA" w:rsidRPr="0074390A">
        <w:rPr>
          <w:rFonts w:ascii="Times New Roman" w:hAnsi="Times New Roman" w:cs="Times New Roman"/>
        </w:rPr>
        <w:t xml:space="preserve">mineral density (BMD) and cardiovascular disease (CVD) remains a topic </w:t>
      </w:r>
      <w:r w:rsidR="003B304E" w:rsidRPr="0074390A">
        <w:rPr>
          <w:rFonts w:ascii="Times New Roman" w:hAnsi="Times New Roman" w:cs="Times New Roman"/>
        </w:rPr>
        <w:t xml:space="preserve">of extensive debate in observational studies, with inconsistent reports regarding the causality of this relationship. This study implements robust methodologies to evaluate the causal relationship between BMD and </w:t>
      </w:r>
      <w:r w:rsidR="00D7600F" w:rsidRPr="0074390A">
        <w:rPr>
          <w:rFonts w:ascii="Times New Roman" w:hAnsi="Times New Roman" w:cs="Times New Roman"/>
        </w:rPr>
        <w:t>various</w:t>
      </w:r>
      <w:r w:rsidR="003B304E" w:rsidRPr="0074390A">
        <w:rPr>
          <w:rFonts w:ascii="Times New Roman" w:hAnsi="Times New Roman" w:cs="Times New Roman"/>
        </w:rPr>
        <w:t xml:space="preserve"> CVDs.</w:t>
      </w:r>
    </w:p>
    <w:p w14:paraId="609C52F6" w14:textId="77777777" w:rsidR="003B304E" w:rsidRPr="0074390A" w:rsidRDefault="003B304E" w:rsidP="00BB0E7B">
      <w:pPr>
        <w:spacing w:line="360" w:lineRule="auto"/>
        <w:rPr>
          <w:rFonts w:ascii="Times New Roman" w:hAnsi="Times New Roman" w:cs="Times New Roman"/>
        </w:rPr>
      </w:pPr>
    </w:p>
    <w:p w14:paraId="4E2A44B6" w14:textId="76619D34" w:rsidR="003B304E" w:rsidRPr="0074390A" w:rsidRDefault="003B304E" w:rsidP="00BB0E7B">
      <w:pPr>
        <w:spacing w:line="360" w:lineRule="auto"/>
        <w:rPr>
          <w:rFonts w:ascii="Times New Roman" w:hAnsi="Times New Roman" w:cs="Times New Roman"/>
        </w:rPr>
      </w:pPr>
      <w:r w:rsidRPr="0074390A">
        <w:rPr>
          <w:rFonts w:ascii="Times New Roman" w:hAnsi="Times New Roman" w:cs="Times New Roman"/>
        </w:rPr>
        <w:t xml:space="preserve">Two sample Mendelian Randomization (MR) method was used to estimate the </w:t>
      </w:r>
      <w:r w:rsidR="00C605B3" w:rsidRPr="0074390A">
        <w:rPr>
          <w:rFonts w:ascii="Times New Roman" w:hAnsi="Times New Roman" w:cs="Times New Roman"/>
        </w:rPr>
        <w:t xml:space="preserve">relationship between genetically predicted BMD and seven key CVDs: atrial fibrillation and flutter, angina, ischemic heart disease, heart failure, hypertension, myocardial infarction, and non-ischemic cardiomyopathy. Data were obtained from independent publicly available genome-wide association studies </w:t>
      </w:r>
      <w:r w:rsidR="00D51BFB" w:rsidRPr="0074390A">
        <w:rPr>
          <w:rFonts w:ascii="Times New Roman" w:hAnsi="Times New Roman" w:cs="Times New Roman"/>
        </w:rPr>
        <w:t xml:space="preserve">(GWAS) </w:t>
      </w:r>
      <w:r w:rsidR="00C605B3" w:rsidRPr="0074390A">
        <w:rPr>
          <w:rFonts w:ascii="Times New Roman" w:hAnsi="Times New Roman" w:cs="Times New Roman"/>
        </w:rPr>
        <w:t>for BMD and CVDs</w:t>
      </w:r>
      <w:r w:rsidR="00D7600F" w:rsidRPr="0074390A">
        <w:rPr>
          <w:rFonts w:ascii="Times New Roman" w:hAnsi="Times New Roman" w:cs="Times New Roman"/>
        </w:rPr>
        <w:t>, using two separate datasets for the cardiovascular outcomes: the UK Biobank cohort (primary analysis) and the FinnGen cohort (validation analysis)</w:t>
      </w:r>
      <w:r w:rsidR="00C605B3" w:rsidRPr="0074390A">
        <w:rPr>
          <w:rFonts w:ascii="Times New Roman" w:hAnsi="Times New Roman" w:cs="Times New Roman"/>
        </w:rPr>
        <w:t xml:space="preserve">. The MR Pleiotropy </w:t>
      </w:r>
      <w:proofErr w:type="spellStart"/>
      <w:r w:rsidR="00C605B3" w:rsidRPr="0074390A">
        <w:rPr>
          <w:rFonts w:ascii="Times New Roman" w:hAnsi="Times New Roman" w:cs="Times New Roman"/>
        </w:rPr>
        <w:t>R</w:t>
      </w:r>
      <w:r w:rsidR="00D51BFB" w:rsidRPr="0074390A">
        <w:rPr>
          <w:rFonts w:ascii="Times New Roman" w:hAnsi="Times New Roman" w:cs="Times New Roman"/>
        </w:rPr>
        <w:t>ES</w:t>
      </w:r>
      <w:r w:rsidR="00C605B3" w:rsidRPr="0074390A">
        <w:rPr>
          <w:rFonts w:ascii="Times New Roman" w:hAnsi="Times New Roman" w:cs="Times New Roman"/>
        </w:rPr>
        <w:t>idual</w:t>
      </w:r>
      <w:proofErr w:type="spellEnd"/>
      <w:r w:rsidR="00C605B3" w:rsidRPr="0074390A">
        <w:rPr>
          <w:rFonts w:ascii="Times New Roman" w:hAnsi="Times New Roman" w:cs="Times New Roman"/>
        </w:rPr>
        <w:t xml:space="preserve"> Sum and Outlier test (MR-PRESSO) assess</w:t>
      </w:r>
      <w:r w:rsidR="00D7600F" w:rsidRPr="0074390A">
        <w:rPr>
          <w:rFonts w:ascii="Times New Roman" w:hAnsi="Times New Roman" w:cs="Times New Roman"/>
        </w:rPr>
        <w:t>ed</w:t>
      </w:r>
      <w:r w:rsidR="00C605B3" w:rsidRPr="0074390A">
        <w:rPr>
          <w:rFonts w:ascii="Times New Roman" w:hAnsi="Times New Roman" w:cs="Times New Roman"/>
        </w:rPr>
        <w:t xml:space="preserve"> the heterogeneity and pleiotropy of selected instrumental variables (IVs). </w:t>
      </w:r>
      <w:r w:rsidR="00C208D4" w:rsidRPr="0074390A">
        <w:rPr>
          <w:rFonts w:ascii="Times New Roman" w:hAnsi="Times New Roman" w:cs="Times New Roman"/>
        </w:rPr>
        <w:t>W</w:t>
      </w:r>
      <w:r w:rsidR="00C605B3" w:rsidRPr="0074390A">
        <w:rPr>
          <w:rFonts w:ascii="Times New Roman" w:hAnsi="Times New Roman" w:cs="Times New Roman"/>
        </w:rPr>
        <w:t>e applied</w:t>
      </w:r>
      <w:r w:rsidR="00C208D4" w:rsidRPr="0074390A">
        <w:rPr>
          <w:rFonts w:ascii="Times New Roman" w:hAnsi="Times New Roman" w:cs="Times New Roman"/>
        </w:rPr>
        <w:t xml:space="preserve"> the</w:t>
      </w:r>
      <w:r w:rsidR="00C605B3" w:rsidRPr="0074390A">
        <w:rPr>
          <w:rFonts w:ascii="Times New Roman" w:hAnsi="Times New Roman" w:cs="Times New Roman"/>
        </w:rPr>
        <w:t xml:space="preserve"> inverse variance weighted model (IVW), weighted median, weighted mode method and MR-Egger regression model</w:t>
      </w:r>
      <w:r w:rsidR="00637924" w:rsidRPr="0074390A">
        <w:rPr>
          <w:rFonts w:ascii="Times New Roman" w:hAnsi="Times New Roman" w:cs="Times New Roman"/>
        </w:rPr>
        <w:t xml:space="preserve"> </w:t>
      </w:r>
      <w:r w:rsidR="00C208D4" w:rsidRPr="0074390A">
        <w:rPr>
          <w:rFonts w:ascii="Times New Roman" w:hAnsi="Times New Roman" w:cs="Times New Roman"/>
        </w:rPr>
        <w:t xml:space="preserve">to estimate causal effects. </w:t>
      </w:r>
    </w:p>
    <w:p w14:paraId="69ABF3BF" w14:textId="77777777" w:rsidR="00C605B3" w:rsidRPr="0074390A" w:rsidRDefault="00C605B3" w:rsidP="00BB0E7B">
      <w:pPr>
        <w:spacing w:line="360" w:lineRule="auto"/>
        <w:rPr>
          <w:rFonts w:ascii="Times New Roman" w:hAnsi="Times New Roman" w:cs="Times New Roman"/>
        </w:rPr>
      </w:pPr>
    </w:p>
    <w:p w14:paraId="17B14A12" w14:textId="25E54550" w:rsidR="00C208D4" w:rsidRPr="0074390A" w:rsidRDefault="00C208D4" w:rsidP="00BB0E7B">
      <w:pPr>
        <w:spacing w:line="360" w:lineRule="auto"/>
        <w:rPr>
          <w:rFonts w:ascii="Times New Roman" w:hAnsi="Times New Roman" w:cs="Times New Roman"/>
        </w:rPr>
      </w:pPr>
      <w:r w:rsidRPr="0074390A">
        <w:rPr>
          <w:rFonts w:ascii="Times New Roman" w:hAnsi="Times New Roman" w:cs="Times New Roman"/>
        </w:rPr>
        <w:t>MR results indicate no relationship between BMD and atrial fibrillation and flutter (IVW, beta-estimate: 0.011, SE: 0.03, p=0.73), angina (IVW, beta-estimate: 0.04, SE: 0.03, p=0.17), chronic ischemic heart disease (IVW, beta-estimate: 0.009, SE: 0.03, p=0.74), heart failure (IVW, beta-estimate: 0.004, SE: 0.04, p=0.</w:t>
      </w:r>
      <w:r w:rsidR="00D7600F" w:rsidRPr="0074390A">
        <w:rPr>
          <w:rFonts w:ascii="Times New Roman" w:hAnsi="Times New Roman" w:cs="Times New Roman"/>
        </w:rPr>
        <w:t>91</w:t>
      </w:r>
      <w:r w:rsidRPr="0074390A">
        <w:rPr>
          <w:rFonts w:ascii="Times New Roman" w:hAnsi="Times New Roman" w:cs="Times New Roman"/>
        </w:rPr>
        <w:t>), hypertension (IVW, beta-estimate: -0.01, SE: 0.01, p=0.44), myocardial infarction (IVW, beta-estimate: 0.02, SE: 0.03, p=0.36), or non-ischemic cardiomyopathy (IVW, beta-estimate: 0.1, SE: 0.08, p=0.2</w:t>
      </w:r>
      <w:r w:rsidR="00D7600F" w:rsidRPr="0074390A">
        <w:rPr>
          <w:rFonts w:ascii="Times New Roman" w:hAnsi="Times New Roman" w:cs="Times New Roman"/>
        </w:rPr>
        <w:t>0</w:t>
      </w:r>
      <w:r w:rsidRPr="0074390A">
        <w:rPr>
          <w:rFonts w:ascii="Times New Roman" w:hAnsi="Times New Roman" w:cs="Times New Roman"/>
        </w:rPr>
        <w:t>). These findings remained consistent across all complementary analyses (MR-Egger, weighted median and weighted mode)</w:t>
      </w:r>
      <w:r w:rsidR="009F5197" w:rsidRPr="0074390A">
        <w:rPr>
          <w:rFonts w:ascii="Times New Roman" w:hAnsi="Times New Roman" w:cs="Times New Roman"/>
        </w:rPr>
        <w:t xml:space="preserve"> and </w:t>
      </w:r>
      <w:r w:rsidR="00710610" w:rsidRPr="0074390A">
        <w:rPr>
          <w:rFonts w:ascii="Times New Roman" w:hAnsi="Times New Roman" w:cs="Times New Roman"/>
        </w:rPr>
        <w:t xml:space="preserve">were </w:t>
      </w:r>
      <w:r w:rsidR="009F5197" w:rsidRPr="0074390A">
        <w:rPr>
          <w:rFonts w:ascii="Times New Roman" w:hAnsi="Times New Roman" w:cs="Times New Roman"/>
        </w:rPr>
        <w:t>validated using the FinnGen cohort</w:t>
      </w:r>
      <w:r w:rsidR="00092B33" w:rsidRPr="0074390A">
        <w:rPr>
          <w:rFonts w:ascii="Times New Roman" w:hAnsi="Times New Roman" w:cs="Times New Roman"/>
        </w:rPr>
        <w:t xml:space="preserve"> GWAS dataset</w:t>
      </w:r>
      <w:r w:rsidR="009F5197" w:rsidRPr="0074390A">
        <w:rPr>
          <w:rFonts w:ascii="Times New Roman" w:hAnsi="Times New Roman" w:cs="Times New Roman"/>
        </w:rPr>
        <w:t xml:space="preserve">. </w:t>
      </w:r>
    </w:p>
    <w:p w14:paraId="6C53D67C" w14:textId="361C720C" w:rsidR="00C208D4" w:rsidRPr="0074390A" w:rsidRDefault="00C208D4" w:rsidP="00BB0E7B">
      <w:pPr>
        <w:spacing w:line="360" w:lineRule="auto"/>
        <w:rPr>
          <w:rFonts w:ascii="Times New Roman" w:hAnsi="Times New Roman" w:cs="Times New Roman"/>
        </w:rPr>
      </w:pPr>
      <w:r w:rsidRPr="0074390A">
        <w:rPr>
          <w:rFonts w:ascii="Times New Roman" w:hAnsi="Times New Roman" w:cs="Times New Roman"/>
        </w:rPr>
        <w:t xml:space="preserve">This comprehensive analysis identified no evidence for a causal link between genetically predicted BMD and a range of </w:t>
      </w:r>
      <w:r w:rsidR="00D51BFB" w:rsidRPr="0074390A">
        <w:rPr>
          <w:rFonts w:ascii="Times New Roman" w:hAnsi="Times New Roman" w:cs="Times New Roman"/>
        </w:rPr>
        <w:t>key</w:t>
      </w:r>
      <w:r w:rsidRPr="0074390A">
        <w:rPr>
          <w:rFonts w:ascii="Times New Roman" w:hAnsi="Times New Roman" w:cs="Times New Roman"/>
        </w:rPr>
        <w:t xml:space="preserve"> CVDs. Previously reported observational associations between bone and cardiovascular health likely represent shared risk factors rather than direct causal mechanisms.</w:t>
      </w:r>
    </w:p>
    <w:p w14:paraId="2232A6D2" w14:textId="77777777" w:rsidR="00C208D4" w:rsidRPr="0074390A" w:rsidRDefault="00C208D4" w:rsidP="00BB0E7B">
      <w:pPr>
        <w:spacing w:line="360" w:lineRule="auto"/>
        <w:rPr>
          <w:rFonts w:ascii="Times New Roman" w:hAnsi="Times New Roman" w:cs="Times New Roman"/>
        </w:rPr>
      </w:pPr>
    </w:p>
    <w:p w14:paraId="3FABEBB2" w14:textId="77777777" w:rsidR="00C208D4" w:rsidRPr="0074390A" w:rsidRDefault="00C208D4" w:rsidP="00BB0E7B">
      <w:pPr>
        <w:spacing w:line="360" w:lineRule="auto"/>
        <w:rPr>
          <w:rFonts w:ascii="Times New Roman" w:hAnsi="Times New Roman" w:cs="Times New Roman"/>
        </w:rPr>
      </w:pPr>
    </w:p>
    <w:p w14:paraId="174A46FC" w14:textId="77777777" w:rsidR="00C208D4" w:rsidRPr="0074390A" w:rsidRDefault="00C208D4" w:rsidP="00BB0E7B">
      <w:pPr>
        <w:spacing w:line="360" w:lineRule="auto"/>
        <w:rPr>
          <w:rFonts w:ascii="Times New Roman" w:hAnsi="Times New Roman" w:cs="Times New Roman"/>
        </w:rPr>
      </w:pPr>
    </w:p>
    <w:p w14:paraId="18F1DF6C" w14:textId="77777777" w:rsidR="009F5197" w:rsidRPr="0074390A" w:rsidRDefault="009F5197" w:rsidP="00BB0E7B">
      <w:pPr>
        <w:spacing w:line="360" w:lineRule="auto"/>
        <w:rPr>
          <w:rFonts w:ascii="Times New Roman" w:hAnsi="Times New Roman" w:cs="Times New Roman"/>
        </w:rPr>
      </w:pPr>
    </w:p>
    <w:p w14:paraId="1CED9A51" w14:textId="77777777" w:rsidR="008E4C89" w:rsidRPr="0074390A" w:rsidRDefault="008E4C89" w:rsidP="00BB0E7B">
      <w:pPr>
        <w:spacing w:line="360" w:lineRule="auto"/>
        <w:rPr>
          <w:rFonts w:ascii="Times New Roman" w:hAnsi="Times New Roman" w:cs="Times New Roman"/>
        </w:rPr>
      </w:pPr>
    </w:p>
    <w:p w14:paraId="546A9913" w14:textId="7C7C06F8" w:rsidR="00C208D4" w:rsidRPr="0074390A" w:rsidRDefault="00C208D4" w:rsidP="00BB0E7B">
      <w:pPr>
        <w:spacing w:line="360" w:lineRule="auto"/>
        <w:rPr>
          <w:rFonts w:ascii="Times New Roman" w:hAnsi="Times New Roman" w:cs="Times New Roman"/>
          <w:b/>
          <w:bCs/>
        </w:rPr>
      </w:pPr>
      <w:r w:rsidRPr="0074390A">
        <w:rPr>
          <w:rFonts w:ascii="Times New Roman" w:hAnsi="Times New Roman" w:cs="Times New Roman"/>
          <w:b/>
          <w:bCs/>
        </w:rPr>
        <w:t>Lay summary</w:t>
      </w:r>
    </w:p>
    <w:p w14:paraId="05F981DA" w14:textId="77777777" w:rsidR="00D9232C" w:rsidRPr="0074390A" w:rsidRDefault="00D9232C" w:rsidP="00BB0E7B">
      <w:pPr>
        <w:spacing w:line="360" w:lineRule="auto"/>
        <w:rPr>
          <w:rFonts w:ascii="Times New Roman" w:hAnsi="Times New Roman" w:cs="Times New Roman"/>
          <w:b/>
          <w:bCs/>
        </w:rPr>
      </w:pPr>
    </w:p>
    <w:p w14:paraId="503BC848" w14:textId="174B5FC3" w:rsidR="00D51BFB" w:rsidRPr="0074390A" w:rsidRDefault="00D51BFB" w:rsidP="00BB0E7B">
      <w:pPr>
        <w:spacing w:line="360" w:lineRule="auto"/>
        <w:rPr>
          <w:rFonts w:ascii="Times New Roman" w:hAnsi="Times New Roman" w:cs="Times New Roman"/>
        </w:rPr>
      </w:pPr>
      <w:r w:rsidRPr="0074390A">
        <w:rPr>
          <w:rFonts w:ascii="Times New Roman" w:hAnsi="Times New Roman" w:cs="Times New Roman"/>
        </w:rPr>
        <w:t>Osteoporosis and heart disease are common health problems in older people</w:t>
      </w:r>
      <w:r w:rsidR="003B0F8C" w:rsidRPr="0074390A">
        <w:rPr>
          <w:rFonts w:ascii="Times New Roman" w:hAnsi="Times New Roman" w:cs="Times New Roman"/>
        </w:rPr>
        <w:t xml:space="preserve"> and m</w:t>
      </w:r>
      <w:r w:rsidRPr="0074390A">
        <w:rPr>
          <w:rFonts w:ascii="Times New Roman" w:hAnsi="Times New Roman" w:cs="Times New Roman"/>
        </w:rPr>
        <w:t xml:space="preserve">any studies have shown </w:t>
      </w:r>
      <w:r w:rsidR="003B0F8C" w:rsidRPr="0074390A">
        <w:rPr>
          <w:rFonts w:ascii="Times New Roman" w:hAnsi="Times New Roman" w:cs="Times New Roman"/>
        </w:rPr>
        <w:t>a potential link.</w:t>
      </w:r>
      <w:r w:rsidRPr="0074390A">
        <w:rPr>
          <w:rFonts w:ascii="Times New Roman" w:hAnsi="Times New Roman" w:cs="Times New Roman"/>
        </w:rPr>
        <w:t xml:space="preserve"> </w:t>
      </w:r>
      <w:r w:rsidR="003B0F8C" w:rsidRPr="0074390A">
        <w:rPr>
          <w:rFonts w:ascii="Times New Roman" w:hAnsi="Times New Roman" w:cs="Times New Roman"/>
        </w:rPr>
        <w:t>However, t</w:t>
      </w:r>
      <w:r w:rsidRPr="0074390A">
        <w:rPr>
          <w:rFonts w:ascii="Times New Roman" w:hAnsi="Times New Roman" w:cs="Times New Roman"/>
        </w:rPr>
        <w:t xml:space="preserve">hese studies are inconclusive because they </w:t>
      </w:r>
      <w:r w:rsidR="000B2E64" w:rsidRPr="0074390A">
        <w:rPr>
          <w:rFonts w:ascii="Times New Roman" w:hAnsi="Times New Roman" w:cs="Times New Roman"/>
        </w:rPr>
        <w:t>cannot entirely</w:t>
      </w:r>
      <w:r w:rsidRPr="0074390A">
        <w:rPr>
          <w:rFonts w:ascii="Times New Roman" w:hAnsi="Times New Roman" w:cs="Times New Roman"/>
        </w:rPr>
        <w:t xml:space="preserve"> remove the influence of shared risk factors</w:t>
      </w:r>
      <w:r w:rsidR="003B0F8C" w:rsidRPr="0074390A">
        <w:rPr>
          <w:rFonts w:ascii="Times New Roman" w:hAnsi="Times New Roman" w:cs="Times New Roman"/>
        </w:rPr>
        <w:t>. This study uses</w:t>
      </w:r>
      <w:r w:rsidRPr="0074390A">
        <w:rPr>
          <w:rFonts w:ascii="Times New Roman" w:hAnsi="Times New Roman" w:cs="Times New Roman"/>
        </w:rPr>
        <w:t xml:space="preserve"> Mendelian Randomization (MR)</w:t>
      </w:r>
      <w:r w:rsidR="003B0F8C" w:rsidRPr="0074390A">
        <w:rPr>
          <w:rFonts w:ascii="Times New Roman" w:hAnsi="Times New Roman" w:cs="Times New Roman"/>
        </w:rPr>
        <w:t xml:space="preserve"> method that creates a </w:t>
      </w:r>
      <w:r w:rsidRPr="0074390A">
        <w:rPr>
          <w:rFonts w:ascii="Times New Roman" w:hAnsi="Times New Roman" w:cs="Times New Roman"/>
        </w:rPr>
        <w:t>“natural experiment”</w:t>
      </w:r>
      <w:r w:rsidR="005A3CE2" w:rsidRPr="0074390A">
        <w:rPr>
          <w:rFonts w:ascii="Times New Roman" w:hAnsi="Times New Roman" w:cs="Times New Roman"/>
        </w:rPr>
        <w:t>,</w:t>
      </w:r>
      <w:r w:rsidRPr="0074390A">
        <w:rPr>
          <w:rFonts w:ascii="Times New Roman" w:hAnsi="Times New Roman" w:cs="Times New Roman"/>
        </w:rPr>
        <w:t xml:space="preserve"> </w:t>
      </w:r>
      <w:r w:rsidR="003B0F8C" w:rsidRPr="0074390A">
        <w:rPr>
          <w:rFonts w:ascii="Times New Roman" w:hAnsi="Times New Roman" w:cs="Times New Roman"/>
        </w:rPr>
        <w:t>by randomly distributing shared risk factors, minimizing their influence.</w:t>
      </w:r>
      <w:r w:rsidRPr="0074390A">
        <w:rPr>
          <w:rFonts w:ascii="Times New Roman" w:hAnsi="Times New Roman" w:cs="Times New Roman"/>
        </w:rPr>
        <w:t xml:space="preserve"> </w:t>
      </w:r>
    </w:p>
    <w:p w14:paraId="16BF5190" w14:textId="7C18E5BC" w:rsidR="000B2E64" w:rsidRPr="0074390A" w:rsidRDefault="00D51BFB" w:rsidP="00BB0E7B">
      <w:pPr>
        <w:spacing w:line="360" w:lineRule="auto"/>
        <w:rPr>
          <w:rFonts w:ascii="Times New Roman" w:hAnsi="Times New Roman" w:cs="Times New Roman"/>
        </w:rPr>
      </w:pPr>
      <w:r w:rsidRPr="0074390A">
        <w:rPr>
          <w:rFonts w:ascii="Times New Roman" w:hAnsi="Times New Roman" w:cs="Times New Roman"/>
        </w:rPr>
        <w:t xml:space="preserve">We </w:t>
      </w:r>
      <w:r w:rsidR="003B0F8C" w:rsidRPr="0074390A">
        <w:rPr>
          <w:rFonts w:ascii="Times New Roman" w:hAnsi="Times New Roman" w:cs="Times New Roman"/>
        </w:rPr>
        <w:t>tested the causal link</w:t>
      </w:r>
      <w:r w:rsidRPr="0074390A">
        <w:rPr>
          <w:rFonts w:ascii="Times New Roman" w:hAnsi="Times New Roman" w:cs="Times New Roman"/>
        </w:rPr>
        <w:t xml:space="preserve"> </w:t>
      </w:r>
      <w:r w:rsidR="000B2E64" w:rsidRPr="0074390A">
        <w:rPr>
          <w:rFonts w:ascii="Times New Roman" w:hAnsi="Times New Roman" w:cs="Times New Roman"/>
        </w:rPr>
        <w:t>between bone mineral density (</w:t>
      </w:r>
      <w:r w:rsidR="005A3CE2" w:rsidRPr="0074390A">
        <w:rPr>
          <w:rFonts w:ascii="Times New Roman" w:hAnsi="Times New Roman" w:cs="Times New Roman"/>
        </w:rPr>
        <w:t>BMD</w:t>
      </w:r>
      <w:r w:rsidR="003B0F8C" w:rsidRPr="0074390A">
        <w:rPr>
          <w:rFonts w:ascii="Times New Roman" w:hAnsi="Times New Roman" w:cs="Times New Roman"/>
        </w:rPr>
        <w:t xml:space="preserve"> </w:t>
      </w:r>
      <w:r w:rsidR="000B2E64" w:rsidRPr="0074390A">
        <w:rPr>
          <w:rFonts w:ascii="Times New Roman" w:hAnsi="Times New Roman" w:cs="Times New Roman"/>
        </w:rPr>
        <w:t xml:space="preserve">and seven </w:t>
      </w:r>
      <w:r w:rsidR="003B0F8C" w:rsidRPr="0074390A">
        <w:rPr>
          <w:rFonts w:ascii="Times New Roman" w:hAnsi="Times New Roman" w:cs="Times New Roman"/>
        </w:rPr>
        <w:t xml:space="preserve">important </w:t>
      </w:r>
      <w:r w:rsidR="000B2E64" w:rsidRPr="0074390A">
        <w:rPr>
          <w:rFonts w:ascii="Times New Roman" w:hAnsi="Times New Roman" w:cs="Times New Roman"/>
        </w:rPr>
        <w:t>heart diseases</w:t>
      </w:r>
      <w:r w:rsidR="003B0F8C" w:rsidRPr="0074390A">
        <w:rPr>
          <w:rFonts w:ascii="Times New Roman" w:hAnsi="Times New Roman" w:cs="Times New Roman"/>
        </w:rPr>
        <w:t xml:space="preserve"> </w:t>
      </w:r>
      <w:r w:rsidR="000B2E64" w:rsidRPr="0074390A">
        <w:rPr>
          <w:rFonts w:ascii="Times New Roman" w:hAnsi="Times New Roman" w:cs="Times New Roman"/>
        </w:rPr>
        <w:t>using four MR models.</w:t>
      </w:r>
      <w:r w:rsidR="003B0F8C" w:rsidRPr="0074390A">
        <w:rPr>
          <w:rFonts w:ascii="Times New Roman" w:hAnsi="Times New Roman" w:cs="Times New Roman"/>
        </w:rPr>
        <w:t xml:space="preserve"> Our results showed </w:t>
      </w:r>
      <w:r w:rsidR="000B2E64" w:rsidRPr="0074390A">
        <w:rPr>
          <w:rFonts w:ascii="Times New Roman" w:hAnsi="Times New Roman" w:cs="Times New Roman"/>
        </w:rPr>
        <w:t>no causal link between BMD and heart disease</w:t>
      </w:r>
      <w:r w:rsidR="003B0F8C" w:rsidRPr="0074390A">
        <w:rPr>
          <w:rFonts w:ascii="Times New Roman" w:hAnsi="Times New Roman" w:cs="Times New Roman"/>
        </w:rPr>
        <w:t xml:space="preserve">, </w:t>
      </w:r>
      <w:r w:rsidR="000B2E64" w:rsidRPr="0074390A">
        <w:rPr>
          <w:rFonts w:ascii="Times New Roman" w:hAnsi="Times New Roman" w:cs="Times New Roman"/>
        </w:rPr>
        <w:t>suggest</w:t>
      </w:r>
      <w:r w:rsidR="003B0F8C" w:rsidRPr="0074390A">
        <w:rPr>
          <w:rFonts w:ascii="Times New Roman" w:hAnsi="Times New Roman" w:cs="Times New Roman"/>
        </w:rPr>
        <w:t>ing</w:t>
      </w:r>
      <w:r w:rsidR="000B2E64" w:rsidRPr="0074390A">
        <w:rPr>
          <w:rFonts w:ascii="Times New Roman" w:hAnsi="Times New Roman" w:cs="Times New Roman"/>
        </w:rPr>
        <w:t xml:space="preserve"> </w:t>
      </w:r>
      <w:r w:rsidR="003B0F8C" w:rsidRPr="0074390A">
        <w:rPr>
          <w:rFonts w:ascii="Times New Roman" w:hAnsi="Times New Roman" w:cs="Times New Roman"/>
        </w:rPr>
        <w:t xml:space="preserve">previous associations </w:t>
      </w:r>
      <w:r w:rsidR="000B2E64" w:rsidRPr="0074390A">
        <w:rPr>
          <w:rFonts w:ascii="Times New Roman" w:hAnsi="Times New Roman" w:cs="Times New Roman"/>
        </w:rPr>
        <w:t>likely reflect shared risk factors rather than direct causal links</w:t>
      </w:r>
      <w:r w:rsidR="003B0F8C" w:rsidRPr="0074390A">
        <w:rPr>
          <w:rFonts w:ascii="Times New Roman" w:hAnsi="Times New Roman" w:cs="Times New Roman"/>
        </w:rPr>
        <w:t xml:space="preserve">. </w:t>
      </w:r>
      <w:r w:rsidR="000B2E64" w:rsidRPr="0074390A">
        <w:rPr>
          <w:rFonts w:ascii="Times New Roman" w:hAnsi="Times New Roman" w:cs="Times New Roman"/>
        </w:rPr>
        <w:t xml:space="preserve"> </w:t>
      </w:r>
    </w:p>
    <w:p w14:paraId="3A3C5683" w14:textId="77777777" w:rsidR="000B2E64" w:rsidRPr="0074390A" w:rsidRDefault="000B2E64" w:rsidP="00BB0E7B">
      <w:pPr>
        <w:spacing w:line="360" w:lineRule="auto"/>
        <w:rPr>
          <w:rFonts w:ascii="Times New Roman" w:hAnsi="Times New Roman" w:cs="Times New Roman"/>
        </w:rPr>
      </w:pPr>
    </w:p>
    <w:p w14:paraId="33BC68A8" w14:textId="77777777" w:rsidR="000B2E64" w:rsidRPr="0074390A" w:rsidRDefault="000B2E64" w:rsidP="00BB0E7B">
      <w:pPr>
        <w:spacing w:line="360" w:lineRule="auto"/>
        <w:rPr>
          <w:rFonts w:ascii="Times New Roman" w:hAnsi="Times New Roman" w:cs="Times New Roman"/>
        </w:rPr>
      </w:pPr>
    </w:p>
    <w:p w14:paraId="6A1FAF22" w14:textId="77777777" w:rsidR="000B2E64" w:rsidRPr="0074390A" w:rsidRDefault="000B2E64" w:rsidP="00BB0E7B">
      <w:pPr>
        <w:spacing w:line="360" w:lineRule="auto"/>
        <w:rPr>
          <w:rFonts w:ascii="Times New Roman" w:hAnsi="Times New Roman" w:cs="Times New Roman"/>
        </w:rPr>
      </w:pPr>
    </w:p>
    <w:p w14:paraId="662A9158" w14:textId="77777777" w:rsidR="000B2E64" w:rsidRPr="0074390A" w:rsidRDefault="000B2E64" w:rsidP="00BB0E7B">
      <w:pPr>
        <w:spacing w:line="360" w:lineRule="auto"/>
        <w:rPr>
          <w:rFonts w:ascii="Times New Roman" w:hAnsi="Times New Roman" w:cs="Times New Roman"/>
        </w:rPr>
      </w:pPr>
    </w:p>
    <w:p w14:paraId="2932BE0A" w14:textId="77777777" w:rsidR="000B2E64" w:rsidRPr="0074390A" w:rsidRDefault="000B2E64" w:rsidP="00BB0E7B">
      <w:pPr>
        <w:spacing w:line="360" w:lineRule="auto"/>
        <w:rPr>
          <w:rFonts w:ascii="Times New Roman" w:hAnsi="Times New Roman" w:cs="Times New Roman"/>
        </w:rPr>
      </w:pPr>
    </w:p>
    <w:p w14:paraId="1E725B9E" w14:textId="77777777" w:rsidR="000B2E64" w:rsidRPr="0074390A" w:rsidRDefault="000B2E64" w:rsidP="00BB0E7B">
      <w:pPr>
        <w:spacing w:line="360" w:lineRule="auto"/>
        <w:rPr>
          <w:rFonts w:ascii="Times New Roman" w:hAnsi="Times New Roman" w:cs="Times New Roman"/>
        </w:rPr>
      </w:pPr>
    </w:p>
    <w:p w14:paraId="1BB406FA" w14:textId="77777777" w:rsidR="000B2E64" w:rsidRPr="0074390A" w:rsidRDefault="000B2E64" w:rsidP="00BB0E7B">
      <w:pPr>
        <w:spacing w:line="360" w:lineRule="auto"/>
        <w:rPr>
          <w:rFonts w:ascii="Times New Roman" w:hAnsi="Times New Roman" w:cs="Times New Roman"/>
        </w:rPr>
      </w:pPr>
    </w:p>
    <w:p w14:paraId="10AD74C9" w14:textId="77777777" w:rsidR="000B2E64" w:rsidRPr="0074390A" w:rsidRDefault="000B2E64" w:rsidP="00BB0E7B">
      <w:pPr>
        <w:spacing w:line="360" w:lineRule="auto"/>
        <w:rPr>
          <w:rFonts w:ascii="Times New Roman" w:hAnsi="Times New Roman" w:cs="Times New Roman"/>
        </w:rPr>
      </w:pPr>
    </w:p>
    <w:p w14:paraId="08F02954" w14:textId="77777777" w:rsidR="000B2E64" w:rsidRPr="0074390A" w:rsidRDefault="000B2E64" w:rsidP="00BB0E7B">
      <w:pPr>
        <w:spacing w:line="360" w:lineRule="auto"/>
        <w:rPr>
          <w:rFonts w:ascii="Times New Roman" w:hAnsi="Times New Roman" w:cs="Times New Roman"/>
        </w:rPr>
      </w:pPr>
    </w:p>
    <w:p w14:paraId="1DCE5ACB" w14:textId="77777777" w:rsidR="000B2E64" w:rsidRPr="0074390A" w:rsidRDefault="000B2E64" w:rsidP="00BB0E7B">
      <w:pPr>
        <w:spacing w:line="360" w:lineRule="auto"/>
        <w:rPr>
          <w:rFonts w:ascii="Times New Roman" w:hAnsi="Times New Roman" w:cs="Times New Roman"/>
        </w:rPr>
      </w:pPr>
    </w:p>
    <w:p w14:paraId="47D5BD9A" w14:textId="77777777" w:rsidR="000B2E64" w:rsidRPr="0074390A" w:rsidRDefault="000B2E64" w:rsidP="00BB0E7B">
      <w:pPr>
        <w:spacing w:line="360" w:lineRule="auto"/>
        <w:rPr>
          <w:rFonts w:ascii="Times New Roman" w:hAnsi="Times New Roman" w:cs="Times New Roman"/>
        </w:rPr>
      </w:pPr>
    </w:p>
    <w:p w14:paraId="02F2BC78" w14:textId="77777777" w:rsidR="000B2E64" w:rsidRPr="0074390A" w:rsidRDefault="000B2E64" w:rsidP="00BB0E7B">
      <w:pPr>
        <w:spacing w:line="360" w:lineRule="auto"/>
        <w:rPr>
          <w:rFonts w:ascii="Times New Roman" w:hAnsi="Times New Roman" w:cs="Times New Roman"/>
        </w:rPr>
      </w:pPr>
    </w:p>
    <w:p w14:paraId="24C2C191" w14:textId="77777777" w:rsidR="003B0F8C" w:rsidRPr="0074390A" w:rsidRDefault="003B0F8C" w:rsidP="00BB0E7B">
      <w:pPr>
        <w:spacing w:line="360" w:lineRule="auto"/>
        <w:rPr>
          <w:rFonts w:ascii="Times New Roman" w:hAnsi="Times New Roman" w:cs="Times New Roman"/>
        </w:rPr>
      </w:pPr>
    </w:p>
    <w:p w14:paraId="5F0C3157" w14:textId="7CE260F8" w:rsidR="003B0F8C" w:rsidRPr="0074390A" w:rsidRDefault="003B0F8C" w:rsidP="00BB0E7B">
      <w:pPr>
        <w:spacing w:line="360" w:lineRule="auto"/>
        <w:rPr>
          <w:rFonts w:ascii="Times New Roman" w:hAnsi="Times New Roman" w:cs="Times New Roman"/>
        </w:rPr>
      </w:pPr>
    </w:p>
    <w:p w14:paraId="3AFD3072" w14:textId="77777777" w:rsidR="003B0F8C" w:rsidRPr="0074390A" w:rsidRDefault="003B0F8C" w:rsidP="00BB0E7B">
      <w:pPr>
        <w:spacing w:line="360" w:lineRule="auto"/>
        <w:rPr>
          <w:rFonts w:ascii="Times New Roman" w:hAnsi="Times New Roman" w:cs="Times New Roman"/>
        </w:rPr>
      </w:pPr>
    </w:p>
    <w:p w14:paraId="73B971A3" w14:textId="77777777" w:rsidR="003B0F8C" w:rsidRPr="0074390A" w:rsidRDefault="003B0F8C" w:rsidP="00BB0E7B">
      <w:pPr>
        <w:spacing w:line="360" w:lineRule="auto"/>
        <w:rPr>
          <w:rFonts w:ascii="Times New Roman" w:hAnsi="Times New Roman" w:cs="Times New Roman"/>
        </w:rPr>
      </w:pPr>
    </w:p>
    <w:p w14:paraId="16C270E3" w14:textId="77777777" w:rsidR="003B0F8C" w:rsidRPr="0074390A" w:rsidRDefault="003B0F8C" w:rsidP="00BB0E7B">
      <w:pPr>
        <w:spacing w:line="360" w:lineRule="auto"/>
        <w:rPr>
          <w:rFonts w:ascii="Times New Roman" w:hAnsi="Times New Roman" w:cs="Times New Roman"/>
        </w:rPr>
      </w:pPr>
    </w:p>
    <w:p w14:paraId="02A94218" w14:textId="77777777" w:rsidR="009F5197" w:rsidRPr="0074390A" w:rsidRDefault="009F5197" w:rsidP="00BB0E7B">
      <w:pPr>
        <w:spacing w:line="360" w:lineRule="auto"/>
        <w:rPr>
          <w:rFonts w:ascii="Times New Roman" w:hAnsi="Times New Roman" w:cs="Times New Roman"/>
        </w:rPr>
      </w:pPr>
    </w:p>
    <w:p w14:paraId="26AD2BEA" w14:textId="77777777" w:rsidR="009F5197" w:rsidRPr="0074390A" w:rsidRDefault="009F5197" w:rsidP="00BB0E7B">
      <w:pPr>
        <w:spacing w:line="360" w:lineRule="auto"/>
        <w:rPr>
          <w:rFonts w:ascii="Times New Roman" w:hAnsi="Times New Roman" w:cs="Times New Roman"/>
        </w:rPr>
      </w:pPr>
    </w:p>
    <w:p w14:paraId="5F165468" w14:textId="77777777" w:rsidR="009F5197" w:rsidRPr="0074390A" w:rsidRDefault="009F5197" w:rsidP="00BB0E7B">
      <w:pPr>
        <w:spacing w:line="360" w:lineRule="auto"/>
        <w:rPr>
          <w:rFonts w:ascii="Times New Roman" w:hAnsi="Times New Roman" w:cs="Times New Roman"/>
        </w:rPr>
      </w:pPr>
    </w:p>
    <w:p w14:paraId="7EF49B9E" w14:textId="77777777" w:rsidR="009F5197" w:rsidRPr="0074390A" w:rsidRDefault="009F5197" w:rsidP="00BB0E7B">
      <w:pPr>
        <w:spacing w:line="360" w:lineRule="auto"/>
        <w:rPr>
          <w:rFonts w:ascii="Times New Roman" w:hAnsi="Times New Roman" w:cs="Times New Roman"/>
        </w:rPr>
      </w:pPr>
    </w:p>
    <w:p w14:paraId="52C3F024" w14:textId="77777777" w:rsidR="009F5197" w:rsidRPr="0074390A" w:rsidRDefault="009F5197" w:rsidP="00BB0E7B">
      <w:pPr>
        <w:spacing w:line="360" w:lineRule="auto"/>
        <w:rPr>
          <w:rFonts w:ascii="Times New Roman" w:hAnsi="Times New Roman" w:cs="Times New Roman"/>
        </w:rPr>
      </w:pPr>
    </w:p>
    <w:p w14:paraId="01F78EEE" w14:textId="77777777" w:rsidR="00A33230" w:rsidRPr="0074390A" w:rsidRDefault="00A33230" w:rsidP="00BB0E7B">
      <w:pPr>
        <w:spacing w:line="360" w:lineRule="auto"/>
        <w:rPr>
          <w:rFonts w:ascii="Times New Roman" w:hAnsi="Times New Roman" w:cs="Times New Roman"/>
        </w:rPr>
      </w:pPr>
    </w:p>
    <w:p w14:paraId="44050301" w14:textId="6245D4E3" w:rsidR="00D463F2" w:rsidRPr="0074390A" w:rsidRDefault="00D463F2" w:rsidP="00BB0E7B">
      <w:pPr>
        <w:spacing w:line="360" w:lineRule="auto"/>
        <w:rPr>
          <w:rFonts w:ascii="Times New Roman" w:hAnsi="Times New Roman" w:cs="Times New Roman"/>
          <w:b/>
          <w:bCs/>
        </w:rPr>
      </w:pPr>
      <w:r w:rsidRPr="0074390A">
        <w:rPr>
          <w:rFonts w:ascii="Times New Roman" w:hAnsi="Times New Roman" w:cs="Times New Roman"/>
          <w:b/>
          <w:bCs/>
        </w:rPr>
        <w:t>Introduction</w:t>
      </w:r>
    </w:p>
    <w:p w14:paraId="574D03C0" w14:textId="77777777" w:rsidR="008E4C89" w:rsidRPr="0074390A" w:rsidRDefault="008E4C89" w:rsidP="00BB0E7B">
      <w:pPr>
        <w:spacing w:line="360" w:lineRule="auto"/>
        <w:rPr>
          <w:rFonts w:ascii="Times New Roman" w:hAnsi="Times New Roman" w:cs="Times New Roman"/>
          <w:b/>
          <w:bCs/>
        </w:rPr>
      </w:pPr>
    </w:p>
    <w:p w14:paraId="4A946E10" w14:textId="5831BFEE" w:rsidR="009D7749" w:rsidRPr="0074390A" w:rsidRDefault="001862F8" w:rsidP="00BB0E7B">
      <w:pPr>
        <w:spacing w:line="360" w:lineRule="auto"/>
        <w:rPr>
          <w:rFonts w:ascii="Times New Roman" w:hAnsi="Times New Roman" w:cs="Times New Roman"/>
          <w:color w:val="000000" w:themeColor="text1"/>
        </w:rPr>
      </w:pPr>
      <w:r w:rsidRPr="0074390A">
        <w:rPr>
          <w:rFonts w:ascii="Times New Roman" w:hAnsi="Times New Roman" w:cs="Times New Roman"/>
        </w:rPr>
        <w:t>C</w:t>
      </w:r>
      <w:r w:rsidR="00972E66" w:rsidRPr="0074390A">
        <w:rPr>
          <w:rFonts w:ascii="Times New Roman" w:hAnsi="Times New Roman" w:cs="Times New Roman"/>
        </w:rPr>
        <w:t>ardiovascular disease (CVD)</w:t>
      </w:r>
      <w:r w:rsidRPr="0074390A">
        <w:rPr>
          <w:rFonts w:ascii="Times New Roman" w:hAnsi="Times New Roman" w:cs="Times New Roman"/>
        </w:rPr>
        <w:t xml:space="preserve"> remains the leading cause of mortality and morbidity worldwide</w:t>
      </w:r>
      <w:r w:rsidR="00972E66" w:rsidRPr="0074390A">
        <w:rPr>
          <w:rFonts w:ascii="Times New Roman" w:hAnsi="Times New Roman" w:cs="Times New Roman"/>
        </w:rPr>
        <w:t xml:space="preserve">, </w:t>
      </w:r>
      <w:r w:rsidRPr="0074390A">
        <w:rPr>
          <w:rFonts w:ascii="Times New Roman" w:hAnsi="Times New Roman" w:cs="Times New Roman"/>
        </w:rPr>
        <w:t>responsible for</w:t>
      </w:r>
      <w:r w:rsidR="00972E66" w:rsidRPr="0074390A">
        <w:rPr>
          <w:rFonts w:ascii="Times New Roman" w:hAnsi="Times New Roman" w:cs="Times New Roman"/>
        </w:rPr>
        <w:t xml:space="preserve"> </w:t>
      </w:r>
      <w:r w:rsidR="00EF2A90" w:rsidRPr="0074390A">
        <w:rPr>
          <w:rFonts w:ascii="Times New Roman" w:hAnsi="Times New Roman" w:cs="Times New Roman"/>
        </w:rPr>
        <w:t>20</w:t>
      </w:r>
      <w:r w:rsidR="00577B44" w:rsidRPr="0074390A">
        <w:rPr>
          <w:rFonts w:ascii="Times New Roman" w:hAnsi="Times New Roman" w:cs="Times New Roman"/>
        </w:rPr>
        <w:t>.5</w:t>
      </w:r>
      <w:r w:rsidR="00972E66" w:rsidRPr="0074390A">
        <w:rPr>
          <w:rFonts w:ascii="Times New Roman" w:hAnsi="Times New Roman" w:cs="Times New Roman"/>
        </w:rPr>
        <w:t xml:space="preserve"> million deaths</w:t>
      </w:r>
      <w:r w:rsidR="00577B44" w:rsidRPr="0074390A">
        <w:rPr>
          <w:rFonts w:ascii="Times New Roman" w:hAnsi="Times New Roman" w:cs="Times New Roman"/>
        </w:rPr>
        <w:t xml:space="preserve"> </w:t>
      </w:r>
      <w:r w:rsidRPr="0074390A">
        <w:rPr>
          <w:rFonts w:ascii="Times New Roman" w:hAnsi="Times New Roman" w:cs="Times New Roman"/>
        </w:rPr>
        <w:t xml:space="preserve">in </w:t>
      </w:r>
      <w:r w:rsidR="00577B44" w:rsidRPr="0074390A">
        <w:rPr>
          <w:rFonts w:ascii="Times New Roman" w:hAnsi="Times New Roman" w:cs="Times New Roman"/>
        </w:rPr>
        <w:t>2021</w:t>
      </w:r>
      <w:r w:rsidR="00577B44" w:rsidRPr="0074390A">
        <w:rPr>
          <w:rFonts w:ascii="Times New Roman" w:hAnsi="Times New Roman" w:cs="Times New Roman"/>
          <w:vertAlign w:val="superscript"/>
        </w:rPr>
        <w:t>1</w:t>
      </w:r>
      <w:r w:rsidR="00972E66" w:rsidRPr="0074390A">
        <w:rPr>
          <w:rFonts w:ascii="Times New Roman" w:hAnsi="Times New Roman" w:cs="Times New Roman"/>
        </w:rPr>
        <w:t xml:space="preserve">. </w:t>
      </w:r>
      <w:r w:rsidR="009878CB" w:rsidRPr="0074390A">
        <w:rPr>
          <w:rFonts w:ascii="Times New Roman" w:hAnsi="Times New Roman" w:cs="Times New Roman"/>
        </w:rPr>
        <w:t>As</w:t>
      </w:r>
      <w:r w:rsidR="00972E66" w:rsidRPr="0074390A">
        <w:rPr>
          <w:rFonts w:ascii="Times New Roman" w:hAnsi="Times New Roman" w:cs="Times New Roman"/>
        </w:rPr>
        <w:t xml:space="preserve"> the global population </w:t>
      </w:r>
      <w:r w:rsidR="009878CB" w:rsidRPr="0074390A">
        <w:rPr>
          <w:rFonts w:ascii="Times New Roman" w:hAnsi="Times New Roman" w:cs="Times New Roman"/>
        </w:rPr>
        <w:t>continues to age</w:t>
      </w:r>
      <w:r w:rsidR="00972E66" w:rsidRPr="0074390A">
        <w:rPr>
          <w:rFonts w:ascii="Times New Roman" w:hAnsi="Times New Roman" w:cs="Times New Roman"/>
        </w:rPr>
        <w:t xml:space="preserve">, </w:t>
      </w:r>
      <w:r w:rsidR="009878CB" w:rsidRPr="0074390A">
        <w:rPr>
          <w:rFonts w:ascii="Times New Roman" w:hAnsi="Times New Roman" w:cs="Times New Roman"/>
        </w:rPr>
        <w:t>the burden of</w:t>
      </w:r>
      <w:r w:rsidR="00972E66" w:rsidRPr="0074390A">
        <w:rPr>
          <w:rFonts w:ascii="Times New Roman" w:hAnsi="Times New Roman" w:cs="Times New Roman"/>
        </w:rPr>
        <w:t xml:space="preserve"> CVD</w:t>
      </w:r>
      <w:r w:rsidR="009878CB" w:rsidRPr="0074390A">
        <w:rPr>
          <w:rFonts w:ascii="Times New Roman" w:hAnsi="Times New Roman" w:cs="Times New Roman"/>
        </w:rPr>
        <w:t xml:space="preserve"> is </w:t>
      </w:r>
      <w:r w:rsidR="009878CB" w:rsidRPr="0074390A">
        <w:rPr>
          <w:rFonts w:ascii="Times New Roman" w:hAnsi="Times New Roman" w:cs="Times New Roman"/>
          <w:color w:val="000000" w:themeColor="text1"/>
        </w:rPr>
        <w:t>expected to increase</w:t>
      </w:r>
      <w:r w:rsidR="00972E66" w:rsidRPr="0074390A">
        <w:rPr>
          <w:rFonts w:ascii="Times New Roman" w:hAnsi="Times New Roman" w:cs="Times New Roman"/>
          <w:color w:val="000000" w:themeColor="text1"/>
        </w:rPr>
        <w:t xml:space="preserve">, leading to substantial </w:t>
      </w:r>
      <w:r w:rsidRPr="0074390A">
        <w:rPr>
          <w:rFonts w:ascii="Times New Roman" w:hAnsi="Times New Roman" w:cs="Times New Roman"/>
          <w:color w:val="000000" w:themeColor="text1"/>
        </w:rPr>
        <w:t xml:space="preserve">public health and </w:t>
      </w:r>
      <w:r w:rsidR="00972E66" w:rsidRPr="0074390A">
        <w:rPr>
          <w:rFonts w:ascii="Times New Roman" w:hAnsi="Times New Roman" w:cs="Times New Roman"/>
          <w:color w:val="000000" w:themeColor="text1"/>
        </w:rPr>
        <w:t>societal challenges</w:t>
      </w:r>
      <w:r w:rsidR="0065040C" w:rsidRPr="0074390A">
        <w:rPr>
          <w:rFonts w:ascii="Times New Roman" w:hAnsi="Times New Roman" w:cs="Times New Roman"/>
          <w:color w:val="000000" w:themeColor="text1"/>
          <w:vertAlign w:val="superscript"/>
        </w:rPr>
        <w:t>2</w:t>
      </w:r>
      <w:r w:rsidR="00972E66" w:rsidRPr="0074390A">
        <w:rPr>
          <w:rFonts w:ascii="Times New Roman" w:hAnsi="Times New Roman" w:cs="Times New Roman"/>
          <w:color w:val="000000" w:themeColor="text1"/>
        </w:rPr>
        <w:t xml:space="preserve">. </w:t>
      </w:r>
      <w:r w:rsidRPr="0074390A">
        <w:rPr>
          <w:rFonts w:ascii="Times New Roman" w:hAnsi="Times New Roman" w:cs="Times New Roman"/>
          <w:color w:val="000000" w:themeColor="text1"/>
        </w:rPr>
        <w:t>Similarly, o</w:t>
      </w:r>
      <w:r w:rsidR="00972E66" w:rsidRPr="0074390A">
        <w:rPr>
          <w:rFonts w:ascii="Times New Roman" w:hAnsi="Times New Roman" w:cs="Times New Roman"/>
          <w:color w:val="000000" w:themeColor="text1"/>
        </w:rPr>
        <w:t>steoporosis is the most common chronic metabolic disorder characterised by reduced bone mass and a heightened risk of fragility fractures</w:t>
      </w:r>
      <w:r w:rsidR="0065040C" w:rsidRPr="0074390A">
        <w:rPr>
          <w:rFonts w:ascii="Times New Roman" w:hAnsi="Times New Roman" w:cs="Times New Roman"/>
          <w:color w:val="000000" w:themeColor="text1"/>
          <w:vertAlign w:val="superscript"/>
        </w:rPr>
        <w:t>3</w:t>
      </w:r>
      <w:r w:rsidR="00972E66" w:rsidRPr="0074390A">
        <w:rPr>
          <w:rFonts w:ascii="Times New Roman" w:hAnsi="Times New Roman" w:cs="Times New Roman"/>
          <w:color w:val="000000" w:themeColor="text1"/>
        </w:rPr>
        <w:t xml:space="preserve">. </w:t>
      </w:r>
      <w:r w:rsidR="00512A39" w:rsidRPr="0074390A">
        <w:rPr>
          <w:rFonts w:ascii="Times New Roman" w:hAnsi="Times New Roman" w:cs="Times New Roman"/>
          <w:color w:val="000000" w:themeColor="text1"/>
        </w:rPr>
        <w:t xml:space="preserve">It is a significant health issue, </w:t>
      </w:r>
      <w:r w:rsidR="0099415E" w:rsidRPr="0074390A">
        <w:rPr>
          <w:rFonts w:ascii="Times New Roman" w:hAnsi="Times New Roman" w:cs="Times New Roman"/>
          <w:color w:val="000000" w:themeColor="text1"/>
        </w:rPr>
        <w:t>particularly among older adults</w:t>
      </w:r>
      <w:r w:rsidR="00512A39" w:rsidRPr="0074390A">
        <w:rPr>
          <w:rFonts w:ascii="Times New Roman" w:hAnsi="Times New Roman" w:cs="Times New Roman"/>
          <w:color w:val="000000" w:themeColor="text1"/>
        </w:rPr>
        <w:t xml:space="preserve"> and postmenopausal women</w:t>
      </w:r>
      <w:r w:rsidR="0099415E" w:rsidRPr="0074390A">
        <w:rPr>
          <w:rFonts w:ascii="Times New Roman" w:hAnsi="Times New Roman" w:cs="Times New Roman"/>
          <w:color w:val="000000" w:themeColor="text1"/>
        </w:rPr>
        <w:t xml:space="preserve">, </w:t>
      </w:r>
      <w:r w:rsidR="00512A39" w:rsidRPr="0074390A">
        <w:rPr>
          <w:rFonts w:ascii="Times New Roman" w:hAnsi="Times New Roman" w:cs="Times New Roman"/>
          <w:color w:val="000000" w:themeColor="text1"/>
        </w:rPr>
        <w:t>due to its impact on quality of life, healthcare costs and the risk of debilitating fractures</w:t>
      </w:r>
      <w:r w:rsidR="0099415E" w:rsidRPr="0074390A">
        <w:rPr>
          <w:rFonts w:ascii="Times New Roman" w:hAnsi="Times New Roman" w:cs="Times New Roman"/>
          <w:color w:val="000000" w:themeColor="text1"/>
        </w:rPr>
        <w:t xml:space="preserve">. </w:t>
      </w:r>
      <w:r w:rsidRPr="0074390A">
        <w:rPr>
          <w:rFonts w:ascii="Times New Roman" w:hAnsi="Times New Roman" w:cs="Times New Roman"/>
          <w:color w:val="000000" w:themeColor="text1"/>
        </w:rPr>
        <w:t xml:space="preserve">Currently, osteoporosis affects approximately </w:t>
      </w:r>
      <w:r w:rsidR="0030147D" w:rsidRPr="0074390A">
        <w:rPr>
          <w:rFonts w:ascii="Times New Roman" w:hAnsi="Times New Roman" w:cs="Times New Roman"/>
          <w:color w:val="000000" w:themeColor="text1"/>
        </w:rPr>
        <w:t>500</w:t>
      </w:r>
      <w:r w:rsidR="00512A39" w:rsidRPr="0074390A">
        <w:rPr>
          <w:rFonts w:ascii="Times New Roman" w:hAnsi="Times New Roman" w:cs="Times New Roman"/>
          <w:color w:val="000000" w:themeColor="text1"/>
        </w:rPr>
        <w:t xml:space="preserve"> million people worldwide and this number is expected to rise in the coming decades</w:t>
      </w:r>
      <w:r w:rsidRPr="0074390A">
        <w:rPr>
          <w:rFonts w:ascii="Times New Roman" w:hAnsi="Times New Roman" w:cs="Times New Roman"/>
          <w:color w:val="000000" w:themeColor="text1"/>
        </w:rPr>
        <w:t>, driven by the</w:t>
      </w:r>
      <w:r w:rsidR="00512A39" w:rsidRPr="0074390A">
        <w:rPr>
          <w:rFonts w:ascii="Times New Roman" w:hAnsi="Times New Roman" w:cs="Times New Roman"/>
          <w:color w:val="000000" w:themeColor="text1"/>
        </w:rPr>
        <w:t xml:space="preserve"> ag</w:t>
      </w:r>
      <w:r w:rsidR="0030147D" w:rsidRPr="0074390A">
        <w:rPr>
          <w:rFonts w:ascii="Times New Roman" w:hAnsi="Times New Roman" w:cs="Times New Roman"/>
          <w:color w:val="000000" w:themeColor="text1"/>
        </w:rPr>
        <w:t>i</w:t>
      </w:r>
      <w:r w:rsidR="00512A39" w:rsidRPr="0074390A">
        <w:rPr>
          <w:rFonts w:ascii="Times New Roman" w:hAnsi="Times New Roman" w:cs="Times New Roman"/>
          <w:color w:val="000000" w:themeColor="text1"/>
        </w:rPr>
        <w:t xml:space="preserve">ng populations and </w:t>
      </w:r>
      <w:r w:rsidRPr="0074390A">
        <w:rPr>
          <w:rFonts w:ascii="Times New Roman" w:hAnsi="Times New Roman" w:cs="Times New Roman"/>
          <w:color w:val="000000" w:themeColor="text1"/>
        </w:rPr>
        <w:t xml:space="preserve">longer </w:t>
      </w:r>
      <w:r w:rsidR="00512A39" w:rsidRPr="0074390A">
        <w:rPr>
          <w:rFonts w:ascii="Times New Roman" w:hAnsi="Times New Roman" w:cs="Times New Roman"/>
          <w:color w:val="000000" w:themeColor="text1"/>
        </w:rPr>
        <w:t>life expectanc</w:t>
      </w:r>
      <w:r w:rsidRPr="0074390A">
        <w:rPr>
          <w:rFonts w:ascii="Times New Roman" w:hAnsi="Times New Roman" w:cs="Times New Roman"/>
          <w:color w:val="000000" w:themeColor="text1"/>
        </w:rPr>
        <w:t>ies</w:t>
      </w:r>
      <w:r w:rsidR="00ED38F5" w:rsidRPr="0074390A">
        <w:rPr>
          <w:rFonts w:ascii="Times New Roman" w:hAnsi="Times New Roman" w:cs="Times New Roman"/>
          <w:color w:val="000000" w:themeColor="text1"/>
          <w:vertAlign w:val="superscript"/>
        </w:rPr>
        <w:t>4,5</w:t>
      </w:r>
      <w:r w:rsidR="00512A39" w:rsidRPr="0074390A">
        <w:rPr>
          <w:rFonts w:ascii="Times New Roman" w:hAnsi="Times New Roman" w:cs="Times New Roman"/>
          <w:color w:val="000000" w:themeColor="text1"/>
        </w:rPr>
        <w:t xml:space="preserve">. </w:t>
      </w:r>
    </w:p>
    <w:p w14:paraId="56C3EA20" w14:textId="77777777" w:rsidR="00C65C2D" w:rsidRPr="0074390A" w:rsidRDefault="00C65C2D" w:rsidP="00BB0E7B">
      <w:pPr>
        <w:spacing w:line="360" w:lineRule="auto"/>
        <w:rPr>
          <w:rFonts w:ascii="Times New Roman" w:hAnsi="Times New Roman" w:cs="Times New Roman"/>
          <w:color w:val="000000" w:themeColor="text1"/>
        </w:rPr>
      </w:pPr>
    </w:p>
    <w:p w14:paraId="25FD61E3" w14:textId="341741D5" w:rsidR="00C65C2D" w:rsidRPr="0074390A" w:rsidRDefault="00C65C2D" w:rsidP="00BB0E7B">
      <w:pPr>
        <w:spacing w:line="360" w:lineRule="auto"/>
        <w:rPr>
          <w:rFonts w:ascii="Times New Roman" w:hAnsi="Times New Roman" w:cs="Times New Roman"/>
        </w:rPr>
      </w:pPr>
      <w:r w:rsidRPr="0074390A">
        <w:rPr>
          <w:rFonts w:ascii="Times New Roman" w:hAnsi="Times New Roman" w:cs="Times New Roman"/>
        </w:rPr>
        <w:t xml:space="preserve">Traditionally, osteoporosis and CVD were viewed as separate conditions with distinct age-related pathophysiological processes. However,  increasing evidence suggests a potential link between the two beyond age and shared risk factors. Several observational studies have identified associations between bone mineral density (BMD) and CVD </w:t>
      </w:r>
      <w:r w:rsidRPr="0074390A">
        <w:rPr>
          <w:rFonts w:ascii="Times New Roman" w:hAnsi="Times New Roman" w:cs="Times New Roman"/>
          <w:color w:val="000000" w:themeColor="text1"/>
        </w:rPr>
        <w:t xml:space="preserve">occurrence. For instance, </w:t>
      </w:r>
      <w:proofErr w:type="spellStart"/>
      <w:r w:rsidRPr="0074390A">
        <w:rPr>
          <w:rFonts w:ascii="Times New Roman" w:hAnsi="Times New Roman" w:cs="Times New Roman"/>
          <w:color w:val="000000" w:themeColor="text1"/>
        </w:rPr>
        <w:t>Fohtung</w:t>
      </w:r>
      <w:proofErr w:type="spellEnd"/>
      <w:r w:rsidRPr="0074390A">
        <w:rPr>
          <w:rFonts w:ascii="Times New Roman" w:hAnsi="Times New Roman" w:cs="Times New Roman"/>
          <w:color w:val="000000" w:themeColor="text1"/>
        </w:rPr>
        <w:t xml:space="preserve"> et al.</w:t>
      </w:r>
      <w:r w:rsidRPr="0074390A">
        <w:rPr>
          <w:rFonts w:ascii="Times New Roman" w:hAnsi="Times New Roman" w:cs="Times New Roman"/>
          <w:color w:val="000000" w:themeColor="text1"/>
          <w:vertAlign w:val="superscript"/>
        </w:rPr>
        <w:t>6</w:t>
      </w:r>
      <w:r w:rsidRPr="0074390A">
        <w:rPr>
          <w:rFonts w:ascii="Times New Roman" w:hAnsi="Times New Roman" w:cs="Times New Roman"/>
          <w:color w:val="000000" w:themeColor="text1"/>
        </w:rPr>
        <w:t xml:space="preserve"> found that lower total hip BMD was linked to an increased risk of heart failure. Other studies have reported an association between reduced BMD and greater incidence of coronary heart disease (CHD)</w:t>
      </w:r>
      <w:r w:rsidRPr="0074390A">
        <w:rPr>
          <w:rFonts w:ascii="Times New Roman" w:hAnsi="Times New Roman" w:cs="Times New Roman"/>
          <w:color w:val="000000" w:themeColor="text1"/>
          <w:vertAlign w:val="superscript"/>
        </w:rPr>
        <w:t>7</w:t>
      </w:r>
      <w:r w:rsidRPr="0074390A">
        <w:rPr>
          <w:rFonts w:ascii="Times New Roman" w:hAnsi="Times New Roman" w:cs="Times New Roman"/>
          <w:color w:val="000000" w:themeColor="text1"/>
        </w:rPr>
        <w:t>, acute myocardial infarction</w:t>
      </w:r>
      <w:r w:rsidRPr="0074390A">
        <w:rPr>
          <w:rFonts w:ascii="Times New Roman" w:hAnsi="Times New Roman" w:cs="Times New Roman"/>
          <w:color w:val="000000" w:themeColor="text1"/>
          <w:vertAlign w:val="superscript"/>
        </w:rPr>
        <w:t>8</w:t>
      </w:r>
      <w:r w:rsidRPr="0074390A">
        <w:rPr>
          <w:rFonts w:ascii="Times New Roman" w:hAnsi="Times New Roman" w:cs="Times New Roman"/>
          <w:color w:val="000000" w:themeColor="text1"/>
        </w:rPr>
        <w:t>, mortality and stroke</w:t>
      </w:r>
      <w:r w:rsidRPr="0074390A">
        <w:rPr>
          <w:rFonts w:ascii="Times New Roman" w:hAnsi="Times New Roman" w:cs="Times New Roman"/>
          <w:color w:val="000000" w:themeColor="text1"/>
          <w:vertAlign w:val="superscript"/>
        </w:rPr>
        <w:t>9</w:t>
      </w:r>
      <w:r w:rsidRPr="0074390A">
        <w:rPr>
          <w:rFonts w:ascii="Times New Roman" w:hAnsi="Times New Roman" w:cs="Times New Roman"/>
          <w:color w:val="000000" w:themeColor="text1"/>
        </w:rPr>
        <w:t xml:space="preserve">. </w:t>
      </w:r>
      <w:r w:rsidRPr="0074390A">
        <w:rPr>
          <w:rFonts w:ascii="Times New Roman" w:hAnsi="Times New Roman" w:cs="Times New Roman"/>
        </w:rPr>
        <w:t>However, it can be difficult to ascertain the causal nature of these relationships due to potential biases inherent in observational data. Mendelian Randomization (MR) offers a unique opportunity to overcome these limitations using genetic variants as instrumental variables (IV)</w:t>
      </w:r>
      <w:r w:rsidRPr="0074390A">
        <w:rPr>
          <w:rFonts w:ascii="Times New Roman" w:hAnsi="Times New Roman" w:cs="Times New Roman"/>
          <w:vertAlign w:val="superscript"/>
        </w:rPr>
        <w:t>10</w:t>
      </w:r>
      <w:r w:rsidRPr="0074390A">
        <w:rPr>
          <w:rFonts w:ascii="Times New Roman" w:hAnsi="Times New Roman" w:cs="Times New Roman"/>
        </w:rPr>
        <w:t xml:space="preserve">. </w:t>
      </w:r>
    </w:p>
    <w:p w14:paraId="7BDD8E5A" w14:textId="77777777" w:rsidR="004269E7" w:rsidRPr="0074390A" w:rsidRDefault="004269E7" w:rsidP="00BB0E7B">
      <w:pPr>
        <w:spacing w:line="360" w:lineRule="auto"/>
        <w:rPr>
          <w:rFonts w:ascii="Times New Roman" w:hAnsi="Times New Roman" w:cs="Times New Roman"/>
        </w:rPr>
      </w:pPr>
    </w:p>
    <w:p w14:paraId="239CBA5C" w14:textId="70E0C7D7" w:rsidR="004269E7" w:rsidRPr="0074390A" w:rsidRDefault="004269E7" w:rsidP="00BB0E7B">
      <w:pPr>
        <w:spacing w:line="360" w:lineRule="auto"/>
        <w:rPr>
          <w:rFonts w:ascii="Times New Roman" w:hAnsi="Times New Roman" w:cs="Times New Roman"/>
        </w:rPr>
      </w:pPr>
      <w:r w:rsidRPr="0074390A">
        <w:rPr>
          <w:rFonts w:ascii="Times New Roman" w:hAnsi="Times New Roman" w:cs="Times New Roman"/>
        </w:rPr>
        <w:t>MR uses the random assortment of genetic material at conception to create a natural experiment, which eliminates the influence of confounding and reverse causation</w:t>
      </w:r>
      <w:r w:rsidR="00C91B1D" w:rsidRPr="0074390A">
        <w:rPr>
          <w:rFonts w:ascii="Times New Roman" w:hAnsi="Times New Roman" w:cs="Times New Roman"/>
          <w:vertAlign w:val="superscript"/>
        </w:rPr>
        <w:t>10</w:t>
      </w:r>
      <w:r w:rsidRPr="0074390A">
        <w:rPr>
          <w:rFonts w:ascii="Times New Roman" w:hAnsi="Times New Roman" w:cs="Times New Roman"/>
        </w:rPr>
        <w:t>. Using this technique, we ca</w:t>
      </w:r>
      <w:r w:rsidR="00941246" w:rsidRPr="0074390A">
        <w:rPr>
          <w:rFonts w:ascii="Times New Roman" w:hAnsi="Times New Roman" w:cs="Times New Roman"/>
        </w:rPr>
        <w:t>n group people according to their genetic code and</w:t>
      </w:r>
      <w:r w:rsidR="00C91B1D" w:rsidRPr="0074390A">
        <w:rPr>
          <w:rFonts w:ascii="Times New Roman" w:hAnsi="Times New Roman" w:cs="Times New Roman"/>
        </w:rPr>
        <w:t xml:space="preserve"> </w:t>
      </w:r>
      <w:r w:rsidR="005A3CE2" w:rsidRPr="0074390A">
        <w:rPr>
          <w:rFonts w:ascii="Times New Roman" w:hAnsi="Times New Roman" w:cs="Times New Roman"/>
        </w:rPr>
        <w:t xml:space="preserve">more </w:t>
      </w:r>
      <w:r w:rsidR="00941246" w:rsidRPr="0074390A">
        <w:rPr>
          <w:rFonts w:ascii="Times New Roman" w:hAnsi="Times New Roman" w:cs="Times New Roman"/>
        </w:rPr>
        <w:t>confiden</w:t>
      </w:r>
      <w:r w:rsidR="00C91B1D" w:rsidRPr="0074390A">
        <w:rPr>
          <w:rFonts w:ascii="Times New Roman" w:hAnsi="Times New Roman" w:cs="Times New Roman"/>
        </w:rPr>
        <w:t>tly</w:t>
      </w:r>
      <w:r w:rsidR="00941246" w:rsidRPr="0074390A">
        <w:rPr>
          <w:rFonts w:ascii="Times New Roman" w:hAnsi="Times New Roman" w:cs="Times New Roman"/>
        </w:rPr>
        <w:t xml:space="preserve"> assert relationships of interest. Instead of measuring expressed phenotypes, this technique tests relationships between genetically predicted characteristics defined using suitable IVs. For IVs to be valid in MR analysis, they should meet specific criteria: they should be independent </w:t>
      </w:r>
      <w:r w:rsidR="00C91B1D" w:rsidRPr="0074390A">
        <w:rPr>
          <w:rFonts w:ascii="Times New Roman" w:hAnsi="Times New Roman" w:cs="Times New Roman"/>
        </w:rPr>
        <w:t>of</w:t>
      </w:r>
      <w:r w:rsidR="00941246" w:rsidRPr="0074390A">
        <w:rPr>
          <w:rFonts w:ascii="Times New Roman" w:hAnsi="Times New Roman" w:cs="Times New Roman"/>
        </w:rPr>
        <w:t xml:space="preserve"> any confounding (observed or unobserved) variables, significantly associated with the exposure</w:t>
      </w:r>
      <w:r w:rsidR="005A3CE2" w:rsidRPr="0074390A">
        <w:rPr>
          <w:rFonts w:ascii="Times New Roman" w:hAnsi="Times New Roman" w:cs="Times New Roman"/>
        </w:rPr>
        <w:t>,</w:t>
      </w:r>
      <w:r w:rsidR="00941246" w:rsidRPr="0074390A">
        <w:rPr>
          <w:rFonts w:ascii="Times New Roman" w:hAnsi="Times New Roman" w:cs="Times New Roman"/>
        </w:rPr>
        <w:t xml:space="preserve"> and </w:t>
      </w:r>
      <w:r w:rsidR="005A3CE2" w:rsidRPr="0074390A">
        <w:rPr>
          <w:rFonts w:ascii="Times New Roman" w:hAnsi="Times New Roman" w:cs="Times New Roman"/>
        </w:rPr>
        <w:t xml:space="preserve">be </w:t>
      </w:r>
      <w:r w:rsidR="00941246" w:rsidRPr="0074390A">
        <w:rPr>
          <w:rFonts w:ascii="Times New Roman" w:hAnsi="Times New Roman" w:cs="Times New Roman"/>
        </w:rPr>
        <w:t>associated with the outcome only through the exposure</w:t>
      </w:r>
      <w:r w:rsidR="00C91B1D" w:rsidRPr="0074390A">
        <w:rPr>
          <w:rFonts w:ascii="Times New Roman" w:hAnsi="Times New Roman" w:cs="Times New Roman"/>
          <w:vertAlign w:val="superscript"/>
        </w:rPr>
        <w:t>11</w:t>
      </w:r>
      <w:r w:rsidR="00941246" w:rsidRPr="0074390A">
        <w:rPr>
          <w:rFonts w:ascii="Times New Roman" w:hAnsi="Times New Roman" w:cs="Times New Roman"/>
        </w:rPr>
        <w:t xml:space="preserve">. In recent </w:t>
      </w:r>
      <w:r w:rsidR="00941246" w:rsidRPr="0074390A">
        <w:rPr>
          <w:rFonts w:ascii="Times New Roman" w:hAnsi="Times New Roman" w:cs="Times New Roman"/>
        </w:rPr>
        <w:lastRenderedPageBreak/>
        <w:t xml:space="preserve">years, two-sample MR has generally </w:t>
      </w:r>
      <w:r w:rsidR="00C91B1D" w:rsidRPr="0074390A">
        <w:rPr>
          <w:rFonts w:ascii="Times New Roman" w:hAnsi="Times New Roman" w:cs="Times New Roman"/>
        </w:rPr>
        <w:t xml:space="preserve">been </w:t>
      </w:r>
      <w:r w:rsidR="00941246" w:rsidRPr="0074390A">
        <w:rPr>
          <w:rFonts w:ascii="Times New Roman" w:hAnsi="Times New Roman" w:cs="Times New Roman"/>
        </w:rPr>
        <w:t xml:space="preserve">established as best practice. This design uses genetic IVs for the exposure and outcome derived from two independent non-overlapping samples and has the key advantage of increasing statistical power. </w:t>
      </w:r>
      <w:r w:rsidR="00C91B1D" w:rsidRPr="0074390A">
        <w:rPr>
          <w:rFonts w:ascii="Times New Roman" w:hAnsi="Times New Roman" w:cs="Times New Roman"/>
        </w:rPr>
        <w:t>Other</w:t>
      </w:r>
      <w:r w:rsidR="00941246" w:rsidRPr="0074390A">
        <w:rPr>
          <w:rFonts w:ascii="Times New Roman" w:hAnsi="Times New Roman" w:cs="Times New Roman"/>
        </w:rPr>
        <w:t xml:space="preserve"> MR methods have also emerged, which act as sensitivity checks for the main primary analysis.</w:t>
      </w:r>
    </w:p>
    <w:p w14:paraId="6A3B21E0" w14:textId="77777777" w:rsidR="00941246" w:rsidRPr="0074390A" w:rsidRDefault="00941246" w:rsidP="00BB0E7B">
      <w:pPr>
        <w:spacing w:line="360" w:lineRule="auto"/>
        <w:rPr>
          <w:rFonts w:ascii="Times New Roman" w:hAnsi="Times New Roman" w:cs="Times New Roman"/>
        </w:rPr>
      </w:pPr>
    </w:p>
    <w:p w14:paraId="398F6D1A" w14:textId="77777777" w:rsidR="005A3CE2" w:rsidRPr="0074390A" w:rsidRDefault="008C69C0" w:rsidP="00BB0E7B">
      <w:pPr>
        <w:spacing w:line="360" w:lineRule="auto"/>
        <w:rPr>
          <w:rFonts w:ascii="Times New Roman" w:hAnsi="Times New Roman" w:cs="Times New Roman"/>
          <w:color w:val="000000" w:themeColor="text1"/>
        </w:rPr>
      </w:pPr>
      <w:r w:rsidRPr="0074390A">
        <w:rPr>
          <w:rFonts w:ascii="Times New Roman" w:hAnsi="Times New Roman" w:cs="Times New Roman"/>
        </w:rPr>
        <w:t>S</w:t>
      </w:r>
      <w:r w:rsidR="00C65C2D" w:rsidRPr="0074390A">
        <w:rPr>
          <w:rFonts w:ascii="Times New Roman" w:hAnsi="Times New Roman" w:cs="Times New Roman"/>
        </w:rPr>
        <w:t>everal</w:t>
      </w:r>
      <w:r w:rsidRPr="0074390A">
        <w:rPr>
          <w:rFonts w:ascii="Times New Roman" w:hAnsi="Times New Roman" w:cs="Times New Roman"/>
        </w:rPr>
        <w:t xml:space="preserve"> </w:t>
      </w:r>
      <w:r w:rsidR="00986E69" w:rsidRPr="0074390A">
        <w:rPr>
          <w:rFonts w:ascii="Times New Roman" w:hAnsi="Times New Roman" w:cs="Times New Roman"/>
        </w:rPr>
        <w:t xml:space="preserve">MR studies </w:t>
      </w:r>
      <w:r w:rsidR="007C0EE0" w:rsidRPr="0074390A">
        <w:rPr>
          <w:rFonts w:ascii="Times New Roman" w:hAnsi="Times New Roman" w:cs="Times New Roman"/>
        </w:rPr>
        <w:t xml:space="preserve">have assessed the relationship between BMD and </w:t>
      </w:r>
      <w:r w:rsidR="00986E69" w:rsidRPr="0074390A">
        <w:rPr>
          <w:rFonts w:ascii="Times New Roman" w:hAnsi="Times New Roman" w:cs="Times New Roman"/>
        </w:rPr>
        <w:t xml:space="preserve">individual </w:t>
      </w:r>
      <w:r w:rsidR="007C0EE0" w:rsidRPr="0074390A">
        <w:rPr>
          <w:rFonts w:ascii="Times New Roman" w:hAnsi="Times New Roman" w:cs="Times New Roman"/>
        </w:rPr>
        <w:t xml:space="preserve">CVD </w:t>
      </w:r>
      <w:r w:rsidR="00986E69" w:rsidRPr="0074390A">
        <w:rPr>
          <w:rFonts w:ascii="Times New Roman" w:hAnsi="Times New Roman" w:cs="Times New Roman"/>
        </w:rPr>
        <w:t xml:space="preserve">outcomes, such as </w:t>
      </w:r>
      <w:r w:rsidR="00EF34F9" w:rsidRPr="0074390A">
        <w:rPr>
          <w:rFonts w:ascii="Times New Roman" w:hAnsi="Times New Roman" w:cs="Times New Roman"/>
        </w:rPr>
        <w:t>coronary artery calcification</w:t>
      </w:r>
      <w:r w:rsidR="009D3F3D" w:rsidRPr="0074390A">
        <w:rPr>
          <w:rFonts w:ascii="Times New Roman" w:hAnsi="Times New Roman" w:cs="Times New Roman"/>
          <w:vertAlign w:val="superscript"/>
        </w:rPr>
        <w:t>12</w:t>
      </w:r>
      <w:r w:rsidR="00EF34F9" w:rsidRPr="0074390A">
        <w:rPr>
          <w:rFonts w:ascii="Times New Roman" w:hAnsi="Times New Roman" w:cs="Times New Roman"/>
        </w:rPr>
        <w:t>,</w:t>
      </w:r>
      <w:r w:rsidRPr="0074390A">
        <w:rPr>
          <w:rFonts w:ascii="Times New Roman" w:hAnsi="Times New Roman" w:cs="Times New Roman"/>
        </w:rPr>
        <w:t xml:space="preserve"> </w:t>
      </w:r>
      <w:r w:rsidR="007C0EE0" w:rsidRPr="0074390A">
        <w:rPr>
          <w:rFonts w:ascii="Times New Roman" w:hAnsi="Times New Roman" w:cs="Times New Roman"/>
        </w:rPr>
        <w:t>CHD</w:t>
      </w:r>
      <w:r w:rsidR="009D3F3D" w:rsidRPr="0074390A">
        <w:rPr>
          <w:rFonts w:ascii="Times New Roman" w:hAnsi="Times New Roman" w:cs="Times New Roman"/>
          <w:vertAlign w:val="superscript"/>
        </w:rPr>
        <w:t>13,14</w:t>
      </w:r>
      <w:r w:rsidR="00417724" w:rsidRPr="0074390A">
        <w:rPr>
          <w:rFonts w:ascii="Times New Roman" w:hAnsi="Times New Roman" w:cs="Times New Roman"/>
        </w:rPr>
        <w:t>, myocardial infarction, stroke</w:t>
      </w:r>
      <w:r w:rsidR="009D3F3D" w:rsidRPr="0074390A">
        <w:rPr>
          <w:rFonts w:ascii="Times New Roman" w:hAnsi="Times New Roman" w:cs="Times New Roman"/>
          <w:vertAlign w:val="superscript"/>
        </w:rPr>
        <w:t xml:space="preserve">13 </w:t>
      </w:r>
      <w:r w:rsidR="007C0EE0" w:rsidRPr="0074390A">
        <w:rPr>
          <w:rFonts w:ascii="Times New Roman" w:hAnsi="Times New Roman" w:cs="Times New Roman"/>
        </w:rPr>
        <w:t xml:space="preserve">and </w:t>
      </w:r>
      <w:r w:rsidR="00EF34F9" w:rsidRPr="0074390A">
        <w:rPr>
          <w:rFonts w:ascii="Times New Roman" w:hAnsi="Times New Roman" w:cs="Times New Roman"/>
        </w:rPr>
        <w:t>heart failure</w:t>
      </w:r>
      <w:r w:rsidR="009D3F3D" w:rsidRPr="0074390A">
        <w:rPr>
          <w:rFonts w:ascii="Times New Roman" w:hAnsi="Times New Roman" w:cs="Times New Roman"/>
          <w:vertAlign w:val="superscript"/>
        </w:rPr>
        <w:t>15</w:t>
      </w:r>
      <w:r w:rsidR="007C0EE0" w:rsidRPr="0074390A">
        <w:rPr>
          <w:rFonts w:ascii="Times New Roman" w:hAnsi="Times New Roman" w:cs="Times New Roman"/>
        </w:rPr>
        <w:t xml:space="preserve">. </w:t>
      </w:r>
      <w:r w:rsidR="00EF34F9" w:rsidRPr="0074390A">
        <w:rPr>
          <w:rFonts w:ascii="Times New Roman" w:hAnsi="Times New Roman" w:cs="Times New Roman"/>
        </w:rPr>
        <w:t xml:space="preserve">Whilst </w:t>
      </w:r>
      <w:r w:rsidR="007C0EE0" w:rsidRPr="0074390A">
        <w:rPr>
          <w:rFonts w:ascii="Times New Roman" w:hAnsi="Times New Roman" w:cs="Times New Roman"/>
        </w:rPr>
        <w:t xml:space="preserve">one study, which used ultrasound-based estimated BMD, </w:t>
      </w:r>
      <w:r w:rsidR="00167E45" w:rsidRPr="0074390A">
        <w:rPr>
          <w:rFonts w:ascii="Times New Roman" w:hAnsi="Times New Roman" w:cs="Times New Roman"/>
        </w:rPr>
        <w:t>reported a</w:t>
      </w:r>
      <w:r w:rsidR="007C0EE0" w:rsidRPr="0074390A">
        <w:rPr>
          <w:rFonts w:ascii="Times New Roman" w:hAnsi="Times New Roman" w:cs="Times New Roman"/>
        </w:rPr>
        <w:t xml:space="preserve"> causal effect of BMD on CHD</w:t>
      </w:r>
      <w:r w:rsidR="009D3F3D" w:rsidRPr="0074390A">
        <w:rPr>
          <w:rFonts w:ascii="Times New Roman" w:hAnsi="Times New Roman" w:cs="Times New Roman"/>
          <w:vertAlign w:val="superscript"/>
        </w:rPr>
        <w:t>14</w:t>
      </w:r>
      <w:r w:rsidR="007C0EE0" w:rsidRPr="0074390A">
        <w:rPr>
          <w:rFonts w:ascii="Times New Roman" w:hAnsi="Times New Roman" w:cs="Times New Roman"/>
        </w:rPr>
        <w:t xml:space="preserve">, studies employing DXA-derived BMD </w:t>
      </w:r>
      <w:r w:rsidR="00167E45" w:rsidRPr="0074390A">
        <w:rPr>
          <w:rFonts w:ascii="Times New Roman" w:hAnsi="Times New Roman" w:cs="Times New Roman"/>
        </w:rPr>
        <w:t xml:space="preserve">phenotypes </w:t>
      </w:r>
      <w:r w:rsidR="007C0EE0" w:rsidRPr="0074390A">
        <w:rPr>
          <w:rFonts w:ascii="Times New Roman" w:hAnsi="Times New Roman" w:cs="Times New Roman"/>
        </w:rPr>
        <w:t xml:space="preserve">have found no causal relationship between BMD </w:t>
      </w:r>
      <w:r w:rsidR="007C0EE0" w:rsidRPr="0074390A">
        <w:rPr>
          <w:rFonts w:ascii="Times New Roman" w:hAnsi="Times New Roman" w:cs="Times New Roman"/>
          <w:color w:val="000000" w:themeColor="text1"/>
        </w:rPr>
        <w:t>and coronary artery calcification</w:t>
      </w:r>
      <w:r w:rsidR="009D3F3D" w:rsidRPr="0074390A">
        <w:rPr>
          <w:rFonts w:ascii="Times New Roman" w:hAnsi="Times New Roman" w:cs="Times New Roman"/>
          <w:color w:val="000000" w:themeColor="text1"/>
          <w:vertAlign w:val="superscript"/>
        </w:rPr>
        <w:t>12</w:t>
      </w:r>
      <w:r w:rsidR="009D3F3D" w:rsidRPr="0074390A">
        <w:rPr>
          <w:rFonts w:ascii="Times New Roman" w:hAnsi="Times New Roman" w:cs="Times New Roman"/>
          <w:color w:val="000000" w:themeColor="text1"/>
        </w:rPr>
        <w:t>, CHD, MI, stroke</w:t>
      </w:r>
      <w:r w:rsidR="009D3F3D" w:rsidRPr="0074390A">
        <w:rPr>
          <w:rFonts w:ascii="Times New Roman" w:hAnsi="Times New Roman" w:cs="Times New Roman"/>
          <w:color w:val="000000" w:themeColor="text1"/>
          <w:vertAlign w:val="superscript"/>
        </w:rPr>
        <w:t>13</w:t>
      </w:r>
      <w:r w:rsidR="007C0EE0" w:rsidRPr="0074390A">
        <w:rPr>
          <w:rFonts w:ascii="Times New Roman" w:hAnsi="Times New Roman" w:cs="Times New Roman"/>
          <w:color w:val="000000" w:themeColor="text1"/>
        </w:rPr>
        <w:t xml:space="preserve"> and heart failure</w:t>
      </w:r>
      <w:r w:rsidR="009D3F3D" w:rsidRPr="0074390A">
        <w:rPr>
          <w:rFonts w:ascii="Times New Roman" w:hAnsi="Times New Roman" w:cs="Times New Roman"/>
          <w:color w:val="000000" w:themeColor="text1"/>
          <w:vertAlign w:val="superscript"/>
        </w:rPr>
        <w:t>15</w:t>
      </w:r>
      <w:r w:rsidR="007C0EE0" w:rsidRPr="0074390A">
        <w:rPr>
          <w:rFonts w:ascii="Times New Roman" w:hAnsi="Times New Roman" w:cs="Times New Roman"/>
          <w:color w:val="000000" w:themeColor="text1"/>
        </w:rPr>
        <w:t xml:space="preserve">. </w:t>
      </w:r>
      <w:r w:rsidR="009B7F0B" w:rsidRPr="0074390A">
        <w:rPr>
          <w:rFonts w:ascii="Times New Roman" w:hAnsi="Times New Roman" w:cs="Times New Roman"/>
          <w:color w:val="000000" w:themeColor="text1"/>
        </w:rPr>
        <w:t>Interestingly, bidirectional MR analyses revealed a causal effect in the reverse direction, where CHD and HF were shown to influence BMD</w:t>
      </w:r>
      <w:r w:rsidR="009B7F0B" w:rsidRPr="0074390A">
        <w:rPr>
          <w:rFonts w:ascii="Times New Roman" w:hAnsi="Times New Roman" w:cs="Times New Roman"/>
          <w:color w:val="000000" w:themeColor="text1"/>
          <w:vertAlign w:val="superscript"/>
        </w:rPr>
        <w:t>13,14</w:t>
      </w:r>
      <w:r w:rsidR="009B7F0B" w:rsidRPr="0074390A">
        <w:rPr>
          <w:rFonts w:ascii="Times New Roman" w:hAnsi="Times New Roman" w:cs="Times New Roman"/>
          <w:color w:val="000000" w:themeColor="text1"/>
        </w:rPr>
        <w:t xml:space="preserve">. </w:t>
      </w:r>
    </w:p>
    <w:p w14:paraId="24C05DBD" w14:textId="77777777" w:rsidR="005A3CE2" w:rsidRPr="0074390A" w:rsidRDefault="005A3CE2" w:rsidP="00BB0E7B">
      <w:pPr>
        <w:spacing w:line="360" w:lineRule="auto"/>
        <w:rPr>
          <w:rFonts w:ascii="Times New Roman" w:hAnsi="Times New Roman" w:cs="Times New Roman"/>
          <w:color w:val="000000" w:themeColor="text1"/>
        </w:rPr>
      </w:pPr>
    </w:p>
    <w:p w14:paraId="4FA8441D" w14:textId="4966486D" w:rsidR="00F64204" w:rsidRPr="0074390A" w:rsidRDefault="009B7F0B" w:rsidP="00BB0E7B">
      <w:pPr>
        <w:spacing w:line="360" w:lineRule="auto"/>
        <w:rPr>
          <w:rFonts w:ascii="Times New Roman" w:hAnsi="Times New Roman" w:cs="Times New Roman"/>
          <w:color w:val="000000" w:themeColor="text1"/>
        </w:rPr>
      </w:pPr>
      <w:r w:rsidRPr="0074390A">
        <w:rPr>
          <w:rFonts w:ascii="Times New Roman" w:hAnsi="Times New Roman" w:cs="Times New Roman"/>
        </w:rPr>
        <w:t>O</w:t>
      </w:r>
      <w:r w:rsidR="007C0EE0" w:rsidRPr="0074390A">
        <w:rPr>
          <w:rFonts w:ascii="Times New Roman" w:hAnsi="Times New Roman" w:cs="Times New Roman"/>
        </w:rPr>
        <w:t xml:space="preserve">ur study aims to clarify the causal relationship between genetically predicted BMD and a </w:t>
      </w:r>
      <w:r w:rsidR="00A33230" w:rsidRPr="0074390A">
        <w:rPr>
          <w:rFonts w:ascii="Times New Roman" w:hAnsi="Times New Roman" w:cs="Times New Roman"/>
        </w:rPr>
        <w:t>comprehensive</w:t>
      </w:r>
      <w:r w:rsidR="007C0EE0" w:rsidRPr="0074390A">
        <w:rPr>
          <w:rFonts w:ascii="Times New Roman" w:hAnsi="Times New Roman" w:cs="Times New Roman"/>
        </w:rPr>
        <w:t xml:space="preserve"> range of CVD</w:t>
      </w:r>
      <w:r w:rsidR="0094362C" w:rsidRPr="0074390A">
        <w:rPr>
          <w:rFonts w:ascii="Times New Roman" w:hAnsi="Times New Roman" w:cs="Times New Roman"/>
        </w:rPr>
        <w:t xml:space="preserve">s </w:t>
      </w:r>
      <w:r w:rsidR="007C0EE0" w:rsidRPr="0074390A">
        <w:rPr>
          <w:rFonts w:ascii="Times New Roman" w:hAnsi="Times New Roman" w:cs="Times New Roman"/>
        </w:rPr>
        <w:t xml:space="preserve">using a two-sample MR approach. </w:t>
      </w:r>
      <w:r w:rsidR="00F64204" w:rsidRPr="0074390A">
        <w:rPr>
          <w:rFonts w:ascii="Times New Roman" w:hAnsi="Times New Roman" w:cs="Times New Roman"/>
        </w:rPr>
        <w:t>By incorporating dual GWAS datasets for CVD outcomes from the UK Biobank (primary analysis) and FinnGen (validation analysis),</w:t>
      </w:r>
      <w:r w:rsidR="007C0EE0" w:rsidRPr="0074390A">
        <w:rPr>
          <w:rFonts w:ascii="Times New Roman" w:hAnsi="Times New Roman" w:cs="Times New Roman"/>
        </w:rPr>
        <w:t xml:space="preserve"> we aim to provide </w:t>
      </w:r>
      <w:r w:rsidR="00167E45" w:rsidRPr="0074390A">
        <w:rPr>
          <w:rFonts w:ascii="Times New Roman" w:hAnsi="Times New Roman" w:cs="Times New Roman"/>
        </w:rPr>
        <w:t>a more nuanced</w:t>
      </w:r>
      <w:r w:rsidR="007C0EE0" w:rsidRPr="0074390A">
        <w:rPr>
          <w:rFonts w:ascii="Times New Roman" w:hAnsi="Times New Roman" w:cs="Times New Roman"/>
        </w:rPr>
        <w:t xml:space="preserve"> </w:t>
      </w:r>
      <w:r w:rsidR="00167E45" w:rsidRPr="0074390A">
        <w:rPr>
          <w:rFonts w:ascii="Times New Roman" w:hAnsi="Times New Roman" w:cs="Times New Roman"/>
        </w:rPr>
        <w:t>understanding of the</w:t>
      </w:r>
      <w:r w:rsidR="007C0EE0" w:rsidRPr="0074390A">
        <w:rPr>
          <w:rFonts w:ascii="Times New Roman" w:hAnsi="Times New Roman" w:cs="Times New Roman"/>
        </w:rPr>
        <w:t xml:space="preserve"> </w:t>
      </w:r>
      <w:r w:rsidR="00535F7C" w:rsidRPr="0074390A">
        <w:rPr>
          <w:rFonts w:ascii="Times New Roman" w:hAnsi="Times New Roman" w:cs="Times New Roman"/>
        </w:rPr>
        <w:t>skeletal</w:t>
      </w:r>
      <w:r w:rsidR="00167E45" w:rsidRPr="0074390A">
        <w:rPr>
          <w:rFonts w:ascii="Times New Roman" w:hAnsi="Times New Roman" w:cs="Times New Roman"/>
        </w:rPr>
        <w:t>-</w:t>
      </w:r>
      <w:r w:rsidR="007C0EE0" w:rsidRPr="0074390A">
        <w:rPr>
          <w:rFonts w:ascii="Times New Roman" w:hAnsi="Times New Roman" w:cs="Times New Roman"/>
        </w:rPr>
        <w:t xml:space="preserve">cardiovascular </w:t>
      </w:r>
      <w:r w:rsidR="00167E45" w:rsidRPr="0074390A">
        <w:rPr>
          <w:rFonts w:ascii="Times New Roman" w:hAnsi="Times New Roman" w:cs="Times New Roman"/>
        </w:rPr>
        <w:t>interplay</w:t>
      </w:r>
      <w:r w:rsidR="007C0EE0" w:rsidRPr="0074390A">
        <w:rPr>
          <w:rFonts w:ascii="Times New Roman" w:hAnsi="Times New Roman" w:cs="Times New Roman"/>
        </w:rPr>
        <w:t xml:space="preserve">, addressing the limitations and methodological variations </w:t>
      </w:r>
      <w:r w:rsidR="00167E45" w:rsidRPr="0074390A">
        <w:rPr>
          <w:rFonts w:ascii="Times New Roman" w:hAnsi="Times New Roman" w:cs="Times New Roman"/>
        </w:rPr>
        <w:t>observed</w:t>
      </w:r>
      <w:r w:rsidR="007C0EE0" w:rsidRPr="0074390A">
        <w:rPr>
          <w:rFonts w:ascii="Times New Roman" w:hAnsi="Times New Roman" w:cs="Times New Roman"/>
        </w:rPr>
        <w:t xml:space="preserve"> in previous studies. </w:t>
      </w:r>
    </w:p>
    <w:p w14:paraId="61F3BDF3" w14:textId="77777777" w:rsidR="00F64204" w:rsidRPr="0074390A" w:rsidRDefault="00F64204" w:rsidP="00BB0E7B">
      <w:pPr>
        <w:spacing w:line="360" w:lineRule="auto"/>
        <w:rPr>
          <w:rFonts w:ascii="Times New Roman" w:hAnsi="Times New Roman" w:cs="Times New Roman"/>
          <w:color w:val="000000" w:themeColor="text1"/>
        </w:rPr>
      </w:pPr>
    </w:p>
    <w:p w14:paraId="3C8C87F0" w14:textId="7A0B0374" w:rsidR="00512A39" w:rsidRPr="0074390A" w:rsidRDefault="009D7749" w:rsidP="00BB0E7B">
      <w:pPr>
        <w:spacing w:line="360" w:lineRule="auto"/>
        <w:rPr>
          <w:rFonts w:ascii="Times New Roman" w:hAnsi="Times New Roman" w:cs="Times New Roman"/>
        </w:rPr>
      </w:pPr>
      <w:r w:rsidRPr="0074390A">
        <w:rPr>
          <w:rFonts w:ascii="Times New Roman" w:hAnsi="Times New Roman" w:cs="Times New Roman"/>
        </w:rPr>
        <w:t xml:space="preserve">The main objective of this study is to </w:t>
      </w:r>
      <w:r w:rsidR="00AA7722" w:rsidRPr="0074390A">
        <w:rPr>
          <w:rFonts w:ascii="Times New Roman" w:hAnsi="Times New Roman" w:cs="Times New Roman"/>
        </w:rPr>
        <w:t xml:space="preserve">explore </w:t>
      </w:r>
      <w:r w:rsidR="00941246" w:rsidRPr="0074390A">
        <w:rPr>
          <w:rFonts w:ascii="Times New Roman" w:hAnsi="Times New Roman" w:cs="Times New Roman"/>
        </w:rPr>
        <w:t>genetic</w:t>
      </w:r>
      <w:r w:rsidR="005A3CE2" w:rsidRPr="0074390A">
        <w:rPr>
          <w:rFonts w:ascii="Times New Roman" w:hAnsi="Times New Roman" w:cs="Times New Roman"/>
        </w:rPr>
        <w:t xml:space="preserve"> associations of </w:t>
      </w:r>
      <w:r w:rsidR="00941246" w:rsidRPr="0074390A">
        <w:rPr>
          <w:rFonts w:ascii="Times New Roman" w:hAnsi="Times New Roman" w:cs="Times New Roman"/>
        </w:rPr>
        <w:t xml:space="preserve"> BMD </w:t>
      </w:r>
      <w:r w:rsidR="00AA7722" w:rsidRPr="0074390A">
        <w:rPr>
          <w:rFonts w:ascii="Times New Roman" w:hAnsi="Times New Roman" w:cs="Times New Roman"/>
        </w:rPr>
        <w:t>and</w:t>
      </w:r>
      <w:r w:rsidRPr="0074390A">
        <w:rPr>
          <w:rFonts w:ascii="Times New Roman" w:hAnsi="Times New Roman" w:cs="Times New Roman"/>
        </w:rPr>
        <w:t xml:space="preserve"> </w:t>
      </w:r>
      <w:r w:rsidR="00941246" w:rsidRPr="0074390A">
        <w:rPr>
          <w:rFonts w:ascii="Times New Roman" w:hAnsi="Times New Roman" w:cs="Times New Roman"/>
        </w:rPr>
        <w:t xml:space="preserve">seven key CVDs, including atrial fibrillation </w:t>
      </w:r>
      <w:r w:rsidR="00620D07" w:rsidRPr="0074390A">
        <w:rPr>
          <w:rFonts w:ascii="Times New Roman" w:hAnsi="Times New Roman" w:cs="Times New Roman"/>
        </w:rPr>
        <w:t xml:space="preserve">(AF) </w:t>
      </w:r>
      <w:r w:rsidR="00941246" w:rsidRPr="0074390A">
        <w:rPr>
          <w:rFonts w:ascii="Times New Roman" w:hAnsi="Times New Roman" w:cs="Times New Roman"/>
        </w:rPr>
        <w:t>and flutter, angina, chronic ischemic heart disease (IHD), heart failure, hypertension, myocardial infarction and non-ischemic cardiomyopathy (NICM)</w:t>
      </w:r>
      <w:r w:rsidRPr="0074390A">
        <w:rPr>
          <w:rFonts w:ascii="Times New Roman" w:hAnsi="Times New Roman" w:cs="Times New Roman"/>
        </w:rPr>
        <w:t xml:space="preserve">, using a two-sample MR </w:t>
      </w:r>
      <w:r w:rsidR="00167E45" w:rsidRPr="0074390A">
        <w:rPr>
          <w:rFonts w:ascii="Times New Roman" w:hAnsi="Times New Roman" w:cs="Times New Roman"/>
        </w:rPr>
        <w:t>framework.</w:t>
      </w:r>
      <w:r w:rsidR="00941246" w:rsidRPr="0074390A">
        <w:rPr>
          <w:rFonts w:ascii="Times New Roman" w:hAnsi="Times New Roman" w:cs="Times New Roman"/>
        </w:rPr>
        <w:t xml:space="preserve"> </w:t>
      </w:r>
      <w:r w:rsidR="00167E45" w:rsidRPr="0074390A">
        <w:rPr>
          <w:rFonts w:ascii="Times New Roman" w:hAnsi="Times New Roman" w:cs="Times New Roman"/>
        </w:rPr>
        <w:t xml:space="preserve">This study represents the first comprehensive MR analysis </w:t>
      </w:r>
      <w:r w:rsidR="00381DA9" w:rsidRPr="0074390A">
        <w:rPr>
          <w:rFonts w:ascii="Times New Roman" w:hAnsi="Times New Roman" w:cs="Times New Roman"/>
        </w:rPr>
        <w:t>of the causal links between BMD and CVDs, providing valuable insights that could inform clinical practice and preventive strategies.</w:t>
      </w:r>
    </w:p>
    <w:p w14:paraId="22AE6F58" w14:textId="77777777" w:rsidR="00CF08A6" w:rsidRPr="0074390A" w:rsidRDefault="00CF08A6" w:rsidP="00BB0E7B">
      <w:pPr>
        <w:spacing w:line="360" w:lineRule="auto"/>
        <w:rPr>
          <w:rFonts w:ascii="Times New Roman" w:hAnsi="Times New Roman" w:cs="Times New Roman"/>
        </w:rPr>
      </w:pPr>
    </w:p>
    <w:p w14:paraId="53492ACA" w14:textId="77777777" w:rsidR="00F64204" w:rsidRPr="0074390A" w:rsidRDefault="00F64204" w:rsidP="00BB0E7B">
      <w:pPr>
        <w:spacing w:line="360" w:lineRule="auto"/>
        <w:rPr>
          <w:rFonts w:ascii="Times New Roman" w:hAnsi="Times New Roman" w:cs="Times New Roman"/>
        </w:rPr>
      </w:pPr>
    </w:p>
    <w:p w14:paraId="1E4F1F12" w14:textId="77777777" w:rsidR="00F64204" w:rsidRPr="0074390A" w:rsidRDefault="00F64204" w:rsidP="00BB0E7B">
      <w:pPr>
        <w:spacing w:line="360" w:lineRule="auto"/>
        <w:rPr>
          <w:rFonts w:ascii="Times New Roman" w:hAnsi="Times New Roman" w:cs="Times New Roman"/>
        </w:rPr>
      </w:pPr>
    </w:p>
    <w:p w14:paraId="13E7E0CB" w14:textId="77777777" w:rsidR="00F64204" w:rsidRPr="0074390A" w:rsidRDefault="00F64204" w:rsidP="00BB0E7B">
      <w:pPr>
        <w:spacing w:line="360" w:lineRule="auto"/>
        <w:rPr>
          <w:rFonts w:ascii="Times New Roman" w:hAnsi="Times New Roman" w:cs="Times New Roman"/>
        </w:rPr>
      </w:pPr>
    </w:p>
    <w:p w14:paraId="55A552E4" w14:textId="77777777" w:rsidR="00F64204" w:rsidRPr="0074390A" w:rsidRDefault="00F64204" w:rsidP="00BB0E7B">
      <w:pPr>
        <w:spacing w:line="360" w:lineRule="auto"/>
        <w:rPr>
          <w:rFonts w:ascii="Times New Roman" w:hAnsi="Times New Roman" w:cs="Times New Roman"/>
        </w:rPr>
      </w:pPr>
    </w:p>
    <w:p w14:paraId="705E0576" w14:textId="77777777" w:rsidR="00F64204" w:rsidRPr="0074390A" w:rsidRDefault="00F64204" w:rsidP="00BB0E7B">
      <w:pPr>
        <w:spacing w:line="360" w:lineRule="auto"/>
        <w:rPr>
          <w:rFonts w:ascii="Times New Roman" w:hAnsi="Times New Roman" w:cs="Times New Roman"/>
        </w:rPr>
      </w:pPr>
    </w:p>
    <w:p w14:paraId="620280AA" w14:textId="77777777" w:rsidR="00F64204" w:rsidRPr="0074390A" w:rsidRDefault="00F64204" w:rsidP="00BB0E7B">
      <w:pPr>
        <w:spacing w:line="360" w:lineRule="auto"/>
        <w:rPr>
          <w:rFonts w:ascii="Times New Roman" w:hAnsi="Times New Roman" w:cs="Times New Roman"/>
        </w:rPr>
      </w:pPr>
    </w:p>
    <w:p w14:paraId="75C6FB84" w14:textId="77777777" w:rsidR="00F64204" w:rsidRPr="0074390A" w:rsidRDefault="00F64204" w:rsidP="00BB0E7B">
      <w:pPr>
        <w:spacing w:line="360" w:lineRule="auto"/>
        <w:rPr>
          <w:rFonts w:ascii="Times New Roman" w:hAnsi="Times New Roman" w:cs="Times New Roman"/>
        </w:rPr>
      </w:pPr>
    </w:p>
    <w:p w14:paraId="20D5A7B4" w14:textId="77777777" w:rsidR="00F64204" w:rsidRPr="0074390A" w:rsidRDefault="00F64204" w:rsidP="00BB0E7B">
      <w:pPr>
        <w:spacing w:line="360" w:lineRule="auto"/>
        <w:rPr>
          <w:rFonts w:ascii="Times New Roman" w:hAnsi="Times New Roman" w:cs="Times New Roman"/>
        </w:rPr>
      </w:pPr>
    </w:p>
    <w:p w14:paraId="0F3F0E0C" w14:textId="7B760D05" w:rsidR="0099415E" w:rsidRPr="0074390A" w:rsidRDefault="009D7749" w:rsidP="00BB0E7B">
      <w:pPr>
        <w:spacing w:line="360" w:lineRule="auto"/>
        <w:rPr>
          <w:rFonts w:ascii="Times New Roman" w:hAnsi="Times New Roman" w:cs="Times New Roman"/>
          <w:b/>
          <w:bCs/>
        </w:rPr>
      </w:pPr>
      <w:r w:rsidRPr="0074390A">
        <w:rPr>
          <w:rFonts w:ascii="Times New Roman" w:hAnsi="Times New Roman" w:cs="Times New Roman"/>
          <w:b/>
          <w:bCs/>
        </w:rPr>
        <w:t>Methods</w:t>
      </w:r>
    </w:p>
    <w:p w14:paraId="0D318F48" w14:textId="77777777" w:rsidR="0099415E" w:rsidRPr="0074390A" w:rsidRDefault="0099415E" w:rsidP="00BB0E7B">
      <w:pPr>
        <w:spacing w:line="360" w:lineRule="auto"/>
        <w:rPr>
          <w:rFonts w:ascii="Times New Roman" w:hAnsi="Times New Roman" w:cs="Times New Roman"/>
          <w:b/>
          <w:bCs/>
        </w:rPr>
      </w:pPr>
    </w:p>
    <w:p w14:paraId="2CFE9E60" w14:textId="28AEFC75" w:rsidR="00381DA9" w:rsidRPr="0074390A" w:rsidRDefault="00B365AC" w:rsidP="00BB0E7B">
      <w:pPr>
        <w:spacing w:line="360" w:lineRule="auto"/>
        <w:rPr>
          <w:rFonts w:ascii="Times New Roman" w:hAnsi="Times New Roman" w:cs="Times New Roman"/>
          <w:b/>
          <w:bCs/>
        </w:rPr>
      </w:pPr>
      <w:r w:rsidRPr="0074390A">
        <w:rPr>
          <w:rFonts w:ascii="Times New Roman" w:hAnsi="Times New Roman" w:cs="Times New Roman"/>
          <w:b/>
          <w:bCs/>
        </w:rPr>
        <w:t>Study design</w:t>
      </w:r>
    </w:p>
    <w:p w14:paraId="17D8746D" w14:textId="16CDDFBA" w:rsidR="00B365AC" w:rsidRPr="0074390A" w:rsidRDefault="00FA3352" w:rsidP="00BB0E7B">
      <w:pPr>
        <w:spacing w:line="360" w:lineRule="auto"/>
        <w:rPr>
          <w:rFonts w:ascii="Times New Roman" w:hAnsi="Times New Roman" w:cs="Times New Roman"/>
          <w:color w:val="000000" w:themeColor="text1"/>
        </w:rPr>
      </w:pPr>
      <w:r w:rsidRPr="0074390A">
        <w:rPr>
          <w:rFonts w:ascii="Times New Roman" w:hAnsi="Times New Roman" w:cs="Times New Roman"/>
        </w:rPr>
        <w:t xml:space="preserve">In this genetic association study, we implemented a two-sample MR approach that uses genetic variants as </w:t>
      </w:r>
      <w:r w:rsidR="00A33230" w:rsidRPr="0074390A">
        <w:rPr>
          <w:rFonts w:ascii="Times New Roman" w:hAnsi="Times New Roman" w:cs="Times New Roman"/>
        </w:rPr>
        <w:t>IVs</w:t>
      </w:r>
      <w:r w:rsidRPr="0074390A">
        <w:rPr>
          <w:rFonts w:ascii="Times New Roman" w:hAnsi="Times New Roman" w:cs="Times New Roman"/>
        </w:rPr>
        <w:t xml:space="preserve"> for the exposure to </w:t>
      </w:r>
      <w:r w:rsidR="00081449" w:rsidRPr="0074390A">
        <w:rPr>
          <w:rFonts w:ascii="Times New Roman" w:hAnsi="Times New Roman" w:cs="Times New Roman"/>
        </w:rPr>
        <w:t>explore</w:t>
      </w:r>
      <w:r w:rsidR="00444E8A" w:rsidRPr="0074390A">
        <w:rPr>
          <w:rFonts w:ascii="Times New Roman" w:hAnsi="Times New Roman" w:cs="Times New Roman"/>
        </w:rPr>
        <w:t xml:space="preserve"> </w:t>
      </w:r>
      <w:r w:rsidRPr="0074390A">
        <w:rPr>
          <w:rFonts w:ascii="Times New Roman" w:hAnsi="Times New Roman" w:cs="Times New Roman"/>
        </w:rPr>
        <w:t>whether BMD may be causally associated with CVD outcomes (</w:t>
      </w:r>
      <w:r w:rsidRPr="0074390A">
        <w:rPr>
          <w:rFonts w:ascii="Times New Roman" w:hAnsi="Times New Roman" w:cs="Times New Roman"/>
          <w:b/>
          <w:bCs/>
        </w:rPr>
        <w:t>Figure 1</w:t>
      </w:r>
      <w:r w:rsidRPr="0074390A">
        <w:rPr>
          <w:rFonts w:ascii="Times New Roman" w:hAnsi="Times New Roman" w:cs="Times New Roman"/>
        </w:rPr>
        <w:t xml:space="preserve">). </w:t>
      </w:r>
      <w:r w:rsidR="00444E8A" w:rsidRPr="0074390A">
        <w:rPr>
          <w:rFonts w:ascii="Times New Roman" w:hAnsi="Times New Roman" w:cs="Times New Roman"/>
        </w:rPr>
        <w:t xml:space="preserve">We ensured that the populations in the exposure and outcome </w:t>
      </w:r>
      <w:r w:rsidRPr="0074390A">
        <w:rPr>
          <w:rFonts w:ascii="Times New Roman" w:hAnsi="Times New Roman" w:cs="Times New Roman"/>
        </w:rPr>
        <w:t>genome-wide association study (</w:t>
      </w:r>
      <w:r w:rsidR="00444E8A" w:rsidRPr="0074390A">
        <w:rPr>
          <w:rFonts w:ascii="Times New Roman" w:hAnsi="Times New Roman" w:cs="Times New Roman"/>
        </w:rPr>
        <w:t>GWAS</w:t>
      </w:r>
      <w:r w:rsidRPr="0074390A">
        <w:rPr>
          <w:rFonts w:ascii="Times New Roman" w:hAnsi="Times New Roman" w:cs="Times New Roman"/>
        </w:rPr>
        <w:t>)</w:t>
      </w:r>
      <w:r w:rsidR="00444E8A" w:rsidRPr="0074390A">
        <w:rPr>
          <w:rFonts w:ascii="Times New Roman" w:hAnsi="Times New Roman" w:cs="Times New Roman"/>
        </w:rPr>
        <w:t xml:space="preserve"> were </w:t>
      </w:r>
      <w:r w:rsidR="005A3CE2" w:rsidRPr="0074390A">
        <w:rPr>
          <w:rFonts w:ascii="Times New Roman" w:hAnsi="Times New Roman" w:cs="Times New Roman"/>
        </w:rPr>
        <w:t xml:space="preserve">comparable </w:t>
      </w:r>
      <w:r w:rsidR="00444E8A" w:rsidRPr="0074390A">
        <w:rPr>
          <w:rFonts w:ascii="Times New Roman" w:hAnsi="Times New Roman" w:cs="Times New Roman"/>
        </w:rPr>
        <w:t xml:space="preserve">and that there was no overlap between cohorts, minimizing potential biases. </w:t>
      </w:r>
      <w:r w:rsidR="00081449" w:rsidRPr="0074390A">
        <w:rPr>
          <w:rFonts w:ascii="Times New Roman" w:hAnsi="Times New Roman" w:cs="Times New Roman"/>
        </w:rPr>
        <w:t>All</w:t>
      </w:r>
      <w:r w:rsidR="00444E8A" w:rsidRPr="0074390A">
        <w:rPr>
          <w:rFonts w:ascii="Times New Roman" w:hAnsi="Times New Roman" w:cs="Times New Roman"/>
        </w:rPr>
        <w:t xml:space="preserve"> GWAS data </w:t>
      </w:r>
      <w:r w:rsidR="00081449" w:rsidRPr="0074390A">
        <w:rPr>
          <w:rFonts w:ascii="Times New Roman" w:hAnsi="Times New Roman" w:cs="Times New Roman"/>
        </w:rPr>
        <w:t xml:space="preserve">in this study were publicly available, </w:t>
      </w:r>
      <w:r w:rsidR="00444E8A" w:rsidRPr="0074390A">
        <w:rPr>
          <w:rFonts w:ascii="Times New Roman" w:hAnsi="Times New Roman" w:cs="Times New Roman"/>
        </w:rPr>
        <w:t xml:space="preserve">with the informed consent and ethical approval previously obtained. </w:t>
      </w:r>
      <w:r w:rsidR="005640F6" w:rsidRPr="0074390A">
        <w:rPr>
          <w:rFonts w:ascii="Times New Roman" w:hAnsi="Times New Roman" w:cs="Times New Roman"/>
        </w:rPr>
        <w:t>This MR study followed the Strengthening the Reporting of Observational Studies in Epidemiology using Mendelian Randomization (STROBE-MR)</w:t>
      </w:r>
      <w:r w:rsidR="005640F6" w:rsidRPr="0074390A">
        <w:rPr>
          <w:rFonts w:ascii="Times New Roman" w:hAnsi="Times New Roman" w:cs="Times New Roman"/>
          <w:color w:val="000000" w:themeColor="text1"/>
        </w:rPr>
        <w:t xml:space="preserve"> </w:t>
      </w:r>
      <w:r w:rsidRPr="0074390A">
        <w:rPr>
          <w:rFonts w:ascii="Times New Roman" w:hAnsi="Times New Roman" w:cs="Times New Roman"/>
          <w:color w:val="000000" w:themeColor="text1"/>
        </w:rPr>
        <w:t>guidelines</w:t>
      </w:r>
      <w:r w:rsidRPr="0074390A">
        <w:rPr>
          <w:rFonts w:ascii="Times New Roman" w:hAnsi="Times New Roman" w:cs="Times New Roman"/>
          <w:color w:val="000000" w:themeColor="text1"/>
          <w:vertAlign w:val="superscript"/>
        </w:rPr>
        <w:t>16</w:t>
      </w:r>
      <w:r w:rsidRPr="0074390A">
        <w:rPr>
          <w:rFonts w:ascii="Times New Roman" w:hAnsi="Times New Roman" w:cs="Times New Roman"/>
          <w:color w:val="000000" w:themeColor="text1"/>
        </w:rPr>
        <w:t>.</w:t>
      </w:r>
    </w:p>
    <w:p w14:paraId="5404762F" w14:textId="77777777" w:rsidR="00444E8A" w:rsidRPr="0074390A" w:rsidRDefault="00444E8A" w:rsidP="00BB0E7B">
      <w:pPr>
        <w:spacing w:line="360" w:lineRule="auto"/>
        <w:rPr>
          <w:rFonts w:ascii="Times New Roman" w:hAnsi="Times New Roman" w:cs="Times New Roman"/>
          <w:b/>
          <w:bCs/>
        </w:rPr>
      </w:pPr>
    </w:p>
    <w:p w14:paraId="37B04ED1" w14:textId="5ECB0D09" w:rsidR="00B365AC" w:rsidRPr="0074390A" w:rsidRDefault="00B365AC" w:rsidP="00BB0E7B">
      <w:pPr>
        <w:spacing w:line="360" w:lineRule="auto"/>
        <w:rPr>
          <w:rFonts w:ascii="Times New Roman" w:hAnsi="Times New Roman" w:cs="Times New Roman"/>
          <w:b/>
          <w:bCs/>
        </w:rPr>
      </w:pPr>
      <w:r w:rsidRPr="0074390A">
        <w:rPr>
          <w:rFonts w:ascii="Times New Roman" w:hAnsi="Times New Roman" w:cs="Times New Roman"/>
          <w:b/>
          <w:bCs/>
        </w:rPr>
        <w:t>Data sources</w:t>
      </w:r>
    </w:p>
    <w:p w14:paraId="1F167CCE" w14:textId="07B72B48" w:rsidR="00B365AC" w:rsidRPr="0074390A" w:rsidRDefault="00B365AC" w:rsidP="00BB0E7B">
      <w:pPr>
        <w:spacing w:line="360" w:lineRule="auto"/>
        <w:rPr>
          <w:rFonts w:ascii="Times New Roman" w:hAnsi="Times New Roman" w:cs="Times New Roman"/>
          <w:b/>
          <w:bCs/>
          <w:i/>
          <w:iCs/>
        </w:rPr>
      </w:pPr>
      <w:r w:rsidRPr="0074390A">
        <w:rPr>
          <w:rFonts w:ascii="Times New Roman" w:hAnsi="Times New Roman" w:cs="Times New Roman"/>
          <w:b/>
          <w:bCs/>
          <w:i/>
          <w:iCs/>
        </w:rPr>
        <w:t>GWAS summary statistics for BMD (exposure)</w:t>
      </w:r>
    </w:p>
    <w:p w14:paraId="4FCAED81" w14:textId="28C0086B" w:rsidR="00B365AC" w:rsidRPr="0074390A" w:rsidRDefault="005A3CE2" w:rsidP="00BB0E7B">
      <w:pPr>
        <w:spacing w:line="360" w:lineRule="auto"/>
        <w:rPr>
          <w:rFonts w:ascii="Times New Roman" w:hAnsi="Times New Roman" w:cs="Times New Roman"/>
        </w:rPr>
      </w:pPr>
      <w:r w:rsidRPr="0074390A">
        <w:rPr>
          <w:rFonts w:ascii="Times New Roman" w:hAnsi="Times New Roman" w:cs="Times New Roman"/>
        </w:rPr>
        <w:t>W</w:t>
      </w:r>
      <w:r w:rsidR="00E866AE" w:rsidRPr="0074390A">
        <w:rPr>
          <w:rFonts w:ascii="Times New Roman" w:hAnsi="Times New Roman" w:cs="Times New Roman"/>
        </w:rPr>
        <w:t>e used summary statistics from a GWAS meta-analysis for total body BMD (TB-BMD) conducted by Medina-Gomez et al.</w:t>
      </w:r>
      <w:r w:rsidR="00E866AE" w:rsidRPr="0074390A">
        <w:rPr>
          <w:rFonts w:ascii="Times New Roman" w:hAnsi="Times New Roman" w:cs="Times New Roman"/>
          <w:vertAlign w:val="superscript"/>
        </w:rPr>
        <w:t>1</w:t>
      </w:r>
      <w:r w:rsidR="00FA3352" w:rsidRPr="0074390A">
        <w:rPr>
          <w:rFonts w:ascii="Times New Roman" w:hAnsi="Times New Roman" w:cs="Times New Roman"/>
          <w:vertAlign w:val="superscript"/>
        </w:rPr>
        <w:t>7</w:t>
      </w:r>
      <w:r w:rsidR="00E866AE" w:rsidRPr="0074390A">
        <w:rPr>
          <w:rFonts w:ascii="Times New Roman" w:hAnsi="Times New Roman" w:cs="Times New Roman"/>
        </w:rPr>
        <w:t xml:space="preserve">, which included data from 66,628 individuals across 30 cohorts in Europe, Australia and America. The majority (86%) of participants were of European ancestry, providing a robust dataset for genetic analysis. </w:t>
      </w:r>
      <w:r w:rsidR="0068571A" w:rsidRPr="0074390A">
        <w:rPr>
          <w:rFonts w:ascii="Times New Roman" w:hAnsi="Times New Roman" w:cs="Times New Roman"/>
        </w:rPr>
        <w:t xml:space="preserve">We employed only the summary statistics from the European cohort to minimize </w:t>
      </w:r>
      <w:r w:rsidR="00E866AE" w:rsidRPr="0074390A">
        <w:rPr>
          <w:rFonts w:ascii="Times New Roman" w:hAnsi="Times New Roman" w:cs="Times New Roman"/>
        </w:rPr>
        <w:t>potential biases arising from population structure</w:t>
      </w:r>
      <w:r w:rsidR="0068571A" w:rsidRPr="0074390A">
        <w:rPr>
          <w:rFonts w:ascii="Times New Roman" w:hAnsi="Times New Roman" w:cs="Times New Roman"/>
        </w:rPr>
        <w:t xml:space="preserve">. </w:t>
      </w:r>
      <w:r w:rsidR="00E866AE" w:rsidRPr="0074390A">
        <w:rPr>
          <w:rFonts w:ascii="Times New Roman" w:hAnsi="Times New Roman" w:cs="Times New Roman"/>
        </w:rPr>
        <w:t xml:space="preserve">Although there is a preference in clinical settings for measuring BMD at specific sites, TB-BMD </w:t>
      </w:r>
      <w:r w:rsidR="0068571A" w:rsidRPr="0074390A">
        <w:rPr>
          <w:rFonts w:ascii="Times New Roman" w:hAnsi="Times New Roman" w:cs="Times New Roman"/>
        </w:rPr>
        <w:t>assesses</w:t>
      </w:r>
      <w:r w:rsidR="00E866AE" w:rsidRPr="0074390A">
        <w:rPr>
          <w:rFonts w:ascii="Times New Roman" w:hAnsi="Times New Roman" w:cs="Times New Roman"/>
        </w:rPr>
        <w:t xml:space="preserve"> BMD across the entire skeleton, allowing for the capture of a wider range of genetic influences compared to localized measurement. Additionally, the GWAS dataset for TB-BMD is one of the largest available, and the substantial sample size improves the statistical power of the study, enabling the detection of genetic associations with increased reliability. </w:t>
      </w:r>
    </w:p>
    <w:p w14:paraId="06361EDC" w14:textId="77777777" w:rsidR="00B365AC" w:rsidRPr="0074390A" w:rsidRDefault="00B365AC" w:rsidP="00BB0E7B">
      <w:pPr>
        <w:spacing w:line="360" w:lineRule="auto"/>
        <w:rPr>
          <w:rFonts w:ascii="Times New Roman" w:hAnsi="Times New Roman" w:cs="Times New Roman"/>
          <w:b/>
          <w:bCs/>
          <w:i/>
          <w:iCs/>
        </w:rPr>
      </w:pPr>
    </w:p>
    <w:p w14:paraId="7A67F453" w14:textId="14DEBF5F" w:rsidR="00B365AC" w:rsidRPr="0074390A" w:rsidRDefault="00B365AC" w:rsidP="00BB0E7B">
      <w:pPr>
        <w:spacing w:line="360" w:lineRule="auto"/>
        <w:rPr>
          <w:rFonts w:ascii="Times New Roman" w:hAnsi="Times New Roman" w:cs="Times New Roman"/>
          <w:b/>
          <w:bCs/>
          <w:i/>
          <w:iCs/>
        </w:rPr>
      </w:pPr>
      <w:r w:rsidRPr="0074390A">
        <w:rPr>
          <w:rFonts w:ascii="Times New Roman" w:hAnsi="Times New Roman" w:cs="Times New Roman"/>
          <w:b/>
          <w:bCs/>
          <w:i/>
          <w:iCs/>
        </w:rPr>
        <w:t>GWAS summary statistics for CVD (outcomes)</w:t>
      </w:r>
    </w:p>
    <w:p w14:paraId="13F568C3" w14:textId="77777777" w:rsidR="006904D7" w:rsidRPr="0074390A" w:rsidRDefault="008C4694" w:rsidP="00BB0E7B">
      <w:pPr>
        <w:spacing w:line="360" w:lineRule="auto"/>
        <w:rPr>
          <w:rFonts w:ascii="Times New Roman" w:hAnsi="Times New Roman" w:cs="Times New Roman"/>
          <w:color w:val="000000" w:themeColor="text1"/>
        </w:rPr>
      </w:pPr>
      <w:r w:rsidRPr="0074390A">
        <w:rPr>
          <w:rFonts w:ascii="Times New Roman" w:hAnsi="Times New Roman" w:cs="Times New Roman"/>
        </w:rPr>
        <w:t xml:space="preserve">All </w:t>
      </w:r>
      <w:r w:rsidR="00AA351C" w:rsidRPr="0074390A">
        <w:rPr>
          <w:rFonts w:ascii="Times New Roman" w:hAnsi="Times New Roman" w:cs="Times New Roman"/>
        </w:rPr>
        <w:t xml:space="preserve">CVD </w:t>
      </w:r>
      <w:r w:rsidRPr="0074390A">
        <w:rPr>
          <w:rFonts w:ascii="Times New Roman" w:hAnsi="Times New Roman" w:cs="Times New Roman"/>
        </w:rPr>
        <w:t>datasets were derived from the UK Biobank, with a considerable number of cases and controls for each condition, ensuring robust statistical power. For angina (12,114 cases and 373,585 controls), hypertension</w:t>
      </w:r>
      <w:r w:rsidR="00D371A4" w:rsidRPr="0074390A">
        <w:rPr>
          <w:rFonts w:ascii="Times New Roman" w:hAnsi="Times New Roman" w:cs="Times New Roman"/>
        </w:rPr>
        <w:t xml:space="preserve"> </w:t>
      </w:r>
      <w:r w:rsidRPr="0074390A">
        <w:rPr>
          <w:rFonts w:ascii="Times New Roman" w:hAnsi="Times New Roman" w:cs="Times New Roman"/>
        </w:rPr>
        <w:t xml:space="preserve">(99,665 cases and 189,642 controls), </w:t>
      </w:r>
      <w:r w:rsidRPr="0074390A">
        <w:rPr>
          <w:rFonts w:ascii="Times New Roman" w:hAnsi="Times New Roman" w:cs="Times New Roman"/>
          <w:color w:val="000000" w:themeColor="text1"/>
        </w:rPr>
        <w:t xml:space="preserve">chronic </w:t>
      </w:r>
      <w:r w:rsidR="00FA3352" w:rsidRPr="0074390A">
        <w:rPr>
          <w:rFonts w:ascii="Times New Roman" w:hAnsi="Times New Roman" w:cs="Times New Roman"/>
          <w:color w:val="000000" w:themeColor="text1"/>
        </w:rPr>
        <w:t>IHD</w:t>
      </w:r>
      <w:r w:rsidRPr="0074390A">
        <w:rPr>
          <w:rFonts w:ascii="Times New Roman" w:hAnsi="Times New Roman" w:cs="Times New Roman"/>
          <w:color w:val="000000" w:themeColor="text1"/>
        </w:rPr>
        <w:t xml:space="preserve"> (14,456 cases and 286,335 controls) and </w:t>
      </w:r>
      <w:r w:rsidR="00620D07" w:rsidRPr="0074390A">
        <w:rPr>
          <w:rFonts w:ascii="Times New Roman" w:hAnsi="Times New Roman" w:cs="Times New Roman"/>
          <w:color w:val="000000" w:themeColor="text1"/>
        </w:rPr>
        <w:t xml:space="preserve">AF </w:t>
      </w:r>
      <w:r w:rsidRPr="0074390A">
        <w:rPr>
          <w:rFonts w:ascii="Times New Roman" w:hAnsi="Times New Roman" w:cs="Times New Roman"/>
          <w:color w:val="000000" w:themeColor="text1"/>
        </w:rPr>
        <w:t xml:space="preserve">and flutter (10,986 cases and 233,904 controls) we referred to data obtained from </w:t>
      </w:r>
      <w:r w:rsidRPr="0074390A">
        <w:rPr>
          <w:rFonts w:ascii="Times New Roman" w:hAnsi="Times New Roman" w:cs="Times New Roman"/>
          <w:color w:val="000000"/>
        </w:rPr>
        <w:t>Watanabe et al.</w:t>
      </w:r>
      <w:r w:rsidR="00D371A4" w:rsidRPr="0074390A">
        <w:rPr>
          <w:rFonts w:ascii="Times New Roman" w:hAnsi="Times New Roman" w:cs="Times New Roman"/>
          <w:color w:val="000000"/>
          <w:vertAlign w:val="superscript"/>
        </w:rPr>
        <w:t>1</w:t>
      </w:r>
      <w:r w:rsidR="00FA3352" w:rsidRPr="0074390A">
        <w:rPr>
          <w:rFonts w:ascii="Times New Roman" w:hAnsi="Times New Roman" w:cs="Times New Roman"/>
          <w:color w:val="000000"/>
          <w:vertAlign w:val="superscript"/>
        </w:rPr>
        <w:t>8</w:t>
      </w:r>
      <w:r w:rsidR="00D371A4" w:rsidRPr="0074390A">
        <w:rPr>
          <w:rFonts w:ascii="Times New Roman" w:hAnsi="Times New Roman" w:cs="Times New Roman"/>
          <w:color w:val="000000"/>
        </w:rPr>
        <w:t xml:space="preserve">. </w:t>
      </w:r>
      <w:r w:rsidRPr="0074390A">
        <w:rPr>
          <w:rFonts w:ascii="Times New Roman" w:hAnsi="Times New Roman" w:cs="Times New Roman"/>
          <w:color w:val="000000"/>
        </w:rPr>
        <w:t xml:space="preserve">Data for </w:t>
      </w:r>
      <w:r w:rsidRPr="0074390A">
        <w:rPr>
          <w:rFonts w:ascii="Times New Roman" w:hAnsi="Times New Roman" w:cs="Times New Roman"/>
          <w:color w:val="000000" w:themeColor="text1"/>
        </w:rPr>
        <w:t>heart failure (6,504 cases and 387,652</w:t>
      </w:r>
      <w:r w:rsidR="00D371A4" w:rsidRPr="0074390A">
        <w:rPr>
          <w:rFonts w:ascii="Times New Roman" w:hAnsi="Times New Roman" w:cs="Times New Roman"/>
          <w:color w:val="000000" w:themeColor="text1"/>
        </w:rPr>
        <w:t xml:space="preserve"> </w:t>
      </w:r>
      <w:r w:rsidRPr="0074390A">
        <w:rPr>
          <w:rFonts w:ascii="Times New Roman" w:hAnsi="Times New Roman" w:cs="Times New Roman"/>
          <w:color w:val="000000" w:themeColor="text1"/>
        </w:rPr>
        <w:t xml:space="preserve">controls) and </w:t>
      </w:r>
      <w:r w:rsidR="00FA3352" w:rsidRPr="0074390A">
        <w:rPr>
          <w:rFonts w:ascii="Times New Roman" w:hAnsi="Times New Roman" w:cs="Times New Roman"/>
          <w:color w:val="000000" w:themeColor="text1"/>
        </w:rPr>
        <w:t>NICM</w:t>
      </w:r>
      <w:r w:rsidRPr="0074390A">
        <w:rPr>
          <w:rFonts w:ascii="Times New Roman" w:hAnsi="Times New Roman" w:cs="Times New Roman"/>
          <w:color w:val="000000" w:themeColor="text1"/>
        </w:rPr>
        <w:t xml:space="preserve"> (1,816 cases and 388,326 controls)</w:t>
      </w:r>
      <w:r w:rsidR="00D371A4" w:rsidRPr="0074390A">
        <w:rPr>
          <w:rFonts w:ascii="Times New Roman" w:hAnsi="Times New Roman" w:cs="Times New Roman"/>
          <w:color w:val="000000" w:themeColor="text1"/>
        </w:rPr>
        <w:t xml:space="preserve"> </w:t>
      </w:r>
      <w:r w:rsidRPr="0074390A">
        <w:rPr>
          <w:rFonts w:ascii="Times New Roman" w:hAnsi="Times New Roman" w:cs="Times New Roman"/>
          <w:color w:val="000000" w:themeColor="text1"/>
        </w:rPr>
        <w:t xml:space="preserve">were obtained from </w:t>
      </w:r>
      <w:proofErr w:type="spellStart"/>
      <w:r w:rsidRPr="0074390A">
        <w:rPr>
          <w:rFonts w:ascii="Times New Roman" w:hAnsi="Times New Roman" w:cs="Times New Roman"/>
          <w:color w:val="000000" w:themeColor="text1"/>
        </w:rPr>
        <w:t>Aragam</w:t>
      </w:r>
      <w:proofErr w:type="spellEnd"/>
      <w:r w:rsidRPr="0074390A">
        <w:rPr>
          <w:rFonts w:ascii="Times New Roman" w:hAnsi="Times New Roman" w:cs="Times New Roman"/>
          <w:color w:val="000000" w:themeColor="text1"/>
        </w:rPr>
        <w:t xml:space="preserve"> </w:t>
      </w:r>
      <w:r w:rsidRPr="0074390A">
        <w:rPr>
          <w:rFonts w:ascii="Times New Roman" w:hAnsi="Times New Roman" w:cs="Times New Roman"/>
          <w:color w:val="000000" w:themeColor="text1"/>
        </w:rPr>
        <w:lastRenderedPageBreak/>
        <w:t>et al</w:t>
      </w:r>
      <w:r w:rsidR="00D371A4" w:rsidRPr="0074390A">
        <w:rPr>
          <w:rFonts w:ascii="Times New Roman" w:eastAsia="Times New Roman" w:hAnsi="Times New Roman" w:cs="Times New Roman"/>
          <w:color w:val="000000" w:themeColor="text1"/>
          <w:vertAlign w:val="superscript"/>
        </w:rPr>
        <w:t>1</w:t>
      </w:r>
      <w:r w:rsidR="00FA3352" w:rsidRPr="0074390A">
        <w:rPr>
          <w:rFonts w:ascii="Times New Roman" w:eastAsia="Times New Roman" w:hAnsi="Times New Roman" w:cs="Times New Roman"/>
          <w:color w:val="000000" w:themeColor="text1"/>
          <w:vertAlign w:val="superscript"/>
        </w:rPr>
        <w:t>9</w:t>
      </w:r>
      <w:r w:rsidRPr="0074390A">
        <w:rPr>
          <w:rFonts w:ascii="Times New Roman" w:hAnsi="Times New Roman" w:cs="Times New Roman"/>
          <w:color w:val="000000" w:themeColor="text1"/>
        </w:rPr>
        <w:t xml:space="preserve">. Lastly, myocardial infarction data (17,505 cases and 454,212 controls) were obtained from </w:t>
      </w:r>
      <w:proofErr w:type="spellStart"/>
      <w:r w:rsidRPr="0074390A">
        <w:rPr>
          <w:rFonts w:ascii="Times New Roman" w:hAnsi="Times New Roman" w:cs="Times New Roman"/>
          <w:color w:val="000000" w:themeColor="text1"/>
        </w:rPr>
        <w:t>Hartiala</w:t>
      </w:r>
      <w:proofErr w:type="spellEnd"/>
      <w:r w:rsidRPr="0074390A">
        <w:rPr>
          <w:rFonts w:ascii="Times New Roman" w:hAnsi="Times New Roman" w:cs="Times New Roman"/>
          <w:color w:val="000000" w:themeColor="text1"/>
        </w:rPr>
        <w:t xml:space="preserve"> et al</w:t>
      </w:r>
      <w:r w:rsidR="00FA3352" w:rsidRPr="0074390A">
        <w:rPr>
          <w:rFonts w:ascii="Times New Roman" w:hAnsi="Times New Roman" w:cs="Times New Roman"/>
          <w:color w:val="000000" w:themeColor="text1"/>
          <w:vertAlign w:val="superscript"/>
        </w:rPr>
        <w:t>20</w:t>
      </w:r>
      <w:r w:rsidRPr="0074390A">
        <w:rPr>
          <w:rFonts w:ascii="Times New Roman" w:hAnsi="Times New Roman" w:cs="Times New Roman"/>
          <w:color w:val="000000" w:themeColor="text1"/>
        </w:rPr>
        <w:t>. The GWAS summary statistics for all cardiac conditions were downloaded from GWAS Atlas</w:t>
      </w:r>
      <w:r w:rsidR="00FA2305" w:rsidRPr="0074390A">
        <w:rPr>
          <w:rFonts w:ascii="Times New Roman" w:hAnsi="Times New Roman" w:cs="Times New Roman"/>
          <w:color w:val="000000" w:themeColor="text1"/>
          <w:vertAlign w:val="superscript"/>
        </w:rPr>
        <w:t>1</w:t>
      </w:r>
      <w:r w:rsidR="00FA3352" w:rsidRPr="0074390A">
        <w:rPr>
          <w:rFonts w:ascii="Times New Roman" w:hAnsi="Times New Roman" w:cs="Times New Roman"/>
          <w:color w:val="000000" w:themeColor="text1"/>
          <w:vertAlign w:val="superscript"/>
        </w:rPr>
        <w:t>8</w:t>
      </w:r>
      <w:r w:rsidR="00842614" w:rsidRPr="0074390A">
        <w:rPr>
          <w:rFonts w:ascii="Times New Roman" w:hAnsi="Times New Roman" w:cs="Times New Roman"/>
          <w:color w:val="000000" w:themeColor="text1"/>
        </w:rPr>
        <w:t>,</w:t>
      </w:r>
      <w:r w:rsidRPr="0074390A">
        <w:rPr>
          <w:rFonts w:ascii="Times New Roman" w:hAnsi="Times New Roman" w:cs="Times New Roman"/>
          <w:color w:val="000000" w:themeColor="text1"/>
        </w:rPr>
        <w:t xml:space="preserve"> apart from myocardial infarction</w:t>
      </w:r>
      <w:r w:rsidR="00D371A4" w:rsidRPr="0074390A">
        <w:rPr>
          <w:rFonts w:ascii="Times New Roman" w:hAnsi="Times New Roman" w:cs="Times New Roman"/>
          <w:color w:val="000000" w:themeColor="text1"/>
        </w:rPr>
        <w:t>,</w:t>
      </w:r>
      <w:r w:rsidRPr="0074390A">
        <w:rPr>
          <w:rFonts w:ascii="Times New Roman" w:hAnsi="Times New Roman" w:cs="Times New Roman"/>
          <w:color w:val="000000" w:themeColor="text1"/>
        </w:rPr>
        <w:t xml:space="preserve"> which was downloaded from GWAS Catalog</w:t>
      </w:r>
      <w:r w:rsidRPr="0074390A">
        <w:rPr>
          <w:rFonts w:ascii="Times New Roman" w:hAnsi="Times New Roman" w:cs="Times New Roman"/>
          <w:color w:val="000000" w:themeColor="text1"/>
          <w:vertAlign w:val="superscript"/>
        </w:rPr>
        <w:t>2</w:t>
      </w:r>
      <w:r w:rsidR="00FA3352" w:rsidRPr="0074390A">
        <w:rPr>
          <w:rFonts w:ascii="Times New Roman" w:hAnsi="Times New Roman" w:cs="Times New Roman"/>
          <w:color w:val="000000" w:themeColor="text1"/>
          <w:vertAlign w:val="superscript"/>
        </w:rPr>
        <w:t>1</w:t>
      </w:r>
      <w:r w:rsidRPr="0074390A">
        <w:rPr>
          <w:rFonts w:ascii="Times New Roman" w:hAnsi="Times New Roman" w:cs="Times New Roman"/>
          <w:color w:val="000000" w:themeColor="text1"/>
        </w:rPr>
        <w:t>.</w:t>
      </w:r>
      <w:r w:rsidR="00FA2305" w:rsidRPr="0074390A">
        <w:rPr>
          <w:rFonts w:ascii="Times New Roman" w:hAnsi="Times New Roman" w:cs="Times New Roman"/>
          <w:color w:val="000000" w:themeColor="text1"/>
        </w:rPr>
        <w:t xml:space="preserve"> </w:t>
      </w:r>
    </w:p>
    <w:p w14:paraId="4553E2C3" w14:textId="77777777" w:rsidR="004326CD" w:rsidRPr="0074390A" w:rsidRDefault="004326CD" w:rsidP="00BB0E7B">
      <w:pPr>
        <w:spacing w:line="360" w:lineRule="auto"/>
        <w:rPr>
          <w:rFonts w:ascii="Times New Roman" w:hAnsi="Times New Roman" w:cs="Times New Roman"/>
          <w:color w:val="000000" w:themeColor="text1"/>
        </w:rPr>
      </w:pPr>
    </w:p>
    <w:p w14:paraId="37FA514B" w14:textId="771915BC" w:rsidR="00081449" w:rsidRPr="0074390A" w:rsidRDefault="00DA1912" w:rsidP="00BB0E7B">
      <w:pPr>
        <w:spacing w:line="360" w:lineRule="auto"/>
        <w:rPr>
          <w:rFonts w:ascii="Times New Roman" w:hAnsi="Times New Roman" w:cs="Times New Roman"/>
          <w:color w:val="000000" w:themeColor="text1"/>
        </w:rPr>
      </w:pPr>
      <w:r w:rsidRPr="0074390A">
        <w:rPr>
          <w:rFonts w:ascii="Times New Roman" w:hAnsi="Times New Roman" w:cs="Times New Roman"/>
          <w:color w:val="000000" w:themeColor="text1"/>
        </w:rPr>
        <w:t xml:space="preserve">To </w:t>
      </w:r>
      <w:r w:rsidR="006904D7" w:rsidRPr="0074390A">
        <w:rPr>
          <w:rFonts w:ascii="Times New Roman" w:hAnsi="Times New Roman" w:cs="Times New Roman"/>
          <w:color w:val="000000" w:themeColor="text1"/>
        </w:rPr>
        <w:t>validate our findings, we used the FinnGen GWAS database</w:t>
      </w:r>
      <w:r w:rsidRPr="0074390A">
        <w:rPr>
          <w:rFonts w:ascii="Times New Roman" w:hAnsi="Times New Roman" w:cs="Times New Roman"/>
          <w:color w:val="000000" w:themeColor="text1"/>
        </w:rPr>
        <w:t>,</w:t>
      </w:r>
      <w:r w:rsidR="006904D7" w:rsidRPr="0074390A">
        <w:rPr>
          <w:rFonts w:ascii="Times New Roman" w:hAnsi="Times New Roman" w:cs="Times New Roman"/>
          <w:color w:val="000000" w:themeColor="text1"/>
        </w:rPr>
        <w:t xml:space="preserve"> which included 224,737 participants from Finnish ancestry</w:t>
      </w:r>
      <w:r w:rsidR="0027695A" w:rsidRPr="0074390A">
        <w:rPr>
          <w:rFonts w:ascii="Times New Roman" w:hAnsi="Times New Roman" w:cs="Times New Roman"/>
          <w:color w:val="000000" w:themeColor="text1"/>
        </w:rPr>
        <w:t xml:space="preserve"> (https://www.finngen.fi/en)</w:t>
      </w:r>
      <w:r w:rsidR="006904D7" w:rsidRPr="0074390A">
        <w:rPr>
          <w:rFonts w:ascii="Times New Roman" w:hAnsi="Times New Roman" w:cs="Times New Roman"/>
          <w:color w:val="000000" w:themeColor="text1"/>
        </w:rPr>
        <w:t>. The FinnGen consortium is an ongoing project launched in Finland in 2017, collecting genetic and electronic health record information, aiming to explore the human genome</w:t>
      </w:r>
      <w:r w:rsidR="004326CD" w:rsidRPr="0074390A">
        <w:rPr>
          <w:rFonts w:ascii="Times New Roman" w:hAnsi="Times New Roman" w:cs="Times New Roman"/>
          <w:color w:val="000000" w:themeColor="text1"/>
          <w:vertAlign w:val="superscript"/>
        </w:rPr>
        <w:t>22</w:t>
      </w:r>
      <w:r w:rsidR="006904D7" w:rsidRPr="0074390A">
        <w:rPr>
          <w:rFonts w:ascii="Times New Roman" w:hAnsi="Times New Roman" w:cs="Times New Roman"/>
          <w:color w:val="000000" w:themeColor="text1"/>
        </w:rPr>
        <w:t>. Seven CVDs were used as outcomes in this study. These included angina</w:t>
      </w:r>
      <w:r w:rsidRPr="0074390A">
        <w:rPr>
          <w:rFonts w:ascii="Times New Roman" w:hAnsi="Times New Roman" w:cs="Times New Roman"/>
          <w:color w:val="000000" w:themeColor="text1"/>
        </w:rPr>
        <w:t xml:space="preserve"> </w:t>
      </w:r>
      <w:r w:rsidRPr="0074390A">
        <w:rPr>
          <w:rFonts w:ascii="Times New Roman" w:hAnsi="Times New Roman" w:cs="Times New Roman"/>
        </w:rPr>
        <w:t>(36,875 cases and 343,079 controls),</w:t>
      </w:r>
      <w:r w:rsidRPr="0074390A">
        <w:rPr>
          <w:rFonts w:ascii="Times New Roman" w:hAnsi="Times New Roman" w:cs="Times New Roman"/>
          <w:color w:val="000000" w:themeColor="text1"/>
        </w:rPr>
        <w:t xml:space="preserve"> </w:t>
      </w:r>
      <w:r w:rsidR="006904D7" w:rsidRPr="0074390A">
        <w:rPr>
          <w:rFonts w:ascii="Times New Roman" w:hAnsi="Times New Roman" w:cs="Times New Roman"/>
          <w:color w:val="000000" w:themeColor="text1"/>
        </w:rPr>
        <w:t>hypertension</w:t>
      </w:r>
      <w:r w:rsidRPr="0074390A">
        <w:rPr>
          <w:rFonts w:ascii="Times New Roman" w:hAnsi="Times New Roman" w:cs="Times New Roman"/>
          <w:color w:val="000000" w:themeColor="text1"/>
        </w:rPr>
        <w:t xml:space="preserve"> </w:t>
      </w:r>
      <w:r w:rsidRPr="0074390A">
        <w:rPr>
          <w:rFonts w:ascii="Times New Roman" w:hAnsi="Times New Roman" w:cs="Times New Roman"/>
        </w:rPr>
        <w:t>(122,996 cases and 289,117 controls)</w:t>
      </w:r>
      <w:r w:rsidR="006904D7" w:rsidRPr="0074390A">
        <w:rPr>
          <w:rFonts w:ascii="Times New Roman" w:hAnsi="Times New Roman" w:cs="Times New Roman"/>
          <w:color w:val="000000" w:themeColor="text1"/>
        </w:rPr>
        <w:t>, chronic IHD</w:t>
      </w:r>
      <w:r w:rsidRPr="0074390A">
        <w:rPr>
          <w:rFonts w:ascii="Times New Roman" w:hAnsi="Times New Roman" w:cs="Times New Roman"/>
          <w:color w:val="000000" w:themeColor="text1"/>
        </w:rPr>
        <w:t xml:space="preserve"> </w:t>
      </w:r>
      <w:r w:rsidRPr="0074390A">
        <w:rPr>
          <w:rFonts w:ascii="Times New Roman" w:hAnsi="Times New Roman" w:cs="Times New Roman"/>
        </w:rPr>
        <w:t>(69,008 cases and 343,173 controls)</w:t>
      </w:r>
      <w:r w:rsidR="006904D7" w:rsidRPr="0074390A">
        <w:rPr>
          <w:rFonts w:ascii="Times New Roman" w:hAnsi="Times New Roman" w:cs="Times New Roman"/>
          <w:color w:val="000000" w:themeColor="text1"/>
        </w:rPr>
        <w:t>, AF and flutter</w:t>
      </w:r>
      <w:r w:rsidRPr="0074390A">
        <w:rPr>
          <w:rFonts w:ascii="Times New Roman" w:hAnsi="Times New Roman" w:cs="Times New Roman"/>
          <w:color w:val="000000" w:themeColor="text1"/>
        </w:rPr>
        <w:t xml:space="preserve"> </w:t>
      </w:r>
      <w:r w:rsidRPr="0074390A">
        <w:rPr>
          <w:rFonts w:ascii="Times New Roman" w:hAnsi="Times New Roman" w:cs="Times New Roman"/>
        </w:rPr>
        <w:t>(50,743 cases and 210,652 controls)</w:t>
      </w:r>
      <w:r w:rsidR="006904D7" w:rsidRPr="0074390A">
        <w:rPr>
          <w:rFonts w:ascii="Times New Roman" w:hAnsi="Times New Roman" w:cs="Times New Roman"/>
          <w:color w:val="000000" w:themeColor="text1"/>
        </w:rPr>
        <w:t>, heart failure</w:t>
      </w:r>
      <w:r w:rsidRPr="0074390A">
        <w:rPr>
          <w:rFonts w:ascii="Times New Roman" w:hAnsi="Times New Roman" w:cs="Times New Roman"/>
          <w:color w:val="000000" w:themeColor="text1"/>
        </w:rPr>
        <w:t xml:space="preserve"> </w:t>
      </w:r>
      <w:r w:rsidRPr="0074390A">
        <w:rPr>
          <w:rFonts w:ascii="Times New Roman" w:hAnsi="Times New Roman" w:cs="Times New Roman"/>
        </w:rPr>
        <w:t>(29,218 cases and 381,838 controls)</w:t>
      </w:r>
      <w:r w:rsidR="006904D7" w:rsidRPr="0074390A">
        <w:rPr>
          <w:rFonts w:ascii="Times New Roman" w:hAnsi="Times New Roman" w:cs="Times New Roman"/>
          <w:color w:val="000000" w:themeColor="text1"/>
        </w:rPr>
        <w:t xml:space="preserve">, NICM </w:t>
      </w:r>
      <w:r w:rsidRPr="0074390A">
        <w:rPr>
          <w:rFonts w:ascii="Times New Roman" w:hAnsi="Times New Roman" w:cs="Times New Roman"/>
        </w:rPr>
        <w:t xml:space="preserve">(10,839 cases and 332,334 controls), </w:t>
      </w:r>
      <w:r w:rsidR="006904D7" w:rsidRPr="0074390A">
        <w:rPr>
          <w:rFonts w:ascii="Times New Roman" w:hAnsi="Times New Roman" w:cs="Times New Roman"/>
          <w:color w:val="000000" w:themeColor="text1"/>
        </w:rPr>
        <w:t>and myocardial infarction</w:t>
      </w:r>
      <w:r w:rsidRPr="0074390A">
        <w:rPr>
          <w:rFonts w:ascii="Times New Roman" w:hAnsi="Times New Roman" w:cs="Times New Roman"/>
          <w:color w:val="000000" w:themeColor="text1"/>
        </w:rPr>
        <w:t xml:space="preserve"> </w:t>
      </w:r>
      <w:r w:rsidRPr="0074390A">
        <w:rPr>
          <w:rFonts w:ascii="Times New Roman" w:hAnsi="Times New Roman" w:cs="Times New Roman"/>
        </w:rPr>
        <w:t>(26,060 cases and 343,079 controls)</w:t>
      </w:r>
      <w:r w:rsidR="006904D7" w:rsidRPr="0074390A">
        <w:rPr>
          <w:rFonts w:ascii="Times New Roman" w:hAnsi="Times New Roman" w:cs="Times New Roman"/>
          <w:color w:val="000000" w:themeColor="text1"/>
        </w:rPr>
        <w:t xml:space="preserve">.  </w:t>
      </w:r>
      <w:r w:rsidR="00AA351C" w:rsidRPr="0074390A">
        <w:rPr>
          <w:rFonts w:ascii="Times New Roman" w:hAnsi="Times New Roman" w:cs="Times New Roman"/>
        </w:rPr>
        <w:t xml:space="preserve">A detailed description of the studies included and the corresponding ICD10 codes used to define the CVD outcomes is presented in </w:t>
      </w:r>
      <w:r w:rsidR="00AA351C" w:rsidRPr="0074390A">
        <w:rPr>
          <w:rFonts w:ascii="Times New Roman" w:hAnsi="Times New Roman" w:cs="Times New Roman"/>
          <w:b/>
          <w:bCs/>
        </w:rPr>
        <w:t>Supplementary Tables 1</w:t>
      </w:r>
      <w:r w:rsidR="006904D7" w:rsidRPr="0074390A">
        <w:rPr>
          <w:rFonts w:ascii="Times New Roman" w:hAnsi="Times New Roman" w:cs="Times New Roman"/>
        </w:rPr>
        <w:t>-</w:t>
      </w:r>
      <w:r w:rsidR="006904D7" w:rsidRPr="0074390A">
        <w:rPr>
          <w:rFonts w:ascii="Times New Roman" w:hAnsi="Times New Roman" w:cs="Times New Roman"/>
          <w:b/>
          <w:bCs/>
        </w:rPr>
        <w:t>3</w:t>
      </w:r>
      <w:r w:rsidR="00AA351C" w:rsidRPr="0074390A">
        <w:rPr>
          <w:rFonts w:ascii="Times New Roman" w:hAnsi="Times New Roman" w:cs="Times New Roman"/>
        </w:rPr>
        <w:t>.</w:t>
      </w:r>
    </w:p>
    <w:p w14:paraId="324DA6D5" w14:textId="77777777" w:rsidR="004326CD" w:rsidRPr="0074390A" w:rsidRDefault="004326CD" w:rsidP="00BB0E7B">
      <w:pPr>
        <w:spacing w:line="360" w:lineRule="auto"/>
        <w:rPr>
          <w:rFonts w:ascii="Times New Roman" w:hAnsi="Times New Roman" w:cs="Times New Roman"/>
        </w:rPr>
      </w:pPr>
    </w:p>
    <w:p w14:paraId="47230102" w14:textId="77777777" w:rsidR="00DA1912" w:rsidRPr="0074390A" w:rsidRDefault="00DA1912" w:rsidP="00BB0E7B">
      <w:pPr>
        <w:spacing w:line="360" w:lineRule="auto"/>
        <w:rPr>
          <w:rFonts w:ascii="Times New Roman" w:hAnsi="Times New Roman" w:cs="Times New Roman"/>
        </w:rPr>
      </w:pPr>
    </w:p>
    <w:p w14:paraId="7F285931" w14:textId="2BE183A4" w:rsidR="00B365AC" w:rsidRPr="0074390A" w:rsidRDefault="00FA3352" w:rsidP="00BB0E7B">
      <w:pPr>
        <w:spacing w:line="360" w:lineRule="auto"/>
        <w:rPr>
          <w:rFonts w:ascii="Times New Roman" w:hAnsi="Times New Roman" w:cs="Times New Roman"/>
          <w:b/>
          <w:bCs/>
        </w:rPr>
      </w:pPr>
      <w:r w:rsidRPr="0074390A">
        <w:rPr>
          <w:rFonts w:ascii="Times New Roman" w:hAnsi="Times New Roman" w:cs="Times New Roman"/>
          <w:b/>
          <w:bCs/>
        </w:rPr>
        <w:t>Selection of instrumental variables</w:t>
      </w:r>
    </w:p>
    <w:p w14:paraId="217D4EE5" w14:textId="730CA747" w:rsidR="00827347" w:rsidRPr="0074390A" w:rsidRDefault="00827347" w:rsidP="00BB0E7B">
      <w:pPr>
        <w:spacing w:line="360" w:lineRule="auto"/>
        <w:rPr>
          <w:rFonts w:ascii="Times New Roman" w:hAnsi="Times New Roman" w:cs="Times New Roman"/>
          <w:color w:val="000000" w:themeColor="text1"/>
        </w:rPr>
      </w:pPr>
      <w:r w:rsidRPr="0074390A">
        <w:rPr>
          <w:rFonts w:ascii="Times New Roman" w:hAnsi="Times New Roman" w:cs="Times New Roman"/>
          <w:color w:val="000000" w:themeColor="text1"/>
        </w:rPr>
        <w:t>In our MR analysis, single nucleotide polymorphism</w:t>
      </w:r>
      <w:r w:rsidR="00842614" w:rsidRPr="0074390A">
        <w:rPr>
          <w:rFonts w:ascii="Times New Roman" w:hAnsi="Times New Roman" w:cs="Times New Roman"/>
          <w:color w:val="000000" w:themeColor="text1"/>
        </w:rPr>
        <w:t>s</w:t>
      </w:r>
      <w:r w:rsidRPr="0074390A">
        <w:rPr>
          <w:rFonts w:ascii="Times New Roman" w:hAnsi="Times New Roman" w:cs="Times New Roman"/>
          <w:color w:val="000000" w:themeColor="text1"/>
        </w:rPr>
        <w:t xml:space="preserve"> (SNPs) served as instrumental variables (IVs). </w:t>
      </w:r>
      <w:r w:rsidR="00D371A4" w:rsidRPr="0074390A">
        <w:rPr>
          <w:rFonts w:ascii="Times New Roman" w:hAnsi="Times New Roman" w:cs="Times New Roman"/>
          <w:color w:val="000000" w:themeColor="text1"/>
        </w:rPr>
        <w:t xml:space="preserve">A screening protocol for IVs was applied, including (1) extraction of genetic variants that </w:t>
      </w:r>
      <w:r w:rsidR="00A231D0" w:rsidRPr="0074390A">
        <w:rPr>
          <w:rFonts w:ascii="Times New Roman" w:hAnsi="Times New Roman" w:cs="Times New Roman"/>
          <w:color w:val="000000" w:themeColor="text1"/>
        </w:rPr>
        <w:t xml:space="preserve">met the </w:t>
      </w:r>
      <w:r w:rsidR="00D371A4" w:rsidRPr="0074390A">
        <w:rPr>
          <w:rFonts w:ascii="Times New Roman" w:hAnsi="Times New Roman" w:cs="Times New Roman"/>
          <w:color w:val="000000" w:themeColor="text1"/>
        </w:rPr>
        <w:t>GWAS p-value threshold for genome-wide significance (p&lt;5 × 10</w:t>
      </w:r>
      <w:r w:rsidR="00D371A4" w:rsidRPr="0074390A">
        <w:rPr>
          <w:rFonts w:ascii="Times New Roman" w:hAnsi="Times New Roman" w:cs="Times New Roman"/>
          <w:color w:val="000000" w:themeColor="text1"/>
          <w:vertAlign w:val="superscript"/>
        </w:rPr>
        <w:t>−8</w:t>
      </w:r>
      <w:r w:rsidR="00D371A4" w:rsidRPr="0074390A">
        <w:rPr>
          <w:rFonts w:ascii="Times New Roman" w:hAnsi="Times New Roman" w:cs="Times New Roman"/>
          <w:color w:val="000000" w:themeColor="text1"/>
        </w:rPr>
        <w:t xml:space="preserve">); (2) application of linkage disequilibrium (LD) clumping </w:t>
      </w:r>
      <w:r w:rsidR="00A231D0" w:rsidRPr="0074390A">
        <w:rPr>
          <w:rFonts w:ascii="Times New Roman" w:hAnsi="Times New Roman" w:cs="Times New Roman"/>
          <w:color w:val="000000" w:themeColor="text1"/>
        </w:rPr>
        <w:t xml:space="preserve">with an </w:t>
      </w:r>
      <w:r w:rsidR="00D371A4" w:rsidRPr="0074390A">
        <w:rPr>
          <w:rFonts w:ascii="Times New Roman" w:hAnsi="Times New Roman" w:cs="Times New Roman"/>
          <w:color w:val="000000" w:themeColor="text1"/>
        </w:rPr>
        <w:t>r</w:t>
      </w:r>
      <w:r w:rsidR="00D371A4" w:rsidRPr="0074390A">
        <w:rPr>
          <w:rFonts w:ascii="Times New Roman" w:hAnsi="Times New Roman" w:cs="Times New Roman"/>
          <w:color w:val="000000" w:themeColor="text1"/>
          <w:vertAlign w:val="superscript"/>
        </w:rPr>
        <w:t>2</w:t>
      </w:r>
      <w:r w:rsidR="00D371A4" w:rsidRPr="0074390A">
        <w:rPr>
          <w:rFonts w:ascii="Times New Roman" w:hAnsi="Times New Roman" w:cs="Times New Roman"/>
          <w:color w:val="000000" w:themeColor="text1"/>
        </w:rPr>
        <w:t xml:space="preserve">=0.001 </w:t>
      </w:r>
      <w:r w:rsidR="00A231D0" w:rsidRPr="0074390A">
        <w:rPr>
          <w:rFonts w:ascii="Times New Roman" w:hAnsi="Times New Roman" w:cs="Times New Roman"/>
          <w:color w:val="000000" w:themeColor="text1"/>
        </w:rPr>
        <w:t xml:space="preserve">and a </w:t>
      </w:r>
      <w:r w:rsidR="00D371A4" w:rsidRPr="0074390A">
        <w:rPr>
          <w:rFonts w:ascii="Times New Roman" w:hAnsi="Times New Roman" w:cs="Times New Roman"/>
          <w:color w:val="000000" w:themeColor="text1"/>
        </w:rPr>
        <w:t>10.000 kb window</w:t>
      </w:r>
      <w:r w:rsidR="00A231D0" w:rsidRPr="0074390A">
        <w:rPr>
          <w:rFonts w:ascii="Times New Roman" w:hAnsi="Times New Roman" w:cs="Times New Roman"/>
          <w:color w:val="000000" w:themeColor="text1"/>
        </w:rPr>
        <w:t xml:space="preserve">s size </w:t>
      </w:r>
      <w:r w:rsidR="00D371A4" w:rsidRPr="0074390A">
        <w:rPr>
          <w:rFonts w:ascii="Times New Roman" w:hAnsi="Times New Roman" w:cs="Times New Roman"/>
          <w:color w:val="000000" w:themeColor="text1"/>
        </w:rPr>
        <w:t xml:space="preserve">to </w:t>
      </w:r>
      <w:r w:rsidR="00A231D0" w:rsidRPr="0074390A">
        <w:rPr>
          <w:rFonts w:ascii="Times New Roman" w:hAnsi="Times New Roman" w:cs="Times New Roman"/>
          <w:color w:val="000000" w:themeColor="text1"/>
        </w:rPr>
        <w:t xml:space="preserve">guarantee the independence of these </w:t>
      </w:r>
      <w:r w:rsidRPr="0074390A">
        <w:rPr>
          <w:rFonts w:ascii="Times New Roman" w:hAnsi="Times New Roman" w:cs="Times New Roman"/>
          <w:color w:val="000000" w:themeColor="text1"/>
        </w:rPr>
        <w:t xml:space="preserve">variants. Moreover, we obtained GWAS summary data for cardiac conditions using the same group of SNPs. By ensuring the robustness of IVs through these stringent selection criteria, we aimed to enhance the reliability and validity of our MR analysis. </w:t>
      </w:r>
    </w:p>
    <w:p w14:paraId="29FAF833" w14:textId="77777777" w:rsidR="00B365AC" w:rsidRPr="0074390A" w:rsidRDefault="00B365AC" w:rsidP="00BB0E7B">
      <w:pPr>
        <w:spacing w:line="360" w:lineRule="auto"/>
        <w:rPr>
          <w:rFonts w:ascii="Times New Roman" w:hAnsi="Times New Roman" w:cs="Times New Roman"/>
          <w:b/>
          <w:bCs/>
        </w:rPr>
      </w:pPr>
    </w:p>
    <w:p w14:paraId="41AD999B" w14:textId="7B96DB34" w:rsidR="00B365AC" w:rsidRPr="0074390A" w:rsidRDefault="005640F6" w:rsidP="00BB0E7B">
      <w:pPr>
        <w:spacing w:line="360" w:lineRule="auto"/>
        <w:rPr>
          <w:rFonts w:ascii="Times New Roman" w:hAnsi="Times New Roman" w:cs="Times New Roman"/>
          <w:b/>
          <w:bCs/>
        </w:rPr>
      </w:pPr>
      <w:r w:rsidRPr="0074390A">
        <w:rPr>
          <w:rFonts w:ascii="Times New Roman" w:hAnsi="Times New Roman" w:cs="Times New Roman"/>
          <w:b/>
          <w:bCs/>
        </w:rPr>
        <w:t>Power calculations</w:t>
      </w:r>
    </w:p>
    <w:p w14:paraId="37B45B26" w14:textId="651466AF" w:rsidR="005640F6" w:rsidRPr="0074390A" w:rsidRDefault="00222B70" w:rsidP="00BB0E7B">
      <w:pPr>
        <w:spacing w:line="360" w:lineRule="auto"/>
        <w:rPr>
          <w:rFonts w:ascii="Times New Roman" w:eastAsia="Times New Roman" w:hAnsi="Times New Roman" w:cs="Times New Roman"/>
          <w:color w:val="000000" w:themeColor="text1"/>
        </w:rPr>
      </w:pPr>
      <w:r w:rsidRPr="0074390A">
        <w:rPr>
          <w:rFonts w:ascii="Times New Roman" w:hAnsi="Times New Roman" w:cs="Times New Roman"/>
          <w:color w:val="000000" w:themeColor="text1"/>
        </w:rPr>
        <w:t xml:space="preserve">We conducted a two-sample MR to evaluate the causal association between BMD (Non-UK Biobank) as the exposure and the seven cardiac conditions </w:t>
      </w:r>
      <w:r w:rsidR="002F3EED" w:rsidRPr="0074390A">
        <w:rPr>
          <w:rFonts w:ascii="Times New Roman" w:hAnsi="Times New Roman" w:cs="Times New Roman"/>
          <w:color w:val="000000" w:themeColor="text1"/>
        </w:rPr>
        <w:t>as outcomes</w:t>
      </w:r>
      <w:r w:rsidRPr="0074390A">
        <w:rPr>
          <w:rFonts w:ascii="Times New Roman" w:hAnsi="Times New Roman" w:cs="Times New Roman"/>
          <w:color w:val="000000" w:themeColor="text1"/>
        </w:rPr>
        <w:t>(using data from UK Biobank</w:t>
      </w:r>
      <w:r w:rsidR="00F37B55" w:rsidRPr="0074390A">
        <w:rPr>
          <w:rFonts w:ascii="Times New Roman" w:hAnsi="Times New Roman" w:cs="Times New Roman"/>
          <w:color w:val="000000" w:themeColor="text1"/>
        </w:rPr>
        <w:t xml:space="preserve"> and FinnGen</w:t>
      </w:r>
      <w:r w:rsidRPr="0074390A">
        <w:rPr>
          <w:rFonts w:ascii="Times New Roman" w:hAnsi="Times New Roman" w:cs="Times New Roman"/>
          <w:color w:val="000000" w:themeColor="text1"/>
        </w:rPr>
        <w:t>).</w:t>
      </w:r>
      <w:r w:rsidR="003E45D5" w:rsidRPr="0074390A">
        <w:rPr>
          <w:rFonts w:ascii="Times New Roman" w:hAnsi="Times New Roman" w:cs="Times New Roman"/>
          <w:color w:val="000000" w:themeColor="text1"/>
        </w:rPr>
        <w:t xml:space="preserve"> </w:t>
      </w:r>
      <w:r w:rsidR="00FB54E5" w:rsidRPr="0074390A">
        <w:rPr>
          <w:rFonts w:ascii="Times New Roman" w:hAnsi="Times New Roman" w:cs="Times New Roman"/>
        </w:rPr>
        <w:t>Power calculations were conducted to determine whether our study was adequately powered to detect true causal effects between BMD and CVD outcomes</w:t>
      </w:r>
      <w:r w:rsidR="00026CED" w:rsidRPr="0074390A">
        <w:rPr>
          <w:rFonts w:ascii="Times New Roman" w:hAnsi="Times New Roman" w:cs="Times New Roman"/>
        </w:rPr>
        <w:t xml:space="preserve"> (</w:t>
      </w:r>
      <w:r w:rsidR="00026CED" w:rsidRPr="0074390A">
        <w:rPr>
          <w:rFonts w:ascii="Times New Roman" w:hAnsi="Times New Roman" w:cs="Times New Roman"/>
          <w:b/>
          <w:bCs/>
        </w:rPr>
        <w:t xml:space="preserve">Supplementary Table </w:t>
      </w:r>
      <w:r w:rsidR="00F37B55" w:rsidRPr="0074390A">
        <w:rPr>
          <w:rFonts w:ascii="Times New Roman" w:hAnsi="Times New Roman" w:cs="Times New Roman"/>
          <w:b/>
          <w:bCs/>
        </w:rPr>
        <w:t>4</w:t>
      </w:r>
      <w:r w:rsidR="00026CED" w:rsidRPr="0074390A">
        <w:rPr>
          <w:rFonts w:ascii="Times New Roman" w:hAnsi="Times New Roman" w:cs="Times New Roman"/>
        </w:rPr>
        <w:t>)</w:t>
      </w:r>
      <w:r w:rsidR="00FB54E5" w:rsidRPr="0074390A">
        <w:rPr>
          <w:rFonts w:ascii="Times New Roman" w:hAnsi="Times New Roman" w:cs="Times New Roman"/>
        </w:rPr>
        <w:t xml:space="preserve">. The power of the MR estimates was calculated using </w:t>
      </w:r>
      <w:r w:rsidR="00FB54E5" w:rsidRPr="0074390A">
        <w:rPr>
          <w:rFonts w:ascii="Times New Roman" w:eastAsia="Times New Roman" w:hAnsi="Times New Roman" w:cs="Times New Roman"/>
          <w:color w:val="000000" w:themeColor="text1"/>
        </w:rPr>
        <w:t xml:space="preserve">the </w:t>
      </w:r>
      <w:r w:rsidR="003E45D5" w:rsidRPr="0074390A">
        <w:rPr>
          <w:rFonts w:ascii="Times New Roman" w:eastAsia="Times New Roman" w:hAnsi="Times New Roman" w:cs="Times New Roman"/>
          <w:color w:val="000000" w:themeColor="text1"/>
        </w:rPr>
        <w:t xml:space="preserve">online tool mRnd: Power calculations for </w:t>
      </w:r>
      <w:r w:rsidR="00FB54E5" w:rsidRPr="0074390A">
        <w:rPr>
          <w:rFonts w:ascii="Times New Roman" w:eastAsia="Times New Roman" w:hAnsi="Times New Roman" w:cs="Times New Roman"/>
          <w:color w:val="000000" w:themeColor="text1"/>
        </w:rPr>
        <w:t>MR</w:t>
      </w:r>
      <w:r w:rsidR="003E45D5" w:rsidRPr="0074390A">
        <w:rPr>
          <w:rFonts w:ascii="Times New Roman" w:eastAsia="Times New Roman" w:hAnsi="Times New Roman" w:cs="Times New Roman"/>
          <w:color w:val="000000" w:themeColor="text1"/>
        </w:rPr>
        <w:t xml:space="preserve"> (</w:t>
      </w:r>
      <w:hyperlink r:id="rId7" w:history="1">
        <w:r w:rsidR="003E45D5" w:rsidRPr="0074390A">
          <w:rPr>
            <w:rStyle w:val="Hyperlink"/>
            <w:rFonts w:ascii="Times New Roman" w:eastAsia="Times New Roman" w:hAnsi="Times New Roman" w:cs="Times New Roman"/>
            <w:color w:val="000000" w:themeColor="text1"/>
          </w:rPr>
          <w:t>shiny.cnsgenomics.com/mRnd/</w:t>
        </w:r>
      </w:hyperlink>
      <w:r w:rsidR="003E45D5" w:rsidRPr="0074390A">
        <w:rPr>
          <w:rFonts w:ascii="Times New Roman" w:eastAsia="Times New Roman" w:hAnsi="Times New Roman" w:cs="Times New Roman"/>
          <w:color w:val="000000" w:themeColor="text1"/>
        </w:rPr>
        <w:t xml:space="preserve">) to ascertain the </w:t>
      </w:r>
      <w:r w:rsidR="003E45D5" w:rsidRPr="0074390A">
        <w:rPr>
          <w:rFonts w:ascii="Times New Roman" w:eastAsia="Times New Roman" w:hAnsi="Times New Roman" w:cs="Times New Roman"/>
          <w:color w:val="000000" w:themeColor="text1"/>
        </w:rPr>
        <w:lastRenderedPageBreak/>
        <w:t>power of finding MR connections</w:t>
      </w:r>
      <w:r w:rsidR="003E45D5" w:rsidRPr="0074390A">
        <w:rPr>
          <w:rFonts w:ascii="Times New Roman" w:eastAsia="Times New Roman" w:hAnsi="Times New Roman" w:cs="Times New Roman"/>
          <w:color w:val="000000" w:themeColor="text1"/>
          <w:vertAlign w:val="superscript"/>
        </w:rPr>
        <w:t>2</w:t>
      </w:r>
      <w:r w:rsidR="00F37B55" w:rsidRPr="0074390A">
        <w:rPr>
          <w:rFonts w:ascii="Times New Roman" w:eastAsia="Times New Roman" w:hAnsi="Times New Roman" w:cs="Times New Roman"/>
          <w:color w:val="000000" w:themeColor="text1"/>
          <w:vertAlign w:val="superscript"/>
        </w:rPr>
        <w:t>3</w:t>
      </w:r>
      <w:r w:rsidR="003E45D5" w:rsidRPr="0074390A">
        <w:rPr>
          <w:rFonts w:ascii="Times New Roman" w:eastAsia="Times New Roman" w:hAnsi="Times New Roman" w:cs="Times New Roman"/>
          <w:color w:val="000000" w:themeColor="text1"/>
        </w:rPr>
        <w:t xml:space="preserve">. This approach considers the number of cases in the binary outcome GWAS, and the variance in the exposure attributed to the instrumental variables. </w:t>
      </w:r>
      <w:r w:rsidR="00FA2305" w:rsidRPr="0074390A">
        <w:rPr>
          <w:rFonts w:ascii="Times New Roman" w:eastAsia="Times New Roman" w:hAnsi="Times New Roman" w:cs="Times New Roman"/>
          <w:color w:val="000000" w:themeColor="text1"/>
        </w:rPr>
        <w:t xml:space="preserve">The statistical power was calculated considering α = 0.05/8 (adjusted for the number of associations) and 90% power. </w:t>
      </w:r>
    </w:p>
    <w:p w14:paraId="79FB215C" w14:textId="77777777" w:rsidR="005640F6" w:rsidRPr="0074390A" w:rsidRDefault="005640F6" w:rsidP="00BB0E7B">
      <w:pPr>
        <w:spacing w:line="360" w:lineRule="auto"/>
        <w:rPr>
          <w:rFonts w:ascii="Times New Roman" w:eastAsia="Times New Roman" w:hAnsi="Times New Roman" w:cs="Times New Roman"/>
          <w:color w:val="000000" w:themeColor="text1"/>
        </w:rPr>
      </w:pPr>
    </w:p>
    <w:p w14:paraId="50E7B254" w14:textId="4D698FA8" w:rsidR="005640F6" w:rsidRPr="0074390A" w:rsidRDefault="005640F6" w:rsidP="00BB0E7B">
      <w:pPr>
        <w:spacing w:line="360" w:lineRule="auto"/>
        <w:rPr>
          <w:rFonts w:ascii="Times New Roman" w:eastAsia="Times New Roman" w:hAnsi="Times New Roman" w:cs="Times New Roman"/>
          <w:b/>
          <w:bCs/>
          <w:color w:val="000000" w:themeColor="text1"/>
        </w:rPr>
      </w:pPr>
      <w:r w:rsidRPr="0074390A">
        <w:rPr>
          <w:rFonts w:ascii="Times New Roman" w:eastAsia="Times New Roman" w:hAnsi="Times New Roman" w:cs="Times New Roman"/>
          <w:b/>
          <w:bCs/>
          <w:color w:val="000000" w:themeColor="text1"/>
        </w:rPr>
        <w:t>Statistical analysis</w:t>
      </w:r>
    </w:p>
    <w:p w14:paraId="74A4F5F7" w14:textId="11175520" w:rsidR="00222B70" w:rsidRPr="0074390A" w:rsidRDefault="00827347" w:rsidP="00BB0E7B">
      <w:pPr>
        <w:spacing w:line="360" w:lineRule="auto"/>
        <w:rPr>
          <w:rFonts w:ascii="Times New Roman" w:hAnsi="Times New Roman" w:cs="Times New Roman"/>
        </w:rPr>
      </w:pPr>
      <w:r w:rsidRPr="0074390A">
        <w:rPr>
          <w:rFonts w:ascii="Times New Roman" w:hAnsi="Times New Roman" w:cs="Times New Roman"/>
        </w:rPr>
        <w:t xml:space="preserve">The causal relationships were assessed using the inverse variance weighted (IVW) method. To enhance this approach, several robust MR methods were used in the sensitivity analysis, including weighted median, weighted mode and MR Egger methods. </w:t>
      </w:r>
      <w:r w:rsidR="00FB54E5" w:rsidRPr="0074390A">
        <w:rPr>
          <w:rFonts w:ascii="Times New Roman" w:hAnsi="Times New Roman" w:cs="Times New Roman"/>
          <w:color w:val="000000" w:themeColor="text1"/>
        </w:rPr>
        <w:t xml:space="preserve">The presence of horizontal pleiotropy was evaluated using </w:t>
      </w:r>
      <w:r w:rsidR="005640F6" w:rsidRPr="0074390A">
        <w:rPr>
          <w:rFonts w:ascii="Times New Roman" w:hAnsi="Times New Roman" w:cs="Times New Roman"/>
          <w:color w:val="000000" w:themeColor="text1"/>
        </w:rPr>
        <w:t xml:space="preserve">the </w:t>
      </w:r>
      <w:r w:rsidR="00FB54E5" w:rsidRPr="0074390A">
        <w:rPr>
          <w:rFonts w:ascii="Times New Roman" w:hAnsi="Times New Roman" w:cs="Times New Roman"/>
          <w:color w:val="000000" w:themeColor="text1"/>
        </w:rPr>
        <w:t xml:space="preserve">Egger </w:t>
      </w:r>
      <w:r w:rsidR="005640F6" w:rsidRPr="0074390A">
        <w:rPr>
          <w:rFonts w:ascii="Times New Roman" w:hAnsi="Times New Roman" w:cs="Times New Roman"/>
          <w:color w:val="000000" w:themeColor="text1"/>
        </w:rPr>
        <w:t>intercept method</w:t>
      </w:r>
      <w:r w:rsidR="00FB54E5" w:rsidRPr="0074390A">
        <w:rPr>
          <w:rFonts w:ascii="Times New Roman" w:hAnsi="Times New Roman" w:cs="Times New Roman"/>
          <w:color w:val="000000" w:themeColor="text1"/>
        </w:rPr>
        <w:t xml:space="preserve"> and MR pleiotropy residual sum and outlier (MR-PRESSO)</w:t>
      </w:r>
      <w:r w:rsidR="00FB54E5" w:rsidRPr="0074390A">
        <w:rPr>
          <w:rFonts w:ascii="Times New Roman" w:hAnsi="Times New Roman" w:cs="Times New Roman"/>
          <w:vertAlign w:val="superscript"/>
        </w:rPr>
        <w:t>2</w:t>
      </w:r>
      <w:r w:rsidR="00D12A7A" w:rsidRPr="0074390A">
        <w:rPr>
          <w:rFonts w:ascii="Times New Roman" w:hAnsi="Times New Roman" w:cs="Times New Roman"/>
          <w:vertAlign w:val="superscript"/>
        </w:rPr>
        <w:t>4</w:t>
      </w:r>
      <w:r w:rsidR="00222B70" w:rsidRPr="0074390A">
        <w:rPr>
          <w:rFonts w:ascii="Times New Roman" w:hAnsi="Times New Roman" w:cs="Times New Roman"/>
        </w:rPr>
        <w:t xml:space="preserve">. </w:t>
      </w:r>
      <w:r w:rsidRPr="0074390A">
        <w:rPr>
          <w:rFonts w:ascii="Times New Roman" w:hAnsi="Times New Roman" w:cs="Times New Roman"/>
        </w:rPr>
        <w:t>All analyses were implemented using the ‘</w:t>
      </w:r>
      <w:proofErr w:type="spellStart"/>
      <w:r w:rsidRPr="0074390A">
        <w:rPr>
          <w:rFonts w:ascii="Times New Roman" w:hAnsi="Times New Roman" w:cs="Times New Roman"/>
        </w:rPr>
        <w:t>TwoSampleMR</w:t>
      </w:r>
      <w:proofErr w:type="spellEnd"/>
      <w:r w:rsidRPr="0074390A">
        <w:rPr>
          <w:rFonts w:ascii="Times New Roman" w:hAnsi="Times New Roman" w:cs="Times New Roman"/>
        </w:rPr>
        <w:t>’ packages in R software.</w:t>
      </w:r>
      <w:r w:rsidR="00222B70" w:rsidRPr="0074390A">
        <w:rPr>
          <w:rFonts w:ascii="Times New Roman" w:hAnsi="Times New Roman" w:cs="Times New Roman"/>
          <w:color w:val="000000" w:themeColor="text1"/>
        </w:rPr>
        <w:t xml:space="preserve"> Estimates are detailed in </w:t>
      </w:r>
      <w:r w:rsidR="00222B70" w:rsidRPr="0074390A">
        <w:rPr>
          <w:rFonts w:ascii="Times New Roman" w:hAnsi="Times New Roman" w:cs="Times New Roman"/>
          <w:b/>
          <w:bCs/>
          <w:color w:val="000000" w:themeColor="text1"/>
        </w:rPr>
        <w:t>Table 1.</w:t>
      </w:r>
      <w:r w:rsidR="00222B70" w:rsidRPr="0074390A">
        <w:rPr>
          <w:rFonts w:ascii="Times New Roman" w:hAnsi="Times New Roman" w:cs="Times New Roman"/>
          <w:color w:val="000000" w:themeColor="text1"/>
        </w:rPr>
        <w:t xml:space="preserve"> All the SNPs used in this study are presented in </w:t>
      </w:r>
      <w:r w:rsidR="00222B70" w:rsidRPr="0074390A">
        <w:rPr>
          <w:rFonts w:ascii="Times New Roman" w:hAnsi="Times New Roman" w:cs="Times New Roman"/>
          <w:b/>
          <w:bCs/>
          <w:color w:val="000000" w:themeColor="text1"/>
        </w:rPr>
        <w:t xml:space="preserve">Supplementary Table </w:t>
      </w:r>
      <w:r w:rsidR="00F37B55" w:rsidRPr="0074390A">
        <w:rPr>
          <w:rFonts w:ascii="Times New Roman" w:hAnsi="Times New Roman" w:cs="Times New Roman"/>
          <w:b/>
          <w:bCs/>
          <w:color w:val="000000" w:themeColor="text1"/>
        </w:rPr>
        <w:t>5</w:t>
      </w:r>
      <w:r w:rsidR="00222B70" w:rsidRPr="0074390A">
        <w:rPr>
          <w:rFonts w:ascii="Times New Roman" w:hAnsi="Times New Roman" w:cs="Times New Roman"/>
          <w:b/>
          <w:bCs/>
          <w:color w:val="000000" w:themeColor="text1"/>
        </w:rPr>
        <w:t xml:space="preserve">. </w:t>
      </w:r>
    </w:p>
    <w:p w14:paraId="777D0741" w14:textId="77777777" w:rsidR="00222B70" w:rsidRPr="0074390A" w:rsidRDefault="00222B70" w:rsidP="00BB0E7B">
      <w:pPr>
        <w:spacing w:line="360" w:lineRule="auto"/>
        <w:rPr>
          <w:rFonts w:ascii="Times New Roman" w:hAnsi="Times New Roman" w:cs="Times New Roman"/>
          <w:b/>
          <w:bCs/>
        </w:rPr>
      </w:pPr>
    </w:p>
    <w:p w14:paraId="3E7F78F3" w14:textId="77777777" w:rsidR="00F37B55" w:rsidRPr="0074390A" w:rsidRDefault="00F37B55" w:rsidP="00BB0E7B">
      <w:pPr>
        <w:spacing w:line="360" w:lineRule="auto"/>
        <w:rPr>
          <w:rFonts w:ascii="Times New Roman" w:hAnsi="Times New Roman" w:cs="Times New Roman"/>
        </w:rPr>
      </w:pPr>
    </w:p>
    <w:p w14:paraId="1EB15688" w14:textId="77777777" w:rsidR="00854ECC" w:rsidRPr="0074390A" w:rsidRDefault="00854ECC" w:rsidP="00BB0E7B">
      <w:pPr>
        <w:spacing w:line="360" w:lineRule="auto"/>
        <w:rPr>
          <w:rFonts w:ascii="Times New Roman" w:hAnsi="Times New Roman" w:cs="Times New Roman"/>
        </w:rPr>
      </w:pPr>
    </w:p>
    <w:p w14:paraId="1066A872" w14:textId="77777777" w:rsidR="00854ECC" w:rsidRPr="0074390A" w:rsidRDefault="00854ECC" w:rsidP="00BB0E7B">
      <w:pPr>
        <w:spacing w:line="360" w:lineRule="auto"/>
        <w:rPr>
          <w:rFonts w:ascii="Times New Roman" w:hAnsi="Times New Roman" w:cs="Times New Roman"/>
        </w:rPr>
      </w:pPr>
    </w:p>
    <w:p w14:paraId="66BC652F" w14:textId="77777777" w:rsidR="00854ECC" w:rsidRPr="0074390A" w:rsidRDefault="00854ECC" w:rsidP="00BB0E7B">
      <w:pPr>
        <w:spacing w:line="360" w:lineRule="auto"/>
        <w:rPr>
          <w:rFonts w:ascii="Times New Roman" w:hAnsi="Times New Roman" w:cs="Times New Roman"/>
        </w:rPr>
      </w:pPr>
    </w:p>
    <w:p w14:paraId="02A6ADB3" w14:textId="77777777" w:rsidR="00854ECC" w:rsidRPr="0074390A" w:rsidRDefault="00854ECC" w:rsidP="00BB0E7B">
      <w:pPr>
        <w:spacing w:line="360" w:lineRule="auto"/>
        <w:rPr>
          <w:rFonts w:ascii="Times New Roman" w:hAnsi="Times New Roman" w:cs="Times New Roman"/>
        </w:rPr>
      </w:pPr>
    </w:p>
    <w:p w14:paraId="0A643BA6" w14:textId="77777777" w:rsidR="00854ECC" w:rsidRPr="0074390A" w:rsidRDefault="00854ECC" w:rsidP="00BB0E7B">
      <w:pPr>
        <w:spacing w:line="360" w:lineRule="auto"/>
        <w:rPr>
          <w:rFonts w:ascii="Times New Roman" w:hAnsi="Times New Roman" w:cs="Times New Roman"/>
        </w:rPr>
      </w:pPr>
    </w:p>
    <w:p w14:paraId="36BF7D08" w14:textId="77777777" w:rsidR="00854ECC" w:rsidRPr="0074390A" w:rsidRDefault="00854ECC" w:rsidP="00BB0E7B">
      <w:pPr>
        <w:spacing w:line="360" w:lineRule="auto"/>
        <w:rPr>
          <w:rFonts w:ascii="Times New Roman" w:hAnsi="Times New Roman" w:cs="Times New Roman"/>
        </w:rPr>
      </w:pPr>
    </w:p>
    <w:p w14:paraId="20D6B2C8" w14:textId="77777777" w:rsidR="00854ECC" w:rsidRPr="0074390A" w:rsidRDefault="00854ECC" w:rsidP="00BB0E7B">
      <w:pPr>
        <w:spacing w:line="360" w:lineRule="auto"/>
        <w:rPr>
          <w:rFonts w:ascii="Times New Roman" w:hAnsi="Times New Roman" w:cs="Times New Roman"/>
        </w:rPr>
      </w:pPr>
    </w:p>
    <w:p w14:paraId="680D5CE6" w14:textId="77777777" w:rsidR="00854ECC" w:rsidRPr="0074390A" w:rsidRDefault="00854ECC" w:rsidP="00BB0E7B">
      <w:pPr>
        <w:spacing w:line="360" w:lineRule="auto"/>
        <w:rPr>
          <w:rFonts w:ascii="Times New Roman" w:hAnsi="Times New Roman" w:cs="Times New Roman"/>
        </w:rPr>
      </w:pPr>
    </w:p>
    <w:p w14:paraId="390B6BB4" w14:textId="77777777" w:rsidR="00854ECC" w:rsidRPr="0074390A" w:rsidRDefault="00854ECC" w:rsidP="00BB0E7B">
      <w:pPr>
        <w:spacing w:line="360" w:lineRule="auto"/>
        <w:rPr>
          <w:rFonts w:ascii="Times New Roman" w:hAnsi="Times New Roman" w:cs="Times New Roman"/>
        </w:rPr>
      </w:pPr>
    </w:p>
    <w:p w14:paraId="6D54246F" w14:textId="77777777" w:rsidR="00854ECC" w:rsidRPr="0074390A" w:rsidRDefault="00854ECC" w:rsidP="00BB0E7B">
      <w:pPr>
        <w:spacing w:line="360" w:lineRule="auto"/>
        <w:rPr>
          <w:rFonts w:ascii="Times New Roman" w:hAnsi="Times New Roman" w:cs="Times New Roman"/>
        </w:rPr>
      </w:pPr>
    </w:p>
    <w:p w14:paraId="2908D3A9" w14:textId="77777777" w:rsidR="00854ECC" w:rsidRPr="0074390A" w:rsidRDefault="00854ECC" w:rsidP="00BB0E7B">
      <w:pPr>
        <w:spacing w:line="360" w:lineRule="auto"/>
        <w:rPr>
          <w:rFonts w:ascii="Times New Roman" w:hAnsi="Times New Roman" w:cs="Times New Roman"/>
        </w:rPr>
      </w:pPr>
    </w:p>
    <w:p w14:paraId="4640AE0E" w14:textId="77777777" w:rsidR="00854ECC" w:rsidRPr="0074390A" w:rsidRDefault="00854ECC" w:rsidP="00BB0E7B">
      <w:pPr>
        <w:spacing w:line="360" w:lineRule="auto"/>
        <w:rPr>
          <w:rFonts w:ascii="Times New Roman" w:hAnsi="Times New Roman" w:cs="Times New Roman"/>
        </w:rPr>
      </w:pPr>
    </w:p>
    <w:p w14:paraId="60C654EB" w14:textId="77777777" w:rsidR="00854ECC" w:rsidRPr="0074390A" w:rsidRDefault="00854ECC" w:rsidP="00BB0E7B">
      <w:pPr>
        <w:spacing w:line="360" w:lineRule="auto"/>
        <w:rPr>
          <w:rFonts w:ascii="Times New Roman" w:hAnsi="Times New Roman" w:cs="Times New Roman"/>
        </w:rPr>
      </w:pPr>
    </w:p>
    <w:p w14:paraId="330C1BEF" w14:textId="77777777" w:rsidR="00854ECC" w:rsidRDefault="00854ECC" w:rsidP="00BB0E7B">
      <w:pPr>
        <w:spacing w:line="360" w:lineRule="auto"/>
        <w:rPr>
          <w:rFonts w:ascii="Times New Roman" w:hAnsi="Times New Roman" w:cs="Times New Roman"/>
        </w:rPr>
      </w:pPr>
    </w:p>
    <w:p w14:paraId="58CE12C2" w14:textId="77777777" w:rsidR="00BB0E7B" w:rsidRDefault="00BB0E7B" w:rsidP="00BB0E7B">
      <w:pPr>
        <w:spacing w:line="360" w:lineRule="auto"/>
        <w:rPr>
          <w:rFonts w:ascii="Times New Roman" w:hAnsi="Times New Roman" w:cs="Times New Roman"/>
        </w:rPr>
      </w:pPr>
    </w:p>
    <w:p w14:paraId="7E40C9C8" w14:textId="77777777" w:rsidR="00BB0E7B" w:rsidRDefault="00BB0E7B" w:rsidP="00BB0E7B">
      <w:pPr>
        <w:spacing w:line="360" w:lineRule="auto"/>
        <w:rPr>
          <w:rFonts w:ascii="Times New Roman" w:hAnsi="Times New Roman" w:cs="Times New Roman"/>
        </w:rPr>
      </w:pPr>
    </w:p>
    <w:p w14:paraId="485261DB" w14:textId="77777777" w:rsidR="00BB0E7B" w:rsidRPr="0074390A" w:rsidRDefault="00BB0E7B" w:rsidP="00BB0E7B">
      <w:pPr>
        <w:spacing w:line="360" w:lineRule="auto"/>
        <w:rPr>
          <w:rFonts w:ascii="Times New Roman" w:hAnsi="Times New Roman" w:cs="Times New Roman"/>
        </w:rPr>
      </w:pPr>
    </w:p>
    <w:p w14:paraId="5EDF1C29" w14:textId="77777777" w:rsidR="00854ECC" w:rsidRPr="0074390A" w:rsidRDefault="00854ECC" w:rsidP="00BB0E7B">
      <w:pPr>
        <w:spacing w:line="360" w:lineRule="auto"/>
        <w:rPr>
          <w:rFonts w:ascii="Times New Roman" w:hAnsi="Times New Roman" w:cs="Times New Roman"/>
        </w:rPr>
      </w:pPr>
    </w:p>
    <w:p w14:paraId="28855DAD" w14:textId="77777777" w:rsidR="00854ECC" w:rsidRPr="0074390A" w:rsidRDefault="00854ECC" w:rsidP="00BB0E7B">
      <w:pPr>
        <w:spacing w:line="360" w:lineRule="auto"/>
        <w:rPr>
          <w:rFonts w:ascii="Times New Roman" w:hAnsi="Times New Roman" w:cs="Times New Roman"/>
        </w:rPr>
      </w:pPr>
    </w:p>
    <w:p w14:paraId="67B6BCBA" w14:textId="4BF18444" w:rsidR="00381DA9" w:rsidRPr="0074390A" w:rsidRDefault="00381DA9" w:rsidP="00BB0E7B">
      <w:pPr>
        <w:spacing w:line="360" w:lineRule="auto"/>
        <w:rPr>
          <w:rFonts w:ascii="Times New Roman" w:hAnsi="Times New Roman" w:cs="Times New Roman"/>
          <w:b/>
          <w:bCs/>
        </w:rPr>
      </w:pPr>
      <w:r w:rsidRPr="0074390A">
        <w:rPr>
          <w:rFonts w:ascii="Times New Roman" w:hAnsi="Times New Roman" w:cs="Times New Roman"/>
          <w:b/>
          <w:bCs/>
        </w:rPr>
        <w:lastRenderedPageBreak/>
        <w:t>Results</w:t>
      </w:r>
    </w:p>
    <w:p w14:paraId="7D338305" w14:textId="6EE19ABD" w:rsidR="00D12A7A" w:rsidRPr="0074390A" w:rsidRDefault="00FB54E5" w:rsidP="00BB0E7B">
      <w:pPr>
        <w:spacing w:line="360" w:lineRule="auto"/>
        <w:rPr>
          <w:rFonts w:ascii="Times New Roman" w:hAnsi="Times New Roman" w:cs="Times New Roman"/>
        </w:rPr>
      </w:pPr>
      <w:r w:rsidRPr="0074390A">
        <w:rPr>
          <w:rFonts w:ascii="Times New Roman" w:hAnsi="Times New Roman" w:cs="Times New Roman"/>
        </w:rPr>
        <w:t>The results of the power calculation indicate that the MR analysis is robustly powered (90%) to detect even small effect size</w:t>
      </w:r>
      <w:r w:rsidR="00090873" w:rsidRPr="0074390A">
        <w:rPr>
          <w:rFonts w:ascii="Times New Roman" w:hAnsi="Times New Roman" w:cs="Times New Roman"/>
        </w:rPr>
        <w:t>s</w:t>
      </w:r>
      <w:r w:rsidRPr="0074390A">
        <w:rPr>
          <w:rFonts w:ascii="Times New Roman" w:hAnsi="Times New Roman" w:cs="Times New Roman"/>
        </w:rPr>
        <w:t xml:space="preserve"> (OR &lt;1.5). </w:t>
      </w:r>
      <w:r w:rsidRPr="0074390A">
        <w:rPr>
          <w:rFonts w:ascii="Times New Roman" w:hAnsi="Times New Roman" w:cs="Times New Roman"/>
          <w:b/>
          <w:bCs/>
        </w:rPr>
        <w:t xml:space="preserve">Supplementary Table </w:t>
      </w:r>
      <w:r w:rsidR="00F37B55" w:rsidRPr="0074390A">
        <w:rPr>
          <w:rFonts w:ascii="Times New Roman" w:hAnsi="Times New Roman" w:cs="Times New Roman"/>
          <w:b/>
          <w:bCs/>
        </w:rPr>
        <w:t>4</w:t>
      </w:r>
      <w:r w:rsidRPr="0074390A">
        <w:rPr>
          <w:rFonts w:ascii="Times New Roman" w:hAnsi="Times New Roman" w:cs="Times New Roman"/>
        </w:rPr>
        <w:t xml:space="preserve"> provides detailed power calculation</w:t>
      </w:r>
      <w:r w:rsidR="00090873" w:rsidRPr="0074390A">
        <w:rPr>
          <w:rFonts w:ascii="Times New Roman" w:hAnsi="Times New Roman" w:cs="Times New Roman"/>
        </w:rPr>
        <w:t>s</w:t>
      </w:r>
      <w:r w:rsidRPr="0074390A">
        <w:rPr>
          <w:rFonts w:ascii="Times New Roman" w:hAnsi="Times New Roman" w:cs="Times New Roman"/>
        </w:rPr>
        <w:t xml:space="preserve"> for each cardiac outcome, including explained variance, sample size and the proportion of cases</w:t>
      </w:r>
      <w:r w:rsidR="00090873" w:rsidRPr="0074390A">
        <w:rPr>
          <w:rFonts w:ascii="Times New Roman" w:hAnsi="Times New Roman" w:cs="Times New Roman"/>
        </w:rPr>
        <w:t xml:space="preserve">. </w:t>
      </w:r>
      <w:r w:rsidR="00270917" w:rsidRPr="0074390A">
        <w:rPr>
          <w:rFonts w:ascii="Times New Roman" w:hAnsi="Times New Roman" w:cs="Times New Roman"/>
        </w:rPr>
        <w:t xml:space="preserve">We extracted 85 independent SNPs based on genome-side significance from the BMD GWAS. </w:t>
      </w:r>
      <w:r w:rsidR="00090873" w:rsidRPr="0074390A">
        <w:rPr>
          <w:rFonts w:ascii="Times New Roman" w:hAnsi="Times New Roman" w:cs="Times New Roman"/>
        </w:rPr>
        <w:t xml:space="preserve">A detailed list </w:t>
      </w:r>
      <w:r w:rsidR="0068571A" w:rsidRPr="0074390A">
        <w:rPr>
          <w:rFonts w:ascii="Times New Roman" w:hAnsi="Times New Roman" w:cs="Times New Roman"/>
        </w:rPr>
        <w:t xml:space="preserve">of </w:t>
      </w:r>
      <w:r w:rsidR="00090873" w:rsidRPr="0074390A">
        <w:rPr>
          <w:rFonts w:ascii="Times New Roman" w:hAnsi="Times New Roman" w:cs="Times New Roman"/>
        </w:rPr>
        <w:t xml:space="preserve">each variant can be found in </w:t>
      </w:r>
      <w:r w:rsidR="00090873" w:rsidRPr="0074390A">
        <w:rPr>
          <w:rFonts w:ascii="Times New Roman" w:hAnsi="Times New Roman" w:cs="Times New Roman"/>
          <w:b/>
          <w:bCs/>
        </w:rPr>
        <w:t xml:space="preserve">Supplementary Table </w:t>
      </w:r>
      <w:r w:rsidR="0027695A" w:rsidRPr="0074390A">
        <w:rPr>
          <w:rFonts w:ascii="Times New Roman" w:hAnsi="Times New Roman" w:cs="Times New Roman"/>
          <w:b/>
          <w:bCs/>
        </w:rPr>
        <w:t>5</w:t>
      </w:r>
      <w:r w:rsidR="00090873" w:rsidRPr="0074390A">
        <w:rPr>
          <w:rFonts w:ascii="Times New Roman" w:hAnsi="Times New Roman" w:cs="Times New Roman"/>
        </w:rPr>
        <w:t xml:space="preserve">. </w:t>
      </w:r>
      <w:r w:rsidR="001D059F" w:rsidRPr="0074390A">
        <w:rPr>
          <w:rFonts w:ascii="Times New Roman" w:hAnsi="Times New Roman" w:cs="Times New Roman"/>
        </w:rPr>
        <w:t>D</w:t>
      </w:r>
      <w:r w:rsidR="00090873" w:rsidRPr="0074390A">
        <w:rPr>
          <w:rFonts w:ascii="Times New Roman" w:hAnsi="Times New Roman" w:cs="Times New Roman"/>
        </w:rPr>
        <w:t xml:space="preserve">ue to the absence of some variants in the GWAS for cardiac conditions, the number of variants in the MR analysis for each cardiac condition varied from </w:t>
      </w:r>
      <w:r w:rsidR="00D12A7A" w:rsidRPr="0074390A">
        <w:rPr>
          <w:rFonts w:ascii="Times New Roman" w:hAnsi="Times New Roman" w:cs="Times New Roman"/>
        </w:rPr>
        <w:t>68</w:t>
      </w:r>
      <w:r w:rsidR="00090873" w:rsidRPr="0074390A">
        <w:rPr>
          <w:rFonts w:ascii="Times New Roman" w:hAnsi="Times New Roman" w:cs="Times New Roman"/>
        </w:rPr>
        <w:t xml:space="preserve"> to 81</w:t>
      </w:r>
      <w:r w:rsidR="009B7F0B" w:rsidRPr="0074390A">
        <w:rPr>
          <w:rFonts w:ascii="Times New Roman" w:hAnsi="Times New Roman" w:cs="Times New Roman"/>
        </w:rPr>
        <w:t xml:space="preserve"> </w:t>
      </w:r>
      <w:r w:rsidR="00D12A7A" w:rsidRPr="0074390A">
        <w:rPr>
          <w:rFonts w:ascii="Times New Roman" w:hAnsi="Times New Roman" w:cs="Times New Roman"/>
        </w:rPr>
        <w:t>in the UK Biobank dataset</w:t>
      </w:r>
      <w:r w:rsidR="009B7F0B" w:rsidRPr="0074390A">
        <w:rPr>
          <w:rFonts w:ascii="Times New Roman" w:hAnsi="Times New Roman" w:cs="Times New Roman"/>
        </w:rPr>
        <w:t>.</w:t>
      </w:r>
      <w:r w:rsidR="00090873" w:rsidRPr="0074390A">
        <w:rPr>
          <w:rFonts w:ascii="Times New Roman" w:hAnsi="Times New Roman" w:cs="Times New Roman"/>
        </w:rPr>
        <w:t xml:space="preserve"> </w:t>
      </w:r>
      <w:r w:rsidR="00D12A7A" w:rsidRPr="0074390A">
        <w:rPr>
          <w:rFonts w:ascii="Times New Roman" w:hAnsi="Times New Roman" w:cs="Times New Roman"/>
        </w:rPr>
        <w:t>In the FinnGen dataset, the number of variants used was 79 for all cardiac conditions (</w:t>
      </w:r>
      <w:r w:rsidR="00D12A7A" w:rsidRPr="0074390A">
        <w:rPr>
          <w:rFonts w:ascii="Times New Roman" w:hAnsi="Times New Roman" w:cs="Times New Roman"/>
          <w:b/>
          <w:bCs/>
        </w:rPr>
        <w:t>Table 1</w:t>
      </w:r>
      <w:r w:rsidR="00D12A7A" w:rsidRPr="0074390A">
        <w:rPr>
          <w:rFonts w:ascii="Times New Roman" w:hAnsi="Times New Roman" w:cs="Times New Roman"/>
        </w:rPr>
        <w:t>).</w:t>
      </w:r>
    </w:p>
    <w:p w14:paraId="0843371A" w14:textId="77777777" w:rsidR="00090873" w:rsidRPr="0074390A" w:rsidRDefault="00090873" w:rsidP="00BB0E7B">
      <w:pPr>
        <w:spacing w:line="360" w:lineRule="auto"/>
        <w:rPr>
          <w:rFonts w:ascii="Times New Roman" w:hAnsi="Times New Roman" w:cs="Times New Roman"/>
        </w:rPr>
      </w:pPr>
    </w:p>
    <w:p w14:paraId="376BE3DC" w14:textId="77777777" w:rsidR="00090873" w:rsidRPr="0074390A" w:rsidRDefault="00090873" w:rsidP="00BB0E7B">
      <w:pPr>
        <w:spacing w:line="360" w:lineRule="auto"/>
        <w:rPr>
          <w:rFonts w:ascii="Times New Roman" w:hAnsi="Times New Roman" w:cs="Times New Roman"/>
          <w:b/>
          <w:bCs/>
        </w:rPr>
      </w:pPr>
      <w:r w:rsidRPr="0074390A">
        <w:rPr>
          <w:rFonts w:ascii="Times New Roman" w:hAnsi="Times New Roman" w:cs="Times New Roman"/>
          <w:b/>
          <w:bCs/>
        </w:rPr>
        <w:t>Causal effect of total body BMD on CVD</w:t>
      </w:r>
    </w:p>
    <w:p w14:paraId="411141A5" w14:textId="77777777" w:rsidR="00090873" w:rsidRPr="0074390A" w:rsidRDefault="00090873" w:rsidP="00BB0E7B">
      <w:pPr>
        <w:spacing w:line="360" w:lineRule="auto"/>
        <w:rPr>
          <w:rFonts w:ascii="Times New Roman" w:hAnsi="Times New Roman" w:cs="Times New Roman"/>
          <w:b/>
          <w:bCs/>
        </w:rPr>
      </w:pPr>
      <w:r w:rsidRPr="0074390A">
        <w:rPr>
          <w:rFonts w:ascii="Times New Roman" w:hAnsi="Times New Roman" w:cs="Times New Roman"/>
          <w:b/>
          <w:bCs/>
        </w:rPr>
        <w:t>Atrial fibrillation and flutter</w:t>
      </w:r>
    </w:p>
    <w:p w14:paraId="6787C56A" w14:textId="6C0894F8" w:rsidR="000C79FC" w:rsidRPr="0074390A" w:rsidRDefault="00090873" w:rsidP="00BB0E7B">
      <w:pPr>
        <w:spacing w:line="360" w:lineRule="auto"/>
        <w:rPr>
          <w:rFonts w:ascii="Times New Roman" w:hAnsi="Times New Roman" w:cs="Times New Roman"/>
        </w:rPr>
      </w:pPr>
      <w:r w:rsidRPr="0074390A">
        <w:rPr>
          <w:rFonts w:ascii="Times New Roman" w:hAnsi="Times New Roman" w:cs="Times New Roman"/>
          <w:b/>
          <w:bCs/>
        </w:rPr>
        <w:t xml:space="preserve">Table 1 </w:t>
      </w:r>
      <w:r w:rsidRPr="0074390A">
        <w:rPr>
          <w:rFonts w:ascii="Times New Roman" w:hAnsi="Times New Roman" w:cs="Times New Roman"/>
        </w:rPr>
        <w:t xml:space="preserve">provides the MR estimates from distinct methods </w:t>
      </w:r>
      <w:r w:rsidR="00BE566A" w:rsidRPr="0074390A">
        <w:rPr>
          <w:rFonts w:ascii="Times New Roman" w:hAnsi="Times New Roman" w:cs="Times New Roman"/>
        </w:rPr>
        <w:t>assessing</w:t>
      </w:r>
      <w:r w:rsidRPr="0074390A">
        <w:rPr>
          <w:rFonts w:ascii="Times New Roman" w:hAnsi="Times New Roman" w:cs="Times New Roman"/>
        </w:rPr>
        <w:t xml:space="preserve"> the causal effect of genetically predicted BMD on atrial fibrillation and flutter. This analysis incorporated 76 SNPs </w:t>
      </w:r>
      <w:r w:rsidR="007F7523" w:rsidRPr="0074390A">
        <w:rPr>
          <w:rFonts w:ascii="Times New Roman" w:hAnsi="Times New Roman" w:cs="Times New Roman"/>
        </w:rPr>
        <w:t>from the UK Biobank and 79 SNPs from FinnGen</w:t>
      </w:r>
      <w:r w:rsidR="00BE566A" w:rsidRPr="0074390A">
        <w:rPr>
          <w:rFonts w:ascii="Times New Roman" w:hAnsi="Times New Roman" w:cs="Times New Roman"/>
        </w:rPr>
        <w:t xml:space="preserve"> as genetic instruments</w:t>
      </w:r>
      <w:r w:rsidRPr="0074390A">
        <w:rPr>
          <w:rFonts w:ascii="Times New Roman" w:hAnsi="Times New Roman" w:cs="Times New Roman"/>
        </w:rPr>
        <w:t xml:space="preserve">. The findings revealed no significant evidence </w:t>
      </w:r>
      <w:r w:rsidR="00BE566A" w:rsidRPr="0074390A">
        <w:rPr>
          <w:rFonts w:ascii="Times New Roman" w:hAnsi="Times New Roman" w:cs="Times New Roman"/>
        </w:rPr>
        <w:t xml:space="preserve">of </w:t>
      </w:r>
      <w:r w:rsidRPr="0074390A">
        <w:rPr>
          <w:rFonts w:ascii="Times New Roman" w:hAnsi="Times New Roman" w:cs="Times New Roman"/>
        </w:rPr>
        <w:t xml:space="preserve">a causal effect of genetically predicted BMD </w:t>
      </w:r>
      <w:r w:rsidR="00270D0C" w:rsidRPr="0074390A">
        <w:rPr>
          <w:rFonts w:ascii="Times New Roman" w:hAnsi="Times New Roman" w:cs="Times New Roman"/>
        </w:rPr>
        <w:t xml:space="preserve">on </w:t>
      </w:r>
      <w:r w:rsidRPr="0074390A">
        <w:rPr>
          <w:rFonts w:ascii="Times New Roman" w:hAnsi="Times New Roman" w:cs="Times New Roman"/>
        </w:rPr>
        <w:t xml:space="preserve">atrial fibrillation and flutter </w:t>
      </w:r>
      <w:r w:rsidR="00270D0C" w:rsidRPr="0074390A">
        <w:rPr>
          <w:rFonts w:ascii="Times New Roman" w:hAnsi="Times New Roman" w:cs="Times New Roman"/>
        </w:rPr>
        <w:t>risk</w:t>
      </w:r>
      <w:r w:rsidR="00BE566A" w:rsidRPr="0074390A">
        <w:rPr>
          <w:rFonts w:ascii="Times New Roman" w:hAnsi="Times New Roman" w:cs="Times New Roman"/>
        </w:rPr>
        <w:t xml:space="preserve">, as indicated by the </w:t>
      </w:r>
      <w:r w:rsidRPr="0074390A">
        <w:rPr>
          <w:rFonts w:ascii="Times New Roman" w:hAnsi="Times New Roman" w:cs="Times New Roman"/>
        </w:rPr>
        <w:t xml:space="preserve">IVW method (beta-estimate: 0.011, SE: 0.03, p=0.73). Sensitivity analyses corroborated these findings, with the weighted median method yielding a p-value of 0.76 and the weighted mode method showing a p-value of 0.67. </w:t>
      </w:r>
      <w:r w:rsidR="00BE566A" w:rsidRPr="0074390A">
        <w:rPr>
          <w:rFonts w:ascii="Times New Roman" w:hAnsi="Times New Roman" w:cs="Times New Roman"/>
        </w:rPr>
        <w:t xml:space="preserve">Furthermore, neither the </w:t>
      </w:r>
      <w:r w:rsidR="006147EC" w:rsidRPr="0074390A">
        <w:rPr>
          <w:rFonts w:ascii="Times New Roman" w:hAnsi="Times New Roman" w:cs="Times New Roman"/>
        </w:rPr>
        <w:t xml:space="preserve">intercept from the MR-Egger analysis  (p=0.72) </w:t>
      </w:r>
      <w:r w:rsidR="00BE566A" w:rsidRPr="0074390A">
        <w:rPr>
          <w:rFonts w:ascii="Times New Roman" w:hAnsi="Times New Roman" w:cs="Times New Roman"/>
        </w:rPr>
        <w:t>nor the</w:t>
      </w:r>
      <w:r w:rsidR="006147EC" w:rsidRPr="0074390A">
        <w:rPr>
          <w:rFonts w:ascii="Times New Roman" w:hAnsi="Times New Roman" w:cs="Times New Roman"/>
        </w:rPr>
        <w:t xml:space="preserve"> MR-PRESSO Global test (p=1) </w:t>
      </w:r>
      <w:r w:rsidR="00BE566A" w:rsidRPr="0074390A">
        <w:rPr>
          <w:rFonts w:ascii="Times New Roman" w:hAnsi="Times New Roman" w:cs="Times New Roman"/>
        </w:rPr>
        <w:t>indicated the presence of</w:t>
      </w:r>
      <w:r w:rsidR="006147EC" w:rsidRPr="0074390A">
        <w:rPr>
          <w:rFonts w:ascii="Times New Roman" w:hAnsi="Times New Roman" w:cs="Times New Roman"/>
        </w:rPr>
        <w:t xml:space="preserve"> directional horizontal pleiotropy</w:t>
      </w:r>
      <w:r w:rsidR="00C6757A" w:rsidRPr="0074390A">
        <w:rPr>
          <w:rFonts w:ascii="Times New Roman" w:hAnsi="Times New Roman" w:cs="Times New Roman"/>
        </w:rPr>
        <w:t xml:space="preserve">. </w:t>
      </w:r>
      <w:r w:rsidR="00BE566A" w:rsidRPr="0074390A">
        <w:rPr>
          <w:rFonts w:ascii="Times New Roman" w:hAnsi="Times New Roman" w:cs="Times New Roman"/>
        </w:rPr>
        <w:t>To validate these findings, we</w:t>
      </w:r>
      <w:r w:rsidR="000C79FC" w:rsidRPr="0074390A">
        <w:rPr>
          <w:rFonts w:ascii="Times New Roman" w:hAnsi="Times New Roman" w:cs="Times New Roman"/>
        </w:rPr>
        <w:t xml:space="preserve"> conducted a</w:t>
      </w:r>
      <w:r w:rsidR="00BE566A" w:rsidRPr="0074390A">
        <w:rPr>
          <w:rFonts w:ascii="Times New Roman" w:hAnsi="Times New Roman" w:cs="Times New Roman"/>
        </w:rPr>
        <w:t>n independent</w:t>
      </w:r>
      <w:r w:rsidR="000C79FC" w:rsidRPr="0074390A">
        <w:rPr>
          <w:rFonts w:ascii="Times New Roman" w:hAnsi="Times New Roman" w:cs="Times New Roman"/>
        </w:rPr>
        <w:t xml:space="preserve"> analysis using the FinnGen coho</w:t>
      </w:r>
      <w:r w:rsidR="00BE566A" w:rsidRPr="0074390A">
        <w:rPr>
          <w:rFonts w:ascii="Times New Roman" w:hAnsi="Times New Roman" w:cs="Times New Roman"/>
        </w:rPr>
        <w:t xml:space="preserve">rt. </w:t>
      </w:r>
      <w:r w:rsidR="000C79FC" w:rsidRPr="0074390A">
        <w:rPr>
          <w:rFonts w:ascii="Times New Roman" w:hAnsi="Times New Roman" w:cs="Times New Roman"/>
        </w:rPr>
        <w:t>Similarly, no evidence for a causal relationship was observed</w:t>
      </w:r>
      <w:r w:rsidR="003C2F96" w:rsidRPr="0074390A">
        <w:rPr>
          <w:rFonts w:ascii="Times New Roman" w:hAnsi="Times New Roman" w:cs="Times New Roman"/>
        </w:rPr>
        <w:t>, with the IVW method yielding a beta-estimate of 0.02 (SE: 0.03, p=0.45). Results from sensitivity analyses, including the weighted median and weighted mode methods, were consistent with the primary analysis</w:t>
      </w:r>
      <w:r w:rsidR="007F7523" w:rsidRPr="0074390A">
        <w:rPr>
          <w:rFonts w:ascii="Times New Roman" w:hAnsi="Times New Roman" w:cs="Times New Roman"/>
        </w:rPr>
        <w:t xml:space="preserve"> and no</w:t>
      </w:r>
      <w:r w:rsidR="003C2F96" w:rsidRPr="0074390A">
        <w:rPr>
          <w:rFonts w:ascii="Times New Roman" w:hAnsi="Times New Roman" w:cs="Times New Roman"/>
        </w:rPr>
        <w:t xml:space="preserve"> pleiotropy was detected</w:t>
      </w:r>
      <w:r w:rsidR="007F7523" w:rsidRPr="0074390A">
        <w:rPr>
          <w:rFonts w:ascii="Times New Roman" w:hAnsi="Times New Roman" w:cs="Times New Roman"/>
        </w:rPr>
        <w:t xml:space="preserve">. </w:t>
      </w:r>
      <w:r w:rsidR="003C2F96" w:rsidRPr="0074390A">
        <w:rPr>
          <w:rFonts w:ascii="Times New Roman" w:hAnsi="Times New Roman" w:cs="Times New Roman"/>
          <w:b/>
          <w:bCs/>
        </w:rPr>
        <w:t>Figure 2</w:t>
      </w:r>
      <w:r w:rsidR="003C2F96" w:rsidRPr="0074390A">
        <w:rPr>
          <w:rFonts w:ascii="Times New Roman" w:hAnsi="Times New Roman" w:cs="Times New Roman"/>
        </w:rPr>
        <w:t xml:space="preserve"> </w:t>
      </w:r>
      <w:r w:rsidR="00BE566A" w:rsidRPr="0074390A">
        <w:rPr>
          <w:rFonts w:ascii="Times New Roman" w:hAnsi="Times New Roman" w:cs="Times New Roman"/>
        </w:rPr>
        <w:t>provides</w:t>
      </w:r>
      <w:r w:rsidR="003C2F96" w:rsidRPr="0074390A">
        <w:rPr>
          <w:rFonts w:ascii="Times New Roman" w:hAnsi="Times New Roman" w:cs="Times New Roman"/>
        </w:rPr>
        <w:t xml:space="preserve"> scatter plots illustrating the estimated effect sizes between BMD and CVDs considered in the study, with results from both </w:t>
      </w:r>
      <w:r w:rsidR="002F3EED" w:rsidRPr="0074390A">
        <w:rPr>
          <w:rFonts w:ascii="Times New Roman" w:hAnsi="Times New Roman" w:cs="Times New Roman"/>
        </w:rPr>
        <w:t xml:space="preserve">the </w:t>
      </w:r>
      <w:r w:rsidR="003C2F96" w:rsidRPr="0074390A">
        <w:rPr>
          <w:rFonts w:ascii="Times New Roman" w:hAnsi="Times New Roman" w:cs="Times New Roman"/>
        </w:rPr>
        <w:t xml:space="preserve">UK Biobank and FinnGen cohorts. </w:t>
      </w:r>
    </w:p>
    <w:p w14:paraId="767CD4AA" w14:textId="77777777" w:rsidR="00D12A7A" w:rsidRPr="0074390A" w:rsidRDefault="00D12A7A" w:rsidP="00BB0E7B">
      <w:pPr>
        <w:spacing w:line="360" w:lineRule="auto"/>
        <w:rPr>
          <w:rFonts w:ascii="Times New Roman" w:hAnsi="Times New Roman" w:cs="Times New Roman"/>
          <w:b/>
          <w:bCs/>
        </w:rPr>
      </w:pPr>
    </w:p>
    <w:p w14:paraId="5E3EF834" w14:textId="3F49C19A" w:rsidR="00090873" w:rsidRPr="0074390A" w:rsidRDefault="00090873" w:rsidP="00BB0E7B">
      <w:pPr>
        <w:spacing w:line="360" w:lineRule="auto"/>
        <w:rPr>
          <w:rFonts w:ascii="Times New Roman" w:hAnsi="Times New Roman" w:cs="Times New Roman"/>
          <w:b/>
          <w:bCs/>
        </w:rPr>
      </w:pPr>
      <w:r w:rsidRPr="0074390A">
        <w:rPr>
          <w:rFonts w:ascii="Times New Roman" w:hAnsi="Times New Roman" w:cs="Times New Roman"/>
          <w:b/>
          <w:bCs/>
        </w:rPr>
        <w:t>Angina</w:t>
      </w:r>
    </w:p>
    <w:p w14:paraId="407108F5" w14:textId="0138C3C1" w:rsidR="00FC6707" w:rsidRPr="0074390A" w:rsidRDefault="008261FA" w:rsidP="00BB0E7B">
      <w:pPr>
        <w:spacing w:line="360" w:lineRule="auto"/>
        <w:rPr>
          <w:rFonts w:ascii="Times New Roman" w:hAnsi="Times New Roman" w:cs="Times New Roman"/>
        </w:rPr>
      </w:pPr>
      <w:r w:rsidRPr="0074390A">
        <w:rPr>
          <w:rFonts w:ascii="Times New Roman" w:hAnsi="Times New Roman" w:cs="Times New Roman"/>
        </w:rPr>
        <w:t xml:space="preserve">The IVW analysis indicated a potential positive association between genetically predicted BMD and angina, although this was not statistically significant (beta-estimate: 0.04, SE: 0.03, p=0.17). Similar findings were observed with causal estimates from the weighted median </w:t>
      </w:r>
      <w:r w:rsidRPr="0074390A">
        <w:rPr>
          <w:rFonts w:ascii="Times New Roman" w:hAnsi="Times New Roman" w:cs="Times New Roman"/>
        </w:rPr>
        <w:lastRenderedPageBreak/>
        <w:t xml:space="preserve">(p=0.38) and weighted mode (p=0.55) for genetically predicted BMD on angina. No evidence of directional pleiotropy was detected. </w:t>
      </w:r>
      <w:r w:rsidR="00005321" w:rsidRPr="0074390A">
        <w:rPr>
          <w:rFonts w:ascii="Times New Roman" w:hAnsi="Times New Roman" w:cs="Times New Roman"/>
        </w:rPr>
        <w:t xml:space="preserve">The analysis from the </w:t>
      </w:r>
      <w:r w:rsidR="00FC6707" w:rsidRPr="0074390A">
        <w:rPr>
          <w:rFonts w:ascii="Times New Roman" w:hAnsi="Times New Roman" w:cs="Times New Roman"/>
        </w:rPr>
        <w:t>FinnGen cohort</w:t>
      </w:r>
      <w:r w:rsidR="00005321" w:rsidRPr="0074390A">
        <w:rPr>
          <w:rFonts w:ascii="Times New Roman" w:hAnsi="Times New Roman" w:cs="Times New Roman"/>
        </w:rPr>
        <w:t xml:space="preserve"> </w:t>
      </w:r>
      <w:r w:rsidR="00FC6707" w:rsidRPr="0074390A">
        <w:rPr>
          <w:rFonts w:ascii="Times New Roman" w:hAnsi="Times New Roman" w:cs="Times New Roman"/>
        </w:rPr>
        <w:t xml:space="preserve">provided consistent results. The IVW analysis yielded a beta-estimate of 0.01 (SE: 0.03, p=0.62), demonstrating no significant evidence for a causal effect. Sensitivity analyses, including the weighted median (p=0.26) and weighted mode (p=0.11), further supported the null findings. Similar to the UK Biobank, no pleiotropy was detected using </w:t>
      </w:r>
      <w:r w:rsidR="002F3EED" w:rsidRPr="0074390A">
        <w:rPr>
          <w:rFonts w:ascii="Times New Roman" w:hAnsi="Times New Roman" w:cs="Times New Roman"/>
        </w:rPr>
        <w:t xml:space="preserve">the </w:t>
      </w:r>
      <w:r w:rsidR="00FC6707" w:rsidRPr="0074390A">
        <w:rPr>
          <w:rFonts w:ascii="Times New Roman" w:hAnsi="Times New Roman" w:cs="Times New Roman"/>
        </w:rPr>
        <w:t xml:space="preserve">MR-Egger or MR-PRESSO Global test (p=0.19). Detailed results are presented in </w:t>
      </w:r>
      <w:r w:rsidR="00FC6707" w:rsidRPr="0074390A">
        <w:rPr>
          <w:rFonts w:ascii="Times New Roman" w:hAnsi="Times New Roman" w:cs="Times New Roman"/>
          <w:b/>
          <w:bCs/>
        </w:rPr>
        <w:t>Table 1</w:t>
      </w:r>
      <w:r w:rsidR="00FC6707" w:rsidRPr="0074390A">
        <w:rPr>
          <w:rFonts w:ascii="Times New Roman" w:hAnsi="Times New Roman" w:cs="Times New Roman"/>
        </w:rPr>
        <w:t xml:space="preserve"> and illustrated in </w:t>
      </w:r>
      <w:r w:rsidR="00FC6707" w:rsidRPr="0074390A">
        <w:rPr>
          <w:rFonts w:ascii="Times New Roman" w:hAnsi="Times New Roman" w:cs="Times New Roman"/>
          <w:b/>
          <w:bCs/>
        </w:rPr>
        <w:t>Figure 2</w:t>
      </w:r>
      <w:r w:rsidR="00FC6707" w:rsidRPr="0074390A">
        <w:rPr>
          <w:rFonts w:ascii="Times New Roman" w:hAnsi="Times New Roman" w:cs="Times New Roman"/>
        </w:rPr>
        <w:t>, showing the consistency of estimates between the primary and validation analyses.</w:t>
      </w:r>
    </w:p>
    <w:p w14:paraId="6EF11C85" w14:textId="77777777" w:rsidR="00090873" w:rsidRPr="0074390A" w:rsidRDefault="00090873" w:rsidP="00BB0E7B">
      <w:pPr>
        <w:spacing w:line="360" w:lineRule="auto"/>
        <w:rPr>
          <w:rFonts w:ascii="Times New Roman" w:hAnsi="Times New Roman" w:cs="Times New Roman"/>
          <w:b/>
          <w:bCs/>
        </w:rPr>
      </w:pPr>
    </w:p>
    <w:p w14:paraId="58C83541" w14:textId="57C32080" w:rsidR="00090873" w:rsidRPr="0074390A" w:rsidRDefault="00090873" w:rsidP="00BB0E7B">
      <w:pPr>
        <w:spacing w:line="360" w:lineRule="auto"/>
        <w:rPr>
          <w:rFonts w:ascii="Times New Roman" w:hAnsi="Times New Roman" w:cs="Times New Roman"/>
          <w:b/>
          <w:bCs/>
        </w:rPr>
      </w:pPr>
      <w:r w:rsidRPr="0074390A">
        <w:rPr>
          <w:rFonts w:ascii="Times New Roman" w:hAnsi="Times New Roman" w:cs="Times New Roman"/>
          <w:b/>
          <w:bCs/>
        </w:rPr>
        <w:t>Chronic ischemic heart disease and myocardial infarction</w:t>
      </w:r>
    </w:p>
    <w:p w14:paraId="13AFEE56" w14:textId="22BF4023" w:rsidR="00090873" w:rsidRPr="0074390A" w:rsidRDefault="00090873" w:rsidP="00BB0E7B">
      <w:pPr>
        <w:spacing w:line="360" w:lineRule="auto"/>
        <w:rPr>
          <w:rFonts w:ascii="Times New Roman" w:hAnsi="Times New Roman" w:cs="Times New Roman"/>
          <w:color w:val="000000" w:themeColor="text1"/>
        </w:rPr>
      </w:pPr>
      <w:r w:rsidRPr="0074390A">
        <w:rPr>
          <w:rFonts w:ascii="Times New Roman" w:hAnsi="Times New Roman" w:cs="Times New Roman"/>
        </w:rPr>
        <w:t xml:space="preserve">IVW analysis showed no causal impact on the risk of developing chronic </w:t>
      </w:r>
      <w:r w:rsidR="00FA3352" w:rsidRPr="0074390A">
        <w:rPr>
          <w:rFonts w:ascii="Times New Roman" w:hAnsi="Times New Roman" w:cs="Times New Roman"/>
        </w:rPr>
        <w:t xml:space="preserve">IHD </w:t>
      </w:r>
      <w:r w:rsidRPr="0074390A">
        <w:rPr>
          <w:rFonts w:ascii="Times New Roman" w:hAnsi="Times New Roman" w:cs="Times New Roman"/>
        </w:rPr>
        <w:t>(beta-estimate: 0.</w:t>
      </w:r>
      <w:r w:rsidRPr="0074390A">
        <w:rPr>
          <w:rFonts w:ascii="Times New Roman" w:hAnsi="Times New Roman" w:cs="Times New Roman"/>
          <w:color w:val="000000" w:themeColor="text1"/>
        </w:rPr>
        <w:t>009, SE: 0.03, p=0.74) (</w:t>
      </w:r>
      <w:r w:rsidRPr="0074390A">
        <w:rPr>
          <w:rFonts w:ascii="Times New Roman" w:hAnsi="Times New Roman" w:cs="Times New Roman"/>
          <w:b/>
          <w:bCs/>
          <w:color w:val="000000" w:themeColor="text1"/>
        </w:rPr>
        <w:t>Table 1</w:t>
      </w:r>
      <w:r w:rsidR="00DD07D0" w:rsidRPr="0074390A">
        <w:rPr>
          <w:rFonts w:ascii="Times New Roman" w:hAnsi="Times New Roman" w:cs="Times New Roman"/>
          <w:b/>
          <w:bCs/>
          <w:color w:val="000000" w:themeColor="text1"/>
        </w:rPr>
        <w:t xml:space="preserve">, </w:t>
      </w:r>
      <w:r w:rsidRPr="0074390A">
        <w:rPr>
          <w:rFonts w:ascii="Times New Roman" w:hAnsi="Times New Roman" w:cs="Times New Roman"/>
          <w:b/>
          <w:bCs/>
          <w:color w:val="000000" w:themeColor="text1"/>
        </w:rPr>
        <w:t xml:space="preserve">Figure 2). </w:t>
      </w:r>
      <w:r w:rsidRPr="0074390A">
        <w:rPr>
          <w:rFonts w:ascii="Times New Roman" w:hAnsi="Times New Roman" w:cs="Times New Roman"/>
          <w:color w:val="000000" w:themeColor="text1"/>
        </w:rPr>
        <w:t xml:space="preserve">Similarly, for myocardial infarction, the IVW analysis also indicated no significant association with genetically predicted BMD (beta-estimate: 0.02, SE: 0.03, p=0.36). Sensitivity analyses for both conditions supported these findings, with MR-Egger (p=0.85 for chronic IHD and p=0.85 for myocardial infarction), weighted median (p=0.59 and 0.41 respectively) and weighted mode (p=0.64) showing non-significant results. The analyses included 81 SNPs for myocardial infarction and 76 SNPs for chronic </w:t>
      </w:r>
      <w:r w:rsidR="00FA3352" w:rsidRPr="0074390A">
        <w:rPr>
          <w:rFonts w:ascii="Times New Roman" w:hAnsi="Times New Roman" w:cs="Times New Roman"/>
        </w:rPr>
        <w:t>IHD</w:t>
      </w:r>
      <w:r w:rsidRPr="0074390A">
        <w:rPr>
          <w:rFonts w:ascii="Times New Roman" w:hAnsi="Times New Roman" w:cs="Times New Roman"/>
          <w:color w:val="000000" w:themeColor="text1"/>
        </w:rPr>
        <w:t>. We conducted further sensitivity analyses after removing the outliers</w:t>
      </w:r>
      <w:r w:rsidR="00270D0C" w:rsidRPr="0074390A">
        <w:rPr>
          <w:rFonts w:ascii="Times New Roman" w:hAnsi="Times New Roman" w:cs="Times New Roman"/>
          <w:color w:val="000000" w:themeColor="text1"/>
        </w:rPr>
        <w:t xml:space="preserve">. We found no </w:t>
      </w:r>
      <w:r w:rsidRPr="0074390A">
        <w:rPr>
          <w:rFonts w:ascii="Times New Roman" w:hAnsi="Times New Roman" w:cs="Times New Roman"/>
          <w:color w:val="000000" w:themeColor="text1"/>
        </w:rPr>
        <w:t>heterogeneity and horizontal pleiotropy (MR-PRESSO global test p=1 for chronic IHD and MR-PRESSO distortion test p= 0.85 for myocardial infarction).</w:t>
      </w:r>
      <w:r w:rsidR="00FC6707" w:rsidRPr="0074390A">
        <w:rPr>
          <w:rFonts w:ascii="Times New Roman" w:hAnsi="Times New Roman" w:cs="Times New Roman"/>
          <w:color w:val="000000" w:themeColor="text1"/>
        </w:rPr>
        <w:t xml:space="preserve"> </w:t>
      </w:r>
      <w:r w:rsidR="007E75D7" w:rsidRPr="0074390A">
        <w:rPr>
          <w:rFonts w:ascii="Times New Roman" w:hAnsi="Times New Roman" w:cs="Times New Roman"/>
          <w:color w:val="000000" w:themeColor="text1"/>
        </w:rPr>
        <w:t>These findings</w:t>
      </w:r>
      <w:r w:rsidR="00FC6707" w:rsidRPr="0074390A">
        <w:rPr>
          <w:rFonts w:ascii="Times New Roman" w:hAnsi="Times New Roman" w:cs="Times New Roman"/>
          <w:color w:val="000000" w:themeColor="text1"/>
        </w:rPr>
        <w:t xml:space="preserve"> were further validated using the FinnGen cohort, which demonstrated </w:t>
      </w:r>
      <w:r w:rsidR="007E75D7" w:rsidRPr="0074390A">
        <w:rPr>
          <w:rFonts w:ascii="Times New Roman" w:hAnsi="Times New Roman" w:cs="Times New Roman"/>
          <w:color w:val="000000" w:themeColor="text1"/>
        </w:rPr>
        <w:t>consistent results (</w:t>
      </w:r>
      <w:r w:rsidR="007E75D7" w:rsidRPr="0074390A">
        <w:rPr>
          <w:rFonts w:ascii="Times New Roman" w:hAnsi="Times New Roman" w:cs="Times New Roman"/>
          <w:b/>
          <w:bCs/>
          <w:color w:val="000000" w:themeColor="text1"/>
        </w:rPr>
        <w:t>Table 1</w:t>
      </w:r>
      <w:r w:rsidR="00DD07D0" w:rsidRPr="0074390A">
        <w:rPr>
          <w:rFonts w:ascii="Times New Roman" w:hAnsi="Times New Roman" w:cs="Times New Roman"/>
          <w:b/>
          <w:bCs/>
          <w:color w:val="000000" w:themeColor="text1"/>
        </w:rPr>
        <w:t xml:space="preserve">, </w:t>
      </w:r>
      <w:r w:rsidR="007E75D7" w:rsidRPr="0074390A">
        <w:rPr>
          <w:rFonts w:ascii="Times New Roman" w:hAnsi="Times New Roman" w:cs="Times New Roman"/>
          <w:b/>
          <w:bCs/>
          <w:color w:val="000000" w:themeColor="text1"/>
        </w:rPr>
        <w:t>Figure 2).</w:t>
      </w:r>
      <w:r w:rsidR="007E75D7" w:rsidRPr="0074390A">
        <w:rPr>
          <w:rFonts w:ascii="Times New Roman" w:hAnsi="Times New Roman" w:cs="Times New Roman"/>
          <w:color w:val="000000" w:themeColor="text1"/>
        </w:rPr>
        <w:t xml:space="preserve"> </w:t>
      </w:r>
    </w:p>
    <w:p w14:paraId="63D5E09F" w14:textId="77777777" w:rsidR="00090873" w:rsidRPr="0074390A" w:rsidRDefault="00090873" w:rsidP="00BB0E7B">
      <w:pPr>
        <w:spacing w:line="360" w:lineRule="auto"/>
        <w:rPr>
          <w:rFonts w:ascii="Times New Roman" w:hAnsi="Times New Roman" w:cs="Times New Roman"/>
          <w:b/>
          <w:bCs/>
        </w:rPr>
      </w:pPr>
    </w:p>
    <w:p w14:paraId="0702CFDD" w14:textId="77777777" w:rsidR="008261FA" w:rsidRPr="0074390A" w:rsidRDefault="008261FA" w:rsidP="00BB0E7B">
      <w:pPr>
        <w:spacing w:line="360" w:lineRule="auto"/>
        <w:rPr>
          <w:rFonts w:ascii="Times New Roman" w:hAnsi="Times New Roman" w:cs="Times New Roman"/>
          <w:b/>
          <w:bCs/>
        </w:rPr>
      </w:pPr>
      <w:r w:rsidRPr="0074390A">
        <w:rPr>
          <w:rFonts w:ascii="Times New Roman" w:hAnsi="Times New Roman" w:cs="Times New Roman"/>
          <w:b/>
          <w:bCs/>
        </w:rPr>
        <w:t>Heart failure</w:t>
      </w:r>
    </w:p>
    <w:p w14:paraId="3465AC8C" w14:textId="5A528ABB" w:rsidR="007E75D7" w:rsidRPr="0074390A" w:rsidRDefault="008261FA" w:rsidP="00BB0E7B">
      <w:pPr>
        <w:spacing w:line="360" w:lineRule="auto"/>
        <w:rPr>
          <w:rFonts w:ascii="Times New Roman" w:hAnsi="Times New Roman" w:cs="Times New Roman"/>
          <w:b/>
          <w:bCs/>
          <w:color w:val="000000" w:themeColor="text1"/>
        </w:rPr>
      </w:pPr>
      <w:r w:rsidRPr="0074390A">
        <w:rPr>
          <w:rFonts w:ascii="Times New Roman" w:hAnsi="Times New Roman" w:cs="Times New Roman"/>
        </w:rPr>
        <w:t>IVW method</w:t>
      </w:r>
      <w:r w:rsidR="00005321" w:rsidRPr="0074390A">
        <w:rPr>
          <w:rFonts w:ascii="Times New Roman" w:hAnsi="Times New Roman" w:cs="Times New Roman"/>
        </w:rPr>
        <w:t xml:space="preserve"> found no significant association between genetically predicted BMD and heart failure</w:t>
      </w:r>
      <w:r w:rsidRPr="0074390A">
        <w:rPr>
          <w:rFonts w:ascii="Times New Roman" w:hAnsi="Times New Roman" w:cs="Times New Roman"/>
        </w:rPr>
        <w:t>. Similarly, the weighted median and weighted mode regression analyses showed non-significant results (p=0.69 and p=0.91, respectively)</w:t>
      </w:r>
      <w:r w:rsidR="00005321" w:rsidRPr="0074390A">
        <w:rPr>
          <w:rFonts w:ascii="Times New Roman" w:hAnsi="Times New Roman" w:cs="Times New Roman"/>
          <w:b/>
          <w:bCs/>
          <w:color w:val="000000" w:themeColor="text1"/>
        </w:rPr>
        <w:t xml:space="preserve">. </w:t>
      </w:r>
      <w:r w:rsidRPr="0074390A">
        <w:rPr>
          <w:rFonts w:ascii="Times New Roman" w:hAnsi="Times New Roman" w:cs="Times New Roman"/>
          <w:color w:val="000000" w:themeColor="text1"/>
        </w:rPr>
        <w:t>Furthermore, there was</w:t>
      </w:r>
      <w:r w:rsidRPr="0074390A">
        <w:rPr>
          <w:rFonts w:ascii="Times New Roman" w:hAnsi="Times New Roman" w:cs="Times New Roman"/>
          <w:b/>
          <w:bCs/>
          <w:color w:val="000000" w:themeColor="text1"/>
        </w:rPr>
        <w:t xml:space="preserve"> </w:t>
      </w:r>
      <w:r w:rsidRPr="0074390A">
        <w:rPr>
          <w:rFonts w:ascii="Times New Roman" w:hAnsi="Times New Roman" w:cs="Times New Roman"/>
          <w:color w:val="000000" w:themeColor="text1"/>
        </w:rPr>
        <w:t>no evidence of directional pleiotropy</w:t>
      </w:r>
      <w:r w:rsidR="004C2F4D" w:rsidRPr="0074390A">
        <w:rPr>
          <w:rFonts w:ascii="Times New Roman" w:hAnsi="Times New Roman" w:cs="Times New Roman"/>
          <w:color w:val="000000" w:themeColor="text1"/>
        </w:rPr>
        <w:t xml:space="preserve">. </w:t>
      </w:r>
      <w:r w:rsidR="00005321" w:rsidRPr="0074390A">
        <w:rPr>
          <w:rFonts w:ascii="Times New Roman" w:hAnsi="Times New Roman" w:cs="Times New Roman"/>
          <w:color w:val="000000" w:themeColor="text1"/>
        </w:rPr>
        <w:t xml:space="preserve">In the FinnGen cohort, the </w:t>
      </w:r>
      <w:r w:rsidR="007E75D7" w:rsidRPr="0074390A">
        <w:rPr>
          <w:rFonts w:ascii="Times New Roman" w:hAnsi="Times New Roman" w:cs="Times New Roman"/>
          <w:color w:val="000000" w:themeColor="text1"/>
        </w:rPr>
        <w:t>IVW analysis indicated no significant causal association (beta-estimate:</w:t>
      </w:r>
      <w:r w:rsidR="007E75D7" w:rsidRPr="0074390A">
        <w:rPr>
          <w:rFonts w:ascii="Times New Roman" w:hAnsi="Times New Roman" w:cs="Times New Roman"/>
        </w:rPr>
        <w:t xml:space="preserve">-0.04, SE: 0.02, p=0.13). </w:t>
      </w:r>
      <w:r w:rsidR="00005321" w:rsidRPr="0074390A">
        <w:rPr>
          <w:rFonts w:ascii="Times New Roman" w:hAnsi="Times New Roman" w:cs="Times New Roman"/>
        </w:rPr>
        <w:t>Additional s</w:t>
      </w:r>
      <w:r w:rsidR="007E75D7" w:rsidRPr="0074390A">
        <w:rPr>
          <w:rFonts w:ascii="Times New Roman" w:hAnsi="Times New Roman" w:cs="Times New Roman"/>
        </w:rPr>
        <w:t>ensitivity analyses, including the weighted median (p=0.23) and weighted mode (p=0.</w:t>
      </w:r>
      <w:r w:rsidR="00AD398F" w:rsidRPr="0074390A">
        <w:rPr>
          <w:rFonts w:ascii="Times New Roman" w:hAnsi="Times New Roman" w:cs="Times New Roman"/>
        </w:rPr>
        <w:t>54</w:t>
      </w:r>
      <w:r w:rsidR="007E75D7" w:rsidRPr="0074390A">
        <w:rPr>
          <w:rFonts w:ascii="Times New Roman" w:hAnsi="Times New Roman" w:cs="Times New Roman"/>
        </w:rPr>
        <w:t>), also yielded non-significant results</w:t>
      </w:r>
      <w:r w:rsidR="00005321" w:rsidRPr="0074390A">
        <w:rPr>
          <w:rFonts w:ascii="Times New Roman" w:hAnsi="Times New Roman" w:cs="Times New Roman"/>
        </w:rPr>
        <w:t xml:space="preserve"> and no </w:t>
      </w:r>
      <w:r w:rsidR="007E75D7" w:rsidRPr="0074390A">
        <w:rPr>
          <w:rFonts w:ascii="Times New Roman" w:hAnsi="Times New Roman" w:cs="Times New Roman"/>
        </w:rPr>
        <w:t>pleiotropy was detected</w:t>
      </w:r>
      <w:r w:rsidR="00005321" w:rsidRPr="0074390A">
        <w:rPr>
          <w:rFonts w:ascii="Times New Roman" w:hAnsi="Times New Roman" w:cs="Times New Roman"/>
        </w:rPr>
        <w:t xml:space="preserve"> (</w:t>
      </w:r>
      <w:r w:rsidR="00005321" w:rsidRPr="0074390A">
        <w:rPr>
          <w:rFonts w:ascii="Times New Roman" w:hAnsi="Times New Roman" w:cs="Times New Roman"/>
          <w:b/>
          <w:bCs/>
        </w:rPr>
        <w:t>Table 1, Figure 1</w:t>
      </w:r>
      <w:r w:rsidR="00005321" w:rsidRPr="0074390A">
        <w:rPr>
          <w:rFonts w:ascii="Times New Roman" w:hAnsi="Times New Roman" w:cs="Times New Roman"/>
        </w:rPr>
        <w:t>).</w:t>
      </w:r>
    </w:p>
    <w:p w14:paraId="316CBF65" w14:textId="77777777" w:rsidR="007E75D7" w:rsidRPr="0074390A" w:rsidRDefault="007E75D7" w:rsidP="00BB0E7B">
      <w:pPr>
        <w:spacing w:line="360" w:lineRule="auto"/>
        <w:rPr>
          <w:rFonts w:ascii="Times New Roman" w:hAnsi="Times New Roman" w:cs="Times New Roman"/>
          <w:b/>
          <w:bCs/>
        </w:rPr>
      </w:pPr>
    </w:p>
    <w:p w14:paraId="61B2C22D" w14:textId="77777777" w:rsidR="008261FA" w:rsidRPr="0074390A" w:rsidRDefault="008261FA" w:rsidP="00BB0E7B">
      <w:pPr>
        <w:spacing w:line="360" w:lineRule="auto"/>
        <w:rPr>
          <w:rFonts w:ascii="Times New Roman" w:hAnsi="Times New Roman" w:cs="Times New Roman"/>
          <w:b/>
          <w:bCs/>
        </w:rPr>
      </w:pPr>
      <w:r w:rsidRPr="0074390A">
        <w:rPr>
          <w:rFonts w:ascii="Times New Roman" w:hAnsi="Times New Roman" w:cs="Times New Roman"/>
          <w:b/>
          <w:bCs/>
        </w:rPr>
        <w:t>Hypertension</w:t>
      </w:r>
    </w:p>
    <w:p w14:paraId="79D8AFA0" w14:textId="64AF2619" w:rsidR="007E75D7" w:rsidRPr="0074390A" w:rsidRDefault="008261FA" w:rsidP="00BB0E7B">
      <w:pPr>
        <w:spacing w:line="360" w:lineRule="auto"/>
        <w:rPr>
          <w:rFonts w:ascii="Times New Roman" w:hAnsi="Times New Roman" w:cs="Times New Roman"/>
          <w:color w:val="000000" w:themeColor="text1"/>
        </w:rPr>
      </w:pPr>
      <w:r w:rsidRPr="0074390A">
        <w:rPr>
          <w:rFonts w:ascii="Times New Roman" w:hAnsi="Times New Roman" w:cs="Times New Roman"/>
        </w:rPr>
        <w:lastRenderedPageBreak/>
        <w:t>Genetically predicted BMD was not associated with hypertension (beta-estimate: -0.01, SE: 0.01, p=0.44</w:t>
      </w:r>
      <w:r w:rsidR="007E75D7" w:rsidRPr="0074390A">
        <w:rPr>
          <w:rFonts w:ascii="Times New Roman" w:hAnsi="Times New Roman" w:cs="Times New Roman"/>
        </w:rPr>
        <w:t>)</w:t>
      </w:r>
      <w:r w:rsidRPr="0074390A">
        <w:rPr>
          <w:rFonts w:ascii="Times New Roman" w:hAnsi="Times New Roman" w:cs="Times New Roman"/>
        </w:rPr>
        <w:t xml:space="preserve"> in the IVW analysis. Complementary analyses, including weighted median (p=0.95) and weighted mode (p=0.70)</w:t>
      </w:r>
      <w:r w:rsidR="0068571A" w:rsidRPr="0074390A">
        <w:rPr>
          <w:rFonts w:ascii="Times New Roman" w:hAnsi="Times New Roman" w:cs="Times New Roman"/>
        </w:rPr>
        <w:t>,</w:t>
      </w:r>
      <w:r w:rsidRPr="0074390A">
        <w:rPr>
          <w:rFonts w:ascii="Times New Roman" w:hAnsi="Times New Roman" w:cs="Times New Roman"/>
        </w:rPr>
        <w:t xml:space="preserve"> also indicated no significant association</w:t>
      </w:r>
      <w:r w:rsidRPr="0074390A">
        <w:rPr>
          <w:rFonts w:ascii="Times New Roman" w:hAnsi="Times New Roman" w:cs="Times New Roman"/>
          <w:color w:val="000000" w:themeColor="text1"/>
        </w:rPr>
        <w:t>. No directional pleiotropy was found [MR-Egger regression (p=0.</w:t>
      </w:r>
      <w:r w:rsidR="006147EC" w:rsidRPr="0074390A">
        <w:rPr>
          <w:rFonts w:ascii="Times New Roman" w:hAnsi="Times New Roman" w:cs="Times New Roman"/>
          <w:color w:val="000000" w:themeColor="text1"/>
        </w:rPr>
        <w:t>42</w:t>
      </w:r>
      <w:r w:rsidRPr="0074390A">
        <w:rPr>
          <w:rFonts w:ascii="Times New Roman" w:hAnsi="Times New Roman" w:cs="Times New Roman"/>
          <w:color w:val="000000" w:themeColor="text1"/>
        </w:rPr>
        <w:t>) or MR-PRESSO analysis (MR-PRESSO global test p=0.96)].</w:t>
      </w:r>
      <w:r w:rsidR="007E75D7" w:rsidRPr="0074390A">
        <w:rPr>
          <w:rFonts w:ascii="Times New Roman" w:hAnsi="Times New Roman" w:cs="Times New Roman"/>
          <w:color w:val="000000" w:themeColor="text1"/>
        </w:rPr>
        <w:t xml:space="preserve"> These findings were </w:t>
      </w:r>
      <w:r w:rsidR="00005321" w:rsidRPr="0074390A">
        <w:rPr>
          <w:rFonts w:ascii="Times New Roman" w:hAnsi="Times New Roman" w:cs="Times New Roman"/>
          <w:color w:val="000000" w:themeColor="text1"/>
        </w:rPr>
        <w:t xml:space="preserve">further </w:t>
      </w:r>
      <w:r w:rsidR="007E75D7" w:rsidRPr="0074390A">
        <w:rPr>
          <w:rFonts w:ascii="Times New Roman" w:hAnsi="Times New Roman" w:cs="Times New Roman"/>
          <w:color w:val="000000" w:themeColor="text1"/>
        </w:rPr>
        <w:t xml:space="preserve">validated </w:t>
      </w:r>
      <w:r w:rsidR="00005321" w:rsidRPr="0074390A">
        <w:rPr>
          <w:rFonts w:ascii="Times New Roman" w:hAnsi="Times New Roman" w:cs="Times New Roman"/>
          <w:color w:val="000000" w:themeColor="text1"/>
        </w:rPr>
        <w:t>in the</w:t>
      </w:r>
      <w:r w:rsidR="007E75D7" w:rsidRPr="0074390A">
        <w:rPr>
          <w:rFonts w:ascii="Times New Roman" w:hAnsi="Times New Roman" w:cs="Times New Roman"/>
          <w:color w:val="000000" w:themeColor="text1"/>
        </w:rPr>
        <w:t xml:space="preserve"> FinnGen cohort, w</w:t>
      </w:r>
      <w:r w:rsidR="00DD07D0" w:rsidRPr="0074390A">
        <w:rPr>
          <w:rFonts w:ascii="Times New Roman" w:hAnsi="Times New Roman" w:cs="Times New Roman"/>
          <w:color w:val="000000" w:themeColor="text1"/>
        </w:rPr>
        <w:t xml:space="preserve">ith results aligning closely across all methods </w:t>
      </w:r>
      <w:r w:rsidR="007E75D7" w:rsidRPr="0074390A">
        <w:rPr>
          <w:rFonts w:ascii="Times New Roman" w:hAnsi="Times New Roman" w:cs="Times New Roman"/>
          <w:color w:val="000000" w:themeColor="text1"/>
        </w:rPr>
        <w:t>(</w:t>
      </w:r>
      <w:r w:rsidR="007E75D7" w:rsidRPr="0074390A">
        <w:rPr>
          <w:rFonts w:ascii="Times New Roman" w:hAnsi="Times New Roman" w:cs="Times New Roman"/>
          <w:b/>
          <w:bCs/>
          <w:color w:val="000000" w:themeColor="text1"/>
        </w:rPr>
        <w:t>Table 1</w:t>
      </w:r>
      <w:r w:rsidR="00DD07D0" w:rsidRPr="0074390A">
        <w:rPr>
          <w:rFonts w:ascii="Times New Roman" w:hAnsi="Times New Roman" w:cs="Times New Roman"/>
          <w:b/>
          <w:bCs/>
          <w:color w:val="000000" w:themeColor="text1"/>
        </w:rPr>
        <w:t xml:space="preserve">, </w:t>
      </w:r>
      <w:r w:rsidR="007E75D7" w:rsidRPr="0074390A">
        <w:rPr>
          <w:rFonts w:ascii="Times New Roman" w:hAnsi="Times New Roman" w:cs="Times New Roman"/>
          <w:b/>
          <w:bCs/>
          <w:color w:val="000000" w:themeColor="text1"/>
        </w:rPr>
        <w:t>Figure 2).</w:t>
      </w:r>
    </w:p>
    <w:p w14:paraId="18AEBE86" w14:textId="77777777" w:rsidR="007E75D7" w:rsidRPr="0074390A" w:rsidRDefault="007E75D7" w:rsidP="00BB0E7B">
      <w:pPr>
        <w:spacing w:line="360" w:lineRule="auto"/>
        <w:rPr>
          <w:rFonts w:ascii="Times New Roman" w:hAnsi="Times New Roman" w:cs="Times New Roman"/>
        </w:rPr>
      </w:pPr>
    </w:p>
    <w:p w14:paraId="51D6DA17" w14:textId="0E5304D7" w:rsidR="008261FA" w:rsidRPr="0074390A" w:rsidRDefault="008261FA" w:rsidP="00BB0E7B">
      <w:pPr>
        <w:spacing w:line="360" w:lineRule="auto"/>
        <w:rPr>
          <w:rFonts w:ascii="Times New Roman" w:hAnsi="Times New Roman" w:cs="Times New Roman"/>
          <w:b/>
          <w:bCs/>
        </w:rPr>
      </w:pPr>
      <w:r w:rsidRPr="0074390A">
        <w:rPr>
          <w:rFonts w:ascii="Times New Roman" w:hAnsi="Times New Roman" w:cs="Times New Roman"/>
          <w:b/>
          <w:bCs/>
        </w:rPr>
        <w:t>Non-ischemic cardiomyopathy</w:t>
      </w:r>
    </w:p>
    <w:p w14:paraId="31E5B30E" w14:textId="784A7AC2" w:rsidR="007E75D7" w:rsidRPr="0074390A" w:rsidRDefault="00DD07D0" w:rsidP="00BB0E7B">
      <w:pPr>
        <w:spacing w:line="360" w:lineRule="auto"/>
        <w:rPr>
          <w:rFonts w:ascii="Times New Roman" w:hAnsi="Times New Roman" w:cs="Times New Roman"/>
        </w:rPr>
      </w:pPr>
      <w:r w:rsidRPr="0074390A">
        <w:rPr>
          <w:rFonts w:ascii="Times New Roman" w:hAnsi="Times New Roman" w:cs="Times New Roman"/>
        </w:rPr>
        <w:t>Similarly, the</w:t>
      </w:r>
      <w:r w:rsidR="008261FA" w:rsidRPr="0074390A">
        <w:rPr>
          <w:rFonts w:ascii="Times New Roman" w:hAnsi="Times New Roman" w:cs="Times New Roman"/>
        </w:rPr>
        <w:t xml:space="preserve"> IVW </w:t>
      </w:r>
      <w:r w:rsidRPr="0074390A">
        <w:rPr>
          <w:rFonts w:ascii="Times New Roman" w:hAnsi="Times New Roman" w:cs="Times New Roman"/>
        </w:rPr>
        <w:t xml:space="preserve">analysis </w:t>
      </w:r>
      <w:r w:rsidR="008261FA" w:rsidRPr="0074390A">
        <w:rPr>
          <w:rFonts w:ascii="Times New Roman" w:hAnsi="Times New Roman" w:cs="Times New Roman"/>
        </w:rPr>
        <w:t xml:space="preserve">showed no significant association between genetically predicted BMD and </w:t>
      </w:r>
      <w:r w:rsidRPr="0074390A">
        <w:rPr>
          <w:rFonts w:ascii="Times New Roman" w:hAnsi="Times New Roman" w:cs="Times New Roman"/>
        </w:rPr>
        <w:t>NICM</w:t>
      </w:r>
      <w:r w:rsidR="008261FA" w:rsidRPr="0074390A">
        <w:rPr>
          <w:rFonts w:ascii="Times New Roman" w:hAnsi="Times New Roman" w:cs="Times New Roman"/>
        </w:rPr>
        <w:t xml:space="preserve"> (beta-estimate: 0.1, SE=0.08, p=0.20)</w:t>
      </w:r>
      <w:r w:rsidRPr="0074390A">
        <w:rPr>
          <w:rFonts w:ascii="Times New Roman" w:hAnsi="Times New Roman" w:cs="Times New Roman"/>
        </w:rPr>
        <w:t xml:space="preserve"> with s</w:t>
      </w:r>
      <w:r w:rsidR="008261FA" w:rsidRPr="0074390A">
        <w:rPr>
          <w:rFonts w:ascii="Times New Roman" w:hAnsi="Times New Roman" w:cs="Times New Roman"/>
        </w:rPr>
        <w:t xml:space="preserve">ensitivity analyses </w:t>
      </w:r>
      <w:r w:rsidRPr="0074390A">
        <w:rPr>
          <w:rFonts w:ascii="Times New Roman" w:hAnsi="Times New Roman" w:cs="Times New Roman"/>
        </w:rPr>
        <w:t>(</w:t>
      </w:r>
      <w:r w:rsidR="008261FA" w:rsidRPr="0074390A">
        <w:rPr>
          <w:rFonts w:ascii="Times New Roman" w:hAnsi="Times New Roman" w:cs="Times New Roman"/>
        </w:rPr>
        <w:t>MR-Egger p=0.34, weighted median p=0.97 and weighted mode p=0.82)</w:t>
      </w:r>
      <w:r w:rsidRPr="0074390A">
        <w:rPr>
          <w:rFonts w:ascii="Times New Roman" w:hAnsi="Times New Roman" w:cs="Times New Roman"/>
        </w:rPr>
        <w:t xml:space="preserve"> reinforcing the null finding</w:t>
      </w:r>
      <w:r w:rsidR="008261FA" w:rsidRPr="0074390A">
        <w:rPr>
          <w:rFonts w:ascii="Times New Roman" w:hAnsi="Times New Roman" w:cs="Times New Roman"/>
        </w:rPr>
        <w:t xml:space="preserve">. </w:t>
      </w:r>
      <w:r w:rsidR="008261FA" w:rsidRPr="0074390A">
        <w:rPr>
          <w:rFonts w:ascii="Times New Roman" w:hAnsi="Times New Roman" w:cs="Times New Roman"/>
          <w:color w:val="000000" w:themeColor="text1"/>
        </w:rPr>
        <w:t xml:space="preserve">The MR-PRESSO global test </w:t>
      </w:r>
      <w:r w:rsidRPr="0074390A">
        <w:rPr>
          <w:rFonts w:ascii="Times New Roman" w:hAnsi="Times New Roman" w:cs="Times New Roman"/>
          <w:color w:val="000000" w:themeColor="text1"/>
        </w:rPr>
        <w:t xml:space="preserve">(p=0.58) also </w:t>
      </w:r>
      <w:r w:rsidR="008261FA" w:rsidRPr="0074390A">
        <w:rPr>
          <w:rFonts w:ascii="Times New Roman" w:hAnsi="Times New Roman" w:cs="Times New Roman"/>
          <w:color w:val="000000" w:themeColor="text1"/>
        </w:rPr>
        <w:t xml:space="preserve">indicated no </w:t>
      </w:r>
      <w:r w:rsidRPr="0074390A">
        <w:rPr>
          <w:rFonts w:ascii="Times New Roman" w:hAnsi="Times New Roman" w:cs="Times New Roman"/>
          <w:color w:val="000000" w:themeColor="text1"/>
        </w:rPr>
        <w:t xml:space="preserve">evidence of pleiotropy. Consistent results were </w:t>
      </w:r>
      <w:r w:rsidRPr="0074390A">
        <w:rPr>
          <w:rFonts w:ascii="Times New Roman" w:hAnsi="Times New Roman" w:cs="Times New Roman"/>
        </w:rPr>
        <w:t xml:space="preserve">obtained across all methods in FinnGen, further supporting the lack of a causal relationship </w:t>
      </w:r>
      <w:r w:rsidR="00005321" w:rsidRPr="0074390A">
        <w:rPr>
          <w:rFonts w:ascii="Times New Roman" w:hAnsi="Times New Roman" w:cs="Times New Roman"/>
        </w:rPr>
        <w:t>(</w:t>
      </w:r>
      <w:r w:rsidR="00005321" w:rsidRPr="0074390A">
        <w:rPr>
          <w:rFonts w:ascii="Times New Roman" w:hAnsi="Times New Roman" w:cs="Times New Roman"/>
          <w:b/>
          <w:bCs/>
        </w:rPr>
        <w:t>Table 1</w:t>
      </w:r>
      <w:r w:rsidRPr="0074390A">
        <w:rPr>
          <w:rFonts w:ascii="Times New Roman" w:hAnsi="Times New Roman" w:cs="Times New Roman"/>
          <w:b/>
          <w:bCs/>
        </w:rPr>
        <w:t xml:space="preserve">, </w:t>
      </w:r>
      <w:r w:rsidR="00005321" w:rsidRPr="0074390A">
        <w:rPr>
          <w:rFonts w:ascii="Times New Roman" w:hAnsi="Times New Roman" w:cs="Times New Roman"/>
          <w:b/>
          <w:bCs/>
        </w:rPr>
        <w:t>Figure 2</w:t>
      </w:r>
      <w:r w:rsidR="00005321" w:rsidRPr="0074390A">
        <w:rPr>
          <w:rFonts w:ascii="Times New Roman" w:hAnsi="Times New Roman" w:cs="Times New Roman"/>
        </w:rPr>
        <w:t>).</w:t>
      </w:r>
    </w:p>
    <w:p w14:paraId="0C4B14DC" w14:textId="77777777" w:rsidR="00090873" w:rsidRPr="0074390A" w:rsidRDefault="00090873" w:rsidP="00BB0E7B">
      <w:pPr>
        <w:spacing w:line="360" w:lineRule="auto"/>
        <w:rPr>
          <w:rFonts w:ascii="Times New Roman" w:hAnsi="Times New Roman" w:cs="Times New Roman"/>
        </w:rPr>
      </w:pPr>
    </w:p>
    <w:p w14:paraId="1498D8FE" w14:textId="77777777" w:rsidR="008261FA" w:rsidRPr="0074390A" w:rsidRDefault="008261FA" w:rsidP="00BB0E7B">
      <w:pPr>
        <w:spacing w:line="360" w:lineRule="auto"/>
        <w:rPr>
          <w:rFonts w:ascii="Times New Roman" w:hAnsi="Times New Roman" w:cs="Times New Roman"/>
        </w:rPr>
      </w:pPr>
    </w:p>
    <w:p w14:paraId="343381D3" w14:textId="77777777" w:rsidR="008261FA" w:rsidRPr="0074390A" w:rsidRDefault="008261FA" w:rsidP="00BB0E7B">
      <w:pPr>
        <w:spacing w:line="360" w:lineRule="auto"/>
        <w:rPr>
          <w:rFonts w:ascii="Times New Roman" w:hAnsi="Times New Roman" w:cs="Times New Roman"/>
        </w:rPr>
      </w:pPr>
    </w:p>
    <w:p w14:paraId="53660FBB" w14:textId="77777777" w:rsidR="008261FA" w:rsidRPr="0074390A" w:rsidRDefault="008261FA" w:rsidP="00BB0E7B">
      <w:pPr>
        <w:spacing w:line="360" w:lineRule="auto"/>
        <w:rPr>
          <w:rFonts w:ascii="Times New Roman" w:hAnsi="Times New Roman" w:cs="Times New Roman"/>
        </w:rPr>
      </w:pPr>
    </w:p>
    <w:p w14:paraId="13153C48" w14:textId="77777777" w:rsidR="008261FA" w:rsidRPr="0074390A" w:rsidRDefault="008261FA" w:rsidP="00BB0E7B">
      <w:pPr>
        <w:spacing w:line="360" w:lineRule="auto"/>
        <w:rPr>
          <w:rFonts w:ascii="Times New Roman" w:hAnsi="Times New Roman" w:cs="Times New Roman"/>
        </w:rPr>
      </w:pPr>
    </w:p>
    <w:p w14:paraId="5C367D65" w14:textId="77777777" w:rsidR="008261FA" w:rsidRPr="0074390A" w:rsidRDefault="008261FA" w:rsidP="00BB0E7B">
      <w:pPr>
        <w:spacing w:line="360" w:lineRule="auto"/>
        <w:rPr>
          <w:rFonts w:ascii="Times New Roman" w:hAnsi="Times New Roman" w:cs="Times New Roman"/>
        </w:rPr>
      </w:pPr>
    </w:p>
    <w:p w14:paraId="7F158BF7" w14:textId="77777777" w:rsidR="008261FA" w:rsidRPr="0074390A" w:rsidRDefault="008261FA" w:rsidP="00BB0E7B">
      <w:pPr>
        <w:spacing w:line="360" w:lineRule="auto"/>
        <w:rPr>
          <w:rFonts w:ascii="Times New Roman" w:hAnsi="Times New Roman" w:cs="Times New Roman"/>
        </w:rPr>
      </w:pPr>
    </w:p>
    <w:p w14:paraId="4AB35AE3" w14:textId="77777777" w:rsidR="008261FA" w:rsidRPr="0074390A" w:rsidRDefault="008261FA" w:rsidP="00BB0E7B">
      <w:pPr>
        <w:spacing w:line="360" w:lineRule="auto"/>
        <w:rPr>
          <w:rFonts w:ascii="Times New Roman" w:hAnsi="Times New Roman" w:cs="Times New Roman"/>
        </w:rPr>
      </w:pPr>
    </w:p>
    <w:p w14:paraId="6ED130B6" w14:textId="77777777" w:rsidR="007E75D7" w:rsidRPr="0074390A" w:rsidRDefault="007E75D7" w:rsidP="00BB0E7B">
      <w:pPr>
        <w:spacing w:line="360" w:lineRule="auto"/>
        <w:rPr>
          <w:rFonts w:ascii="Times New Roman" w:hAnsi="Times New Roman" w:cs="Times New Roman"/>
        </w:rPr>
      </w:pPr>
    </w:p>
    <w:p w14:paraId="329FBE10" w14:textId="77777777" w:rsidR="007E75D7" w:rsidRPr="0074390A" w:rsidRDefault="007E75D7" w:rsidP="00BB0E7B">
      <w:pPr>
        <w:spacing w:line="360" w:lineRule="auto"/>
        <w:rPr>
          <w:rFonts w:ascii="Times New Roman" w:hAnsi="Times New Roman" w:cs="Times New Roman"/>
        </w:rPr>
      </w:pPr>
    </w:p>
    <w:p w14:paraId="203831D2" w14:textId="77777777" w:rsidR="007E75D7" w:rsidRPr="0074390A" w:rsidRDefault="007E75D7" w:rsidP="00BB0E7B">
      <w:pPr>
        <w:spacing w:line="360" w:lineRule="auto"/>
        <w:rPr>
          <w:rFonts w:ascii="Times New Roman" w:hAnsi="Times New Roman" w:cs="Times New Roman"/>
        </w:rPr>
      </w:pPr>
    </w:p>
    <w:p w14:paraId="63670065" w14:textId="77777777" w:rsidR="007E75D7" w:rsidRPr="0074390A" w:rsidRDefault="007E75D7" w:rsidP="00BB0E7B">
      <w:pPr>
        <w:spacing w:line="360" w:lineRule="auto"/>
        <w:rPr>
          <w:rFonts w:ascii="Times New Roman" w:hAnsi="Times New Roman" w:cs="Times New Roman"/>
        </w:rPr>
      </w:pPr>
    </w:p>
    <w:p w14:paraId="34AC46E5" w14:textId="77777777" w:rsidR="007E75D7" w:rsidRPr="0074390A" w:rsidRDefault="007E75D7" w:rsidP="00BB0E7B">
      <w:pPr>
        <w:spacing w:line="360" w:lineRule="auto"/>
        <w:rPr>
          <w:rFonts w:ascii="Times New Roman" w:hAnsi="Times New Roman" w:cs="Times New Roman"/>
        </w:rPr>
      </w:pPr>
    </w:p>
    <w:p w14:paraId="3FF10BAD" w14:textId="77777777" w:rsidR="007E75D7" w:rsidRPr="0074390A" w:rsidRDefault="007E75D7" w:rsidP="00BB0E7B">
      <w:pPr>
        <w:spacing w:line="360" w:lineRule="auto"/>
        <w:rPr>
          <w:rFonts w:ascii="Times New Roman" w:hAnsi="Times New Roman" w:cs="Times New Roman"/>
        </w:rPr>
      </w:pPr>
    </w:p>
    <w:p w14:paraId="6AED4E11" w14:textId="77777777" w:rsidR="00667136" w:rsidRPr="0074390A" w:rsidRDefault="00667136" w:rsidP="00BB0E7B">
      <w:pPr>
        <w:spacing w:line="360" w:lineRule="auto"/>
        <w:rPr>
          <w:rFonts w:ascii="Times New Roman" w:hAnsi="Times New Roman" w:cs="Times New Roman"/>
        </w:rPr>
      </w:pPr>
    </w:p>
    <w:p w14:paraId="73BA0B51" w14:textId="77777777" w:rsidR="00B63539" w:rsidRPr="0074390A" w:rsidRDefault="00B63539" w:rsidP="00BB0E7B">
      <w:pPr>
        <w:spacing w:line="360" w:lineRule="auto"/>
        <w:rPr>
          <w:rFonts w:ascii="Times New Roman" w:hAnsi="Times New Roman" w:cs="Times New Roman"/>
        </w:rPr>
      </w:pPr>
    </w:p>
    <w:p w14:paraId="5DF19F80" w14:textId="77777777" w:rsidR="00B63539" w:rsidRPr="0074390A" w:rsidRDefault="00B63539" w:rsidP="00BB0E7B">
      <w:pPr>
        <w:spacing w:line="360" w:lineRule="auto"/>
        <w:rPr>
          <w:rFonts w:ascii="Times New Roman" w:hAnsi="Times New Roman" w:cs="Times New Roman"/>
        </w:rPr>
      </w:pPr>
    </w:p>
    <w:p w14:paraId="4C08DF54" w14:textId="77777777" w:rsidR="008E4C89" w:rsidRDefault="008E4C89" w:rsidP="00BB0E7B">
      <w:pPr>
        <w:spacing w:line="360" w:lineRule="auto"/>
        <w:rPr>
          <w:rFonts w:ascii="Times New Roman" w:hAnsi="Times New Roman" w:cs="Times New Roman"/>
        </w:rPr>
      </w:pPr>
    </w:p>
    <w:p w14:paraId="3C8E3526" w14:textId="77777777" w:rsidR="00BB0E7B" w:rsidRPr="0074390A" w:rsidRDefault="00BB0E7B" w:rsidP="00BB0E7B">
      <w:pPr>
        <w:spacing w:line="360" w:lineRule="auto"/>
        <w:rPr>
          <w:rFonts w:ascii="Times New Roman" w:hAnsi="Times New Roman" w:cs="Times New Roman"/>
        </w:rPr>
      </w:pPr>
    </w:p>
    <w:p w14:paraId="58DA6F84" w14:textId="77777777" w:rsidR="008E4C89" w:rsidRPr="0074390A" w:rsidRDefault="008E4C89" w:rsidP="00BB0E7B">
      <w:pPr>
        <w:spacing w:line="360" w:lineRule="auto"/>
        <w:rPr>
          <w:rFonts w:ascii="Times New Roman" w:hAnsi="Times New Roman" w:cs="Times New Roman"/>
        </w:rPr>
      </w:pPr>
    </w:p>
    <w:p w14:paraId="7F88EB51" w14:textId="6306152D" w:rsidR="006A450F" w:rsidRPr="0074390A" w:rsidRDefault="008261FA" w:rsidP="00BB0E7B">
      <w:pPr>
        <w:spacing w:line="360" w:lineRule="auto"/>
        <w:rPr>
          <w:rFonts w:ascii="Times New Roman" w:hAnsi="Times New Roman" w:cs="Times New Roman"/>
          <w:b/>
          <w:bCs/>
        </w:rPr>
      </w:pPr>
      <w:r w:rsidRPr="0074390A">
        <w:rPr>
          <w:rFonts w:ascii="Times New Roman" w:hAnsi="Times New Roman" w:cs="Times New Roman"/>
          <w:b/>
          <w:bCs/>
        </w:rPr>
        <w:lastRenderedPageBreak/>
        <w:t>Discussion</w:t>
      </w:r>
    </w:p>
    <w:p w14:paraId="5EFDF2C7" w14:textId="77777777" w:rsidR="00854ECC" w:rsidRPr="0074390A" w:rsidRDefault="00854ECC" w:rsidP="00BB0E7B">
      <w:pPr>
        <w:spacing w:line="360" w:lineRule="auto"/>
        <w:rPr>
          <w:rFonts w:ascii="Times New Roman" w:hAnsi="Times New Roman" w:cs="Times New Roman"/>
          <w:b/>
          <w:bCs/>
        </w:rPr>
      </w:pPr>
    </w:p>
    <w:p w14:paraId="398F8239" w14:textId="2ACB670F" w:rsidR="006A450F" w:rsidRPr="0074390A" w:rsidRDefault="006A450F" w:rsidP="00BB0E7B">
      <w:pPr>
        <w:spacing w:line="360" w:lineRule="auto"/>
        <w:rPr>
          <w:rFonts w:ascii="Times New Roman" w:hAnsi="Times New Roman" w:cs="Times New Roman"/>
          <w:b/>
          <w:bCs/>
        </w:rPr>
      </w:pPr>
      <w:r w:rsidRPr="0074390A">
        <w:rPr>
          <w:rFonts w:ascii="Times New Roman" w:hAnsi="Times New Roman" w:cs="Times New Roman"/>
          <w:b/>
          <w:bCs/>
        </w:rPr>
        <w:t>Summary of findings</w:t>
      </w:r>
    </w:p>
    <w:p w14:paraId="5C0FE68D" w14:textId="655C7A34" w:rsidR="00D94627" w:rsidRPr="0074390A" w:rsidRDefault="004B5693" w:rsidP="00BB0E7B">
      <w:pPr>
        <w:spacing w:line="360" w:lineRule="auto"/>
        <w:rPr>
          <w:rFonts w:ascii="Times New Roman" w:hAnsi="Times New Roman" w:cs="Times New Roman"/>
        </w:rPr>
      </w:pPr>
      <w:r w:rsidRPr="0074390A">
        <w:rPr>
          <w:rFonts w:ascii="Times New Roman" w:hAnsi="Times New Roman" w:cs="Times New Roman"/>
        </w:rPr>
        <w:t xml:space="preserve">We present a comprehensive evaluation of the relationship between BMD and cardiovascular health, combining data from several large-scale genome-wide association studies (GWAS). Using </w:t>
      </w:r>
      <w:r w:rsidR="000952EB" w:rsidRPr="0074390A">
        <w:rPr>
          <w:rFonts w:ascii="Times New Roman" w:hAnsi="Times New Roman" w:cs="Times New Roman"/>
        </w:rPr>
        <w:t xml:space="preserve">summary statistics from a </w:t>
      </w:r>
      <w:r w:rsidRPr="0074390A">
        <w:rPr>
          <w:rFonts w:ascii="Times New Roman" w:hAnsi="Times New Roman" w:cs="Times New Roman"/>
        </w:rPr>
        <w:t>GWAS-</w:t>
      </w:r>
      <w:r w:rsidR="000952EB" w:rsidRPr="0074390A">
        <w:rPr>
          <w:rFonts w:ascii="Times New Roman" w:hAnsi="Times New Roman" w:cs="Times New Roman"/>
        </w:rPr>
        <w:t>meta-analysis</w:t>
      </w:r>
      <w:r w:rsidRPr="0074390A">
        <w:rPr>
          <w:rFonts w:ascii="Times New Roman" w:hAnsi="Times New Roman" w:cs="Times New Roman"/>
        </w:rPr>
        <w:t xml:space="preserve"> for BMD and independent cardiovascular outcome datasets from UK Biobank (primary analysis) and FinnGen (validation analysis), we conducted a two-sample MR analysis. </w:t>
      </w:r>
      <w:r w:rsidR="000952EB" w:rsidRPr="0074390A">
        <w:rPr>
          <w:rFonts w:ascii="Times New Roman" w:hAnsi="Times New Roman" w:cs="Times New Roman"/>
        </w:rPr>
        <w:t>O</w:t>
      </w:r>
      <w:r w:rsidR="00D663F0" w:rsidRPr="0074390A">
        <w:rPr>
          <w:rFonts w:ascii="Times New Roman" w:hAnsi="Times New Roman" w:cs="Times New Roman"/>
        </w:rPr>
        <w:t xml:space="preserve">ur </w:t>
      </w:r>
      <w:r w:rsidRPr="0074390A">
        <w:rPr>
          <w:rFonts w:ascii="Times New Roman" w:hAnsi="Times New Roman" w:cs="Times New Roman"/>
        </w:rPr>
        <w:t xml:space="preserve">findings </w:t>
      </w:r>
      <w:r w:rsidR="00853153" w:rsidRPr="0074390A">
        <w:rPr>
          <w:rFonts w:ascii="Times New Roman" w:hAnsi="Times New Roman" w:cs="Times New Roman"/>
        </w:rPr>
        <w:t>d</w:t>
      </w:r>
      <w:r w:rsidRPr="0074390A">
        <w:rPr>
          <w:rFonts w:ascii="Times New Roman" w:hAnsi="Times New Roman" w:cs="Times New Roman"/>
        </w:rPr>
        <w:t xml:space="preserve">o not support a causal </w:t>
      </w:r>
      <w:r w:rsidR="00D663F0" w:rsidRPr="0074390A">
        <w:rPr>
          <w:rFonts w:ascii="Times New Roman" w:hAnsi="Times New Roman" w:cs="Times New Roman"/>
        </w:rPr>
        <w:t>effect of BMD on the risk of AF or flutter, angina, chronic IHD,</w:t>
      </w:r>
      <w:r w:rsidR="009C54DB" w:rsidRPr="0074390A">
        <w:rPr>
          <w:rFonts w:ascii="Times New Roman" w:hAnsi="Times New Roman" w:cs="Times New Roman"/>
        </w:rPr>
        <w:t xml:space="preserve"> myocardial infarction</w:t>
      </w:r>
      <w:r w:rsidR="00D663F0" w:rsidRPr="0074390A">
        <w:rPr>
          <w:rFonts w:ascii="Times New Roman" w:hAnsi="Times New Roman" w:cs="Times New Roman"/>
        </w:rPr>
        <w:t>, HF, hypertension or NICM.</w:t>
      </w:r>
      <w:r w:rsidR="000952EB" w:rsidRPr="0074390A">
        <w:rPr>
          <w:rFonts w:ascii="Times New Roman" w:hAnsi="Times New Roman" w:cs="Times New Roman"/>
        </w:rPr>
        <w:t xml:space="preserve"> </w:t>
      </w:r>
      <w:r w:rsidR="00D94627" w:rsidRPr="0074390A">
        <w:rPr>
          <w:rFonts w:ascii="Times New Roman" w:hAnsi="Times New Roman" w:cs="Times New Roman"/>
        </w:rPr>
        <w:t>The results suggest that previous</w:t>
      </w:r>
      <w:r w:rsidRPr="0074390A">
        <w:rPr>
          <w:rFonts w:ascii="Times New Roman" w:hAnsi="Times New Roman" w:cs="Times New Roman"/>
        </w:rPr>
        <w:t xml:space="preserve"> </w:t>
      </w:r>
      <w:r w:rsidR="00D94627" w:rsidRPr="0074390A">
        <w:rPr>
          <w:rFonts w:ascii="Times New Roman" w:hAnsi="Times New Roman" w:cs="Times New Roman"/>
        </w:rPr>
        <w:t xml:space="preserve">associations between BMD and CVD </w:t>
      </w:r>
      <w:r w:rsidR="00D663F0" w:rsidRPr="0074390A">
        <w:rPr>
          <w:rFonts w:ascii="Times New Roman" w:hAnsi="Times New Roman" w:cs="Times New Roman"/>
        </w:rPr>
        <w:t xml:space="preserve">in observational studies </w:t>
      </w:r>
      <w:r w:rsidR="000952EB" w:rsidRPr="0074390A">
        <w:rPr>
          <w:rFonts w:ascii="Times New Roman" w:hAnsi="Times New Roman" w:cs="Times New Roman"/>
        </w:rPr>
        <w:t>may be attributable to</w:t>
      </w:r>
      <w:r w:rsidR="00D94627" w:rsidRPr="0074390A">
        <w:rPr>
          <w:rFonts w:ascii="Times New Roman" w:hAnsi="Times New Roman" w:cs="Times New Roman"/>
        </w:rPr>
        <w:t xml:space="preserve"> unaccounted confounding factors or shared biological mechanisms </w:t>
      </w:r>
      <w:r w:rsidR="000952EB" w:rsidRPr="0074390A">
        <w:rPr>
          <w:rFonts w:ascii="Times New Roman" w:hAnsi="Times New Roman" w:cs="Times New Roman"/>
        </w:rPr>
        <w:t xml:space="preserve">rather </w:t>
      </w:r>
      <w:r w:rsidR="00D94627" w:rsidRPr="0074390A">
        <w:rPr>
          <w:rFonts w:ascii="Times New Roman" w:hAnsi="Times New Roman" w:cs="Times New Roman"/>
        </w:rPr>
        <w:t xml:space="preserve">than direct causation. </w:t>
      </w:r>
    </w:p>
    <w:p w14:paraId="632E200F" w14:textId="77777777" w:rsidR="00EC2A83" w:rsidRPr="0074390A" w:rsidRDefault="00EC2A83" w:rsidP="00BB0E7B">
      <w:pPr>
        <w:spacing w:line="360" w:lineRule="auto"/>
        <w:rPr>
          <w:rFonts w:ascii="Times New Roman" w:hAnsi="Times New Roman" w:cs="Times New Roman"/>
        </w:rPr>
      </w:pPr>
    </w:p>
    <w:p w14:paraId="048C5B33" w14:textId="77777777" w:rsidR="00C75DA3" w:rsidRPr="0074390A" w:rsidRDefault="00C75DA3" w:rsidP="00BB0E7B">
      <w:pPr>
        <w:spacing w:line="360" w:lineRule="auto"/>
        <w:rPr>
          <w:rFonts w:ascii="Times New Roman" w:hAnsi="Times New Roman" w:cs="Times New Roman"/>
          <w:b/>
          <w:bCs/>
        </w:rPr>
      </w:pPr>
      <w:r w:rsidRPr="0074390A">
        <w:rPr>
          <w:rFonts w:ascii="Times New Roman" w:hAnsi="Times New Roman" w:cs="Times New Roman"/>
          <w:b/>
          <w:bCs/>
        </w:rPr>
        <w:t>Comparison with existing literature</w:t>
      </w:r>
    </w:p>
    <w:p w14:paraId="17936D26" w14:textId="5D65CB14" w:rsidR="00C75DA3" w:rsidRPr="0074390A" w:rsidRDefault="00C75DA3" w:rsidP="00BB0E7B">
      <w:pPr>
        <w:spacing w:line="360" w:lineRule="auto"/>
        <w:rPr>
          <w:rFonts w:ascii="Times New Roman" w:hAnsi="Times New Roman" w:cs="Times New Roman"/>
        </w:rPr>
      </w:pPr>
      <w:r w:rsidRPr="0074390A">
        <w:rPr>
          <w:rFonts w:ascii="Times New Roman" w:hAnsi="Times New Roman" w:cs="Times New Roman"/>
          <w:color w:val="000000" w:themeColor="text1"/>
        </w:rPr>
        <w:t>Recent epidemiological and clinical studies showed an association between osteoporosis and CVD. While the association between BMD and angina pectoris has been less explored</w:t>
      </w:r>
      <w:r w:rsidRPr="0074390A">
        <w:rPr>
          <w:rFonts w:ascii="Times New Roman" w:hAnsi="Times New Roman" w:cs="Times New Roman"/>
          <w:color w:val="000000" w:themeColor="text1"/>
          <w:vertAlign w:val="superscript"/>
        </w:rPr>
        <w:t>25</w:t>
      </w:r>
      <w:r w:rsidRPr="0074390A">
        <w:rPr>
          <w:rFonts w:ascii="Times New Roman" w:hAnsi="Times New Roman" w:cs="Times New Roman"/>
          <w:color w:val="000000" w:themeColor="text1"/>
        </w:rPr>
        <w:t>, a growing body of research has investigated the link between BMD and myocardial infarction. In a population-based cohort study, Park et al.</w:t>
      </w:r>
      <w:r w:rsidRPr="0074390A">
        <w:rPr>
          <w:rFonts w:ascii="Times New Roman" w:hAnsi="Times New Roman" w:cs="Times New Roman"/>
          <w:color w:val="000000" w:themeColor="text1"/>
          <w:vertAlign w:val="superscript"/>
        </w:rPr>
        <w:t>26</w:t>
      </w:r>
      <w:r w:rsidRPr="0074390A">
        <w:rPr>
          <w:rFonts w:ascii="Times New Roman" w:hAnsi="Times New Roman" w:cs="Times New Roman"/>
          <w:color w:val="000000" w:themeColor="text1"/>
        </w:rPr>
        <w:t xml:space="preserve"> showed that lower BMD at various skeletal sites (lumbar spine, femur neck and total hip) was independently associated with a heightened risk of atherosclerotic CVD events, including non-fatal myocardial infarction. This finding is consistent with </w:t>
      </w:r>
      <w:proofErr w:type="spellStart"/>
      <w:r w:rsidRPr="0074390A">
        <w:rPr>
          <w:rFonts w:ascii="Times New Roman" w:hAnsi="Times New Roman" w:cs="Times New Roman"/>
          <w:color w:val="000000" w:themeColor="text1"/>
        </w:rPr>
        <w:t>Wiklund</w:t>
      </w:r>
      <w:proofErr w:type="spellEnd"/>
      <w:r w:rsidRPr="0074390A">
        <w:rPr>
          <w:rFonts w:ascii="Times New Roman" w:hAnsi="Times New Roman" w:cs="Times New Roman"/>
          <w:color w:val="000000" w:themeColor="text1"/>
        </w:rPr>
        <w:t xml:space="preserve"> et al.</w:t>
      </w:r>
      <w:r w:rsidRPr="0074390A">
        <w:rPr>
          <w:rFonts w:ascii="Times New Roman" w:hAnsi="Times New Roman" w:cs="Times New Roman"/>
          <w:color w:val="000000" w:themeColor="text1"/>
          <w:vertAlign w:val="superscript"/>
        </w:rPr>
        <w:t>8</w:t>
      </w:r>
      <w:r w:rsidRPr="0074390A">
        <w:rPr>
          <w:rFonts w:ascii="Times New Roman" w:hAnsi="Times New Roman" w:cs="Times New Roman"/>
          <w:color w:val="000000" w:themeColor="text1"/>
        </w:rPr>
        <w:t xml:space="preserve"> who reported a modest increase in acute myocardial infarction risk for each standard deviation decrease in BMD. Further strengthening the link, recent MR studies, such as the one conducted by Zhang et al.</w:t>
      </w:r>
      <w:r w:rsidRPr="0074390A">
        <w:rPr>
          <w:rFonts w:ascii="Times New Roman" w:hAnsi="Times New Roman" w:cs="Times New Roman"/>
          <w:color w:val="000000" w:themeColor="text1"/>
          <w:vertAlign w:val="superscript"/>
        </w:rPr>
        <w:t>13</w:t>
      </w:r>
      <w:r w:rsidRPr="0074390A">
        <w:rPr>
          <w:rFonts w:ascii="Times New Roman" w:hAnsi="Times New Roman" w:cs="Times New Roman"/>
          <w:color w:val="000000" w:themeColor="text1"/>
        </w:rPr>
        <w:t>, have provided evidence for a causal relationship between CHD, myocardial infarction and BMD. However, in reverse MR analyses, the causal relationship between osteoporosis and CVD was not supported. Our MR study aligns with these findings</w:t>
      </w:r>
      <w:r w:rsidR="005229F2" w:rsidRPr="0074390A">
        <w:rPr>
          <w:rFonts w:ascii="Times New Roman" w:hAnsi="Times New Roman" w:cs="Times New Roman"/>
          <w:color w:val="000000" w:themeColor="text1"/>
        </w:rPr>
        <w:t xml:space="preserve">, </w:t>
      </w:r>
      <w:r w:rsidRPr="0074390A">
        <w:rPr>
          <w:rFonts w:ascii="Times New Roman" w:hAnsi="Times New Roman" w:cs="Times New Roman"/>
          <w:color w:val="000000" w:themeColor="text1"/>
        </w:rPr>
        <w:t>demonstrat</w:t>
      </w:r>
      <w:r w:rsidR="005229F2" w:rsidRPr="0074390A">
        <w:rPr>
          <w:rFonts w:ascii="Times New Roman" w:hAnsi="Times New Roman" w:cs="Times New Roman"/>
          <w:color w:val="000000" w:themeColor="text1"/>
        </w:rPr>
        <w:t>ing</w:t>
      </w:r>
      <w:r w:rsidRPr="0074390A">
        <w:rPr>
          <w:rFonts w:ascii="Times New Roman" w:hAnsi="Times New Roman" w:cs="Times New Roman"/>
          <w:color w:val="000000" w:themeColor="text1"/>
        </w:rPr>
        <w:t xml:space="preserve"> no evidence of a causal link between BMD, chronic IHD, and angina. </w:t>
      </w:r>
      <w:r w:rsidRPr="0074390A">
        <w:rPr>
          <w:rFonts w:ascii="Times New Roman" w:hAnsi="Times New Roman" w:cs="Times New Roman"/>
        </w:rPr>
        <w:t>These results reinforce the notion that the association observed in previous studies may be attributable to confounding factors or common biological mechanisms rather than a direct causal effect.</w:t>
      </w:r>
    </w:p>
    <w:p w14:paraId="0DCF186F" w14:textId="77777777" w:rsidR="00C75DA3" w:rsidRPr="0074390A" w:rsidRDefault="00C75DA3" w:rsidP="00BB0E7B">
      <w:pPr>
        <w:spacing w:line="360" w:lineRule="auto"/>
        <w:rPr>
          <w:rFonts w:ascii="Times New Roman" w:hAnsi="Times New Roman" w:cs="Times New Roman"/>
        </w:rPr>
      </w:pPr>
    </w:p>
    <w:p w14:paraId="5CE914B1" w14:textId="6F1BA157" w:rsidR="00C75DA3" w:rsidRPr="0074390A" w:rsidRDefault="005229F2" w:rsidP="00BB0E7B">
      <w:pPr>
        <w:spacing w:line="360" w:lineRule="auto"/>
        <w:rPr>
          <w:rFonts w:ascii="Times New Roman" w:hAnsi="Times New Roman" w:cs="Times New Roman"/>
        </w:rPr>
      </w:pPr>
      <w:r w:rsidRPr="0074390A">
        <w:rPr>
          <w:rFonts w:ascii="Times New Roman" w:hAnsi="Times New Roman" w:cs="Times New Roman"/>
        </w:rPr>
        <w:t>O</w:t>
      </w:r>
      <w:r w:rsidR="00C75DA3" w:rsidRPr="0074390A">
        <w:rPr>
          <w:rFonts w:ascii="Times New Roman" w:hAnsi="Times New Roman" w:cs="Times New Roman"/>
        </w:rPr>
        <w:t>ur study provides novel insights into the causal relationship between BMD and AF</w:t>
      </w:r>
      <w:r w:rsidRPr="0074390A">
        <w:rPr>
          <w:rFonts w:ascii="Times New Roman" w:hAnsi="Times New Roman" w:cs="Times New Roman"/>
        </w:rPr>
        <w:t>, addressing an important gap in the literature</w:t>
      </w:r>
      <w:r w:rsidR="00C75DA3" w:rsidRPr="0074390A">
        <w:rPr>
          <w:rFonts w:ascii="Times New Roman" w:hAnsi="Times New Roman" w:cs="Times New Roman"/>
        </w:rPr>
        <w:t xml:space="preserve">. Given that both osteoporosis and AF increase in prevalence with age, exploring their potential link is crucial for understanding morbidity in aging populations. </w:t>
      </w:r>
      <w:r w:rsidRPr="0074390A">
        <w:rPr>
          <w:rFonts w:ascii="Times New Roman" w:hAnsi="Times New Roman" w:cs="Times New Roman"/>
        </w:rPr>
        <w:t>For instance,</w:t>
      </w:r>
      <w:r w:rsidR="00C75DA3" w:rsidRPr="0074390A">
        <w:rPr>
          <w:rFonts w:ascii="Times New Roman" w:hAnsi="Times New Roman" w:cs="Times New Roman"/>
        </w:rPr>
        <w:t xml:space="preserve"> vitamin D deficiency, </w:t>
      </w:r>
      <w:r w:rsidRPr="0074390A">
        <w:rPr>
          <w:rFonts w:ascii="Times New Roman" w:hAnsi="Times New Roman" w:cs="Times New Roman"/>
        </w:rPr>
        <w:t xml:space="preserve">a known contributor to osteoporosis, </w:t>
      </w:r>
      <w:r w:rsidRPr="0074390A">
        <w:rPr>
          <w:rFonts w:ascii="Times New Roman" w:hAnsi="Times New Roman" w:cs="Times New Roman"/>
        </w:rPr>
        <w:lastRenderedPageBreak/>
        <w:t xml:space="preserve">has been </w:t>
      </w:r>
      <w:r w:rsidR="00C75DA3" w:rsidRPr="0074390A">
        <w:rPr>
          <w:rFonts w:ascii="Times New Roman" w:hAnsi="Times New Roman" w:cs="Times New Roman"/>
        </w:rPr>
        <w:t>implicated in cardiovascular morbidity</w:t>
      </w:r>
      <w:r w:rsidR="00C75DA3" w:rsidRPr="0074390A">
        <w:rPr>
          <w:rFonts w:ascii="Times New Roman" w:hAnsi="Times New Roman" w:cs="Times New Roman"/>
          <w:vertAlign w:val="superscript"/>
        </w:rPr>
        <w:t>27,28</w:t>
      </w:r>
      <w:r w:rsidRPr="0074390A">
        <w:rPr>
          <w:rFonts w:ascii="Times New Roman" w:hAnsi="Times New Roman" w:cs="Times New Roman"/>
        </w:rPr>
        <w:t xml:space="preserve"> and is hypothesized to increase the risk of AF through mechanisms such as impaired </w:t>
      </w:r>
      <w:r w:rsidR="00C75DA3" w:rsidRPr="0074390A">
        <w:rPr>
          <w:rFonts w:ascii="Times New Roman" w:hAnsi="Times New Roman" w:cs="Times New Roman"/>
        </w:rPr>
        <w:t>cardiac autonomic functio</w:t>
      </w:r>
      <w:r w:rsidRPr="0074390A">
        <w:rPr>
          <w:rFonts w:ascii="Times New Roman" w:hAnsi="Times New Roman" w:cs="Times New Roman"/>
        </w:rPr>
        <w:t>n and the deposition of calcium and phosphate in vascular and valvular cusps</w:t>
      </w:r>
      <w:r w:rsidR="00C75DA3" w:rsidRPr="0074390A">
        <w:rPr>
          <w:rFonts w:ascii="Times New Roman" w:hAnsi="Times New Roman" w:cs="Times New Roman"/>
          <w:vertAlign w:val="superscript"/>
        </w:rPr>
        <w:t>29</w:t>
      </w:r>
      <w:r w:rsidRPr="0074390A">
        <w:rPr>
          <w:rFonts w:ascii="Times New Roman" w:hAnsi="Times New Roman" w:cs="Times New Roman"/>
          <w:vertAlign w:val="superscript"/>
        </w:rPr>
        <w:t>,30</w:t>
      </w:r>
      <w:r w:rsidR="00C75DA3" w:rsidRPr="0074390A">
        <w:rPr>
          <w:rFonts w:ascii="Times New Roman" w:hAnsi="Times New Roman" w:cs="Times New Roman"/>
        </w:rPr>
        <w:t xml:space="preserve">. </w:t>
      </w:r>
      <w:r w:rsidR="00076361" w:rsidRPr="0074390A">
        <w:rPr>
          <w:rFonts w:ascii="Times New Roman" w:hAnsi="Times New Roman" w:cs="Times New Roman"/>
        </w:rPr>
        <w:t>An</w:t>
      </w:r>
      <w:r w:rsidR="00C75DA3" w:rsidRPr="0074390A">
        <w:rPr>
          <w:rFonts w:ascii="Times New Roman" w:hAnsi="Times New Roman" w:cs="Times New Roman"/>
        </w:rPr>
        <w:t xml:space="preserve"> observational study by Bhatta et al.</w:t>
      </w:r>
      <w:r w:rsidR="00C75DA3" w:rsidRPr="0074390A">
        <w:rPr>
          <w:rFonts w:ascii="Times New Roman" w:hAnsi="Times New Roman" w:cs="Times New Roman"/>
          <w:vertAlign w:val="superscript"/>
        </w:rPr>
        <w:t>31</w:t>
      </w:r>
      <w:r w:rsidR="00C75DA3" w:rsidRPr="0074390A">
        <w:rPr>
          <w:rFonts w:ascii="Times New Roman" w:hAnsi="Times New Roman" w:cs="Times New Roman"/>
        </w:rPr>
        <w:t xml:space="preserve"> explored this link and found no association between lower forearm BMD and an elevated risk of AF. However, it is important to acknowledge </w:t>
      </w:r>
      <w:r w:rsidR="006D0926" w:rsidRPr="0074390A">
        <w:rPr>
          <w:rFonts w:ascii="Times New Roman" w:hAnsi="Times New Roman" w:cs="Times New Roman"/>
        </w:rPr>
        <w:t>the</w:t>
      </w:r>
      <w:r w:rsidR="00C75DA3" w:rsidRPr="0074390A">
        <w:rPr>
          <w:rFonts w:ascii="Times New Roman" w:hAnsi="Times New Roman" w:cs="Times New Roman"/>
        </w:rPr>
        <w:t xml:space="preserve"> inherent limitations of observational studies, which are often susceptible to confounding factors and the possibility of reverse causality</w:t>
      </w:r>
      <w:r w:rsidRPr="0074390A">
        <w:rPr>
          <w:rFonts w:ascii="Times New Roman" w:hAnsi="Times New Roman" w:cs="Times New Roman"/>
        </w:rPr>
        <w:t xml:space="preserve">, making it difficult to establish a clear causal link. </w:t>
      </w:r>
      <w:r w:rsidR="00C75DA3" w:rsidRPr="0074390A">
        <w:rPr>
          <w:rFonts w:ascii="Times New Roman" w:hAnsi="Times New Roman" w:cs="Times New Roman"/>
        </w:rPr>
        <w:t xml:space="preserve">Our MR analysis </w:t>
      </w:r>
      <w:r w:rsidR="00076361" w:rsidRPr="0074390A">
        <w:rPr>
          <w:rFonts w:ascii="Times New Roman" w:hAnsi="Times New Roman" w:cs="Times New Roman"/>
        </w:rPr>
        <w:t>leverages genetic variants as IVs, mitigating these biases and allowing a more robust assessment of causality. The findings</w:t>
      </w:r>
      <w:r w:rsidR="00C75DA3" w:rsidRPr="0074390A">
        <w:rPr>
          <w:rFonts w:ascii="Times New Roman" w:hAnsi="Times New Roman" w:cs="Times New Roman"/>
        </w:rPr>
        <w:t xml:space="preserve"> revealed no direct causal link between BMD and AF, reinforcing the notion that low BMD is unlikely to play a causal role in AF</w:t>
      </w:r>
      <w:r w:rsidR="006D0926" w:rsidRPr="0074390A">
        <w:rPr>
          <w:rFonts w:ascii="Times New Roman" w:hAnsi="Times New Roman" w:cs="Times New Roman"/>
        </w:rPr>
        <w:t xml:space="preserve"> development</w:t>
      </w:r>
      <w:r w:rsidR="00C75DA3" w:rsidRPr="0074390A">
        <w:rPr>
          <w:rFonts w:ascii="Times New Roman" w:hAnsi="Times New Roman" w:cs="Times New Roman"/>
        </w:rPr>
        <w:t xml:space="preserve">. </w:t>
      </w:r>
      <w:r w:rsidR="00076361" w:rsidRPr="0074390A">
        <w:rPr>
          <w:rFonts w:ascii="Times New Roman" w:hAnsi="Times New Roman" w:cs="Times New Roman"/>
        </w:rPr>
        <w:t>Future studies should explore these common pathways</w:t>
      </w:r>
      <w:r w:rsidRPr="0074390A">
        <w:rPr>
          <w:rFonts w:ascii="Times New Roman" w:hAnsi="Times New Roman" w:cs="Times New Roman"/>
        </w:rPr>
        <w:t xml:space="preserve"> </w:t>
      </w:r>
      <w:r w:rsidR="00076361" w:rsidRPr="0074390A">
        <w:rPr>
          <w:rFonts w:ascii="Times New Roman" w:hAnsi="Times New Roman" w:cs="Times New Roman"/>
        </w:rPr>
        <w:t>and consider other factors influencing both bone health and cardiovascular risk.</w:t>
      </w:r>
    </w:p>
    <w:p w14:paraId="74CBB73E" w14:textId="77777777" w:rsidR="00C75DA3" w:rsidRPr="0074390A" w:rsidRDefault="00C75DA3" w:rsidP="00BB0E7B">
      <w:pPr>
        <w:spacing w:line="360" w:lineRule="auto"/>
        <w:rPr>
          <w:rFonts w:ascii="Times New Roman" w:hAnsi="Times New Roman" w:cs="Times New Roman"/>
        </w:rPr>
      </w:pPr>
    </w:p>
    <w:p w14:paraId="791653E0" w14:textId="2E181EE7" w:rsidR="00C75DA3" w:rsidRPr="0074390A" w:rsidRDefault="00C75DA3" w:rsidP="00BB0E7B">
      <w:pPr>
        <w:spacing w:line="360" w:lineRule="auto"/>
        <w:rPr>
          <w:rFonts w:ascii="Times New Roman" w:hAnsi="Times New Roman" w:cs="Times New Roman"/>
        </w:rPr>
      </w:pPr>
      <w:r w:rsidRPr="0074390A">
        <w:rPr>
          <w:rFonts w:ascii="Times New Roman" w:hAnsi="Times New Roman" w:cs="Times New Roman"/>
        </w:rPr>
        <w:t>Hypertension, a prevalent cardiovascular condition and an independent risk factor for CVDs</w:t>
      </w:r>
      <w:r w:rsidRPr="0074390A">
        <w:rPr>
          <w:rFonts w:ascii="Times New Roman" w:hAnsi="Times New Roman" w:cs="Times New Roman"/>
          <w:vertAlign w:val="superscript"/>
        </w:rPr>
        <w:t>32</w:t>
      </w:r>
      <w:r w:rsidRPr="0074390A">
        <w:rPr>
          <w:rFonts w:ascii="Times New Roman" w:hAnsi="Times New Roman" w:cs="Times New Roman"/>
        </w:rPr>
        <w:t xml:space="preserve">, has gained increasing attention in research exploring the intricate relationship between cardiovascular and skeletal health. Its widespread impact on public health </w:t>
      </w:r>
      <w:r w:rsidR="007577EE" w:rsidRPr="0074390A">
        <w:rPr>
          <w:rFonts w:ascii="Times New Roman" w:hAnsi="Times New Roman" w:cs="Times New Roman"/>
        </w:rPr>
        <w:t xml:space="preserve">underscores the importance of investigating potential associations with bone health, particularly as emerging evidence remains inconsistent. </w:t>
      </w:r>
      <w:r w:rsidRPr="0074390A">
        <w:rPr>
          <w:rFonts w:ascii="Times New Roman" w:hAnsi="Times New Roman" w:cs="Times New Roman"/>
        </w:rPr>
        <w:t>For instance, a study by Tsuda et al.</w:t>
      </w:r>
      <w:r w:rsidRPr="0074390A">
        <w:rPr>
          <w:rFonts w:ascii="Times New Roman" w:hAnsi="Times New Roman" w:cs="Times New Roman"/>
          <w:vertAlign w:val="superscript"/>
        </w:rPr>
        <w:t xml:space="preserve">33 </w:t>
      </w:r>
      <w:r w:rsidRPr="0074390A">
        <w:rPr>
          <w:rFonts w:ascii="Times New Roman" w:hAnsi="Times New Roman" w:cs="Times New Roman"/>
        </w:rPr>
        <w:t xml:space="preserve">showed that BMD in the lumbar spine was significantly decreased in female hypertensive subjects compared </w:t>
      </w:r>
      <w:r w:rsidR="007577EE" w:rsidRPr="0074390A">
        <w:rPr>
          <w:rFonts w:ascii="Times New Roman" w:hAnsi="Times New Roman" w:cs="Times New Roman"/>
        </w:rPr>
        <w:t>to</w:t>
      </w:r>
      <w:r w:rsidRPr="0074390A">
        <w:rPr>
          <w:rFonts w:ascii="Times New Roman" w:hAnsi="Times New Roman" w:cs="Times New Roman"/>
        </w:rPr>
        <w:t xml:space="preserve"> normotensive control</w:t>
      </w:r>
      <w:r w:rsidR="007577EE" w:rsidRPr="0074390A">
        <w:rPr>
          <w:rFonts w:ascii="Times New Roman" w:hAnsi="Times New Roman" w:cs="Times New Roman"/>
        </w:rPr>
        <w:t>s</w:t>
      </w:r>
      <w:r w:rsidRPr="0074390A">
        <w:rPr>
          <w:rFonts w:ascii="Times New Roman" w:hAnsi="Times New Roman" w:cs="Times New Roman"/>
        </w:rPr>
        <w:t xml:space="preserve">. However,  </w:t>
      </w:r>
      <w:r w:rsidR="007577EE" w:rsidRPr="0074390A">
        <w:rPr>
          <w:rFonts w:ascii="Times New Roman" w:hAnsi="Times New Roman" w:cs="Times New Roman"/>
        </w:rPr>
        <w:t>subsequent research</w:t>
      </w:r>
      <w:r w:rsidRPr="0074390A">
        <w:rPr>
          <w:rFonts w:ascii="Times New Roman" w:hAnsi="Times New Roman" w:cs="Times New Roman"/>
        </w:rPr>
        <w:t xml:space="preserve"> involving 2,738 female participants aged 50 and over, found no significant association between BMD and hypertension</w:t>
      </w:r>
      <w:r w:rsidRPr="0074390A">
        <w:rPr>
          <w:rFonts w:ascii="Times New Roman" w:hAnsi="Times New Roman" w:cs="Times New Roman"/>
          <w:vertAlign w:val="superscript"/>
        </w:rPr>
        <w:t>34</w:t>
      </w:r>
      <w:r w:rsidRPr="0074390A">
        <w:rPr>
          <w:rFonts w:ascii="Times New Roman" w:hAnsi="Times New Roman" w:cs="Times New Roman"/>
        </w:rPr>
        <w:t xml:space="preserve">. Despite these results, our MR analysis sought to examine whether there was a causal link between genetically predicted BMD and hypertension. The findings indicated no causality, a conclusion supported by multiple sensitivity analyses. </w:t>
      </w:r>
      <w:r w:rsidR="007577EE" w:rsidRPr="0074390A">
        <w:rPr>
          <w:rFonts w:ascii="Times New Roman" w:hAnsi="Times New Roman" w:cs="Times New Roman"/>
        </w:rPr>
        <w:t>Moreover, our results were validated using the independent FinnGen cohort, which also showed consistent null results.</w:t>
      </w:r>
      <w:r w:rsidR="003540B6" w:rsidRPr="0074390A">
        <w:rPr>
          <w:rFonts w:ascii="Times New Roman" w:hAnsi="Times New Roman" w:cs="Times New Roman"/>
        </w:rPr>
        <w:t xml:space="preserve"> </w:t>
      </w:r>
      <w:r w:rsidRPr="0074390A">
        <w:rPr>
          <w:rFonts w:ascii="Times New Roman" w:hAnsi="Times New Roman" w:cs="Times New Roman"/>
        </w:rPr>
        <w:t>Several biological pathways may explain the association between BMD and hypertension. In particular, low BMD often correlates with 25(OH)vitamin D deficiency, an independent risk factor for high blood pressure</w:t>
      </w:r>
      <w:r w:rsidRPr="0074390A">
        <w:rPr>
          <w:rFonts w:ascii="Times New Roman" w:hAnsi="Times New Roman" w:cs="Times New Roman"/>
          <w:vertAlign w:val="superscript"/>
        </w:rPr>
        <w:t>35</w:t>
      </w:r>
      <w:r w:rsidRPr="0074390A">
        <w:rPr>
          <w:rFonts w:ascii="Times New Roman" w:hAnsi="Times New Roman" w:cs="Times New Roman"/>
        </w:rPr>
        <w:t xml:space="preserve">. Previous research has shown a correlation between low BMD and various metabolic risk factors, such as secondary hyperparathyroidism, oxidative stress, inhibition of vitamin K-dependent matrix proteins, </w:t>
      </w:r>
      <w:proofErr w:type="spellStart"/>
      <w:r w:rsidRPr="0074390A">
        <w:rPr>
          <w:rFonts w:ascii="Times New Roman" w:hAnsi="Times New Roman" w:cs="Times New Roman"/>
        </w:rPr>
        <w:t>osteopontin</w:t>
      </w:r>
      <w:proofErr w:type="spellEnd"/>
      <w:r w:rsidRPr="0074390A">
        <w:rPr>
          <w:rFonts w:ascii="Times New Roman" w:hAnsi="Times New Roman" w:cs="Times New Roman"/>
        </w:rPr>
        <w:t xml:space="preserve"> and angiotensin II</w:t>
      </w:r>
      <w:r w:rsidRPr="0074390A">
        <w:rPr>
          <w:rFonts w:ascii="Times New Roman" w:hAnsi="Times New Roman" w:cs="Times New Roman"/>
          <w:vertAlign w:val="superscript"/>
        </w:rPr>
        <w:t>36,37,38</w:t>
      </w:r>
      <w:r w:rsidRPr="0074390A">
        <w:rPr>
          <w:rFonts w:ascii="Times New Roman" w:hAnsi="Times New Roman" w:cs="Times New Roman"/>
        </w:rPr>
        <w:t xml:space="preserve">. These factors may play a role in developing arterial stiffness, hypertension and osteoporosis. Therefore, while no direct causality exists, understanding these common pathways remains critical for managing the health of individuals at risk of both osteoporosis and CVD. </w:t>
      </w:r>
    </w:p>
    <w:p w14:paraId="689CBD12" w14:textId="77777777" w:rsidR="00C75DA3" w:rsidRPr="0074390A" w:rsidRDefault="00C75DA3" w:rsidP="00BB0E7B">
      <w:pPr>
        <w:spacing w:line="360" w:lineRule="auto"/>
        <w:rPr>
          <w:rFonts w:ascii="Times New Roman" w:hAnsi="Times New Roman" w:cs="Times New Roman"/>
        </w:rPr>
      </w:pPr>
    </w:p>
    <w:p w14:paraId="600E4FC0" w14:textId="526A63C5" w:rsidR="00C75DA3" w:rsidRPr="0074390A" w:rsidRDefault="00C75DA3" w:rsidP="00BB0E7B">
      <w:pPr>
        <w:spacing w:line="360" w:lineRule="auto"/>
        <w:rPr>
          <w:rFonts w:ascii="Times New Roman" w:hAnsi="Times New Roman" w:cs="Times New Roman"/>
        </w:rPr>
      </w:pPr>
      <w:r w:rsidRPr="0074390A">
        <w:rPr>
          <w:rFonts w:ascii="Times New Roman" w:hAnsi="Times New Roman" w:cs="Times New Roman"/>
        </w:rPr>
        <w:t xml:space="preserve">Finally, our study </w:t>
      </w:r>
      <w:r w:rsidR="006D0926" w:rsidRPr="0074390A">
        <w:rPr>
          <w:rFonts w:ascii="Times New Roman" w:hAnsi="Times New Roman" w:cs="Times New Roman"/>
        </w:rPr>
        <w:t>investigated</w:t>
      </w:r>
      <w:r w:rsidRPr="0074390A">
        <w:rPr>
          <w:rFonts w:ascii="Times New Roman" w:hAnsi="Times New Roman" w:cs="Times New Roman"/>
        </w:rPr>
        <w:t xml:space="preserve"> the causality between genetically predicted BMD and NICM, a phenotype increasingly recognised as a significant cause of heart failure</w:t>
      </w:r>
      <w:r w:rsidRPr="0074390A">
        <w:rPr>
          <w:rFonts w:ascii="Times New Roman" w:hAnsi="Times New Roman" w:cs="Times New Roman"/>
          <w:vertAlign w:val="superscript"/>
        </w:rPr>
        <w:t>39</w:t>
      </w:r>
      <w:r w:rsidRPr="0074390A">
        <w:rPr>
          <w:rFonts w:ascii="Times New Roman" w:hAnsi="Times New Roman" w:cs="Times New Roman"/>
        </w:rPr>
        <w:t>. Previous studies have suggested that cardiomyopathy may be influenced by metabolic and inflammatory pathways, both of which are also implicated in bone health</w:t>
      </w:r>
      <w:r w:rsidRPr="0074390A">
        <w:rPr>
          <w:rFonts w:ascii="Times New Roman" w:hAnsi="Times New Roman" w:cs="Times New Roman"/>
          <w:vertAlign w:val="superscript"/>
        </w:rPr>
        <w:t>40</w:t>
      </w:r>
      <w:r w:rsidRPr="0074390A">
        <w:rPr>
          <w:rFonts w:ascii="Times New Roman" w:hAnsi="Times New Roman" w:cs="Times New Roman"/>
        </w:rPr>
        <w:t xml:space="preserve">. </w:t>
      </w:r>
      <w:r w:rsidR="00DC7524" w:rsidRPr="0074390A">
        <w:rPr>
          <w:rFonts w:ascii="Times New Roman" w:hAnsi="Times New Roman" w:cs="Times New Roman"/>
        </w:rPr>
        <w:t xml:space="preserve">In a previous observational analysis, we identified </w:t>
      </w:r>
      <w:r w:rsidRPr="0074390A">
        <w:rPr>
          <w:rFonts w:ascii="Times New Roman" w:hAnsi="Times New Roman" w:cs="Times New Roman"/>
        </w:rPr>
        <w:t>a potential association between higher estimated BMD (measured via quantitative ultrasound) and lower odds of NICM risk</w:t>
      </w:r>
      <w:r w:rsidR="00DC7524" w:rsidRPr="0074390A">
        <w:rPr>
          <w:rFonts w:ascii="Times New Roman" w:hAnsi="Times New Roman" w:cs="Times New Roman"/>
        </w:rPr>
        <w:t xml:space="preserve">. However, in the current study, our genetic analysis did not support a causal relationship between genetically predicted BMD and NICM. </w:t>
      </w:r>
    </w:p>
    <w:p w14:paraId="111F5855" w14:textId="77777777" w:rsidR="00DC7524" w:rsidRPr="0074390A" w:rsidRDefault="00DC7524" w:rsidP="00BB0E7B">
      <w:pPr>
        <w:spacing w:line="360" w:lineRule="auto"/>
        <w:rPr>
          <w:rFonts w:ascii="Times New Roman" w:hAnsi="Times New Roman" w:cs="Times New Roman"/>
        </w:rPr>
      </w:pPr>
    </w:p>
    <w:p w14:paraId="1795AC8D" w14:textId="5D43911B" w:rsidR="00C75DA3" w:rsidRPr="0074390A" w:rsidRDefault="00C75DA3" w:rsidP="00BB0E7B">
      <w:pPr>
        <w:spacing w:line="360" w:lineRule="auto"/>
        <w:rPr>
          <w:rFonts w:ascii="Times New Roman" w:hAnsi="Times New Roman" w:cs="Times New Roman"/>
          <w:color w:val="000000" w:themeColor="text1"/>
        </w:rPr>
      </w:pPr>
      <w:r w:rsidRPr="0074390A">
        <w:rPr>
          <w:rFonts w:ascii="Times New Roman" w:hAnsi="Times New Roman" w:cs="Times New Roman"/>
          <w:color w:val="000000" w:themeColor="text1"/>
        </w:rPr>
        <w:t>In summary, our MR analysis adds to the growing body of evidence suggesting that BMD is not causally linked to CVDs. The genetic approach provides a robust framework for exploring these relationships, minimising the limitations of observational studies and offering a clearer understanding of the interplay between skeletal and cardiovascular health.</w:t>
      </w:r>
      <w:r w:rsidRPr="0074390A">
        <w:rPr>
          <w:rFonts w:ascii="Times New Roman" w:hAnsi="Times New Roman" w:cs="Times New Roman"/>
        </w:rPr>
        <w:t xml:space="preserve"> These findings underscore the need for further research into the mechanisms linking BMD and CVD. Uncovering these mechanisms holds the potential to refine risk stratification strategies and identify novel therapeutic targets for these interconnected conditions. </w:t>
      </w:r>
    </w:p>
    <w:p w14:paraId="60AFDE90" w14:textId="77777777" w:rsidR="00D1232B" w:rsidRPr="0074390A" w:rsidRDefault="00D1232B" w:rsidP="00BB0E7B">
      <w:pPr>
        <w:spacing w:line="360" w:lineRule="auto"/>
        <w:rPr>
          <w:rFonts w:ascii="Times New Roman" w:hAnsi="Times New Roman" w:cs="Times New Roman"/>
        </w:rPr>
      </w:pPr>
    </w:p>
    <w:p w14:paraId="3D3DF3E9" w14:textId="3A57BA50" w:rsidR="00876418" w:rsidRPr="0074390A" w:rsidRDefault="00876418" w:rsidP="00BB0E7B">
      <w:pPr>
        <w:spacing w:line="360" w:lineRule="auto"/>
        <w:rPr>
          <w:rFonts w:ascii="Times New Roman" w:hAnsi="Times New Roman" w:cs="Times New Roman"/>
          <w:b/>
          <w:bCs/>
        </w:rPr>
      </w:pPr>
      <w:r w:rsidRPr="0074390A">
        <w:rPr>
          <w:rFonts w:ascii="Times New Roman" w:hAnsi="Times New Roman" w:cs="Times New Roman"/>
          <w:b/>
          <w:bCs/>
        </w:rPr>
        <w:t>Strengths and limitations</w:t>
      </w:r>
    </w:p>
    <w:p w14:paraId="6C50FB32" w14:textId="13E37B58" w:rsidR="003D0498" w:rsidRPr="0074390A" w:rsidRDefault="00FD4A72" w:rsidP="00BB0E7B">
      <w:pPr>
        <w:spacing w:line="360" w:lineRule="auto"/>
        <w:rPr>
          <w:rFonts w:ascii="Times New Roman" w:hAnsi="Times New Roman" w:cs="Times New Roman"/>
        </w:rPr>
      </w:pPr>
      <w:r w:rsidRPr="0074390A">
        <w:rPr>
          <w:rFonts w:ascii="Times New Roman" w:hAnsi="Times New Roman" w:cs="Times New Roman"/>
        </w:rPr>
        <w:t>Using</w:t>
      </w:r>
      <w:r w:rsidR="00E6450C" w:rsidRPr="0074390A">
        <w:rPr>
          <w:rFonts w:ascii="Times New Roman" w:hAnsi="Times New Roman" w:cs="Times New Roman"/>
        </w:rPr>
        <w:t xml:space="preserve"> </w:t>
      </w:r>
      <w:r w:rsidR="0054129B" w:rsidRPr="0074390A">
        <w:rPr>
          <w:rFonts w:ascii="Times New Roman" w:hAnsi="Times New Roman" w:cs="Times New Roman"/>
          <w:color w:val="000000" w:themeColor="text1"/>
        </w:rPr>
        <w:t>summary</w:t>
      </w:r>
      <w:r w:rsidR="00E6450C" w:rsidRPr="0074390A">
        <w:rPr>
          <w:rFonts w:ascii="Times New Roman" w:hAnsi="Times New Roman" w:cs="Times New Roman"/>
          <w:color w:val="000000" w:themeColor="text1"/>
        </w:rPr>
        <w:t xml:space="preserve">-level data from large-scale GWAS enhances statistical power and reduces </w:t>
      </w:r>
      <w:r w:rsidR="006D0926" w:rsidRPr="0074390A">
        <w:rPr>
          <w:rFonts w:ascii="Times New Roman" w:hAnsi="Times New Roman" w:cs="Times New Roman"/>
          <w:color w:val="000000" w:themeColor="text1"/>
        </w:rPr>
        <w:t xml:space="preserve">the </w:t>
      </w:r>
      <w:r w:rsidR="00E6450C" w:rsidRPr="0074390A">
        <w:rPr>
          <w:rFonts w:ascii="Times New Roman" w:hAnsi="Times New Roman" w:cs="Times New Roman"/>
          <w:color w:val="000000" w:themeColor="text1"/>
        </w:rPr>
        <w:t xml:space="preserve">potential for confounding. </w:t>
      </w:r>
      <w:r w:rsidR="00876418" w:rsidRPr="0074390A">
        <w:rPr>
          <w:rFonts w:ascii="Times New Roman" w:hAnsi="Times New Roman" w:cs="Times New Roman"/>
        </w:rPr>
        <w:t>By</w:t>
      </w:r>
      <w:r w:rsidR="00E6450C" w:rsidRPr="0074390A">
        <w:rPr>
          <w:rFonts w:ascii="Times New Roman" w:hAnsi="Times New Roman" w:cs="Times New Roman"/>
        </w:rPr>
        <w:t xml:space="preserve"> </w:t>
      </w:r>
      <w:r w:rsidR="003D0498" w:rsidRPr="0074390A">
        <w:rPr>
          <w:rFonts w:ascii="Times New Roman" w:hAnsi="Times New Roman" w:cs="Times New Roman"/>
        </w:rPr>
        <w:t>appl</w:t>
      </w:r>
      <w:r w:rsidR="0054129B" w:rsidRPr="0074390A">
        <w:rPr>
          <w:rFonts w:ascii="Times New Roman" w:hAnsi="Times New Roman" w:cs="Times New Roman"/>
        </w:rPr>
        <w:t>ying</w:t>
      </w:r>
      <w:r w:rsidR="003D0498" w:rsidRPr="0074390A">
        <w:rPr>
          <w:rFonts w:ascii="Times New Roman" w:hAnsi="Times New Roman" w:cs="Times New Roman"/>
        </w:rPr>
        <w:t xml:space="preserve"> multiple complementary analyses (MR-Egger, weighted median, weighted mode and MR-PRESSO) </w:t>
      </w:r>
      <w:r w:rsidR="00E6450C" w:rsidRPr="0074390A">
        <w:rPr>
          <w:rFonts w:ascii="Times New Roman" w:hAnsi="Times New Roman" w:cs="Times New Roman"/>
        </w:rPr>
        <w:t>we ensured the</w:t>
      </w:r>
      <w:r w:rsidR="003D0498" w:rsidRPr="0074390A">
        <w:rPr>
          <w:rFonts w:ascii="Times New Roman" w:hAnsi="Times New Roman" w:cs="Times New Roman"/>
        </w:rPr>
        <w:t xml:space="preserve"> robustness and consistency of our findings. </w:t>
      </w:r>
      <w:r w:rsidR="00E6450C" w:rsidRPr="0074390A">
        <w:rPr>
          <w:rFonts w:ascii="Times New Roman" w:hAnsi="Times New Roman" w:cs="Times New Roman"/>
        </w:rPr>
        <w:t>However, s</w:t>
      </w:r>
      <w:r w:rsidR="0054129B" w:rsidRPr="0074390A">
        <w:rPr>
          <w:rFonts w:ascii="Times New Roman" w:hAnsi="Times New Roman" w:cs="Times New Roman"/>
        </w:rPr>
        <w:t xml:space="preserve">everal limitations should </w:t>
      </w:r>
      <w:r w:rsidR="00E6450C" w:rsidRPr="0074390A">
        <w:rPr>
          <w:rFonts w:ascii="Times New Roman" w:hAnsi="Times New Roman" w:cs="Times New Roman"/>
        </w:rPr>
        <w:t xml:space="preserve">be acknowledged. </w:t>
      </w:r>
      <w:r w:rsidR="00876418" w:rsidRPr="0074390A">
        <w:rPr>
          <w:rFonts w:ascii="Times New Roman" w:hAnsi="Times New Roman" w:cs="Times New Roman"/>
        </w:rPr>
        <w:t>Firstly, the data sources we used were confined to individuals of European ancestry, which minimized the risk of population structure bias but restrict</w:t>
      </w:r>
      <w:r w:rsidR="006D0926" w:rsidRPr="0074390A">
        <w:rPr>
          <w:rFonts w:ascii="Times New Roman" w:hAnsi="Times New Roman" w:cs="Times New Roman"/>
        </w:rPr>
        <w:t>ed</w:t>
      </w:r>
      <w:r w:rsidR="00876418" w:rsidRPr="0074390A">
        <w:rPr>
          <w:rFonts w:ascii="Times New Roman" w:hAnsi="Times New Roman" w:cs="Times New Roman"/>
        </w:rPr>
        <w:t xml:space="preserve"> the generalizability of our findings to other populations</w:t>
      </w:r>
      <w:r w:rsidR="00ED70B2" w:rsidRPr="0074390A">
        <w:rPr>
          <w:rFonts w:ascii="Times New Roman" w:hAnsi="Times New Roman" w:cs="Times New Roman"/>
        </w:rPr>
        <w:t xml:space="preserve">. </w:t>
      </w:r>
      <w:r w:rsidR="001D32F8" w:rsidRPr="0074390A">
        <w:rPr>
          <w:rFonts w:ascii="Times New Roman" w:hAnsi="Times New Roman" w:cs="Times New Roman"/>
        </w:rPr>
        <w:t xml:space="preserve">Secondly, our analysis is based on case-control GWAS designs, </w:t>
      </w:r>
      <w:r w:rsidRPr="0074390A">
        <w:rPr>
          <w:rFonts w:ascii="Times New Roman" w:hAnsi="Times New Roman" w:cs="Times New Roman"/>
        </w:rPr>
        <w:t>which lack</w:t>
      </w:r>
      <w:r w:rsidR="001D32F8" w:rsidRPr="0074390A">
        <w:rPr>
          <w:rFonts w:ascii="Times New Roman" w:hAnsi="Times New Roman" w:cs="Times New Roman"/>
        </w:rPr>
        <w:t xml:space="preserve"> a clear time-to-event framework</w:t>
      </w:r>
      <w:r w:rsidRPr="0074390A">
        <w:rPr>
          <w:rFonts w:ascii="Times New Roman" w:hAnsi="Times New Roman" w:cs="Times New Roman"/>
        </w:rPr>
        <w:t xml:space="preserve"> and limit </w:t>
      </w:r>
      <w:r w:rsidR="004C02BB" w:rsidRPr="0074390A">
        <w:rPr>
          <w:rFonts w:ascii="Times New Roman" w:hAnsi="Times New Roman" w:cs="Times New Roman"/>
        </w:rPr>
        <w:t xml:space="preserve">the </w:t>
      </w:r>
      <w:r w:rsidR="001D32F8" w:rsidRPr="0074390A">
        <w:rPr>
          <w:rFonts w:ascii="Times New Roman" w:hAnsi="Times New Roman" w:cs="Times New Roman"/>
        </w:rPr>
        <w:t xml:space="preserve">ability to establish temporality. </w:t>
      </w:r>
      <w:r w:rsidR="004C02BB" w:rsidRPr="0074390A">
        <w:rPr>
          <w:rFonts w:ascii="Times New Roman" w:hAnsi="Times New Roman" w:cs="Times New Roman"/>
        </w:rPr>
        <w:t xml:space="preserve">Conducting longitudinal time-to-event MR analysis requires individual-level genetic and longitudinal CVD data with detailed follow-up, which were not available for our study. </w:t>
      </w:r>
      <w:r w:rsidR="001D32F8" w:rsidRPr="0074390A">
        <w:rPr>
          <w:rFonts w:ascii="Times New Roman" w:hAnsi="Times New Roman" w:cs="Times New Roman"/>
        </w:rPr>
        <w:t xml:space="preserve">Future research should explore time-to-event MR approaches using IVs to </w:t>
      </w:r>
      <w:r w:rsidR="004C02BB" w:rsidRPr="0074390A">
        <w:rPr>
          <w:rFonts w:ascii="Times New Roman" w:hAnsi="Times New Roman" w:cs="Times New Roman"/>
        </w:rPr>
        <w:t xml:space="preserve">better </w:t>
      </w:r>
      <w:r w:rsidR="001D32F8" w:rsidRPr="0074390A">
        <w:rPr>
          <w:rFonts w:ascii="Times New Roman" w:hAnsi="Times New Roman" w:cs="Times New Roman"/>
        </w:rPr>
        <w:t>address t</w:t>
      </w:r>
      <w:r w:rsidR="004C02BB" w:rsidRPr="0074390A">
        <w:rPr>
          <w:rFonts w:ascii="Times New Roman" w:hAnsi="Times New Roman" w:cs="Times New Roman"/>
        </w:rPr>
        <w:t xml:space="preserve">emporality and strengthen causal inference. </w:t>
      </w:r>
    </w:p>
    <w:p w14:paraId="702DA45E" w14:textId="77777777" w:rsidR="006E5FC9" w:rsidRPr="0074390A" w:rsidRDefault="006E5FC9" w:rsidP="00BB0E7B">
      <w:pPr>
        <w:spacing w:line="360" w:lineRule="auto"/>
        <w:rPr>
          <w:rFonts w:ascii="Times New Roman" w:hAnsi="Times New Roman" w:cs="Times New Roman"/>
        </w:rPr>
      </w:pPr>
    </w:p>
    <w:p w14:paraId="60759A74" w14:textId="77777777" w:rsidR="00853153" w:rsidRPr="0074390A" w:rsidRDefault="00853153" w:rsidP="00BB0E7B">
      <w:pPr>
        <w:spacing w:line="360" w:lineRule="auto"/>
        <w:rPr>
          <w:rFonts w:ascii="Times New Roman" w:hAnsi="Times New Roman" w:cs="Times New Roman"/>
          <w:b/>
          <w:bCs/>
        </w:rPr>
      </w:pPr>
    </w:p>
    <w:p w14:paraId="6B337719" w14:textId="77777777" w:rsidR="00853153" w:rsidRPr="0074390A" w:rsidRDefault="00853153" w:rsidP="00BB0E7B">
      <w:pPr>
        <w:spacing w:line="360" w:lineRule="auto"/>
        <w:rPr>
          <w:rFonts w:ascii="Times New Roman" w:hAnsi="Times New Roman" w:cs="Times New Roman"/>
          <w:b/>
          <w:bCs/>
        </w:rPr>
      </w:pPr>
    </w:p>
    <w:p w14:paraId="19F41DE5" w14:textId="1AB34A3B" w:rsidR="006E5FC9" w:rsidRPr="0074390A" w:rsidRDefault="00B0611D" w:rsidP="00BB0E7B">
      <w:pPr>
        <w:spacing w:line="360" w:lineRule="auto"/>
        <w:rPr>
          <w:rFonts w:ascii="Times New Roman" w:hAnsi="Times New Roman" w:cs="Times New Roman"/>
          <w:b/>
          <w:bCs/>
        </w:rPr>
      </w:pPr>
      <w:r w:rsidRPr="0074390A">
        <w:rPr>
          <w:rFonts w:ascii="Times New Roman" w:hAnsi="Times New Roman" w:cs="Times New Roman"/>
          <w:b/>
          <w:bCs/>
        </w:rPr>
        <w:lastRenderedPageBreak/>
        <w:t>Conclusion</w:t>
      </w:r>
    </w:p>
    <w:p w14:paraId="34DDB429" w14:textId="4BD422C5" w:rsidR="006E5FC9" w:rsidRPr="0074390A" w:rsidRDefault="00BA488E" w:rsidP="00BB0E7B">
      <w:pPr>
        <w:spacing w:line="360" w:lineRule="auto"/>
        <w:rPr>
          <w:rFonts w:ascii="Times New Roman" w:hAnsi="Times New Roman" w:cs="Times New Roman"/>
        </w:rPr>
      </w:pPr>
      <w:r w:rsidRPr="0074390A">
        <w:rPr>
          <w:rFonts w:ascii="Times New Roman" w:hAnsi="Times New Roman" w:cs="Times New Roman"/>
        </w:rPr>
        <w:t xml:space="preserve">In summary, </w:t>
      </w:r>
      <w:r w:rsidR="00E6450C" w:rsidRPr="0074390A">
        <w:rPr>
          <w:rFonts w:ascii="Times New Roman" w:hAnsi="Times New Roman" w:cs="Times New Roman"/>
        </w:rPr>
        <w:t>this MR study, based on GWAS summary data, found no evidence of a causal relationship between genetically predicted BMD and a broad range of cardiovascular phenotypes. These findings emphasize the need for continued research to explore the underlying mechanisms linking BMD with CVD.</w:t>
      </w:r>
      <w:r w:rsidR="00AA07C4" w:rsidRPr="0074390A">
        <w:rPr>
          <w:rFonts w:ascii="Times New Roman" w:hAnsi="Times New Roman" w:cs="Times New Roman"/>
        </w:rPr>
        <w:t xml:space="preserve"> </w:t>
      </w:r>
    </w:p>
    <w:p w14:paraId="2010F946" w14:textId="77777777" w:rsidR="006A450F" w:rsidRPr="0074390A" w:rsidRDefault="006A450F" w:rsidP="00BB0E7B">
      <w:pPr>
        <w:spacing w:line="360" w:lineRule="auto"/>
        <w:rPr>
          <w:rFonts w:ascii="Times New Roman" w:hAnsi="Times New Roman" w:cs="Times New Roman"/>
          <w:b/>
          <w:bCs/>
        </w:rPr>
      </w:pPr>
    </w:p>
    <w:p w14:paraId="68646C75" w14:textId="77777777" w:rsidR="00270D0C" w:rsidRPr="0074390A" w:rsidRDefault="00270D0C" w:rsidP="00BB0E7B">
      <w:pPr>
        <w:spacing w:line="360" w:lineRule="auto"/>
        <w:rPr>
          <w:rFonts w:ascii="Times New Roman" w:hAnsi="Times New Roman" w:cs="Times New Roman"/>
          <w:b/>
          <w:bCs/>
        </w:rPr>
      </w:pPr>
    </w:p>
    <w:p w14:paraId="2A26FAE5" w14:textId="77777777" w:rsidR="00270D0C" w:rsidRPr="0074390A" w:rsidRDefault="00270D0C" w:rsidP="00BB0E7B">
      <w:pPr>
        <w:spacing w:line="360" w:lineRule="auto"/>
        <w:rPr>
          <w:rFonts w:ascii="Times New Roman" w:hAnsi="Times New Roman" w:cs="Times New Roman"/>
          <w:b/>
          <w:bCs/>
        </w:rPr>
      </w:pPr>
    </w:p>
    <w:p w14:paraId="5FB67979" w14:textId="77777777" w:rsidR="00270D0C" w:rsidRPr="0074390A" w:rsidRDefault="00270D0C" w:rsidP="00BB0E7B">
      <w:pPr>
        <w:spacing w:line="360" w:lineRule="auto"/>
        <w:rPr>
          <w:rFonts w:ascii="Times New Roman" w:hAnsi="Times New Roman" w:cs="Times New Roman"/>
          <w:b/>
          <w:bCs/>
        </w:rPr>
      </w:pPr>
    </w:p>
    <w:p w14:paraId="384A9A1A" w14:textId="77777777" w:rsidR="00270D0C" w:rsidRPr="0074390A" w:rsidRDefault="00270D0C" w:rsidP="00BB0E7B">
      <w:pPr>
        <w:spacing w:line="360" w:lineRule="auto"/>
        <w:rPr>
          <w:rFonts w:ascii="Times New Roman" w:hAnsi="Times New Roman" w:cs="Times New Roman"/>
          <w:b/>
          <w:bCs/>
        </w:rPr>
      </w:pPr>
    </w:p>
    <w:p w14:paraId="193F0A05" w14:textId="77777777" w:rsidR="00270D0C" w:rsidRPr="0074390A" w:rsidRDefault="00270D0C" w:rsidP="00BB0E7B">
      <w:pPr>
        <w:spacing w:line="360" w:lineRule="auto"/>
        <w:rPr>
          <w:rFonts w:ascii="Times New Roman" w:hAnsi="Times New Roman" w:cs="Times New Roman"/>
          <w:b/>
          <w:bCs/>
        </w:rPr>
      </w:pPr>
    </w:p>
    <w:p w14:paraId="471CCAE3" w14:textId="77777777" w:rsidR="00CF08A6" w:rsidRPr="0074390A" w:rsidRDefault="00CF08A6" w:rsidP="00BB0E7B">
      <w:pPr>
        <w:spacing w:line="360" w:lineRule="auto"/>
        <w:rPr>
          <w:rFonts w:ascii="Times New Roman" w:hAnsi="Times New Roman" w:cs="Times New Roman"/>
          <w:b/>
          <w:bCs/>
        </w:rPr>
      </w:pPr>
    </w:p>
    <w:p w14:paraId="3D4B5C72" w14:textId="77777777" w:rsidR="00CF08A6" w:rsidRPr="0074390A" w:rsidRDefault="00CF08A6" w:rsidP="00BB0E7B">
      <w:pPr>
        <w:spacing w:line="360" w:lineRule="auto"/>
        <w:rPr>
          <w:rFonts w:ascii="Times New Roman" w:hAnsi="Times New Roman" w:cs="Times New Roman"/>
          <w:b/>
          <w:bCs/>
        </w:rPr>
      </w:pPr>
    </w:p>
    <w:p w14:paraId="415DBB35" w14:textId="77777777" w:rsidR="00270D0C" w:rsidRPr="0074390A" w:rsidRDefault="00270D0C" w:rsidP="00BB0E7B">
      <w:pPr>
        <w:spacing w:line="360" w:lineRule="auto"/>
        <w:rPr>
          <w:rFonts w:ascii="Times New Roman" w:hAnsi="Times New Roman" w:cs="Times New Roman"/>
          <w:b/>
          <w:bCs/>
        </w:rPr>
      </w:pPr>
    </w:p>
    <w:p w14:paraId="3E020F7D" w14:textId="77777777" w:rsidR="00CF320B" w:rsidRPr="0074390A" w:rsidRDefault="00CF320B" w:rsidP="00BB0E7B">
      <w:pPr>
        <w:spacing w:line="360" w:lineRule="auto"/>
        <w:rPr>
          <w:rFonts w:ascii="Times New Roman" w:hAnsi="Times New Roman" w:cs="Times New Roman"/>
          <w:b/>
          <w:bCs/>
        </w:rPr>
      </w:pPr>
    </w:p>
    <w:p w14:paraId="32C06580" w14:textId="77777777" w:rsidR="00D37A09" w:rsidRPr="0074390A" w:rsidRDefault="00D37A09" w:rsidP="00BB0E7B">
      <w:pPr>
        <w:spacing w:line="360" w:lineRule="auto"/>
        <w:rPr>
          <w:rFonts w:ascii="Times New Roman" w:hAnsi="Times New Roman" w:cs="Times New Roman"/>
          <w:b/>
          <w:bCs/>
        </w:rPr>
      </w:pPr>
    </w:p>
    <w:p w14:paraId="08FCEC58" w14:textId="77777777" w:rsidR="00CF320B" w:rsidRPr="0074390A" w:rsidRDefault="00CF320B" w:rsidP="00BB0E7B">
      <w:pPr>
        <w:spacing w:line="360" w:lineRule="auto"/>
        <w:rPr>
          <w:rFonts w:ascii="Times New Roman" w:hAnsi="Times New Roman" w:cs="Times New Roman"/>
          <w:b/>
          <w:bCs/>
        </w:rPr>
      </w:pPr>
    </w:p>
    <w:p w14:paraId="6BDA398A" w14:textId="77777777" w:rsidR="00AA11E7" w:rsidRPr="0074390A" w:rsidRDefault="00AA11E7" w:rsidP="00BB0E7B">
      <w:pPr>
        <w:spacing w:line="360" w:lineRule="auto"/>
        <w:rPr>
          <w:rFonts w:ascii="Times New Roman" w:hAnsi="Times New Roman" w:cs="Times New Roman"/>
          <w:b/>
          <w:bCs/>
        </w:rPr>
      </w:pPr>
    </w:p>
    <w:p w14:paraId="43B318BC" w14:textId="77777777" w:rsidR="00AA11E7" w:rsidRPr="0074390A" w:rsidRDefault="00AA11E7" w:rsidP="00BB0E7B">
      <w:pPr>
        <w:spacing w:line="360" w:lineRule="auto"/>
        <w:rPr>
          <w:rFonts w:ascii="Times New Roman" w:hAnsi="Times New Roman" w:cs="Times New Roman"/>
          <w:b/>
          <w:bCs/>
        </w:rPr>
      </w:pPr>
    </w:p>
    <w:p w14:paraId="5A246003" w14:textId="77777777" w:rsidR="00AA11E7" w:rsidRPr="0074390A" w:rsidRDefault="00AA11E7" w:rsidP="00BB0E7B">
      <w:pPr>
        <w:spacing w:line="360" w:lineRule="auto"/>
        <w:rPr>
          <w:rFonts w:ascii="Times New Roman" w:hAnsi="Times New Roman" w:cs="Times New Roman"/>
          <w:b/>
          <w:bCs/>
        </w:rPr>
      </w:pPr>
    </w:p>
    <w:p w14:paraId="2C0F7D5D" w14:textId="77777777" w:rsidR="00AA11E7" w:rsidRPr="0074390A" w:rsidRDefault="00AA11E7" w:rsidP="00BB0E7B">
      <w:pPr>
        <w:spacing w:line="360" w:lineRule="auto"/>
        <w:rPr>
          <w:rFonts w:ascii="Times New Roman" w:hAnsi="Times New Roman" w:cs="Times New Roman"/>
          <w:b/>
          <w:bCs/>
        </w:rPr>
      </w:pPr>
    </w:p>
    <w:p w14:paraId="6F53A447" w14:textId="77777777" w:rsidR="007577EE" w:rsidRPr="0074390A" w:rsidRDefault="007577EE" w:rsidP="00BB0E7B">
      <w:pPr>
        <w:spacing w:line="360" w:lineRule="auto"/>
        <w:rPr>
          <w:rFonts w:ascii="Times New Roman" w:hAnsi="Times New Roman" w:cs="Times New Roman"/>
          <w:b/>
          <w:bCs/>
        </w:rPr>
      </w:pPr>
    </w:p>
    <w:p w14:paraId="766269EB" w14:textId="77777777" w:rsidR="007577EE" w:rsidRDefault="007577EE" w:rsidP="00BB0E7B">
      <w:pPr>
        <w:spacing w:line="360" w:lineRule="auto"/>
        <w:rPr>
          <w:rFonts w:ascii="Times New Roman" w:hAnsi="Times New Roman" w:cs="Times New Roman"/>
          <w:b/>
          <w:bCs/>
        </w:rPr>
      </w:pPr>
    </w:p>
    <w:p w14:paraId="43A05AE2" w14:textId="77777777" w:rsidR="00BB0E7B" w:rsidRDefault="00BB0E7B" w:rsidP="00BB0E7B">
      <w:pPr>
        <w:spacing w:line="360" w:lineRule="auto"/>
        <w:rPr>
          <w:rFonts w:ascii="Times New Roman" w:hAnsi="Times New Roman" w:cs="Times New Roman"/>
          <w:b/>
          <w:bCs/>
        </w:rPr>
      </w:pPr>
    </w:p>
    <w:p w14:paraId="0BA3749D" w14:textId="77777777" w:rsidR="00BB0E7B" w:rsidRDefault="00BB0E7B" w:rsidP="00BB0E7B">
      <w:pPr>
        <w:spacing w:line="360" w:lineRule="auto"/>
        <w:rPr>
          <w:rFonts w:ascii="Times New Roman" w:hAnsi="Times New Roman" w:cs="Times New Roman"/>
          <w:b/>
          <w:bCs/>
        </w:rPr>
      </w:pPr>
    </w:p>
    <w:p w14:paraId="35AB8492" w14:textId="77777777" w:rsidR="00BB0E7B" w:rsidRDefault="00BB0E7B" w:rsidP="00BB0E7B">
      <w:pPr>
        <w:spacing w:line="360" w:lineRule="auto"/>
        <w:rPr>
          <w:rFonts w:ascii="Times New Roman" w:hAnsi="Times New Roman" w:cs="Times New Roman"/>
          <w:b/>
          <w:bCs/>
        </w:rPr>
      </w:pPr>
    </w:p>
    <w:p w14:paraId="5D618C9A" w14:textId="77777777" w:rsidR="00BB0E7B" w:rsidRDefault="00BB0E7B" w:rsidP="00BB0E7B">
      <w:pPr>
        <w:spacing w:line="360" w:lineRule="auto"/>
        <w:rPr>
          <w:rFonts w:ascii="Times New Roman" w:hAnsi="Times New Roman" w:cs="Times New Roman"/>
          <w:b/>
          <w:bCs/>
        </w:rPr>
      </w:pPr>
    </w:p>
    <w:p w14:paraId="16087951" w14:textId="77777777" w:rsidR="00BB0E7B" w:rsidRDefault="00BB0E7B" w:rsidP="00BB0E7B">
      <w:pPr>
        <w:spacing w:line="360" w:lineRule="auto"/>
        <w:rPr>
          <w:rFonts w:ascii="Times New Roman" w:hAnsi="Times New Roman" w:cs="Times New Roman"/>
          <w:b/>
          <w:bCs/>
        </w:rPr>
      </w:pPr>
    </w:p>
    <w:p w14:paraId="77EF85D9" w14:textId="77777777" w:rsidR="00BB0E7B" w:rsidRDefault="00BB0E7B" w:rsidP="00BB0E7B">
      <w:pPr>
        <w:spacing w:line="360" w:lineRule="auto"/>
        <w:rPr>
          <w:rFonts w:ascii="Times New Roman" w:hAnsi="Times New Roman" w:cs="Times New Roman"/>
          <w:b/>
          <w:bCs/>
        </w:rPr>
      </w:pPr>
    </w:p>
    <w:p w14:paraId="77650B23" w14:textId="77777777" w:rsidR="00BB0E7B" w:rsidRDefault="00BB0E7B" w:rsidP="00BB0E7B">
      <w:pPr>
        <w:spacing w:line="360" w:lineRule="auto"/>
        <w:rPr>
          <w:rFonts w:ascii="Times New Roman" w:hAnsi="Times New Roman" w:cs="Times New Roman"/>
          <w:b/>
          <w:bCs/>
        </w:rPr>
      </w:pPr>
    </w:p>
    <w:p w14:paraId="31681E55" w14:textId="77777777" w:rsidR="00BB0E7B" w:rsidRDefault="00BB0E7B" w:rsidP="00BB0E7B">
      <w:pPr>
        <w:spacing w:line="360" w:lineRule="auto"/>
        <w:rPr>
          <w:rFonts w:ascii="Times New Roman" w:hAnsi="Times New Roman" w:cs="Times New Roman"/>
          <w:b/>
          <w:bCs/>
        </w:rPr>
      </w:pPr>
    </w:p>
    <w:p w14:paraId="45FD25CC" w14:textId="77777777" w:rsidR="00BB0E7B" w:rsidRDefault="00BB0E7B" w:rsidP="00BB0E7B">
      <w:pPr>
        <w:spacing w:line="360" w:lineRule="auto"/>
        <w:rPr>
          <w:rFonts w:ascii="Times New Roman" w:hAnsi="Times New Roman" w:cs="Times New Roman"/>
          <w:b/>
          <w:bCs/>
        </w:rPr>
      </w:pPr>
    </w:p>
    <w:p w14:paraId="60566EA8" w14:textId="77777777" w:rsidR="00BB0E7B" w:rsidRPr="0074390A" w:rsidRDefault="00BB0E7B" w:rsidP="00BB0E7B">
      <w:pPr>
        <w:spacing w:line="360" w:lineRule="auto"/>
        <w:rPr>
          <w:rFonts w:ascii="Times New Roman" w:hAnsi="Times New Roman" w:cs="Times New Roman"/>
          <w:b/>
          <w:bCs/>
        </w:rPr>
      </w:pPr>
    </w:p>
    <w:p w14:paraId="36BAE639" w14:textId="77777777" w:rsidR="00AA11E7" w:rsidRPr="0074390A" w:rsidRDefault="00AA11E7" w:rsidP="00BB0E7B">
      <w:pPr>
        <w:spacing w:line="360" w:lineRule="auto"/>
        <w:rPr>
          <w:rFonts w:ascii="Times New Roman" w:hAnsi="Times New Roman" w:cs="Times New Roman"/>
          <w:b/>
          <w:bCs/>
        </w:rPr>
      </w:pPr>
    </w:p>
    <w:p w14:paraId="4637AFCC" w14:textId="77777777" w:rsidR="006A450F" w:rsidRPr="0074390A" w:rsidRDefault="006A450F" w:rsidP="00BB0E7B">
      <w:pPr>
        <w:spacing w:line="360" w:lineRule="auto"/>
        <w:rPr>
          <w:rFonts w:ascii="Times New Roman" w:hAnsi="Times New Roman" w:cs="Times New Roman"/>
          <w:b/>
          <w:bCs/>
        </w:rPr>
      </w:pPr>
      <w:r w:rsidRPr="0074390A">
        <w:rPr>
          <w:rFonts w:ascii="Times New Roman" w:hAnsi="Times New Roman" w:cs="Times New Roman"/>
          <w:b/>
          <w:bCs/>
        </w:rPr>
        <w:lastRenderedPageBreak/>
        <w:t>Author Contributions</w:t>
      </w:r>
    </w:p>
    <w:p w14:paraId="615FF5E1" w14:textId="16EB414F" w:rsidR="006A450F" w:rsidRPr="0074390A" w:rsidRDefault="00BB7110" w:rsidP="00BB0E7B">
      <w:pPr>
        <w:spacing w:line="360" w:lineRule="auto"/>
        <w:rPr>
          <w:rFonts w:ascii="Times New Roman" w:hAnsi="Times New Roman" w:cs="Times New Roman"/>
        </w:rPr>
      </w:pPr>
      <w:r w:rsidRPr="0074390A">
        <w:rPr>
          <w:rFonts w:ascii="Times New Roman" w:hAnsi="Times New Roman" w:cs="Times New Roman"/>
        </w:rPr>
        <w:t>AS led the MR analysis. AA provided expert advice on the MR analysis. AS and DGC interpreted the results and wrote the original manuscript. All authors have reviewed and approved the final version of the manuscript. ZR-E and NCH provided overall supervision. ZR-E is the guarantor of the work. All co-authors reviewed the manuscript, provided critical review of the work, and approved the final version.</w:t>
      </w:r>
    </w:p>
    <w:p w14:paraId="3968B199" w14:textId="77777777" w:rsidR="006A450F" w:rsidRPr="0074390A" w:rsidRDefault="006A450F" w:rsidP="00BB0E7B">
      <w:pPr>
        <w:spacing w:line="360" w:lineRule="auto"/>
        <w:rPr>
          <w:rFonts w:ascii="Times New Roman" w:hAnsi="Times New Roman" w:cs="Times New Roman"/>
        </w:rPr>
      </w:pPr>
    </w:p>
    <w:p w14:paraId="007213E7" w14:textId="77777777" w:rsidR="006A450F" w:rsidRPr="0074390A" w:rsidRDefault="006A450F" w:rsidP="00BB0E7B">
      <w:pPr>
        <w:spacing w:line="360" w:lineRule="auto"/>
        <w:rPr>
          <w:rFonts w:ascii="Times New Roman" w:hAnsi="Times New Roman" w:cs="Times New Roman"/>
          <w:b/>
          <w:bCs/>
        </w:rPr>
      </w:pPr>
      <w:r w:rsidRPr="0074390A">
        <w:rPr>
          <w:rFonts w:ascii="Times New Roman" w:hAnsi="Times New Roman" w:cs="Times New Roman"/>
          <w:b/>
          <w:bCs/>
        </w:rPr>
        <w:t>Funding</w:t>
      </w:r>
    </w:p>
    <w:p w14:paraId="337225D0" w14:textId="6E82BBF2" w:rsidR="006A450F" w:rsidRPr="0074390A" w:rsidRDefault="00853153" w:rsidP="00BB0E7B">
      <w:pPr>
        <w:spacing w:line="360" w:lineRule="auto"/>
        <w:rPr>
          <w:rFonts w:ascii="Times New Roman" w:hAnsi="Times New Roman" w:cs="Times New Roman"/>
        </w:rPr>
      </w:pPr>
      <w:r w:rsidRPr="0074390A">
        <w:rPr>
          <w:rFonts w:ascii="Times New Roman" w:hAnsi="Times New Roman" w:cs="Times New Roman"/>
        </w:rPr>
        <w:t xml:space="preserve">D-GC was supported by a Barts Charity Clinical Research Training Fellowship (G-002777 ).  </w:t>
      </w:r>
      <w:r w:rsidR="006A450F" w:rsidRPr="0074390A">
        <w:rPr>
          <w:rFonts w:ascii="Times New Roman" w:hAnsi="Times New Roman" w:cs="Times New Roman"/>
        </w:rPr>
        <w:t xml:space="preserve">AMS was supported by the Leicester City Football Club (LCFC) Programme. NCH, EMC and SD are funded by the UK Medical Research Council (MRC) [MC_PC_21003; MC_PC_21001], and NIHR Southampton Biomedical Research Centre, University of Southampton and University Hospital Southampton NHS Foundation Trust, UK. </w:t>
      </w:r>
      <w:r w:rsidR="001D059F" w:rsidRPr="0074390A">
        <w:rPr>
          <w:rFonts w:ascii="Times New Roman" w:hAnsi="Times New Roman" w:cs="Times New Roman"/>
          <w:color w:val="000000"/>
          <w:bdr w:val="none" w:sz="0" w:space="0" w:color="auto" w:frame="1"/>
          <w:shd w:val="clear" w:color="auto" w:fill="FFFFFF"/>
        </w:rPr>
        <w:t>ZRE recognizes the NIHR Integrated Academic Training programme (CL-2021-19-00) which supports her Academic Clinical Lectureship post and was also supported by a British Heart Foundation Clinical Research Training Fellowship (FS/17/81/33318)</w:t>
      </w:r>
      <w:r w:rsidR="006A450F" w:rsidRPr="0074390A">
        <w:rPr>
          <w:rFonts w:ascii="Times New Roman" w:hAnsi="Times New Roman" w:cs="Times New Roman"/>
        </w:rPr>
        <w:t>. This work is further supported by the National Institute for Health and Care Research Barts Biomedical Research Centre (NIHR203330); a collaborative initiative involving Barts Health NHS Trust, Queen Mary University of London, St George’s University Hospitals NHS Foundation Trust and St George’s University of London.</w:t>
      </w:r>
    </w:p>
    <w:p w14:paraId="3D216C70" w14:textId="77777777" w:rsidR="006A450F" w:rsidRPr="0074390A" w:rsidRDefault="006A450F" w:rsidP="00BB0E7B">
      <w:pPr>
        <w:spacing w:line="360" w:lineRule="auto"/>
        <w:rPr>
          <w:rFonts w:ascii="Times New Roman" w:hAnsi="Times New Roman" w:cs="Times New Roman"/>
        </w:rPr>
      </w:pPr>
    </w:p>
    <w:p w14:paraId="4649DBCB" w14:textId="77777777" w:rsidR="006A450F" w:rsidRPr="0074390A" w:rsidRDefault="006A450F" w:rsidP="00BB0E7B">
      <w:pPr>
        <w:spacing w:line="360" w:lineRule="auto"/>
        <w:rPr>
          <w:rFonts w:ascii="Times New Roman" w:hAnsi="Times New Roman" w:cs="Times New Roman"/>
          <w:b/>
          <w:bCs/>
        </w:rPr>
      </w:pPr>
      <w:r w:rsidRPr="0074390A">
        <w:rPr>
          <w:rFonts w:ascii="Times New Roman" w:hAnsi="Times New Roman" w:cs="Times New Roman"/>
          <w:b/>
          <w:bCs/>
        </w:rPr>
        <w:t>Disclosure</w:t>
      </w:r>
    </w:p>
    <w:p w14:paraId="6A6EEBB2" w14:textId="44693CFB" w:rsidR="006648BC" w:rsidRDefault="006A450F" w:rsidP="00BB0E7B">
      <w:pPr>
        <w:spacing w:line="360" w:lineRule="auto"/>
        <w:rPr>
          <w:rFonts w:ascii="Times New Roman" w:hAnsi="Times New Roman" w:cs="Times New Roman"/>
        </w:rPr>
      </w:pPr>
      <w:r w:rsidRPr="0074390A">
        <w:rPr>
          <w:rFonts w:ascii="Times New Roman" w:hAnsi="Times New Roman" w:cs="Times New Roman"/>
        </w:rPr>
        <w:t>SEP provides consultancy to Cardiovascular Imaging Inc, Calgary, Alberta, Canada.  All remaining  authors declare no conflicts of interest.</w:t>
      </w:r>
    </w:p>
    <w:p w14:paraId="015E2A9B" w14:textId="77777777" w:rsidR="00C51AD2" w:rsidRDefault="00C51AD2" w:rsidP="00BB0E7B">
      <w:pPr>
        <w:spacing w:line="360" w:lineRule="auto"/>
        <w:rPr>
          <w:rFonts w:ascii="Times New Roman" w:hAnsi="Times New Roman" w:cs="Times New Roman"/>
        </w:rPr>
      </w:pPr>
    </w:p>
    <w:p w14:paraId="149526A5" w14:textId="77777777" w:rsidR="00C51AD2" w:rsidRPr="00C51AD2" w:rsidRDefault="00C51AD2" w:rsidP="00BB0E7B">
      <w:pPr>
        <w:spacing w:line="360" w:lineRule="auto"/>
        <w:rPr>
          <w:rFonts w:ascii="Times New Roman" w:hAnsi="Times New Roman" w:cs="Times New Roman"/>
          <w:b/>
          <w:bCs/>
        </w:rPr>
      </w:pPr>
      <w:r w:rsidRPr="00C51AD2">
        <w:rPr>
          <w:rFonts w:ascii="Times New Roman" w:hAnsi="Times New Roman" w:cs="Times New Roman"/>
          <w:b/>
          <w:bCs/>
        </w:rPr>
        <w:t xml:space="preserve">Data availability statement </w:t>
      </w:r>
    </w:p>
    <w:p w14:paraId="38F85379" w14:textId="77777777" w:rsidR="00C51AD2" w:rsidRPr="00C51AD2" w:rsidRDefault="00C51AD2" w:rsidP="00BB0E7B">
      <w:pPr>
        <w:spacing w:line="360" w:lineRule="auto"/>
        <w:rPr>
          <w:rFonts w:ascii="Times New Roman" w:hAnsi="Times New Roman" w:cs="Times New Roman"/>
        </w:rPr>
      </w:pPr>
      <w:r w:rsidRPr="00C51AD2">
        <w:rPr>
          <w:rFonts w:ascii="Times New Roman" w:hAnsi="Times New Roman" w:cs="Times New Roman"/>
        </w:rPr>
        <w:t>Publicly available GWAS summary statistics were used for the MR analyses. Referenced data includes databases from FinnGen (</w:t>
      </w:r>
      <w:hyperlink r:id="rId8" w:history="1">
        <w:r w:rsidRPr="00C51AD2">
          <w:rPr>
            <w:rStyle w:val="Hyperlink"/>
            <w:rFonts w:ascii="Times New Roman" w:hAnsi="Times New Roman" w:cs="Times New Roman"/>
          </w:rPr>
          <w:t>https://r10.finngen.fi</w:t>
        </w:r>
      </w:hyperlink>
      <w:r w:rsidRPr="00C51AD2">
        <w:rPr>
          <w:rFonts w:ascii="Times New Roman" w:hAnsi="Times New Roman" w:cs="Times New Roman"/>
        </w:rPr>
        <w:t>), GWAS Atlas (</w:t>
      </w:r>
      <w:hyperlink r:id="rId9" w:history="1">
        <w:r w:rsidRPr="00C51AD2">
          <w:rPr>
            <w:rStyle w:val="Hyperlink"/>
            <w:rFonts w:ascii="Times New Roman" w:hAnsi="Times New Roman" w:cs="Times New Roman"/>
          </w:rPr>
          <w:t>https://atlas.ctglab.nl</w:t>
        </w:r>
      </w:hyperlink>
      <w:r w:rsidRPr="00C51AD2">
        <w:rPr>
          <w:rFonts w:ascii="Times New Roman" w:hAnsi="Times New Roman" w:cs="Times New Roman"/>
        </w:rPr>
        <w:t xml:space="preserve">) </w:t>
      </w:r>
    </w:p>
    <w:p w14:paraId="29A70B88" w14:textId="77777777" w:rsidR="00C51AD2" w:rsidRPr="00542A5A" w:rsidRDefault="00C51AD2" w:rsidP="00BB0E7B">
      <w:pPr>
        <w:spacing w:line="360" w:lineRule="auto"/>
        <w:rPr>
          <w:rFonts w:ascii="Times New Roman" w:hAnsi="Times New Roman" w:cs="Times New Roman"/>
        </w:rPr>
        <w:sectPr w:rsidR="00C51AD2" w:rsidRPr="00542A5A" w:rsidSect="00C51AD2">
          <w:footerReference w:type="even" r:id="rId10"/>
          <w:footerReference w:type="default" r:id="rId11"/>
          <w:pgSz w:w="11906" w:h="16838"/>
          <w:pgMar w:top="1440" w:right="1440" w:bottom="1440" w:left="1440" w:header="708" w:footer="708" w:gutter="0"/>
          <w:cols w:space="708"/>
          <w:docGrid w:linePitch="360"/>
        </w:sectPr>
      </w:pPr>
      <w:r w:rsidRPr="00C51AD2">
        <w:rPr>
          <w:rFonts w:ascii="Times New Roman" w:hAnsi="Times New Roman" w:cs="Times New Roman"/>
        </w:rPr>
        <w:t>and GWAS Catalog (</w:t>
      </w:r>
      <w:hyperlink r:id="rId12" w:history="1">
        <w:r w:rsidRPr="00C51AD2">
          <w:rPr>
            <w:rStyle w:val="Hyperlink"/>
            <w:rFonts w:ascii="Times New Roman" w:hAnsi="Times New Roman" w:cs="Times New Roman"/>
          </w:rPr>
          <w:t>https://www.ebi.ac.uk/gwas/home</w:t>
        </w:r>
      </w:hyperlink>
      <w:r w:rsidRPr="00C51AD2">
        <w:rPr>
          <w:rFonts w:ascii="Times New Roman" w:hAnsi="Times New Roman" w:cs="Times New Roman"/>
        </w:rPr>
        <w:t>).</w:t>
      </w:r>
      <w:r>
        <w:rPr>
          <w:rFonts w:ascii="Times New Roman" w:hAnsi="Times New Roman" w:cs="Times New Roman"/>
        </w:rPr>
        <w:t xml:space="preserve"> </w:t>
      </w:r>
    </w:p>
    <w:p w14:paraId="2B83E5E0" w14:textId="2F324F07" w:rsidR="009542CE" w:rsidRPr="0074390A" w:rsidRDefault="009542CE" w:rsidP="00FC1677">
      <w:pPr>
        <w:spacing w:line="480" w:lineRule="auto"/>
        <w:jc w:val="center"/>
        <w:rPr>
          <w:rFonts w:ascii="Times New Roman" w:hAnsi="Times New Roman" w:cs="Times New Roman"/>
          <w:b/>
          <w:bCs/>
        </w:rPr>
      </w:pPr>
      <w:r w:rsidRPr="0074390A">
        <w:rPr>
          <w:rFonts w:ascii="Times New Roman" w:hAnsi="Times New Roman" w:cs="Times New Roman"/>
          <w:b/>
          <w:bCs/>
        </w:rPr>
        <w:lastRenderedPageBreak/>
        <w:t>Table 1: Results of the Mendelian Randomization analysis of genetically predicted BMD and cardiac diseases</w:t>
      </w:r>
    </w:p>
    <w:tbl>
      <w:tblPr>
        <w:tblStyle w:val="TableGridLight"/>
        <w:tblW w:w="14454" w:type="dxa"/>
        <w:tblLook w:val="04A0" w:firstRow="1" w:lastRow="0" w:firstColumn="1" w:lastColumn="0" w:noHBand="0" w:noVBand="1"/>
      </w:tblPr>
      <w:tblGrid>
        <w:gridCol w:w="1980"/>
        <w:gridCol w:w="850"/>
        <w:gridCol w:w="709"/>
        <w:gridCol w:w="851"/>
        <w:gridCol w:w="842"/>
        <w:gridCol w:w="779"/>
        <w:gridCol w:w="913"/>
        <w:gridCol w:w="824"/>
        <w:gridCol w:w="717"/>
        <w:gridCol w:w="818"/>
        <w:gridCol w:w="821"/>
        <w:gridCol w:w="730"/>
        <w:gridCol w:w="816"/>
        <w:gridCol w:w="1007"/>
        <w:gridCol w:w="1080"/>
        <w:gridCol w:w="718"/>
      </w:tblGrid>
      <w:tr w:rsidR="009542CE" w:rsidRPr="0074390A" w14:paraId="7FD4C378" w14:textId="77777777" w:rsidTr="00FC1677">
        <w:trPr>
          <w:trHeight w:val="315"/>
        </w:trPr>
        <w:tc>
          <w:tcPr>
            <w:tcW w:w="1980" w:type="dxa"/>
            <w:noWrap/>
            <w:hideMark/>
          </w:tcPr>
          <w:p w14:paraId="7E167E8A" w14:textId="2AEEC243" w:rsidR="009542CE" w:rsidRPr="0074390A" w:rsidRDefault="009542CE" w:rsidP="00FC1677">
            <w:pPr>
              <w:tabs>
                <w:tab w:val="left" w:pos="24"/>
              </w:tabs>
              <w:jc w:val="center"/>
              <w:rPr>
                <w:rFonts w:ascii="Times New Roman" w:hAnsi="Times New Roman" w:cs="Times New Roman"/>
                <w:b/>
                <w:bCs/>
                <w:sz w:val="22"/>
                <w:szCs w:val="22"/>
              </w:rPr>
            </w:pPr>
            <w:r w:rsidRPr="0074390A">
              <w:rPr>
                <w:rFonts w:ascii="Times New Roman" w:hAnsi="Times New Roman" w:cs="Times New Roman"/>
                <w:b/>
                <w:bCs/>
                <w:sz w:val="22"/>
                <w:szCs w:val="22"/>
              </w:rPr>
              <w:t>Cardi</w:t>
            </w:r>
            <w:r w:rsidR="00FC1677" w:rsidRPr="0074390A">
              <w:rPr>
                <w:rFonts w:ascii="Times New Roman" w:hAnsi="Times New Roman" w:cs="Times New Roman"/>
                <w:b/>
                <w:bCs/>
                <w:sz w:val="22"/>
                <w:szCs w:val="22"/>
              </w:rPr>
              <w:t>ovascular</w:t>
            </w:r>
            <w:r w:rsidRPr="0074390A">
              <w:rPr>
                <w:rFonts w:ascii="Times New Roman" w:hAnsi="Times New Roman" w:cs="Times New Roman"/>
                <w:b/>
                <w:bCs/>
                <w:sz w:val="22"/>
                <w:szCs w:val="22"/>
              </w:rPr>
              <w:t xml:space="preserve"> outcome</w:t>
            </w:r>
          </w:p>
        </w:tc>
        <w:tc>
          <w:tcPr>
            <w:tcW w:w="850" w:type="dxa"/>
            <w:noWrap/>
            <w:hideMark/>
          </w:tcPr>
          <w:p w14:paraId="40016EDE"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IVW</w:t>
            </w:r>
          </w:p>
          <w:p w14:paraId="1207025C"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Beta</w:t>
            </w:r>
          </w:p>
        </w:tc>
        <w:tc>
          <w:tcPr>
            <w:tcW w:w="709" w:type="dxa"/>
            <w:noWrap/>
            <w:hideMark/>
          </w:tcPr>
          <w:p w14:paraId="31F23061"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IVW</w:t>
            </w:r>
          </w:p>
          <w:p w14:paraId="3336D27B"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SE</w:t>
            </w:r>
          </w:p>
        </w:tc>
        <w:tc>
          <w:tcPr>
            <w:tcW w:w="851" w:type="dxa"/>
            <w:noWrap/>
            <w:hideMark/>
          </w:tcPr>
          <w:p w14:paraId="593578F9"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IVW</w:t>
            </w:r>
          </w:p>
          <w:p w14:paraId="736EBC73"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p-value</w:t>
            </w:r>
          </w:p>
        </w:tc>
        <w:tc>
          <w:tcPr>
            <w:tcW w:w="842" w:type="dxa"/>
          </w:tcPr>
          <w:p w14:paraId="7A40795E"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Egger</w:t>
            </w:r>
          </w:p>
          <w:p w14:paraId="167CF314"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Beta</w:t>
            </w:r>
          </w:p>
        </w:tc>
        <w:tc>
          <w:tcPr>
            <w:tcW w:w="727" w:type="dxa"/>
          </w:tcPr>
          <w:p w14:paraId="5285F758"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Egger</w:t>
            </w:r>
          </w:p>
          <w:p w14:paraId="786EC3D5"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SE</w:t>
            </w:r>
          </w:p>
        </w:tc>
        <w:tc>
          <w:tcPr>
            <w:tcW w:w="962" w:type="dxa"/>
          </w:tcPr>
          <w:p w14:paraId="4C5BAC8D"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Egger</w:t>
            </w:r>
          </w:p>
          <w:p w14:paraId="73F785E5"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p-value</w:t>
            </w:r>
          </w:p>
        </w:tc>
        <w:tc>
          <w:tcPr>
            <w:tcW w:w="842" w:type="dxa"/>
          </w:tcPr>
          <w:p w14:paraId="79D898E0" w14:textId="77777777" w:rsidR="009542CE" w:rsidRPr="0074390A" w:rsidRDefault="009542CE" w:rsidP="00FC1677">
            <w:pPr>
              <w:jc w:val="center"/>
              <w:rPr>
                <w:rFonts w:ascii="Times New Roman" w:hAnsi="Times New Roman" w:cs="Times New Roman"/>
                <w:b/>
                <w:bCs/>
                <w:sz w:val="22"/>
                <w:szCs w:val="22"/>
              </w:rPr>
            </w:pPr>
            <w:proofErr w:type="spellStart"/>
            <w:r w:rsidRPr="0074390A">
              <w:rPr>
                <w:rFonts w:ascii="Times New Roman" w:hAnsi="Times New Roman" w:cs="Times New Roman"/>
                <w:b/>
                <w:bCs/>
                <w:sz w:val="22"/>
                <w:szCs w:val="22"/>
              </w:rPr>
              <w:t>Wme</w:t>
            </w:r>
            <w:proofErr w:type="spellEnd"/>
          </w:p>
          <w:p w14:paraId="056DBECB"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Beta</w:t>
            </w:r>
          </w:p>
        </w:tc>
        <w:tc>
          <w:tcPr>
            <w:tcW w:w="706" w:type="dxa"/>
          </w:tcPr>
          <w:p w14:paraId="5E3D1722" w14:textId="77777777" w:rsidR="009542CE" w:rsidRPr="0074390A" w:rsidRDefault="009542CE" w:rsidP="00FC1677">
            <w:pPr>
              <w:jc w:val="center"/>
              <w:rPr>
                <w:rFonts w:ascii="Times New Roman" w:hAnsi="Times New Roman" w:cs="Times New Roman"/>
                <w:b/>
                <w:bCs/>
                <w:sz w:val="22"/>
                <w:szCs w:val="22"/>
              </w:rPr>
            </w:pPr>
            <w:proofErr w:type="spellStart"/>
            <w:r w:rsidRPr="0074390A">
              <w:rPr>
                <w:rFonts w:ascii="Times New Roman" w:hAnsi="Times New Roman" w:cs="Times New Roman"/>
                <w:b/>
                <w:bCs/>
                <w:sz w:val="22"/>
                <w:szCs w:val="22"/>
              </w:rPr>
              <w:t>Wme</w:t>
            </w:r>
            <w:proofErr w:type="spellEnd"/>
          </w:p>
          <w:p w14:paraId="68AD65B1"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SE</w:t>
            </w:r>
          </w:p>
        </w:tc>
        <w:tc>
          <w:tcPr>
            <w:tcW w:w="998" w:type="dxa"/>
          </w:tcPr>
          <w:p w14:paraId="5F23182E" w14:textId="77777777" w:rsidR="009542CE" w:rsidRPr="0074390A" w:rsidRDefault="009542CE" w:rsidP="00FC1677">
            <w:pPr>
              <w:jc w:val="center"/>
              <w:rPr>
                <w:rFonts w:ascii="Times New Roman" w:hAnsi="Times New Roman" w:cs="Times New Roman"/>
                <w:b/>
                <w:bCs/>
                <w:sz w:val="22"/>
                <w:szCs w:val="22"/>
              </w:rPr>
            </w:pPr>
            <w:proofErr w:type="spellStart"/>
            <w:r w:rsidRPr="0074390A">
              <w:rPr>
                <w:rFonts w:ascii="Times New Roman" w:hAnsi="Times New Roman" w:cs="Times New Roman"/>
                <w:b/>
                <w:bCs/>
                <w:sz w:val="22"/>
                <w:szCs w:val="22"/>
              </w:rPr>
              <w:t>Wme</w:t>
            </w:r>
            <w:proofErr w:type="spellEnd"/>
          </w:p>
          <w:p w14:paraId="60639797"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p-value</w:t>
            </w:r>
          </w:p>
        </w:tc>
        <w:tc>
          <w:tcPr>
            <w:tcW w:w="766" w:type="dxa"/>
          </w:tcPr>
          <w:p w14:paraId="67BB77DC" w14:textId="77777777" w:rsidR="009542CE" w:rsidRPr="0074390A" w:rsidRDefault="009542CE" w:rsidP="00FC1677">
            <w:pPr>
              <w:jc w:val="center"/>
              <w:rPr>
                <w:rFonts w:ascii="Times New Roman" w:hAnsi="Times New Roman" w:cs="Times New Roman"/>
                <w:b/>
                <w:bCs/>
                <w:sz w:val="22"/>
                <w:szCs w:val="22"/>
              </w:rPr>
            </w:pPr>
            <w:proofErr w:type="spellStart"/>
            <w:r w:rsidRPr="0074390A">
              <w:rPr>
                <w:rFonts w:ascii="Times New Roman" w:hAnsi="Times New Roman" w:cs="Times New Roman"/>
                <w:b/>
                <w:bCs/>
                <w:sz w:val="22"/>
                <w:szCs w:val="22"/>
              </w:rPr>
              <w:t>Wmo</w:t>
            </w:r>
            <w:proofErr w:type="spellEnd"/>
          </w:p>
          <w:p w14:paraId="1DF2245E"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Beta</w:t>
            </w:r>
          </w:p>
        </w:tc>
        <w:tc>
          <w:tcPr>
            <w:tcW w:w="706" w:type="dxa"/>
          </w:tcPr>
          <w:p w14:paraId="6D69DDC6" w14:textId="77777777" w:rsidR="009542CE" w:rsidRPr="0074390A" w:rsidRDefault="009542CE" w:rsidP="00FC1677">
            <w:pPr>
              <w:jc w:val="center"/>
              <w:rPr>
                <w:rFonts w:ascii="Times New Roman" w:hAnsi="Times New Roman" w:cs="Times New Roman"/>
                <w:b/>
                <w:bCs/>
                <w:sz w:val="22"/>
                <w:szCs w:val="22"/>
              </w:rPr>
            </w:pPr>
            <w:proofErr w:type="spellStart"/>
            <w:r w:rsidRPr="0074390A">
              <w:rPr>
                <w:rFonts w:ascii="Times New Roman" w:hAnsi="Times New Roman" w:cs="Times New Roman"/>
                <w:b/>
                <w:bCs/>
                <w:sz w:val="22"/>
                <w:szCs w:val="22"/>
              </w:rPr>
              <w:t>Wmo</w:t>
            </w:r>
            <w:proofErr w:type="spellEnd"/>
          </w:p>
          <w:p w14:paraId="116DD48B"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SE</w:t>
            </w:r>
          </w:p>
        </w:tc>
        <w:tc>
          <w:tcPr>
            <w:tcW w:w="870" w:type="dxa"/>
          </w:tcPr>
          <w:p w14:paraId="3D7F8348" w14:textId="77777777" w:rsidR="009542CE" w:rsidRPr="0074390A" w:rsidRDefault="009542CE" w:rsidP="00FC1677">
            <w:pPr>
              <w:jc w:val="center"/>
              <w:rPr>
                <w:rFonts w:ascii="Times New Roman" w:hAnsi="Times New Roman" w:cs="Times New Roman"/>
                <w:b/>
                <w:bCs/>
                <w:sz w:val="22"/>
                <w:szCs w:val="22"/>
              </w:rPr>
            </w:pPr>
            <w:proofErr w:type="spellStart"/>
            <w:r w:rsidRPr="0074390A">
              <w:rPr>
                <w:rFonts w:ascii="Times New Roman" w:hAnsi="Times New Roman" w:cs="Times New Roman"/>
                <w:b/>
                <w:bCs/>
                <w:sz w:val="22"/>
                <w:szCs w:val="22"/>
              </w:rPr>
              <w:t>Wmo</w:t>
            </w:r>
            <w:proofErr w:type="spellEnd"/>
          </w:p>
          <w:p w14:paraId="5FDC3021"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p-value</w:t>
            </w:r>
          </w:p>
        </w:tc>
        <w:tc>
          <w:tcPr>
            <w:tcW w:w="935" w:type="dxa"/>
          </w:tcPr>
          <w:p w14:paraId="1D2F4D10" w14:textId="77777777" w:rsidR="009542CE" w:rsidRPr="0074390A" w:rsidRDefault="009542CE" w:rsidP="00FC1677">
            <w:pPr>
              <w:jc w:val="center"/>
              <w:rPr>
                <w:rFonts w:ascii="Times New Roman" w:hAnsi="Times New Roman" w:cs="Times New Roman"/>
                <w:b/>
                <w:bCs/>
                <w:sz w:val="22"/>
                <w:szCs w:val="22"/>
              </w:rPr>
            </w:pPr>
            <w:proofErr w:type="spellStart"/>
            <w:r w:rsidRPr="0074390A">
              <w:rPr>
                <w:rFonts w:ascii="Times New Roman" w:hAnsi="Times New Roman" w:cs="Times New Roman"/>
                <w:b/>
                <w:bCs/>
                <w:sz w:val="22"/>
                <w:szCs w:val="22"/>
              </w:rPr>
              <w:t>MR_pre</w:t>
            </w:r>
            <w:proofErr w:type="spellEnd"/>
          </w:p>
          <w:p w14:paraId="3AAC27F1"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p-value</w:t>
            </w:r>
          </w:p>
        </w:tc>
        <w:tc>
          <w:tcPr>
            <w:tcW w:w="1001" w:type="dxa"/>
          </w:tcPr>
          <w:p w14:paraId="79852D2D"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Egger</w:t>
            </w:r>
          </w:p>
          <w:p w14:paraId="05231562"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Intercept</w:t>
            </w:r>
          </w:p>
          <w:p w14:paraId="2DF7F1A5"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p-value</w:t>
            </w:r>
          </w:p>
        </w:tc>
        <w:tc>
          <w:tcPr>
            <w:tcW w:w="709" w:type="dxa"/>
            <w:noWrap/>
            <w:hideMark/>
          </w:tcPr>
          <w:p w14:paraId="1BFE24C1" w14:textId="77777777" w:rsidR="009542CE" w:rsidRPr="0074390A" w:rsidRDefault="009542CE"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SNPs</w:t>
            </w:r>
          </w:p>
        </w:tc>
      </w:tr>
      <w:tr w:rsidR="00FC1677" w:rsidRPr="0074390A" w14:paraId="5E0578EE" w14:textId="77777777" w:rsidTr="00FC1677">
        <w:trPr>
          <w:trHeight w:val="151"/>
        </w:trPr>
        <w:tc>
          <w:tcPr>
            <w:tcW w:w="14454" w:type="dxa"/>
            <w:gridSpan w:val="16"/>
            <w:noWrap/>
          </w:tcPr>
          <w:p w14:paraId="7D0FB0FB" w14:textId="077CB22A" w:rsidR="00FC1677" w:rsidRPr="0074390A" w:rsidRDefault="00FC1677" w:rsidP="00FC1677">
            <w:pPr>
              <w:spacing w:line="480" w:lineRule="auto"/>
              <w:jc w:val="center"/>
              <w:rPr>
                <w:rFonts w:ascii="Times New Roman" w:hAnsi="Times New Roman" w:cs="Times New Roman"/>
                <w:b/>
                <w:bCs/>
                <w:sz w:val="22"/>
                <w:szCs w:val="22"/>
              </w:rPr>
            </w:pPr>
            <w:r w:rsidRPr="0074390A">
              <w:rPr>
                <w:rFonts w:ascii="Times New Roman" w:hAnsi="Times New Roman" w:cs="Times New Roman"/>
                <w:b/>
                <w:bCs/>
                <w:sz w:val="22"/>
                <w:szCs w:val="22"/>
              </w:rPr>
              <w:t>UK Biobank</w:t>
            </w:r>
          </w:p>
        </w:tc>
      </w:tr>
      <w:tr w:rsidR="009542CE" w:rsidRPr="0074390A" w14:paraId="484C847F" w14:textId="77777777" w:rsidTr="00FC1677">
        <w:trPr>
          <w:trHeight w:val="315"/>
        </w:trPr>
        <w:tc>
          <w:tcPr>
            <w:tcW w:w="1980" w:type="dxa"/>
            <w:noWrap/>
            <w:hideMark/>
          </w:tcPr>
          <w:p w14:paraId="205BDE1D" w14:textId="77777777" w:rsidR="009542CE" w:rsidRPr="0074390A" w:rsidRDefault="009542CE" w:rsidP="00FC1677">
            <w:pPr>
              <w:rPr>
                <w:rFonts w:ascii="Times New Roman" w:hAnsi="Times New Roman" w:cs="Times New Roman"/>
                <w:sz w:val="22"/>
                <w:szCs w:val="22"/>
              </w:rPr>
            </w:pPr>
            <w:r w:rsidRPr="0074390A">
              <w:rPr>
                <w:rFonts w:ascii="Times New Roman" w:hAnsi="Times New Roman" w:cs="Times New Roman"/>
                <w:sz w:val="22"/>
                <w:szCs w:val="22"/>
              </w:rPr>
              <w:t>Atrial fibrillation</w:t>
            </w:r>
          </w:p>
          <w:p w14:paraId="7F64BA40" w14:textId="77777777" w:rsidR="009542CE" w:rsidRPr="0074390A" w:rsidRDefault="009542CE" w:rsidP="00FC1677">
            <w:pPr>
              <w:rPr>
                <w:rFonts w:ascii="Times New Roman" w:hAnsi="Times New Roman" w:cs="Times New Roman"/>
                <w:sz w:val="22"/>
                <w:szCs w:val="22"/>
              </w:rPr>
            </w:pPr>
            <w:r w:rsidRPr="0074390A">
              <w:rPr>
                <w:rFonts w:ascii="Times New Roman" w:hAnsi="Times New Roman" w:cs="Times New Roman"/>
                <w:sz w:val="22"/>
                <w:szCs w:val="22"/>
              </w:rPr>
              <w:t>and flutter</w:t>
            </w:r>
          </w:p>
        </w:tc>
        <w:tc>
          <w:tcPr>
            <w:tcW w:w="850" w:type="dxa"/>
            <w:noWrap/>
            <w:hideMark/>
          </w:tcPr>
          <w:p w14:paraId="564A2089"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0.011</w:t>
            </w:r>
          </w:p>
        </w:tc>
        <w:tc>
          <w:tcPr>
            <w:tcW w:w="709" w:type="dxa"/>
            <w:noWrap/>
            <w:hideMark/>
          </w:tcPr>
          <w:p w14:paraId="74CF0833"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851" w:type="dxa"/>
            <w:noWrap/>
            <w:hideMark/>
          </w:tcPr>
          <w:p w14:paraId="457A83F7"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0.73</w:t>
            </w:r>
          </w:p>
        </w:tc>
        <w:tc>
          <w:tcPr>
            <w:tcW w:w="842" w:type="dxa"/>
          </w:tcPr>
          <w:p w14:paraId="082562BE"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-0.017</w:t>
            </w:r>
          </w:p>
        </w:tc>
        <w:tc>
          <w:tcPr>
            <w:tcW w:w="727" w:type="dxa"/>
          </w:tcPr>
          <w:p w14:paraId="1D49B57E"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0.09</w:t>
            </w:r>
          </w:p>
        </w:tc>
        <w:tc>
          <w:tcPr>
            <w:tcW w:w="962" w:type="dxa"/>
          </w:tcPr>
          <w:p w14:paraId="2FC46B88"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0.84</w:t>
            </w:r>
          </w:p>
        </w:tc>
        <w:tc>
          <w:tcPr>
            <w:tcW w:w="842" w:type="dxa"/>
          </w:tcPr>
          <w:p w14:paraId="1D5E0232"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-0.014</w:t>
            </w:r>
          </w:p>
        </w:tc>
        <w:tc>
          <w:tcPr>
            <w:tcW w:w="706" w:type="dxa"/>
          </w:tcPr>
          <w:p w14:paraId="3A86FE13"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0.04</w:t>
            </w:r>
          </w:p>
        </w:tc>
        <w:tc>
          <w:tcPr>
            <w:tcW w:w="998" w:type="dxa"/>
          </w:tcPr>
          <w:p w14:paraId="67CDE46F"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0.76</w:t>
            </w:r>
          </w:p>
        </w:tc>
        <w:tc>
          <w:tcPr>
            <w:tcW w:w="766" w:type="dxa"/>
          </w:tcPr>
          <w:p w14:paraId="60C165BE"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706" w:type="dxa"/>
          </w:tcPr>
          <w:p w14:paraId="766907AE"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0.08</w:t>
            </w:r>
          </w:p>
        </w:tc>
        <w:tc>
          <w:tcPr>
            <w:tcW w:w="870" w:type="dxa"/>
          </w:tcPr>
          <w:p w14:paraId="3658A05D"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0.67</w:t>
            </w:r>
          </w:p>
        </w:tc>
        <w:tc>
          <w:tcPr>
            <w:tcW w:w="935" w:type="dxa"/>
          </w:tcPr>
          <w:p w14:paraId="010CD6E5"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1</w:t>
            </w:r>
          </w:p>
        </w:tc>
        <w:tc>
          <w:tcPr>
            <w:tcW w:w="1001" w:type="dxa"/>
          </w:tcPr>
          <w:p w14:paraId="649CD120"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0.72</w:t>
            </w:r>
          </w:p>
        </w:tc>
        <w:tc>
          <w:tcPr>
            <w:tcW w:w="709" w:type="dxa"/>
            <w:noWrap/>
            <w:hideMark/>
          </w:tcPr>
          <w:p w14:paraId="6F0FB2D5" w14:textId="77777777" w:rsidR="009542CE" w:rsidRPr="0074390A" w:rsidRDefault="009542CE" w:rsidP="007500A3">
            <w:pPr>
              <w:spacing w:line="480" w:lineRule="auto"/>
              <w:jc w:val="center"/>
              <w:rPr>
                <w:rFonts w:ascii="Times New Roman" w:hAnsi="Times New Roman" w:cs="Times New Roman"/>
                <w:sz w:val="22"/>
                <w:szCs w:val="22"/>
              </w:rPr>
            </w:pPr>
            <w:r w:rsidRPr="0074390A">
              <w:rPr>
                <w:rFonts w:ascii="Times New Roman" w:hAnsi="Times New Roman" w:cs="Times New Roman"/>
                <w:sz w:val="22"/>
                <w:szCs w:val="22"/>
              </w:rPr>
              <w:t>76</w:t>
            </w:r>
          </w:p>
        </w:tc>
      </w:tr>
      <w:tr w:rsidR="009542CE" w:rsidRPr="0074390A" w14:paraId="722CBC0C" w14:textId="77777777" w:rsidTr="00FC1677">
        <w:trPr>
          <w:trHeight w:val="315"/>
        </w:trPr>
        <w:tc>
          <w:tcPr>
            <w:tcW w:w="1980" w:type="dxa"/>
            <w:noWrap/>
            <w:hideMark/>
          </w:tcPr>
          <w:p w14:paraId="3A83E45D" w14:textId="77777777" w:rsidR="009542CE" w:rsidRPr="0074390A" w:rsidRDefault="009542CE" w:rsidP="00FC1677">
            <w:pPr>
              <w:rPr>
                <w:rFonts w:ascii="Times New Roman" w:hAnsi="Times New Roman" w:cs="Times New Roman"/>
                <w:sz w:val="22"/>
                <w:szCs w:val="22"/>
              </w:rPr>
            </w:pPr>
            <w:r w:rsidRPr="0074390A">
              <w:rPr>
                <w:rFonts w:ascii="Times New Roman" w:hAnsi="Times New Roman" w:cs="Times New Roman"/>
                <w:sz w:val="22"/>
                <w:szCs w:val="22"/>
              </w:rPr>
              <w:t>Angina</w:t>
            </w:r>
          </w:p>
        </w:tc>
        <w:tc>
          <w:tcPr>
            <w:tcW w:w="850" w:type="dxa"/>
            <w:noWrap/>
            <w:hideMark/>
          </w:tcPr>
          <w:p w14:paraId="70DC90A9"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0.04</w:t>
            </w:r>
          </w:p>
        </w:tc>
        <w:tc>
          <w:tcPr>
            <w:tcW w:w="709" w:type="dxa"/>
            <w:noWrap/>
            <w:hideMark/>
          </w:tcPr>
          <w:p w14:paraId="58A68B2B"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851" w:type="dxa"/>
            <w:noWrap/>
            <w:hideMark/>
          </w:tcPr>
          <w:p w14:paraId="0835E07E"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0.17</w:t>
            </w:r>
          </w:p>
        </w:tc>
        <w:tc>
          <w:tcPr>
            <w:tcW w:w="842" w:type="dxa"/>
          </w:tcPr>
          <w:p w14:paraId="15F1FC85"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-0.005</w:t>
            </w:r>
          </w:p>
        </w:tc>
        <w:tc>
          <w:tcPr>
            <w:tcW w:w="727" w:type="dxa"/>
          </w:tcPr>
          <w:p w14:paraId="7F713D60"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0.08</w:t>
            </w:r>
          </w:p>
        </w:tc>
        <w:tc>
          <w:tcPr>
            <w:tcW w:w="962" w:type="dxa"/>
          </w:tcPr>
          <w:p w14:paraId="364C7B85"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0.95</w:t>
            </w:r>
          </w:p>
        </w:tc>
        <w:tc>
          <w:tcPr>
            <w:tcW w:w="842" w:type="dxa"/>
          </w:tcPr>
          <w:p w14:paraId="2F2B6985"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0.041</w:t>
            </w:r>
          </w:p>
        </w:tc>
        <w:tc>
          <w:tcPr>
            <w:tcW w:w="706" w:type="dxa"/>
          </w:tcPr>
          <w:p w14:paraId="2F7BE2BE"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0.04</w:t>
            </w:r>
          </w:p>
        </w:tc>
        <w:tc>
          <w:tcPr>
            <w:tcW w:w="998" w:type="dxa"/>
          </w:tcPr>
          <w:p w14:paraId="3EB65B2E"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0.38</w:t>
            </w:r>
          </w:p>
        </w:tc>
        <w:tc>
          <w:tcPr>
            <w:tcW w:w="766" w:type="dxa"/>
          </w:tcPr>
          <w:p w14:paraId="74D4CA7A"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0.044</w:t>
            </w:r>
          </w:p>
        </w:tc>
        <w:tc>
          <w:tcPr>
            <w:tcW w:w="706" w:type="dxa"/>
          </w:tcPr>
          <w:p w14:paraId="22689133"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0.07</w:t>
            </w:r>
          </w:p>
        </w:tc>
        <w:tc>
          <w:tcPr>
            <w:tcW w:w="870" w:type="dxa"/>
          </w:tcPr>
          <w:p w14:paraId="20971424"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0.55</w:t>
            </w:r>
          </w:p>
        </w:tc>
        <w:tc>
          <w:tcPr>
            <w:tcW w:w="935" w:type="dxa"/>
          </w:tcPr>
          <w:p w14:paraId="5EEC6EE9"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1</w:t>
            </w:r>
          </w:p>
        </w:tc>
        <w:tc>
          <w:tcPr>
            <w:tcW w:w="1001" w:type="dxa"/>
          </w:tcPr>
          <w:p w14:paraId="2F67C593"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0.52</w:t>
            </w:r>
          </w:p>
        </w:tc>
        <w:tc>
          <w:tcPr>
            <w:tcW w:w="709" w:type="dxa"/>
            <w:noWrap/>
            <w:hideMark/>
          </w:tcPr>
          <w:p w14:paraId="3B136594"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76</w:t>
            </w:r>
          </w:p>
        </w:tc>
      </w:tr>
      <w:tr w:rsidR="009542CE" w:rsidRPr="0074390A" w14:paraId="091C11AD" w14:textId="77777777" w:rsidTr="00FC1677">
        <w:trPr>
          <w:trHeight w:val="315"/>
        </w:trPr>
        <w:tc>
          <w:tcPr>
            <w:tcW w:w="1980" w:type="dxa"/>
            <w:noWrap/>
            <w:hideMark/>
          </w:tcPr>
          <w:p w14:paraId="39371E08" w14:textId="77777777" w:rsidR="009542CE" w:rsidRPr="0074390A" w:rsidRDefault="009542CE" w:rsidP="00FC1677">
            <w:pPr>
              <w:rPr>
                <w:rFonts w:ascii="Times New Roman" w:hAnsi="Times New Roman" w:cs="Times New Roman"/>
                <w:sz w:val="22"/>
                <w:szCs w:val="22"/>
              </w:rPr>
            </w:pPr>
            <w:r w:rsidRPr="0074390A">
              <w:rPr>
                <w:rFonts w:ascii="Times New Roman" w:hAnsi="Times New Roman" w:cs="Times New Roman"/>
                <w:sz w:val="22"/>
                <w:szCs w:val="22"/>
              </w:rPr>
              <w:t>Chronic ischemic</w:t>
            </w:r>
          </w:p>
          <w:p w14:paraId="1287F48C" w14:textId="77777777" w:rsidR="009542CE" w:rsidRPr="0074390A" w:rsidRDefault="009542CE" w:rsidP="00FC1677">
            <w:pPr>
              <w:rPr>
                <w:rFonts w:ascii="Times New Roman" w:hAnsi="Times New Roman" w:cs="Times New Roman"/>
                <w:sz w:val="22"/>
                <w:szCs w:val="22"/>
              </w:rPr>
            </w:pPr>
            <w:r w:rsidRPr="0074390A">
              <w:rPr>
                <w:rFonts w:ascii="Times New Roman" w:hAnsi="Times New Roman" w:cs="Times New Roman"/>
                <w:sz w:val="22"/>
                <w:szCs w:val="22"/>
              </w:rPr>
              <w:t>heart disease</w:t>
            </w:r>
          </w:p>
        </w:tc>
        <w:tc>
          <w:tcPr>
            <w:tcW w:w="850" w:type="dxa"/>
            <w:noWrap/>
            <w:hideMark/>
          </w:tcPr>
          <w:p w14:paraId="04BD57F5"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0.009</w:t>
            </w:r>
          </w:p>
        </w:tc>
        <w:tc>
          <w:tcPr>
            <w:tcW w:w="709" w:type="dxa"/>
            <w:noWrap/>
            <w:hideMark/>
          </w:tcPr>
          <w:p w14:paraId="6EE41536"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851" w:type="dxa"/>
            <w:noWrap/>
            <w:hideMark/>
          </w:tcPr>
          <w:p w14:paraId="3F0EB633"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0.74</w:t>
            </w:r>
          </w:p>
        </w:tc>
        <w:tc>
          <w:tcPr>
            <w:tcW w:w="842" w:type="dxa"/>
          </w:tcPr>
          <w:p w14:paraId="3270867D"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0.014</w:t>
            </w:r>
          </w:p>
        </w:tc>
        <w:tc>
          <w:tcPr>
            <w:tcW w:w="727" w:type="dxa"/>
          </w:tcPr>
          <w:p w14:paraId="21E43996"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0.07</w:t>
            </w:r>
          </w:p>
        </w:tc>
        <w:tc>
          <w:tcPr>
            <w:tcW w:w="962" w:type="dxa"/>
          </w:tcPr>
          <w:p w14:paraId="4B81F09B"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0.85</w:t>
            </w:r>
          </w:p>
        </w:tc>
        <w:tc>
          <w:tcPr>
            <w:tcW w:w="842" w:type="dxa"/>
          </w:tcPr>
          <w:p w14:paraId="52F83E3A"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0.023</w:t>
            </w:r>
          </w:p>
        </w:tc>
        <w:tc>
          <w:tcPr>
            <w:tcW w:w="706" w:type="dxa"/>
          </w:tcPr>
          <w:p w14:paraId="187821B2"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0.043</w:t>
            </w:r>
          </w:p>
        </w:tc>
        <w:tc>
          <w:tcPr>
            <w:tcW w:w="998" w:type="dxa"/>
          </w:tcPr>
          <w:p w14:paraId="53B16F59"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0.59</w:t>
            </w:r>
          </w:p>
        </w:tc>
        <w:tc>
          <w:tcPr>
            <w:tcW w:w="766" w:type="dxa"/>
          </w:tcPr>
          <w:p w14:paraId="59098053"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0.031</w:t>
            </w:r>
          </w:p>
        </w:tc>
        <w:tc>
          <w:tcPr>
            <w:tcW w:w="706" w:type="dxa"/>
          </w:tcPr>
          <w:p w14:paraId="5C8CC592"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0.06</w:t>
            </w:r>
          </w:p>
        </w:tc>
        <w:tc>
          <w:tcPr>
            <w:tcW w:w="870" w:type="dxa"/>
          </w:tcPr>
          <w:p w14:paraId="1F844E94"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0.64</w:t>
            </w:r>
          </w:p>
        </w:tc>
        <w:tc>
          <w:tcPr>
            <w:tcW w:w="935" w:type="dxa"/>
          </w:tcPr>
          <w:p w14:paraId="31C743C1"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1</w:t>
            </w:r>
          </w:p>
        </w:tc>
        <w:tc>
          <w:tcPr>
            <w:tcW w:w="1001" w:type="dxa"/>
          </w:tcPr>
          <w:p w14:paraId="447F2199"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0.94</w:t>
            </w:r>
          </w:p>
        </w:tc>
        <w:tc>
          <w:tcPr>
            <w:tcW w:w="709" w:type="dxa"/>
            <w:noWrap/>
            <w:hideMark/>
          </w:tcPr>
          <w:p w14:paraId="5C38C64B"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76</w:t>
            </w:r>
          </w:p>
        </w:tc>
      </w:tr>
      <w:tr w:rsidR="009542CE" w:rsidRPr="0074390A" w14:paraId="3475F42B" w14:textId="77777777" w:rsidTr="00FC1677">
        <w:trPr>
          <w:trHeight w:val="315"/>
        </w:trPr>
        <w:tc>
          <w:tcPr>
            <w:tcW w:w="1980" w:type="dxa"/>
            <w:noWrap/>
            <w:hideMark/>
          </w:tcPr>
          <w:p w14:paraId="14DED8F1" w14:textId="77777777" w:rsidR="009542CE" w:rsidRPr="0074390A" w:rsidRDefault="009542CE" w:rsidP="00FC1677">
            <w:pPr>
              <w:rPr>
                <w:rFonts w:ascii="Times New Roman" w:hAnsi="Times New Roman" w:cs="Times New Roman"/>
                <w:sz w:val="22"/>
                <w:szCs w:val="22"/>
              </w:rPr>
            </w:pPr>
            <w:r w:rsidRPr="0074390A">
              <w:rPr>
                <w:rFonts w:ascii="Times New Roman" w:hAnsi="Times New Roman" w:cs="Times New Roman"/>
                <w:sz w:val="22"/>
                <w:szCs w:val="22"/>
              </w:rPr>
              <w:t>Heart failure</w:t>
            </w:r>
          </w:p>
        </w:tc>
        <w:tc>
          <w:tcPr>
            <w:tcW w:w="850" w:type="dxa"/>
            <w:noWrap/>
            <w:hideMark/>
          </w:tcPr>
          <w:p w14:paraId="443546C7"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0.004</w:t>
            </w:r>
          </w:p>
        </w:tc>
        <w:tc>
          <w:tcPr>
            <w:tcW w:w="709" w:type="dxa"/>
            <w:noWrap/>
            <w:hideMark/>
          </w:tcPr>
          <w:p w14:paraId="4AE92718"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0.04</w:t>
            </w:r>
          </w:p>
        </w:tc>
        <w:tc>
          <w:tcPr>
            <w:tcW w:w="851" w:type="dxa"/>
            <w:noWrap/>
            <w:hideMark/>
          </w:tcPr>
          <w:p w14:paraId="6D8DA5A6"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0.91</w:t>
            </w:r>
          </w:p>
        </w:tc>
        <w:tc>
          <w:tcPr>
            <w:tcW w:w="842" w:type="dxa"/>
          </w:tcPr>
          <w:p w14:paraId="6E18BAA7"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-0.023</w:t>
            </w:r>
          </w:p>
        </w:tc>
        <w:tc>
          <w:tcPr>
            <w:tcW w:w="727" w:type="dxa"/>
          </w:tcPr>
          <w:p w14:paraId="45BD8158"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0.11</w:t>
            </w:r>
          </w:p>
        </w:tc>
        <w:tc>
          <w:tcPr>
            <w:tcW w:w="962" w:type="dxa"/>
          </w:tcPr>
          <w:p w14:paraId="1217DD5F"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0.84</w:t>
            </w:r>
          </w:p>
        </w:tc>
        <w:tc>
          <w:tcPr>
            <w:tcW w:w="842" w:type="dxa"/>
          </w:tcPr>
          <w:p w14:paraId="3894352B"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-0.027</w:t>
            </w:r>
          </w:p>
        </w:tc>
        <w:tc>
          <w:tcPr>
            <w:tcW w:w="706" w:type="dxa"/>
          </w:tcPr>
          <w:p w14:paraId="28C87A2E"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0.07</w:t>
            </w:r>
          </w:p>
        </w:tc>
        <w:tc>
          <w:tcPr>
            <w:tcW w:w="998" w:type="dxa"/>
          </w:tcPr>
          <w:p w14:paraId="2E03FC19"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0.69</w:t>
            </w:r>
          </w:p>
        </w:tc>
        <w:tc>
          <w:tcPr>
            <w:tcW w:w="766" w:type="dxa"/>
          </w:tcPr>
          <w:p w14:paraId="69EB0633"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-0.011</w:t>
            </w:r>
          </w:p>
        </w:tc>
        <w:tc>
          <w:tcPr>
            <w:tcW w:w="706" w:type="dxa"/>
          </w:tcPr>
          <w:p w14:paraId="7859B86D"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0.11</w:t>
            </w:r>
          </w:p>
        </w:tc>
        <w:tc>
          <w:tcPr>
            <w:tcW w:w="870" w:type="dxa"/>
          </w:tcPr>
          <w:p w14:paraId="25052F00"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0.91</w:t>
            </w:r>
          </w:p>
        </w:tc>
        <w:tc>
          <w:tcPr>
            <w:tcW w:w="935" w:type="dxa"/>
          </w:tcPr>
          <w:p w14:paraId="52E8E126"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0.48</w:t>
            </w:r>
          </w:p>
        </w:tc>
        <w:tc>
          <w:tcPr>
            <w:tcW w:w="1001" w:type="dxa"/>
          </w:tcPr>
          <w:p w14:paraId="4B1259F4"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0.79</w:t>
            </w:r>
          </w:p>
        </w:tc>
        <w:tc>
          <w:tcPr>
            <w:tcW w:w="709" w:type="dxa"/>
            <w:noWrap/>
            <w:hideMark/>
          </w:tcPr>
          <w:p w14:paraId="1A11B5BE"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68</w:t>
            </w:r>
          </w:p>
        </w:tc>
      </w:tr>
      <w:tr w:rsidR="009542CE" w:rsidRPr="0074390A" w14:paraId="152D0B32" w14:textId="77777777" w:rsidTr="00FC1677">
        <w:trPr>
          <w:trHeight w:val="315"/>
        </w:trPr>
        <w:tc>
          <w:tcPr>
            <w:tcW w:w="1980" w:type="dxa"/>
            <w:noWrap/>
            <w:hideMark/>
          </w:tcPr>
          <w:p w14:paraId="2C24EDAA" w14:textId="77777777" w:rsidR="009542CE" w:rsidRPr="0074390A" w:rsidRDefault="009542CE" w:rsidP="00FC1677">
            <w:pPr>
              <w:rPr>
                <w:rFonts w:ascii="Times New Roman" w:hAnsi="Times New Roman" w:cs="Times New Roman"/>
                <w:sz w:val="22"/>
                <w:szCs w:val="22"/>
              </w:rPr>
            </w:pPr>
            <w:r w:rsidRPr="0074390A">
              <w:rPr>
                <w:rFonts w:ascii="Times New Roman" w:hAnsi="Times New Roman" w:cs="Times New Roman"/>
                <w:sz w:val="22"/>
                <w:szCs w:val="22"/>
              </w:rPr>
              <w:t>Hypertension</w:t>
            </w:r>
          </w:p>
        </w:tc>
        <w:tc>
          <w:tcPr>
            <w:tcW w:w="850" w:type="dxa"/>
            <w:noWrap/>
            <w:hideMark/>
          </w:tcPr>
          <w:p w14:paraId="1FBE56A5"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-0.01</w:t>
            </w:r>
          </w:p>
        </w:tc>
        <w:tc>
          <w:tcPr>
            <w:tcW w:w="709" w:type="dxa"/>
            <w:noWrap/>
            <w:hideMark/>
          </w:tcPr>
          <w:p w14:paraId="640EC125"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0.01</w:t>
            </w:r>
          </w:p>
        </w:tc>
        <w:tc>
          <w:tcPr>
            <w:tcW w:w="851" w:type="dxa"/>
            <w:noWrap/>
            <w:hideMark/>
          </w:tcPr>
          <w:p w14:paraId="2514940A"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0.44</w:t>
            </w:r>
          </w:p>
        </w:tc>
        <w:tc>
          <w:tcPr>
            <w:tcW w:w="842" w:type="dxa"/>
          </w:tcPr>
          <w:p w14:paraId="2180172E"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0.016</w:t>
            </w:r>
          </w:p>
        </w:tc>
        <w:tc>
          <w:tcPr>
            <w:tcW w:w="727" w:type="dxa"/>
          </w:tcPr>
          <w:p w14:paraId="4A06077E"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962" w:type="dxa"/>
          </w:tcPr>
          <w:p w14:paraId="645A470F"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0.65</w:t>
            </w:r>
          </w:p>
        </w:tc>
        <w:tc>
          <w:tcPr>
            <w:tcW w:w="842" w:type="dxa"/>
          </w:tcPr>
          <w:p w14:paraId="766505EE"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0.001</w:t>
            </w:r>
          </w:p>
        </w:tc>
        <w:tc>
          <w:tcPr>
            <w:tcW w:w="706" w:type="dxa"/>
          </w:tcPr>
          <w:p w14:paraId="1CA1627D"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998" w:type="dxa"/>
          </w:tcPr>
          <w:p w14:paraId="764C25F5"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0.95</w:t>
            </w:r>
          </w:p>
        </w:tc>
        <w:tc>
          <w:tcPr>
            <w:tcW w:w="766" w:type="dxa"/>
          </w:tcPr>
          <w:p w14:paraId="62590BF5"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0.012</w:t>
            </w:r>
          </w:p>
        </w:tc>
        <w:tc>
          <w:tcPr>
            <w:tcW w:w="706" w:type="dxa"/>
          </w:tcPr>
          <w:p w14:paraId="0D2C9BAF"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870" w:type="dxa"/>
          </w:tcPr>
          <w:p w14:paraId="035D4EB6"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0.70</w:t>
            </w:r>
          </w:p>
        </w:tc>
        <w:tc>
          <w:tcPr>
            <w:tcW w:w="935" w:type="dxa"/>
          </w:tcPr>
          <w:p w14:paraId="2DA15032"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0.96</w:t>
            </w:r>
          </w:p>
        </w:tc>
        <w:tc>
          <w:tcPr>
            <w:tcW w:w="1001" w:type="dxa"/>
          </w:tcPr>
          <w:p w14:paraId="208E4ADC"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0.42</w:t>
            </w:r>
          </w:p>
        </w:tc>
        <w:tc>
          <w:tcPr>
            <w:tcW w:w="709" w:type="dxa"/>
            <w:noWrap/>
            <w:hideMark/>
          </w:tcPr>
          <w:p w14:paraId="0DDA9259"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76</w:t>
            </w:r>
          </w:p>
        </w:tc>
      </w:tr>
      <w:tr w:rsidR="009542CE" w:rsidRPr="0074390A" w14:paraId="6C44B0AD" w14:textId="77777777" w:rsidTr="00FC1677">
        <w:trPr>
          <w:trHeight w:val="315"/>
        </w:trPr>
        <w:tc>
          <w:tcPr>
            <w:tcW w:w="1980" w:type="dxa"/>
            <w:noWrap/>
            <w:hideMark/>
          </w:tcPr>
          <w:p w14:paraId="7C132CBD" w14:textId="77777777" w:rsidR="009542CE" w:rsidRPr="0074390A" w:rsidRDefault="009542CE" w:rsidP="00FC1677">
            <w:pPr>
              <w:rPr>
                <w:rFonts w:ascii="Times New Roman" w:hAnsi="Times New Roman" w:cs="Times New Roman"/>
                <w:sz w:val="22"/>
                <w:szCs w:val="22"/>
              </w:rPr>
            </w:pPr>
            <w:r w:rsidRPr="0074390A">
              <w:rPr>
                <w:rFonts w:ascii="Times New Roman" w:hAnsi="Times New Roman" w:cs="Times New Roman"/>
                <w:sz w:val="22"/>
                <w:szCs w:val="22"/>
              </w:rPr>
              <w:t>Myocardial infarction</w:t>
            </w:r>
          </w:p>
        </w:tc>
        <w:tc>
          <w:tcPr>
            <w:tcW w:w="850" w:type="dxa"/>
            <w:noWrap/>
            <w:hideMark/>
          </w:tcPr>
          <w:p w14:paraId="06A85BFB"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709" w:type="dxa"/>
            <w:noWrap/>
            <w:hideMark/>
          </w:tcPr>
          <w:p w14:paraId="03DD4F54"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851" w:type="dxa"/>
            <w:noWrap/>
            <w:hideMark/>
          </w:tcPr>
          <w:p w14:paraId="5C390442"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0.36</w:t>
            </w:r>
          </w:p>
        </w:tc>
        <w:tc>
          <w:tcPr>
            <w:tcW w:w="842" w:type="dxa"/>
          </w:tcPr>
          <w:p w14:paraId="12654167"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0.014</w:t>
            </w:r>
          </w:p>
        </w:tc>
        <w:tc>
          <w:tcPr>
            <w:tcW w:w="727" w:type="dxa"/>
          </w:tcPr>
          <w:p w14:paraId="518AD5B2"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0.08</w:t>
            </w:r>
          </w:p>
        </w:tc>
        <w:tc>
          <w:tcPr>
            <w:tcW w:w="962" w:type="dxa"/>
          </w:tcPr>
          <w:p w14:paraId="5635003A"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0.85</w:t>
            </w:r>
          </w:p>
        </w:tc>
        <w:tc>
          <w:tcPr>
            <w:tcW w:w="842" w:type="dxa"/>
          </w:tcPr>
          <w:p w14:paraId="4A56A6DB"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0.033</w:t>
            </w:r>
          </w:p>
        </w:tc>
        <w:tc>
          <w:tcPr>
            <w:tcW w:w="706" w:type="dxa"/>
          </w:tcPr>
          <w:p w14:paraId="794C0E13"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0.041</w:t>
            </w:r>
          </w:p>
        </w:tc>
        <w:tc>
          <w:tcPr>
            <w:tcW w:w="998" w:type="dxa"/>
          </w:tcPr>
          <w:p w14:paraId="75C4EC08"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0.41</w:t>
            </w:r>
          </w:p>
        </w:tc>
        <w:tc>
          <w:tcPr>
            <w:tcW w:w="766" w:type="dxa"/>
          </w:tcPr>
          <w:p w14:paraId="1E9FD5C9"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0.028</w:t>
            </w:r>
          </w:p>
        </w:tc>
        <w:tc>
          <w:tcPr>
            <w:tcW w:w="706" w:type="dxa"/>
          </w:tcPr>
          <w:p w14:paraId="74D942A1"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0.06</w:t>
            </w:r>
          </w:p>
        </w:tc>
        <w:tc>
          <w:tcPr>
            <w:tcW w:w="870" w:type="dxa"/>
          </w:tcPr>
          <w:p w14:paraId="4DDE06AF"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0.64</w:t>
            </w:r>
          </w:p>
        </w:tc>
        <w:tc>
          <w:tcPr>
            <w:tcW w:w="935" w:type="dxa"/>
          </w:tcPr>
          <w:p w14:paraId="59B34C80"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0.85</w:t>
            </w:r>
          </w:p>
        </w:tc>
        <w:tc>
          <w:tcPr>
            <w:tcW w:w="1001" w:type="dxa"/>
          </w:tcPr>
          <w:p w14:paraId="4E8ABE0A"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0.85</w:t>
            </w:r>
          </w:p>
        </w:tc>
        <w:tc>
          <w:tcPr>
            <w:tcW w:w="709" w:type="dxa"/>
            <w:noWrap/>
            <w:hideMark/>
          </w:tcPr>
          <w:p w14:paraId="3BA962EB"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81</w:t>
            </w:r>
          </w:p>
        </w:tc>
      </w:tr>
      <w:tr w:rsidR="009542CE" w:rsidRPr="0074390A" w14:paraId="51034375" w14:textId="77777777" w:rsidTr="00FC1677">
        <w:trPr>
          <w:trHeight w:val="315"/>
        </w:trPr>
        <w:tc>
          <w:tcPr>
            <w:tcW w:w="1980" w:type="dxa"/>
            <w:noWrap/>
            <w:hideMark/>
          </w:tcPr>
          <w:p w14:paraId="223ADEDA" w14:textId="77777777" w:rsidR="009542CE" w:rsidRPr="0074390A" w:rsidRDefault="009542CE" w:rsidP="00FC1677">
            <w:pPr>
              <w:rPr>
                <w:rFonts w:ascii="Times New Roman" w:hAnsi="Times New Roman" w:cs="Times New Roman"/>
                <w:sz w:val="22"/>
                <w:szCs w:val="22"/>
              </w:rPr>
            </w:pPr>
            <w:r w:rsidRPr="0074390A">
              <w:rPr>
                <w:rFonts w:ascii="Times New Roman" w:hAnsi="Times New Roman" w:cs="Times New Roman"/>
                <w:sz w:val="22"/>
                <w:szCs w:val="22"/>
              </w:rPr>
              <w:t>Non-ischemic</w:t>
            </w:r>
          </w:p>
          <w:p w14:paraId="47840A5E" w14:textId="77777777" w:rsidR="009542CE" w:rsidRPr="0074390A" w:rsidRDefault="009542CE" w:rsidP="00FC1677">
            <w:pPr>
              <w:rPr>
                <w:rFonts w:ascii="Times New Roman" w:hAnsi="Times New Roman" w:cs="Times New Roman"/>
                <w:sz w:val="22"/>
                <w:szCs w:val="22"/>
              </w:rPr>
            </w:pPr>
            <w:r w:rsidRPr="0074390A">
              <w:rPr>
                <w:rFonts w:ascii="Times New Roman" w:hAnsi="Times New Roman" w:cs="Times New Roman"/>
                <w:sz w:val="22"/>
                <w:szCs w:val="22"/>
              </w:rPr>
              <w:t>cardiomyopathy</w:t>
            </w:r>
          </w:p>
        </w:tc>
        <w:tc>
          <w:tcPr>
            <w:tcW w:w="850" w:type="dxa"/>
            <w:noWrap/>
            <w:hideMark/>
          </w:tcPr>
          <w:p w14:paraId="2F8E8254"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0.1</w:t>
            </w:r>
          </w:p>
        </w:tc>
        <w:tc>
          <w:tcPr>
            <w:tcW w:w="709" w:type="dxa"/>
            <w:noWrap/>
            <w:hideMark/>
          </w:tcPr>
          <w:p w14:paraId="092AA39D"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0.08</w:t>
            </w:r>
          </w:p>
        </w:tc>
        <w:tc>
          <w:tcPr>
            <w:tcW w:w="851" w:type="dxa"/>
            <w:noWrap/>
            <w:hideMark/>
          </w:tcPr>
          <w:p w14:paraId="43D3825F"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0.20</w:t>
            </w:r>
          </w:p>
        </w:tc>
        <w:tc>
          <w:tcPr>
            <w:tcW w:w="842" w:type="dxa"/>
          </w:tcPr>
          <w:p w14:paraId="243D432A"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-0.21</w:t>
            </w:r>
          </w:p>
        </w:tc>
        <w:tc>
          <w:tcPr>
            <w:tcW w:w="727" w:type="dxa"/>
          </w:tcPr>
          <w:p w14:paraId="5D467521"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0.21</w:t>
            </w:r>
          </w:p>
        </w:tc>
        <w:tc>
          <w:tcPr>
            <w:tcW w:w="962" w:type="dxa"/>
          </w:tcPr>
          <w:p w14:paraId="730848C7"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0.34</w:t>
            </w:r>
          </w:p>
        </w:tc>
        <w:tc>
          <w:tcPr>
            <w:tcW w:w="842" w:type="dxa"/>
          </w:tcPr>
          <w:p w14:paraId="1FDCF9AC"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0.004</w:t>
            </w:r>
          </w:p>
        </w:tc>
        <w:tc>
          <w:tcPr>
            <w:tcW w:w="706" w:type="dxa"/>
          </w:tcPr>
          <w:p w14:paraId="7B630D3A"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0.13</w:t>
            </w:r>
          </w:p>
        </w:tc>
        <w:tc>
          <w:tcPr>
            <w:tcW w:w="998" w:type="dxa"/>
          </w:tcPr>
          <w:p w14:paraId="21FF70CB"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0.97</w:t>
            </w:r>
          </w:p>
        </w:tc>
        <w:tc>
          <w:tcPr>
            <w:tcW w:w="766" w:type="dxa"/>
          </w:tcPr>
          <w:p w14:paraId="5F96E5D9"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-0.046</w:t>
            </w:r>
          </w:p>
        </w:tc>
        <w:tc>
          <w:tcPr>
            <w:tcW w:w="706" w:type="dxa"/>
          </w:tcPr>
          <w:p w14:paraId="3AFCA853"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0.20</w:t>
            </w:r>
          </w:p>
        </w:tc>
        <w:tc>
          <w:tcPr>
            <w:tcW w:w="870" w:type="dxa"/>
          </w:tcPr>
          <w:p w14:paraId="09D2409D"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0.82</w:t>
            </w:r>
          </w:p>
        </w:tc>
        <w:tc>
          <w:tcPr>
            <w:tcW w:w="935" w:type="dxa"/>
          </w:tcPr>
          <w:p w14:paraId="62056CF2"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0.58</w:t>
            </w:r>
          </w:p>
        </w:tc>
        <w:tc>
          <w:tcPr>
            <w:tcW w:w="1001" w:type="dxa"/>
          </w:tcPr>
          <w:p w14:paraId="05317CAC"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0.11</w:t>
            </w:r>
          </w:p>
        </w:tc>
        <w:tc>
          <w:tcPr>
            <w:tcW w:w="709" w:type="dxa"/>
            <w:noWrap/>
            <w:hideMark/>
          </w:tcPr>
          <w:p w14:paraId="56889685" w14:textId="77777777" w:rsidR="009542CE" w:rsidRPr="0074390A" w:rsidRDefault="009542CE" w:rsidP="00C066DF">
            <w:pPr>
              <w:jc w:val="center"/>
              <w:rPr>
                <w:rFonts w:ascii="Times New Roman" w:hAnsi="Times New Roman" w:cs="Times New Roman"/>
                <w:sz w:val="22"/>
                <w:szCs w:val="22"/>
              </w:rPr>
            </w:pPr>
            <w:r w:rsidRPr="0074390A">
              <w:rPr>
                <w:rFonts w:ascii="Times New Roman" w:hAnsi="Times New Roman" w:cs="Times New Roman"/>
                <w:sz w:val="22"/>
                <w:szCs w:val="22"/>
              </w:rPr>
              <w:t>68</w:t>
            </w:r>
          </w:p>
        </w:tc>
      </w:tr>
      <w:tr w:rsidR="00AF39E1" w:rsidRPr="0074390A" w14:paraId="2ADA5893" w14:textId="77777777" w:rsidTr="00FC1677">
        <w:trPr>
          <w:trHeight w:val="473"/>
        </w:trPr>
        <w:tc>
          <w:tcPr>
            <w:tcW w:w="14454" w:type="dxa"/>
            <w:gridSpan w:val="16"/>
            <w:noWrap/>
          </w:tcPr>
          <w:p w14:paraId="3D957C9D" w14:textId="03F004D6" w:rsidR="00AF39E1" w:rsidRPr="0074390A" w:rsidRDefault="00AF39E1" w:rsidP="00FC1677">
            <w:pPr>
              <w:jc w:val="center"/>
              <w:rPr>
                <w:rFonts w:ascii="Times New Roman" w:hAnsi="Times New Roman" w:cs="Times New Roman"/>
                <w:b/>
                <w:bCs/>
                <w:sz w:val="22"/>
                <w:szCs w:val="22"/>
              </w:rPr>
            </w:pPr>
            <w:r w:rsidRPr="0074390A">
              <w:rPr>
                <w:rFonts w:ascii="Times New Roman" w:hAnsi="Times New Roman" w:cs="Times New Roman"/>
                <w:b/>
                <w:bCs/>
                <w:sz w:val="22"/>
                <w:szCs w:val="22"/>
              </w:rPr>
              <w:t>FinnGen</w:t>
            </w:r>
          </w:p>
        </w:tc>
      </w:tr>
      <w:tr w:rsidR="00EE2E3D" w:rsidRPr="0074390A" w14:paraId="63E21613" w14:textId="77777777" w:rsidTr="00FC1677">
        <w:trPr>
          <w:trHeight w:val="315"/>
        </w:trPr>
        <w:tc>
          <w:tcPr>
            <w:tcW w:w="1980" w:type="dxa"/>
            <w:noWrap/>
          </w:tcPr>
          <w:p w14:paraId="43C05DCA" w14:textId="77777777" w:rsidR="00EE2E3D" w:rsidRPr="0074390A" w:rsidRDefault="00EE2E3D" w:rsidP="00FC1677">
            <w:pPr>
              <w:rPr>
                <w:rFonts w:ascii="Times New Roman" w:hAnsi="Times New Roman" w:cs="Times New Roman"/>
                <w:sz w:val="22"/>
                <w:szCs w:val="22"/>
              </w:rPr>
            </w:pPr>
            <w:r w:rsidRPr="0074390A">
              <w:rPr>
                <w:rFonts w:ascii="Times New Roman" w:hAnsi="Times New Roman" w:cs="Times New Roman"/>
                <w:sz w:val="22"/>
                <w:szCs w:val="22"/>
              </w:rPr>
              <w:t>Atrial fibrillation</w:t>
            </w:r>
          </w:p>
          <w:p w14:paraId="5C73FBA9" w14:textId="45DAEE84" w:rsidR="00EE2E3D" w:rsidRPr="0074390A" w:rsidRDefault="00EE2E3D" w:rsidP="00FC1677">
            <w:pPr>
              <w:rPr>
                <w:rFonts w:ascii="Times New Roman" w:hAnsi="Times New Roman" w:cs="Times New Roman"/>
                <w:sz w:val="22"/>
                <w:szCs w:val="22"/>
              </w:rPr>
            </w:pPr>
            <w:r w:rsidRPr="0074390A">
              <w:rPr>
                <w:rFonts w:ascii="Times New Roman" w:hAnsi="Times New Roman" w:cs="Times New Roman"/>
                <w:sz w:val="22"/>
                <w:szCs w:val="22"/>
              </w:rPr>
              <w:t>and flutter</w:t>
            </w:r>
          </w:p>
        </w:tc>
        <w:tc>
          <w:tcPr>
            <w:tcW w:w="850" w:type="dxa"/>
            <w:noWrap/>
          </w:tcPr>
          <w:p w14:paraId="688A776E" w14:textId="71B1FC28"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709" w:type="dxa"/>
            <w:noWrap/>
          </w:tcPr>
          <w:p w14:paraId="2314AC87" w14:textId="1340B807"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851" w:type="dxa"/>
            <w:noWrap/>
          </w:tcPr>
          <w:p w14:paraId="6B2B6A4B" w14:textId="3EF5755F"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0.45</w:t>
            </w:r>
          </w:p>
        </w:tc>
        <w:tc>
          <w:tcPr>
            <w:tcW w:w="842" w:type="dxa"/>
          </w:tcPr>
          <w:p w14:paraId="7B99A25F" w14:textId="2D78B4F3"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727" w:type="dxa"/>
          </w:tcPr>
          <w:p w14:paraId="4FF722B4" w14:textId="7D347351"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0.09</w:t>
            </w:r>
          </w:p>
        </w:tc>
        <w:tc>
          <w:tcPr>
            <w:tcW w:w="962" w:type="dxa"/>
          </w:tcPr>
          <w:p w14:paraId="56FB2789" w14:textId="5D94432E"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0.73</w:t>
            </w:r>
          </w:p>
        </w:tc>
        <w:tc>
          <w:tcPr>
            <w:tcW w:w="842" w:type="dxa"/>
          </w:tcPr>
          <w:p w14:paraId="7C288BEE" w14:textId="30A11B8F"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0.06</w:t>
            </w:r>
          </w:p>
        </w:tc>
        <w:tc>
          <w:tcPr>
            <w:tcW w:w="706" w:type="dxa"/>
          </w:tcPr>
          <w:p w14:paraId="3A8D2F82" w14:textId="2EFBB636"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998" w:type="dxa"/>
          </w:tcPr>
          <w:p w14:paraId="5564666B" w14:textId="72B8F74C"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0.07</w:t>
            </w:r>
          </w:p>
        </w:tc>
        <w:tc>
          <w:tcPr>
            <w:tcW w:w="766" w:type="dxa"/>
          </w:tcPr>
          <w:p w14:paraId="07B9E8B2" w14:textId="5D6B20E2"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0.12</w:t>
            </w:r>
          </w:p>
        </w:tc>
        <w:tc>
          <w:tcPr>
            <w:tcW w:w="706" w:type="dxa"/>
          </w:tcPr>
          <w:p w14:paraId="0220B5A2" w14:textId="61D2B6FE"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0.05</w:t>
            </w:r>
          </w:p>
        </w:tc>
        <w:tc>
          <w:tcPr>
            <w:tcW w:w="870" w:type="dxa"/>
          </w:tcPr>
          <w:p w14:paraId="3BE4A779" w14:textId="07FAC688"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0.04</w:t>
            </w:r>
          </w:p>
        </w:tc>
        <w:tc>
          <w:tcPr>
            <w:tcW w:w="935" w:type="dxa"/>
          </w:tcPr>
          <w:p w14:paraId="4DF99976" w14:textId="0A898F49"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0.96</w:t>
            </w:r>
          </w:p>
        </w:tc>
        <w:tc>
          <w:tcPr>
            <w:tcW w:w="1001" w:type="dxa"/>
          </w:tcPr>
          <w:p w14:paraId="7B811FCD" w14:textId="2110A267"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0.94</w:t>
            </w:r>
          </w:p>
        </w:tc>
        <w:tc>
          <w:tcPr>
            <w:tcW w:w="709" w:type="dxa"/>
            <w:noWrap/>
          </w:tcPr>
          <w:p w14:paraId="23ADF6CF" w14:textId="7F83BDB0"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79</w:t>
            </w:r>
          </w:p>
        </w:tc>
      </w:tr>
      <w:tr w:rsidR="00EE2E3D" w:rsidRPr="0074390A" w14:paraId="31200659" w14:textId="77777777" w:rsidTr="00FC1677">
        <w:trPr>
          <w:trHeight w:val="315"/>
        </w:trPr>
        <w:tc>
          <w:tcPr>
            <w:tcW w:w="1980" w:type="dxa"/>
            <w:noWrap/>
          </w:tcPr>
          <w:p w14:paraId="18F49B28" w14:textId="7AFD1983" w:rsidR="00EE2E3D" w:rsidRPr="0074390A" w:rsidRDefault="00EE2E3D" w:rsidP="00FC1677">
            <w:pPr>
              <w:rPr>
                <w:rFonts w:ascii="Times New Roman" w:hAnsi="Times New Roman" w:cs="Times New Roman"/>
                <w:sz w:val="22"/>
                <w:szCs w:val="22"/>
              </w:rPr>
            </w:pPr>
            <w:r w:rsidRPr="0074390A">
              <w:rPr>
                <w:rFonts w:ascii="Times New Roman" w:hAnsi="Times New Roman" w:cs="Times New Roman"/>
                <w:sz w:val="22"/>
                <w:szCs w:val="22"/>
              </w:rPr>
              <w:t>Angina</w:t>
            </w:r>
          </w:p>
        </w:tc>
        <w:tc>
          <w:tcPr>
            <w:tcW w:w="850" w:type="dxa"/>
            <w:noWrap/>
          </w:tcPr>
          <w:p w14:paraId="7AF119F4" w14:textId="258AD4D0"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0.01</w:t>
            </w:r>
          </w:p>
        </w:tc>
        <w:tc>
          <w:tcPr>
            <w:tcW w:w="709" w:type="dxa"/>
            <w:noWrap/>
          </w:tcPr>
          <w:p w14:paraId="0E7DB056" w14:textId="5664A775"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851" w:type="dxa"/>
            <w:noWrap/>
          </w:tcPr>
          <w:p w14:paraId="06E28F1D" w14:textId="2496E365"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0.62</w:t>
            </w:r>
          </w:p>
        </w:tc>
        <w:tc>
          <w:tcPr>
            <w:tcW w:w="842" w:type="dxa"/>
          </w:tcPr>
          <w:p w14:paraId="3C990408" w14:textId="260B75E1"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-0.05</w:t>
            </w:r>
          </w:p>
        </w:tc>
        <w:tc>
          <w:tcPr>
            <w:tcW w:w="727" w:type="dxa"/>
          </w:tcPr>
          <w:p w14:paraId="553C7F19" w14:textId="2FAC5408"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0.08</w:t>
            </w:r>
          </w:p>
        </w:tc>
        <w:tc>
          <w:tcPr>
            <w:tcW w:w="962" w:type="dxa"/>
          </w:tcPr>
          <w:p w14:paraId="0CE4B3E8" w14:textId="43428EB4"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0.52</w:t>
            </w:r>
          </w:p>
        </w:tc>
        <w:tc>
          <w:tcPr>
            <w:tcW w:w="842" w:type="dxa"/>
          </w:tcPr>
          <w:p w14:paraId="3CD68C3F" w14:textId="53DA931B"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706" w:type="dxa"/>
          </w:tcPr>
          <w:p w14:paraId="0DCF12E0" w14:textId="1DCEF427"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998" w:type="dxa"/>
          </w:tcPr>
          <w:p w14:paraId="5C13C183" w14:textId="4997D93C"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0.26</w:t>
            </w:r>
          </w:p>
        </w:tc>
        <w:tc>
          <w:tcPr>
            <w:tcW w:w="766" w:type="dxa"/>
          </w:tcPr>
          <w:p w14:paraId="7CF3A9E2" w14:textId="01FBBE95"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-0.09</w:t>
            </w:r>
          </w:p>
        </w:tc>
        <w:tc>
          <w:tcPr>
            <w:tcW w:w="706" w:type="dxa"/>
          </w:tcPr>
          <w:p w14:paraId="2AC94780" w14:textId="084FB12A"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0.05</w:t>
            </w:r>
          </w:p>
        </w:tc>
        <w:tc>
          <w:tcPr>
            <w:tcW w:w="870" w:type="dxa"/>
          </w:tcPr>
          <w:p w14:paraId="06C8D1D8" w14:textId="7827869A"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0.11</w:t>
            </w:r>
          </w:p>
        </w:tc>
        <w:tc>
          <w:tcPr>
            <w:tcW w:w="935" w:type="dxa"/>
          </w:tcPr>
          <w:p w14:paraId="612704DD" w14:textId="536FFBCD"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0.19</w:t>
            </w:r>
          </w:p>
        </w:tc>
        <w:tc>
          <w:tcPr>
            <w:tcW w:w="1001" w:type="dxa"/>
          </w:tcPr>
          <w:p w14:paraId="30F2715F" w14:textId="25EA6C8F"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0.37</w:t>
            </w:r>
          </w:p>
        </w:tc>
        <w:tc>
          <w:tcPr>
            <w:tcW w:w="709" w:type="dxa"/>
            <w:noWrap/>
          </w:tcPr>
          <w:p w14:paraId="5FF4103E" w14:textId="4DA0E5A4"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79</w:t>
            </w:r>
          </w:p>
        </w:tc>
      </w:tr>
      <w:tr w:rsidR="00EE2E3D" w:rsidRPr="0074390A" w14:paraId="19D38861" w14:textId="77777777" w:rsidTr="00FC1677">
        <w:trPr>
          <w:trHeight w:val="315"/>
        </w:trPr>
        <w:tc>
          <w:tcPr>
            <w:tcW w:w="1980" w:type="dxa"/>
            <w:noWrap/>
          </w:tcPr>
          <w:p w14:paraId="5AC8B571" w14:textId="77777777" w:rsidR="00EE2E3D" w:rsidRPr="0074390A" w:rsidRDefault="00EE2E3D" w:rsidP="00FC1677">
            <w:pPr>
              <w:rPr>
                <w:rFonts w:ascii="Times New Roman" w:hAnsi="Times New Roman" w:cs="Times New Roman"/>
                <w:sz w:val="22"/>
                <w:szCs w:val="22"/>
              </w:rPr>
            </w:pPr>
            <w:r w:rsidRPr="0074390A">
              <w:rPr>
                <w:rFonts w:ascii="Times New Roman" w:hAnsi="Times New Roman" w:cs="Times New Roman"/>
                <w:sz w:val="22"/>
                <w:szCs w:val="22"/>
              </w:rPr>
              <w:t>Chronic ischemic</w:t>
            </w:r>
          </w:p>
          <w:p w14:paraId="1556E369" w14:textId="60E59DD2" w:rsidR="00EE2E3D" w:rsidRPr="0074390A" w:rsidRDefault="00EE2E3D" w:rsidP="00FC1677">
            <w:pPr>
              <w:rPr>
                <w:rFonts w:ascii="Times New Roman" w:hAnsi="Times New Roman" w:cs="Times New Roman"/>
                <w:sz w:val="22"/>
                <w:szCs w:val="22"/>
              </w:rPr>
            </w:pPr>
            <w:r w:rsidRPr="0074390A">
              <w:rPr>
                <w:rFonts w:ascii="Times New Roman" w:hAnsi="Times New Roman" w:cs="Times New Roman"/>
                <w:sz w:val="22"/>
                <w:szCs w:val="22"/>
              </w:rPr>
              <w:t>heart disease</w:t>
            </w:r>
          </w:p>
        </w:tc>
        <w:tc>
          <w:tcPr>
            <w:tcW w:w="850" w:type="dxa"/>
            <w:noWrap/>
          </w:tcPr>
          <w:p w14:paraId="415EEAD1" w14:textId="348750EB"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0.005</w:t>
            </w:r>
          </w:p>
        </w:tc>
        <w:tc>
          <w:tcPr>
            <w:tcW w:w="709" w:type="dxa"/>
            <w:noWrap/>
          </w:tcPr>
          <w:p w14:paraId="71632C30" w14:textId="3F48F631"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851" w:type="dxa"/>
            <w:noWrap/>
          </w:tcPr>
          <w:p w14:paraId="04A32C98" w14:textId="2CA25E37"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0.84</w:t>
            </w:r>
          </w:p>
        </w:tc>
        <w:tc>
          <w:tcPr>
            <w:tcW w:w="842" w:type="dxa"/>
          </w:tcPr>
          <w:p w14:paraId="02F28024" w14:textId="59D32845"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-0.08</w:t>
            </w:r>
          </w:p>
        </w:tc>
        <w:tc>
          <w:tcPr>
            <w:tcW w:w="727" w:type="dxa"/>
          </w:tcPr>
          <w:p w14:paraId="2C2A8C0B" w14:textId="6621BE45"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0.07</w:t>
            </w:r>
          </w:p>
        </w:tc>
        <w:tc>
          <w:tcPr>
            <w:tcW w:w="962" w:type="dxa"/>
          </w:tcPr>
          <w:p w14:paraId="774B46DB" w14:textId="33209B1C"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0.26</w:t>
            </w:r>
          </w:p>
        </w:tc>
        <w:tc>
          <w:tcPr>
            <w:tcW w:w="842" w:type="dxa"/>
          </w:tcPr>
          <w:p w14:paraId="1DEA2DA1" w14:textId="70FB1499"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-0.01</w:t>
            </w:r>
          </w:p>
        </w:tc>
        <w:tc>
          <w:tcPr>
            <w:tcW w:w="706" w:type="dxa"/>
          </w:tcPr>
          <w:p w14:paraId="3BE54CE2" w14:textId="2DDFA1C1"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998" w:type="dxa"/>
          </w:tcPr>
          <w:p w14:paraId="66C35A4F" w14:textId="4359BCB0"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0.47</w:t>
            </w:r>
          </w:p>
        </w:tc>
        <w:tc>
          <w:tcPr>
            <w:tcW w:w="766" w:type="dxa"/>
          </w:tcPr>
          <w:p w14:paraId="6F6C6B3A" w14:textId="5F353863"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706" w:type="dxa"/>
          </w:tcPr>
          <w:p w14:paraId="2D5A8ACE" w14:textId="2E329118"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0.04</w:t>
            </w:r>
          </w:p>
        </w:tc>
        <w:tc>
          <w:tcPr>
            <w:tcW w:w="870" w:type="dxa"/>
          </w:tcPr>
          <w:p w14:paraId="058BC8B2" w14:textId="3BE0CC8C"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0.39</w:t>
            </w:r>
          </w:p>
        </w:tc>
        <w:tc>
          <w:tcPr>
            <w:tcW w:w="935" w:type="dxa"/>
          </w:tcPr>
          <w:p w14:paraId="5E9F0F8E" w14:textId="5E1818C7"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0.18</w:t>
            </w:r>
          </w:p>
        </w:tc>
        <w:tc>
          <w:tcPr>
            <w:tcW w:w="1001" w:type="dxa"/>
          </w:tcPr>
          <w:p w14:paraId="1724B1F3" w14:textId="162C7385"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0.19</w:t>
            </w:r>
          </w:p>
        </w:tc>
        <w:tc>
          <w:tcPr>
            <w:tcW w:w="709" w:type="dxa"/>
            <w:noWrap/>
          </w:tcPr>
          <w:p w14:paraId="75CB7850" w14:textId="27A1903F"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79</w:t>
            </w:r>
          </w:p>
        </w:tc>
      </w:tr>
      <w:tr w:rsidR="00EE2E3D" w:rsidRPr="0074390A" w14:paraId="5CF5485E" w14:textId="77777777" w:rsidTr="00FC1677">
        <w:trPr>
          <w:trHeight w:val="315"/>
        </w:trPr>
        <w:tc>
          <w:tcPr>
            <w:tcW w:w="1980" w:type="dxa"/>
            <w:noWrap/>
          </w:tcPr>
          <w:p w14:paraId="6435FFEE" w14:textId="63E45F19" w:rsidR="00EE2E3D" w:rsidRPr="0074390A" w:rsidRDefault="00EE2E3D" w:rsidP="00FC1677">
            <w:pPr>
              <w:rPr>
                <w:rFonts w:ascii="Times New Roman" w:hAnsi="Times New Roman" w:cs="Times New Roman"/>
                <w:sz w:val="22"/>
                <w:szCs w:val="22"/>
              </w:rPr>
            </w:pPr>
            <w:r w:rsidRPr="0074390A">
              <w:rPr>
                <w:rFonts w:ascii="Times New Roman" w:hAnsi="Times New Roman" w:cs="Times New Roman"/>
                <w:sz w:val="22"/>
                <w:szCs w:val="22"/>
              </w:rPr>
              <w:t>Heart failure</w:t>
            </w:r>
          </w:p>
        </w:tc>
        <w:tc>
          <w:tcPr>
            <w:tcW w:w="850" w:type="dxa"/>
            <w:noWrap/>
          </w:tcPr>
          <w:p w14:paraId="06A840C8" w14:textId="06B42BFF"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-0.04</w:t>
            </w:r>
          </w:p>
        </w:tc>
        <w:tc>
          <w:tcPr>
            <w:tcW w:w="709" w:type="dxa"/>
            <w:noWrap/>
          </w:tcPr>
          <w:p w14:paraId="7FC9DAAC" w14:textId="3AD41FC4"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851" w:type="dxa"/>
            <w:noWrap/>
          </w:tcPr>
          <w:p w14:paraId="7DD6E427" w14:textId="49E1C1FD"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0.13</w:t>
            </w:r>
          </w:p>
        </w:tc>
        <w:tc>
          <w:tcPr>
            <w:tcW w:w="842" w:type="dxa"/>
          </w:tcPr>
          <w:p w14:paraId="37FBAD1F" w14:textId="290C553A"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-0.07</w:t>
            </w:r>
          </w:p>
        </w:tc>
        <w:tc>
          <w:tcPr>
            <w:tcW w:w="727" w:type="dxa"/>
          </w:tcPr>
          <w:p w14:paraId="4D2D48F7" w14:textId="3F7E886C"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0.07</w:t>
            </w:r>
          </w:p>
        </w:tc>
        <w:tc>
          <w:tcPr>
            <w:tcW w:w="962" w:type="dxa"/>
          </w:tcPr>
          <w:p w14:paraId="5D55093D" w14:textId="42DCCA14"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0.33</w:t>
            </w:r>
          </w:p>
        </w:tc>
        <w:tc>
          <w:tcPr>
            <w:tcW w:w="842" w:type="dxa"/>
          </w:tcPr>
          <w:p w14:paraId="22505D60" w14:textId="41991ED5"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-0.04</w:t>
            </w:r>
          </w:p>
        </w:tc>
        <w:tc>
          <w:tcPr>
            <w:tcW w:w="706" w:type="dxa"/>
          </w:tcPr>
          <w:p w14:paraId="001AFB27" w14:textId="494970E4"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998" w:type="dxa"/>
          </w:tcPr>
          <w:p w14:paraId="2621C164" w14:textId="12E5C5EE"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0.23</w:t>
            </w:r>
          </w:p>
        </w:tc>
        <w:tc>
          <w:tcPr>
            <w:tcW w:w="766" w:type="dxa"/>
          </w:tcPr>
          <w:p w14:paraId="7804D1F9" w14:textId="6749F91B"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706" w:type="dxa"/>
          </w:tcPr>
          <w:p w14:paraId="6BF831F8" w14:textId="508CD7D9"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0.05</w:t>
            </w:r>
          </w:p>
        </w:tc>
        <w:tc>
          <w:tcPr>
            <w:tcW w:w="870" w:type="dxa"/>
          </w:tcPr>
          <w:p w14:paraId="2BA1E251" w14:textId="75315FA0"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0.54</w:t>
            </w:r>
          </w:p>
        </w:tc>
        <w:tc>
          <w:tcPr>
            <w:tcW w:w="935" w:type="dxa"/>
          </w:tcPr>
          <w:p w14:paraId="7C741490" w14:textId="7EA839EA"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0.87</w:t>
            </w:r>
          </w:p>
        </w:tc>
        <w:tc>
          <w:tcPr>
            <w:tcW w:w="1001" w:type="dxa"/>
          </w:tcPr>
          <w:p w14:paraId="0C45E209" w14:textId="78725435"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0.64</w:t>
            </w:r>
          </w:p>
        </w:tc>
        <w:tc>
          <w:tcPr>
            <w:tcW w:w="709" w:type="dxa"/>
            <w:noWrap/>
          </w:tcPr>
          <w:p w14:paraId="6FFD2159" w14:textId="4AFB432A"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79</w:t>
            </w:r>
          </w:p>
        </w:tc>
      </w:tr>
      <w:tr w:rsidR="00EE2E3D" w:rsidRPr="0074390A" w14:paraId="59178899" w14:textId="77777777" w:rsidTr="00FC1677">
        <w:trPr>
          <w:trHeight w:val="315"/>
        </w:trPr>
        <w:tc>
          <w:tcPr>
            <w:tcW w:w="1980" w:type="dxa"/>
            <w:noWrap/>
          </w:tcPr>
          <w:p w14:paraId="4AF74C0A" w14:textId="4B212BCE" w:rsidR="00EE2E3D" w:rsidRPr="0074390A" w:rsidRDefault="00EE2E3D" w:rsidP="00FC1677">
            <w:pPr>
              <w:rPr>
                <w:rFonts w:ascii="Times New Roman" w:hAnsi="Times New Roman" w:cs="Times New Roman"/>
                <w:sz w:val="22"/>
                <w:szCs w:val="22"/>
              </w:rPr>
            </w:pPr>
            <w:r w:rsidRPr="0074390A">
              <w:rPr>
                <w:rFonts w:ascii="Times New Roman" w:hAnsi="Times New Roman" w:cs="Times New Roman"/>
                <w:sz w:val="22"/>
                <w:szCs w:val="22"/>
              </w:rPr>
              <w:t>Hypertension</w:t>
            </w:r>
          </w:p>
        </w:tc>
        <w:tc>
          <w:tcPr>
            <w:tcW w:w="850" w:type="dxa"/>
            <w:noWrap/>
          </w:tcPr>
          <w:p w14:paraId="0C2CFE77" w14:textId="58EE9F19"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0.004</w:t>
            </w:r>
          </w:p>
        </w:tc>
        <w:tc>
          <w:tcPr>
            <w:tcW w:w="709" w:type="dxa"/>
            <w:noWrap/>
          </w:tcPr>
          <w:p w14:paraId="352AE51C" w14:textId="31318A24"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851" w:type="dxa"/>
            <w:noWrap/>
          </w:tcPr>
          <w:p w14:paraId="49A440C2" w14:textId="04854857"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0.83</w:t>
            </w:r>
          </w:p>
        </w:tc>
        <w:tc>
          <w:tcPr>
            <w:tcW w:w="842" w:type="dxa"/>
          </w:tcPr>
          <w:p w14:paraId="3D55274C" w14:textId="0E2AC4D0"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727" w:type="dxa"/>
          </w:tcPr>
          <w:p w14:paraId="06D159C4" w14:textId="77D70672"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0.06</w:t>
            </w:r>
          </w:p>
        </w:tc>
        <w:tc>
          <w:tcPr>
            <w:tcW w:w="962" w:type="dxa"/>
          </w:tcPr>
          <w:p w14:paraId="286D6ECC" w14:textId="382A423B"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0.70</w:t>
            </w:r>
          </w:p>
        </w:tc>
        <w:tc>
          <w:tcPr>
            <w:tcW w:w="842" w:type="dxa"/>
          </w:tcPr>
          <w:p w14:paraId="0940639A" w14:textId="76978117"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706" w:type="dxa"/>
          </w:tcPr>
          <w:p w14:paraId="0639B61C" w14:textId="1986EB36"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998" w:type="dxa"/>
          </w:tcPr>
          <w:p w14:paraId="6F0BF542" w14:textId="6AFF2196"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0.34</w:t>
            </w:r>
          </w:p>
        </w:tc>
        <w:tc>
          <w:tcPr>
            <w:tcW w:w="766" w:type="dxa"/>
          </w:tcPr>
          <w:p w14:paraId="38CCE1CF" w14:textId="0247F788"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-0.0007</w:t>
            </w:r>
          </w:p>
        </w:tc>
        <w:tc>
          <w:tcPr>
            <w:tcW w:w="706" w:type="dxa"/>
          </w:tcPr>
          <w:p w14:paraId="26FF8D5B" w14:textId="48AF73C1"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870" w:type="dxa"/>
          </w:tcPr>
          <w:p w14:paraId="34DE96A7" w14:textId="2F3148EC"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0.98</w:t>
            </w:r>
          </w:p>
        </w:tc>
        <w:tc>
          <w:tcPr>
            <w:tcW w:w="935" w:type="dxa"/>
          </w:tcPr>
          <w:p w14:paraId="5A466027" w14:textId="7E5E0D38"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0.69</w:t>
            </w:r>
          </w:p>
        </w:tc>
        <w:tc>
          <w:tcPr>
            <w:tcW w:w="1001" w:type="dxa"/>
          </w:tcPr>
          <w:p w14:paraId="58E3B00D" w14:textId="4C12539B"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0.74</w:t>
            </w:r>
          </w:p>
        </w:tc>
        <w:tc>
          <w:tcPr>
            <w:tcW w:w="709" w:type="dxa"/>
            <w:noWrap/>
          </w:tcPr>
          <w:p w14:paraId="31E5D48A" w14:textId="4707317C"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79</w:t>
            </w:r>
          </w:p>
        </w:tc>
      </w:tr>
      <w:tr w:rsidR="00EE2E3D" w:rsidRPr="0074390A" w14:paraId="3FE4F945" w14:textId="77777777" w:rsidTr="00FC1677">
        <w:trPr>
          <w:trHeight w:val="315"/>
        </w:trPr>
        <w:tc>
          <w:tcPr>
            <w:tcW w:w="1980" w:type="dxa"/>
            <w:noWrap/>
          </w:tcPr>
          <w:p w14:paraId="2D68C402" w14:textId="529A62FD" w:rsidR="00EE2E3D" w:rsidRPr="0074390A" w:rsidRDefault="00EE2E3D" w:rsidP="00FC1677">
            <w:pPr>
              <w:rPr>
                <w:rFonts w:ascii="Times New Roman" w:hAnsi="Times New Roman" w:cs="Times New Roman"/>
                <w:sz w:val="22"/>
                <w:szCs w:val="22"/>
              </w:rPr>
            </w:pPr>
            <w:r w:rsidRPr="0074390A">
              <w:rPr>
                <w:rFonts w:ascii="Times New Roman" w:hAnsi="Times New Roman" w:cs="Times New Roman"/>
                <w:sz w:val="22"/>
                <w:szCs w:val="22"/>
              </w:rPr>
              <w:t>Myocardial infarction</w:t>
            </w:r>
          </w:p>
        </w:tc>
        <w:tc>
          <w:tcPr>
            <w:tcW w:w="850" w:type="dxa"/>
            <w:noWrap/>
          </w:tcPr>
          <w:p w14:paraId="27345D44" w14:textId="5EA892DB"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-0.01</w:t>
            </w:r>
          </w:p>
        </w:tc>
        <w:tc>
          <w:tcPr>
            <w:tcW w:w="709" w:type="dxa"/>
            <w:noWrap/>
          </w:tcPr>
          <w:p w14:paraId="1EEAB9B2" w14:textId="0E14BECD"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851" w:type="dxa"/>
            <w:noWrap/>
          </w:tcPr>
          <w:p w14:paraId="2DE299C9" w14:textId="466A5E53"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0.61</w:t>
            </w:r>
          </w:p>
        </w:tc>
        <w:tc>
          <w:tcPr>
            <w:tcW w:w="842" w:type="dxa"/>
          </w:tcPr>
          <w:p w14:paraId="69328FBB" w14:textId="559B8912"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-0.02</w:t>
            </w:r>
          </w:p>
        </w:tc>
        <w:tc>
          <w:tcPr>
            <w:tcW w:w="727" w:type="dxa"/>
          </w:tcPr>
          <w:p w14:paraId="53C0DF5C" w14:textId="28EF76E3"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0.10</w:t>
            </w:r>
          </w:p>
        </w:tc>
        <w:tc>
          <w:tcPr>
            <w:tcW w:w="962" w:type="dxa"/>
          </w:tcPr>
          <w:p w14:paraId="2945B1E0" w14:textId="4C8888D9"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0.81</w:t>
            </w:r>
          </w:p>
        </w:tc>
        <w:tc>
          <w:tcPr>
            <w:tcW w:w="842" w:type="dxa"/>
          </w:tcPr>
          <w:p w14:paraId="71C5B5F7" w14:textId="5F287391"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-0.50</w:t>
            </w:r>
          </w:p>
        </w:tc>
        <w:tc>
          <w:tcPr>
            <w:tcW w:w="706" w:type="dxa"/>
          </w:tcPr>
          <w:p w14:paraId="48E2AB88" w14:textId="48F3DC5E"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0.04</w:t>
            </w:r>
          </w:p>
        </w:tc>
        <w:tc>
          <w:tcPr>
            <w:tcW w:w="998" w:type="dxa"/>
          </w:tcPr>
          <w:p w14:paraId="3ADB6257" w14:textId="0DAF43D7"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0.21</w:t>
            </w:r>
          </w:p>
        </w:tc>
        <w:tc>
          <w:tcPr>
            <w:tcW w:w="766" w:type="dxa"/>
          </w:tcPr>
          <w:p w14:paraId="0D586698" w14:textId="2D15445A"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-0.05</w:t>
            </w:r>
          </w:p>
        </w:tc>
        <w:tc>
          <w:tcPr>
            <w:tcW w:w="706" w:type="dxa"/>
          </w:tcPr>
          <w:p w14:paraId="13649789" w14:textId="29D24F87"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0.06</w:t>
            </w:r>
          </w:p>
        </w:tc>
        <w:tc>
          <w:tcPr>
            <w:tcW w:w="870" w:type="dxa"/>
          </w:tcPr>
          <w:p w14:paraId="15160CBB" w14:textId="06901E4F"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0.37</w:t>
            </w:r>
          </w:p>
        </w:tc>
        <w:tc>
          <w:tcPr>
            <w:tcW w:w="935" w:type="dxa"/>
          </w:tcPr>
          <w:p w14:paraId="09F330FD" w14:textId="360DA04B"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0.57</w:t>
            </w:r>
          </w:p>
        </w:tc>
        <w:tc>
          <w:tcPr>
            <w:tcW w:w="1001" w:type="dxa"/>
          </w:tcPr>
          <w:p w14:paraId="51AAFF39" w14:textId="1C31AC3D"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0.95</w:t>
            </w:r>
          </w:p>
        </w:tc>
        <w:tc>
          <w:tcPr>
            <w:tcW w:w="709" w:type="dxa"/>
            <w:noWrap/>
          </w:tcPr>
          <w:p w14:paraId="280E1915" w14:textId="06994218"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79</w:t>
            </w:r>
          </w:p>
        </w:tc>
      </w:tr>
      <w:tr w:rsidR="00EE2E3D" w:rsidRPr="0074390A" w14:paraId="7DFF21D8" w14:textId="77777777" w:rsidTr="00FC1677">
        <w:trPr>
          <w:trHeight w:val="315"/>
        </w:trPr>
        <w:tc>
          <w:tcPr>
            <w:tcW w:w="1980" w:type="dxa"/>
            <w:noWrap/>
          </w:tcPr>
          <w:p w14:paraId="07D465FF" w14:textId="77777777" w:rsidR="00EE2E3D" w:rsidRPr="0074390A" w:rsidRDefault="00EE2E3D" w:rsidP="00FC1677">
            <w:pPr>
              <w:rPr>
                <w:rFonts w:ascii="Times New Roman" w:hAnsi="Times New Roman" w:cs="Times New Roman"/>
                <w:sz w:val="22"/>
                <w:szCs w:val="22"/>
              </w:rPr>
            </w:pPr>
            <w:r w:rsidRPr="0074390A">
              <w:rPr>
                <w:rFonts w:ascii="Times New Roman" w:hAnsi="Times New Roman" w:cs="Times New Roman"/>
                <w:sz w:val="22"/>
                <w:szCs w:val="22"/>
              </w:rPr>
              <w:t>Non-ischemic</w:t>
            </w:r>
          </w:p>
          <w:p w14:paraId="6D3E7F78" w14:textId="7A599231" w:rsidR="00EE2E3D" w:rsidRPr="0074390A" w:rsidRDefault="00EE2E3D" w:rsidP="00FC1677">
            <w:pPr>
              <w:rPr>
                <w:rFonts w:ascii="Times New Roman" w:hAnsi="Times New Roman" w:cs="Times New Roman"/>
                <w:sz w:val="22"/>
                <w:szCs w:val="22"/>
              </w:rPr>
            </w:pPr>
            <w:r w:rsidRPr="0074390A">
              <w:rPr>
                <w:rFonts w:ascii="Times New Roman" w:hAnsi="Times New Roman" w:cs="Times New Roman"/>
                <w:sz w:val="22"/>
                <w:szCs w:val="22"/>
              </w:rPr>
              <w:t>cardiomyopathy</w:t>
            </w:r>
          </w:p>
        </w:tc>
        <w:tc>
          <w:tcPr>
            <w:tcW w:w="850" w:type="dxa"/>
            <w:noWrap/>
          </w:tcPr>
          <w:p w14:paraId="11AD06F9" w14:textId="4EF3B71A"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-0.53</w:t>
            </w:r>
          </w:p>
        </w:tc>
        <w:tc>
          <w:tcPr>
            <w:tcW w:w="709" w:type="dxa"/>
            <w:noWrap/>
          </w:tcPr>
          <w:p w14:paraId="35F132FC" w14:textId="34454B7D"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851" w:type="dxa"/>
            <w:noWrap/>
          </w:tcPr>
          <w:p w14:paraId="013DADB1" w14:textId="6EDE58B3"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0.17</w:t>
            </w:r>
          </w:p>
        </w:tc>
        <w:tc>
          <w:tcPr>
            <w:tcW w:w="842" w:type="dxa"/>
          </w:tcPr>
          <w:p w14:paraId="363CFEFF" w14:textId="14E5D4FC"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727" w:type="dxa"/>
          </w:tcPr>
          <w:p w14:paraId="5D0F501B" w14:textId="211138D7"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0.10</w:t>
            </w:r>
          </w:p>
        </w:tc>
        <w:tc>
          <w:tcPr>
            <w:tcW w:w="962" w:type="dxa"/>
          </w:tcPr>
          <w:p w14:paraId="2F810E73" w14:textId="03BC1C72"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0.73</w:t>
            </w:r>
          </w:p>
        </w:tc>
        <w:tc>
          <w:tcPr>
            <w:tcW w:w="842" w:type="dxa"/>
          </w:tcPr>
          <w:p w14:paraId="0514282C" w14:textId="6A325650"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-0.01</w:t>
            </w:r>
          </w:p>
        </w:tc>
        <w:tc>
          <w:tcPr>
            <w:tcW w:w="706" w:type="dxa"/>
          </w:tcPr>
          <w:p w14:paraId="7155E404" w14:textId="2977BF02"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0.05</w:t>
            </w:r>
          </w:p>
        </w:tc>
        <w:tc>
          <w:tcPr>
            <w:tcW w:w="998" w:type="dxa"/>
          </w:tcPr>
          <w:p w14:paraId="07196AF6" w14:textId="706498EC"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0.80</w:t>
            </w:r>
          </w:p>
        </w:tc>
        <w:tc>
          <w:tcPr>
            <w:tcW w:w="766" w:type="dxa"/>
          </w:tcPr>
          <w:p w14:paraId="75291C6E" w14:textId="15C2B52C"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0.03</w:t>
            </w:r>
          </w:p>
        </w:tc>
        <w:tc>
          <w:tcPr>
            <w:tcW w:w="706" w:type="dxa"/>
          </w:tcPr>
          <w:p w14:paraId="4534A996" w14:textId="6AB9A1D4"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0.08</w:t>
            </w:r>
          </w:p>
        </w:tc>
        <w:tc>
          <w:tcPr>
            <w:tcW w:w="870" w:type="dxa"/>
          </w:tcPr>
          <w:p w14:paraId="105AC2A0" w14:textId="2CD2B229"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0.60</w:t>
            </w:r>
          </w:p>
        </w:tc>
        <w:tc>
          <w:tcPr>
            <w:tcW w:w="935" w:type="dxa"/>
          </w:tcPr>
          <w:p w14:paraId="04E93385" w14:textId="017898FD" w:rsidR="00EE2E3D" w:rsidRPr="0074390A" w:rsidRDefault="00EE2E3D" w:rsidP="00EE2E3D">
            <w:pPr>
              <w:jc w:val="center"/>
              <w:rPr>
                <w:rFonts w:ascii="Times New Roman" w:hAnsi="Times New Roman" w:cs="Times New Roman"/>
                <w:sz w:val="22"/>
                <w:szCs w:val="22"/>
              </w:rPr>
            </w:pPr>
            <w:r w:rsidRPr="0074390A">
              <w:rPr>
                <w:rFonts w:ascii="Times New Roman" w:hAnsi="Times New Roman" w:cs="Times New Roman"/>
                <w:sz w:val="22"/>
                <w:szCs w:val="22"/>
              </w:rPr>
              <w:t>0.17</w:t>
            </w:r>
          </w:p>
        </w:tc>
        <w:tc>
          <w:tcPr>
            <w:tcW w:w="1001" w:type="dxa"/>
          </w:tcPr>
          <w:p w14:paraId="016A1C0F" w14:textId="6FBBDD80"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0.85</w:t>
            </w:r>
          </w:p>
        </w:tc>
        <w:tc>
          <w:tcPr>
            <w:tcW w:w="709" w:type="dxa"/>
            <w:noWrap/>
          </w:tcPr>
          <w:p w14:paraId="5EC31B67" w14:textId="09B56467" w:rsidR="00EE2E3D" w:rsidRPr="0074390A" w:rsidRDefault="00AF39E1" w:rsidP="00EE2E3D">
            <w:pPr>
              <w:jc w:val="center"/>
              <w:rPr>
                <w:rFonts w:ascii="Times New Roman" w:hAnsi="Times New Roman" w:cs="Times New Roman"/>
                <w:sz w:val="22"/>
                <w:szCs w:val="22"/>
              </w:rPr>
            </w:pPr>
            <w:r w:rsidRPr="0074390A">
              <w:rPr>
                <w:rFonts w:ascii="Times New Roman" w:hAnsi="Times New Roman" w:cs="Times New Roman"/>
                <w:sz w:val="22"/>
                <w:szCs w:val="22"/>
              </w:rPr>
              <w:t>79</w:t>
            </w:r>
          </w:p>
        </w:tc>
      </w:tr>
    </w:tbl>
    <w:p w14:paraId="053FC2DD" w14:textId="77777777" w:rsidR="009542CE" w:rsidRPr="0074390A" w:rsidRDefault="009542CE" w:rsidP="009542CE">
      <w:pPr>
        <w:rPr>
          <w:rFonts w:ascii="Times New Roman" w:hAnsi="Times New Roman" w:cs="Times New Roman"/>
          <w:b/>
          <w:bCs/>
        </w:rPr>
      </w:pPr>
    </w:p>
    <w:p w14:paraId="24C1EE93" w14:textId="03DB78A2" w:rsidR="00AA11E7" w:rsidRPr="0074390A" w:rsidRDefault="009542CE" w:rsidP="00AA11E7">
      <w:pPr>
        <w:spacing w:line="480" w:lineRule="auto"/>
        <w:jc w:val="center"/>
        <w:rPr>
          <w:rFonts w:ascii="Times New Roman" w:hAnsi="Times New Roman" w:cs="Times New Roman"/>
        </w:rPr>
      </w:pPr>
      <w:r w:rsidRPr="0074390A">
        <w:rPr>
          <w:rFonts w:ascii="Times New Roman" w:hAnsi="Times New Roman" w:cs="Times New Roman"/>
          <w:b/>
          <w:bCs/>
        </w:rPr>
        <w:lastRenderedPageBreak/>
        <w:t xml:space="preserve">Footnote: </w:t>
      </w:r>
      <w:r w:rsidR="00AA11E7" w:rsidRPr="0074390A">
        <w:rPr>
          <w:rFonts w:ascii="Times New Roman" w:hAnsi="Times New Roman" w:cs="Times New Roman"/>
        </w:rPr>
        <w:t xml:space="preserve">SNP: Single nucleotide polymorphism; </w:t>
      </w:r>
      <w:r w:rsidRPr="0074390A">
        <w:rPr>
          <w:rFonts w:ascii="Times New Roman" w:hAnsi="Times New Roman" w:cs="Times New Roman"/>
        </w:rPr>
        <w:t xml:space="preserve">IVW: Inverse variance weighted; SE: standard error; </w:t>
      </w:r>
      <w:proofErr w:type="spellStart"/>
      <w:r w:rsidRPr="0074390A">
        <w:rPr>
          <w:rFonts w:ascii="Times New Roman" w:hAnsi="Times New Roman" w:cs="Times New Roman"/>
        </w:rPr>
        <w:t>Wme</w:t>
      </w:r>
      <w:proofErr w:type="spellEnd"/>
      <w:r w:rsidRPr="0074390A">
        <w:rPr>
          <w:rFonts w:ascii="Times New Roman" w:hAnsi="Times New Roman" w:cs="Times New Roman"/>
        </w:rPr>
        <w:t xml:space="preserve">: Weighted median; </w:t>
      </w:r>
      <w:proofErr w:type="spellStart"/>
      <w:r w:rsidRPr="0074390A">
        <w:rPr>
          <w:rFonts w:ascii="Times New Roman" w:hAnsi="Times New Roman" w:cs="Times New Roman"/>
        </w:rPr>
        <w:t>Wmo</w:t>
      </w:r>
      <w:proofErr w:type="spellEnd"/>
      <w:r w:rsidRPr="0074390A">
        <w:rPr>
          <w:rFonts w:ascii="Times New Roman" w:hAnsi="Times New Roman" w:cs="Times New Roman"/>
        </w:rPr>
        <w:t xml:space="preserve">: Weighted mode;  </w:t>
      </w:r>
      <w:proofErr w:type="spellStart"/>
      <w:r w:rsidRPr="0074390A">
        <w:rPr>
          <w:rFonts w:ascii="Times New Roman" w:hAnsi="Times New Roman" w:cs="Times New Roman"/>
        </w:rPr>
        <w:t>MR_pre</w:t>
      </w:r>
      <w:proofErr w:type="spellEnd"/>
      <w:r w:rsidRPr="0074390A">
        <w:rPr>
          <w:rFonts w:ascii="Times New Roman" w:hAnsi="Times New Roman" w:cs="Times New Roman"/>
        </w:rPr>
        <w:t xml:space="preserve">: MR-PRESSO (global test). For Myocardial infarction, the p-value of </w:t>
      </w:r>
      <w:proofErr w:type="spellStart"/>
      <w:r w:rsidRPr="0074390A">
        <w:rPr>
          <w:rFonts w:ascii="Times New Roman" w:hAnsi="Times New Roman" w:cs="Times New Roman"/>
        </w:rPr>
        <w:t>MR_pre</w:t>
      </w:r>
      <w:proofErr w:type="spellEnd"/>
      <w:r w:rsidRPr="0074390A">
        <w:rPr>
          <w:rFonts w:ascii="Times New Roman" w:hAnsi="Times New Roman" w:cs="Times New Roman"/>
        </w:rPr>
        <w:t xml:space="preserve"> represents the distortion tes</w:t>
      </w:r>
      <w:r w:rsidR="00FC1677" w:rsidRPr="0074390A">
        <w:rPr>
          <w:rFonts w:ascii="Times New Roman" w:hAnsi="Times New Roman" w:cs="Times New Roman"/>
        </w:rPr>
        <w:t xml:space="preserve">t. </w:t>
      </w:r>
      <w:r w:rsidR="00AA11E7" w:rsidRPr="0074390A">
        <w:rPr>
          <w:rFonts w:ascii="Times New Roman" w:hAnsi="Times New Roman" w:cs="Times New Roman"/>
        </w:rPr>
        <w:t xml:space="preserve">Results are presented for the UK Biobank (primary analysis) and FinnGen (validation analysis) cohorts. </w:t>
      </w:r>
    </w:p>
    <w:p w14:paraId="1A81C77A" w14:textId="125E49D2" w:rsidR="00AA11E7" w:rsidRPr="0074390A" w:rsidRDefault="00AA11E7" w:rsidP="007500A3">
      <w:pPr>
        <w:spacing w:line="480" w:lineRule="auto"/>
        <w:jc w:val="center"/>
        <w:rPr>
          <w:rFonts w:ascii="Times New Roman" w:hAnsi="Times New Roman" w:cs="Times New Roman"/>
          <w:b/>
          <w:bCs/>
        </w:rPr>
        <w:sectPr w:rsidR="00AA11E7" w:rsidRPr="0074390A" w:rsidSect="009542CE">
          <w:footerReference w:type="even" r:id="rId13"/>
          <w:footerReference w:type="default" r:id="rId14"/>
          <w:pgSz w:w="16838" w:h="11906" w:orient="landscape"/>
          <w:pgMar w:top="1440" w:right="1440" w:bottom="1440" w:left="1440" w:header="708" w:footer="708" w:gutter="0"/>
          <w:cols w:space="708"/>
          <w:docGrid w:linePitch="360"/>
        </w:sectPr>
      </w:pPr>
    </w:p>
    <w:p w14:paraId="7F2E952F" w14:textId="77777777" w:rsidR="009542CE" w:rsidRPr="0074390A" w:rsidRDefault="009542CE" w:rsidP="007500A3">
      <w:pPr>
        <w:spacing w:line="480" w:lineRule="auto"/>
        <w:rPr>
          <w:rFonts w:ascii="Times New Roman" w:hAnsi="Times New Roman" w:cs="Times New Roman"/>
        </w:rPr>
      </w:pPr>
    </w:p>
    <w:p w14:paraId="1D19907E" w14:textId="4F57A318" w:rsidR="00715D3E" w:rsidRPr="0074390A" w:rsidRDefault="006A450F" w:rsidP="00854ECC">
      <w:pPr>
        <w:spacing w:line="480" w:lineRule="auto"/>
        <w:jc w:val="center"/>
        <w:rPr>
          <w:rFonts w:ascii="Times New Roman" w:hAnsi="Times New Roman" w:cs="Times New Roman"/>
          <w:b/>
          <w:bCs/>
        </w:rPr>
      </w:pPr>
      <w:r w:rsidRPr="0074390A">
        <w:rPr>
          <w:rFonts w:ascii="Times New Roman" w:hAnsi="Times New Roman" w:cs="Times New Roman"/>
          <w:b/>
          <w:bCs/>
        </w:rPr>
        <w:t>Figure 1: Overall study design</w:t>
      </w:r>
    </w:p>
    <w:p w14:paraId="50D879D9" w14:textId="78BF5256" w:rsidR="00715D3E" w:rsidRPr="0074390A" w:rsidRDefault="00BB0E7B" w:rsidP="00715D3E">
      <w:pPr>
        <w:spacing w:line="48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5EC696D1" wp14:editId="6F928498">
            <wp:extent cx="5730603" cy="2612118"/>
            <wp:effectExtent l="12700" t="12700" r="10160" b="17145"/>
            <wp:docPr id="31418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8395" name="Picture 31418395"/>
                    <pic:cNvPicPr/>
                  </pic:nvPicPr>
                  <pic:blipFill rotWithShape="1">
                    <a:blip r:embed="rId15"/>
                    <a:srcRect t="6197" b="28684"/>
                    <a:stretch/>
                  </pic:blipFill>
                  <pic:spPr bwMode="auto">
                    <a:xfrm>
                      <a:off x="0" y="0"/>
                      <a:ext cx="5731510" cy="2612532"/>
                    </a:xfrm>
                    <a:prstGeom prst="rect">
                      <a:avLst/>
                    </a:prstGeom>
                    <a:ln w="9525"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D48A877" w14:textId="39BF3AAD" w:rsidR="006A450F" w:rsidRPr="0074390A" w:rsidRDefault="006A450F" w:rsidP="007500A3">
      <w:pPr>
        <w:spacing w:line="480" w:lineRule="auto"/>
        <w:jc w:val="center"/>
        <w:rPr>
          <w:rFonts w:ascii="Times New Roman" w:hAnsi="Times New Roman" w:cs="Times New Roman"/>
        </w:rPr>
      </w:pPr>
      <w:r w:rsidRPr="0074390A">
        <w:rPr>
          <w:rFonts w:ascii="Times New Roman" w:hAnsi="Times New Roman" w:cs="Times New Roman"/>
          <w:b/>
          <w:bCs/>
        </w:rPr>
        <w:t>Footnote Figure 1</w:t>
      </w:r>
      <w:r w:rsidRPr="0074390A">
        <w:rPr>
          <w:rFonts w:ascii="Times New Roman" w:hAnsi="Times New Roman" w:cs="Times New Roman"/>
        </w:rPr>
        <w:t>: Schematic representation of the MR analysis performed SNPs: Single Nucleotide polymorphisms. GWAS: Genome-wide association study; IVW: Inverse variance weighted; LD: Linkage disequilibrium; MR: Mendelian Randomization; SE: Standard error.</w:t>
      </w:r>
    </w:p>
    <w:p w14:paraId="4773C35C" w14:textId="77777777" w:rsidR="006A450F" w:rsidRPr="0074390A" w:rsidRDefault="006A450F" w:rsidP="007500A3">
      <w:pPr>
        <w:spacing w:line="480" w:lineRule="auto"/>
        <w:jc w:val="center"/>
        <w:rPr>
          <w:rFonts w:ascii="Times New Roman" w:hAnsi="Times New Roman" w:cs="Times New Roman"/>
        </w:rPr>
      </w:pPr>
    </w:p>
    <w:p w14:paraId="3F1A6A00" w14:textId="77777777" w:rsidR="006A450F" w:rsidRPr="0074390A" w:rsidRDefault="006A450F" w:rsidP="007500A3">
      <w:pPr>
        <w:spacing w:line="480" w:lineRule="auto"/>
        <w:jc w:val="center"/>
        <w:rPr>
          <w:rFonts w:ascii="Times New Roman" w:hAnsi="Times New Roman" w:cs="Times New Roman"/>
        </w:rPr>
      </w:pPr>
    </w:p>
    <w:p w14:paraId="6A390F6B" w14:textId="77777777" w:rsidR="009542CE" w:rsidRPr="0074390A" w:rsidRDefault="009542CE" w:rsidP="007500A3">
      <w:pPr>
        <w:spacing w:line="480" w:lineRule="auto"/>
        <w:jc w:val="center"/>
        <w:rPr>
          <w:rFonts w:ascii="Times New Roman" w:hAnsi="Times New Roman" w:cs="Times New Roman"/>
        </w:rPr>
      </w:pPr>
    </w:p>
    <w:p w14:paraId="776249A8" w14:textId="77777777" w:rsidR="009542CE" w:rsidRPr="0074390A" w:rsidRDefault="009542CE" w:rsidP="007500A3">
      <w:pPr>
        <w:spacing w:line="480" w:lineRule="auto"/>
        <w:jc w:val="center"/>
        <w:rPr>
          <w:rFonts w:ascii="Times New Roman" w:hAnsi="Times New Roman" w:cs="Times New Roman"/>
        </w:rPr>
      </w:pPr>
    </w:p>
    <w:p w14:paraId="625CBFE0" w14:textId="77777777" w:rsidR="009542CE" w:rsidRPr="0074390A" w:rsidRDefault="009542CE" w:rsidP="007500A3">
      <w:pPr>
        <w:spacing w:line="480" w:lineRule="auto"/>
        <w:jc w:val="center"/>
        <w:rPr>
          <w:rFonts w:ascii="Times New Roman" w:hAnsi="Times New Roman" w:cs="Times New Roman"/>
        </w:rPr>
      </w:pPr>
    </w:p>
    <w:p w14:paraId="18CA8A8E" w14:textId="77777777" w:rsidR="009542CE" w:rsidRPr="0074390A" w:rsidRDefault="009542CE" w:rsidP="007500A3">
      <w:pPr>
        <w:spacing w:line="480" w:lineRule="auto"/>
        <w:jc w:val="center"/>
        <w:rPr>
          <w:rFonts w:ascii="Times New Roman" w:hAnsi="Times New Roman" w:cs="Times New Roman"/>
        </w:rPr>
      </w:pPr>
    </w:p>
    <w:p w14:paraId="75F96756" w14:textId="77777777" w:rsidR="009542CE" w:rsidRPr="0074390A" w:rsidRDefault="009542CE" w:rsidP="007500A3">
      <w:pPr>
        <w:spacing w:line="480" w:lineRule="auto"/>
        <w:jc w:val="center"/>
        <w:rPr>
          <w:rFonts w:ascii="Times New Roman" w:hAnsi="Times New Roman" w:cs="Times New Roman"/>
        </w:rPr>
      </w:pPr>
    </w:p>
    <w:p w14:paraId="643FB22A" w14:textId="77777777" w:rsidR="009542CE" w:rsidRPr="0074390A" w:rsidRDefault="009542CE" w:rsidP="007500A3">
      <w:pPr>
        <w:spacing w:line="480" w:lineRule="auto"/>
        <w:jc w:val="center"/>
        <w:rPr>
          <w:rFonts w:ascii="Times New Roman" w:hAnsi="Times New Roman" w:cs="Times New Roman"/>
        </w:rPr>
      </w:pPr>
    </w:p>
    <w:p w14:paraId="591862FC" w14:textId="77777777" w:rsidR="00AA11E7" w:rsidRPr="0074390A" w:rsidRDefault="00AA11E7" w:rsidP="00AA11E7">
      <w:pPr>
        <w:spacing w:line="480" w:lineRule="auto"/>
        <w:rPr>
          <w:rFonts w:ascii="Times New Roman" w:hAnsi="Times New Roman" w:cs="Times New Roman"/>
        </w:rPr>
        <w:sectPr w:rsidR="00AA11E7" w:rsidRPr="0074390A">
          <w:footerReference w:type="even" r:id="rId16"/>
          <w:footerReference w:type="default" r:id="rId17"/>
          <w:pgSz w:w="11906" w:h="16838"/>
          <w:pgMar w:top="1440" w:right="1440" w:bottom="1440" w:left="1440" w:header="708" w:footer="708" w:gutter="0"/>
          <w:cols w:space="708"/>
          <w:docGrid w:linePitch="360"/>
        </w:sectPr>
      </w:pPr>
    </w:p>
    <w:p w14:paraId="3FE90988" w14:textId="77777777" w:rsidR="004C0FFF" w:rsidRPr="0074390A" w:rsidRDefault="004C0FFF" w:rsidP="00AA11E7">
      <w:pPr>
        <w:spacing w:line="480" w:lineRule="auto"/>
        <w:rPr>
          <w:rFonts w:ascii="Times New Roman" w:hAnsi="Times New Roman" w:cs="Times New Roman"/>
        </w:rPr>
      </w:pPr>
    </w:p>
    <w:p w14:paraId="73616A13" w14:textId="77777777" w:rsidR="006A450F" w:rsidRPr="0074390A" w:rsidRDefault="006A450F" w:rsidP="007500A3">
      <w:pPr>
        <w:spacing w:line="480" w:lineRule="auto"/>
        <w:jc w:val="center"/>
        <w:rPr>
          <w:rFonts w:ascii="Times New Roman" w:hAnsi="Times New Roman" w:cs="Times New Roman"/>
          <w:b/>
          <w:bCs/>
        </w:rPr>
      </w:pPr>
      <w:r w:rsidRPr="0074390A">
        <w:rPr>
          <w:rFonts w:ascii="Times New Roman" w:hAnsi="Times New Roman" w:cs="Times New Roman"/>
          <w:b/>
          <w:bCs/>
        </w:rPr>
        <w:t>Figure 2: Impact of SNPs on BMD and cardiac diseases</w:t>
      </w:r>
    </w:p>
    <w:p w14:paraId="1522FE99" w14:textId="680F2F04" w:rsidR="00715D3E" w:rsidRPr="0074390A" w:rsidRDefault="00FD687A" w:rsidP="00715D3E">
      <w:pPr>
        <w:spacing w:line="48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298B8E50" wp14:editId="36E99F10">
            <wp:extent cx="7175500" cy="3225800"/>
            <wp:effectExtent l="0" t="0" r="0" b="0"/>
            <wp:docPr id="1947606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06251" name="Picture 1947606251"/>
                    <pic:cNvPicPr/>
                  </pic:nvPicPr>
                  <pic:blipFill>
                    <a:blip r:embed="rId18"/>
                    <a:stretch>
                      <a:fillRect/>
                    </a:stretch>
                  </pic:blipFill>
                  <pic:spPr>
                    <a:xfrm>
                      <a:off x="0" y="0"/>
                      <a:ext cx="7175500" cy="3225800"/>
                    </a:xfrm>
                    <a:prstGeom prst="rect">
                      <a:avLst/>
                    </a:prstGeom>
                  </pic:spPr>
                </pic:pic>
              </a:graphicData>
            </a:graphic>
          </wp:inline>
        </w:drawing>
      </w:r>
    </w:p>
    <w:p w14:paraId="403DDB40" w14:textId="7D97A354" w:rsidR="006A450F" w:rsidRPr="0074390A" w:rsidRDefault="006A450F" w:rsidP="00AA11E7">
      <w:pPr>
        <w:spacing w:line="480" w:lineRule="auto"/>
        <w:jc w:val="center"/>
        <w:rPr>
          <w:rFonts w:ascii="Times New Roman" w:hAnsi="Times New Roman" w:cs="Times New Roman"/>
        </w:rPr>
      </w:pPr>
      <w:r w:rsidRPr="0074390A">
        <w:rPr>
          <w:rFonts w:ascii="Times New Roman" w:hAnsi="Times New Roman" w:cs="Times New Roman"/>
          <w:b/>
          <w:bCs/>
        </w:rPr>
        <w:t xml:space="preserve">Footnote figure 2: </w:t>
      </w:r>
      <w:r w:rsidRPr="0074390A">
        <w:rPr>
          <w:rFonts w:ascii="Times New Roman" w:hAnsi="Times New Roman" w:cs="Times New Roman"/>
        </w:rPr>
        <w:t>The</w:t>
      </w:r>
      <w:r w:rsidRPr="0074390A">
        <w:rPr>
          <w:rFonts w:ascii="Times New Roman" w:hAnsi="Times New Roman" w:cs="Times New Roman"/>
          <w:b/>
          <w:bCs/>
        </w:rPr>
        <w:t xml:space="preserve"> </w:t>
      </w:r>
      <w:r w:rsidRPr="0074390A">
        <w:rPr>
          <w:rFonts w:ascii="Times New Roman" w:hAnsi="Times New Roman" w:cs="Times New Roman"/>
        </w:rPr>
        <w:t xml:space="preserve">scatter plots from the Mendelian Randomization (MR) analysis illustrate the statistical relationship between genetically predicted BMD and various cardiac diseases. </w:t>
      </w:r>
      <w:r w:rsidR="00AA11E7" w:rsidRPr="0074390A">
        <w:rPr>
          <w:rFonts w:ascii="Times New Roman" w:hAnsi="Times New Roman" w:cs="Times New Roman"/>
        </w:rPr>
        <w:t xml:space="preserve">The x-axis represents the odds ratio and 95% confidence intervals for the genetic association between BMD and outcomes, derived from both the UK Biobank (UKBB) and FinnGen cohorts. The y-axis lists the cardiac outcomes analysed, including atrial fibrillation and flutter, chronic ischemic heart disease, heart failure, hypertension, myocardial infarction, and non-ischemic </w:t>
      </w:r>
      <w:r w:rsidR="00AA11E7" w:rsidRPr="0074390A">
        <w:rPr>
          <w:rFonts w:ascii="Times New Roman" w:hAnsi="Times New Roman" w:cs="Times New Roman"/>
        </w:rPr>
        <w:lastRenderedPageBreak/>
        <w:t xml:space="preserve">cardiomyopathy. The MR methods used include inverse variance weighted (IVW), MR-Egger, simple mode, weighted median, and weighted mode. Results are presented separately for each cohort to validate findings across independent datasets. </w:t>
      </w:r>
    </w:p>
    <w:p w14:paraId="3D4B3535" w14:textId="77777777" w:rsidR="00976CEA" w:rsidRPr="0074390A" w:rsidRDefault="00976CEA" w:rsidP="007500A3">
      <w:pPr>
        <w:spacing w:line="480" w:lineRule="auto"/>
        <w:rPr>
          <w:rFonts w:ascii="Times New Roman" w:hAnsi="Times New Roman" w:cs="Times New Roman"/>
          <w:b/>
          <w:bCs/>
          <w:sz w:val="22"/>
          <w:szCs w:val="22"/>
        </w:rPr>
      </w:pPr>
    </w:p>
    <w:p w14:paraId="395DE159" w14:textId="77777777" w:rsidR="00976CEA" w:rsidRPr="0074390A" w:rsidRDefault="00976CEA" w:rsidP="007500A3">
      <w:pPr>
        <w:spacing w:line="480" w:lineRule="auto"/>
        <w:rPr>
          <w:rFonts w:ascii="Times New Roman" w:hAnsi="Times New Roman" w:cs="Times New Roman"/>
          <w:b/>
          <w:bCs/>
          <w:sz w:val="22"/>
          <w:szCs w:val="22"/>
        </w:rPr>
      </w:pPr>
    </w:p>
    <w:p w14:paraId="55C8686F" w14:textId="77777777" w:rsidR="00634792" w:rsidRPr="0074390A" w:rsidRDefault="00634792" w:rsidP="007500A3">
      <w:pPr>
        <w:spacing w:line="480" w:lineRule="auto"/>
        <w:rPr>
          <w:rFonts w:ascii="Times New Roman" w:hAnsi="Times New Roman" w:cs="Times New Roman"/>
          <w:b/>
          <w:bCs/>
          <w:sz w:val="22"/>
          <w:szCs w:val="22"/>
        </w:rPr>
      </w:pPr>
    </w:p>
    <w:p w14:paraId="3F3E2F4E" w14:textId="77777777" w:rsidR="00634792" w:rsidRPr="0074390A" w:rsidRDefault="00634792">
      <w:pPr>
        <w:rPr>
          <w:rFonts w:ascii="Times New Roman" w:hAnsi="Times New Roman" w:cs="Times New Roman"/>
          <w:b/>
          <w:bCs/>
          <w:sz w:val="22"/>
          <w:szCs w:val="22"/>
        </w:rPr>
      </w:pPr>
    </w:p>
    <w:p w14:paraId="3955D524" w14:textId="77777777" w:rsidR="00634792" w:rsidRPr="0074390A" w:rsidRDefault="00634792">
      <w:pPr>
        <w:rPr>
          <w:rFonts w:ascii="Times New Roman" w:hAnsi="Times New Roman" w:cs="Times New Roman"/>
          <w:b/>
          <w:bCs/>
          <w:sz w:val="22"/>
          <w:szCs w:val="22"/>
        </w:rPr>
      </w:pPr>
    </w:p>
    <w:p w14:paraId="7250DB8F" w14:textId="77777777" w:rsidR="00634792" w:rsidRPr="0074390A" w:rsidRDefault="00634792">
      <w:pPr>
        <w:rPr>
          <w:rFonts w:ascii="Times New Roman" w:hAnsi="Times New Roman" w:cs="Times New Roman"/>
          <w:b/>
          <w:bCs/>
          <w:sz w:val="22"/>
          <w:szCs w:val="22"/>
        </w:rPr>
      </w:pPr>
    </w:p>
    <w:p w14:paraId="6A615AEE" w14:textId="77777777" w:rsidR="00634792" w:rsidRPr="0074390A" w:rsidRDefault="00634792">
      <w:pPr>
        <w:rPr>
          <w:rFonts w:ascii="Times New Roman" w:hAnsi="Times New Roman" w:cs="Times New Roman"/>
          <w:b/>
          <w:bCs/>
          <w:sz w:val="22"/>
          <w:szCs w:val="22"/>
        </w:rPr>
      </w:pPr>
    </w:p>
    <w:p w14:paraId="3FF7A2AE" w14:textId="77777777" w:rsidR="00634792" w:rsidRPr="0074390A" w:rsidRDefault="00634792">
      <w:pPr>
        <w:rPr>
          <w:rFonts w:ascii="Times New Roman" w:hAnsi="Times New Roman" w:cs="Times New Roman"/>
          <w:b/>
          <w:bCs/>
          <w:sz w:val="22"/>
          <w:szCs w:val="22"/>
        </w:rPr>
      </w:pPr>
    </w:p>
    <w:p w14:paraId="252D9A8C" w14:textId="77777777" w:rsidR="00715D3E" w:rsidRDefault="00715D3E">
      <w:pPr>
        <w:rPr>
          <w:rFonts w:ascii="Times New Roman" w:hAnsi="Times New Roman" w:cs="Times New Roman"/>
          <w:b/>
          <w:bCs/>
          <w:sz w:val="22"/>
          <w:szCs w:val="22"/>
        </w:rPr>
      </w:pPr>
    </w:p>
    <w:p w14:paraId="537D7FC0" w14:textId="77777777" w:rsidR="00405C94" w:rsidRDefault="00405C94">
      <w:pPr>
        <w:rPr>
          <w:rFonts w:ascii="Times New Roman" w:hAnsi="Times New Roman" w:cs="Times New Roman"/>
          <w:b/>
          <w:bCs/>
          <w:sz w:val="22"/>
          <w:szCs w:val="22"/>
        </w:rPr>
      </w:pPr>
    </w:p>
    <w:p w14:paraId="1D1961AB" w14:textId="77777777" w:rsidR="00405C94" w:rsidRDefault="00405C94">
      <w:pPr>
        <w:rPr>
          <w:rFonts w:ascii="Times New Roman" w:hAnsi="Times New Roman" w:cs="Times New Roman"/>
          <w:b/>
          <w:bCs/>
          <w:sz w:val="22"/>
          <w:szCs w:val="22"/>
        </w:rPr>
      </w:pPr>
    </w:p>
    <w:p w14:paraId="1CB85196" w14:textId="77777777" w:rsidR="00405C94" w:rsidRDefault="00405C94">
      <w:pPr>
        <w:rPr>
          <w:rFonts w:ascii="Times New Roman" w:hAnsi="Times New Roman" w:cs="Times New Roman"/>
          <w:b/>
          <w:bCs/>
          <w:sz w:val="22"/>
          <w:szCs w:val="22"/>
        </w:rPr>
      </w:pPr>
    </w:p>
    <w:p w14:paraId="3EB8F2F0" w14:textId="77777777" w:rsidR="00405C94" w:rsidRDefault="00405C94">
      <w:pPr>
        <w:rPr>
          <w:rFonts w:ascii="Times New Roman" w:hAnsi="Times New Roman" w:cs="Times New Roman"/>
          <w:b/>
          <w:bCs/>
          <w:sz w:val="22"/>
          <w:szCs w:val="22"/>
        </w:rPr>
      </w:pPr>
    </w:p>
    <w:p w14:paraId="14537A56" w14:textId="77777777" w:rsidR="00405C94" w:rsidRDefault="00405C94">
      <w:pPr>
        <w:rPr>
          <w:rFonts w:ascii="Times New Roman" w:hAnsi="Times New Roman" w:cs="Times New Roman"/>
          <w:b/>
          <w:bCs/>
          <w:sz w:val="22"/>
          <w:szCs w:val="22"/>
        </w:rPr>
      </w:pPr>
    </w:p>
    <w:p w14:paraId="5E151857" w14:textId="77777777" w:rsidR="00405C94" w:rsidRDefault="00405C94">
      <w:pPr>
        <w:rPr>
          <w:rFonts w:ascii="Times New Roman" w:hAnsi="Times New Roman" w:cs="Times New Roman"/>
          <w:b/>
          <w:bCs/>
          <w:sz w:val="22"/>
          <w:szCs w:val="22"/>
        </w:rPr>
      </w:pPr>
    </w:p>
    <w:p w14:paraId="25D266D4" w14:textId="77777777" w:rsidR="00405C94" w:rsidRDefault="00405C94">
      <w:pPr>
        <w:rPr>
          <w:rFonts w:ascii="Times New Roman" w:hAnsi="Times New Roman" w:cs="Times New Roman"/>
          <w:b/>
          <w:bCs/>
          <w:sz w:val="22"/>
          <w:szCs w:val="22"/>
        </w:rPr>
      </w:pPr>
    </w:p>
    <w:p w14:paraId="37634CC1" w14:textId="77777777" w:rsidR="00405C94" w:rsidRDefault="00405C94">
      <w:pPr>
        <w:rPr>
          <w:rFonts w:ascii="Times New Roman" w:hAnsi="Times New Roman" w:cs="Times New Roman"/>
          <w:b/>
          <w:bCs/>
          <w:sz w:val="22"/>
          <w:szCs w:val="22"/>
        </w:rPr>
      </w:pPr>
    </w:p>
    <w:p w14:paraId="2B896C81" w14:textId="77777777" w:rsidR="00405C94" w:rsidRDefault="00405C94">
      <w:pPr>
        <w:rPr>
          <w:rFonts w:ascii="Times New Roman" w:hAnsi="Times New Roman" w:cs="Times New Roman"/>
          <w:b/>
          <w:bCs/>
          <w:sz w:val="22"/>
          <w:szCs w:val="22"/>
        </w:rPr>
      </w:pPr>
    </w:p>
    <w:p w14:paraId="73FDD0AE" w14:textId="77777777" w:rsidR="00405C94" w:rsidRDefault="00405C94">
      <w:pPr>
        <w:rPr>
          <w:rFonts w:ascii="Times New Roman" w:hAnsi="Times New Roman" w:cs="Times New Roman"/>
          <w:b/>
          <w:bCs/>
          <w:sz w:val="22"/>
          <w:szCs w:val="22"/>
        </w:rPr>
      </w:pPr>
    </w:p>
    <w:p w14:paraId="5B894488" w14:textId="77777777" w:rsidR="00405C94" w:rsidRDefault="00405C94">
      <w:pPr>
        <w:rPr>
          <w:rFonts w:ascii="Times New Roman" w:hAnsi="Times New Roman" w:cs="Times New Roman"/>
          <w:b/>
          <w:bCs/>
          <w:sz w:val="22"/>
          <w:szCs w:val="22"/>
        </w:rPr>
      </w:pPr>
    </w:p>
    <w:p w14:paraId="5638B452" w14:textId="77777777" w:rsidR="00405C94" w:rsidRDefault="00405C94">
      <w:pPr>
        <w:rPr>
          <w:rFonts w:ascii="Times New Roman" w:hAnsi="Times New Roman" w:cs="Times New Roman"/>
          <w:b/>
          <w:bCs/>
          <w:sz w:val="22"/>
          <w:szCs w:val="22"/>
        </w:rPr>
      </w:pPr>
    </w:p>
    <w:p w14:paraId="0B04501A" w14:textId="77777777" w:rsidR="00405C94" w:rsidRDefault="00405C94">
      <w:pPr>
        <w:rPr>
          <w:rFonts w:ascii="Times New Roman" w:hAnsi="Times New Roman" w:cs="Times New Roman"/>
          <w:b/>
          <w:bCs/>
          <w:sz w:val="22"/>
          <w:szCs w:val="22"/>
        </w:rPr>
      </w:pPr>
    </w:p>
    <w:p w14:paraId="6D064E39" w14:textId="77777777" w:rsidR="00405C94" w:rsidRDefault="00405C94">
      <w:pPr>
        <w:rPr>
          <w:rFonts w:ascii="Times New Roman" w:hAnsi="Times New Roman" w:cs="Times New Roman"/>
          <w:b/>
          <w:bCs/>
          <w:sz w:val="22"/>
          <w:szCs w:val="22"/>
        </w:rPr>
      </w:pPr>
    </w:p>
    <w:p w14:paraId="145C269C" w14:textId="77777777" w:rsidR="00405C94" w:rsidRDefault="00405C94">
      <w:pPr>
        <w:rPr>
          <w:rFonts w:ascii="Times New Roman" w:hAnsi="Times New Roman" w:cs="Times New Roman"/>
          <w:b/>
          <w:bCs/>
          <w:sz w:val="22"/>
          <w:szCs w:val="22"/>
        </w:rPr>
      </w:pPr>
    </w:p>
    <w:p w14:paraId="313735D9" w14:textId="77777777" w:rsidR="00405C94" w:rsidRDefault="00405C94">
      <w:pPr>
        <w:rPr>
          <w:rFonts w:ascii="Times New Roman" w:hAnsi="Times New Roman" w:cs="Times New Roman"/>
          <w:b/>
          <w:bCs/>
          <w:sz w:val="22"/>
          <w:szCs w:val="22"/>
        </w:rPr>
      </w:pPr>
    </w:p>
    <w:p w14:paraId="260CD24F" w14:textId="77777777" w:rsidR="00405C94" w:rsidRDefault="00405C94">
      <w:pPr>
        <w:rPr>
          <w:rFonts w:ascii="Times New Roman" w:hAnsi="Times New Roman" w:cs="Times New Roman"/>
          <w:b/>
          <w:bCs/>
          <w:sz w:val="22"/>
          <w:szCs w:val="22"/>
        </w:rPr>
      </w:pPr>
    </w:p>
    <w:p w14:paraId="1DD3A5AB" w14:textId="77777777" w:rsidR="00405C94" w:rsidRDefault="00405C94">
      <w:pPr>
        <w:rPr>
          <w:rFonts w:ascii="Times New Roman" w:hAnsi="Times New Roman" w:cs="Times New Roman"/>
          <w:b/>
          <w:bCs/>
          <w:sz w:val="22"/>
          <w:szCs w:val="22"/>
        </w:rPr>
      </w:pPr>
    </w:p>
    <w:p w14:paraId="6FBE4EFC" w14:textId="77777777" w:rsidR="00405C94" w:rsidRDefault="00405C94">
      <w:pPr>
        <w:rPr>
          <w:rFonts w:ascii="Times New Roman" w:hAnsi="Times New Roman" w:cs="Times New Roman"/>
          <w:b/>
          <w:bCs/>
          <w:sz w:val="22"/>
          <w:szCs w:val="22"/>
        </w:rPr>
      </w:pPr>
    </w:p>
    <w:p w14:paraId="705A7147" w14:textId="77777777" w:rsidR="00405C94" w:rsidRDefault="00405C94">
      <w:pPr>
        <w:rPr>
          <w:rFonts w:ascii="Times New Roman" w:hAnsi="Times New Roman" w:cs="Times New Roman"/>
          <w:b/>
          <w:bCs/>
          <w:sz w:val="22"/>
          <w:szCs w:val="22"/>
        </w:rPr>
      </w:pPr>
    </w:p>
    <w:p w14:paraId="549D0BBE" w14:textId="72E90464" w:rsidR="00405C94" w:rsidRDefault="00405C94" w:rsidP="00405C94">
      <w:pPr>
        <w:jc w:val="center"/>
        <w:rPr>
          <w:rFonts w:ascii="Times New Roman" w:hAnsi="Times New Roman" w:cs="Times New Roman"/>
          <w:b/>
          <w:bCs/>
          <w:sz w:val="22"/>
          <w:szCs w:val="22"/>
        </w:rPr>
      </w:pPr>
      <w:r>
        <w:rPr>
          <w:rFonts w:ascii="Times New Roman" w:hAnsi="Times New Roman" w:cs="Times New Roman"/>
          <w:b/>
          <w:bCs/>
          <w:sz w:val="22"/>
          <w:szCs w:val="22"/>
        </w:rPr>
        <w:t>Graphical abstract</w:t>
      </w:r>
    </w:p>
    <w:p w14:paraId="0AEBDBB1" w14:textId="77777777" w:rsidR="00405C94" w:rsidRDefault="00405C94">
      <w:pPr>
        <w:rPr>
          <w:rFonts w:ascii="Times New Roman" w:hAnsi="Times New Roman" w:cs="Times New Roman"/>
          <w:b/>
          <w:bCs/>
          <w:sz w:val="22"/>
          <w:szCs w:val="22"/>
        </w:rPr>
      </w:pPr>
    </w:p>
    <w:p w14:paraId="665C0DD4" w14:textId="77777777" w:rsidR="00405C94" w:rsidRDefault="00405C94">
      <w:pPr>
        <w:rPr>
          <w:rFonts w:ascii="Times New Roman" w:hAnsi="Times New Roman" w:cs="Times New Roman"/>
          <w:b/>
          <w:bCs/>
          <w:sz w:val="22"/>
          <w:szCs w:val="22"/>
        </w:rPr>
      </w:pPr>
    </w:p>
    <w:p w14:paraId="26399EBC" w14:textId="77777777" w:rsidR="00405C94" w:rsidRDefault="00405C94">
      <w:pPr>
        <w:rPr>
          <w:rFonts w:ascii="Times New Roman" w:hAnsi="Times New Roman" w:cs="Times New Roman"/>
          <w:b/>
          <w:bCs/>
          <w:sz w:val="22"/>
          <w:szCs w:val="22"/>
        </w:rPr>
      </w:pPr>
    </w:p>
    <w:p w14:paraId="7A6ABE4E" w14:textId="2E15C78C" w:rsidR="00405C94" w:rsidRDefault="00405C94" w:rsidP="00405C94">
      <w:pPr>
        <w:jc w:val="center"/>
        <w:rPr>
          <w:rFonts w:ascii="Times New Roman" w:hAnsi="Times New Roman" w:cs="Times New Roman"/>
          <w:b/>
          <w:bCs/>
          <w:sz w:val="22"/>
          <w:szCs w:val="22"/>
        </w:rPr>
      </w:pPr>
      <w:r>
        <w:rPr>
          <w:rFonts w:ascii="Times New Roman" w:hAnsi="Times New Roman" w:cs="Times New Roman"/>
          <w:b/>
          <w:bCs/>
          <w:noProof/>
          <w:sz w:val="22"/>
          <w:szCs w:val="22"/>
        </w:rPr>
        <w:drawing>
          <wp:inline distT="0" distB="0" distL="0" distR="0" wp14:anchorId="1495215A" wp14:editId="73680876">
            <wp:extent cx="7962314" cy="4871063"/>
            <wp:effectExtent l="0" t="0" r="635" b="6350"/>
            <wp:docPr id="286312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12500" name="Picture 286312500"/>
                    <pic:cNvPicPr/>
                  </pic:nvPicPr>
                  <pic:blipFill>
                    <a:blip r:embed="rId19">
                      <a:extLst>
                        <a:ext uri="{28A0092B-C50C-407E-A947-70E740481C1C}">
                          <a14:useLocalDpi xmlns:a14="http://schemas.microsoft.com/office/drawing/2010/main" val="0"/>
                        </a:ext>
                      </a:extLst>
                    </a:blip>
                    <a:stretch>
                      <a:fillRect/>
                    </a:stretch>
                  </pic:blipFill>
                  <pic:spPr>
                    <a:xfrm>
                      <a:off x="0" y="0"/>
                      <a:ext cx="7996977" cy="4892269"/>
                    </a:xfrm>
                    <a:prstGeom prst="rect">
                      <a:avLst/>
                    </a:prstGeom>
                  </pic:spPr>
                </pic:pic>
              </a:graphicData>
            </a:graphic>
          </wp:inline>
        </w:drawing>
      </w:r>
    </w:p>
    <w:p w14:paraId="136C4AE7" w14:textId="7EE03C02" w:rsidR="00405C94" w:rsidRPr="0074390A" w:rsidRDefault="00405C94">
      <w:pPr>
        <w:rPr>
          <w:rFonts w:ascii="Times New Roman" w:hAnsi="Times New Roman" w:cs="Times New Roman"/>
          <w:b/>
          <w:bCs/>
          <w:sz w:val="22"/>
          <w:szCs w:val="22"/>
        </w:rPr>
        <w:sectPr w:rsidR="00405C94" w:rsidRPr="0074390A" w:rsidSect="00AA11E7">
          <w:pgSz w:w="16838" w:h="11906" w:orient="landscape"/>
          <w:pgMar w:top="1440" w:right="1440" w:bottom="1440" w:left="1440" w:header="708" w:footer="708" w:gutter="0"/>
          <w:cols w:space="708"/>
          <w:docGrid w:linePitch="360"/>
        </w:sectPr>
      </w:pPr>
    </w:p>
    <w:p w14:paraId="301A6FE4" w14:textId="77777777" w:rsidR="00715D3E" w:rsidRPr="0074390A" w:rsidRDefault="00715D3E">
      <w:pPr>
        <w:rPr>
          <w:rFonts w:ascii="Times New Roman" w:hAnsi="Times New Roman" w:cs="Times New Roman"/>
          <w:b/>
          <w:bCs/>
          <w:sz w:val="22"/>
          <w:szCs w:val="22"/>
        </w:rPr>
      </w:pPr>
    </w:p>
    <w:p w14:paraId="0EF19385" w14:textId="77777777" w:rsidR="00715D3E" w:rsidRPr="0074390A" w:rsidRDefault="00715D3E">
      <w:pPr>
        <w:rPr>
          <w:rFonts w:ascii="Times New Roman" w:hAnsi="Times New Roman" w:cs="Times New Roman"/>
          <w:b/>
          <w:bCs/>
          <w:sz w:val="22"/>
          <w:szCs w:val="22"/>
        </w:rPr>
      </w:pPr>
    </w:p>
    <w:p w14:paraId="4F61EF15" w14:textId="77777777" w:rsidR="008E2C10" w:rsidRPr="0074390A" w:rsidRDefault="008E2C10" w:rsidP="008E2C10">
      <w:pPr>
        <w:rPr>
          <w:rFonts w:ascii="Times New Roman" w:hAnsi="Times New Roman" w:cs="Times New Roman"/>
          <w:sz w:val="22"/>
          <w:szCs w:val="22"/>
        </w:rPr>
      </w:pPr>
    </w:p>
    <w:p w14:paraId="5FC9A3AC" w14:textId="77777777" w:rsidR="00263A0F" w:rsidRPr="004022B2" w:rsidRDefault="00263A0F" w:rsidP="00263A0F">
      <w:pPr>
        <w:rPr>
          <w:rFonts w:ascii="Times New Roman" w:hAnsi="Times New Roman" w:cs="Times New Roman"/>
          <w:sz w:val="22"/>
          <w:szCs w:val="22"/>
        </w:rPr>
      </w:pPr>
    </w:p>
    <w:p w14:paraId="5598EF3A" w14:textId="77777777" w:rsidR="00263A0F" w:rsidRPr="004022B2" w:rsidRDefault="00263A0F" w:rsidP="00263A0F">
      <w:pPr>
        <w:spacing w:line="480" w:lineRule="auto"/>
        <w:rPr>
          <w:rFonts w:ascii="Times New Roman" w:hAnsi="Times New Roman" w:cs="Times New Roman"/>
          <w:b/>
          <w:bCs/>
          <w:sz w:val="22"/>
          <w:szCs w:val="22"/>
        </w:rPr>
      </w:pPr>
      <w:r w:rsidRPr="004022B2">
        <w:rPr>
          <w:rFonts w:ascii="Times New Roman" w:hAnsi="Times New Roman" w:cs="Times New Roman"/>
          <w:b/>
          <w:bCs/>
          <w:sz w:val="22"/>
          <w:szCs w:val="22"/>
        </w:rPr>
        <w:t>References</w:t>
      </w:r>
    </w:p>
    <w:p w14:paraId="671E61F4" w14:textId="77777777" w:rsidR="00263A0F" w:rsidRPr="004022B2" w:rsidRDefault="00263A0F" w:rsidP="00263A0F">
      <w:pPr>
        <w:spacing w:line="480" w:lineRule="auto"/>
        <w:rPr>
          <w:rFonts w:ascii="Times New Roman" w:hAnsi="Times New Roman" w:cs="Times New Roman"/>
          <w:b/>
          <w:bCs/>
          <w:sz w:val="22"/>
          <w:szCs w:val="22"/>
        </w:rPr>
      </w:pPr>
    </w:p>
    <w:p w14:paraId="13A0BE56"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Lindstrom M, </w:t>
      </w:r>
      <w:proofErr w:type="spellStart"/>
      <w:r w:rsidRPr="004022B2">
        <w:rPr>
          <w:rFonts w:ascii="Times New Roman" w:hAnsi="Times New Roman" w:cs="Times New Roman"/>
          <w:sz w:val="22"/>
          <w:szCs w:val="22"/>
        </w:rPr>
        <w:t>DeCleene</w:t>
      </w:r>
      <w:proofErr w:type="spellEnd"/>
      <w:r w:rsidRPr="004022B2">
        <w:rPr>
          <w:rFonts w:ascii="Times New Roman" w:hAnsi="Times New Roman" w:cs="Times New Roman"/>
          <w:sz w:val="22"/>
          <w:szCs w:val="22"/>
        </w:rPr>
        <w:t xml:space="preserve"> N, Dorsey H, et al. Global Burden of Cardiovascular Diseases and Risks Collaboration, 1990-2021.</w:t>
      </w:r>
      <w:r w:rsidRPr="004022B2">
        <w:rPr>
          <w:rFonts w:ascii="Times New Roman" w:hAnsi="Times New Roman" w:cs="Times New Roman"/>
          <w:i/>
          <w:iCs/>
          <w:sz w:val="22"/>
          <w:szCs w:val="22"/>
        </w:rPr>
        <w:t xml:space="preserve"> J Am Coll </w:t>
      </w:r>
      <w:proofErr w:type="spellStart"/>
      <w:r w:rsidRPr="004022B2">
        <w:rPr>
          <w:rFonts w:ascii="Times New Roman" w:hAnsi="Times New Roman" w:cs="Times New Roman"/>
          <w:i/>
          <w:iCs/>
          <w:sz w:val="22"/>
          <w:szCs w:val="22"/>
        </w:rPr>
        <w:t>Cardiol</w:t>
      </w:r>
      <w:proofErr w:type="spellEnd"/>
      <w:r w:rsidRPr="004022B2">
        <w:rPr>
          <w:rFonts w:ascii="Times New Roman" w:hAnsi="Times New Roman" w:cs="Times New Roman"/>
          <w:sz w:val="22"/>
          <w:szCs w:val="22"/>
        </w:rPr>
        <w:t xml:space="preserve">. 2022 Dec 20;80(25):2372-2425.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10.1016/j.jacc.2022.11.001. </w:t>
      </w:r>
    </w:p>
    <w:p w14:paraId="18B2A3EA"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Chong B, </w:t>
      </w:r>
      <w:proofErr w:type="spellStart"/>
      <w:r w:rsidRPr="004022B2">
        <w:rPr>
          <w:rFonts w:ascii="Times New Roman" w:hAnsi="Times New Roman" w:cs="Times New Roman"/>
          <w:sz w:val="22"/>
          <w:szCs w:val="22"/>
        </w:rPr>
        <w:t>Jayabaskaran</w:t>
      </w:r>
      <w:proofErr w:type="spellEnd"/>
      <w:r w:rsidRPr="004022B2">
        <w:rPr>
          <w:rFonts w:ascii="Times New Roman" w:hAnsi="Times New Roman" w:cs="Times New Roman"/>
          <w:sz w:val="22"/>
          <w:szCs w:val="22"/>
        </w:rPr>
        <w:t xml:space="preserve"> J, </w:t>
      </w:r>
      <w:proofErr w:type="spellStart"/>
      <w:r w:rsidRPr="004022B2">
        <w:rPr>
          <w:rFonts w:ascii="Times New Roman" w:hAnsi="Times New Roman" w:cs="Times New Roman"/>
          <w:sz w:val="22"/>
          <w:szCs w:val="22"/>
        </w:rPr>
        <w:t>Jauhari</w:t>
      </w:r>
      <w:proofErr w:type="spellEnd"/>
      <w:r w:rsidRPr="004022B2">
        <w:rPr>
          <w:rFonts w:ascii="Times New Roman" w:hAnsi="Times New Roman" w:cs="Times New Roman"/>
          <w:sz w:val="22"/>
          <w:szCs w:val="22"/>
        </w:rPr>
        <w:t xml:space="preserve"> SM, et al. Global burden of cardiovascular diseases: projections from 2025 to 2050. </w:t>
      </w:r>
      <w:r w:rsidRPr="004022B2">
        <w:rPr>
          <w:rFonts w:ascii="Times New Roman" w:hAnsi="Times New Roman" w:cs="Times New Roman"/>
          <w:i/>
          <w:iCs/>
          <w:sz w:val="22"/>
          <w:szCs w:val="22"/>
        </w:rPr>
        <w:t xml:space="preserve">Eur J </w:t>
      </w:r>
      <w:proofErr w:type="spellStart"/>
      <w:r w:rsidRPr="004022B2">
        <w:rPr>
          <w:rFonts w:ascii="Times New Roman" w:hAnsi="Times New Roman" w:cs="Times New Roman"/>
          <w:i/>
          <w:iCs/>
          <w:sz w:val="22"/>
          <w:szCs w:val="22"/>
        </w:rPr>
        <w:t>Prev</w:t>
      </w:r>
      <w:proofErr w:type="spellEnd"/>
      <w:r w:rsidRPr="004022B2">
        <w:rPr>
          <w:rFonts w:ascii="Times New Roman" w:hAnsi="Times New Roman" w:cs="Times New Roman"/>
          <w:i/>
          <w:iCs/>
          <w:sz w:val="22"/>
          <w:szCs w:val="22"/>
        </w:rPr>
        <w:t xml:space="preserve"> </w:t>
      </w:r>
      <w:proofErr w:type="spellStart"/>
      <w:r w:rsidRPr="004022B2">
        <w:rPr>
          <w:rFonts w:ascii="Times New Roman" w:hAnsi="Times New Roman" w:cs="Times New Roman"/>
          <w:i/>
          <w:iCs/>
          <w:sz w:val="22"/>
          <w:szCs w:val="22"/>
        </w:rPr>
        <w:t>Cardiol</w:t>
      </w:r>
      <w:proofErr w:type="spellEnd"/>
      <w:r w:rsidRPr="004022B2">
        <w:rPr>
          <w:rFonts w:ascii="Times New Roman" w:hAnsi="Times New Roman" w:cs="Times New Roman"/>
          <w:i/>
          <w:iCs/>
          <w:sz w:val="22"/>
          <w:szCs w:val="22"/>
        </w:rPr>
        <w:t>.</w:t>
      </w:r>
      <w:r w:rsidRPr="004022B2">
        <w:rPr>
          <w:rFonts w:ascii="Times New Roman" w:hAnsi="Times New Roman" w:cs="Times New Roman"/>
          <w:sz w:val="22"/>
          <w:szCs w:val="22"/>
        </w:rPr>
        <w:t xml:space="preserve"> 2024 Sep 13:zwae281.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10.1093/</w:t>
      </w:r>
      <w:proofErr w:type="spellStart"/>
      <w:r w:rsidRPr="004022B2">
        <w:rPr>
          <w:rFonts w:ascii="Times New Roman" w:hAnsi="Times New Roman" w:cs="Times New Roman"/>
          <w:sz w:val="22"/>
          <w:szCs w:val="22"/>
        </w:rPr>
        <w:t>eurjpc</w:t>
      </w:r>
      <w:proofErr w:type="spellEnd"/>
      <w:r w:rsidRPr="004022B2">
        <w:rPr>
          <w:rFonts w:ascii="Times New Roman" w:hAnsi="Times New Roman" w:cs="Times New Roman"/>
          <w:sz w:val="22"/>
          <w:szCs w:val="22"/>
        </w:rPr>
        <w:t xml:space="preserve">/zwae281. </w:t>
      </w:r>
    </w:p>
    <w:p w14:paraId="1847041A"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t>Sözen</w:t>
      </w:r>
      <w:proofErr w:type="spellEnd"/>
      <w:r w:rsidRPr="004022B2">
        <w:rPr>
          <w:rFonts w:ascii="Times New Roman" w:hAnsi="Times New Roman" w:cs="Times New Roman"/>
          <w:sz w:val="22"/>
          <w:szCs w:val="22"/>
        </w:rPr>
        <w:t xml:space="preserve"> T, </w:t>
      </w:r>
      <w:proofErr w:type="spellStart"/>
      <w:r w:rsidRPr="004022B2">
        <w:rPr>
          <w:rFonts w:ascii="Times New Roman" w:hAnsi="Times New Roman" w:cs="Times New Roman"/>
          <w:sz w:val="22"/>
          <w:szCs w:val="22"/>
        </w:rPr>
        <w:t>Özışık</w:t>
      </w:r>
      <w:proofErr w:type="spellEnd"/>
      <w:r w:rsidRPr="004022B2">
        <w:rPr>
          <w:rFonts w:ascii="Times New Roman" w:hAnsi="Times New Roman" w:cs="Times New Roman"/>
          <w:sz w:val="22"/>
          <w:szCs w:val="22"/>
        </w:rPr>
        <w:t xml:space="preserve"> L, </w:t>
      </w:r>
      <w:proofErr w:type="spellStart"/>
      <w:r w:rsidRPr="004022B2">
        <w:rPr>
          <w:rFonts w:ascii="Times New Roman" w:hAnsi="Times New Roman" w:cs="Times New Roman"/>
          <w:sz w:val="22"/>
          <w:szCs w:val="22"/>
        </w:rPr>
        <w:t>Başaran</w:t>
      </w:r>
      <w:proofErr w:type="spellEnd"/>
      <w:r w:rsidRPr="004022B2">
        <w:rPr>
          <w:rFonts w:ascii="Times New Roman" w:hAnsi="Times New Roman" w:cs="Times New Roman"/>
          <w:sz w:val="22"/>
          <w:szCs w:val="22"/>
        </w:rPr>
        <w:t xml:space="preserve"> NÇ. An overview and management of osteoporosis. </w:t>
      </w:r>
      <w:r w:rsidRPr="004022B2">
        <w:rPr>
          <w:rFonts w:ascii="Times New Roman" w:hAnsi="Times New Roman" w:cs="Times New Roman"/>
          <w:i/>
          <w:iCs/>
          <w:sz w:val="22"/>
          <w:szCs w:val="22"/>
        </w:rPr>
        <w:t xml:space="preserve">Eur J Rheumatol. </w:t>
      </w:r>
      <w:r w:rsidRPr="004022B2">
        <w:rPr>
          <w:rFonts w:ascii="Times New Roman" w:hAnsi="Times New Roman" w:cs="Times New Roman"/>
          <w:sz w:val="22"/>
          <w:szCs w:val="22"/>
        </w:rPr>
        <w:t xml:space="preserve">2017 Mar;4(1):46-56.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10.5152/eurjrheum.2016.048.</w:t>
      </w:r>
    </w:p>
    <w:p w14:paraId="777526D8"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International Osteoporosis Foundation Epidemiology of osteoporosis and fragility fractures. </w:t>
      </w:r>
      <w:r w:rsidRPr="004022B2">
        <w:rPr>
          <w:rFonts w:ascii="Times New Roman" w:hAnsi="Times New Roman" w:cs="Times New Roman"/>
          <w:i/>
          <w:iCs/>
          <w:sz w:val="22"/>
          <w:szCs w:val="22"/>
        </w:rPr>
        <w:t>[Internet]</w:t>
      </w:r>
      <w:r w:rsidRPr="004022B2">
        <w:rPr>
          <w:rFonts w:ascii="Times New Roman" w:hAnsi="Times New Roman" w:cs="Times New Roman"/>
          <w:sz w:val="22"/>
          <w:szCs w:val="22"/>
        </w:rPr>
        <w:t> [cited on 2024 Sept 19]. Available from:</w:t>
      </w:r>
    </w:p>
    <w:p w14:paraId="64601EA8" w14:textId="77777777" w:rsidR="00263A0F" w:rsidRPr="004022B2" w:rsidRDefault="00D51679" w:rsidP="00263A0F">
      <w:pPr>
        <w:pStyle w:val="ListParagraph"/>
        <w:spacing w:line="480" w:lineRule="auto"/>
        <w:rPr>
          <w:rFonts w:ascii="Times New Roman" w:hAnsi="Times New Roman" w:cs="Times New Roman"/>
          <w:sz w:val="22"/>
          <w:szCs w:val="22"/>
        </w:rPr>
      </w:pPr>
      <w:hyperlink r:id="rId20" w:history="1">
        <w:r w:rsidR="00263A0F" w:rsidRPr="004022B2">
          <w:rPr>
            <w:rStyle w:val="Hyperlink"/>
            <w:rFonts w:ascii="Times New Roman" w:hAnsi="Times New Roman" w:cs="Times New Roman"/>
            <w:sz w:val="22"/>
            <w:szCs w:val="22"/>
          </w:rPr>
          <w:t>https://www.osteoporosis.foundation/facts-statistics/epidemiology-of-osteoporosis-and-fragility-fractures</w:t>
        </w:r>
      </w:hyperlink>
      <w:r w:rsidR="00263A0F" w:rsidRPr="004022B2">
        <w:rPr>
          <w:rFonts w:ascii="Times New Roman" w:hAnsi="Times New Roman" w:cs="Times New Roman"/>
          <w:sz w:val="22"/>
          <w:szCs w:val="22"/>
        </w:rPr>
        <w:t>.</w:t>
      </w:r>
    </w:p>
    <w:p w14:paraId="56850C57"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t>Adami</w:t>
      </w:r>
      <w:proofErr w:type="spellEnd"/>
      <w:r w:rsidRPr="004022B2">
        <w:rPr>
          <w:rFonts w:ascii="Times New Roman" w:hAnsi="Times New Roman" w:cs="Times New Roman"/>
          <w:sz w:val="22"/>
          <w:szCs w:val="22"/>
        </w:rPr>
        <w:t xml:space="preserve"> G, </w:t>
      </w:r>
      <w:proofErr w:type="spellStart"/>
      <w:r w:rsidRPr="004022B2">
        <w:rPr>
          <w:rFonts w:ascii="Times New Roman" w:hAnsi="Times New Roman" w:cs="Times New Roman"/>
          <w:sz w:val="22"/>
          <w:szCs w:val="22"/>
        </w:rPr>
        <w:t>Fassio</w:t>
      </w:r>
      <w:proofErr w:type="spellEnd"/>
      <w:r w:rsidRPr="004022B2">
        <w:rPr>
          <w:rFonts w:ascii="Times New Roman" w:hAnsi="Times New Roman" w:cs="Times New Roman"/>
          <w:sz w:val="22"/>
          <w:szCs w:val="22"/>
        </w:rPr>
        <w:t xml:space="preserve"> A, </w:t>
      </w:r>
      <w:proofErr w:type="spellStart"/>
      <w:r w:rsidRPr="004022B2">
        <w:rPr>
          <w:rFonts w:ascii="Times New Roman" w:hAnsi="Times New Roman" w:cs="Times New Roman"/>
          <w:sz w:val="22"/>
          <w:szCs w:val="22"/>
        </w:rPr>
        <w:t>Gatti</w:t>
      </w:r>
      <w:proofErr w:type="spellEnd"/>
      <w:r w:rsidRPr="004022B2">
        <w:rPr>
          <w:rFonts w:ascii="Times New Roman" w:hAnsi="Times New Roman" w:cs="Times New Roman"/>
          <w:sz w:val="22"/>
          <w:szCs w:val="22"/>
        </w:rPr>
        <w:t xml:space="preserve"> D, et al. Osteoporosis in 10 </w:t>
      </w:r>
      <w:proofErr w:type="spellStart"/>
      <w:r w:rsidRPr="004022B2">
        <w:rPr>
          <w:rFonts w:ascii="Times New Roman" w:hAnsi="Times New Roman" w:cs="Times New Roman"/>
          <w:sz w:val="22"/>
          <w:szCs w:val="22"/>
        </w:rPr>
        <w:t>years time</w:t>
      </w:r>
      <w:proofErr w:type="spellEnd"/>
      <w:r w:rsidRPr="004022B2">
        <w:rPr>
          <w:rFonts w:ascii="Times New Roman" w:hAnsi="Times New Roman" w:cs="Times New Roman"/>
          <w:sz w:val="22"/>
          <w:szCs w:val="22"/>
        </w:rPr>
        <w:t xml:space="preserve">: a glimpse into the future of osteoporosis. </w:t>
      </w:r>
      <w:proofErr w:type="spellStart"/>
      <w:r w:rsidRPr="004022B2">
        <w:rPr>
          <w:rFonts w:ascii="Times New Roman" w:hAnsi="Times New Roman" w:cs="Times New Roman"/>
          <w:i/>
          <w:iCs/>
          <w:sz w:val="22"/>
          <w:szCs w:val="22"/>
        </w:rPr>
        <w:t>Ther</w:t>
      </w:r>
      <w:proofErr w:type="spellEnd"/>
      <w:r w:rsidRPr="004022B2">
        <w:rPr>
          <w:rFonts w:ascii="Times New Roman" w:hAnsi="Times New Roman" w:cs="Times New Roman"/>
          <w:i/>
          <w:iCs/>
          <w:sz w:val="22"/>
          <w:szCs w:val="22"/>
        </w:rPr>
        <w:t xml:space="preserve"> Adv Musculoskelet Dis</w:t>
      </w:r>
      <w:r w:rsidRPr="004022B2">
        <w:rPr>
          <w:rFonts w:ascii="Times New Roman" w:hAnsi="Times New Roman" w:cs="Times New Roman"/>
          <w:sz w:val="22"/>
          <w:szCs w:val="22"/>
        </w:rPr>
        <w:t xml:space="preserve">. 2022 Mar 20;14:1759720X221083541. doi:10.1177/1759720X221083541. </w:t>
      </w:r>
    </w:p>
    <w:p w14:paraId="4937425E"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t>Fohtung</w:t>
      </w:r>
      <w:proofErr w:type="spellEnd"/>
      <w:r w:rsidRPr="004022B2">
        <w:rPr>
          <w:rFonts w:ascii="Times New Roman" w:hAnsi="Times New Roman" w:cs="Times New Roman"/>
          <w:sz w:val="22"/>
          <w:szCs w:val="22"/>
        </w:rPr>
        <w:t xml:space="preserve"> RB, Brown DL, Koh WJ, et al. Bone Mineral Density and Risk of Heart Failure in Older Adults: The Cardiovascular Health Study. </w:t>
      </w:r>
      <w:r w:rsidRPr="004022B2">
        <w:rPr>
          <w:rFonts w:ascii="Times New Roman" w:hAnsi="Times New Roman" w:cs="Times New Roman"/>
          <w:i/>
          <w:iCs/>
          <w:sz w:val="22"/>
          <w:szCs w:val="22"/>
        </w:rPr>
        <w:t xml:space="preserve">J Am Heart Assoc. </w:t>
      </w:r>
      <w:r w:rsidRPr="004022B2">
        <w:rPr>
          <w:rFonts w:ascii="Times New Roman" w:hAnsi="Times New Roman" w:cs="Times New Roman"/>
          <w:sz w:val="22"/>
          <w:szCs w:val="22"/>
        </w:rPr>
        <w:t xml:space="preserve">2017 Mar 13;6(3):e004344.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10.1161/JAHA.116.004344.</w:t>
      </w:r>
    </w:p>
    <w:p w14:paraId="67F9E50A"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Lee SN, Cho JY, Eun YM, et al. Associations between osteoporosis and coronary artery disease in postmenopausal women. </w:t>
      </w:r>
      <w:r w:rsidRPr="004022B2">
        <w:rPr>
          <w:rFonts w:ascii="Times New Roman" w:hAnsi="Times New Roman" w:cs="Times New Roman"/>
          <w:i/>
          <w:iCs/>
          <w:sz w:val="22"/>
          <w:szCs w:val="22"/>
        </w:rPr>
        <w:t>Climacteric.</w:t>
      </w:r>
      <w:r w:rsidRPr="004022B2">
        <w:rPr>
          <w:rFonts w:ascii="Times New Roman" w:hAnsi="Times New Roman" w:cs="Times New Roman"/>
          <w:sz w:val="22"/>
          <w:szCs w:val="22"/>
        </w:rPr>
        <w:t xml:space="preserve"> 2016 Oct;19(5):458-62.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10.1080/13697137.2016.1200550. </w:t>
      </w:r>
    </w:p>
    <w:p w14:paraId="78D4A91D"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t>Wiklund</w:t>
      </w:r>
      <w:proofErr w:type="spellEnd"/>
      <w:r w:rsidRPr="004022B2">
        <w:rPr>
          <w:rFonts w:ascii="Times New Roman" w:hAnsi="Times New Roman" w:cs="Times New Roman"/>
          <w:sz w:val="22"/>
          <w:szCs w:val="22"/>
        </w:rPr>
        <w:t xml:space="preserve"> P, Nordstrom A, Jansson JH, et al. Low bone mineral density is associated with increased risk for myocardial infarction in men and women. </w:t>
      </w:r>
      <w:r w:rsidRPr="004022B2">
        <w:rPr>
          <w:rFonts w:ascii="Times New Roman" w:hAnsi="Times New Roman" w:cs="Times New Roman"/>
          <w:i/>
          <w:iCs/>
          <w:sz w:val="22"/>
          <w:szCs w:val="22"/>
        </w:rPr>
        <w:t>Osteoporos Int</w:t>
      </w:r>
      <w:r w:rsidRPr="004022B2">
        <w:rPr>
          <w:rFonts w:ascii="Times New Roman" w:hAnsi="Times New Roman" w:cs="Times New Roman"/>
          <w:sz w:val="22"/>
          <w:szCs w:val="22"/>
        </w:rPr>
        <w:t xml:space="preserve">. 2012;23(3):963–970.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10.1007/s00198-011-1631-0.</w:t>
      </w:r>
    </w:p>
    <w:p w14:paraId="1168C0BD"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lastRenderedPageBreak/>
        <w:t xml:space="preserve">Nordstrom A, Eriksson M, </w:t>
      </w:r>
      <w:proofErr w:type="spellStart"/>
      <w:r w:rsidRPr="004022B2">
        <w:rPr>
          <w:rFonts w:ascii="Times New Roman" w:hAnsi="Times New Roman" w:cs="Times New Roman"/>
          <w:sz w:val="22"/>
          <w:szCs w:val="22"/>
        </w:rPr>
        <w:t>Stegmayr</w:t>
      </w:r>
      <w:proofErr w:type="spellEnd"/>
      <w:r w:rsidRPr="004022B2">
        <w:rPr>
          <w:rFonts w:ascii="Times New Roman" w:hAnsi="Times New Roman" w:cs="Times New Roman"/>
          <w:sz w:val="22"/>
          <w:szCs w:val="22"/>
        </w:rPr>
        <w:t xml:space="preserve"> B, Gustafson Y, Nordstrom P. Low bone mineral density is an independent risk factor for stroke and death. </w:t>
      </w:r>
      <w:proofErr w:type="spellStart"/>
      <w:r w:rsidRPr="004022B2">
        <w:rPr>
          <w:rFonts w:ascii="Times New Roman" w:hAnsi="Times New Roman" w:cs="Times New Roman"/>
          <w:i/>
          <w:iCs/>
          <w:sz w:val="22"/>
          <w:szCs w:val="22"/>
        </w:rPr>
        <w:t>Cerebrovasc</w:t>
      </w:r>
      <w:proofErr w:type="spellEnd"/>
      <w:r w:rsidRPr="004022B2">
        <w:rPr>
          <w:rFonts w:ascii="Times New Roman" w:hAnsi="Times New Roman" w:cs="Times New Roman"/>
          <w:i/>
          <w:iCs/>
          <w:sz w:val="22"/>
          <w:szCs w:val="22"/>
        </w:rPr>
        <w:t xml:space="preserve"> Dis</w:t>
      </w:r>
      <w:r w:rsidRPr="004022B2">
        <w:rPr>
          <w:rFonts w:ascii="Times New Roman" w:hAnsi="Times New Roman" w:cs="Times New Roman"/>
          <w:sz w:val="22"/>
          <w:szCs w:val="22"/>
        </w:rPr>
        <w:t xml:space="preserve">. 2010;29(2):130–136.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10.1159/000262308.</w:t>
      </w:r>
    </w:p>
    <w:p w14:paraId="7AB6C83B"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Sanderson E, </w:t>
      </w:r>
      <w:proofErr w:type="spellStart"/>
      <w:r w:rsidRPr="004022B2">
        <w:rPr>
          <w:rFonts w:ascii="Times New Roman" w:hAnsi="Times New Roman" w:cs="Times New Roman"/>
          <w:sz w:val="22"/>
          <w:szCs w:val="22"/>
        </w:rPr>
        <w:t>Glymour</w:t>
      </w:r>
      <w:proofErr w:type="spellEnd"/>
      <w:r w:rsidRPr="004022B2">
        <w:rPr>
          <w:rFonts w:ascii="Times New Roman" w:hAnsi="Times New Roman" w:cs="Times New Roman"/>
          <w:sz w:val="22"/>
          <w:szCs w:val="22"/>
        </w:rPr>
        <w:t xml:space="preserve"> MM, Holmes MV, et al. Mendelian randomization. </w:t>
      </w:r>
      <w:r w:rsidRPr="004022B2">
        <w:rPr>
          <w:rFonts w:ascii="Times New Roman" w:hAnsi="Times New Roman" w:cs="Times New Roman"/>
          <w:i/>
          <w:iCs/>
          <w:sz w:val="22"/>
          <w:szCs w:val="22"/>
        </w:rPr>
        <w:t>Nat Rev Methods Primers.</w:t>
      </w:r>
      <w:r w:rsidRPr="004022B2">
        <w:rPr>
          <w:rFonts w:ascii="Times New Roman" w:hAnsi="Times New Roman" w:cs="Times New Roman"/>
          <w:sz w:val="22"/>
          <w:szCs w:val="22"/>
        </w:rPr>
        <w:t xml:space="preserve"> 2022 Feb 10;2:6.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10.1038/s43586-021-00092-5.</w:t>
      </w:r>
    </w:p>
    <w:p w14:paraId="512C7AC4"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t>Swerdlow</w:t>
      </w:r>
      <w:proofErr w:type="spellEnd"/>
      <w:r w:rsidRPr="004022B2">
        <w:rPr>
          <w:rFonts w:ascii="Times New Roman" w:hAnsi="Times New Roman" w:cs="Times New Roman"/>
          <w:sz w:val="22"/>
          <w:szCs w:val="22"/>
        </w:rPr>
        <w:t xml:space="preserve"> DI, </w:t>
      </w:r>
      <w:proofErr w:type="spellStart"/>
      <w:r w:rsidRPr="004022B2">
        <w:rPr>
          <w:rFonts w:ascii="Times New Roman" w:hAnsi="Times New Roman" w:cs="Times New Roman"/>
          <w:sz w:val="22"/>
          <w:szCs w:val="22"/>
        </w:rPr>
        <w:t>Kuchenbaecker</w:t>
      </w:r>
      <w:proofErr w:type="spellEnd"/>
      <w:r w:rsidRPr="004022B2">
        <w:rPr>
          <w:rFonts w:ascii="Times New Roman" w:hAnsi="Times New Roman" w:cs="Times New Roman"/>
          <w:sz w:val="22"/>
          <w:szCs w:val="22"/>
        </w:rPr>
        <w:t xml:space="preserve"> KB, Shah S, et al. Selecting instruments for Mendelian randomization in the wake of genome-wide association studies. </w:t>
      </w:r>
      <w:r w:rsidRPr="004022B2">
        <w:rPr>
          <w:rFonts w:ascii="Times New Roman" w:hAnsi="Times New Roman" w:cs="Times New Roman"/>
          <w:i/>
          <w:iCs/>
          <w:sz w:val="22"/>
          <w:szCs w:val="22"/>
        </w:rPr>
        <w:t>Int J Epidemiol.</w:t>
      </w:r>
      <w:r w:rsidRPr="004022B2">
        <w:rPr>
          <w:rFonts w:ascii="Times New Roman" w:hAnsi="Times New Roman" w:cs="Times New Roman"/>
          <w:sz w:val="22"/>
          <w:szCs w:val="22"/>
        </w:rPr>
        <w:t xml:space="preserve"> 2016 Oct;45(5):1600-1616.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10.1093/</w:t>
      </w:r>
      <w:proofErr w:type="spellStart"/>
      <w:r w:rsidRPr="004022B2">
        <w:rPr>
          <w:rFonts w:ascii="Times New Roman" w:hAnsi="Times New Roman" w:cs="Times New Roman"/>
          <w:sz w:val="22"/>
          <w:szCs w:val="22"/>
        </w:rPr>
        <w:t>ije</w:t>
      </w:r>
      <w:proofErr w:type="spellEnd"/>
      <w:r w:rsidRPr="004022B2">
        <w:rPr>
          <w:rFonts w:ascii="Times New Roman" w:hAnsi="Times New Roman" w:cs="Times New Roman"/>
          <w:sz w:val="22"/>
          <w:szCs w:val="22"/>
        </w:rPr>
        <w:t>/dyw088.</w:t>
      </w:r>
    </w:p>
    <w:p w14:paraId="326E8A4B"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Lu H, </w:t>
      </w:r>
      <w:proofErr w:type="spellStart"/>
      <w:r w:rsidRPr="004022B2">
        <w:rPr>
          <w:rFonts w:ascii="Times New Roman" w:hAnsi="Times New Roman" w:cs="Times New Roman"/>
          <w:sz w:val="22"/>
          <w:szCs w:val="22"/>
        </w:rPr>
        <w:t>Lary</w:t>
      </w:r>
      <w:proofErr w:type="spellEnd"/>
      <w:r w:rsidRPr="004022B2">
        <w:rPr>
          <w:rFonts w:ascii="Times New Roman" w:hAnsi="Times New Roman" w:cs="Times New Roman"/>
          <w:sz w:val="22"/>
          <w:szCs w:val="22"/>
        </w:rPr>
        <w:t xml:space="preserve"> CW, </w:t>
      </w:r>
      <w:proofErr w:type="spellStart"/>
      <w:r w:rsidRPr="004022B2">
        <w:rPr>
          <w:rFonts w:ascii="Times New Roman" w:hAnsi="Times New Roman" w:cs="Times New Roman"/>
          <w:sz w:val="22"/>
          <w:szCs w:val="22"/>
        </w:rPr>
        <w:t>Hodonsky</w:t>
      </w:r>
      <w:proofErr w:type="spellEnd"/>
      <w:r w:rsidRPr="004022B2">
        <w:rPr>
          <w:rFonts w:ascii="Times New Roman" w:hAnsi="Times New Roman" w:cs="Times New Roman"/>
          <w:sz w:val="22"/>
          <w:szCs w:val="22"/>
        </w:rPr>
        <w:t xml:space="preserve"> CJ, et al. Association between BMD and coronary artery calcification: an observational and Mendelian randomization study. </w:t>
      </w:r>
      <w:r w:rsidRPr="004022B2">
        <w:rPr>
          <w:rFonts w:ascii="Times New Roman" w:hAnsi="Times New Roman" w:cs="Times New Roman"/>
          <w:i/>
          <w:iCs/>
          <w:sz w:val="22"/>
          <w:szCs w:val="22"/>
        </w:rPr>
        <w:t>J Bone Miner Res</w:t>
      </w:r>
      <w:r w:rsidRPr="004022B2">
        <w:rPr>
          <w:rFonts w:ascii="Times New Roman" w:hAnsi="Times New Roman" w:cs="Times New Roman"/>
          <w:sz w:val="22"/>
          <w:szCs w:val="22"/>
        </w:rPr>
        <w:t xml:space="preserve">. 2024 May 2;39(4):443-452.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10.1093/</w:t>
      </w:r>
      <w:proofErr w:type="spellStart"/>
      <w:r w:rsidRPr="004022B2">
        <w:rPr>
          <w:rFonts w:ascii="Times New Roman" w:hAnsi="Times New Roman" w:cs="Times New Roman"/>
          <w:sz w:val="22"/>
          <w:szCs w:val="22"/>
        </w:rPr>
        <w:t>jbmr</w:t>
      </w:r>
      <w:proofErr w:type="spellEnd"/>
      <w:r w:rsidRPr="004022B2">
        <w:rPr>
          <w:rFonts w:ascii="Times New Roman" w:hAnsi="Times New Roman" w:cs="Times New Roman"/>
          <w:sz w:val="22"/>
          <w:szCs w:val="22"/>
        </w:rPr>
        <w:t>/zjae022.</w:t>
      </w:r>
    </w:p>
    <w:p w14:paraId="55BC37F6"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Zhang J, Xu P, Liu R, et al. Osteoporosis and coronary heart disease: a bi-directional Mendelian randomization study. </w:t>
      </w:r>
      <w:r w:rsidRPr="004022B2">
        <w:rPr>
          <w:rFonts w:ascii="Times New Roman" w:hAnsi="Times New Roman" w:cs="Times New Roman"/>
          <w:i/>
          <w:iCs/>
          <w:sz w:val="22"/>
          <w:szCs w:val="22"/>
        </w:rPr>
        <w:t>Front Endocrinol (Lausanne).</w:t>
      </w:r>
      <w:r w:rsidRPr="004022B2">
        <w:rPr>
          <w:rFonts w:ascii="Times New Roman" w:hAnsi="Times New Roman" w:cs="Times New Roman"/>
          <w:sz w:val="22"/>
          <w:szCs w:val="22"/>
        </w:rPr>
        <w:t xml:space="preserve"> 2024 May 22;15:1362428.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10.3389/fendo.2024.1362428.</w:t>
      </w:r>
    </w:p>
    <w:p w14:paraId="30BBB49B"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Gan W, Clarke RJ, Mahajan A, et al. Bone mineral density and risk of type 2 diabetes and coronary heart disease: a Mendelian randomization study. </w:t>
      </w:r>
      <w:proofErr w:type="spellStart"/>
      <w:r w:rsidRPr="004022B2">
        <w:rPr>
          <w:rFonts w:ascii="Times New Roman" w:hAnsi="Times New Roman" w:cs="Times New Roman"/>
          <w:i/>
          <w:iCs/>
          <w:sz w:val="22"/>
          <w:szCs w:val="22"/>
        </w:rPr>
        <w:t>Wellcome</w:t>
      </w:r>
      <w:proofErr w:type="spellEnd"/>
      <w:r w:rsidRPr="004022B2">
        <w:rPr>
          <w:rFonts w:ascii="Times New Roman" w:hAnsi="Times New Roman" w:cs="Times New Roman"/>
          <w:i/>
          <w:iCs/>
          <w:sz w:val="22"/>
          <w:szCs w:val="22"/>
        </w:rPr>
        <w:t xml:space="preserve"> Open Res</w:t>
      </w:r>
      <w:r w:rsidRPr="004022B2">
        <w:rPr>
          <w:rFonts w:ascii="Times New Roman" w:hAnsi="Times New Roman" w:cs="Times New Roman"/>
          <w:sz w:val="22"/>
          <w:szCs w:val="22"/>
        </w:rPr>
        <w:t xml:space="preserve">. 2017;2:68.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10.12688/</w:t>
      </w:r>
      <w:proofErr w:type="spellStart"/>
      <w:r w:rsidRPr="004022B2">
        <w:rPr>
          <w:rFonts w:ascii="Times New Roman" w:hAnsi="Times New Roman" w:cs="Times New Roman"/>
          <w:sz w:val="22"/>
          <w:szCs w:val="22"/>
        </w:rPr>
        <w:t>wellcomeopenres</w:t>
      </w:r>
      <w:proofErr w:type="spellEnd"/>
      <w:r w:rsidRPr="004022B2">
        <w:rPr>
          <w:rFonts w:ascii="Times New Roman" w:hAnsi="Times New Roman" w:cs="Times New Roman"/>
          <w:sz w:val="22"/>
          <w:szCs w:val="22"/>
        </w:rPr>
        <w:t>.</w:t>
      </w:r>
    </w:p>
    <w:p w14:paraId="2C0C68CA"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Gua C, Li T, Wang J. Causal association between heart failure and bone mineral density: Insights from a two-sample bidirectional Mendelian randomization study. </w:t>
      </w:r>
      <w:r w:rsidRPr="004022B2">
        <w:rPr>
          <w:rFonts w:ascii="Times New Roman" w:hAnsi="Times New Roman" w:cs="Times New Roman"/>
          <w:i/>
          <w:iCs/>
          <w:sz w:val="22"/>
          <w:szCs w:val="22"/>
        </w:rPr>
        <w:t>Genomics</w:t>
      </w:r>
      <w:r w:rsidRPr="004022B2">
        <w:rPr>
          <w:rFonts w:ascii="Times New Roman" w:hAnsi="Times New Roman" w:cs="Times New Roman"/>
          <w:sz w:val="22"/>
          <w:szCs w:val="22"/>
        </w:rPr>
        <w:t xml:space="preserve">. 2022 Nov;114(6):110522.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10.1016/j.ygeno.2022.110522.</w:t>
      </w:r>
    </w:p>
    <w:p w14:paraId="731CD5FC" w14:textId="77777777" w:rsidR="00263A0F" w:rsidRPr="004022B2" w:rsidRDefault="00263A0F" w:rsidP="00263A0F">
      <w:pPr>
        <w:pStyle w:val="ListParagraph"/>
        <w:numPr>
          <w:ilvl w:val="0"/>
          <w:numId w:val="8"/>
        </w:numPr>
        <w:spacing w:line="480" w:lineRule="auto"/>
        <w:rPr>
          <w:rFonts w:ascii="Times New Roman" w:hAnsi="Times New Roman" w:cs="Times New Roman"/>
          <w:color w:val="000000" w:themeColor="text1"/>
          <w:sz w:val="22"/>
          <w:szCs w:val="22"/>
        </w:rPr>
      </w:pPr>
      <w:proofErr w:type="spellStart"/>
      <w:r w:rsidRPr="004022B2">
        <w:rPr>
          <w:rFonts w:ascii="Times New Roman" w:hAnsi="Times New Roman" w:cs="Times New Roman"/>
          <w:color w:val="000000" w:themeColor="text1"/>
          <w:sz w:val="22"/>
          <w:szCs w:val="22"/>
        </w:rPr>
        <w:t>Skrivankova</w:t>
      </w:r>
      <w:proofErr w:type="spellEnd"/>
      <w:r w:rsidRPr="004022B2">
        <w:rPr>
          <w:rFonts w:ascii="Times New Roman" w:hAnsi="Times New Roman" w:cs="Times New Roman"/>
          <w:color w:val="000000" w:themeColor="text1"/>
          <w:sz w:val="22"/>
          <w:szCs w:val="22"/>
        </w:rPr>
        <w:t xml:space="preserve"> VW, Richmond RC, Woolf BAR, et al. Strengthening the reporting of observational studies in epidemiology using mendelian randomisation (STROBE-MR): explanation and elaboration. </w:t>
      </w:r>
      <w:r w:rsidRPr="004022B2">
        <w:rPr>
          <w:rFonts w:ascii="Times New Roman" w:hAnsi="Times New Roman" w:cs="Times New Roman"/>
          <w:i/>
          <w:iCs/>
          <w:color w:val="000000" w:themeColor="text1"/>
          <w:sz w:val="22"/>
          <w:szCs w:val="22"/>
        </w:rPr>
        <w:t>BMJ</w:t>
      </w:r>
      <w:r w:rsidRPr="004022B2">
        <w:rPr>
          <w:rFonts w:ascii="Times New Roman" w:hAnsi="Times New Roman" w:cs="Times New Roman"/>
          <w:color w:val="000000" w:themeColor="text1"/>
          <w:sz w:val="22"/>
          <w:szCs w:val="22"/>
        </w:rPr>
        <w:t xml:space="preserve">. 2021 Oct 26;375:n2233. </w:t>
      </w:r>
      <w:proofErr w:type="spellStart"/>
      <w:r w:rsidRPr="004022B2">
        <w:rPr>
          <w:rFonts w:ascii="Times New Roman" w:hAnsi="Times New Roman" w:cs="Times New Roman"/>
          <w:color w:val="000000" w:themeColor="text1"/>
          <w:sz w:val="22"/>
          <w:szCs w:val="22"/>
        </w:rPr>
        <w:t>doi</w:t>
      </w:r>
      <w:proofErr w:type="spellEnd"/>
      <w:r w:rsidRPr="004022B2">
        <w:rPr>
          <w:rFonts w:ascii="Times New Roman" w:hAnsi="Times New Roman" w:cs="Times New Roman"/>
          <w:color w:val="000000" w:themeColor="text1"/>
          <w:sz w:val="22"/>
          <w:szCs w:val="22"/>
        </w:rPr>
        <w:t>: 10.1136/bmj.n2233.</w:t>
      </w:r>
    </w:p>
    <w:p w14:paraId="344A2520"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Medina-Gomez C, Kemp JP, </w:t>
      </w:r>
      <w:proofErr w:type="spellStart"/>
      <w:r w:rsidRPr="004022B2">
        <w:rPr>
          <w:rFonts w:ascii="Times New Roman" w:hAnsi="Times New Roman" w:cs="Times New Roman"/>
          <w:sz w:val="22"/>
          <w:szCs w:val="22"/>
        </w:rPr>
        <w:t>Trajanoska</w:t>
      </w:r>
      <w:proofErr w:type="spellEnd"/>
      <w:r w:rsidRPr="004022B2">
        <w:rPr>
          <w:rFonts w:ascii="Times New Roman" w:hAnsi="Times New Roman" w:cs="Times New Roman"/>
          <w:sz w:val="22"/>
          <w:szCs w:val="22"/>
        </w:rPr>
        <w:t xml:space="preserve"> K, et al. Life-Course Genome-wide Association Study Meta-analysis of Total Body BMD and Assessment of Age-Specific Effects. </w:t>
      </w:r>
      <w:r w:rsidRPr="004022B2">
        <w:rPr>
          <w:rFonts w:ascii="Times New Roman" w:hAnsi="Times New Roman" w:cs="Times New Roman"/>
          <w:i/>
          <w:iCs/>
          <w:sz w:val="22"/>
          <w:szCs w:val="22"/>
        </w:rPr>
        <w:t>Am J Hum Genet.</w:t>
      </w:r>
      <w:r w:rsidRPr="004022B2">
        <w:rPr>
          <w:rFonts w:ascii="Times New Roman" w:hAnsi="Times New Roman" w:cs="Times New Roman"/>
          <w:sz w:val="22"/>
          <w:szCs w:val="22"/>
        </w:rPr>
        <w:t xml:space="preserve"> 2018 Jan 4;102(1):88-102.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10.1016/j.ajhg.2017.12.005. </w:t>
      </w:r>
    </w:p>
    <w:p w14:paraId="1B7F0AC7"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color w:val="000000"/>
          <w:sz w:val="22"/>
          <w:szCs w:val="22"/>
        </w:rPr>
        <w:lastRenderedPageBreak/>
        <w:t xml:space="preserve">Watanabe K, Stringer S, Frei O, et al. A global overview of pleiotropy and genetic architecture in complex traits. </w:t>
      </w:r>
      <w:r w:rsidRPr="004022B2">
        <w:rPr>
          <w:rFonts w:ascii="Times New Roman" w:hAnsi="Times New Roman" w:cs="Times New Roman"/>
          <w:i/>
          <w:iCs/>
          <w:color w:val="000000"/>
          <w:sz w:val="22"/>
          <w:szCs w:val="22"/>
        </w:rPr>
        <w:t>Nat Genet</w:t>
      </w:r>
      <w:r w:rsidRPr="004022B2">
        <w:rPr>
          <w:rFonts w:ascii="Times New Roman" w:hAnsi="Times New Roman" w:cs="Times New Roman"/>
          <w:color w:val="000000"/>
          <w:sz w:val="22"/>
          <w:szCs w:val="22"/>
        </w:rPr>
        <w:t xml:space="preserve">. 2019 Sep;51(9):1339-1348. </w:t>
      </w:r>
      <w:proofErr w:type="spellStart"/>
      <w:r w:rsidRPr="004022B2">
        <w:rPr>
          <w:rFonts w:ascii="Times New Roman" w:hAnsi="Times New Roman" w:cs="Times New Roman"/>
          <w:color w:val="000000"/>
          <w:sz w:val="22"/>
          <w:szCs w:val="22"/>
        </w:rPr>
        <w:t>doi</w:t>
      </w:r>
      <w:proofErr w:type="spellEnd"/>
      <w:r w:rsidRPr="004022B2">
        <w:rPr>
          <w:rFonts w:ascii="Times New Roman" w:hAnsi="Times New Roman" w:cs="Times New Roman"/>
          <w:color w:val="000000"/>
          <w:sz w:val="22"/>
          <w:szCs w:val="22"/>
        </w:rPr>
        <w:t>: 10.1038/s41588-019-0481-0.</w:t>
      </w:r>
    </w:p>
    <w:p w14:paraId="73CD3913"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color w:val="000000"/>
          <w:sz w:val="22"/>
          <w:szCs w:val="22"/>
        </w:rPr>
        <w:t>Aragam</w:t>
      </w:r>
      <w:proofErr w:type="spellEnd"/>
      <w:r w:rsidRPr="004022B2">
        <w:rPr>
          <w:rFonts w:ascii="Times New Roman" w:hAnsi="Times New Roman" w:cs="Times New Roman"/>
          <w:color w:val="000000"/>
          <w:sz w:val="22"/>
          <w:szCs w:val="22"/>
        </w:rPr>
        <w:t xml:space="preserve"> KG, Chaffin M, Levinson RT, et al. Phenotypic Refinement of Heart Failure in a National Biobank Facilitates Genetic Discovery. </w:t>
      </w:r>
      <w:r w:rsidRPr="004022B2">
        <w:rPr>
          <w:rFonts w:ascii="Times New Roman" w:hAnsi="Times New Roman" w:cs="Times New Roman"/>
          <w:i/>
          <w:iCs/>
          <w:color w:val="000000"/>
          <w:sz w:val="22"/>
          <w:szCs w:val="22"/>
        </w:rPr>
        <w:t>Circulation</w:t>
      </w:r>
      <w:r w:rsidRPr="004022B2">
        <w:rPr>
          <w:rFonts w:ascii="Times New Roman" w:hAnsi="Times New Roman" w:cs="Times New Roman"/>
          <w:color w:val="000000"/>
          <w:sz w:val="22"/>
          <w:szCs w:val="22"/>
        </w:rPr>
        <w:t xml:space="preserve">. 2019 Jan 22;139(4):489-501. </w:t>
      </w:r>
      <w:proofErr w:type="spellStart"/>
      <w:r w:rsidRPr="004022B2">
        <w:rPr>
          <w:rFonts w:ascii="Times New Roman" w:hAnsi="Times New Roman" w:cs="Times New Roman"/>
          <w:color w:val="000000"/>
          <w:sz w:val="22"/>
          <w:szCs w:val="22"/>
        </w:rPr>
        <w:t>doi</w:t>
      </w:r>
      <w:proofErr w:type="spellEnd"/>
      <w:r w:rsidRPr="004022B2">
        <w:rPr>
          <w:rFonts w:ascii="Times New Roman" w:hAnsi="Times New Roman" w:cs="Times New Roman"/>
          <w:color w:val="000000"/>
          <w:sz w:val="22"/>
          <w:szCs w:val="22"/>
        </w:rPr>
        <w:t>: 10.1161/CIRCULATIONAHA.118.035774.</w:t>
      </w:r>
    </w:p>
    <w:p w14:paraId="2313845E"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color w:val="000000"/>
          <w:sz w:val="22"/>
          <w:szCs w:val="22"/>
        </w:rPr>
        <w:t>Hartiala</w:t>
      </w:r>
      <w:proofErr w:type="spellEnd"/>
      <w:r w:rsidRPr="004022B2">
        <w:rPr>
          <w:rFonts w:ascii="Times New Roman" w:hAnsi="Times New Roman" w:cs="Times New Roman"/>
          <w:color w:val="000000"/>
          <w:sz w:val="22"/>
          <w:szCs w:val="22"/>
        </w:rPr>
        <w:t xml:space="preserve"> JA, Han Y, Jia Q, et al. Genome-wide analysis identifies novel susceptibility loci for myocardial infarction. </w:t>
      </w:r>
      <w:r w:rsidRPr="004022B2">
        <w:rPr>
          <w:rFonts w:ascii="Times New Roman" w:hAnsi="Times New Roman" w:cs="Times New Roman"/>
          <w:i/>
          <w:iCs/>
          <w:color w:val="000000"/>
          <w:sz w:val="22"/>
          <w:szCs w:val="22"/>
        </w:rPr>
        <w:t>Eur Heart J</w:t>
      </w:r>
      <w:r w:rsidRPr="004022B2">
        <w:rPr>
          <w:rFonts w:ascii="Times New Roman" w:hAnsi="Times New Roman" w:cs="Times New Roman"/>
          <w:color w:val="000000"/>
          <w:sz w:val="22"/>
          <w:szCs w:val="22"/>
        </w:rPr>
        <w:t xml:space="preserve">. 2021 Mar 1;42(9):919-933. </w:t>
      </w:r>
      <w:proofErr w:type="spellStart"/>
      <w:r w:rsidRPr="004022B2">
        <w:rPr>
          <w:rFonts w:ascii="Times New Roman" w:hAnsi="Times New Roman" w:cs="Times New Roman"/>
          <w:color w:val="000000"/>
          <w:sz w:val="22"/>
          <w:szCs w:val="22"/>
        </w:rPr>
        <w:t>doi</w:t>
      </w:r>
      <w:proofErr w:type="spellEnd"/>
      <w:r w:rsidRPr="004022B2">
        <w:rPr>
          <w:rFonts w:ascii="Times New Roman" w:hAnsi="Times New Roman" w:cs="Times New Roman"/>
          <w:color w:val="000000"/>
          <w:sz w:val="22"/>
          <w:szCs w:val="22"/>
        </w:rPr>
        <w:t>: 10.1093/</w:t>
      </w:r>
      <w:proofErr w:type="spellStart"/>
      <w:r w:rsidRPr="004022B2">
        <w:rPr>
          <w:rFonts w:ascii="Times New Roman" w:hAnsi="Times New Roman" w:cs="Times New Roman"/>
          <w:color w:val="000000"/>
          <w:sz w:val="22"/>
          <w:szCs w:val="22"/>
        </w:rPr>
        <w:t>eurheartj</w:t>
      </w:r>
      <w:proofErr w:type="spellEnd"/>
      <w:r w:rsidRPr="004022B2">
        <w:rPr>
          <w:rFonts w:ascii="Times New Roman" w:hAnsi="Times New Roman" w:cs="Times New Roman"/>
          <w:color w:val="000000"/>
          <w:sz w:val="22"/>
          <w:szCs w:val="22"/>
        </w:rPr>
        <w:t>/ehaa1040.</w:t>
      </w:r>
    </w:p>
    <w:p w14:paraId="3EC9C45E"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color w:val="000000"/>
          <w:sz w:val="22"/>
          <w:szCs w:val="22"/>
        </w:rPr>
        <w:t xml:space="preserve">European Bioinformatics Institute. </w:t>
      </w:r>
      <w:r w:rsidRPr="004022B2">
        <w:rPr>
          <w:rFonts w:ascii="Times New Roman" w:hAnsi="Times New Roman" w:cs="Times New Roman"/>
          <w:i/>
          <w:iCs/>
          <w:color w:val="000000"/>
          <w:sz w:val="22"/>
          <w:szCs w:val="22"/>
        </w:rPr>
        <w:t>GWAS Catalog.</w:t>
      </w:r>
      <w:r w:rsidRPr="004022B2">
        <w:rPr>
          <w:rFonts w:ascii="Times New Roman" w:hAnsi="Times New Roman" w:cs="Times New Roman"/>
          <w:color w:val="000000"/>
          <w:sz w:val="22"/>
          <w:szCs w:val="22"/>
        </w:rPr>
        <w:t xml:space="preserve"> Available from: </w:t>
      </w:r>
      <w:hyperlink r:id="rId21" w:history="1">
        <w:r w:rsidRPr="004022B2">
          <w:rPr>
            <w:rStyle w:val="Hyperlink"/>
            <w:rFonts w:ascii="Times New Roman" w:hAnsi="Times New Roman" w:cs="Times New Roman"/>
            <w:sz w:val="22"/>
            <w:szCs w:val="22"/>
          </w:rPr>
          <w:t>www.ebi.ac.uk/gwas</w:t>
        </w:r>
      </w:hyperlink>
      <w:r w:rsidRPr="004022B2">
        <w:rPr>
          <w:rFonts w:ascii="Times New Roman" w:hAnsi="Times New Roman" w:cs="Times New Roman"/>
          <w:color w:val="000000"/>
          <w:sz w:val="22"/>
          <w:szCs w:val="22"/>
        </w:rPr>
        <w:t>. Accessed April 20, 2024.</w:t>
      </w:r>
    </w:p>
    <w:p w14:paraId="5D7F2928" w14:textId="77777777" w:rsidR="00263A0F"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326CD">
        <w:rPr>
          <w:rFonts w:ascii="Times New Roman" w:hAnsi="Times New Roman" w:cs="Times New Roman"/>
          <w:sz w:val="22"/>
          <w:szCs w:val="22"/>
        </w:rPr>
        <w:t>Kurki</w:t>
      </w:r>
      <w:proofErr w:type="spellEnd"/>
      <w:r w:rsidRPr="004326CD">
        <w:rPr>
          <w:rFonts w:ascii="Times New Roman" w:hAnsi="Times New Roman" w:cs="Times New Roman"/>
          <w:sz w:val="22"/>
          <w:szCs w:val="22"/>
        </w:rPr>
        <w:t xml:space="preserve"> MI, Karjalainen J, </w:t>
      </w:r>
      <w:proofErr w:type="spellStart"/>
      <w:r w:rsidRPr="004326CD">
        <w:rPr>
          <w:rFonts w:ascii="Times New Roman" w:hAnsi="Times New Roman" w:cs="Times New Roman"/>
          <w:sz w:val="22"/>
          <w:szCs w:val="22"/>
        </w:rPr>
        <w:t>Palta</w:t>
      </w:r>
      <w:proofErr w:type="spellEnd"/>
      <w:r w:rsidRPr="004326CD">
        <w:rPr>
          <w:rFonts w:ascii="Times New Roman" w:hAnsi="Times New Roman" w:cs="Times New Roman"/>
          <w:sz w:val="22"/>
          <w:szCs w:val="22"/>
        </w:rPr>
        <w:t xml:space="preserve"> P, et al. FinnGen: Unique genetic insights from combining isolated population and national health register data. </w:t>
      </w:r>
      <w:proofErr w:type="spellStart"/>
      <w:r w:rsidRPr="004326CD">
        <w:rPr>
          <w:rFonts w:ascii="Times New Roman" w:hAnsi="Times New Roman" w:cs="Times New Roman"/>
          <w:i/>
          <w:iCs/>
          <w:sz w:val="22"/>
          <w:szCs w:val="22"/>
        </w:rPr>
        <w:t>medRxiv</w:t>
      </w:r>
      <w:proofErr w:type="spellEnd"/>
      <w:r w:rsidRPr="004326CD">
        <w:rPr>
          <w:rFonts w:ascii="Times New Roman" w:hAnsi="Times New Roman" w:cs="Times New Roman"/>
          <w:i/>
          <w:iCs/>
          <w:sz w:val="22"/>
          <w:szCs w:val="22"/>
        </w:rPr>
        <w:t>.</w:t>
      </w:r>
      <w:r w:rsidRPr="004326CD">
        <w:rPr>
          <w:rFonts w:ascii="Times New Roman" w:hAnsi="Times New Roman" w:cs="Times New Roman"/>
          <w:sz w:val="22"/>
          <w:szCs w:val="22"/>
        </w:rPr>
        <w:t xml:space="preserve"> 2022;:2022.03.03.22271360.</w:t>
      </w:r>
    </w:p>
    <w:p w14:paraId="725AC9A8"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Deng L, Zhang H, Yu K. Power calculation for the general two-sample Mendelian randomization analysis. </w:t>
      </w:r>
      <w:r w:rsidRPr="004022B2">
        <w:rPr>
          <w:rFonts w:ascii="Times New Roman" w:hAnsi="Times New Roman" w:cs="Times New Roman"/>
          <w:i/>
          <w:iCs/>
          <w:sz w:val="22"/>
          <w:szCs w:val="22"/>
        </w:rPr>
        <w:t>Genet Epidemiol.</w:t>
      </w:r>
      <w:r w:rsidRPr="004022B2">
        <w:rPr>
          <w:rFonts w:ascii="Times New Roman" w:hAnsi="Times New Roman" w:cs="Times New Roman"/>
          <w:sz w:val="22"/>
          <w:szCs w:val="22"/>
        </w:rPr>
        <w:t xml:space="preserve"> 2020 Apr;44(3):290-299.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10.1002/gepi.22284.</w:t>
      </w:r>
    </w:p>
    <w:p w14:paraId="1FF721FA"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t>Verbanck</w:t>
      </w:r>
      <w:proofErr w:type="spellEnd"/>
      <w:r w:rsidRPr="004022B2">
        <w:rPr>
          <w:rFonts w:ascii="Times New Roman" w:hAnsi="Times New Roman" w:cs="Times New Roman"/>
          <w:sz w:val="22"/>
          <w:szCs w:val="22"/>
        </w:rPr>
        <w:t xml:space="preserve"> M, Chen CY, Neale B, Do R. Detection of widespread horizontal pleiotropy in causal relationships inferred from Mendelian randomization between complex traits and diseases. </w:t>
      </w:r>
      <w:r w:rsidRPr="004022B2">
        <w:rPr>
          <w:rFonts w:ascii="Times New Roman" w:hAnsi="Times New Roman" w:cs="Times New Roman"/>
          <w:i/>
          <w:iCs/>
          <w:sz w:val="22"/>
          <w:szCs w:val="22"/>
        </w:rPr>
        <w:t>Nat Genet</w:t>
      </w:r>
      <w:r w:rsidRPr="004022B2">
        <w:rPr>
          <w:rFonts w:ascii="Times New Roman" w:hAnsi="Times New Roman" w:cs="Times New Roman"/>
          <w:sz w:val="22"/>
          <w:szCs w:val="22"/>
        </w:rPr>
        <w:t xml:space="preserve">. 2018 May;50(5):693-698.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10.1038/s41588-018-0099-7.</w:t>
      </w:r>
    </w:p>
    <w:p w14:paraId="66DF3588" w14:textId="77777777" w:rsidR="00263A0F" w:rsidRPr="004022B2" w:rsidRDefault="00263A0F" w:rsidP="00263A0F">
      <w:pPr>
        <w:pStyle w:val="ListParagraph"/>
        <w:numPr>
          <w:ilvl w:val="0"/>
          <w:numId w:val="8"/>
        </w:numPr>
        <w:spacing w:line="480" w:lineRule="auto"/>
        <w:rPr>
          <w:rFonts w:ascii="Times New Roman" w:hAnsi="Times New Roman" w:cs="Times New Roman"/>
          <w:color w:val="000000" w:themeColor="text1"/>
          <w:sz w:val="22"/>
          <w:szCs w:val="22"/>
        </w:rPr>
      </w:pPr>
      <w:r w:rsidRPr="004022B2">
        <w:rPr>
          <w:rFonts w:ascii="Times New Roman" w:hAnsi="Times New Roman" w:cs="Times New Roman"/>
          <w:color w:val="000000" w:themeColor="text1"/>
          <w:sz w:val="22"/>
          <w:szCs w:val="22"/>
        </w:rPr>
        <w:t xml:space="preserve">Guan XQ, Xue YJ, Wang J, et al. Low bone mineral density is associated with global coronary atherosclerotic plaque burden </w:t>
      </w:r>
      <w:proofErr w:type="spellStart"/>
      <w:r w:rsidRPr="004022B2">
        <w:rPr>
          <w:rFonts w:ascii="Times New Roman" w:hAnsi="Times New Roman" w:cs="Times New Roman"/>
          <w:color w:val="000000" w:themeColor="text1"/>
          <w:sz w:val="22"/>
          <w:szCs w:val="22"/>
        </w:rPr>
        <w:t>in stable</w:t>
      </w:r>
      <w:proofErr w:type="spellEnd"/>
      <w:r w:rsidRPr="004022B2">
        <w:rPr>
          <w:rFonts w:ascii="Times New Roman" w:hAnsi="Times New Roman" w:cs="Times New Roman"/>
          <w:color w:val="000000" w:themeColor="text1"/>
          <w:sz w:val="22"/>
          <w:szCs w:val="22"/>
        </w:rPr>
        <w:t xml:space="preserve"> angina patients. </w:t>
      </w:r>
      <w:r w:rsidRPr="004022B2">
        <w:rPr>
          <w:rFonts w:ascii="Times New Roman" w:hAnsi="Times New Roman" w:cs="Times New Roman"/>
          <w:i/>
          <w:iCs/>
          <w:color w:val="000000" w:themeColor="text1"/>
          <w:sz w:val="22"/>
          <w:szCs w:val="22"/>
        </w:rPr>
        <w:t xml:space="preserve">Clin </w:t>
      </w:r>
      <w:proofErr w:type="spellStart"/>
      <w:r w:rsidRPr="004022B2">
        <w:rPr>
          <w:rFonts w:ascii="Times New Roman" w:hAnsi="Times New Roman" w:cs="Times New Roman"/>
          <w:i/>
          <w:iCs/>
          <w:color w:val="000000" w:themeColor="text1"/>
          <w:sz w:val="22"/>
          <w:szCs w:val="22"/>
        </w:rPr>
        <w:t>Interv</w:t>
      </w:r>
      <w:proofErr w:type="spellEnd"/>
      <w:r w:rsidRPr="004022B2">
        <w:rPr>
          <w:rFonts w:ascii="Times New Roman" w:hAnsi="Times New Roman" w:cs="Times New Roman"/>
          <w:i/>
          <w:iCs/>
          <w:color w:val="000000" w:themeColor="text1"/>
          <w:sz w:val="22"/>
          <w:szCs w:val="22"/>
        </w:rPr>
        <w:t xml:space="preserve"> Aging.</w:t>
      </w:r>
      <w:r w:rsidRPr="004022B2">
        <w:rPr>
          <w:rFonts w:ascii="Times New Roman" w:hAnsi="Times New Roman" w:cs="Times New Roman"/>
          <w:color w:val="000000" w:themeColor="text1"/>
          <w:sz w:val="22"/>
          <w:szCs w:val="22"/>
        </w:rPr>
        <w:t xml:space="preserve"> 2018 Aug 24;13:1475-1483. </w:t>
      </w:r>
      <w:proofErr w:type="spellStart"/>
      <w:r w:rsidRPr="004022B2">
        <w:rPr>
          <w:rFonts w:ascii="Times New Roman" w:hAnsi="Times New Roman" w:cs="Times New Roman"/>
          <w:color w:val="000000" w:themeColor="text1"/>
          <w:sz w:val="22"/>
          <w:szCs w:val="22"/>
        </w:rPr>
        <w:t>doi</w:t>
      </w:r>
      <w:proofErr w:type="spellEnd"/>
      <w:r w:rsidRPr="004022B2">
        <w:rPr>
          <w:rFonts w:ascii="Times New Roman" w:hAnsi="Times New Roman" w:cs="Times New Roman"/>
          <w:color w:val="000000" w:themeColor="text1"/>
          <w:sz w:val="22"/>
          <w:szCs w:val="22"/>
        </w:rPr>
        <w:t xml:space="preserve">: 10.2147/CIA.S168445. </w:t>
      </w:r>
    </w:p>
    <w:p w14:paraId="1C1587B6"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Park J, Yoon YE, Kim KM, et al. Prognostic value of lower bone mineral density in predicting adverse cardiovascular disease in Asian women. </w:t>
      </w:r>
      <w:r w:rsidRPr="004022B2">
        <w:rPr>
          <w:rFonts w:ascii="Times New Roman" w:hAnsi="Times New Roman" w:cs="Times New Roman"/>
          <w:i/>
          <w:iCs/>
          <w:sz w:val="22"/>
          <w:szCs w:val="22"/>
        </w:rPr>
        <w:t>Heart</w:t>
      </w:r>
      <w:r w:rsidRPr="004022B2">
        <w:rPr>
          <w:rFonts w:ascii="Times New Roman" w:hAnsi="Times New Roman" w:cs="Times New Roman"/>
          <w:sz w:val="22"/>
          <w:szCs w:val="22"/>
        </w:rPr>
        <w:t xml:space="preserve"> </w:t>
      </w:r>
      <w:r w:rsidRPr="004022B2">
        <w:rPr>
          <w:rFonts w:ascii="Times New Roman" w:hAnsi="Times New Roman" w:cs="Times New Roman"/>
          <w:b/>
          <w:bCs/>
          <w:sz w:val="22"/>
          <w:szCs w:val="22"/>
        </w:rPr>
        <w:t>2021</w:t>
      </w:r>
      <w:r w:rsidRPr="004022B2">
        <w:rPr>
          <w:rFonts w:ascii="Times New Roman" w:hAnsi="Times New Roman" w:cs="Times New Roman"/>
          <w:sz w:val="22"/>
          <w:szCs w:val="22"/>
        </w:rPr>
        <w:t xml:space="preserve">; 107(13): 1040–1046.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10.1136/heartjnl-2020-318764.</w:t>
      </w:r>
    </w:p>
    <w:p w14:paraId="01041AC7"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t>Sahin</w:t>
      </w:r>
      <w:proofErr w:type="spellEnd"/>
      <w:r w:rsidRPr="004022B2">
        <w:rPr>
          <w:rFonts w:ascii="Times New Roman" w:hAnsi="Times New Roman" w:cs="Times New Roman"/>
          <w:sz w:val="22"/>
          <w:szCs w:val="22"/>
        </w:rPr>
        <w:t xml:space="preserve"> I, </w:t>
      </w:r>
      <w:proofErr w:type="spellStart"/>
      <w:r w:rsidRPr="004022B2">
        <w:rPr>
          <w:rFonts w:ascii="Times New Roman" w:hAnsi="Times New Roman" w:cs="Times New Roman"/>
          <w:sz w:val="22"/>
          <w:szCs w:val="22"/>
        </w:rPr>
        <w:t>Okuyan</w:t>
      </w:r>
      <w:proofErr w:type="spellEnd"/>
      <w:r w:rsidRPr="004022B2">
        <w:rPr>
          <w:rFonts w:ascii="Times New Roman" w:hAnsi="Times New Roman" w:cs="Times New Roman"/>
          <w:sz w:val="22"/>
          <w:szCs w:val="22"/>
        </w:rPr>
        <w:t xml:space="preserve"> E, </w:t>
      </w:r>
      <w:proofErr w:type="spellStart"/>
      <w:r w:rsidRPr="004022B2">
        <w:rPr>
          <w:rFonts w:ascii="Times New Roman" w:hAnsi="Times New Roman" w:cs="Times New Roman"/>
          <w:sz w:val="22"/>
          <w:szCs w:val="22"/>
        </w:rPr>
        <w:t>Gungor</w:t>
      </w:r>
      <w:proofErr w:type="spellEnd"/>
      <w:r w:rsidRPr="004022B2">
        <w:rPr>
          <w:rFonts w:ascii="Times New Roman" w:hAnsi="Times New Roman" w:cs="Times New Roman"/>
          <w:sz w:val="22"/>
          <w:szCs w:val="22"/>
        </w:rPr>
        <w:t xml:space="preserve"> B, et al. Lower vitamin D level is associated with poor coronary collateral circulation. </w:t>
      </w:r>
      <w:proofErr w:type="spellStart"/>
      <w:r w:rsidRPr="004022B2">
        <w:rPr>
          <w:rFonts w:ascii="Times New Roman" w:hAnsi="Times New Roman" w:cs="Times New Roman"/>
          <w:i/>
          <w:iCs/>
          <w:sz w:val="22"/>
          <w:szCs w:val="22"/>
        </w:rPr>
        <w:t>Scand</w:t>
      </w:r>
      <w:proofErr w:type="spellEnd"/>
      <w:r w:rsidRPr="004022B2">
        <w:rPr>
          <w:rFonts w:ascii="Times New Roman" w:hAnsi="Times New Roman" w:cs="Times New Roman"/>
          <w:i/>
          <w:iCs/>
          <w:sz w:val="22"/>
          <w:szCs w:val="22"/>
        </w:rPr>
        <w:t xml:space="preserve"> Cardiovasc J.</w:t>
      </w:r>
      <w:r w:rsidRPr="004022B2">
        <w:rPr>
          <w:rFonts w:ascii="Times New Roman" w:hAnsi="Times New Roman" w:cs="Times New Roman"/>
          <w:sz w:val="22"/>
          <w:szCs w:val="22"/>
        </w:rPr>
        <w:t xml:space="preserve"> 2014 Oct;48(5):278-83.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10.3109/14017431.2014.940062. </w:t>
      </w:r>
    </w:p>
    <w:p w14:paraId="1583E69D"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lastRenderedPageBreak/>
        <w:t>Khaw</w:t>
      </w:r>
      <w:proofErr w:type="spellEnd"/>
      <w:r w:rsidRPr="004022B2">
        <w:rPr>
          <w:rFonts w:ascii="Times New Roman" w:hAnsi="Times New Roman" w:cs="Times New Roman"/>
          <w:sz w:val="22"/>
          <w:szCs w:val="22"/>
        </w:rPr>
        <w:t xml:space="preserve"> KT, </w:t>
      </w:r>
      <w:proofErr w:type="spellStart"/>
      <w:r w:rsidRPr="004022B2">
        <w:rPr>
          <w:rFonts w:ascii="Times New Roman" w:hAnsi="Times New Roman" w:cs="Times New Roman"/>
          <w:sz w:val="22"/>
          <w:szCs w:val="22"/>
        </w:rPr>
        <w:t>Luben</w:t>
      </w:r>
      <w:proofErr w:type="spellEnd"/>
      <w:r w:rsidRPr="004022B2">
        <w:rPr>
          <w:rFonts w:ascii="Times New Roman" w:hAnsi="Times New Roman" w:cs="Times New Roman"/>
          <w:sz w:val="22"/>
          <w:szCs w:val="22"/>
        </w:rPr>
        <w:t xml:space="preserve"> R, Wareham N. Serum 25-hydroxyvitamin D, mortality, and incident cardiovascular disease, respiratory disease, cancers, and fractures: a 13-y prospective population study. </w:t>
      </w:r>
      <w:r w:rsidRPr="004022B2">
        <w:rPr>
          <w:rFonts w:ascii="Times New Roman" w:hAnsi="Times New Roman" w:cs="Times New Roman"/>
          <w:i/>
          <w:iCs/>
          <w:sz w:val="22"/>
          <w:szCs w:val="22"/>
        </w:rPr>
        <w:t>Am J Clin Nutr.</w:t>
      </w:r>
      <w:r w:rsidRPr="004022B2">
        <w:rPr>
          <w:rFonts w:ascii="Times New Roman" w:hAnsi="Times New Roman" w:cs="Times New Roman"/>
          <w:sz w:val="22"/>
          <w:szCs w:val="22"/>
        </w:rPr>
        <w:t xml:space="preserve"> 2014 Nov;100(5):1361-70.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10.3945/ajcn.114.086413. </w:t>
      </w:r>
    </w:p>
    <w:p w14:paraId="0032CFDC"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t>Canpolat</w:t>
      </w:r>
      <w:proofErr w:type="spellEnd"/>
      <w:r w:rsidRPr="004022B2">
        <w:rPr>
          <w:rFonts w:ascii="Times New Roman" w:hAnsi="Times New Roman" w:cs="Times New Roman"/>
          <w:sz w:val="22"/>
          <w:szCs w:val="22"/>
        </w:rPr>
        <w:t xml:space="preserve"> U, </w:t>
      </w:r>
      <w:proofErr w:type="spellStart"/>
      <w:r w:rsidRPr="004022B2">
        <w:rPr>
          <w:rFonts w:ascii="Times New Roman" w:hAnsi="Times New Roman" w:cs="Times New Roman"/>
          <w:sz w:val="22"/>
          <w:szCs w:val="22"/>
        </w:rPr>
        <w:t>Özcan</w:t>
      </w:r>
      <w:proofErr w:type="spellEnd"/>
      <w:r w:rsidRPr="004022B2">
        <w:rPr>
          <w:rFonts w:ascii="Times New Roman" w:hAnsi="Times New Roman" w:cs="Times New Roman"/>
          <w:sz w:val="22"/>
          <w:szCs w:val="22"/>
        </w:rPr>
        <w:t xml:space="preserve"> F, </w:t>
      </w:r>
      <w:proofErr w:type="spellStart"/>
      <w:r w:rsidRPr="004022B2">
        <w:rPr>
          <w:rFonts w:ascii="Times New Roman" w:hAnsi="Times New Roman" w:cs="Times New Roman"/>
          <w:sz w:val="22"/>
          <w:szCs w:val="22"/>
        </w:rPr>
        <w:t>Özeke</w:t>
      </w:r>
      <w:proofErr w:type="spellEnd"/>
      <w:r w:rsidRPr="004022B2">
        <w:rPr>
          <w:rFonts w:ascii="Times New Roman" w:hAnsi="Times New Roman" w:cs="Times New Roman"/>
          <w:sz w:val="22"/>
          <w:szCs w:val="22"/>
        </w:rPr>
        <w:t xml:space="preserve"> Ö, et al. Impaired cardiac autonomic functions in apparently healthy subjects with vitamin D deficiency. </w:t>
      </w:r>
      <w:r w:rsidRPr="004022B2">
        <w:rPr>
          <w:rFonts w:ascii="Times New Roman" w:hAnsi="Times New Roman" w:cs="Times New Roman"/>
          <w:i/>
          <w:iCs/>
          <w:sz w:val="22"/>
          <w:szCs w:val="22"/>
        </w:rPr>
        <w:t xml:space="preserve">Ann </w:t>
      </w:r>
      <w:proofErr w:type="spellStart"/>
      <w:r w:rsidRPr="004022B2">
        <w:rPr>
          <w:rFonts w:ascii="Times New Roman" w:hAnsi="Times New Roman" w:cs="Times New Roman"/>
          <w:i/>
          <w:iCs/>
          <w:sz w:val="22"/>
          <w:szCs w:val="22"/>
        </w:rPr>
        <w:t>Noninvasive</w:t>
      </w:r>
      <w:proofErr w:type="spellEnd"/>
      <w:r w:rsidRPr="004022B2">
        <w:rPr>
          <w:rFonts w:ascii="Times New Roman" w:hAnsi="Times New Roman" w:cs="Times New Roman"/>
          <w:i/>
          <w:iCs/>
          <w:sz w:val="22"/>
          <w:szCs w:val="22"/>
        </w:rPr>
        <w:t xml:space="preserve"> </w:t>
      </w:r>
      <w:proofErr w:type="spellStart"/>
      <w:r w:rsidRPr="004022B2">
        <w:rPr>
          <w:rFonts w:ascii="Times New Roman" w:hAnsi="Times New Roman" w:cs="Times New Roman"/>
          <w:i/>
          <w:iCs/>
          <w:sz w:val="22"/>
          <w:szCs w:val="22"/>
        </w:rPr>
        <w:t>Electrocardiol</w:t>
      </w:r>
      <w:proofErr w:type="spellEnd"/>
      <w:r w:rsidRPr="004022B2">
        <w:rPr>
          <w:rFonts w:ascii="Times New Roman" w:hAnsi="Times New Roman" w:cs="Times New Roman"/>
          <w:i/>
          <w:iCs/>
          <w:sz w:val="22"/>
          <w:szCs w:val="22"/>
        </w:rPr>
        <w:t>.</w:t>
      </w:r>
      <w:r w:rsidRPr="004022B2">
        <w:rPr>
          <w:rFonts w:ascii="Times New Roman" w:hAnsi="Times New Roman" w:cs="Times New Roman"/>
          <w:sz w:val="22"/>
          <w:szCs w:val="22"/>
        </w:rPr>
        <w:t xml:space="preserve"> 2015 Jul;20(4):378-85.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10.1111/anec.12233. </w:t>
      </w:r>
    </w:p>
    <w:p w14:paraId="385CDA17"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Sugihara N, </w:t>
      </w:r>
      <w:proofErr w:type="spellStart"/>
      <w:r w:rsidRPr="004022B2">
        <w:rPr>
          <w:rFonts w:ascii="Times New Roman" w:hAnsi="Times New Roman" w:cs="Times New Roman"/>
          <w:sz w:val="22"/>
          <w:szCs w:val="22"/>
        </w:rPr>
        <w:t>Matsuzaki</w:t>
      </w:r>
      <w:proofErr w:type="spellEnd"/>
      <w:r w:rsidRPr="004022B2">
        <w:rPr>
          <w:rFonts w:ascii="Times New Roman" w:hAnsi="Times New Roman" w:cs="Times New Roman"/>
          <w:sz w:val="22"/>
          <w:szCs w:val="22"/>
        </w:rPr>
        <w:t xml:space="preserve"> M. The influence of severe bone loss on mitral annular calcification in postmenopausal osteoporosis of elderly Japanese women. </w:t>
      </w:r>
      <w:proofErr w:type="spellStart"/>
      <w:r w:rsidRPr="004022B2">
        <w:rPr>
          <w:rFonts w:ascii="Times New Roman" w:hAnsi="Times New Roman" w:cs="Times New Roman"/>
          <w:i/>
          <w:iCs/>
          <w:sz w:val="22"/>
          <w:szCs w:val="22"/>
        </w:rPr>
        <w:t>Jpn</w:t>
      </w:r>
      <w:proofErr w:type="spellEnd"/>
      <w:r w:rsidRPr="004022B2">
        <w:rPr>
          <w:rFonts w:ascii="Times New Roman" w:hAnsi="Times New Roman" w:cs="Times New Roman"/>
          <w:i/>
          <w:iCs/>
          <w:sz w:val="22"/>
          <w:szCs w:val="22"/>
        </w:rPr>
        <w:t xml:space="preserve"> </w:t>
      </w:r>
      <w:proofErr w:type="spellStart"/>
      <w:r w:rsidRPr="004022B2">
        <w:rPr>
          <w:rFonts w:ascii="Times New Roman" w:hAnsi="Times New Roman" w:cs="Times New Roman"/>
          <w:i/>
          <w:iCs/>
          <w:sz w:val="22"/>
          <w:szCs w:val="22"/>
        </w:rPr>
        <w:t>Circ</w:t>
      </w:r>
      <w:proofErr w:type="spellEnd"/>
      <w:r w:rsidRPr="004022B2">
        <w:rPr>
          <w:rFonts w:ascii="Times New Roman" w:hAnsi="Times New Roman" w:cs="Times New Roman"/>
          <w:i/>
          <w:iCs/>
          <w:sz w:val="22"/>
          <w:szCs w:val="22"/>
        </w:rPr>
        <w:t xml:space="preserve"> J.</w:t>
      </w:r>
      <w:r w:rsidRPr="004022B2">
        <w:rPr>
          <w:rFonts w:ascii="Times New Roman" w:hAnsi="Times New Roman" w:cs="Times New Roman"/>
          <w:sz w:val="22"/>
          <w:szCs w:val="22"/>
        </w:rPr>
        <w:t xml:space="preserve"> 1993 Jan;57(1):14-26.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10.1253/jcj.57.14. </w:t>
      </w:r>
    </w:p>
    <w:p w14:paraId="5D27782A"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Bhatta L, </w:t>
      </w:r>
      <w:proofErr w:type="spellStart"/>
      <w:r w:rsidRPr="004022B2">
        <w:rPr>
          <w:rFonts w:ascii="Times New Roman" w:hAnsi="Times New Roman" w:cs="Times New Roman"/>
          <w:sz w:val="22"/>
          <w:szCs w:val="22"/>
        </w:rPr>
        <w:t>Cepelis</w:t>
      </w:r>
      <w:proofErr w:type="spellEnd"/>
      <w:r w:rsidRPr="004022B2">
        <w:rPr>
          <w:rFonts w:ascii="Times New Roman" w:hAnsi="Times New Roman" w:cs="Times New Roman"/>
          <w:sz w:val="22"/>
          <w:szCs w:val="22"/>
        </w:rPr>
        <w:t xml:space="preserve"> A, </w:t>
      </w:r>
      <w:proofErr w:type="spellStart"/>
      <w:r w:rsidRPr="004022B2">
        <w:rPr>
          <w:rFonts w:ascii="Times New Roman" w:hAnsi="Times New Roman" w:cs="Times New Roman"/>
          <w:sz w:val="22"/>
          <w:szCs w:val="22"/>
        </w:rPr>
        <w:t>Vikjord</w:t>
      </w:r>
      <w:proofErr w:type="spellEnd"/>
      <w:r w:rsidRPr="004022B2">
        <w:rPr>
          <w:rFonts w:ascii="Times New Roman" w:hAnsi="Times New Roman" w:cs="Times New Roman"/>
          <w:sz w:val="22"/>
          <w:szCs w:val="22"/>
        </w:rPr>
        <w:t xml:space="preserve"> SA, et al. Bone mineral density and risk of cardiovascular disease in men and women: the HUNT study. </w:t>
      </w:r>
      <w:r w:rsidRPr="004022B2">
        <w:rPr>
          <w:rFonts w:ascii="Times New Roman" w:hAnsi="Times New Roman" w:cs="Times New Roman"/>
          <w:i/>
          <w:iCs/>
          <w:sz w:val="22"/>
          <w:szCs w:val="22"/>
        </w:rPr>
        <w:t>Eur J Epidemiol</w:t>
      </w:r>
      <w:r w:rsidRPr="004022B2">
        <w:rPr>
          <w:rFonts w:ascii="Times New Roman" w:hAnsi="Times New Roman" w:cs="Times New Roman"/>
          <w:sz w:val="22"/>
          <w:szCs w:val="22"/>
        </w:rPr>
        <w:t xml:space="preserve">. 2021 Nov;36(11):1169-1177.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10.1007/s10654-021-00803-y.</w:t>
      </w:r>
    </w:p>
    <w:p w14:paraId="4E39BE98"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Fuchs FD, Whelton PK. High Blood Pressure and Cardiovascular Disease. </w:t>
      </w:r>
      <w:r w:rsidRPr="004022B2">
        <w:rPr>
          <w:rFonts w:ascii="Times New Roman" w:hAnsi="Times New Roman" w:cs="Times New Roman"/>
          <w:i/>
          <w:iCs/>
          <w:sz w:val="22"/>
          <w:szCs w:val="22"/>
        </w:rPr>
        <w:t>Hypertension.</w:t>
      </w:r>
      <w:r w:rsidRPr="004022B2">
        <w:rPr>
          <w:rFonts w:ascii="Times New Roman" w:hAnsi="Times New Roman" w:cs="Times New Roman"/>
          <w:sz w:val="22"/>
          <w:szCs w:val="22"/>
        </w:rPr>
        <w:t xml:space="preserve"> 2020 Feb;75(2):285-292.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10.1161/HYPERTENSIONAHA.119.14240. </w:t>
      </w:r>
    </w:p>
    <w:p w14:paraId="1851B72C"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Tsuda K, </w:t>
      </w:r>
      <w:proofErr w:type="spellStart"/>
      <w:r w:rsidRPr="004022B2">
        <w:rPr>
          <w:rFonts w:ascii="Times New Roman" w:hAnsi="Times New Roman" w:cs="Times New Roman"/>
          <w:sz w:val="22"/>
          <w:szCs w:val="22"/>
        </w:rPr>
        <w:t>Nishio</w:t>
      </w:r>
      <w:proofErr w:type="spellEnd"/>
      <w:r w:rsidRPr="004022B2">
        <w:rPr>
          <w:rFonts w:ascii="Times New Roman" w:hAnsi="Times New Roman" w:cs="Times New Roman"/>
          <w:sz w:val="22"/>
          <w:szCs w:val="22"/>
        </w:rPr>
        <w:t xml:space="preserve"> I, </w:t>
      </w:r>
      <w:proofErr w:type="spellStart"/>
      <w:r w:rsidRPr="004022B2">
        <w:rPr>
          <w:rFonts w:ascii="Times New Roman" w:hAnsi="Times New Roman" w:cs="Times New Roman"/>
          <w:sz w:val="22"/>
          <w:szCs w:val="22"/>
        </w:rPr>
        <w:t>Masuyama</w:t>
      </w:r>
      <w:proofErr w:type="spellEnd"/>
      <w:r w:rsidRPr="004022B2">
        <w:rPr>
          <w:rFonts w:ascii="Times New Roman" w:hAnsi="Times New Roman" w:cs="Times New Roman"/>
          <w:sz w:val="22"/>
          <w:szCs w:val="22"/>
        </w:rPr>
        <w:t xml:space="preserve"> Y. Bone mineral density in women with essential hypertension. </w:t>
      </w:r>
      <w:r w:rsidRPr="004022B2">
        <w:rPr>
          <w:rFonts w:ascii="Times New Roman" w:hAnsi="Times New Roman" w:cs="Times New Roman"/>
          <w:i/>
          <w:iCs/>
          <w:sz w:val="22"/>
          <w:szCs w:val="22"/>
        </w:rPr>
        <w:t xml:space="preserve">Am J </w:t>
      </w:r>
      <w:proofErr w:type="spellStart"/>
      <w:r w:rsidRPr="004022B2">
        <w:rPr>
          <w:rFonts w:ascii="Times New Roman" w:hAnsi="Times New Roman" w:cs="Times New Roman"/>
          <w:i/>
          <w:iCs/>
          <w:sz w:val="22"/>
          <w:szCs w:val="22"/>
        </w:rPr>
        <w:t>Hypertens</w:t>
      </w:r>
      <w:proofErr w:type="spellEnd"/>
      <w:r w:rsidRPr="004022B2">
        <w:rPr>
          <w:rFonts w:ascii="Times New Roman" w:hAnsi="Times New Roman" w:cs="Times New Roman"/>
          <w:i/>
          <w:iCs/>
          <w:sz w:val="22"/>
          <w:szCs w:val="22"/>
        </w:rPr>
        <w:t>.</w:t>
      </w:r>
      <w:r w:rsidRPr="004022B2">
        <w:rPr>
          <w:rFonts w:ascii="Times New Roman" w:hAnsi="Times New Roman" w:cs="Times New Roman"/>
          <w:sz w:val="22"/>
          <w:szCs w:val="22"/>
        </w:rPr>
        <w:t xml:space="preserve"> 2001 Jul;14(7 Pt 1):704-7.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10.1016/s0895-7061(01)01303-6. </w:t>
      </w:r>
    </w:p>
    <w:p w14:paraId="11ECC052"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t>Mussolino</w:t>
      </w:r>
      <w:proofErr w:type="spellEnd"/>
      <w:r w:rsidRPr="004022B2">
        <w:rPr>
          <w:rFonts w:ascii="Times New Roman" w:hAnsi="Times New Roman" w:cs="Times New Roman"/>
          <w:sz w:val="22"/>
          <w:szCs w:val="22"/>
        </w:rPr>
        <w:t xml:space="preserve"> ME, Gillum RF. Bone mineral density and hypertension prevalence in postmenopausal women: results from the Third National Health and Nutrition Examination Survey. </w:t>
      </w:r>
      <w:r w:rsidRPr="004022B2">
        <w:rPr>
          <w:rFonts w:ascii="Times New Roman" w:hAnsi="Times New Roman" w:cs="Times New Roman"/>
          <w:i/>
          <w:iCs/>
          <w:sz w:val="22"/>
          <w:szCs w:val="22"/>
        </w:rPr>
        <w:t>Ann Epidemiol.</w:t>
      </w:r>
      <w:r w:rsidRPr="004022B2">
        <w:rPr>
          <w:rFonts w:ascii="Times New Roman" w:hAnsi="Times New Roman" w:cs="Times New Roman"/>
          <w:sz w:val="22"/>
          <w:szCs w:val="22"/>
        </w:rPr>
        <w:t xml:space="preserve"> 2006 May;16(5):395-9.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10.1016/j.annepidem.2005.06.051. </w:t>
      </w:r>
    </w:p>
    <w:p w14:paraId="429AB925"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Jensen NS, </w:t>
      </w:r>
      <w:proofErr w:type="spellStart"/>
      <w:r w:rsidRPr="004022B2">
        <w:rPr>
          <w:rFonts w:ascii="Times New Roman" w:hAnsi="Times New Roman" w:cs="Times New Roman"/>
          <w:sz w:val="22"/>
          <w:szCs w:val="22"/>
        </w:rPr>
        <w:t>Wehland</w:t>
      </w:r>
      <w:proofErr w:type="spellEnd"/>
      <w:r w:rsidRPr="004022B2">
        <w:rPr>
          <w:rFonts w:ascii="Times New Roman" w:hAnsi="Times New Roman" w:cs="Times New Roman"/>
          <w:sz w:val="22"/>
          <w:szCs w:val="22"/>
        </w:rPr>
        <w:t xml:space="preserve"> M, Wise PM, Grimm D. Latest Knowledge on the Role of Vitamin D in Hypertension. </w:t>
      </w:r>
      <w:r w:rsidRPr="004022B2">
        <w:rPr>
          <w:rFonts w:ascii="Times New Roman" w:hAnsi="Times New Roman" w:cs="Times New Roman"/>
          <w:i/>
          <w:iCs/>
          <w:sz w:val="22"/>
          <w:szCs w:val="22"/>
        </w:rPr>
        <w:t>Int J Mol Sci</w:t>
      </w:r>
      <w:r w:rsidRPr="004022B2">
        <w:rPr>
          <w:rFonts w:ascii="Times New Roman" w:hAnsi="Times New Roman" w:cs="Times New Roman"/>
          <w:sz w:val="22"/>
          <w:szCs w:val="22"/>
        </w:rPr>
        <w:t xml:space="preserve">. 2023 Feb 28;24(5):4679.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xml:space="preserve">: 10.3390/ijms24054679. </w:t>
      </w:r>
    </w:p>
    <w:p w14:paraId="44BD927D" w14:textId="77777777" w:rsidR="00263A0F" w:rsidRPr="004022B2" w:rsidRDefault="00263A0F" w:rsidP="00263A0F">
      <w:pPr>
        <w:pStyle w:val="ListParagraph"/>
        <w:numPr>
          <w:ilvl w:val="0"/>
          <w:numId w:val="8"/>
        </w:numPr>
        <w:spacing w:line="480" w:lineRule="auto"/>
        <w:rPr>
          <w:rFonts w:ascii="Times New Roman" w:hAnsi="Times New Roman" w:cs="Times New Roman"/>
          <w:sz w:val="22"/>
          <w:szCs w:val="22"/>
        </w:rPr>
      </w:pPr>
      <w:r w:rsidRPr="004022B2">
        <w:rPr>
          <w:rFonts w:ascii="Times New Roman" w:hAnsi="Times New Roman" w:cs="Times New Roman"/>
          <w:sz w:val="22"/>
          <w:szCs w:val="22"/>
        </w:rPr>
        <w:t xml:space="preserve">Veronese N, Stubbs B, </w:t>
      </w:r>
      <w:proofErr w:type="spellStart"/>
      <w:r w:rsidRPr="004022B2">
        <w:rPr>
          <w:rFonts w:ascii="Times New Roman" w:hAnsi="Times New Roman" w:cs="Times New Roman"/>
          <w:sz w:val="22"/>
          <w:szCs w:val="22"/>
        </w:rPr>
        <w:t>Crepaldi</w:t>
      </w:r>
      <w:proofErr w:type="spellEnd"/>
      <w:r w:rsidRPr="004022B2">
        <w:rPr>
          <w:rFonts w:ascii="Times New Roman" w:hAnsi="Times New Roman" w:cs="Times New Roman"/>
          <w:sz w:val="22"/>
          <w:szCs w:val="22"/>
        </w:rPr>
        <w:t xml:space="preserve"> G, et al. Relationship between low bone Mineral Density and Fractures With Incident Cardiovascular Disease: a systematic review and Meta-analysis. </w:t>
      </w:r>
      <w:r w:rsidRPr="004022B2">
        <w:rPr>
          <w:rFonts w:ascii="Times New Roman" w:hAnsi="Times New Roman" w:cs="Times New Roman"/>
          <w:i/>
          <w:iCs/>
          <w:sz w:val="22"/>
          <w:szCs w:val="22"/>
        </w:rPr>
        <w:t>J Bone Min Res. </w:t>
      </w:r>
      <w:r w:rsidRPr="004022B2">
        <w:rPr>
          <w:rFonts w:ascii="Times New Roman" w:hAnsi="Times New Roman" w:cs="Times New Roman"/>
          <w:sz w:val="22"/>
          <w:szCs w:val="22"/>
        </w:rPr>
        <w:t>2017;</w:t>
      </w:r>
      <w:r w:rsidRPr="004022B2">
        <w:rPr>
          <w:rFonts w:ascii="Times New Roman" w:hAnsi="Times New Roman" w:cs="Times New Roman"/>
          <w:b/>
          <w:bCs/>
          <w:sz w:val="22"/>
          <w:szCs w:val="22"/>
        </w:rPr>
        <w:t>32</w:t>
      </w:r>
      <w:r w:rsidRPr="004022B2">
        <w:rPr>
          <w:rFonts w:ascii="Times New Roman" w:hAnsi="Times New Roman" w:cs="Times New Roman"/>
          <w:sz w:val="22"/>
          <w:szCs w:val="22"/>
        </w:rPr>
        <w:t xml:space="preserve">(5):1126–35. </w:t>
      </w:r>
      <w:proofErr w:type="spellStart"/>
      <w:r w:rsidRPr="004022B2">
        <w:rPr>
          <w:rFonts w:ascii="Times New Roman" w:hAnsi="Times New Roman" w:cs="Times New Roman"/>
          <w:sz w:val="22"/>
          <w:szCs w:val="22"/>
        </w:rPr>
        <w:t>doi</w:t>
      </w:r>
      <w:proofErr w:type="spellEnd"/>
      <w:r w:rsidRPr="004022B2">
        <w:rPr>
          <w:rFonts w:ascii="Times New Roman" w:hAnsi="Times New Roman" w:cs="Times New Roman"/>
          <w:sz w:val="22"/>
          <w:szCs w:val="22"/>
        </w:rPr>
        <w:t>: 10.1002/jbmr.3089. </w:t>
      </w:r>
    </w:p>
    <w:p w14:paraId="37A99B47" w14:textId="77777777" w:rsidR="00263A0F" w:rsidRPr="00373566" w:rsidRDefault="00263A0F" w:rsidP="00263A0F">
      <w:pPr>
        <w:pStyle w:val="ListParagraph"/>
        <w:numPr>
          <w:ilvl w:val="0"/>
          <w:numId w:val="8"/>
        </w:numPr>
        <w:spacing w:line="480" w:lineRule="auto"/>
        <w:rPr>
          <w:rFonts w:ascii="Times New Roman" w:hAnsi="Times New Roman" w:cs="Times New Roman"/>
          <w:sz w:val="22"/>
          <w:szCs w:val="22"/>
        </w:rPr>
      </w:pPr>
      <w:proofErr w:type="spellStart"/>
      <w:r w:rsidRPr="004022B2">
        <w:rPr>
          <w:rFonts w:ascii="Times New Roman" w:hAnsi="Times New Roman" w:cs="Times New Roman"/>
          <w:sz w:val="22"/>
          <w:szCs w:val="22"/>
        </w:rPr>
        <w:t>Nishkumay</w:t>
      </w:r>
      <w:proofErr w:type="spellEnd"/>
      <w:r w:rsidRPr="004022B2">
        <w:rPr>
          <w:rFonts w:ascii="Times New Roman" w:hAnsi="Times New Roman" w:cs="Times New Roman"/>
          <w:sz w:val="22"/>
          <w:szCs w:val="22"/>
        </w:rPr>
        <w:t xml:space="preserve"> O, </w:t>
      </w:r>
      <w:proofErr w:type="spellStart"/>
      <w:r w:rsidRPr="004022B2">
        <w:rPr>
          <w:rFonts w:ascii="Times New Roman" w:hAnsi="Times New Roman" w:cs="Times New Roman"/>
          <w:sz w:val="22"/>
          <w:szCs w:val="22"/>
        </w:rPr>
        <w:t>Mostbauer</w:t>
      </w:r>
      <w:proofErr w:type="spellEnd"/>
      <w:r w:rsidRPr="004022B2">
        <w:rPr>
          <w:rFonts w:ascii="Times New Roman" w:hAnsi="Times New Roman" w:cs="Times New Roman"/>
          <w:sz w:val="22"/>
          <w:szCs w:val="22"/>
        </w:rPr>
        <w:t xml:space="preserve"> H, </w:t>
      </w:r>
      <w:proofErr w:type="spellStart"/>
      <w:r w:rsidRPr="004022B2">
        <w:rPr>
          <w:rFonts w:ascii="Times New Roman" w:hAnsi="Times New Roman" w:cs="Times New Roman"/>
          <w:sz w:val="22"/>
          <w:szCs w:val="22"/>
        </w:rPr>
        <w:t>Alekseenko</w:t>
      </w:r>
      <w:proofErr w:type="spellEnd"/>
      <w:r w:rsidRPr="004022B2">
        <w:rPr>
          <w:rFonts w:ascii="Times New Roman" w:hAnsi="Times New Roman" w:cs="Times New Roman"/>
          <w:sz w:val="22"/>
          <w:szCs w:val="22"/>
        </w:rPr>
        <w:t xml:space="preserve"> O, et al. Arterial stiffness, vascular calcification and</w:t>
      </w:r>
      <w:r w:rsidRPr="00373566">
        <w:rPr>
          <w:rFonts w:ascii="Times New Roman" w:hAnsi="Times New Roman" w:cs="Times New Roman"/>
          <w:sz w:val="22"/>
          <w:szCs w:val="22"/>
        </w:rPr>
        <w:t xml:space="preserve"> osteoporosis - common mechanisms of interaction (literature review). PAIN, JOINTS. 2022;12(2):81–91. </w:t>
      </w:r>
      <w:proofErr w:type="spellStart"/>
      <w:r>
        <w:rPr>
          <w:rFonts w:ascii="Times New Roman" w:hAnsi="Times New Roman" w:cs="Times New Roman"/>
          <w:sz w:val="22"/>
          <w:szCs w:val="22"/>
        </w:rPr>
        <w:t>doi</w:t>
      </w:r>
      <w:proofErr w:type="spellEnd"/>
      <w:r>
        <w:rPr>
          <w:rFonts w:ascii="Times New Roman" w:hAnsi="Times New Roman" w:cs="Times New Roman"/>
          <w:sz w:val="22"/>
          <w:szCs w:val="22"/>
        </w:rPr>
        <w:t xml:space="preserve">: </w:t>
      </w:r>
      <w:r w:rsidRPr="00373566">
        <w:rPr>
          <w:rFonts w:ascii="Times New Roman" w:hAnsi="Times New Roman" w:cs="Times New Roman"/>
          <w:sz w:val="22"/>
          <w:szCs w:val="22"/>
        </w:rPr>
        <w:t>10.22141/pjs.12.2.2022.333.</w:t>
      </w:r>
    </w:p>
    <w:p w14:paraId="00B6D2C8" w14:textId="77777777" w:rsidR="00263A0F" w:rsidRPr="00373566" w:rsidRDefault="00263A0F" w:rsidP="00263A0F">
      <w:pPr>
        <w:pStyle w:val="ListParagraph"/>
        <w:numPr>
          <w:ilvl w:val="0"/>
          <w:numId w:val="8"/>
        </w:numPr>
        <w:spacing w:line="480" w:lineRule="auto"/>
        <w:rPr>
          <w:rFonts w:ascii="Times New Roman" w:hAnsi="Times New Roman" w:cs="Times New Roman"/>
          <w:sz w:val="22"/>
          <w:szCs w:val="22"/>
        </w:rPr>
      </w:pPr>
      <w:r w:rsidRPr="00373566">
        <w:rPr>
          <w:rFonts w:ascii="Times New Roman" w:hAnsi="Times New Roman" w:cs="Times New Roman"/>
          <w:sz w:val="22"/>
          <w:szCs w:val="22"/>
        </w:rPr>
        <w:lastRenderedPageBreak/>
        <w:t>Carmo LD, Harrison DG. Hypertension and osteoporosis: common pathophysiological mechanisms. </w:t>
      </w:r>
      <w:r w:rsidRPr="00373566">
        <w:rPr>
          <w:rFonts w:ascii="Times New Roman" w:hAnsi="Times New Roman" w:cs="Times New Roman"/>
          <w:i/>
          <w:iCs/>
          <w:sz w:val="22"/>
          <w:szCs w:val="22"/>
        </w:rPr>
        <w:t xml:space="preserve">Med Novel </w:t>
      </w:r>
      <w:proofErr w:type="spellStart"/>
      <w:r w:rsidRPr="00373566">
        <w:rPr>
          <w:rFonts w:ascii="Times New Roman" w:hAnsi="Times New Roman" w:cs="Times New Roman"/>
          <w:i/>
          <w:iCs/>
          <w:sz w:val="22"/>
          <w:szCs w:val="22"/>
        </w:rPr>
        <w:t>Technol</w:t>
      </w:r>
      <w:proofErr w:type="spellEnd"/>
      <w:r w:rsidRPr="00373566">
        <w:rPr>
          <w:rFonts w:ascii="Times New Roman" w:hAnsi="Times New Roman" w:cs="Times New Roman"/>
          <w:i/>
          <w:iCs/>
          <w:sz w:val="22"/>
          <w:szCs w:val="22"/>
        </w:rPr>
        <w:t xml:space="preserve"> Devices. </w:t>
      </w:r>
      <w:r w:rsidRPr="00373566">
        <w:rPr>
          <w:rFonts w:ascii="Times New Roman" w:hAnsi="Times New Roman" w:cs="Times New Roman"/>
          <w:sz w:val="22"/>
          <w:szCs w:val="22"/>
        </w:rPr>
        <w:t>2020;</w:t>
      </w:r>
      <w:r w:rsidRPr="00373566">
        <w:rPr>
          <w:rFonts w:ascii="Times New Roman" w:hAnsi="Times New Roman" w:cs="Times New Roman"/>
          <w:b/>
          <w:bCs/>
          <w:sz w:val="22"/>
          <w:szCs w:val="22"/>
        </w:rPr>
        <w:t>8</w:t>
      </w:r>
      <w:r w:rsidRPr="00373566">
        <w:rPr>
          <w:rFonts w:ascii="Times New Roman" w:hAnsi="Times New Roman" w:cs="Times New Roman"/>
          <w:sz w:val="22"/>
          <w:szCs w:val="22"/>
        </w:rPr>
        <w:t xml:space="preserve">:100047. </w:t>
      </w:r>
      <w:proofErr w:type="spellStart"/>
      <w:r w:rsidRPr="00373566">
        <w:rPr>
          <w:rFonts w:ascii="Times New Roman" w:hAnsi="Times New Roman" w:cs="Times New Roman"/>
          <w:sz w:val="22"/>
          <w:szCs w:val="22"/>
        </w:rPr>
        <w:t>doi</w:t>
      </w:r>
      <w:proofErr w:type="spellEnd"/>
      <w:r w:rsidRPr="00373566">
        <w:rPr>
          <w:rFonts w:ascii="Times New Roman" w:hAnsi="Times New Roman" w:cs="Times New Roman"/>
          <w:sz w:val="22"/>
          <w:szCs w:val="22"/>
        </w:rPr>
        <w:t>: 10.1016/j.medntd.2020.100047. </w:t>
      </w:r>
    </w:p>
    <w:p w14:paraId="00C0E9EC" w14:textId="77777777" w:rsidR="00263A0F" w:rsidRPr="00373566" w:rsidRDefault="00263A0F" w:rsidP="00263A0F">
      <w:pPr>
        <w:pStyle w:val="ListParagraph"/>
        <w:numPr>
          <w:ilvl w:val="0"/>
          <w:numId w:val="8"/>
        </w:numPr>
        <w:spacing w:line="480" w:lineRule="auto"/>
        <w:rPr>
          <w:rFonts w:ascii="Times New Roman" w:hAnsi="Times New Roman" w:cs="Times New Roman"/>
          <w:sz w:val="22"/>
          <w:szCs w:val="22"/>
        </w:rPr>
      </w:pPr>
      <w:r w:rsidRPr="00373566">
        <w:rPr>
          <w:rFonts w:ascii="Times New Roman" w:hAnsi="Times New Roman" w:cs="Times New Roman"/>
          <w:sz w:val="22"/>
          <w:szCs w:val="22"/>
        </w:rPr>
        <w:t xml:space="preserve">Condurache DG, D'Angelo S, Salih AM, et al. Bone health, cardiovascular disease, and imaging outcomes in UK Biobank: a causal analysis. </w:t>
      </w:r>
      <w:r w:rsidRPr="00373566">
        <w:rPr>
          <w:rFonts w:ascii="Times New Roman" w:hAnsi="Times New Roman" w:cs="Times New Roman"/>
          <w:i/>
          <w:iCs/>
          <w:sz w:val="22"/>
          <w:szCs w:val="22"/>
        </w:rPr>
        <w:t>JBMR Plus</w:t>
      </w:r>
      <w:r w:rsidRPr="00373566">
        <w:rPr>
          <w:rFonts w:ascii="Times New Roman" w:hAnsi="Times New Roman" w:cs="Times New Roman"/>
          <w:sz w:val="22"/>
          <w:szCs w:val="22"/>
        </w:rPr>
        <w:t xml:space="preserve">. 2024 Apr 25;8(6):ziae058. </w:t>
      </w:r>
      <w:proofErr w:type="spellStart"/>
      <w:r w:rsidRPr="00373566">
        <w:rPr>
          <w:rFonts w:ascii="Times New Roman" w:hAnsi="Times New Roman" w:cs="Times New Roman"/>
          <w:sz w:val="22"/>
          <w:szCs w:val="22"/>
        </w:rPr>
        <w:t>doi</w:t>
      </w:r>
      <w:proofErr w:type="spellEnd"/>
      <w:r w:rsidRPr="00373566">
        <w:rPr>
          <w:rFonts w:ascii="Times New Roman" w:hAnsi="Times New Roman" w:cs="Times New Roman"/>
          <w:sz w:val="22"/>
          <w:szCs w:val="22"/>
        </w:rPr>
        <w:t>: 10.1093/</w:t>
      </w:r>
      <w:proofErr w:type="spellStart"/>
      <w:r w:rsidRPr="00373566">
        <w:rPr>
          <w:rFonts w:ascii="Times New Roman" w:hAnsi="Times New Roman" w:cs="Times New Roman"/>
          <w:sz w:val="22"/>
          <w:szCs w:val="22"/>
        </w:rPr>
        <w:t>jbmrpl</w:t>
      </w:r>
      <w:proofErr w:type="spellEnd"/>
      <w:r w:rsidRPr="00373566">
        <w:rPr>
          <w:rFonts w:ascii="Times New Roman" w:hAnsi="Times New Roman" w:cs="Times New Roman"/>
          <w:sz w:val="22"/>
          <w:szCs w:val="22"/>
        </w:rPr>
        <w:t xml:space="preserve">/ziae058. </w:t>
      </w:r>
    </w:p>
    <w:p w14:paraId="03DABD1C" w14:textId="77777777" w:rsidR="00263A0F" w:rsidRPr="00373566" w:rsidRDefault="00263A0F" w:rsidP="00263A0F">
      <w:pPr>
        <w:pStyle w:val="ListParagraph"/>
        <w:numPr>
          <w:ilvl w:val="0"/>
          <w:numId w:val="8"/>
        </w:numPr>
        <w:spacing w:line="480" w:lineRule="auto"/>
        <w:rPr>
          <w:rFonts w:ascii="Times New Roman" w:hAnsi="Times New Roman" w:cs="Times New Roman"/>
          <w:sz w:val="22"/>
          <w:szCs w:val="22"/>
        </w:rPr>
      </w:pPr>
      <w:r w:rsidRPr="00373566">
        <w:rPr>
          <w:rFonts w:ascii="Times New Roman" w:hAnsi="Times New Roman" w:cs="Times New Roman"/>
          <w:sz w:val="22"/>
          <w:szCs w:val="22"/>
        </w:rPr>
        <w:t xml:space="preserve">Nishida K, Otsu K. Inflammation and metabolic cardiomyopathy. </w:t>
      </w:r>
      <w:r w:rsidRPr="00373566">
        <w:rPr>
          <w:rFonts w:ascii="Times New Roman" w:hAnsi="Times New Roman" w:cs="Times New Roman"/>
          <w:i/>
          <w:iCs/>
          <w:sz w:val="22"/>
          <w:szCs w:val="22"/>
        </w:rPr>
        <w:t>Cardiovasc Res.</w:t>
      </w:r>
      <w:r w:rsidRPr="00373566">
        <w:rPr>
          <w:rFonts w:ascii="Times New Roman" w:hAnsi="Times New Roman" w:cs="Times New Roman"/>
          <w:sz w:val="22"/>
          <w:szCs w:val="22"/>
        </w:rPr>
        <w:t xml:space="preserve"> 2017 Mar 15;113(4):389-398. </w:t>
      </w:r>
      <w:proofErr w:type="spellStart"/>
      <w:r w:rsidRPr="00373566">
        <w:rPr>
          <w:rFonts w:ascii="Times New Roman" w:hAnsi="Times New Roman" w:cs="Times New Roman"/>
          <w:sz w:val="22"/>
          <w:szCs w:val="22"/>
        </w:rPr>
        <w:t>doi</w:t>
      </w:r>
      <w:proofErr w:type="spellEnd"/>
      <w:r w:rsidRPr="00373566">
        <w:rPr>
          <w:rFonts w:ascii="Times New Roman" w:hAnsi="Times New Roman" w:cs="Times New Roman"/>
          <w:sz w:val="22"/>
          <w:szCs w:val="22"/>
        </w:rPr>
        <w:t>: 10.1093/</w:t>
      </w:r>
      <w:proofErr w:type="spellStart"/>
      <w:r w:rsidRPr="00373566">
        <w:rPr>
          <w:rFonts w:ascii="Times New Roman" w:hAnsi="Times New Roman" w:cs="Times New Roman"/>
          <w:sz w:val="22"/>
          <w:szCs w:val="22"/>
        </w:rPr>
        <w:t>cvr</w:t>
      </w:r>
      <w:proofErr w:type="spellEnd"/>
      <w:r w:rsidRPr="00373566">
        <w:rPr>
          <w:rFonts w:ascii="Times New Roman" w:hAnsi="Times New Roman" w:cs="Times New Roman"/>
          <w:sz w:val="22"/>
          <w:szCs w:val="22"/>
        </w:rPr>
        <w:t>/cvx012.</w:t>
      </w:r>
    </w:p>
    <w:p w14:paraId="0E616FFB" w14:textId="77777777" w:rsidR="00976CEA" w:rsidRPr="008261FA" w:rsidRDefault="00976CEA" w:rsidP="00263A0F">
      <w:pPr>
        <w:spacing w:line="480" w:lineRule="auto"/>
        <w:rPr>
          <w:rFonts w:ascii="Times New Roman" w:hAnsi="Times New Roman" w:cs="Times New Roman"/>
          <w:b/>
          <w:bCs/>
          <w:sz w:val="22"/>
          <w:szCs w:val="22"/>
        </w:rPr>
      </w:pPr>
    </w:p>
    <w:sectPr w:rsidR="00976CEA" w:rsidRPr="008261FA" w:rsidSect="00715D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EBF4" w14:textId="77777777" w:rsidR="00D51679" w:rsidRDefault="00D51679" w:rsidP="00D9232C">
      <w:r>
        <w:separator/>
      </w:r>
    </w:p>
  </w:endnote>
  <w:endnote w:type="continuationSeparator" w:id="0">
    <w:p w14:paraId="142216A2" w14:textId="77777777" w:rsidR="00D51679" w:rsidRDefault="00D51679" w:rsidP="00D9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3394330"/>
      <w:docPartObj>
        <w:docPartGallery w:val="Page Numbers (Bottom of Page)"/>
        <w:docPartUnique/>
      </w:docPartObj>
    </w:sdtPr>
    <w:sdtEndPr>
      <w:rPr>
        <w:rStyle w:val="PageNumber"/>
      </w:rPr>
    </w:sdtEndPr>
    <w:sdtContent>
      <w:p w14:paraId="5095412C" w14:textId="77777777" w:rsidR="00C51AD2" w:rsidRDefault="00C51AD2" w:rsidP="001913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F21F9C" w14:textId="77777777" w:rsidR="00C51AD2" w:rsidRDefault="00C51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5672400"/>
      <w:docPartObj>
        <w:docPartGallery w:val="Page Numbers (Bottom of Page)"/>
        <w:docPartUnique/>
      </w:docPartObj>
    </w:sdtPr>
    <w:sdtEndPr>
      <w:rPr>
        <w:rStyle w:val="PageNumber"/>
      </w:rPr>
    </w:sdtEndPr>
    <w:sdtContent>
      <w:p w14:paraId="3CDD9F0D" w14:textId="77777777" w:rsidR="00C51AD2" w:rsidRDefault="00C51AD2" w:rsidP="001913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2B8B25" w14:textId="77777777" w:rsidR="00C51AD2" w:rsidRDefault="00C51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6751006"/>
      <w:docPartObj>
        <w:docPartGallery w:val="Page Numbers (Bottom of Page)"/>
        <w:docPartUnique/>
      </w:docPartObj>
    </w:sdtPr>
    <w:sdtEndPr>
      <w:rPr>
        <w:rStyle w:val="PageNumber"/>
      </w:rPr>
    </w:sdtEndPr>
    <w:sdtContent>
      <w:p w14:paraId="7FCE46CB" w14:textId="09CC657D" w:rsidR="006A450F" w:rsidRDefault="006A450F" w:rsidP="001913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51AD2">
          <w:rPr>
            <w:rStyle w:val="PageNumber"/>
            <w:noProof/>
          </w:rPr>
          <w:t>22</w:t>
        </w:r>
        <w:r>
          <w:rPr>
            <w:rStyle w:val="PageNumber"/>
          </w:rPr>
          <w:fldChar w:fldCharType="end"/>
        </w:r>
      </w:p>
    </w:sdtContent>
  </w:sdt>
  <w:p w14:paraId="277ED1C8" w14:textId="77777777" w:rsidR="006A450F" w:rsidRDefault="006A45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8480220"/>
      <w:docPartObj>
        <w:docPartGallery w:val="Page Numbers (Bottom of Page)"/>
        <w:docPartUnique/>
      </w:docPartObj>
    </w:sdtPr>
    <w:sdtEndPr>
      <w:rPr>
        <w:rStyle w:val="PageNumber"/>
      </w:rPr>
    </w:sdtEndPr>
    <w:sdtContent>
      <w:p w14:paraId="66A7FD95" w14:textId="77777777" w:rsidR="006A450F" w:rsidRDefault="006A450F" w:rsidP="001913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B82F3E" w14:textId="77777777" w:rsidR="006A450F" w:rsidRDefault="006A45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9410829"/>
      <w:docPartObj>
        <w:docPartGallery w:val="Page Numbers (Bottom of Page)"/>
        <w:docPartUnique/>
      </w:docPartObj>
    </w:sdtPr>
    <w:sdtEndPr>
      <w:rPr>
        <w:rStyle w:val="PageNumber"/>
      </w:rPr>
    </w:sdtEndPr>
    <w:sdtContent>
      <w:p w14:paraId="1C4B5CE8" w14:textId="057F9746" w:rsidR="00D9232C" w:rsidRDefault="00D9232C" w:rsidP="006602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A41F22" w14:textId="77777777" w:rsidR="00D9232C" w:rsidRDefault="00D923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7405868"/>
      <w:docPartObj>
        <w:docPartGallery w:val="Page Numbers (Bottom of Page)"/>
        <w:docPartUnique/>
      </w:docPartObj>
    </w:sdtPr>
    <w:sdtEndPr>
      <w:rPr>
        <w:rStyle w:val="PageNumber"/>
      </w:rPr>
    </w:sdtEndPr>
    <w:sdtContent>
      <w:p w14:paraId="70D57F4D" w14:textId="060A4647" w:rsidR="00D9232C" w:rsidRDefault="00D9232C" w:rsidP="006602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816391" w14:textId="77777777" w:rsidR="00D9232C" w:rsidRDefault="00D92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655C" w14:textId="77777777" w:rsidR="00D51679" w:rsidRDefault="00D51679" w:rsidP="00D9232C">
      <w:r>
        <w:separator/>
      </w:r>
    </w:p>
  </w:footnote>
  <w:footnote w:type="continuationSeparator" w:id="0">
    <w:p w14:paraId="3BB77E13" w14:textId="77777777" w:rsidR="00D51679" w:rsidRDefault="00D51679" w:rsidP="00D92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51E"/>
    <w:multiLevelType w:val="hybridMultilevel"/>
    <w:tmpl w:val="F372E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A92E5E"/>
    <w:multiLevelType w:val="hybridMultilevel"/>
    <w:tmpl w:val="FAB0F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670B4"/>
    <w:multiLevelType w:val="hybridMultilevel"/>
    <w:tmpl w:val="F51E3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C4EE2"/>
    <w:multiLevelType w:val="hybridMultilevel"/>
    <w:tmpl w:val="E1C6E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67605"/>
    <w:multiLevelType w:val="hybridMultilevel"/>
    <w:tmpl w:val="74186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2C595A"/>
    <w:multiLevelType w:val="hybridMultilevel"/>
    <w:tmpl w:val="27C4F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506EB3"/>
    <w:multiLevelType w:val="hybridMultilevel"/>
    <w:tmpl w:val="F372E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6A03B3"/>
    <w:multiLevelType w:val="hybridMultilevel"/>
    <w:tmpl w:val="3C68D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366258"/>
    <w:multiLevelType w:val="hybridMultilevel"/>
    <w:tmpl w:val="3C68D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0C2935"/>
    <w:multiLevelType w:val="hybridMultilevel"/>
    <w:tmpl w:val="06787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3"/>
  </w:num>
  <w:num w:numId="5">
    <w:abstractNumId w:val="9"/>
  </w:num>
  <w:num w:numId="6">
    <w:abstractNumId w:val="1"/>
  </w:num>
  <w:num w:numId="7">
    <w:abstractNumId w:val="2"/>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2C"/>
    <w:rsid w:val="00005321"/>
    <w:rsid w:val="00026CED"/>
    <w:rsid w:val="00030B02"/>
    <w:rsid w:val="00034A5F"/>
    <w:rsid w:val="00041D9C"/>
    <w:rsid w:val="00051725"/>
    <w:rsid w:val="000560E7"/>
    <w:rsid w:val="000578F9"/>
    <w:rsid w:val="00076361"/>
    <w:rsid w:val="00081449"/>
    <w:rsid w:val="00090873"/>
    <w:rsid w:val="00092B33"/>
    <w:rsid w:val="000952EB"/>
    <w:rsid w:val="000B2E64"/>
    <w:rsid w:val="000C5862"/>
    <w:rsid w:val="000C79FC"/>
    <w:rsid w:val="000E084F"/>
    <w:rsid w:val="000E2091"/>
    <w:rsid w:val="000E3873"/>
    <w:rsid w:val="000F0AC2"/>
    <w:rsid w:val="000F2173"/>
    <w:rsid w:val="000F5677"/>
    <w:rsid w:val="00152A18"/>
    <w:rsid w:val="001538F4"/>
    <w:rsid w:val="00167E45"/>
    <w:rsid w:val="0017522B"/>
    <w:rsid w:val="001760E2"/>
    <w:rsid w:val="001837A1"/>
    <w:rsid w:val="00184957"/>
    <w:rsid w:val="001862F8"/>
    <w:rsid w:val="00190D57"/>
    <w:rsid w:val="001B709F"/>
    <w:rsid w:val="001D059F"/>
    <w:rsid w:val="001D32F8"/>
    <w:rsid w:val="001D413B"/>
    <w:rsid w:val="001E3F47"/>
    <w:rsid w:val="001E6FCE"/>
    <w:rsid w:val="001F2013"/>
    <w:rsid w:val="002107AB"/>
    <w:rsid w:val="00222B70"/>
    <w:rsid w:val="00230CFB"/>
    <w:rsid w:val="002330BE"/>
    <w:rsid w:val="002573AA"/>
    <w:rsid w:val="00260489"/>
    <w:rsid w:val="00260585"/>
    <w:rsid w:val="00263A0F"/>
    <w:rsid w:val="00270917"/>
    <w:rsid w:val="00270D0C"/>
    <w:rsid w:val="0027695A"/>
    <w:rsid w:val="00281FAA"/>
    <w:rsid w:val="002A6E0C"/>
    <w:rsid w:val="002B4293"/>
    <w:rsid w:val="002E11CD"/>
    <w:rsid w:val="002F3EED"/>
    <w:rsid w:val="0030147D"/>
    <w:rsid w:val="00306EFE"/>
    <w:rsid w:val="00314E27"/>
    <w:rsid w:val="00317B66"/>
    <w:rsid w:val="00323234"/>
    <w:rsid w:val="00336822"/>
    <w:rsid w:val="00342D94"/>
    <w:rsid w:val="003540B6"/>
    <w:rsid w:val="0035480F"/>
    <w:rsid w:val="00373566"/>
    <w:rsid w:val="00381DA9"/>
    <w:rsid w:val="00384840"/>
    <w:rsid w:val="003B0F8C"/>
    <w:rsid w:val="003B1F64"/>
    <w:rsid w:val="003B304E"/>
    <w:rsid w:val="003C2F96"/>
    <w:rsid w:val="003C4375"/>
    <w:rsid w:val="003D0498"/>
    <w:rsid w:val="003E434D"/>
    <w:rsid w:val="003E45D5"/>
    <w:rsid w:val="003E59D5"/>
    <w:rsid w:val="004022B2"/>
    <w:rsid w:val="00405C94"/>
    <w:rsid w:val="00407571"/>
    <w:rsid w:val="004134C1"/>
    <w:rsid w:val="00413EA8"/>
    <w:rsid w:val="00417724"/>
    <w:rsid w:val="00420FF7"/>
    <w:rsid w:val="004269E7"/>
    <w:rsid w:val="004271A7"/>
    <w:rsid w:val="004326CD"/>
    <w:rsid w:val="00437278"/>
    <w:rsid w:val="0044413C"/>
    <w:rsid w:val="00444E8A"/>
    <w:rsid w:val="00493BB0"/>
    <w:rsid w:val="004958D7"/>
    <w:rsid w:val="004966D1"/>
    <w:rsid w:val="004A4B92"/>
    <w:rsid w:val="004A7AFA"/>
    <w:rsid w:val="004B5693"/>
    <w:rsid w:val="004C02BB"/>
    <w:rsid w:val="004C055E"/>
    <w:rsid w:val="004C0FFF"/>
    <w:rsid w:val="004C2F4D"/>
    <w:rsid w:val="004E462C"/>
    <w:rsid w:val="00501AD9"/>
    <w:rsid w:val="005077EC"/>
    <w:rsid w:val="00512A39"/>
    <w:rsid w:val="005143FC"/>
    <w:rsid w:val="005229F2"/>
    <w:rsid w:val="00535F7C"/>
    <w:rsid w:val="0054129B"/>
    <w:rsid w:val="005419B4"/>
    <w:rsid w:val="0054747F"/>
    <w:rsid w:val="00551283"/>
    <w:rsid w:val="00552A7C"/>
    <w:rsid w:val="005640F6"/>
    <w:rsid w:val="00567AD3"/>
    <w:rsid w:val="00577B44"/>
    <w:rsid w:val="00577C86"/>
    <w:rsid w:val="00583BFA"/>
    <w:rsid w:val="005A3CE2"/>
    <w:rsid w:val="005E6A08"/>
    <w:rsid w:val="005F6190"/>
    <w:rsid w:val="006147EC"/>
    <w:rsid w:val="00620C75"/>
    <w:rsid w:val="00620D07"/>
    <w:rsid w:val="00632209"/>
    <w:rsid w:val="00634792"/>
    <w:rsid w:val="00637924"/>
    <w:rsid w:val="00637BEC"/>
    <w:rsid w:val="00641AFF"/>
    <w:rsid w:val="0065040C"/>
    <w:rsid w:val="00661516"/>
    <w:rsid w:val="006648BC"/>
    <w:rsid w:val="00667136"/>
    <w:rsid w:val="0068571A"/>
    <w:rsid w:val="006901B2"/>
    <w:rsid w:val="006904D7"/>
    <w:rsid w:val="00697354"/>
    <w:rsid w:val="006A3A95"/>
    <w:rsid w:val="006A450F"/>
    <w:rsid w:val="006A6391"/>
    <w:rsid w:val="006C710B"/>
    <w:rsid w:val="006D08FF"/>
    <w:rsid w:val="006D0926"/>
    <w:rsid w:val="006D63E9"/>
    <w:rsid w:val="006E5FC9"/>
    <w:rsid w:val="00710610"/>
    <w:rsid w:val="00711312"/>
    <w:rsid w:val="0071501D"/>
    <w:rsid w:val="00715D3E"/>
    <w:rsid w:val="007253CF"/>
    <w:rsid w:val="00732835"/>
    <w:rsid w:val="0074390A"/>
    <w:rsid w:val="007500A3"/>
    <w:rsid w:val="00756AF9"/>
    <w:rsid w:val="007577EE"/>
    <w:rsid w:val="00761766"/>
    <w:rsid w:val="00770862"/>
    <w:rsid w:val="007B2C0A"/>
    <w:rsid w:val="007C0EE0"/>
    <w:rsid w:val="007C159B"/>
    <w:rsid w:val="007C26D8"/>
    <w:rsid w:val="007C436D"/>
    <w:rsid w:val="007E3040"/>
    <w:rsid w:val="007E75D7"/>
    <w:rsid w:val="007F0E01"/>
    <w:rsid w:val="007F7523"/>
    <w:rsid w:val="0081749D"/>
    <w:rsid w:val="008261FA"/>
    <w:rsid w:val="00827347"/>
    <w:rsid w:val="00842614"/>
    <w:rsid w:val="00842D39"/>
    <w:rsid w:val="00844CAE"/>
    <w:rsid w:val="0085218B"/>
    <w:rsid w:val="00852D21"/>
    <w:rsid w:val="00853153"/>
    <w:rsid w:val="008542CE"/>
    <w:rsid w:val="00854ECC"/>
    <w:rsid w:val="00856B7E"/>
    <w:rsid w:val="008603F3"/>
    <w:rsid w:val="00876418"/>
    <w:rsid w:val="0088068C"/>
    <w:rsid w:val="008A146F"/>
    <w:rsid w:val="008A5717"/>
    <w:rsid w:val="008A6C19"/>
    <w:rsid w:val="008A7D94"/>
    <w:rsid w:val="008C3298"/>
    <w:rsid w:val="008C4694"/>
    <w:rsid w:val="008C4AF2"/>
    <w:rsid w:val="008C69C0"/>
    <w:rsid w:val="008E2C10"/>
    <w:rsid w:val="008E4C89"/>
    <w:rsid w:val="008E64C3"/>
    <w:rsid w:val="008E770D"/>
    <w:rsid w:val="008F5001"/>
    <w:rsid w:val="00904562"/>
    <w:rsid w:val="00934818"/>
    <w:rsid w:val="00941246"/>
    <w:rsid w:val="0094362C"/>
    <w:rsid w:val="009542CE"/>
    <w:rsid w:val="00972E66"/>
    <w:rsid w:val="00976CEA"/>
    <w:rsid w:val="00980323"/>
    <w:rsid w:val="009851E6"/>
    <w:rsid w:val="00986E69"/>
    <w:rsid w:val="009878CB"/>
    <w:rsid w:val="0099415E"/>
    <w:rsid w:val="009A03B4"/>
    <w:rsid w:val="009A2E88"/>
    <w:rsid w:val="009A4F54"/>
    <w:rsid w:val="009B6B18"/>
    <w:rsid w:val="009B7F0B"/>
    <w:rsid w:val="009C54DB"/>
    <w:rsid w:val="009D3F3D"/>
    <w:rsid w:val="009D7749"/>
    <w:rsid w:val="009F5197"/>
    <w:rsid w:val="00A05F00"/>
    <w:rsid w:val="00A11F92"/>
    <w:rsid w:val="00A20E9F"/>
    <w:rsid w:val="00A22766"/>
    <w:rsid w:val="00A231D0"/>
    <w:rsid w:val="00A31E87"/>
    <w:rsid w:val="00A32AC7"/>
    <w:rsid w:val="00A33230"/>
    <w:rsid w:val="00A36236"/>
    <w:rsid w:val="00A4449F"/>
    <w:rsid w:val="00A559BE"/>
    <w:rsid w:val="00A72892"/>
    <w:rsid w:val="00A865F3"/>
    <w:rsid w:val="00A95EF7"/>
    <w:rsid w:val="00A97499"/>
    <w:rsid w:val="00AA07C4"/>
    <w:rsid w:val="00AA0C5D"/>
    <w:rsid w:val="00AA11E7"/>
    <w:rsid w:val="00AA351C"/>
    <w:rsid w:val="00AA7722"/>
    <w:rsid w:val="00AD398F"/>
    <w:rsid w:val="00AD6160"/>
    <w:rsid w:val="00AE0FF1"/>
    <w:rsid w:val="00AE1B74"/>
    <w:rsid w:val="00AF39E1"/>
    <w:rsid w:val="00B0611D"/>
    <w:rsid w:val="00B312F6"/>
    <w:rsid w:val="00B365AC"/>
    <w:rsid w:val="00B5306A"/>
    <w:rsid w:val="00B53189"/>
    <w:rsid w:val="00B63539"/>
    <w:rsid w:val="00B7749F"/>
    <w:rsid w:val="00B977E6"/>
    <w:rsid w:val="00BA488E"/>
    <w:rsid w:val="00BB0E7B"/>
    <w:rsid w:val="00BB5A88"/>
    <w:rsid w:val="00BB7110"/>
    <w:rsid w:val="00BB78AA"/>
    <w:rsid w:val="00BC10FD"/>
    <w:rsid w:val="00BC6451"/>
    <w:rsid w:val="00BE1563"/>
    <w:rsid w:val="00BE18B2"/>
    <w:rsid w:val="00BE444F"/>
    <w:rsid w:val="00BE566A"/>
    <w:rsid w:val="00BE567A"/>
    <w:rsid w:val="00BF1766"/>
    <w:rsid w:val="00BF5466"/>
    <w:rsid w:val="00C06C6C"/>
    <w:rsid w:val="00C10E72"/>
    <w:rsid w:val="00C151E0"/>
    <w:rsid w:val="00C2042A"/>
    <w:rsid w:val="00C208D4"/>
    <w:rsid w:val="00C32732"/>
    <w:rsid w:val="00C358D1"/>
    <w:rsid w:val="00C51AD2"/>
    <w:rsid w:val="00C605B3"/>
    <w:rsid w:val="00C65C2D"/>
    <w:rsid w:val="00C6757A"/>
    <w:rsid w:val="00C7519E"/>
    <w:rsid w:val="00C75DA3"/>
    <w:rsid w:val="00C75F87"/>
    <w:rsid w:val="00C77837"/>
    <w:rsid w:val="00C91482"/>
    <w:rsid w:val="00C91B1D"/>
    <w:rsid w:val="00C923A6"/>
    <w:rsid w:val="00C97770"/>
    <w:rsid w:val="00CC14C4"/>
    <w:rsid w:val="00CE26AD"/>
    <w:rsid w:val="00CF08A6"/>
    <w:rsid w:val="00CF320B"/>
    <w:rsid w:val="00D1232B"/>
    <w:rsid w:val="00D12A7A"/>
    <w:rsid w:val="00D15202"/>
    <w:rsid w:val="00D313A7"/>
    <w:rsid w:val="00D371A4"/>
    <w:rsid w:val="00D37A09"/>
    <w:rsid w:val="00D433A6"/>
    <w:rsid w:val="00D463F2"/>
    <w:rsid w:val="00D51679"/>
    <w:rsid w:val="00D51BFB"/>
    <w:rsid w:val="00D663F0"/>
    <w:rsid w:val="00D75CC9"/>
    <w:rsid w:val="00D7600F"/>
    <w:rsid w:val="00D878D9"/>
    <w:rsid w:val="00D9232C"/>
    <w:rsid w:val="00D93652"/>
    <w:rsid w:val="00D94627"/>
    <w:rsid w:val="00D9624C"/>
    <w:rsid w:val="00DA1912"/>
    <w:rsid w:val="00DC74DD"/>
    <w:rsid w:val="00DC7524"/>
    <w:rsid w:val="00DD07D0"/>
    <w:rsid w:val="00DD110A"/>
    <w:rsid w:val="00E06085"/>
    <w:rsid w:val="00E26064"/>
    <w:rsid w:val="00E30C25"/>
    <w:rsid w:val="00E62404"/>
    <w:rsid w:val="00E6450C"/>
    <w:rsid w:val="00E779FC"/>
    <w:rsid w:val="00E8504B"/>
    <w:rsid w:val="00E866AE"/>
    <w:rsid w:val="00E8774C"/>
    <w:rsid w:val="00E90B8E"/>
    <w:rsid w:val="00E97157"/>
    <w:rsid w:val="00EC276F"/>
    <w:rsid w:val="00EC2A83"/>
    <w:rsid w:val="00EC6F53"/>
    <w:rsid w:val="00ED2F55"/>
    <w:rsid w:val="00ED38F5"/>
    <w:rsid w:val="00ED3A5A"/>
    <w:rsid w:val="00ED70B2"/>
    <w:rsid w:val="00EE2E3D"/>
    <w:rsid w:val="00EE4752"/>
    <w:rsid w:val="00EF2A90"/>
    <w:rsid w:val="00EF34F9"/>
    <w:rsid w:val="00EF71CD"/>
    <w:rsid w:val="00F1434B"/>
    <w:rsid w:val="00F203CC"/>
    <w:rsid w:val="00F204AE"/>
    <w:rsid w:val="00F25CD2"/>
    <w:rsid w:val="00F26EC1"/>
    <w:rsid w:val="00F37B55"/>
    <w:rsid w:val="00F5586E"/>
    <w:rsid w:val="00F6088E"/>
    <w:rsid w:val="00F64204"/>
    <w:rsid w:val="00F91FDE"/>
    <w:rsid w:val="00FA2305"/>
    <w:rsid w:val="00FA3352"/>
    <w:rsid w:val="00FB54E5"/>
    <w:rsid w:val="00FC1677"/>
    <w:rsid w:val="00FC30E5"/>
    <w:rsid w:val="00FC6707"/>
    <w:rsid w:val="00FD07DB"/>
    <w:rsid w:val="00FD4A72"/>
    <w:rsid w:val="00FD687A"/>
    <w:rsid w:val="00FF0E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A9B8"/>
  <w15:chartTrackingRefBased/>
  <w15:docId w15:val="{1055F5DA-20F7-A947-9C0D-8B504AB7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2C"/>
  </w:style>
  <w:style w:type="paragraph" w:styleId="Heading1">
    <w:name w:val="heading 1"/>
    <w:basedOn w:val="Normal"/>
    <w:next w:val="Normal"/>
    <w:link w:val="Heading1Char"/>
    <w:uiPriority w:val="9"/>
    <w:qFormat/>
    <w:rsid w:val="00D92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2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3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2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2C"/>
    <w:rPr>
      <w:rFonts w:eastAsiaTheme="majorEastAsia" w:cstheme="majorBidi"/>
      <w:color w:val="272727" w:themeColor="text1" w:themeTint="D8"/>
    </w:rPr>
  </w:style>
  <w:style w:type="paragraph" w:styleId="Title">
    <w:name w:val="Title"/>
    <w:basedOn w:val="Normal"/>
    <w:next w:val="Normal"/>
    <w:link w:val="TitleChar"/>
    <w:uiPriority w:val="10"/>
    <w:qFormat/>
    <w:rsid w:val="00D923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232C"/>
    <w:rPr>
      <w:i/>
      <w:iCs/>
      <w:color w:val="404040" w:themeColor="text1" w:themeTint="BF"/>
    </w:rPr>
  </w:style>
  <w:style w:type="paragraph" w:styleId="ListParagraph">
    <w:name w:val="List Paragraph"/>
    <w:basedOn w:val="Normal"/>
    <w:uiPriority w:val="34"/>
    <w:qFormat/>
    <w:rsid w:val="00D9232C"/>
    <w:pPr>
      <w:ind w:left="720"/>
      <w:contextualSpacing/>
    </w:pPr>
  </w:style>
  <w:style w:type="character" w:styleId="IntenseEmphasis">
    <w:name w:val="Intense Emphasis"/>
    <w:basedOn w:val="DefaultParagraphFont"/>
    <w:uiPriority w:val="21"/>
    <w:qFormat/>
    <w:rsid w:val="00D9232C"/>
    <w:rPr>
      <w:i/>
      <w:iCs/>
      <w:color w:val="0F4761" w:themeColor="accent1" w:themeShade="BF"/>
    </w:rPr>
  </w:style>
  <w:style w:type="paragraph" w:styleId="IntenseQuote">
    <w:name w:val="Intense Quote"/>
    <w:basedOn w:val="Normal"/>
    <w:next w:val="Normal"/>
    <w:link w:val="IntenseQuoteChar"/>
    <w:uiPriority w:val="30"/>
    <w:qFormat/>
    <w:rsid w:val="00D92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32C"/>
    <w:rPr>
      <w:i/>
      <w:iCs/>
      <w:color w:val="0F4761" w:themeColor="accent1" w:themeShade="BF"/>
    </w:rPr>
  </w:style>
  <w:style w:type="character" w:styleId="IntenseReference">
    <w:name w:val="Intense Reference"/>
    <w:basedOn w:val="DefaultParagraphFont"/>
    <w:uiPriority w:val="32"/>
    <w:qFormat/>
    <w:rsid w:val="00D9232C"/>
    <w:rPr>
      <w:b/>
      <w:bCs/>
      <w:smallCaps/>
      <w:color w:val="0F4761" w:themeColor="accent1" w:themeShade="BF"/>
      <w:spacing w:val="5"/>
    </w:rPr>
  </w:style>
  <w:style w:type="character" w:customStyle="1" w:styleId="normaltextrun">
    <w:name w:val="normaltextrun"/>
    <w:basedOn w:val="DefaultParagraphFont"/>
    <w:rsid w:val="00D9232C"/>
  </w:style>
  <w:style w:type="character" w:customStyle="1" w:styleId="eop">
    <w:name w:val="eop"/>
    <w:basedOn w:val="DefaultParagraphFont"/>
    <w:rsid w:val="00D9232C"/>
  </w:style>
  <w:style w:type="paragraph" w:styleId="NormalWeb">
    <w:name w:val="Normal (Web)"/>
    <w:basedOn w:val="Normal"/>
    <w:uiPriority w:val="99"/>
    <w:unhideWhenUsed/>
    <w:rsid w:val="00D9232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9232C"/>
    <w:pPr>
      <w:tabs>
        <w:tab w:val="center" w:pos="4513"/>
        <w:tab w:val="right" w:pos="9026"/>
      </w:tabs>
    </w:pPr>
  </w:style>
  <w:style w:type="character" w:customStyle="1" w:styleId="FooterChar">
    <w:name w:val="Footer Char"/>
    <w:basedOn w:val="DefaultParagraphFont"/>
    <w:link w:val="Footer"/>
    <w:uiPriority w:val="99"/>
    <w:rsid w:val="00D9232C"/>
  </w:style>
  <w:style w:type="character" w:styleId="PageNumber">
    <w:name w:val="page number"/>
    <w:basedOn w:val="DefaultParagraphFont"/>
    <w:uiPriority w:val="99"/>
    <w:semiHidden/>
    <w:unhideWhenUsed/>
    <w:rsid w:val="00D9232C"/>
  </w:style>
  <w:style w:type="character" w:styleId="Hyperlink">
    <w:name w:val="Hyperlink"/>
    <w:basedOn w:val="DefaultParagraphFont"/>
    <w:uiPriority w:val="99"/>
    <w:unhideWhenUsed/>
    <w:rsid w:val="003E45D5"/>
    <w:rPr>
      <w:color w:val="0000FF"/>
      <w:u w:val="single"/>
    </w:rPr>
  </w:style>
  <w:style w:type="character" w:styleId="UnresolvedMention">
    <w:name w:val="Unresolved Mention"/>
    <w:basedOn w:val="DefaultParagraphFont"/>
    <w:uiPriority w:val="99"/>
    <w:semiHidden/>
    <w:unhideWhenUsed/>
    <w:rsid w:val="007C159B"/>
    <w:rPr>
      <w:color w:val="605E5C"/>
      <w:shd w:val="clear" w:color="auto" w:fill="E1DFDD"/>
    </w:rPr>
  </w:style>
  <w:style w:type="character" w:styleId="FollowedHyperlink">
    <w:name w:val="FollowedHyperlink"/>
    <w:basedOn w:val="DefaultParagraphFont"/>
    <w:uiPriority w:val="99"/>
    <w:semiHidden/>
    <w:unhideWhenUsed/>
    <w:rsid w:val="00F26EC1"/>
    <w:rPr>
      <w:color w:val="96607D" w:themeColor="followedHyperlink"/>
      <w:u w:val="single"/>
    </w:rPr>
  </w:style>
  <w:style w:type="paragraph" w:styleId="Revision">
    <w:name w:val="Revision"/>
    <w:hidden/>
    <w:uiPriority w:val="99"/>
    <w:semiHidden/>
    <w:rsid w:val="005A3CE2"/>
  </w:style>
  <w:style w:type="table" w:styleId="TableGridLight">
    <w:name w:val="Grid Table Light"/>
    <w:basedOn w:val="TableNormal"/>
    <w:uiPriority w:val="40"/>
    <w:rsid w:val="00FC16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80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5999">
      <w:bodyDiv w:val="1"/>
      <w:marLeft w:val="0"/>
      <w:marRight w:val="0"/>
      <w:marTop w:val="0"/>
      <w:marBottom w:val="0"/>
      <w:divBdr>
        <w:top w:val="none" w:sz="0" w:space="0" w:color="auto"/>
        <w:left w:val="none" w:sz="0" w:space="0" w:color="auto"/>
        <w:bottom w:val="none" w:sz="0" w:space="0" w:color="auto"/>
        <w:right w:val="none" w:sz="0" w:space="0" w:color="auto"/>
      </w:divBdr>
    </w:div>
    <w:div w:id="184639992">
      <w:bodyDiv w:val="1"/>
      <w:marLeft w:val="0"/>
      <w:marRight w:val="0"/>
      <w:marTop w:val="0"/>
      <w:marBottom w:val="0"/>
      <w:divBdr>
        <w:top w:val="none" w:sz="0" w:space="0" w:color="auto"/>
        <w:left w:val="none" w:sz="0" w:space="0" w:color="auto"/>
        <w:bottom w:val="none" w:sz="0" w:space="0" w:color="auto"/>
        <w:right w:val="none" w:sz="0" w:space="0" w:color="auto"/>
      </w:divBdr>
      <w:divsChild>
        <w:div w:id="170730501">
          <w:marLeft w:val="0"/>
          <w:marRight w:val="0"/>
          <w:marTop w:val="200"/>
          <w:marBottom w:val="200"/>
          <w:divBdr>
            <w:top w:val="none" w:sz="0" w:space="0" w:color="auto"/>
            <w:left w:val="none" w:sz="0" w:space="0" w:color="auto"/>
            <w:bottom w:val="none" w:sz="0" w:space="0" w:color="auto"/>
            <w:right w:val="none" w:sz="0" w:space="0" w:color="auto"/>
          </w:divBdr>
        </w:div>
        <w:div w:id="1462580424">
          <w:marLeft w:val="0"/>
          <w:marRight w:val="0"/>
          <w:marTop w:val="200"/>
          <w:marBottom w:val="200"/>
          <w:divBdr>
            <w:top w:val="none" w:sz="0" w:space="0" w:color="auto"/>
            <w:left w:val="none" w:sz="0" w:space="0" w:color="auto"/>
            <w:bottom w:val="none" w:sz="0" w:space="0" w:color="auto"/>
            <w:right w:val="none" w:sz="0" w:space="0" w:color="auto"/>
          </w:divBdr>
        </w:div>
        <w:div w:id="1768774081">
          <w:marLeft w:val="0"/>
          <w:marRight w:val="0"/>
          <w:marTop w:val="200"/>
          <w:marBottom w:val="200"/>
          <w:divBdr>
            <w:top w:val="none" w:sz="0" w:space="0" w:color="auto"/>
            <w:left w:val="none" w:sz="0" w:space="0" w:color="auto"/>
            <w:bottom w:val="none" w:sz="0" w:space="0" w:color="auto"/>
            <w:right w:val="none" w:sz="0" w:space="0" w:color="auto"/>
          </w:divBdr>
        </w:div>
        <w:div w:id="1731270631">
          <w:marLeft w:val="0"/>
          <w:marRight w:val="0"/>
          <w:marTop w:val="200"/>
          <w:marBottom w:val="200"/>
          <w:divBdr>
            <w:top w:val="none" w:sz="0" w:space="0" w:color="auto"/>
            <w:left w:val="none" w:sz="0" w:space="0" w:color="auto"/>
            <w:bottom w:val="none" w:sz="0" w:space="0" w:color="auto"/>
            <w:right w:val="none" w:sz="0" w:space="0" w:color="auto"/>
          </w:divBdr>
        </w:div>
      </w:divsChild>
    </w:div>
    <w:div w:id="370612344">
      <w:bodyDiv w:val="1"/>
      <w:marLeft w:val="0"/>
      <w:marRight w:val="0"/>
      <w:marTop w:val="0"/>
      <w:marBottom w:val="0"/>
      <w:divBdr>
        <w:top w:val="none" w:sz="0" w:space="0" w:color="auto"/>
        <w:left w:val="none" w:sz="0" w:space="0" w:color="auto"/>
        <w:bottom w:val="none" w:sz="0" w:space="0" w:color="auto"/>
        <w:right w:val="none" w:sz="0" w:space="0" w:color="auto"/>
      </w:divBdr>
      <w:divsChild>
        <w:div w:id="1994093300">
          <w:marLeft w:val="0"/>
          <w:marRight w:val="0"/>
          <w:marTop w:val="200"/>
          <w:marBottom w:val="200"/>
          <w:divBdr>
            <w:top w:val="none" w:sz="0" w:space="0" w:color="auto"/>
            <w:left w:val="none" w:sz="0" w:space="0" w:color="auto"/>
            <w:bottom w:val="none" w:sz="0" w:space="0" w:color="auto"/>
            <w:right w:val="none" w:sz="0" w:space="0" w:color="auto"/>
          </w:divBdr>
        </w:div>
        <w:div w:id="898172022">
          <w:marLeft w:val="0"/>
          <w:marRight w:val="0"/>
          <w:marTop w:val="200"/>
          <w:marBottom w:val="200"/>
          <w:divBdr>
            <w:top w:val="none" w:sz="0" w:space="0" w:color="auto"/>
            <w:left w:val="none" w:sz="0" w:space="0" w:color="auto"/>
            <w:bottom w:val="none" w:sz="0" w:space="0" w:color="auto"/>
            <w:right w:val="none" w:sz="0" w:space="0" w:color="auto"/>
          </w:divBdr>
        </w:div>
        <w:div w:id="447313116">
          <w:marLeft w:val="0"/>
          <w:marRight w:val="0"/>
          <w:marTop w:val="200"/>
          <w:marBottom w:val="200"/>
          <w:divBdr>
            <w:top w:val="none" w:sz="0" w:space="0" w:color="auto"/>
            <w:left w:val="none" w:sz="0" w:space="0" w:color="auto"/>
            <w:bottom w:val="none" w:sz="0" w:space="0" w:color="auto"/>
            <w:right w:val="none" w:sz="0" w:space="0" w:color="auto"/>
          </w:divBdr>
        </w:div>
        <w:div w:id="1503398496">
          <w:marLeft w:val="0"/>
          <w:marRight w:val="0"/>
          <w:marTop w:val="200"/>
          <w:marBottom w:val="200"/>
          <w:divBdr>
            <w:top w:val="none" w:sz="0" w:space="0" w:color="auto"/>
            <w:left w:val="none" w:sz="0" w:space="0" w:color="auto"/>
            <w:bottom w:val="none" w:sz="0" w:space="0" w:color="auto"/>
            <w:right w:val="none" w:sz="0" w:space="0" w:color="auto"/>
          </w:divBdr>
        </w:div>
      </w:divsChild>
    </w:div>
    <w:div w:id="460075575">
      <w:bodyDiv w:val="1"/>
      <w:marLeft w:val="0"/>
      <w:marRight w:val="0"/>
      <w:marTop w:val="0"/>
      <w:marBottom w:val="0"/>
      <w:divBdr>
        <w:top w:val="none" w:sz="0" w:space="0" w:color="auto"/>
        <w:left w:val="none" w:sz="0" w:space="0" w:color="auto"/>
        <w:bottom w:val="none" w:sz="0" w:space="0" w:color="auto"/>
        <w:right w:val="none" w:sz="0" w:space="0" w:color="auto"/>
      </w:divBdr>
    </w:div>
    <w:div w:id="732653839">
      <w:bodyDiv w:val="1"/>
      <w:marLeft w:val="0"/>
      <w:marRight w:val="0"/>
      <w:marTop w:val="0"/>
      <w:marBottom w:val="0"/>
      <w:divBdr>
        <w:top w:val="none" w:sz="0" w:space="0" w:color="auto"/>
        <w:left w:val="none" w:sz="0" w:space="0" w:color="auto"/>
        <w:bottom w:val="none" w:sz="0" w:space="0" w:color="auto"/>
        <w:right w:val="none" w:sz="0" w:space="0" w:color="auto"/>
      </w:divBdr>
    </w:div>
    <w:div w:id="787356049">
      <w:bodyDiv w:val="1"/>
      <w:marLeft w:val="0"/>
      <w:marRight w:val="0"/>
      <w:marTop w:val="0"/>
      <w:marBottom w:val="0"/>
      <w:divBdr>
        <w:top w:val="none" w:sz="0" w:space="0" w:color="auto"/>
        <w:left w:val="none" w:sz="0" w:space="0" w:color="auto"/>
        <w:bottom w:val="none" w:sz="0" w:space="0" w:color="auto"/>
        <w:right w:val="none" w:sz="0" w:space="0" w:color="auto"/>
      </w:divBdr>
    </w:div>
    <w:div w:id="898056801">
      <w:bodyDiv w:val="1"/>
      <w:marLeft w:val="0"/>
      <w:marRight w:val="0"/>
      <w:marTop w:val="0"/>
      <w:marBottom w:val="0"/>
      <w:divBdr>
        <w:top w:val="none" w:sz="0" w:space="0" w:color="auto"/>
        <w:left w:val="none" w:sz="0" w:space="0" w:color="auto"/>
        <w:bottom w:val="none" w:sz="0" w:space="0" w:color="auto"/>
        <w:right w:val="none" w:sz="0" w:space="0" w:color="auto"/>
      </w:divBdr>
    </w:div>
    <w:div w:id="925189298">
      <w:bodyDiv w:val="1"/>
      <w:marLeft w:val="0"/>
      <w:marRight w:val="0"/>
      <w:marTop w:val="0"/>
      <w:marBottom w:val="0"/>
      <w:divBdr>
        <w:top w:val="none" w:sz="0" w:space="0" w:color="auto"/>
        <w:left w:val="none" w:sz="0" w:space="0" w:color="auto"/>
        <w:bottom w:val="none" w:sz="0" w:space="0" w:color="auto"/>
        <w:right w:val="none" w:sz="0" w:space="0" w:color="auto"/>
      </w:divBdr>
    </w:div>
    <w:div w:id="946422562">
      <w:bodyDiv w:val="1"/>
      <w:marLeft w:val="0"/>
      <w:marRight w:val="0"/>
      <w:marTop w:val="0"/>
      <w:marBottom w:val="0"/>
      <w:divBdr>
        <w:top w:val="none" w:sz="0" w:space="0" w:color="auto"/>
        <w:left w:val="none" w:sz="0" w:space="0" w:color="auto"/>
        <w:bottom w:val="none" w:sz="0" w:space="0" w:color="auto"/>
        <w:right w:val="none" w:sz="0" w:space="0" w:color="auto"/>
      </w:divBdr>
    </w:div>
    <w:div w:id="1001811110">
      <w:bodyDiv w:val="1"/>
      <w:marLeft w:val="0"/>
      <w:marRight w:val="0"/>
      <w:marTop w:val="0"/>
      <w:marBottom w:val="0"/>
      <w:divBdr>
        <w:top w:val="none" w:sz="0" w:space="0" w:color="auto"/>
        <w:left w:val="none" w:sz="0" w:space="0" w:color="auto"/>
        <w:bottom w:val="none" w:sz="0" w:space="0" w:color="auto"/>
        <w:right w:val="none" w:sz="0" w:space="0" w:color="auto"/>
      </w:divBdr>
      <w:divsChild>
        <w:div w:id="757605712">
          <w:marLeft w:val="0"/>
          <w:marRight w:val="0"/>
          <w:marTop w:val="200"/>
          <w:marBottom w:val="200"/>
          <w:divBdr>
            <w:top w:val="none" w:sz="0" w:space="0" w:color="auto"/>
            <w:left w:val="none" w:sz="0" w:space="0" w:color="auto"/>
            <w:bottom w:val="none" w:sz="0" w:space="0" w:color="auto"/>
            <w:right w:val="none" w:sz="0" w:space="0" w:color="auto"/>
          </w:divBdr>
        </w:div>
        <w:div w:id="334236059">
          <w:marLeft w:val="0"/>
          <w:marRight w:val="0"/>
          <w:marTop w:val="200"/>
          <w:marBottom w:val="200"/>
          <w:divBdr>
            <w:top w:val="none" w:sz="0" w:space="0" w:color="auto"/>
            <w:left w:val="none" w:sz="0" w:space="0" w:color="auto"/>
            <w:bottom w:val="none" w:sz="0" w:space="0" w:color="auto"/>
            <w:right w:val="none" w:sz="0" w:space="0" w:color="auto"/>
          </w:divBdr>
        </w:div>
        <w:div w:id="459803577">
          <w:marLeft w:val="0"/>
          <w:marRight w:val="0"/>
          <w:marTop w:val="200"/>
          <w:marBottom w:val="200"/>
          <w:divBdr>
            <w:top w:val="none" w:sz="0" w:space="0" w:color="auto"/>
            <w:left w:val="none" w:sz="0" w:space="0" w:color="auto"/>
            <w:bottom w:val="none" w:sz="0" w:space="0" w:color="auto"/>
            <w:right w:val="none" w:sz="0" w:space="0" w:color="auto"/>
          </w:divBdr>
        </w:div>
      </w:divsChild>
    </w:div>
    <w:div w:id="1004866320">
      <w:bodyDiv w:val="1"/>
      <w:marLeft w:val="0"/>
      <w:marRight w:val="0"/>
      <w:marTop w:val="0"/>
      <w:marBottom w:val="0"/>
      <w:divBdr>
        <w:top w:val="none" w:sz="0" w:space="0" w:color="auto"/>
        <w:left w:val="none" w:sz="0" w:space="0" w:color="auto"/>
        <w:bottom w:val="none" w:sz="0" w:space="0" w:color="auto"/>
        <w:right w:val="none" w:sz="0" w:space="0" w:color="auto"/>
      </w:divBdr>
    </w:div>
    <w:div w:id="1041393617">
      <w:bodyDiv w:val="1"/>
      <w:marLeft w:val="0"/>
      <w:marRight w:val="0"/>
      <w:marTop w:val="0"/>
      <w:marBottom w:val="0"/>
      <w:divBdr>
        <w:top w:val="none" w:sz="0" w:space="0" w:color="auto"/>
        <w:left w:val="none" w:sz="0" w:space="0" w:color="auto"/>
        <w:bottom w:val="none" w:sz="0" w:space="0" w:color="auto"/>
        <w:right w:val="none" w:sz="0" w:space="0" w:color="auto"/>
      </w:divBdr>
    </w:div>
    <w:div w:id="1199315811">
      <w:bodyDiv w:val="1"/>
      <w:marLeft w:val="0"/>
      <w:marRight w:val="0"/>
      <w:marTop w:val="0"/>
      <w:marBottom w:val="0"/>
      <w:divBdr>
        <w:top w:val="none" w:sz="0" w:space="0" w:color="auto"/>
        <w:left w:val="none" w:sz="0" w:space="0" w:color="auto"/>
        <w:bottom w:val="none" w:sz="0" w:space="0" w:color="auto"/>
        <w:right w:val="none" w:sz="0" w:space="0" w:color="auto"/>
      </w:divBdr>
      <w:divsChild>
        <w:div w:id="248274710">
          <w:marLeft w:val="0"/>
          <w:marRight w:val="0"/>
          <w:marTop w:val="200"/>
          <w:marBottom w:val="200"/>
          <w:divBdr>
            <w:top w:val="none" w:sz="0" w:space="0" w:color="auto"/>
            <w:left w:val="none" w:sz="0" w:space="0" w:color="auto"/>
            <w:bottom w:val="none" w:sz="0" w:space="0" w:color="auto"/>
            <w:right w:val="none" w:sz="0" w:space="0" w:color="auto"/>
          </w:divBdr>
        </w:div>
        <w:div w:id="1829252468">
          <w:marLeft w:val="0"/>
          <w:marRight w:val="0"/>
          <w:marTop w:val="200"/>
          <w:marBottom w:val="200"/>
          <w:divBdr>
            <w:top w:val="none" w:sz="0" w:space="0" w:color="auto"/>
            <w:left w:val="none" w:sz="0" w:space="0" w:color="auto"/>
            <w:bottom w:val="none" w:sz="0" w:space="0" w:color="auto"/>
            <w:right w:val="none" w:sz="0" w:space="0" w:color="auto"/>
          </w:divBdr>
        </w:div>
        <w:div w:id="1561674705">
          <w:marLeft w:val="0"/>
          <w:marRight w:val="0"/>
          <w:marTop w:val="200"/>
          <w:marBottom w:val="200"/>
          <w:divBdr>
            <w:top w:val="none" w:sz="0" w:space="0" w:color="auto"/>
            <w:left w:val="none" w:sz="0" w:space="0" w:color="auto"/>
            <w:bottom w:val="none" w:sz="0" w:space="0" w:color="auto"/>
            <w:right w:val="none" w:sz="0" w:space="0" w:color="auto"/>
          </w:divBdr>
        </w:div>
      </w:divsChild>
    </w:div>
    <w:div w:id="1207376692">
      <w:bodyDiv w:val="1"/>
      <w:marLeft w:val="0"/>
      <w:marRight w:val="0"/>
      <w:marTop w:val="0"/>
      <w:marBottom w:val="0"/>
      <w:divBdr>
        <w:top w:val="none" w:sz="0" w:space="0" w:color="auto"/>
        <w:left w:val="none" w:sz="0" w:space="0" w:color="auto"/>
        <w:bottom w:val="none" w:sz="0" w:space="0" w:color="auto"/>
        <w:right w:val="none" w:sz="0" w:space="0" w:color="auto"/>
      </w:divBdr>
    </w:div>
    <w:div w:id="1312250816">
      <w:bodyDiv w:val="1"/>
      <w:marLeft w:val="0"/>
      <w:marRight w:val="0"/>
      <w:marTop w:val="0"/>
      <w:marBottom w:val="0"/>
      <w:divBdr>
        <w:top w:val="none" w:sz="0" w:space="0" w:color="auto"/>
        <w:left w:val="none" w:sz="0" w:space="0" w:color="auto"/>
        <w:bottom w:val="none" w:sz="0" w:space="0" w:color="auto"/>
        <w:right w:val="none" w:sz="0" w:space="0" w:color="auto"/>
      </w:divBdr>
    </w:div>
    <w:div w:id="1478496708">
      <w:bodyDiv w:val="1"/>
      <w:marLeft w:val="0"/>
      <w:marRight w:val="0"/>
      <w:marTop w:val="0"/>
      <w:marBottom w:val="0"/>
      <w:divBdr>
        <w:top w:val="none" w:sz="0" w:space="0" w:color="auto"/>
        <w:left w:val="none" w:sz="0" w:space="0" w:color="auto"/>
        <w:bottom w:val="none" w:sz="0" w:space="0" w:color="auto"/>
        <w:right w:val="none" w:sz="0" w:space="0" w:color="auto"/>
      </w:divBdr>
    </w:div>
    <w:div w:id="1787305733">
      <w:bodyDiv w:val="1"/>
      <w:marLeft w:val="0"/>
      <w:marRight w:val="0"/>
      <w:marTop w:val="0"/>
      <w:marBottom w:val="0"/>
      <w:divBdr>
        <w:top w:val="none" w:sz="0" w:space="0" w:color="auto"/>
        <w:left w:val="none" w:sz="0" w:space="0" w:color="auto"/>
        <w:bottom w:val="none" w:sz="0" w:space="0" w:color="auto"/>
        <w:right w:val="none" w:sz="0" w:space="0" w:color="auto"/>
      </w:divBdr>
    </w:div>
    <w:div w:id="1948266693">
      <w:bodyDiv w:val="1"/>
      <w:marLeft w:val="0"/>
      <w:marRight w:val="0"/>
      <w:marTop w:val="0"/>
      <w:marBottom w:val="0"/>
      <w:divBdr>
        <w:top w:val="none" w:sz="0" w:space="0" w:color="auto"/>
        <w:left w:val="none" w:sz="0" w:space="0" w:color="auto"/>
        <w:bottom w:val="none" w:sz="0" w:space="0" w:color="auto"/>
        <w:right w:val="none" w:sz="0" w:space="0" w:color="auto"/>
      </w:divBdr>
    </w:div>
    <w:div w:id="1956059216">
      <w:bodyDiv w:val="1"/>
      <w:marLeft w:val="0"/>
      <w:marRight w:val="0"/>
      <w:marTop w:val="0"/>
      <w:marBottom w:val="0"/>
      <w:divBdr>
        <w:top w:val="none" w:sz="0" w:space="0" w:color="auto"/>
        <w:left w:val="none" w:sz="0" w:space="0" w:color="auto"/>
        <w:bottom w:val="none" w:sz="0" w:space="0" w:color="auto"/>
        <w:right w:val="none" w:sz="0" w:space="0" w:color="auto"/>
      </w:divBdr>
    </w:div>
    <w:div w:id="2001687341">
      <w:bodyDiv w:val="1"/>
      <w:marLeft w:val="0"/>
      <w:marRight w:val="0"/>
      <w:marTop w:val="0"/>
      <w:marBottom w:val="0"/>
      <w:divBdr>
        <w:top w:val="none" w:sz="0" w:space="0" w:color="auto"/>
        <w:left w:val="none" w:sz="0" w:space="0" w:color="auto"/>
        <w:bottom w:val="none" w:sz="0" w:space="0" w:color="auto"/>
        <w:right w:val="none" w:sz="0" w:space="0" w:color="auto"/>
      </w:divBdr>
    </w:div>
    <w:div w:id="2050491907">
      <w:bodyDiv w:val="1"/>
      <w:marLeft w:val="0"/>
      <w:marRight w:val="0"/>
      <w:marTop w:val="0"/>
      <w:marBottom w:val="0"/>
      <w:divBdr>
        <w:top w:val="none" w:sz="0" w:space="0" w:color="auto"/>
        <w:left w:val="none" w:sz="0" w:space="0" w:color="auto"/>
        <w:bottom w:val="none" w:sz="0" w:space="0" w:color="auto"/>
        <w:right w:val="none" w:sz="0" w:space="0" w:color="auto"/>
      </w:divBdr>
    </w:div>
    <w:div w:id="2051373126">
      <w:bodyDiv w:val="1"/>
      <w:marLeft w:val="0"/>
      <w:marRight w:val="0"/>
      <w:marTop w:val="0"/>
      <w:marBottom w:val="0"/>
      <w:divBdr>
        <w:top w:val="none" w:sz="0" w:space="0" w:color="auto"/>
        <w:left w:val="none" w:sz="0" w:space="0" w:color="auto"/>
        <w:bottom w:val="none" w:sz="0" w:space="0" w:color="auto"/>
        <w:right w:val="none" w:sz="0" w:space="0" w:color="auto"/>
      </w:divBdr>
    </w:div>
    <w:div w:id="206405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0.finngen.fi" TargetMode="External"/><Relationship Id="rId13" Type="http://schemas.openxmlformats.org/officeDocument/2006/relationships/footer" Target="footer3.xml"/><Relationship Id="rId18"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hyperlink" Target="http://www.ebi.ac.uk/gwas" TargetMode="External"/><Relationship Id="rId7" Type="http://schemas.openxmlformats.org/officeDocument/2006/relationships/hyperlink" Target="https://shiny.cnsgenomics.com/mRnd/" TargetMode="External"/><Relationship Id="rId12" Type="http://schemas.openxmlformats.org/officeDocument/2006/relationships/hyperlink" Target="https://www.ebi.ac.uk/gwas/home"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osteoporosis.foundation/facts-statistics/epidemiology-of-osteoporosis-and-fragility-fractu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atlas.ctglab.nl" TargetMode="Externa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6241</Words>
  <Characters>35576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CONDURACHE, Dorina (BARTS HEALTH NHS TRUST)</dc:creator>
  <cp:keywords/>
  <dc:description/>
  <cp:lastModifiedBy>Karen Drake</cp:lastModifiedBy>
  <cp:revision>2</cp:revision>
  <cp:lastPrinted>2024-09-28T10:07:00Z</cp:lastPrinted>
  <dcterms:created xsi:type="dcterms:W3CDTF">2025-02-26T11:59:00Z</dcterms:created>
  <dcterms:modified xsi:type="dcterms:W3CDTF">2025-02-26T11:59:00Z</dcterms:modified>
</cp:coreProperties>
</file>