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DE9F0" w14:textId="4FCEE646" w:rsidR="00F11C0A" w:rsidRPr="008C0C9D" w:rsidRDefault="00651471" w:rsidP="00D573CE">
      <w:pPr>
        <w:pStyle w:val="Heading1"/>
        <w:jc w:val="center"/>
        <w:rPr>
          <w:sz w:val="24"/>
        </w:rPr>
      </w:pPr>
      <w:bookmarkStart w:id="0" w:name="_Hlk141691664"/>
      <w:r>
        <w:rPr>
          <w:sz w:val="24"/>
        </w:rPr>
        <w:t>P</w:t>
      </w:r>
      <w:r w:rsidR="00E31CDB">
        <w:rPr>
          <w:sz w:val="24"/>
        </w:rPr>
        <w:t xml:space="preserve">lacebo </w:t>
      </w:r>
      <w:r w:rsidR="00A15763">
        <w:rPr>
          <w:sz w:val="24"/>
        </w:rPr>
        <w:t xml:space="preserve">and nocebo </w:t>
      </w:r>
      <w:r w:rsidR="00E31CDB">
        <w:rPr>
          <w:sz w:val="24"/>
        </w:rPr>
        <w:t>effect</w:t>
      </w:r>
      <w:r w:rsidR="00A15763">
        <w:rPr>
          <w:sz w:val="24"/>
        </w:rPr>
        <w:t>s</w:t>
      </w:r>
      <w:r w:rsidR="00E31CDB">
        <w:rPr>
          <w:sz w:val="24"/>
        </w:rPr>
        <w:t xml:space="preserve"> in gambling disorder p</w:t>
      </w:r>
      <w:r w:rsidR="00527649" w:rsidRPr="008C0C9D">
        <w:rPr>
          <w:sz w:val="24"/>
        </w:rPr>
        <w:t xml:space="preserve">harmacological </w:t>
      </w:r>
      <w:r w:rsidR="00E31CDB">
        <w:rPr>
          <w:sz w:val="24"/>
        </w:rPr>
        <w:t>trials: a m</w:t>
      </w:r>
      <w:r w:rsidR="00527649" w:rsidRPr="008C0C9D">
        <w:rPr>
          <w:sz w:val="24"/>
        </w:rPr>
        <w:t>eta-</w:t>
      </w:r>
      <w:r w:rsidR="00E31CDB">
        <w:rPr>
          <w:sz w:val="24"/>
        </w:rPr>
        <w:t>a</w:t>
      </w:r>
      <w:r w:rsidR="00527649" w:rsidRPr="008C0C9D">
        <w:rPr>
          <w:sz w:val="24"/>
        </w:rPr>
        <w:t>nalysis</w:t>
      </w:r>
    </w:p>
    <w:p w14:paraId="449944E1" w14:textId="77777777" w:rsidR="001E1FA6" w:rsidRPr="001E1FA6" w:rsidRDefault="001E1FA6" w:rsidP="00086BA4"/>
    <w:p w14:paraId="2F69692F" w14:textId="3E010BEE" w:rsidR="00ED450E" w:rsidRPr="008C0C9D" w:rsidRDefault="00ED450E" w:rsidP="00086BA4">
      <w:pPr>
        <w:pStyle w:val="Heading2"/>
        <w:jc w:val="center"/>
        <w:rPr>
          <w:b w:val="0"/>
          <w:vertAlign w:val="superscript"/>
        </w:rPr>
      </w:pPr>
      <w:r w:rsidRPr="008C0C9D">
        <w:rPr>
          <w:b w:val="0"/>
        </w:rPr>
        <w:t>Konstantinos Ioannidis</w:t>
      </w:r>
      <w:r w:rsidR="00ED65C2" w:rsidRPr="00ED65C2">
        <w:rPr>
          <w:b w:val="0"/>
          <w:vertAlign w:val="superscript"/>
        </w:rPr>
        <w:t>a</w:t>
      </w:r>
      <w:r w:rsidR="00ED65C2">
        <w:rPr>
          <w:b w:val="0"/>
          <w:vertAlign w:val="superscript"/>
        </w:rPr>
        <w:t>, b</w:t>
      </w:r>
      <w:r w:rsidR="000F04CD" w:rsidRPr="008C0C9D">
        <w:rPr>
          <w:b w:val="0"/>
        </w:rPr>
        <w:t xml:space="preserve">, </w:t>
      </w:r>
      <w:r w:rsidR="00E31CDB">
        <w:rPr>
          <w:b w:val="0"/>
        </w:rPr>
        <w:t>Nathan</w:t>
      </w:r>
      <w:r w:rsidR="00845C62">
        <w:rPr>
          <w:b w:val="0"/>
        </w:rPr>
        <w:t xml:space="preserve"> T.M.</w:t>
      </w:r>
      <w:r w:rsidR="00E31CDB">
        <w:rPr>
          <w:b w:val="0"/>
        </w:rPr>
        <w:t xml:space="preserve"> Huneke</w:t>
      </w:r>
      <w:r w:rsidR="00ED65C2" w:rsidRPr="00ED65C2">
        <w:rPr>
          <w:b w:val="0"/>
          <w:vertAlign w:val="superscript"/>
        </w:rPr>
        <w:t>a</w:t>
      </w:r>
      <w:r w:rsidR="00E31CDB">
        <w:rPr>
          <w:b w:val="0"/>
        </w:rPr>
        <w:t>,</w:t>
      </w:r>
      <w:r w:rsidR="00FE65A0" w:rsidRPr="008C0C9D">
        <w:rPr>
          <w:b w:val="0"/>
        </w:rPr>
        <w:t xml:space="preserve"> </w:t>
      </w:r>
      <w:r w:rsidR="00E31CDB" w:rsidRPr="008C0C9D">
        <w:rPr>
          <w:b w:val="0"/>
        </w:rPr>
        <w:t>Jeremy E Solly</w:t>
      </w:r>
      <w:r w:rsidR="00ED65C2" w:rsidRPr="00ED65C2">
        <w:rPr>
          <w:b w:val="0"/>
          <w:vertAlign w:val="superscript"/>
        </w:rPr>
        <w:t>b,c</w:t>
      </w:r>
      <w:r w:rsidR="00E31CDB" w:rsidRPr="008C0C9D">
        <w:rPr>
          <w:b w:val="0"/>
        </w:rPr>
        <w:t xml:space="preserve">, </w:t>
      </w:r>
      <w:r w:rsidR="00126B9F">
        <w:rPr>
          <w:b w:val="0"/>
        </w:rPr>
        <w:t>Guil</w:t>
      </w:r>
      <w:r w:rsidR="0036498F">
        <w:rPr>
          <w:b w:val="0"/>
        </w:rPr>
        <w:t>h</w:t>
      </w:r>
      <w:r w:rsidR="00126B9F">
        <w:rPr>
          <w:b w:val="0"/>
        </w:rPr>
        <w:t>erme Fuse</w:t>
      </w:r>
      <w:r w:rsidR="0036498F">
        <w:rPr>
          <w:b w:val="0"/>
        </w:rPr>
        <w:t>t</w:t>
      </w:r>
      <w:r w:rsidR="00126B9F">
        <w:rPr>
          <w:b w:val="0"/>
        </w:rPr>
        <w:t>to-Veronesi</w:t>
      </w:r>
      <w:r w:rsidR="00ED65C2" w:rsidRPr="00ED65C2">
        <w:rPr>
          <w:b w:val="0"/>
          <w:vertAlign w:val="superscript"/>
        </w:rPr>
        <w:t>a</w:t>
      </w:r>
      <w:r w:rsidR="00126B9F">
        <w:rPr>
          <w:b w:val="0"/>
        </w:rPr>
        <w:t>,</w:t>
      </w:r>
      <w:r w:rsidR="00126B9F" w:rsidRPr="008C0C9D">
        <w:rPr>
          <w:b w:val="0"/>
        </w:rPr>
        <w:t xml:space="preserve"> </w:t>
      </w:r>
      <w:r w:rsidR="00F779D6" w:rsidRPr="008C0C9D">
        <w:rPr>
          <w:b w:val="0"/>
        </w:rPr>
        <w:t>Charidimos Tza</w:t>
      </w:r>
      <w:r w:rsidR="00527649" w:rsidRPr="008C0C9D">
        <w:rPr>
          <w:b w:val="0"/>
        </w:rPr>
        <w:t>garakis</w:t>
      </w:r>
      <w:r w:rsidR="00ED65C2" w:rsidRPr="00ED65C2">
        <w:rPr>
          <w:b w:val="0"/>
          <w:vertAlign w:val="superscript"/>
        </w:rPr>
        <w:t>d</w:t>
      </w:r>
      <w:r w:rsidR="00527649" w:rsidRPr="008C0C9D">
        <w:rPr>
          <w:b w:val="0"/>
        </w:rPr>
        <w:t>,</w:t>
      </w:r>
      <w:r w:rsidR="00460AD6">
        <w:rPr>
          <w:b w:val="0"/>
        </w:rPr>
        <w:t xml:space="preserve"> </w:t>
      </w:r>
      <w:r w:rsidR="004E1B89" w:rsidRPr="00460AD6">
        <w:rPr>
          <w:b w:val="0"/>
        </w:rPr>
        <w:t>Valeria Parlatini</w:t>
      </w:r>
      <w:r w:rsidR="004E1B89" w:rsidRPr="00153F12">
        <w:rPr>
          <w:b w:val="0"/>
          <w:vertAlign w:val="superscript"/>
        </w:rPr>
        <w:t>e</w:t>
      </w:r>
      <w:r w:rsidR="004E1B89">
        <w:rPr>
          <w:b w:val="0"/>
        </w:rPr>
        <w:t xml:space="preserve">, </w:t>
      </w:r>
      <w:r w:rsidR="004E1B89" w:rsidRPr="00460AD6">
        <w:rPr>
          <w:b w:val="0"/>
        </w:rPr>
        <w:t>Samuel J. Westwood</w:t>
      </w:r>
      <w:r w:rsidR="004E1B89" w:rsidRPr="00153F12">
        <w:rPr>
          <w:b w:val="0"/>
          <w:vertAlign w:val="superscript"/>
        </w:rPr>
        <w:t>f</w:t>
      </w:r>
      <w:r w:rsidR="004E1B89">
        <w:rPr>
          <w:b w:val="0"/>
        </w:rPr>
        <w:t xml:space="preserve">, </w:t>
      </w:r>
      <w:r w:rsidR="00613A40">
        <w:rPr>
          <w:b w:val="0"/>
        </w:rPr>
        <w:t>Cinzia Del Giovane</w:t>
      </w:r>
      <w:r w:rsidR="006B2A0F">
        <w:rPr>
          <w:b w:val="0"/>
          <w:vertAlign w:val="superscript"/>
        </w:rPr>
        <w:t>g</w:t>
      </w:r>
      <w:r w:rsidR="00613A40">
        <w:rPr>
          <w:b w:val="0"/>
        </w:rPr>
        <w:t xml:space="preserve">, </w:t>
      </w:r>
      <w:r w:rsidR="00E31CDB" w:rsidRPr="00126B9F">
        <w:rPr>
          <w:b w:val="0"/>
        </w:rPr>
        <w:t xml:space="preserve">David </w:t>
      </w:r>
      <w:r w:rsidR="007E158B">
        <w:rPr>
          <w:b w:val="0"/>
        </w:rPr>
        <w:t xml:space="preserve">S. </w:t>
      </w:r>
      <w:r w:rsidR="00E31CDB" w:rsidRPr="00126B9F">
        <w:rPr>
          <w:b w:val="0"/>
        </w:rPr>
        <w:t>Baldwin</w:t>
      </w:r>
      <w:r w:rsidR="00ED65C2" w:rsidRPr="00ED65C2">
        <w:rPr>
          <w:b w:val="0"/>
          <w:vertAlign w:val="superscript"/>
        </w:rPr>
        <w:t>a</w:t>
      </w:r>
      <w:r w:rsidR="00E31CDB" w:rsidRPr="00126B9F">
        <w:rPr>
          <w:b w:val="0"/>
        </w:rPr>
        <w:t xml:space="preserve">, </w:t>
      </w:r>
      <w:r w:rsidRPr="00126B9F">
        <w:rPr>
          <w:b w:val="0"/>
        </w:rPr>
        <w:t>Jon E Grant</w:t>
      </w:r>
      <w:r w:rsidR="006B2A0F">
        <w:rPr>
          <w:b w:val="0"/>
          <w:vertAlign w:val="superscript"/>
        </w:rPr>
        <w:t>h</w:t>
      </w:r>
      <w:r w:rsidRPr="00126B9F">
        <w:rPr>
          <w:b w:val="0"/>
        </w:rPr>
        <w:t>,</w:t>
      </w:r>
      <w:r w:rsidR="00527649" w:rsidRPr="00126B9F">
        <w:rPr>
          <w:b w:val="0"/>
        </w:rPr>
        <w:t xml:space="preserve"> Samuele Cortese</w:t>
      </w:r>
      <w:r w:rsidR="006B2A0F">
        <w:rPr>
          <w:b w:val="0"/>
          <w:vertAlign w:val="superscript"/>
        </w:rPr>
        <w:t>i</w:t>
      </w:r>
      <w:r w:rsidR="00527649" w:rsidRPr="008C0C9D">
        <w:rPr>
          <w:b w:val="0"/>
        </w:rPr>
        <w:t xml:space="preserve">, </w:t>
      </w:r>
      <w:r w:rsidRPr="008C0C9D">
        <w:rPr>
          <w:b w:val="0"/>
        </w:rPr>
        <w:t>Samuel R Chamberlain</w:t>
      </w:r>
      <w:r w:rsidR="00ED65C2" w:rsidRPr="00ED65C2">
        <w:rPr>
          <w:b w:val="0"/>
          <w:vertAlign w:val="superscript"/>
        </w:rPr>
        <w:t>a</w:t>
      </w:r>
    </w:p>
    <w:p w14:paraId="376FD895" w14:textId="77777777" w:rsidR="00787F6C" w:rsidRDefault="00787F6C" w:rsidP="00787F6C">
      <w:pPr>
        <w:pStyle w:val="Heading2"/>
      </w:pPr>
      <w:r>
        <w:t>Author details</w:t>
      </w:r>
    </w:p>
    <w:bookmarkEnd w:id="0"/>
    <w:p w14:paraId="288823C4" w14:textId="5B7D68D1" w:rsidR="001E1FA6" w:rsidRDefault="00ED450E" w:rsidP="00ED450E">
      <w:pPr>
        <w:ind w:left="360"/>
      </w:pPr>
      <w:r w:rsidRPr="00C1196C">
        <w:rPr>
          <w:vertAlign w:val="superscript"/>
        </w:rPr>
        <w:t>a</w:t>
      </w:r>
      <w:r w:rsidR="00527649">
        <w:rPr>
          <w:vertAlign w:val="superscript"/>
        </w:rPr>
        <w:t xml:space="preserve"> </w:t>
      </w:r>
      <w:r w:rsidR="00C3524B">
        <w:t xml:space="preserve">Department of Psychiatry, </w:t>
      </w:r>
      <w:r w:rsidR="007E158B" w:rsidRPr="007E158B">
        <w:t xml:space="preserve">Clinical and Experimental Sciences, </w:t>
      </w:r>
      <w:r w:rsidR="005617D0">
        <w:t>Faculty of Medicine,</w:t>
      </w:r>
      <w:r w:rsidR="00C3524B">
        <w:t xml:space="preserve"> </w:t>
      </w:r>
      <w:r>
        <w:t xml:space="preserve">University of </w:t>
      </w:r>
      <w:r w:rsidR="00527649">
        <w:t>Southampton</w:t>
      </w:r>
      <w:r>
        <w:t>, UK</w:t>
      </w:r>
      <w:r w:rsidR="00C3524B">
        <w:t>;</w:t>
      </w:r>
      <w:r w:rsidR="00FE65A0">
        <w:t xml:space="preserve"> and</w:t>
      </w:r>
      <w:r w:rsidR="00527649">
        <w:rPr>
          <w:vertAlign w:val="superscript"/>
        </w:rPr>
        <w:t xml:space="preserve"> </w:t>
      </w:r>
      <w:r w:rsidR="004B05EB">
        <w:t>Hampshire and Isle of Wight Healthcare</w:t>
      </w:r>
      <w:r>
        <w:t xml:space="preserve"> NHS Foundation Trust, </w:t>
      </w:r>
      <w:r w:rsidR="00527649">
        <w:t>Southampton</w:t>
      </w:r>
      <w:r>
        <w:t>, UK</w:t>
      </w:r>
    </w:p>
    <w:p w14:paraId="77211799" w14:textId="27B3819C" w:rsidR="00ED450E" w:rsidRDefault="001E1FA6" w:rsidP="00ED450E">
      <w:pPr>
        <w:ind w:left="360"/>
      </w:pPr>
      <w:proofErr w:type="gramStart"/>
      <w:r>
        <w:rPr>
          <w:vertAlign w:val="superscript"/>
        </w:rPr>
        <w:t>b</w:t>
      </w:r>
      <w:proofErr w:type="gramEnd"/>
      <w:r>
        <w:rPr>
          <w:vertAlign w:val="superscript"/>
        </w:rPr>
        <w:t xml:space="preserve"> </w:t>
      </w:r>
      <w:r w:rsidR="00104B69">
        <w:t>Cambridgeshire and Peterborough NHS Foundation Trust, Cambridge, UK</w:t>
      </w:r>
    </w:p>
    <w:p w14:paraId="48143B5A" w14:textId="63273038" w:rsidR="00ED65C2" w:rsidRDefault="00ED65C2" w:rsidP="00ED65C2">
      <w:pPr>
        <w:ind w:left="360"/>
      </w:pPr>
      <w:proofErr w:type="gramStart"/>
      <w:r>
        <w:rPr>
          <w:vertAlign w:val="superscript"/>
        </w:rPr>
        <w:t>c</w:t>
      </w:r>
      <w:proofErr w:type="gramEnd"/>
      <w:r>
        <w:rPr>
          <w:vertAlign w:val="superscript"/>
        </w:rPr>
        <w:t xml:space="preserve"> </w:t>
      </w:r>
      <w:r>
        <w:t>Department of Psychiatry, University of Cambridge, UK</w:t>
      </w:r>
    </w:p>
    <w:p w14:paraId="42EC6F60" w14:textId="036C4C7C" w:rsidR="00ED65C2" w:rsidRDefault="00ED65C2" w:rsidP="00ED65C2">
      <w:pPr>
        <w:ind w:left="360"/>
      </w:pPr>
      <w:r>
        <w:rPr>
          <w:vertAlign w:val="superscript"/>
        </w:rPr>
        <w:t>d</w:t>
      </w:r>
      <w:r>
        <w:t xml:space="preserve"> Organization Against Drugs (OKANA), Athens, Greece and Department of Neuroscience, University of Minnesota, Minneapolis, MN, United States</w:t>
      </w:r>
    </w:p>
    <w:p w14:paraId="67F00BA3" w14:textId="3D778B31" w:rsidR="006B2A0F" w:rsidRDefault="006B2A0F" w:rsidP="00ED65C2">
      <w:pPr>
        <w:ind w:left="360"/>
      </w:pPr>
      <w:r w:rsidRPr="00153F12">
        <w:rPr>
          <w:vertAlign w:val="superscript"/>
        </w:rPr>
        <w:t>e</w:t>
      </w:r>
      <w:r w:rsidRPr="006B2A0F">
        <w:t>Department of Child and Adolescent Psychiatry, Institute of Psychiatry, Psychology and Neuroscience, King’s College London, London, UK and Department of Forensic and Neurodevelopmental Sciences, Institute of Psychiatry, Psychology and Neuroscience, King’s College London, London, UK</w:t>
      </w:r>
      <w:r w:rsidR="0036498F">
        <w:t xml:space="preserve"> and </w:t>
      </w:r>
      <w:r w:rsidR="0036498F" w:rsidRPr="0036498F">
        <w:t xml:space="preserve">Centre for Innovation in Mental Health, School of Psychology, Faculty of Environmental and Life Sciences, University of Southampton, Southampton, UK; </w:t>
      </w:r>
      <w:r w:rsidR="004B05EB">
        <w:t>Hampshire and Isle of Wight Healthcare</w:t>
      </w:r>
      <w:r w:rsidR="0036498F" w:rsidRPr="0036498F">
        <w:t xml:space="preserve"> NHS</w:t>
      </w:r>
      <w:r w:rsidR="004B05EB">
        <w:t xml:space="preserve"> Foundation</w:t>
      </w:r>
      <w:r w:rsidR="0036498F" w:rsidRPr="0036498F">
        <w:t xml:space="preserve"> Trust</w:t>
      </w:r>
      <w:r w:rsidR="0036498F">
        <w:t>, UK</w:t>
      </w:r>
    </w:p>
    <w:p w14:paraId="463190C0" w14:textId="552993AD" w:rsidR="006B2A0F" w:rsidRPr="00B0012B" w:rsidRDefault="006B2A0F" w:rsidP="00ED65C2">
      <w:pPr>
        <w:ind w:left="360"/>
      </w:pPr>
      <w:proofErr w:type="gramStart"/>
      <w:r w:rsidRPr="00153F12">
        <w:rPr>
          <w:vertAlign w:val="superscript"/>
        </w:rPr>
        <w:t>f</w:t>
      </w:r>
      <w:r w:rsidRPr="006B2A0F">
        <w:t>Department</w:t>
      </w:r>
      <w:proofErr w:type="gramEnd"/>
      <w:r w:rsidRPr="006B2A0F">
        <w:t xml:space="preserve"> of Psychology, Institute of Psychiatry, Psychology and Neuroscience, King’s College London, London, UK</w:t>
      </w:r>
    </w:p>
    <w:p w14:paraId="7A73F574" w14:textId="5C457FE7" w:rsidR="00FE65A0" w:rsidRDefault="006B2A0F" w:rsidP="00FE65A0">
      <w:pPr>
        <w:ind w:left="360"/>
      </w:pPr>
      <w:r>
        <w:rPr>
          <w:vertAlign w:val="superscript"/>
        </w:rPr>
        <w:t>g</w:t>
      </w:r>
      <w:r w:rsidR="00FE65A0" w:rsidRPr="00FC126E">
        <w:t xml:space="preserve"> </w:t>
      </w:r>
      <w:r w:rsidR="00487C31" w:rsidRPr="00487C31">
        <w:t>Department of Medical and Surgical Sciences for Children and Adults, University of Modena and Reggio Emilia, Modena, Italy</w:t>
      </w:r>
      <w:r w:rsidR="00FE65A0">
        <w:t xml:space="preserve"> and </w:t>
      </w:r>
      <w:r w:rsidR="00FE65A0" w:rsidRPr="003F3FCF">
        <w:t>Institute of Primary Health Care (BIHAM), University of Bern, Bern, Switzerland</w:t>
      </w:r>
      <w:r w:rsidR="00787F6C">
        <w:t xml:space="preserve"> </w:t>
      </w:r>
    </w:p>
    <w:p w14:paraId="1F8B3D0F" w14:textId="545B1C40" w:rsidR="006B3996" w:rsidRDefault="006B2A0F" w:rsidP="006B3996">
      <w:pPr>
        <w:ind w:left="360"/>
      </w:pPr>
      <w:proofErr w:type="gramStart"/>
      <w:r>
        <w:rPr>
          <w:vertAlign w:val="superscript"/>
        </w:rPr>
        <w:t>h</w:t>
      </w:r>
      <w:proofErr w:type="gramEnd"/>
      <w:r w:rsidR="006B3996">
        <w:t xml:space="preserve"> </w:t>
      </w:r>
      <w:r w:rsidR="006B3996" w:rsidRPr="005617D0">
        <w:t>Department of Psychiatry and Behavioral Neuroscience, University of Chicago, Chicago, IL, USA</w:t>
      </w:r>
    </w:p>
    <w:p w14:paraId="401CE8DA" w14:textId="464DDFE6" w:rsidR="00FE65A0" w:rsidRDefault="006B2A0F" w:rsidP="0093382B">
      <w:pPr>
        <w:ind w:left="360"/>
      </w:pPr>
      <w:r>
        <w:rPr>
          <w:vertAlign w:val="superscript"/>
        </w:rPr>
        <w:lastRenderedPageBreak/>
        <w:t>i</w:t>
      </w:r>
      <w:r w:rsidR="00A44000" w:rsidRPr="00A44000">
        <w:t xml:space="preserve"> Centre for Innovation in Mental Health, School of Psychology, Faculty of Environmental and Life Sciences, University of Southampton, Southampton, UK; Clinical and Experimental Sciences (CNS and Psychiatry), Faculty of Medicine, University of Southampton, Southampton, UK; Sole</w:t>
      </w:r>
      <w:r w:rsidR="0093382B">
        <w:t xml:space="preserve">nt NHS Trust, Southampton, UK; </w:t>
      </w:r>
      <w:r w:rsidR="00A44000" w:rsidRPr="00A44000">
        <w:t>DiMePRe-J-Department of Precision and Rigenerative Medicine-Jonic Area, University of Bari "Aldo Moro", Bari, Italy; Department of Child and Adolescent Psychiatry, New York University Grossman School of Medicine, New York</w:t>
      </w:r>
      <w:r w:rsidR="00787F6C">
        <w:t xml:space="preserve"> </w:t>
      </w:r>
    </w:p>
    <w:p w14:paraId="34FA6D9C" w14:textId="77777777" w:rsidR="000F4DD8" w:rsidRDefault="000F4DD8" w:rsidP="0093382B">
      <w:pPr>
        <w:ind w:left="360"/>
      </w:pPr>
    </w:p>
    <w:p w14:paraId="51C189D3" w14:textId="0C48D92F" w:rsidR="00F855A5" w:rsidRPr="00B716D0" w:rsidRDefault="00BE018B" w:rsidP="00816804">
      <w:r w:rsidRPr="001D0CFB">
        <w:rPr>
          <w:b/>
        </w:rPr>
        <w:t>Corresponding author</w:t>
      </w:r>
      <w:r w:rsidR="00F855A5">
        <w:t xml:space="preserve">; </w:t>
      </w:r>
      <w:r>
        <w:t xml:space="preserve">Email: </w:t>
      </w:r>
      <w:r w:rsidR="00816804">
        <w:t>k.ioannidis@soton.ac.uk</w:t>
      </w:r>
      <w:hyperlink r:id="rId8" w:history="1"/>
      <w:r w:rsidR="00816804" w:rsidRPr="00B716D0">
        <w:rPr>
          <w:rStyle w:val="Hyperlink"/>
          <w:color w:val="auto"/>
          <w:u w:val="none"/>
        </w:rPr>
        <w:t xml:space="preserve"> Dr Konstantinos Ioannidis PhD, Consultant Psychiatrist, Clinical Lead, Southern Gambling Service, College Keep, 4-12 Terminus Terrace,  Southampton. SO14 3DT. </w:t>
      </w:r>
      <w:hyperlink r:id="rId9" w:history="1"/>
    </w:p>
    <w:p w14:paraId="070420A9" w14:textId="0853EADE" w:rsidR="005D4D87" w:rsidRPr="001C61AE" w:rsidRDefault="005D4D87" w:rsidP="005D4D87"/>
    <w:p w14:paraId="3B5E45DF" w14:textId="77777777" w:rsidR="005D4D87" w:rsidRPr="000F04CD" w:rsidRDefault="005D4D87" w:rsidP="00BE018B">
      <w:pPr>
        <w:rPr>
          <w:rStyle w:val="Hyperlink"/>
          <w:color w:val="auto"/>
          <w:u w:val="none"/>
        </w:rPr>
      </w:pPr>
    </w:p>
    <w:p w14:paraId="5D8D03D1" w14:textId="5ABE37B6" w:rsidR="00F855A5" w:rsidRDefault="00F855A5" w:rsidP="00F855A5">
      <w:r w:rsidRPr="002A310A">
        <w:rPr>
          <w:b/>
        </w:rPr>
        <w:t>Word count</w:t>
      </w:r>
      <w:r>
        <w:t>:</w:t>
      </w:r>
      <w:r w:rsidR="00CE695B">
        <w:t xml:space="preserve"> </w:t>
      </w:r>
      <w:r w:rsidR="00E95067">
        <w:t>4513</w:t>
      </w:r>
    </w:p>
    <w:p w14:paraId="6BE9FC2E" w14:textId="08D13939" w:rsidR="00BE018B" w:rsidRDefault="00DD4694" w:rsidP="00BE018B">
      <w:r>
        <w:t xml:space="preserve"> </w:t>
      </w:r>
      <w:hyperlink r:id="rId10" w:history="1"/>
    </w:p>
    <w:p w14:paraId="552A0381" w14:textId="77777777" w:rsidR="00F855A5" w:rsidRDefault="00F855A5">
      <w:pPr>
        <w:spacing w:line="259" w:lineRule="auto"/>
        <w:jc w:val="left"/>
        <w:rPr>
          <w:rFonts w:eastAsiaTheme="majorEastAsia" w:cstheme="majorBidi"/>
          <w:b/>
          <w:sz w:val="26"/>
          <w:szCs w:val="26"/>
        </w:rPr>
      </w:pPr>
      <w:r>
        <w:br w:type="page"/>
      </w:r>
    </w:p>
    <w:p w14:paraId="0A55E6C1" w14:textId="05D8470A" w:rsidR="00F11C0A" w:rsidRDefault="00F11C0A" w:rsidP="00FD74CE">
      <w:pPr>
        <w:pStyle w:val="Heading2"/>
      </w:pPr>
      <w:r>
        <w:lastRenderedPageBreak/>
        <w:t>A</w:t>
      </w:r>
      <w:r w:rsidR="00AB27BD">
        <w:t>BSTRACT</w:t>
      </w:r>
    </w:p>
    <w:p w14:paraId="5835B2E0" w14:textId="1EF67508" w:rsidR="005431D9" w:rsidRDefault="003D3F37" w:rsidP="00D01A1D">
      <w:r w:rsidRPr="003D3F37">
        <w:rPr>
          <w:b/>
        </w:rPr>
        <w:t>Background</w:t>
      </w:r>
      <w:r>
        <w:t xml:space="preserve">: </w:t>
      </w:r>
      <w:r w:rsidR="00D01A1D">
        <w:t xml:space="preserve">Placebo and nocebo effects are widely reported across psychiatric conditions, yet have seldom been examined in the context of gambling disorder. </w:t>
      </w:r>
      <w:r w:rsidR="005431D9">
        <w:t>Through meta-analysis, w</w:t>
      </w:r>
      <w:r w:rsidR="00F66114" w:rsidRPr="00531FCD">
        <w:t xml:space="preserve">e </w:t>
      </w:r>
      <w:r w:rsidR="005431D9">
        <w:t xml:space="preserve">examined placebo effects, their moderating factors, and nocebo effects, </w:t>
      </w:r>
      <w:r w:rsidR="003E0659">
        <w:t>from</w:t>
      </w:r>
      <w:r w:rsidR="00D01A1D">
        <w:t xml:space="preserve"> </w:t>
      </w:r>
      <w:r w:rsidR="00651471">
        <w:t xml:space="preserve">available </w:t>
      </w:r>
      <w:r w:rsidR="00D01A1D">
        <w:t xml:space="preserve">randomized, controlled </w:t>
      </w:r>
      <w:r w:rsidR="005431D9">
        <w:t>pha</w:t>
      </w:r>
      <w:r w:rsidR="00D01A1D">
        <w:t xml:space="preserve">rmacological clinical trials </w:t>
      </w:r>
      <w:r w:rsidR="007E158B">
        <w:t>in</w:t>
      </w:r>
      <w:r w:rsidR="00D01A1D">
        <w:t xml:space="preserve"> </w:t>
      </w:r>
      <w:r w:rsidR="005431D9">
        <w:t xml:space="preserve">gambling disorder. </w:t>
      </w:r>
    </w:p>
    <w:p w14:paraId="1FC92B19" w14:textId="69294002" w:rsidR="00AE7C7E" w:rsidRDefault="003D3F37" w:rsidP="00D12A30">
      <w:r w:rsidRPr="003D3F37">
        <w:rPr>
          <w:b/>
        </w:rPr>
        <w:t>Methods</w:t>
      </w:r>
      <w:r>
        <w:t xml:space="preserve">: </w:t>
      </w:r>
      <w:r w:rsidR="00306F91">
        <w:t>W</w:t>
      </w:r>
      <w:r w:rsidR="000A0696">
        <w:t>e searched</w:t>
      </w:r>
      <w:r w:rsidR="0039541F">
        <w:t>,</w:t>
      </w:r>
      <w:r w:rsidR="000A0696">
        <w:t xml:space="preserve"> up to 19 February 2024, a broad range of databases, for</w:t>
      </w:r>
      <w:r w:rsidR="000A0696" w:rsidRPr="00175239">
        <w:t xml:space="preserve"> double-blind randomi</w:t>
      </w:r>
      <w:r w:rsidR="000A0696">
        <w:t>s</w:t>
      </w:r>
      <w:r w:rsidR="000A0696" w:rsidRPr="00175239">
        <w:t>ed controlled trials</w:t>
      </w:r>
      <w:r w:rsidR="000A0696">
        <w:t xml:space="preserve"> (RCTs) of medications</w:t>
      </w:r>
      <w:r w:rsidR="000A0696" w:rsidRPr="00175239">
        <w:t xml:space="preserve"> for gambling disorder. </w:t>
      </w:r>
      <w:r w:rsidR="000A0696">
        <w:t xml:space="preserve">Outcomes were gambling symptom severity and quality of life (for efficacy), </w:t>
      </w:r>
      <w:r w:rsidR="000A0696" w:rsidRPr="00A15763">
        <w:t xml:space="preserve">and </w:t>
      </w:r>
      <w:r w:rsidR="00A15763" w:rsidRPr="00A15763">
        <w:t>drop</w:t>
      </w:r>
      <w:r w:rsidR="00A15763">
        <w:t xml:space="preserve"> outs due to medication side-effects in the placebo arms</w:t>
      </w:r>
      <w:r w:rsidR="000A0696">
        <w:t xml:space="preserve">. </w:t>
      </w:r>
    </w:p>
    <w:p w14:paraId="66641B9B" w14:textId="7BEAF40B" w:rsidR="002A46F3" w:rsidRDefault="00A64082" w:rsidP="00D12A30">
      <w:r w:rsidRPr="003D3F37">
        <w:rPr>
          <w:b/>
        </w:rPr>
        <w:t>Results:</w:t>
      </w:r>
      <w:r>
        <w:t xml:space="preserve"> We included 1</w:t>
      </w:r>
      <w:r w:rsidR="00A15763">
        <w:t>6</w:t>
      </w:r>
      <w:r w:rsidRPr="000A0E12">
        <w:t xml:space="preserve"> RCTs</w:t>
      </w:r>
      <w:r>
        <w:t xml:space="preserve"> </w:t>
      </w:r>
      <w:r w:rsidRPr="000A0E12">
        <w:t>(n = </w:t>
      </w:r>
      <w:r>
        <w:t>8</w:t>
      </w:r>
      <w:r w:rsidR="00A15763">
        <w:t>33</w:t>
      </w:r>
      <w:r w:rsidRPr="000A0E12">
        <w:t xml:space="preserve">) </w:t>
      </w:r>
      <w:r>
        <w:t xml:space="preserve">in the </w:t>
      </w:r>
      <w:r w:rsidR="005431D9">
        <w:t>meta-analysis</w:t>
      </w:r>
      <w:r w:rsidRPr="000A0E12">
        <w:t>.</w:t>
      </w:r>
      <w:r w:rsidR="00ED37B2">
        <w:t xml:space="preserve"> The overall effect size </w:t>
      </w:r>
      <w:r>
        <w:t>for gambling severity reduction in the placebo arms was 1.</w:t>
      </w:r>
      <w:r w:rsidR="00237AA7">
        <w:t>18 (95%CI 0.91-1.46</w:t>
      </w:r>
      <w:r>
        <w:t>)</w:t>
      </w:r>
      <w:r w:rsidR="00D21F22">
        <w:t xml:space="preserve"> and </w:t>
      </w:r>
      <w:r>
        <w:t>for qual</w:t>
      </w:r>
      <w:r w:rsidR="00237AA7">
        <w:t>ity of life improvement was 0.63 (0.42-0.83</w:t>
      </w:r>
      <w:r>
        <w:t>)</w:t>
      </w:r>
      <w:r w:rsidR="00FB5B9D" w:rsidRPr="00FB5B9D">
        <w:t>.</w:t>
      </w:r>
      <w:r>
        <w:t xml:space="preserve"> </w:t>
      </w:r>
      <w:r w:rsidR="003D3F37">
        <w:t xml:space="preserve">Medication class, </w:t>
      </w:r>
      <w:r w:rsidR="007E158B">
        <w:t xml:space="preserve">study </w:t>
      </w:r>
      <w:r w:rsidR="003D3F37">
        <w:t xml:space="preserve">sponsorship, </w:t>
      </w:r>
      <w:r w:rsidR="00FB5B9D">
        <w:t>trial duration</w:t>
      </w:r>
      <w:r w:rsidR="00541055">
        <w:t>, baseline severity of gambling</w:t>
      </w:r>
      <w:r w:rsidR="003D3F37">
        <w:t xml:space="preserve"> and publication year </w:t>
      </w:r>
      <w:r w:rsidR="005431D9">
        <w:t xml:space="preserve">significantly </w:t>
      </w:r>
      <w:r w:rsidR="003D3F37">
        <w:t>moderated effect sizes</w:t>
      </w:r>
      <w:r w:rsidR="0087271C">
        <w:t xml:space="preserve"> for at least some of these outcome measures</w:t>
      </w:r>
      <w:r w:rsidR="003D3F37">
        <w:t>. Author conflict of interest, placebo run-in, gender split, severity scale choice</w:t>
      </w:r>
      <w:r w:rsidR="00ED37B2">
        <w:t>,</w:t>
      </w:r>
      <w:r w:rsidR="003D3F37">
        <w:t xml:space="preserve"> age of participants</w:t>
      </w:r>
      <w:r w:rsidR="00541055">
        <w:t xml:space="preserve"> </w:t>
      </w:r>
      <w:r w:rsidR="00ED37B2">
        <w:t xml:space="preserve">or </w:t>
      </w:r>
      <w:r w:rsidR="00541055">
        <w:t>unbalanced randomization</w:t>
      </w:r>
      <w:r w:rsidR="003D3F37">
        <w:t xml:space="preserve"> did not moderate effect sizes. </w:t>
      </w:r>
      <w:r w:rsidR="00643295">
        <w:t xml:space="preserve">Nocebo effects </w:t>
      </w:r>
      <w:r w:rsidR="00BB7839">
        <w:t xml:space="preserve">leading to drop out from the trial were </w:t>
      </w:r>
      <w:r w:rsidR="00643295">
        <w:t xml:space="preserve">observed in 6% of participants in trials </w:t>
      </w:r>
      <w:r w:rsidR="005431D9">
        <w:t xml:space="preserve">involving </w:t>
      </w:r>
      <w:r w:rsidR="00643295">
        <w:t xml:space="preserve">antipsychotics, while this was </w:t>
      </w:r>
      <w:r w:rsidR="00ED37B2">
        <w:t>less for other medication types</w:t>
      </w:r>
      <w:r w:rsidR="00643295">
        <w:t>.</w:t>
      </w:r>
    </w:p>
    <w:p w14:paraId="6D799F6F" w14:textId="436FC0B2" w:rsidR="00A64082" w:rsidRDefault="002A46F3" w:rsidP="00D12A30">
      <w:r w:rsidRPr="002F19DE">
        <w:rPr>
          <w:b/>
        </w:rPr>
        <w:t>Conclusion</w:t>
      </w:r>
      <w:r>
        <w:t xml:space="preserve">: </w:t>
      </w:r>
      <w:r w:rsidR="00EE5097">
        <w:t>Placebo effects in trials of pharmacological treatment of gambling disorder are large, and there are several moderators of this effect. Nocebo effects were measureable and may be influenced by medication class being studied. Practical implications of these new findings for the field are discussed, along with recommendations for future clinical trials.</w:t>
      </w:r>
    </w:p>
    <w:p w14:paraId="756DAAC8" w14:textId="6F9B07F0" w:rsidR="00A47005" w:rsidRDefault="00A47005" w:rsidP="00A47005">
      <w:r>
        <w:rPr>
          <w:b/>
        </w:rPr>
        <w:t xml:space="preserve">Key words: </w:t>
      </w:r>
      <w:r w:rsidR="00AE293E">
        <w:t>G</w:t>
      </w:r>
      <w:r w:rsidR="001D22E0" w:rsidRPr="001D22E0">
        <w:t>ambling</w:t>
      </w:r>
      <w:r w:rsidR="00306F91">
        <w:t xml:space="preserve">; placebo, </w:t>
      </w:r>
      <w:r w:rsidR="0097141F" w:rsidRPr="001D22E0">
        <w:t>meta-analysis</w:t>
      </w:r>
      <w:r w:rsidR="00AE293E">
        <w:t>;</w:t>
      </w:r>
      <w:r w:rsidR="001D22E0" w:rsidRPr="001D22E0">
        <w:t xml:space="preserve"> </w:t>
      </w:r>
      <w:r w:rsidR="007E158B">
        <w:t>p</w:t>
      </w:r>
      <w:r w:rsidR="001D22E0" w:rsidRPr="001D22E0">
        <w:t>harmacotherapy</w:t>
      </w:r>
      <w:r w:rsidR="00AE293E">
        <w:t>;</w:t>
      </w:r>
      <w:r w:rsidR="001D22E0" w:rsidRPr="001D22E0">
        <w:t xml:space="preserve"> </w:t>
      </w:r>
      <w:r w:rsidR="00AE293E">
        <w:t>t</w:t>
      </w:r>
      <w:r w:rsidR="001D22E0" w:rsidRPr="001D22E0">
        <w:t>reatment</w:t>
      </w:r>
    </w:p>
    <w:p w14:paraId="54E92558" w14:textId="77777777" w:rsidR="00454716" w:rsidRDefault="00454716">
      <w:pPr>
        <w:spacing w:line="259" w:lineRule="auto"/>
        <w:jc w:val="left"/>
      </w:pPr>
    </w:p>
    <w:p w14:paraId="35E277C6" w14:textId="77777777" w:rsidR="00454716" w:rsidRDefault="00454716">
      <w:pPr>
        <w:spacing w:line="259" w:lineRule="auto"/>
        <w:jc w:val="left"/>
      </w:pPr>
    </w:p>
    <w:p w14:paraId="1050C129" w14:textId="77777777" w:rsidR="00454716" w:rsidRDefault="00454716">
      <w:pPr>
        <w:spacing w:line="259" w:lineRule="auto"/>
        <w:jc w:val="left"/>
      </w:pPr>
    </w:p>
    <w:p w14:paraId="380627D8" w14:textId="77777777" w:rsidR="00454716" w:rsidRDefault="00454716">
      <w:pPr>
        <w:spacing w:line="259" w:lineRule="auto"/>
        <w:jc w:val="left"/>
      </w:pPr>
    </w:p>
    <w:p w14:paraId="73B88135" w14:textId="77777777" w:rsidR="00454716" w:rsidRDefault="00454716">
      <w:pPr>
        <w:spacing w:line="259" w:lineRule="auto"/>
        <w:jc w:val="left"/>
      </w:pPr>
    </w:p>
    <w:p w14:paraId="15FAA71C" w14:textId="77777777" w:rsidR="00454716" w:rsidRDefault="00454716">
      <w:pPr>
        <w:spacing w:line="259" w:lineRule="auto"/>
        <w:jc w:val="left"/>
      </w:pPr>
    </w:p>
    <w:p w14:paraId="09F8084E" w14:textId="77777777" w:rsidR="007160AD" w:rsidRDefault="002B1FF9">
      <w:pPr>
        <w:spacing w:line="259" w:lineRule="auto"/>
        <w:jc w:val="left"/>
        <w:rPr>
          <w:rFonts w:eastAsiaTheme="majorEastAsia" w:cstheme="majorBidi"/>
          <w:b/>
          <w:sz w:val="32"/>
          <w:szCs w:val="32"/>
        </w:rPr>
      </w:pPr>
      <w:r>
        <w:br w:type="page"/>
      </w:r>
    </w:p>
    <w:tbl>
      <w:tblPr>
        <w:tblStyle w:val="TableGrid"/>
        <w:tblW w:w="0" w:type="auto"/>
        <w:tblBorders>
          <w:top w:val="single" w:sz="18" w:space="0" w:color="auto"/>
          <w:left w:val="single" w:sz="18" w:space="0" w:color="auto"/>
          <w:bottom w:val="none" w:sz="0" w:space="0" w:color="auto"/>
          <w:right w:val="single" w:sz="18" w:space="0" w:color="auto"/>
        </w:tblBorders>
        <w:tblLook w:val="04A0" w:firstRow="1" w:lastRow="0" w:firstColumn="1" w:lastColumn="0" w:noHBand="0" w:noVBand="1"/>
      </w:tblPr>
      <w:tblGrid>
        <w:gridCol w:w="9700"/>
      </w:tblGrid>
      <w:tr w:rsidR="007160AD" w14:paraId="7F1E3701" w14:textId="77777777" w:rsidTr="00454716">
        <w:tc>
          <w:tcPr>
            <w:tcW w:w="9736" w:type="dxa"/>
            <w:shd w:val="clear" w:color="auto" w:fill="B4C6E7" w:themeFill="accent5" w:themeFillTint="66"/>
          </w:tcPr>
          <w:p w14:paraId="798BB150" w14:textId="05496AA2" w:rsidR="007160AD" w:rsidRDefault="007160AD" w:rsidP="00454716">
            <w:pPr>
              <w:spacing w:line="259" w:lineRule="auto"/>
              <w:jc w:val="center"/>
              <w:rPr>
                <w:rFonts w:eastAsiaTheme="majorEastAsia" w:cstheme="majorBidi"/>
                <w:b/>
                <w:sz w:val="32"/>
                <w:szCs w:val="32"/>
              </w:rPr>
            </w:pPr>
            <w:r w:rsidRPr="007160AD">
              <w:rPr>
                <w:rFonts w:eastAsiaTheme="majorEastAsia" w:cstheme="majorBidi"/>
                <w:b/>
                <w:sz w:val="24"/>
                <w:szCs w:val="32"/>
              </w:rPr>
              <w:lastRenderedPageBreak/>
              <w:t>SIGNIFICANT OUTCOMES</w:t>
            </w:r>
          </w:p>
        </w:tc>
      </w:tr>
      <w:tr w:rsidR="007160AD" w14:paraId="0982822F" w14:textId="77777777" w:rsidTr="00276A6E">
        <w:tc>
          <w:tcPr>
            <w:tcW w:w="9736" w:type="dxa"/>
            <w:shd w:val="clear" w:color="auto" w:fill="F0F4FA"/>
          </w:tcPr>
          <w:p w14:paraId="453125C3" w14:textId="3825FBBE" w:rsidR="007160AD" w:rsidRDefault="007160AD" w:rsidP="007160AD">
            <w:r w:rsidRPr="007160AD">
              <w:t>Placebo effects in trials of pharmacological treatment of gambling disorder are large</w:t>
            </w:r>
          </w:p>
        </w:tc>
      </w:tr>
      <w:tr w:rsidR="007160AD" w14:paraId="2FD720AE" w14:textId="77777777" w:rsidTr="00276A6E">
        <w:tc>
          <w:tcPr>
            <w:tcW w:w="9736" w:type="dxa"/>
            <w:shd w:val="clear" w:color="auto" w:fill="F0F4FA"/>
          </w:tcPr>
          <w:p w14:paraId="6EC8FE77" w14:textId="5D060386" w:rsidR="007160AD" w:rsidRDefault="007160AD" w:rsidP="007160AD">
            <w:r w:rsidRPr="007160AD">
              <w:t>Medication class, study sponsorship, trial duration, baseline severity of gambling and publication year significantly moderated</w:t>
            </w:r>
            <w:r>
              <w:t xml:space="preserve"> the placebo effect</w:t>
            </w:r>
          </w:p>
        </w:tc>
      </w:tr>
      <w:tr w:rsidR="007160AD" w14:paraId="7F0EDE3D" w14:textId="77777777" w:rsidTr="00276A6E">
        <w:tc>
          <w:tcPr>
            <w:tcW w:w="9736" w:type="dxa"/>
            <w:tcBorders>
              <w:bottom w:val="single" w:sz="18" w:space="0" w:color="auto"/>
            </w:tcBorders>
            <w:shd w:val="clear" w:color="auto" w:fill="F0F4FA"/>
          </w:tcPr>
          <w:p w14:paraId="6B0D7A04" w14:textId="6BD3148C" w:rsidR="007160AD" w:rsidRDefault="007160AD" w:rsidP="007160AD">
            <w:r w:rsidRPr="007160AD">
              <w:t xml:space="preserve">Nocebo effects were </w:t>
            </w:r>
            <w:r w:rsidR="0033623E" w:rsidRPr="007160AD">
              <w:t>measurable</w:t>
            </w:r>
            <w:r w:rsidRPr="007160AD">
              <w:t xml:space="preserve"> and may be influenced by medication class being studied.</w:t>
            </w:r>
          </w:p>
        </w:tc>
      </w:tr>
    </w:tbl>
    <w:p w14:paraId="5BED536F" w14:textId="5B0C8285" w:rsidR="002B1FF9" w:rsidRDefault="002B1FF9">
      <w:pPr>
        <w:spacing w:line="259" w:lineRule="auto"/>
        <w:jc w:val="left"/>
        <w:rPr>
          <w:rFonts w:eastAsiaTheme="majorEastAsia" w:cstheme="majorBidi"/>
          <w:b/>
          <w:sz w:val="32"/>
          <w:szCs w:val="32"/>
        </w:rPr>
      </w:pPr>
    </w:p>
    <w:p w14:paraId="57BDF1DA" w14:textId="77777777" w:rsidR="00454716" w:rsidRDefault="00454716">
      <w:pPr>
        <w:spacing w:line="259" w:lineRule="auto"/>
        <w:jc w:val="left"/>
        <w:rPr>
          <w:rFonts w:eastAsiaTheme="majorEastAsia" w:cstheme="majorBidi"/>
          <w:b/>
          <w:sz w:val="32"/>
          <w:szCs w:val="32"/>
        </w:rPr>
      </w:pPr>
    </w:p>
    <w:tbl>
      <w:tblPr>
        <w:tblStyle w:val="TableGrid"/>
        <w:tblW w:w="0" w:type="auto"/>
        <w:tblLook w:val="04A0" w:firstRow="1" w:lastRow="0" w:firstColumn="1" w:lastColumn="0" w:noHBand="0" w:noVBand="1"/>
      </w:tblPr>
      <w:tblGrid>
        <w:gridCol w:w="9700"/>
      </w:tblGrid>
      <w:tr w:rsidR="00454716" w14:paraId="76000271" w14:textId="77777777" w:rsidTr="00276A6E">
        <w:tc>
          <w:tcPr>
            <w:tcW w:w="9736" w:type="dxa"/>
            <w:tcBorders>
              <w:top w:val="single" w:sz="18" w:space="0" w:color="auto"/>
              <w:left w:val="single" w:sz="18" w:space="0" w:color="auto"/>
              <w:right w:val="single" w:sz="18" w:space="0" w:color="auto"/>
            </w:tcBorders>
            <w:shd w:val="clear" w:color="auto" w:fill="B4C6E7" w:themeFill="accent5" w:themeFillTint="66"/>
          </w:tcPr>
          <w:p w14:paraId="694ACF4F" w14:textId="7B91AB8B" w:rsidR="00454716" w:rsidRDefault="00454716" w:rsidP="00454716">
            <w:pPr>
              <w:spacing w:line="259" w:lineRule="auto"/>
              <w:jc w:val="center"/>
              <w:rPr>
                <w:rFonts w:eastAsiaTheme="majorEastAsia" w:cstheme="majorBidi"/>
                <w:b/>
                <w:sz w:val="32"/>
                <w:szCs w:val="32"/>
              </w:rPr>
            </w:pPr>
            <w:r w:rsidRPr="007160AD">
              <w:rPr>
                <w:rFonts w:eastAsiaTheme="majorEastAsia" w:cstheme="majorBidi"/>
                <w:b/>
                <w:sz w:val="24"/>
                <w:szCs w:val="32"/>
              </w:rPr>
              <w:t xml:space="preserve">SIGNIFICANT </w:t>
            </w:r>
            <w:r>
              <w:rPr>
                <w:rFonts w:eastAsiaTheme="majorEastAsia" w:cstheme="majorBidi"/>
                <w:b/>
                <w:sz w:val="24"/>
                <w:szCs w:val="32"/>
              </w:rPr>
              <w:t>LIMITATIONS</w:t>
            </w:r>
          </w:p>
        </w:tc>
      </w:tr>
      <w:tr w:rsidR="00454716" w14:paraId="0D254631" w14:textId="77777777" w:rsidTr="00276A6E">
        <w:tc>
          <w:tcPr>
            <w:tcW w:w="9736" w:type="dxa"/>
            <w:tcBorders>
              <w:left w:val="single" w:sz="18" w:space="0" w:color="auto"/>
              <w:right w:val="single" w:sz="18" w:space="0" w:color="auto"/>
            </w:tcBorders>
            <w:shd w:val="clear" w:color="auto" w:fill="F0F4FA"/>
          </w:tcPr>
          <w:p w14:paraId="796AB16B" w14:textId="453F3377" w:rsidR="00454716" w:rsidRDefault="00454716" w:rsidP="00B303E4">
            <w:r>
              <w:t>T</w:t>
            </w:r>
            <w:r w:rsidRPr="00454716">
              <w:t xml:space="preserve">he number </w:t>
            </w:r>
            <w:r>
              <w:t xml:space="preserve">of RCTs </w:t>
            </w:r>
            <w:r w:rsidRPr="00454716">
              <w:t xml:space="preserve">available for </w:t>
            </w:r>
            <w:r w:rsidR="00276A6E">
              <w:t xml:space="preserve">the pharmacological management of </w:t>
            </w:r>
            <w:r w:rsidRPr="00454716">
              <w:t>gambling disorder is relatively limited to date, as compared to other areas of mental ill health</w:t>
            </w:r>
          </w:p>
        </w:tc>
      </w:tr>
      <w:tr w:rsidR="00454716" w14:paraId="7D9157D7" w14:textId="77777777" w:rsidTr="00276A6E">
        <w:tc>
          <w:tcPr>
            <w:tcW w:w="9736" w:type="dxa"/>
            <w:tcBorders>
              <w:left w:val="single" w:sz="18" w:space="0" w:color="auto"/>
              <w:right w:val="single" w:sz="18" w:space="0" w:color="auto"/>
            </w:tcBorders>
            <w:shd w:val="clear" w:color="auto" w:fill="F0F4FA"/>
          </w:tcPr>
          <w:p w14:paraId="6A028410" w14:textId="38EDA56D" w:rsidR="00454716" w:rsidRDefault="00454716" w:rsidP="00B303E4">
            <w:r>
              <w:t>The presence or not of co-morbidities was not comprehensively assessed in those RCTs</w:t>
            </w:r>
            <w:r w:rsidR="00276A6E">
              <w:t>, which limited the possibility of those being identified as moderators</w:t>
            </w:r>
            <w:r>
              <w:t>.</w:t>
            </w:r>
          </w:p>
        </w:tc>
      </w:tr>
      <w:tr w:rsidR="00454716" w14:paraId="7B6B2F42" w14:textId="77777777" w:rsidTr="00276A6E">
        <w:tc>
          <w:tcPr>
            <w:tcW w:w="9736" w:type="dxa"/>
            <w:tcBorders>
              <w:left w:val="single" w:sz="18" w:space="0" w:color="auto"/>
              <w:bottom w:val="single" w:sz="18" w:space="0" w:color="auto"/>
              <w:right w:val="single" w:sz="18" w:space="0" w:color="auto"/>
            </w:tcBorders>
            <w:shd w:val="clear" w:color="auto" w:fill="F0F4FA"/>
          </w:tcPr>
          <w:p w14:paraId="4BE3C0E0" w14:textId="01B3EA90" w:rsidR="00454716" w:rsidRDefault="00454716" w:rsidP="00B303E4">
            <w:r>
              <w:t xml:space="preserve">Meta-regression was not possible for blinding integrity, as this was not measured in those RCTs. </w:t>
            </w:r>
          </w:p>
        </w:tc>
      </w:tr>
    </w:tbl>
    <w:p w14:paraId="79B90959" w14:textId="77777777" w:rsidR="00454716" w:rsidRDefault="00454716">
      <w:pPr>
        <w:spacing w:line="259" w:lineRule="auto"/>
        <w:jc w:val="left"/>
        <w:rPr>
          <w:rFonts w:eastAsiaTheme="majorEastAsia" w:cstheme="majorBidi"/>
          <w:b/>
          <w:sz w:val="32"/>
          <w:szCs w:val="32"/>
        </w:rPr>
      </w:pPr>
    </w:p>
    <w:p w14:paraId="4839D658" w14:textId="77777777" w:rsidR="00454716" w:rsidRDefault="00454716">
      <w:pPr>
        <w:spacing w:line="259" w:lineRule="auto"/>
        <w:jc w:val="left"/>
        <w:rPr>
          <w:rFonts w:eastAsiaTheme="majorEastAsia" w:cstheme="majorBidi"/>
          <w:b/>
          <w:sz w:val="32"/>
          <w:szCs w:val="32"/>
        </w:rPr>
      </w:pPr>
    </w:p>
    <w:p w14:paraId="109A2FD6" w14:textId="77777777" w:rsidR="00454716" w:rsidRDefault="00454716">
      <w:pPr>
        <w:spacing w:line="259" w:lineRule="auto"/>
        <w:jc w:val="left"/>
        <w:rPr>
          <w:rFonts w:eastAsiaTheme="majorEastAsia" w:cstheme="majorBidi"/>
          <w:b/>
          <w:sz w:val="32"/>
          <w:szCs w:val="32"/>
        </w:rPr>
      </w:pPr>
      <w:r>
        <w:br w:type="page"/>
      </w:r>
    </w:p>
    <w:p w14:paraId="26FB4BCB" w14:textId="34CF526F" w:rsidR="00F11C0A" w:rsidRDefault="00F11C0A" w:rsidP="001B63BD">
      <w:pPr>
        <w:pStyle w:val="Heading1"/>
      </w:pPr>
      <w:r>
        <w:lastRenderedPageBreak/>
        <w:t>I</w:t>
      </w:r>
      <w:r w:rsidR="00AB27BD">
        <w:t>NTRODUCTION</w:t>
      </w:r>
    </w:p>
    <w:p w14:paraId="2AF0A9EC" w14:textId="4C127CFE" w:rsidR="0048235F" w:rsidRDefault="005076B5" w:rsidP="005076B5">
      <w:r>
        <w:t xml:space="preserve">Gambling </w:t>
      </w:r>
      <w:r w:rsidR="007A5A37">
        <w:t>disorder</w:t>
      </w:r>
      <w:r w:rsidR="007E158B">
        <w:t xml:space="preserve"> </w:t>
      </w:r>
      <w:r>
        <w:t xml:space="preserve">is a complex </w:t>
      </w:r>
      <w:r w:rsidR="002F19DE">
        <w:t>mental disorder</w:t>
      </w:r>
      <w:r w:rsidR="002F19DE" w:rsidRPr="002F19DE">
        <w:t xml:space="preserve"> </w:t>
      </w:r>
      <w:r w:rsidR="002F19DE">
        <w:t>characterized by persistent and recurrent gambling despite the evidence of negative consequences</w:t>
      </w:r>
      <w:r w:rsidR="0031469C">
        <w:t>. I</w:t>
      </w:r>
      <w:r w:rsidR="002F19DE">
        <w:t xml:space="preserve">t is classified as a </w:t>
      </w:r>
      <w:r>
        <w:t xml:space="preserve">behavioural </w:t>
      </w:r>
      <w:r w:rsidR="007A5A37">
        <w:t>addiction</w:t>
      </w:r>
      <w:r w:rsidR="002F19DE" w:rsidRPr="002F19DE">
        <w:t xml:space="preserve"> </w:t>
      </w:r>
      <w:r w:rsidR="002F19DE">
        <w:t>in the International classification of Disease 11</w:t>
      </w:r>
      <w:r w:rsidR="002F19DE" w:rsidRPr="005076B5">
        <w:rPr>
          <w:vertAlign w:val="superscript"/>
        </w:rPr>
        <w:t>th</w:t>
      </w:r>
      <w:r w:rsidR="00752FB8">
        <w:t xml:space="preserve"> Edition </w:t>
      </w:r>
      <w:r w:rsidR="002F19DE">
        <w:t>(ICD-11)</w:t>
      </w:r>
      <w:r w:rsidR="00A16406">
        <w:t xml:space="preserve"> </w:t>
      </w:r>
      <w:r w:rsidR="00925DAA">
        <w:fldChar w:fldCharType="begin" w:fldLock="1"/>
      </w:r>
      <w:r w:rsidR="006B30C0">
        <w:instrText>ADDIN CSL_CITATION {"citationItems":[{"id":"ITEM-1","itemData":{"URL":"https://icd.who.int/browse11/l-m/en#/http%3A%2F%2Fid.who.int%2Ficd%2Fentity%2F263852475","accessed":{"date-parts":[["2021","9","19"]]},"author":[{"dropping-particle":"","family":"ICD-11","given":"","non-dropping-particle":"","parse-names":false,"suffix":""}],"id":"ITEM-1","issued":{"date-parts":[["2021"]]},"title":"ICD-11 for Mortality and Morbidity Statistics","type":"webpage"},"uris":["http://www.mendeley.com/documents/?uuid=b239af60-2dc0-3c6e-b622-a988947f0bd9"]}],"mendeley":{"formattedCitation":"(ICD-11, 2021)","plainTextFormattedCitation":"(ICD-11, 2021)","previouslyFormattedCitation":"(ICD-11, 2021)"},"properties":{"noteIndex":0},"schema":"https://github.com/citation-style-language/schema/raw/master/csl-citation.json"}</w:instrText>
      </w:r>
      <w:r w:rsidR="00925DAA">
        <w:fldChar w:fldCharType="separate"/>
      </w:r>
      <w:r w:rsidR="006B30C0" w:rsidRPr="006B30C0">
        <w:rPr>
          <w:noProof/>
        </w:rPr>
        <w:t>(ICD-11, 2021)</w:t>
      </w:r>
      <w:r w:rsidR="00925DAA">
        <w:fldChar w:fldCharType="end"/>
      </w:r>
      <w:r w:rsidR="002F19DE">
        <w:t xml:space="preserve"> and as a Substance-Related and Addictive Disorder in the Diagnostic and Statistical Manual 5</w:t>
      </w:r>
      <w:r w:rsidR="002F19DE" w:rsidRPr="00E70198">
        <w:rPr>
          <w:vertAlign w:val="superscript"/>
        </w:rPr>
        <w:t>th</w:t>
      </w:r>
      <w:r w:rsidR="002F19DE">
        <w:t xml:space="preserve"> Edition</w:t>
      </w:r>
      <w:r w:rsidR="0031469C">
        <w:t>, text revised</w:t>
      </w:r>
      <w:r w:rsidR="002F19DE">
        <w:t xml:space="preserve"> (DSM-5-TR)</w:t>
      </w:r>
      <w:r w:rsidR="00A16406">
        <w:t xml:space="preserve"> </w:t>
      </w:r>
      <w:r w:rsidR="00925DAA">
        <w:fldChar w:fldCharType="begin" w:fldLock="1"/>
      </w:r>
      <w:r w:rsidR="006B30C0">
        <w:instrText>ADDIN CSL_CITATION {"citationItems":[{"id":"ITEM-1","itemData":{"DOI":"10.1176/APPI.BOOKS.9780890425787","abstract":"3rd ed","author":[{"dropping-particle":"","family":"American Psychiatric Association","given":"","non-dropping-particle":"","parse-names":false,"suffix":""}],"container-title":"Diagnostic and Statistical Manual of Mental Disorders","id":"ITEM-1","issued":{"date-parts":[["2022","3","18"]]},"publisher":"American Psychiatric Association Publishing","title":"Diagnostic and Statistical Manual of Mental Disorders, Fifth Edition, Text Revision (DSM-5-TR)","type":"article-journal"},"uris":["http://www.mendeley.com/documents/?uuid=c3f3b321-d4fa-308e-a693-b2fcd0ec9209"]}],"mendeley":{"formattedCitation":"(American Psychiatric Association, 2022)","plainTextFormattedCitation":"(American Psychiatric Association, 2022)","previouslyFormattedCitation":"(American Psychiatric Association, 2022)"},"properties":{"noteIndex":0},"schema":"https://github.com/citation-style-language/schema/raw/master/csl-citation.json"}</w:instrText>
      </w:r>
      <w:r w:rsidR="00925DAA">
        <w:fldChar w:fldCharType="separate"/>
      </w:r>
      <w:r w:rsidR="006B30C0" w:rsidRPr="006B30C0">
        <w:rPr>
          <w:noProof/>
        </w:rPr>
        <w:t>(American Psychiatric Association, 2022)</w:t>
      </w:r>
      <w:r w:rsidR="00925DAA">
        <w:fldChar w:fldCharType="end"/>
      </w:r>
      <w:r w:rsidR="007E158B">
        <w:t xml:space="preserve">. </w:t>
      </w:r>
      <w:r w:rsidR="0031469C">
        <w:t>Gambling Disorder</w:t>
      </w:r>
      <w:r w:rsidR="002F19DE">
        <w:t xml:space="preserve"> has a substantial impact on those affected, as well as</w:t>
      </w:r>
      <w:r w:rsidR="009C0686">
        <w:t xml:space="preserve"> those around them</w:t>
      </w:r>
      <w:r w:rsidR="002F19DE">
        <w:t>.</w:t>
      </w:r>
      <w:r w:rsidR="009C0686">
        <w:t xml:space="preserve"> </w:t>
      </w:r>
      <w:r w:rsidR="002F19DE">
        <w:t>For example, i</w:t>
      </w:r>
      <w:r>
        <w:t xml:space="preserve">t </w:t>
      </w:r>
      <w:r w:rsidR="00A16406">
        <w:t xml:space="preserve">can lead </w:t>
      </w:r>
      <w:r w:rsidR="002F19DE">
        <w:t>to</w:t>
      </w:r>
      <w:r w:rsidR="007866DE">
        <w:t xml:space="preserve"> </w:t>
      </w:r>
      <w:r w:rsidR="00B41F3F">
        <w:t>i</w:t>
      </w:r>
      <w:r>
        <w:t xml:space="preserve">nterpersonal </w:t>
      </w:r>
      <w:r w:rsidR="007A5A37">
        <w:t>conflict</w:t>
      </w:r>
      <w:r>
        <w:t xml:space="preserve">, serious financial problems, homelessness, </w:t>
      </w:r>
      <w:r w:rsidR="00925DAA">
        <w:t>bankruptcy</w:t>
      </w:r>
      <w:r w:rsidR="00AE293E">
        <w:t>,</w:t>
      </w:r>
      <w:r>
        <w:t xml:space="preserve"> and elevated risk of suicide</w:t>
      </w:r>
      <w:r w:rsidR="00925DAA">
        <w:t xml:space="preserve"> </w:t>
      </w:r>
      <w:r w:rsidR="00925DAA">
        <w:fldChar w:fldCharType="begin" w:fldLock="1"/>
      </w:r>
      <w:r w:rsidR="00153F12">
        <w:instrText>ADDIN CSL_CITATION {"citationItems":[{"id":"ITEM-1","itemData":{"DOI":"10.1016/S2468-2667(20)30232-2","ISSN":"2468-2667","PMID":"33417845","abstract":"Background: Suicide rates in young people have increased in England and Wales since 2010. There are a range of possible explanations for this increase, and problem gambling has been suggested as a potential risk factor. We aimed to examine the association between suicidality (suicidal thoughts and suicide attempts) and problem gambling specifically for young adults in Great Britain, where gambling has become more widely available and normalised in the past two decades. Methods: We analysed data from the Emerging Adults Gambling Survey: a cross-sectional, online, non-probability sample survey of young adults aged 16–24 years living in Great Britain, who were selected from a YouGov online panel. Participants were eligible if they had not taken part in any other YouGov survey on gambling in the past year. We examined associations between problem gambling (defined as a score of 8 or higher on the Problem Gambling Severity Index [PGSI]) and suicidal thoughts and suicide attempts in the year before survey completion in a series of regression models, with and without adjustment for sociodemographic factors, alcohol use, video gaming, anxiety, loneliness, and impulsivity. Findings: 3549 eligible participants completed the survey between June 25 and Aug 16, 2019. 24 (37·0% [95% CI 25·6–50·2]) of 62 men who had attempted suicide in the past year had survey scores that were indicative of problem gambling, compared with 38 (3·6% [2·6–5·0]) of 1077 men who had not attempted suicide or had suicidal thoughts in the past year. 13 (14·5% [8·5–23·6]) of 85 women who had attempted suicide in the past year had survey scores that were indicative of problem gambling, compared with 25 (2·0% [1·4–3·0]) of 1184 women who had not attempted suicide or had suicidal thoughts in the past year. The adjusted odds ratio for attempted suicide was 9·0 (4·1–19·7) in men with scores that indicated problem gambling and 4·9 (2·0–12·0) in women with scores that indicated problem gambling, compared with participants of the same gender with PGSI scores of 0. Interpretation: Problem gambling appears to be associated with suicide attempts in both young men and young women. This association persisted after adjusting for anxiety, impulsivity, life satisfaction, and other factors, which suggests that other mechanisms, such as the severity and multiplicity of harms experienced, or gambling to cope with life stressors, might underpin this relationship. Young people with problem-gambling behaviours sho…","author":[{"dropping-particle":"","family":"Wardle","given":"Heather","non-dropping-particle":"","parse-names":false,"suffix":""},{"dropping-particle":"","family":"McManus","given":"Sally","non-dropping-particle":"","parse-names":false,"suffix":""}],"container-title":"The Lancet Public Health","id":"ITEM-1","issue":"1","issued":{"date-parts":[["2021","1","1"]]},"page":"e39-e49","publisher":"Elsevier","title":"Suicidality and gambling among young adults in Great Britain: results from a cross-sectional online survey","type":"article-journal","volume":"6"},"uris":["http://www.mendeley.com/documents/?uuid=73831c72-a9ca-30ce-bed4-982acbde0b78"]},{"id":"ITEM-2","itemData":{"DOI":"10.1016/S2468-2667(20)30290-5","ISSN":"24682667","PMID":"33417843","author":[{"dropping-particle":"","family":"The Lancet Public Health","given":"","non-dropping-particle":"","parse-names":false,"suffix":""}],"container-title":"The Lancet Public Health","id":"ITEM-2","issue":"1","issued":{"date-parts":[["2021","1","1"]]},"page":"e1","publisher":"Elsevier Ltd","title":"Gambling: a neglected public health issue","type":"article-journal","volume":"6"},"uris":["http://www.mendeley.com/documents/?uuid=2b227225-a03f-363c-b281-5c309e00dafe"]},{"id":"ITEM-3","itemData":{"DOI":"10.1002/TRE.929","ISSN":"2044-3749","abstract":"Young people, in particular young men, are at risk of harm from gambling. Indeed, gambling disorder is a neglected public health issue. Recent government proposals in the UK aim to address the problem, but they may not be enough. In this article the authors explore the complex issues around gambling disorder, especially as it relates to online gambling, including some of the factors that put young men at greater risk.","author":[{"dropping-particle":"","family":"Ioannidis","given":"Konstantinos","non-dropping-particle":"","parse-names":false,"suffix":""},{"dropping-particle":"","family":"Bowden-Jones","given":"Henrietta","non-dropping-particle":"","parse-names":false,"suffix":""}],"container-title":"Trends in Urology &amp; Men's Health","id":"ITEM-3","issue":"5","issued":{"date-parts":[["2023","9","1"]]},"page":"6-9","publisher":"John Wiley &amp; Sons, Ltd","title":"Online gambling among young men: a rising tide?","type":"article-journal","volume":"14"},"uris":["http://www.mendeley.com/documents/?uuid=e0e87c4b-e1ad-3367-9ffa-9a12e863f14c"]}],"mendeley":{"formattedCitation":"(Ioannidis &amp; Bowden-Jones, 2023; The Lancet Public Health, 2021; Wardle &amp; McManus, 2021)","plainTextFormattedCitation":"(Ioannidis &amp; Bowden-Jones, 2023; The Lancet Public Health, 2021; Wardle &amp; McManus, 2021)","previouslyFormattedCitation":"(Ioannidis &amp; Bowden-Jones, 2023; The Lancet Public Health, 2021; Wardle &amp; McManus, 2021)"},"properties":{"noteIndex":0},"schema":"https://github.com/citation-style-language/schema/raw/master/csl-citation.json"}</w:instrText>
      </w:r>
      <w:r w:rsidR="00925DAA">
        <w:fldChar w:fldCharType="separate"/>
      </w:r>
      <w:r w:rsidR="006B30C0" w:rsidRPr="006B30C0">
        <w:rPr>
          <w:noProof/>
        </w:rPr>
        <w:t>(Ioannidis &amp; Bowden-Jones, 2023; The Lancet Public Health, 2021; Wardle &amp; McManus, 2021)</w:t>
      </w:r>
      <w:r w:rsidR="00925DAA">
        <w:fldChar w:fldCharType="end"/>
      </w:r>
      <w:r w:rsidR="0031469C">
        <w:t xml:space="preserve"> with</w:t>
      </w:r>
      <w:r w:rsidR="002F19DE">
        <w:t xml:space="preserve"> substantial public health implications</w:t>
      </w:r>
      <w:r w:rsidR="002F19DE" w:rsidRPr="009C0686">
        <w:t xml:space="preserve"> </w:t>
      </w:r>
      <w:r w:rsidR="002F19DE">
        <w:t>worldwide</w:t>
      </w:r>
      <w:r w:rsidR="00925DAA">
        <w:t xml:space="preserve"> </w:t>
      </w:r>
      <w:r w:rsidR="00925DAA">
        <w:fldChar w:fldCharType="begin" w:fldLock="1"/>
      </w:r>
      <w:r w:rsidR="006B30C0">
        <w:instrText>ADDIN CSL_CITATION {"citationItems":[{"id":"ITEM-1","itemData":{"DOI":"10.1016/S2468-2667(20)30290-5","ISSN":"24682667","PMID":"33417843","author":[{"dropping-particle":"","family":"The Lancet Public Health","given":"","non-dropping-particle":"","parse-names":false,"suffix":""}],"container-title":"The Lancet Public Health","id":"ITEM-1","issue":"1","issued":{"date-parts":[["2021","1","1"]]},"page":"e1","publisher":"Elsevier Ltd","title":"Gambling: a neglected public health issue","type":"article-journal","volume":"6"},"uris":["http://www.mendeley.com/documents/?uuid=2b227225-a03f-363c-b281-5c309e00dafe"]}],"mendeley":{"formattedCitation":"(The Lancet Public Health, 2021)","plainTextFormattedCitation":"(The Lancet Public Health, 2021)","previouslyFormattedCitation":"(The Lancet Public Health, 2021)"},"properties":{"noteIndex":0},"schema":"https://github.com/citation-style-language/schema/raw/master/csl-citation.json"}</w:instrText>
      </w:r>
      <w:r w:rsidR="00925DAA">
        <w:fldChar w:fldCharType="separate"/>
      </w:r>
      <w:r w:rsidR="006B30C0" w:rsidRPr="006B30C0">
        <w:rPr>
          <w:noProof/>
        </w:rPr>
        <w:t>(The Lancet Public Health, 2021)</w:t>
      </w:r>
      <w:r w:rsidR="00925DAA">
        <w:fldChar w:fldCharType="end"/>
      </w:r>
      <w:r w:rsidR="002F19DE">
        <w:t xml:space="preserve">. </w:t>
      </w:r>
      <w:r>
        <w:t xml:space="preserve"> </w:t>
      </w:r>
    </w:p>
    <w:p w14:paraId="7A1A04E2" w14:textId="2851AC6C" w:rsidR="0031469C" w:rsidRDefault="00316966" w:rsidP="0031469C">
      <w:r>
        <w:t>P</w:t>
      </w:r>
      <w:r w:rsidR="007A5A37">
        <w:t xml:space="preserve">sychological </w:t>
      </w:r>
      <w:r w:rsidR="00925DAA">
        <w:t xml:space="preserve">treatments </w:t>
      </w:r>
      <w:r w:rsidR="007A5A37">
        <w:t>(i.e.</w:t>
      </w:r>
      <w:r w:rsidR="00AE293E">
        <w:t>,</w:t>
      </w:r>
      <w:r w:rsidR="007A5A37">
        <w:t xml:space="preserve"> </w:t>
      </w:r>
      <w:r w:rsidR="00C307C7">
        <w:t xml:space="preserve">mainly in the form of </w:t>
      </w:r>
      <w:r w:rsidR="007A5A37">
        <w:t>gambling focused</w:t>
      </w:r>
      <w:r w:rsidR="00E70198">
        <w:t xml:space="preserve"> cognitive-behavioural therapy –</w:t>
      </w:r>
      <w:r w:rsidR="00B90574">
        <w:t>CBT</w:t>
      </w:r>
      <w:r w:rsidR="00E70198">
        <w:t>–</w:t>
      </w:r>
      <w:r w:rsidR="007A5A37">
        <w:t>,</w:t>
      </w:r>
      <w:r w:rsidR="00E70198">
        <w:t xml:space="preserve"> </w:t>
      </w:r>
      <w:r w:rsidR="007A5A37">
        <w:t>in its many variants)</w:t>
      </w:r>
      <w:r>
        <w:t xml:space="preserve"> </w:t>
      </w:r>
      <w:r w:rsidR="00C307C7">
        <w:t>comprise the</w:t>
      </w:r>
      <w:r w:rsidR="004913FE">
        <w:t xml:space="preserve"> current</w:t>
      </w:r>
      <w:r w:rsidR="007E158B">
        <w:t xml:space="preserve"> mainstay approach for the </w:t>
      </w:r>
      <w:r w:rsidR="00C307C7">
        <w:t xml:space="preserve">treatment of </w:t>
      </w:r>
      <w:r>
        <w:t>gambling disorder</w:t>
      </w:r>
      <w:r w:rsidR="007A075A">
        <w:t>.</w:t>
      </w:r>
      <w:r w:rsidR="00B90574">
        <w:t xml:space="preserve"> </w:t>
      </w:r>
      <w:r w:rsidR="00C307C7">
        <w:t xml:space="preserve">Pharmacological treatments </w:t>
      </w:r>
      <w:r w:rsidR="0031469C">
        <w:t>are also available</w:t>
      </w:r>
      <w:r w:rsidR="00C307C7">
        <w:t xml:space="preserve">, with opioid receptor antagonists (nalmefene, naltrexone) currently </w:t>
      </w:r>
      <w:r w:rsidR="001F01B1">
        <w:t xml:space="preserve">having the best evidence </w:t>
      </w:r>
      <w:r w:rsidR="00925DAA">
        <w:fldChar w:fldCharType="begin" w:fldLock="1"/>
      </w:r>
      <w:r w:rsidR="00153F12">
        <w:instrText>ADDIN CSL_CITATION {"citationItems":[{"id":"ITEM-1","itemData":{"DOI":"10.1101/2023.10.20.23297314","abstract":"Background Clinical guidelines remain unclear on which medications for gambling disorder are to be preferred in terms of efficacy and tolerability. We aimed to compare pharmacological treatments for gambling disorder in terms of efficacy and tolerability, using network meta-analysis (NMA).\n\nMethods We searched, up to 19 February 2024, a broad range of databases, including MEDLINE, EMBASE, PsycINFO, PubMed, CINAHL, AMED, and the Cochrane Database of Systematic Reviews, ERIC and Web of Science (including Science Citation Index Expanded (SCI-EXPANDED), Social Science Citation Index (SSCI), Conference Proceedings Citation Index-Science (CPCI-S) and Conference Proceedings Citation Index-Social Science and Humanities (CPCI-SSH)) via Web of Knowledge and the WHO International Trials Registry Platform (including [ClinicalTrials.gov][1]), for double-blind randomised controlled trials (RCTs) of medications for gambling disorder. Outcomes were gambling symptom severity and quality of life (for efficacy), and tolerability. Confidence in the network estimates was assessed using the CINeMA framework. We followed the PRISMA-NMA guidelines and pre-registered the protocol [CRD42022329520].\n\nOutcomes We included 22 RCTs in the systematic review and 16 RCTs (n = 977 participants) in the NMA. Compared with placebo, moderate confidence evidence indicated that nalmefene [Standardized Mean Difference (SMD): −0·86; 95% confidence interval (CI: −1·32,-0·41)] reduced gambling severity, followed by naltrexone [-0·42; −0·85, 0·01)]. Nalmefene [Odds Ratio (OR): 7·55; 95%CI: 2·24-25·41] and naltrexone (7·82; 1·26-48·70) had significantly higher dropout due to side effects (lower tolerability) compared with placebo. Naltrexone (SMD: −0·50; 95%CI: −0·85,-0·14) and nalmefene (−0·36; −0·72,-0·01) were more beneficial than placebo in terms of quality of life. Olanzapine and topiramate were not more efficacious than placebo.\n\nInterpretation Nalmefene and naltrexone currently have the most supportive evidence for the pharmacological treatment of gambling disorder. Further clinical trials of novel compounds, and analysis of individual participant data are needed, to strengthen the evidence base, and help tailor treatments at the individual patient level.\n\nFunding This study was supported by unrestricted grant funds to Professor Chamberlain held at the University of Southampton, originating from the NHS.\n\nEvidence before this study Over the past few decades, there has been a substantial need…","author":[{"dropping-particle":"","family":"Ioannidis","given":"Konstantinos","non-dropping-particle":"","parse-names":false,"suffix":""},{"dropping-particle":"","family":"Giovane","given":"Cinzia","non-dropping-particle":"Del","parse-names":false,"suffix":""},{"dropping-particle":"","family":"Tzagarakis","given":"Charidimos","non-dropping-particle":"","parse-names":false,"suffix":""},{"dropping-particle":"","family":"Solly","given":"Jeremy E","non-dropping-particle":"","parse-names":false,"suffix":""},{"dropping-particle":"","family":"Westwood","given":"Samuel J","non-dropping-particle":"","parse-names":false,"suffix":""},{"dropping-particle":"","family":"Parlatini","given":"Valeria","non-dropping-particle":"","parse-names":false,"suffix":""},{"dropping-particle":"","family":"Bowden-Jones","given":"Henrietta","non-dropping-particle":"","parse-names":false,"suffix":""},{"dropping-particle":"","family":"Grant","given":"Jon E","non-dropping-particle":"","parse-names":false,"suffix":""},{"dropping-particle":"","family":"Cortese","given":"Samuele","non-dropping-particle":"","parse-names":false,"suffix":""},{"dropping-particle":"","family":"Chamberlain Author details","given":"Samuel R","non-dropping-particle":"","parse-names":false,"suffix":""}],"container-title":"medRxiv","id":"ITEM-1","issued":{"date-parts":[["2024","3","20"]]},"page":"2023.10.20.23297314","publisher":"Cold Spring Harbor Laboratory Press","title":"Pharmacological Management of Gambling Disorder: A Systematic Review and Network Meta-Analysis","type":"article-journal"},"uris":["http://www.mendeley.com/documents/?uuid=ab6821fb-c2c8-39d9-9a32-1e652420aff8"]}],"mendeley":{"formattedCitation":"(Ioannidis et al., 2024)","plainTextFormattedCitation":"(Ioannidis et al., 2024)","previouslyFormattedCitation":"(Ioannidis et al., 2024)"},"properties":{"noteIndex":0},"schema":"https://github.com/citation-style-language/schema/raw/master/csl-citation.json"}</w:instrText>
      </w:r>
      <w:r w:rsidR="00925DAA">
        <w:fldChar w:fldCharType="separate"/>
      </w:r>
      <w:r w:rsidR="006B30C0" w:rsidRPr="006B30C0">
        <w:rPr>
          <w:noProof/>
        </w:rPr>
        <w:t>(Ioannidis et al., 2024)</w:t>
      </w:r>
      <w:r w:rsidR="00925DAA">
        <w:fldChar w:fldCharType="end"/>
      </w:r>
      <w:r w:rsidR="00FB5B9D" w:rsidRPr="00FB5B9D">
        <w:t>, although no pharmacological treatment is licensed for this indication</w:t>
      </w:r>
      <w:r w:rsidR="00C63B51">
        <w:t xml:space="preserve"> (as is the case for many neglected mental disorders)</w:t>
      </w:r>
      <w:r w:rsidR="001F01B1">
        <w:t xml:space="preserve">. </w:t>
      </w:r>
      <w:r w:rsidR="00C307C7">
        <w:t xml:space="preserve"> </w:t>
      </w:r>
      <w:r w:rsidR="001F01B1">
        <w:t xml:space="preserve">In the emerging body of randomized clinical trials </w:t>
      </w:r>
      <w:r w:rsidR="004913FE">
        <w:t xml:space="preserve">(RCTs) </w:t>
      </w:r>
      <w:r w:rsidR="001F01B1">
        <w:t xml:space="preserve">for gambling disorder, most active medication treatments have been compared against placebo treatment. </w:t>
      </w:r>
      <w:r w:rsidR="0031469C">
        <w:t xml:space="preserve">Placebo and nocebo </w:t>
      </w:r>
      <w:r w:rsidR="0031469C" w:rsidRPr="0031469C">
        <w:t xml:space="preserve">effects may have occurred in these trials. Placebo and nocebo </w:t>
      </w:r>
      <w:r w:rsidR="0031469C">
        <w:t xml:space="preserve">are </w:t>
      </w:r>
      <w:r w:rsidR="0031469C" w:rsidRPr="00F1624A">
        <w:t>effects of patients’ positive and negative expectations</w:t>
      </w:r>
      <w:r w:rsidR="0031469C">
        <w:t xml:space="preserve"> relevant to an anticipated intervention; they are pertinent influencers in pharmacological trials in many areas of medicine </w:t>
      </w:r>
      <w:r w:rsidR="0031469C">
        <w:fldChar w:fldCharType="begin" w:fldLock="1"/>
      </w:r>
      <w:r w:rsidR="00153F12">
        <w:instrText>ADDIN CSL_CITATION {"citationItems":[{"id":"ITEM-1","itemData":{"DOI":"10.1056/NEJMRA1907805/SUPPL_FILE/NEJMRA1907805_DISCLOSURES.PDF","ISSN":"0028-4793","PMID":"32023375","abstract":"T h e ne w e ngl a nd jou r na l o f m e dicine n engl j med 382;6 nejm.org February 6, 2020 554 Review Article P lacebo and nocebo effects are the effects of patients' positive and negative expectations, respectively, concerning their state of health. 1,2 These effects occur in many clinical contexts, including treatment with an active agent or a placebo in clinical practice or in a clinical trial, the informed-consent process, the provision of information about medical treatments, and public health campaigns. Placebo effects cause beneficial outcomes, and nocebo effects cause harmful and dangerous outcomes. Variation in the ways that patients respond to treatments and experience symptoms is partly attributable to placebo and nocebo effects. 3-6 The frequency and intensity of placebo effects in clinical practice are difficult to determine, and the range of effects in experimental settings is wide. 7 In many double-blind clinical trials of treatments for pain 8 or psychiatric disorders, 9 for example, the responses to placebo are similar to the responses to active treatment, and up to 19% of adults and 26% of elderly persons taking placebos report side effects. 10 Furthermore, as many as one quarter of patients receiving placebo in clinical trials discontinue it because of side effects, 11,12 suggesting that a nocebo effect may contribute to dis-continuation of or lack of adherence to active treatments. Neurobiol ogic Mech a nisms of Pl acebo a nd Nocebo Effec t s Placebo effects have been shown to be associated with the release of substances such as endogenous opioids, 13,14 endocannabinoids, 15 dopamine, 16,17 oxytocin, 18 and vasopressin. 19 The effects of each of these substances is specific to the target system (i.e., pain, motor, or immune system) and the illness (e.g., arthritis or Parkin-son's disease). For example, dopamine release plays a role in placebo effects of treatment for Parkinson's disease 16,17 but not in placebo effects of treatment for chronic pain 20 or acute pain. 21 Exacerbation of experimentally produced pain through verbal suggestion, a nocebo effect, has been shown to be mediated by the neuropeptide cholecystoki-nin 22 and blocked by proglumide, a mixed cholecystokinin type A and type B receptor antagonist. 22,23 This type of verbally induced hyperalgesia has been associated with increased activity of the hypothalamic-pituitary-adrenal axis in healthy persons. Both hyperalgesia and hypothalamic-pituitary-adrenal hyperactivity…","author":[{"dropping-particle":"","family":"Colloca","given":"Luana","non-dropping-particle":"","parse-names":false,"suffix":""},{"dropping-particle":"","family":"Barsky","given":"Arthur J.","non-dropping-particle":"","parse-names":false,"suffix":""}],"container-title":"New England Journal of Medicine","id":"ITEM-1","issue":"6","issued":{"date-parts":[["2020","2","6"]]},"page":"554-561","publisher":"Massachusetts Medical Society","title":"Placebo and Nocebo Effects","type":"article-journal","volume":"382"},"uris":["http://www.mendeley.com/documents/?uuid=546a9db6-451d-3d8b-ada7-71ac5f8b052c"]}],"mendeley":{"formattedCitation":"(Colloca &amp; Barsky, 2020)","plainTextFormattedCitation":"(Colloca &amp; Barsky, 2020)","previouslyFormattedCitation":"(Colloca &amp; Barsky, 2020)"},"properties":{"noteIndex":0},"schema":"https://github.com/citation-style-language/schema/raw/master/csl-citation.json"}</w:instrText>
      </w:r>
      <w:r w:rsidR="0031469C">
        <w:fldChar w:fldCharType="separate"/>
      </w:r>
      <w:r w:rsidR="006B30C0" w:rsidRPr="006B30C0">
        <w:rPr>
          <w:noProof/>
        </w:rPr>
        <w:t>(Colloca &amp; Barsky, 2020)</w:t>
      </w:r>
      <w:r w:rsidR="0031469C">
        <w:fldChar w:fldCharType="end"/>
      </w:r>
      <w:r w:rsidR="0031469C">
        <w:t xml:space="preserve">. While under-studied </w:t>
      </w:r>
      <w:r w:rsidR="0031469C">
        <w:fldChar w:fldCharType="begin" w:fldLock="1"/>
      </w:r>
      <w:r w:rsidR="00153F12">
        <w:instrText>ADDIN CSL_CITATION {"citationItems":[{"id":"ITEM-1","itemData":{"DOI":"10.1017/S0033291720003633","ISSN":"14698978","PMID":"33028433","abstract":"Placebos are not inert, but exert measurable biological effects. The placebo response in psychiatric illness is important and clinically relevant, but remains poorly understood. In this paper, we review current knowledge about the placebo response in psychiatric medicine and identify research directions for the future. We argue that more research is needed into the placebo response in psychiatric medicine for three broad reasons. First, awareness of factors that cause placebo response, for whom, and when, within clinical trials will allow us to better evidence efficacy of new treatments. Second, by understanding how placebo mechanisms operate in the clinic, we can take advantage of these to optimise the effects of current treatments. Finally, exploring the biological mechanisms of placebo effects might reveal tractable targets for novel treatment development.","author":[{"dropping-particle":"","family":"Huneke","given":"Nathan T.M.","non-dropping-particle":"","parse-names":false,"suffix":""},{"dropping-particle":"","family":"Wee","given":"Nic","non-dropping-particle":"Van Der","parse-names":false,"suffix":""},{"dropping-particle":"","family":"Garner","given":"Matthew","non-dropping-particle":"","parse-names":false,"suffix":""},{"dropping-particle":"","family":"Baldwin","given":"David S.","non-dropping-particle":"","parse-names":false,"suffix":""}],"container-title":"Psychological Medicine","id":"ITEM-1","issue":"14","issued":{"date-parts":[["2020","10","1"]]},"page":"2317","publisher":"Cambridge University Press","title":"Why we need more research into the placebo response in psychiatry","type":"article-journal","volume":"50"},"uris":["http://www.mendeley.com/documents/?uuid=6f61cf4d-6a47-34fe-a753-49be18ac6ccf"]}],"mendeley":{"formattedCitation":"(Huneke, Van Der Wee, Garner, &amp; Baldwin, 2020)","plainTextFormattedCitation":"(Huneke, Van Der Wee, Garner, &amp; Baldwin, 2020)","previouslyFormattedCitation":"(Huneke, Van Der Wee, Garner, &amp; Baldwin, 2020)"},"properties":{"noteIndex":0},"schema":"https://github.com/citation-style-language/schema/raw/master/csl-citation.json"}</w:instrText>
      </w:r>
      <w:r w:rsidR="0031469C">
        <w:fldChar w:fldCharType="separate"/>
      </w:r>
      <w:r w:rsidR="006B30C0" w:rsidRPr="006B30C0">
        <w:rPr>
          <w:noProof/>
        </w:rPr>
        <w:t>(Huneke, Van Der Wee, Garner, &amp; Baldwin, 2020)</w:t>
      </w:r>
      <w:r w:rsidR="0031469C">
        <w:fldChar w:fldCharType="end"/>
      </w:r>
      <w:r w:rsidR="0031469C">
        <w:t xml:space="preserve">, it is likely that placebo and nocebo effects can occur due to a variety of mechanisms (e.g. expectations, interactions with the study team, therapeutic milieu, the choice of self-report vs. objective measures </w:t>
      </w:r>
      <w:r w:rsidR="0031469C">
        <w:fldChar w:fldCharType="begin" w:fldLock="1"/>
      </w:r>
      <w:r w:rsidR="00D257AC">
        <w:instrText>ADDIN CSL_CITATION {"citationItems":[{"id":"ITEM-1","itemData":{"DOI":"10.1038/S41380-024-02638-X","ISSN":"1476-5578","PMID":"38914807","abstract":"There is a growing literature exploring the placebo response within specific mental disorders, but no overarching quantitative synthesis of this research has analyzed evidence across mental disorders. We carried out an umbrella review of meta-analyses of randomized controlled trials (RCTs) of biological treatments (pharmacotherapy or neurostimulation) for mental disorders. We explored whether placebo effect size differs across distinct disorders, and the correlates of increased placebo effects. Based on a pre-registered protocol, we searched Medline, PsycInfo, EMBASE, and Web of Knowledge up to 23.10.2022 for systematic reviews and/or meta-analyses reporting placebo effect sizes in psychopharmacological or neurostimulation RCTs. Twenty meta-analyses, summarising 1,691 RCTs involving 261,730 patients, were included. Placebo effect size varied, and was large in alcohol use disorder (g = 0.90, 95% CI [0.70, 1.09]), depression (g = 1.10, 95% CI [1.06, 1.15]), restless legs syndrome (g = 1.41, 95% CI [1.25, 1.56]), and generalized anxiety disorder (d = 1.85, 95% CI [1.61, 2.09]). Placebo effect size was small-to-medium in obsessive-compulsive disorder (d = 0.32, 95% CI [0.22, 0.41]), primary insomnia (g = 0.35, 95% CI [0.28, 0.42]), and schizophrenia spectrum disorders (standardized mean change = 0.33, 95% CI [0.22, 0.44]). Correlates of larger placebo response in multiple mental disorders included later publication year (opposite finding for ADHD), younger age, more trial sites, larger sample size, increased baseline severity, and larger active treatment effect size. Most (18 of 20) meta-analyses were judged ‘low’ quality as per AMSTAR-2. Placebo effect sizes varied substantially across mental disorders. Future research should explore the sources of this variation. We identified important gaps in the literature, with no eligible systematic reviews/meta-analyses of placebo response in stress-related disorders, eating disorders, behavioural addictions, or bipolar mania.","author":[{"dropping-particle":"","family":"Huneke","given":"Nathan T.M.","non-dropping-particle":"","parse-names":false,"suffix":""},{"dropping-particle":"","family":"Amin","given":"Jay","non-dropping-particle":"","parse-names":false,"suffix":""},{"dropping-particle":"","family":"Baldwin","given":"David S.","non-dropping-particle":"","parse-names":false,"suffix":""},{"dropping-particle":"","family":"Bellato","given":"Alessio","non-dropping-particle":"","parse-names":false,"suffix":""},{"dropping-particle":"","family":"Brandt","given":"Valerie","non-dropping-particle":"","parse-names":false,"suffix":""},{"dropping-particle":"","family":"Chamberlain","given":"Samuel R.","non-dropping-particle":"","parse-names":false,"suffix":""},{"dropping-particle":"","family":"Correll","given":"Christoph U.","non-dropping-particle":"","parse-names":false,"suffix":""},{"dropping-particle":"","family":"Eudave","given":"Luis","non-dropping-particle":"","parse-names":false,"suffix":""},{"dropping-particle":"","family":"Garner","given":"Matthew","non-dropping-particle":"","parse-names":false,"suffix":""},{"dropping-particle":"","family":"Gosling","given":"Corentin J.","non-dropping-particle":"","parse-names":false,"suffix":""},{"dropping-particle":"","family":"Hill","given":"Catherine M.","non-dropping-particle":"","parse-names":false,"suffix":""},{"dropping-particle":"","family":"Hou","given":"Ruihua","non-dropping-particle":"","parse-names":false,"suffix":""},{"dropping-particle":"","family":"Howes","given":"Oliver D.","non-dropping-particle":"","parse-names":false,"suffix":""},{"dropping-particle":"","family":"Ioannidis","given":"Konstantinos","non-dropping-particle":"","parse-names":false,"suffix":""},{"dropping-particle":"","family":"Köhler-Forsberg","given":"Ole","non-dropping-particle":"","parse-names":false,"suffix":""},{"dropping-particle":"","family":"Marzulli","given":"Lucia","non-dropping-particle":"","parse-names":false,"suffix":""},{"dropping-particle":"","family":"Reed","given":"Claire","non-dropping-particle":"","parse-names":false,"suffix":""},{"dropping-particle":"","family":"Sinclair","given":"Julia M.A.","non-dropping-particle":"","parse-names":false,"suffix":""},{"dropping-particle":"","family":"Singh","given":"Satneet","non-dropping-particle":"","parse-names":false,"suffix":""},{"dropping-particle":"","family":"Solmi","given":"Marco","non-dropping-particle":"","parse-names":false,"suffix":""},{"dropping-particle":"","family":"Cortese","given":"Samuele","non-dropping-particle":"","parse-names":false,"suffix":""}],"container-title":"Molecular psychiatry","id":"ITEM-1","issued":{"date-parts":[["2024"]]},"publisher":"Mol Psychiatry","title":"Placebo effects in randomized trials of pharmacological and neurostimulation interventions for mental disorders: An umbrella review","type":"article-journal"},"uris":["http://www.mendeley.com/documents/?uuid=2d27ca33-a2e3-3a9d-a3c3-8ac9b5d3c38e"]}],"mendeley":{"formattedCitation":"(Huneke et al., 2024)","plainTextFormattedCitation":"(Huneke et al., 2024)","previouslyFormattedCitation":"(Huneke et al., 2024)"},"properties":{"noteIndex":0},"schema":"https://github.com/citation-style-language/schema/raw/master/csl-citation.json"}</w:instrText>
      </w:r>
      <w:r w:rsidR="0031469C">
        <w:fldChar w:fldCharType="separate"/>
      </w:r>
      <w:r w:rsidR="00D257AC" w:rsidRPr="00D257AC">
        <w:rPr>
          <w:noProof/>
        </w:rPr>
        <w:t>(Huneke et al., 2024)</w:t>
      </w:r>
      <w:r w:rsidR="0031469C">
        <w:fldChar w:fldCharType="end"/>
      </w:r>
      <w:r w:rsidR="0031469C">
        <w:t xml:space="preserve">), and particular neurobiological pathways </w:t>
      </w:r>
      <w:r w:rsidR="0031469C">
        <w:fldChar w:fldCharType="begin" w:fldLock="1"/>
      </w:r>
      <w:r w:rsidR="00153F12">
        <w:instrText>ADDIN CSL_CITATION {"citationItems":[{"id":"ITEM-1","itemData":{"DOI":"10.1097/00006842-199903000-00018","ISSN":"0033-3174","PMID":"10204979","abstract":"Objective: Administration of the muscle relaxant carisoprodol and placebo was crossed with information that was agonistic or antagonistic to the effect of carisoprodol. It was investigated whether information alone induced physiological and psychological responses, and whether information modified the response to the drug. Methods: Half of the subjects received capsules containing 525 mg carisoprodol together with information that the drug acted in a specific way (Groups Relaxant/C, Stimulant/C, and No Information/C). The other half of the subjects received lactose (Groups Relaxant/L, Stimulant/L, and No Information/L). Dependent variables were blink reflexes and skin conductance responses, subjective measures of tension and sleepiness, and serum carisoprodol and meprobamate concentrations. Recordings were made between 15 and 130 minutes after administration of the capsules. Results: The Stimulant/L group reported more tension compared with the other two groups, and carisoprodol increased tension even more in the Stimulant/C group. The Relaxant/C group displayed higher levels of carisoprodol serum concentration compared with the other groups that received carisoprodol. Conclusions: Reported tension was modulated in the direction suggested by the stimulant information. The effect of carisoprodol on tension was also modulated by stimulant information. Increased carisoprodol absorption in the group that received relaxant information could be a mechanism in the placebo response.","author":[{"dropping-particle":"","family":"Flaten","given":"Magne Arve","non-dropping-particle":"","parse-names":false,"suffix":""},{"dropping-particle":"","family":"Simonsen","given":"Terje","non-dropping-particle":"","parse-names":false,"suffix":""},{"dropping-particle":"","family":"Olsen","given":"Harald","non-dropping-particle":"","parse-names":false,"suffix":""}],"container-title":"Psychosomatic medicine","id":"ITEM-1","issue":"2","issued":{"date-parts":[["1999"]]},"page":"250-255","publisher":"Psychosom Med","title":"Drug-related information generates placebo and nocebo responses that modify the drug response","type":"article-journal","volume":"61"},"uris":["http://www.mendeley.com/documents/?uuid=addfe6d1-4bd6-3f45-8721-20a2103a92d5"]},{"id":"ITEM-2","itemData":{"DOI":"10.1001/JAMA.287.5.622","ISSN":"0098-7484","PMID":"11829702","abstract":"Patients taking active medications frequently experience adverse, nonspecific side effects that are not a direct result of the specific pharmacological action of the drug. Although this phenomenon is common, distressing, and costly, it is rarely studied and poorly understood. The nocebo phenomenon, in which placebos produce adverse side effects, offers some insight into nonspecific side effect reporting. We performed a focused review of the literature, which identified several factors that appear to be associated with the nocebo phenomenon and/or reporting of nonspecific side effects while taking active medication: the patient's expectations of adverse effects at the outset of treatment; a process of conditioning in which the patient learns from prior experiences to associate medication-taking with somatic symptoms; certain psychological characteristics such as anxiety, depression, and the tendency to somatize; and situational and contextual factors. Physicians and other health care personnel can attempt to ameliorate nonspecific side effects to active medications by identifying in advance those patients most at risk for developing them and by using a collaborative relationship with the patient to explain and help the patient to understand and tolerate these bothersome but nonharmful symptoms.","author":[{"dropping-particle":"","family":"Barsky","given":"Arthur J.","non-dropping-particle":"","parse-names":false,"suffix":""},{"dropping-particle":"","family":"Saintfort","given":"Ralph","non-dropping-particle":"","parse-names":false,"suffix":""},{"dropping-particle":"","family":"Rogers","given":"Malcolm P.","non-dropping-particle":"","parse-names":false,"suffix":""},{"dropping-particle":"","family":"Borus","given":"Jonathan F.","non-dropping-particle":"","parse-names":false,"suffix":""}],"container-title":"JAMA","id":"ITEM-2","issue":"5","issued":{"date-parts":[["2002","2","6"]]},"page":"622-627","publisher":"JAMA","title":"Nonspecific medication side effects and the nocebo phenomenon","type":"article-journal","volume":"287"},"uris":["http://www.mendeley.com/documents/?uuid=20f6bc48-c497-39cf-afdb-fb743d319c08"]},{"id":"ITEM-3","itemData":{"DOI":"10.1038/NRN3976","ISSN":"14710048","PMID":"26087681","abstract":"Placebo effects are beneficial effects that are attributable to the brain-mind responses to the context in which a treatment is delivered rather than to the specific actions of the drug. They are mediated by diverse processes-including learning, expectations and social cognition-and can influence various clinical and physiological outcomes related to health. Emerging neuroscience evidence implicates multiple brain systems and neurochemical mediators, including opioids and dopamine. We present an empirical review of the brain systems that are involved in placebo effects, focusing on placebo analgesia, and a conceptual framework linking these findings to the mind-brain processes that mediate them. This framework suggests that the neuropsychological processes that mediate placebo effects may be crucial for a wide array of therapeutic approaches, including many drugs.","author":[{"dropping-particle":"","family":"Wager","given":"Tor D.","non-dropping-particle":"","parse-names":false,"suffix":""},{"dropping-particle":"","family":"Atlas","given":"Lauren Y.","non-dropping-particle":"","parse-names":false,"suffix":""}],"container-title":"Nature reviews. Neuroscience","id":"ITEM-3","issue":"7","issued":{"date-parts":[["2015","7","22"]]},"page":"403","publisher":"NIH Public Access","title":"The neuroscience of placebo effects: connecting context, learning and health","type":"article-journal","volume":"16"},"uris":["http://www.mendeley.com/documents/?uuid=279a14e9-940b-3a66-9796-81e57fa6414a"]},{"id":"ITEM-4","itemData":{"DOI":"10.1146/ANNUREV-CLINPSY-021815-093015","ISSN":"1548-5951","PMID":"28375723","abstract":"Placebos are sham medical treatments. Nonetheless, they can have substantial effects on clinical outcomes. Placebos depend on a person's psychological and brain responses to the treatment context, which influence appraisals of future well-being. Appraisals are flexible cognitive evaluations of the personal meaning of events and situations that can directly impact symptoms and physiology. They also shape associative learning processes by guiding what is learned from experience. Appraisals are supported by a core network of brain regions associated with the default mode network involved in self-generated emotion, self-evaluation, thinking about the future, social cognition, and valuation of rewards and punishment. Placebo treatments for acute pain and a range of clinical conditions engage this same network of regions, suggesting that placebos affect behavior and physiology by changing how a person evaluates their future well-being and the personal significance of their symptoms.","author":[{"dropping-particle":"","family":"Ashar","given":"Yoni K.","non-dropping-particle":"","parse-names":false,"suffix":""},{"dropping-particle":"","family":"Chang","given":"Luke J.","non-dropping-particle":"","parse-names":false,"suffix":""},{"dropping-particle":"","family":"Wager","given":"Tor D.","non-dropping-particle":"","parse-names":false,"suffix":""}],"container-title":"Annual review of clinical psychology","id":"ITEM-4","issued":{"date-parts":[["2017","5","8"]]},"page":"73-89","publisher":"Annu Rev Clin Psychol","title":"Brain Mechanisms of the Placebo Effect: An Affective Appraisal Account","type":"article-journal","volume":"13"},"uris":["http://www.mendeley.com/documents/?uuid=e84c0e6d-2832-3845-8de2-28c1bba22850"]}],"mendeley":{"formattedCitation":"(Ashar, Chang, &amp; Wager, 2017; Barsky, Saintfort, Rogers, &amp; Borus, 2002; Flaten, Simonsen, &amp; Olsen, 1999; Wager &amp; Atlas, 2015)","plainTextFormattedCitation":"(Ashar, Chang, &amp; Wager, 2017; Barsky, Saintfort, Rogers, &amp; Borus, 2002; Flaten, Simonsen, &amp; Olsen, 1999; Wager &amp; Atlas, 2015)","previouslyFormattedCitation":"(Ashar, Chang, &amp; Wager, 2017; Barsky, Saintfort, Rogers, &amp; Borus, 2002; Flaten, Simonsen, &amp; Olsen, 1999; Wager &amp; Atlas, 2015)"},"properties":{"noteIndex":0},"schema":"https://github.com/citation-style-language/schema/raw/master/csl-citation.json"}</w:instrText>
      </w:r>
      <w:r w:rsidR="0031469C">
        <w:fldChar w:fldCharType="separate"/>
      </w:r>
      <w:r w:rsidR="006B30C0" w:rsidRPr="006B30C0">
        <w:rPr>
          <w:noProof/>
        </w:rPr>
        <w:t>(Ashar, Chang, &amp; Wager, 2017; Barsky, Saintfort, Rogers, &amp; Borus, 2002; Flaten, Simonsen, &amp; Olsen, 1999; Wager &amp; Atlas, 2015)</w:t>
      </w:r>
      <w:r w:rsidR="0031469C">
        <w:fldChar w:fldCharType="end"/>
      </w:r>
      <w:r w:rsidR="0031469C" w:rsidRPr="006C758F">
        <w:t>.</w:t>
      </w:r>
      <w:r w:rsidR="0031469C">
        <w:t xml:space="preserve"> It is argued that, particularly in psychiatry, the predictors and moderators of the </w:t>
      </w:r>
      <w:r w:rsidR="0031469C" w:rsidRPr="00131B7C">
        <w:t xml:space="preserve">placebo response are </w:t>
      </w:r>
      <w:r w:rsidR="0031469C">
        <w:t xml:space="preserve">multiple, diverse and still to be discovered </w:t>
      </w:r>
      <w:r w:rsidR="0031469C">
        <w:fldChar w:fldCharType="begin" w:fldLock="1"/>
      </w:r>
      <w:r w:rsidR="00153F12">
        <w:instrText>ADDIN CSL_CITATION {"citationItems":[{"id":"ITEM-1","itemData":{"DOI":"10.1016/S2215-0366(14)00092-3","ISSN":"2215-0366","PMID":"25815249","abstract":"A strong placebo response in psychiatric disorders has been noted for the past 50 years and various attempts have been made to identify predictors of it, by use of meta-analyses of randomised controlled trials and laboratory studies. We reviewed 31 meta-analyses and systematic reviews of more than 500 randomised placebo-controlled trials across psychiatry (depression, schizophrenia, mania, attention-deficit hyperactivity disorder, autism, psychosis, binge-eating disorder, and addiction) for factors identified to be associated with increased placebo response. Of 20 factors discussed, only three were often linked to high placebo responses: low baseline severity of symptoms, more recent trials, and unbalanced randomisation (more patients randomly assigned to drug than placebo). Randomised controlled trials in non-drug therapy have not added further predictors, and laboratory studies with psychological, brain, and genetic approaches have not been successful in identifying predictors of placebo responses. This comprehensive Review suggests that predictors of the placebo response are still to be discovered, the response probably has more than one mediator, and that different and distinct moderators are probably what cause the placebo response within psychiatry and beyond.","author":[{"dropping-particle":"","family":"Weimer","given":"Katja","non-dropping-particle":"","parse-names":false,"suffix":""},{"dropping-particle":"","family":"Colloca","given":"Luana","non-dropping-particle":"","parse-names":false,"suffix":""},{"dropping-particle":"","family":"Enck","given":"Paul","non-dropping-particle":"","parse-names":false,"suffix":""}],"container-title":"The Lancet Psychiatry","id":"ITEM-1","issue":"3","issued":{"date-parts":[["2015","3","1"]]},"page":"246-257","publisher":"Elsevier","title":"Placebo effects in psychiatry: mediators and moderators","type":"article-journal","volume":"2"},"uris":["http://www.mendeley.com/documents/?uuid=6699a2fa-ab3b-3c10-9089-af976c7c520f"]}],"mendeley":{"formattedCitation":"(Weimer, Colloca, &amp; Enck, 2015)","plainTextFormattedCitation":"(Weimer, Colloca, &amp; Enck, 2015)","previouslyFormattedCitation":"(Weimer, Colloca, &amp; Enck, 2015)"},"properties":{"noteIndex":0},"schema":"https://github.com/citation-style-language/schema/raw/master/csl-citation.json"}</w:instrText>
      </w:r>
      <w:r w:rsidR="0031469C">
        <w:fldChar w:fldCharType="separate"/>
      </w:r>
      <w:r w:rsidR="006B30C0" w:rsidRPr="006B30C0">
        <w:rPr>
          <w:noProof/>
        </w:rPr>
        <w:t>(Weimer, Colloca, &amp; Enck, 2015)</w:t>
      </w:r>
      <w:r w:rsidR="0031469C">
        <w:fldChar w:fldCharType="end"/>
      </w:r>
      <w:r w:rsidR="0031469C">
        <w:t>.</w:t>
      </w:r>
    </w:p>
    <w:p w14:paraId="2DC06681" w14:textId="6A18F751" w:rsidR="00F35128" w:rsidRDefault="001F01B1" w:rsidP="005076B5">
      <w:r>
        <w:t xml:space="preserve">It is known from </w:t>
      </w:r>
      <w:r w:rsidR="0031469C">
        <w:t>empirical evidence</w:t>
      </w:r>
      <w:r>
        <w:t xml:space="preserve"> </w:t>
      </w:r>
      <w:r w:rsidR="00DD4495">
        <w:fldChar w:fldCharType="begin" w:fldLock="1"/>
      </w:r>
      <w:r w:rsidR="00BB6F19">
        <w:instrText>ADDIN CSL_CITATION {"citationItems":[{"id":"ITEM-1","itemData":{"DOI":"10.1038/S41380-024-02638-X","ISSN":"1476-5578","PMID":"38914807","abstract":"There is a growing literature exploring the placebo response within specific mental disorders, but no overarching quantitative synthesis of this research has analyzed evidence across mental disorders. We carried out an umbrella review of meta-analyses of randomized controlled trials (RCTs) of biological treatments (pharmacotherapy or neurostimulation) for mental disorders. We explored whether placebo effect size differs across distinct disorders, and the correlates of increased placebo effects. Based on a pre-registered protocol, we searched Medline, PsycInfo, EMBASE, and Web of Knowledge up to 23.10.2022 for systematic reviews and/or meta-analyses reporting placebo effect sizes in psychopharmacological or neurostimulation RCTs. Twenty meta-analyses, summarising 1,691 RCTs involving 261,730 patients, were included. Placebo effect size varied, and was large in alcohol use disorder (g = 0.90, 95% CI [0.70, 1.09]), depression (g = 1.10, 95% CI [1.06, 1.15]), restless legs syndrome (g = 1.41, 95% CI [1.25, 1.56]), and generalized anxiety disorder (d = 1.85, 95% CI [1.61, 2.09]). Placebo effect size was small-to-medium in obsessive-compulsive disorder (d = 0.32, 95% CI [0.22, 0.41]), primary insomnia (g = 0.35, 95% CI [0.28, 0.42]), and schizophrenia spectrum disorders (standardized mean change = 0.33, 95% CI [0.22, 0.44]). Correlates of larger placebo response in multiple mental disorders included later publication year (opposite finding for ADHD), younger age, more trial sites, larger sample size, increased baseline severity, and larger active treatment effect size. Most (18 of 20) meta-analyses were judged ‘low’ quality as per AMSTAR-2. Placebo effect sizes varied substantially across mental disorders. Future research should explore the sources of this variation. We identified important gaps in the literature, with no eligible systematic reviews/meta-analyses of placebo response in stress-related disorders, eating disorders, behavioural addictions, or bipolar mania.","author":[{"dropping-particle":"","family":"Huneke","given":"Nathan T.M.","non-dropping-particle":"","parse-names":false,"suffix":""},{"dropping-particle":"","family":"Amin","given":"Jay","non-dropping-particle":"","parse-names":false,"suffix":""},{"dropping-particle":"","family":"Baldwin","given":"David S.","non-dropping-particle":"","parse-names":false,"suffix":""},{"dropping-particle":"","family":"Bellato","given":"Alessio","non-dropping-particle":"","parse-names":false,"suffix":""},{"dropping-particle":"","family":"Brandt","given":"Valerie","non-dropping-particle":"","parse-names":false,"suffix":""},{"dropping-particle":"","family":"Chamberlain","given":"Samuel R.","non-dropping-particle":"","parse-names":false,"suffix":""},{"dropping-particle":"","family":"Correll","given":"Christoph U.","non-dropping-particle":"","parse-names":false,"suffix":""},{"dropping-particle":"","family":"Eudave","given":"Luis","non-dropping-particle":"","parse-names":false,"suffix":""},{"dropping-particle":"","family":"Garner","given":"Matthew","non-dropping-particle":"","parse-names":false,"suffix":""},{"dropping-particle":"","family":"Gosling","given":"Corentin J.","non-dropping-particle":"","parse-names":false,"suffix":""},{"dropping-particle":"","family":"Hill","given":"Catherine M.","non-dropping-particle":"","parse-names":false,"suffix":""},{"dropping-particle":"","family":"Hou","given":"Ruihua","non-dropping-particle":"","parse-names":false,"suffix":""},{"dropping-particle":"","family":"Howes","given":"Oliver D.","non-dropping-particle":"","parse-names":false,"suffix":""},{"dropping-particle":"","family":"Ioannidis","given":"Konstantinos","non-dropping-particle":"","parse-names":false,"suffix":""},{"dropping-particle":"","family":"Köhler-Forsberg","given":"Ole","non-dropping-particle":"","parse-names":false,"suffix":""},{"dropping-particle":"","family":"Marzulli","given":"Lucia","non-dropping-particle":"","parse-names":false,"suffix":""},{"dropping-particle":"","family":"Reed","given":"Claire","non-dropping-particle":"","parse-names":false,"suffix":""},{"dropping-particle":"","family":"Sinclair","given":"Julia M.A.","non-dropping-particle":"","parse-names":false,"suffix":""},{"dropping-particle":"","family":"Singh","given":"Satneet","non-dropping-particle":"","parse-names":false,"suffix":""},{"dropping-particle":"","family":"Solmi","given":"Marco","non-dropping-particle":"","parse-names":false,"suffix":""},{"dropping-particle":"","family":"Cortese","given":"Samuele","non-dropping-particle":"","parse-names":false,"suffix":""}],"container-title":"Molecular psychiatry","id":"ITEM-1","issued":{"date-parts":[["2024"]]},"publisher":"Mol Psychiatry","title":"Placebo effects in randomized trials of pharmacological and neurostimulation interventions for mental disorders: An umbrella review","type":"article-journal"},"uris":["http://www.mendeley.com/documents/?uuid=2d27ca33-a2e3-3a9d-a3c3-8ac9b5d3c38e"]}],"mendeley":{"formattedCitation":"(Huneke et al., 2024)","plainTextFormattedCitation":"(Huneke et al., 2024)","previouslyFormattedCitation":"(Huneke et al., 2024)"},"properties":{"noteIndex":0},"schema":"https://github.com/citation-style-language/schema/raw/master/csl-citation.json"}</w:instrText>
      </w:r>
      <w:r w:rsidR="00DD4495">
        <w:fldChar w:fldCharType="separate"/>
      </w:r>
      <w:r w:rsidR="00D257AC" w:rsidRPr="00D257AC">
        <w:rPr>
          <w:noProof/>
        </w:rPr>
        <w:t>(Huneke et al., 2024)</w:t>
      </w:r>
      <w:r w:rsidR="00DD4495">
        <w:fldChar w:fldCharType="end"/>
      </w:r>
      <w:r w:rsidR="00DD4495">
        <w:t xml:space="preserve"> </w:t>
      </w:r>
      <w:r>
        <w:t>that the placebo effect has variable magnitude, which differs by disorder (e.g. RCTs of medication treatments for</w:t>
      </w:r>
      <w:r w:rsidR="00FB5B9D">
        <w:t xml:space="preserve"> generalized anxiety disorder or depression </w:t>
      </w:r>
      <w:r>
        <w:t xml:space="preserve">have </w:t>
      </w:r>
      <w:r>
        <w:lastRenderedPageBreak/>
        <w:t xml:space="preserve">reported much larger placebo effects as compared to other disorders </w:t>
      </w:r>
      <w:r w:rsidR="004913FE">
        <w:t>such as obsessive-compulsive disorder [OCD]</w:t>
      </w:r>
      <w:r>
        <w:t xml:space="preserve"> or </w:t>
      </w:r>
      <w:r w:rsidR="00FB5B9D">
        <w:t>schizophrenia spectrum conditions</w:t>
      </w:r>
      <w:r>
        <w:t xml:space="preserve">). At the same time there has not been </w:t>
      </w:r>
      <w:r w:rsidR="0031469C" w:rsidRPr="0031469C">
        <w:t xml:space="preserve">any comprehensive and in depth </w:t>
      </w:r>
      <w:r w:rsidR="00925DAA">
        <w:t>investigation</w:t>
      </w:r>
      <w:r>
        <w:t xml:space="preserve"> of the </w:t>
      </w:r>
      <w:r w:rsidR="00FB5B9D">
        <w:t xml:space="preserve">size and </w:t>
      </w:r>
      <w:r>
        <w:t xml:space="preserve">moderating parameters for </w:t>
      </w:r>
      <w:r w:rsidR="00FB5B9D">
        <w:t xml:space="preserve">the </w:t>
      </w:r>
      <w:r>
        <w:t>placebo effect</w:t>
      </w:r>
      <w:r w:rsidR="00FB5B9D">
        <w:t>s</w:t>
      </w:r>
      <w:r>
        <w:t xml:space="preserve"> in gambling pharmacological RCTs. </w:t>
      </w:r>
    </w:p>
    <w:p w14:paraId="34613999" w14:textId="0335D8C2" w:rsidR="005A5659" w:rsidRDefault="00730D3A" w:rsidP="00727F42">
      <w:r w:rsidRPr="00730D3A">
        <w:t xml:space="preserve">To our knowledge, only two previous studies have explored potential moderators of placebo response in pharmacological trials for gambling disorder. </w:t>
      </w:r>
      <w:r>
        <w:t>First, i</w:t>
      </w:r>
      <w:r w:rsidR="005A5659">
        <w:t xml:space="preserve">n a previous synthesis </w:t>
      </w:r>
      <w:r>
        <w:t xml:space="preserve">of </w:t>
      </w:r>
      <w:r w:rsidR="00C63B51">
        <w:t xml:space="preserve">data from </w:t>
      </w:r>
      <w:r w:rsidR="005A5659">
        <w:t xml:space="preserve">n=152 </w:t>
      </w:r>
      <w:r>
        <w:t>patients</w:t>
      </w:r>
      <w:r w:rsidR="0031469C">
        <w:t xml:space="preserve"> (not systematically collected)</w:t>
      </w:r>
      <w:r w:rsidR="001865F3">
        <w:t>,</w:t>
      </w:r>
      <w:r w:rsidR="005A5659">
        <w:t xml:space="preserve"> </w:t>
      </w:r>
      <w:r w:rsidR="005A5659" w:rsidRPr="005A5659">
        <w:t xml:space="preserve">placebo </w:t>
      </w:r>
      <w:r>
        <w:t>‘</w:t>
      </w:r>
      <w:r w:rsidR="005A5659" w:rsidRPr="005A5659">
        <w:t>responders</w:t>
      </w:r>
      <w:r>
        <w:t>’</w:t>
      </w:r>
      <w:r w:rsidR="005A5659">
        <w:t xml:space="preserve"> (</w:t>
      </w:r>
      <w:r w:rsidR="00F42627">
        <w:t xml:space="preserve">defined using a </w:t>
      </w:r>
      <w:r w:rsidR="005A5659">
        <w:t>c</w:t>
      </w:r>
      <w:r w:rsidR="005A5659" w:rsidRPr="005A5659">
        <w:t>ut-off of 35% reduction in symptom severity on the Gambling Symptom Assessment Scale</w:t>
      </w:r>
      <w:r w:rsidR="005A5659">
        <w:t>)</w:t>
      </w:r>
      <w:r w:rsidR="005A5659" w:rsidRPr="005A5659">
        <w:t xml:space="preserve"> remained in treatment for significantly longer, were more likely to report "enjoyment" as a trigger for gambling, and were less likely to state that "boredom" or "loneliness" triggered their gambling</w:t>
      </w:r>
      <w:r>
        <w:t>, compared with ‘non-responders’</w:t>
      </w:r>
      <w:r w:rsidR="00F42627">
        <w:t xml:space="preserve"> </w:t>
      </w:r>
      <w:r w:rsidR="00804656">
        <w:fldChar w:fldCharType="begin" w:fldLock="1"/>
      </w:r>
      <w:r w:rsidR="00153F12">
        <w:instrText>ADDIN CSL_CITATION {"citationItems":[{"id":"ITEM-1","itemData":{"PMID":"28738096","author":[{"dropping-particle":"","family":"Grant","given":"JE","non-dropping-particle":"","parse-names":false,"suffix":""},{"dropping-particle":"","family":"Chamberlain","given":"SR","non-dropping-particle":"","parse-names":false,"suffix":""}],"container-title":"Ann Clin Psychiatry","id":"ITEM-1","issued":{"date-parts":[["2017"]]},"page":"167-172","title":"The placebo effect and its clinical associations in gambling disorder","type":"article-journal","volume":"3"},"uris":["http://www.mendeley.com/documents/?uuid=b69104eb-c33e-3c4a-9032-a7102e26d039"]}],"mendeley":{"formattedCitation":"(J. Grant &amp; Chamberlain, 2017)","plainTextFormattedCitation":"(J. Grant &amp; Chamberlain, 2017)","previouslyFormattedCitation":"(J. Grant &amp; Chamberlain, 2017)"},"properties":{"noteIndex":0},"schema":"https://github.com/citation-style-language/schema/raw/master/csl-citation.json"}</w:instrText>
      </w:r>
      <w:r w:rsidR="00804656">
        <w:fldChar w:fldCharType="separate"/>
      </w:r>
      <w:r w:rsidR="006B30C0" w:rsidRPr="006B30C0">
        <w:rPr>
          <w:noProof/>
        </w:rPr>
        <w:t>(J. Grant &amp; Chamberlain, 2017)</w:t>
      </w:r>
      <w:r w:rsidR="00804656">
        <w:fldChar w:fldCharType="end"/>
      </w:r>
      <w:r w:rsidR="00804656">
        <w:t xml:space="preserve">. </w:t>
      </w:r>
      <w:r>
        <w:t>Second, i</w:t>
      </w:r>
      <w:r w:rsidR="005A5659">
        <w:t>n a previous meta-analysis of</w:t>
      </w:r>
      <w:r>
        <w:t xml:space="preserve"> individual patient data from</w:t>
      </w:r>
      <w:r w:rsidR="005A5659">
        <w:t xml:space="preserve"> a selected subset of RCTs</w:t>
      </w:r>
      <w:r w:rsidR="00804656">
        <w:t xml:space="preserve"> (6 studies, n placebo=67)</w:t>
      </w:r>
      <w:r w:rsidR="005A5659">
        <w:t xml:space="preserve"> of the pharmacological management of gambling disorder, </w:t>
      </w:r>
      <w:r w:rsidR="005A5659" w:rsidRPr="005A5659">
        <w:t xml:space="preserve">decreased baseline symptoms of anxiety, increased baseline symptoms of depression, and non-Caucasian ethnicity were associated with </w:t>
      </w:r>
      <w:r w:rsidR="00776F22">
        <w:t xml:space="preserve">larger </w:t>
      </w:r>
      <w:r w:rsidR="005A5659" w:rsidRPr="005A5659">
        <w:t>placebo response</w:t>
      </w:r>
      <w:r w:rsidR="005A5659">
        <w:t xml:space="preserve"> </w:t>
      </w:r>
      <w:r w:rsidR="005A5659">
        <w:fldChar w:fldCharType="begin" w:fldLock="1"/>
      </w:r>
      <w:r w:rsidR="00153F12">
        <w:instrText>ADDIN CSL_CITATION {"citationItems":[{"id":"ITEM-1","itemData":{"DOI":"10.1016/J.JPSYCHIRES.2021.09.053","ISSN":"1879-1379","PMID":"34607088","abstract":"Gambling disorder creates a significant public health burden. Despite decades of clinical trials, there are no licensed pharmacological treatments for gambling disorder. Contributing factors to this are the high placebo response rates seen in clinical trials, the heterogeneity of the disorder and high rates of psychiatric comorbidities. Indeed, a number of demographic and clinical variables have previously been associated with altered responses to pharmacotherapy, psychotherapy and placebo. Which variables are likely to predict response to one modality over another remains uncertain. We carried out multiple linear regression analyses in a pooled dataset from six treatment studies in gambling disorder with the aim of identifying predictors of treatment response. Potential predictors were identified a priori through hypothesis and entered into models including all patients, and subsequently for those randomized to active medication or placebo separately. We found that baseline severity of gambling symptoms and number of weeks completed in a trial were predictors of active medication response, while decreased baseline symptoms of anxiety, increased baseline symptoms of depression, and non-Caucasian ethnicity were associated with placebo response. Sensitivity analyses showed that these associations were robust to choices made during the analysis. Further research is required to understand whether controlling for these variables, or using enriched samples, improves assay sensitivity in placebo-controlled clinical trials for gambling disorder.","author":[{"dropping-particle":"","family":"Huneke","given":"Nathan T.M.","non-dropping-particle":"","parse-names":false,"suffix":""},{"dropping-particle":"","family":"Chamberlain","given":"Samuel R.","non-dropping-particle":"","parse-names":false,"suffix":""},{"dropping-particle":"","family":"Baldwin","given":"David S.","non-dropping-particle":"","parse-names":false,"suffix":""},{"dropping-particle":"","family":"Grant","given":"Jon E.","non-dropping-particle":"","parse-names":false,"suffix":""}],"container-title":"Journal of psychiatric research","id":"ITEM-1","issued":{"date-parts":[["2021","12","1"]]},"page":"96-101","publisher":"J Psychiatr Res","title":"Diverse predictors of treatment response to active medication and placebo in gambling disorder","type":"article-journal","volume":"144"},"uris":["http://www.mendeley.com/documents/?uuid=7304de08-d9d8-310e-8ae8-5394a870e3f8"]}],"mendeley":{"formattedCitation":"(Huneke, Chamberlain, Baldwin, &amp; Grant, 2021)","plainTextFormattedCitation":"(Huneke, Chamberlain, Baldwin, &amp; Grant, 2021)","previouslyFormattedCitation":"(Huneke, Chamberlain, Baldwin, &amp; Grant, 2021)"},"properties":{"noteIndex":0},"schema":"https://github.com/citation-style-language/schema/raw/master/csl-citation.json"}</w:instrText>
      </w:r>
      <w:r w:rsidR="005A5659">
        <w:fldChar w:fldCharType="separate"/>
      </w:r>
      <w:r w:rsidR="006B30C0" w:rsidRPr="006B30C0">
        <w:rPr>
          <w:noProof/>
        </w:rPr>
        <w:t>(Huneke, Chamberlain, Baldwin, &amp; Grant, 2021)</w:t>
      </w:r>
      <w:r w:rsidR="005A5659">
        <w:fldChar w:fldCharType="end"/>
      </w:r>
      <w:r w:rsidR="005A5659">
        <w:t xml:space="preserve">. </w:t>
      </w:r>
      <w:r w:rsidRPr="00730D3A">
        <w:t xml:space="preserve">Intriguingly, these moderators differed from moderators associated with larger treatment response. Although these studies have identified possible important moderators of placebo responses in gambling disorder, </w:t>
      </w:r>
      <w:r w:rsidR="0031469C" w:rsidRPr="0031469C">
        <w:t>they are based on an incomplete analysis exploring only a subset of the available data</w:t>
      </w:r>
      <w:r w:rsidRPr="00730D3A">
        <w:t>.</w:t>
      </w:r>
      <w:r>
        <w:t xml:space="preserve"> </w:t>
      </w:r>
    </w:p>
    <w:p w14:paraId="6432CD7F" w14:textId="624319BA" w:rsidR="0031469C" w:rsidRDefault="0031469C" w:rsidP="00F11C0A">
      <w:pPr>
        <w:pStyle w:val="Heading1"/>
        <w:rPr>
          <w:rFonts w:eastAsiaTheme="minorHAnsi" w:cstheme="minorBidi"/>
          <w:b w:val="0"/>
          <w:sz w:val="22"/>
          <w:szCs w:val="22"/>
        </w:rPr>
      </w:pPr>
      <w:r w:rsidRPr="0031469C">
        <w:rPr>
          <w:rFonts w:eastAsiaTheme="minorHAnsi" w:cstheme="minorBidi"/>
          <w:b w:val="0"/>
          <w:sz w:val="22"/>
          <w:szCs w:val="22"/>
        </w:rPr>
        <w:t>In the present study we sought to synthesise data from all the available literature to address the following key questions related to the placebo effect in pharmacological RCTs of gambling disorder: 1) what is the magnitude of placebo effect in available trials and does it differ across outcome measures 2) what facto</w:t>
      </w:r>
      <w:r>
        <w:rPr>
          <w:rFonts w:eastAsiaTheme="minorHAnsi" w:cstheme="minorBidi"/>
          <w:b w:val="0"/>
          <w:sz w:val="22"/>
          <w:szCs w:val="22"/>
        </w:rPr>
        <w:t>rs moderate the placebo effect,</w:t>
      </w:r>
      <w:r w:rsidRPr="0031469C">
        <w:rPr>
          <w:rFonts w:eastAsiaTheme="minorHAnsi" w:cstheme="minorBidi"/>
          <w:b w:val="0"/>
          <w:sz w:val="22"/>
          <w:szCs w:val="22"/>
        </w:rPr>
        <w:t xml:space="preserve"> 3) what is the magnitude of nocebo </w:t>
      </w:r>
      <w:proofErr w:type="gramStart"/>
      <w:r w:rsidRPr="0031469C">
        <w:rPr>
          <w:rFonts w:eastAsiaTheme="minorHAnsi" w:cstheme="minorBidi"/>
          <w:b w:val="0"/>
          <w:sz w:val="22"/>
          <w:szCs w:val="22"/>
        </w:rPr>
        <w:t>effect</w:t>
      </w:r>
      <w:r w:rsidR="00BB6F19">
        <w:rPr>
          <w:rFonts w:eastAsiaTheme="minorHAnsi" w:cstheme="minorBidi"/>
          <w:b w:val="0"/>
          <w:sz w:val="22"/>
          <w:szCs w:val="22"/>
        </w:rPr>
        <w:t xml:space="preserve"> </w:t>
      </w:r>
      <w:r w:rsidRPr="0031469C">
        <w:rPr>
          <w:rFonts w:eastAsiaTheme="minorHAnsi" w:cstheme="minorBidi"/>
          <w:b w:val="0"/>
          <w:sz w:val="22"/>
          <w:szCs w:val="22"/>
        </w:rPr>
        <w:t xml:space="preserve"> and</w:t>
      </w:r>
      <w:proofErr w:type="gramEnd"/>
      <w:r w:rsidRPr="0031469C">
        <w:rPr>
          <w:rFonts w:eastAsiaTheme="minorHAnsi" w:cstheme="minorBidi"/>
          <w:b w:val="0"/>
          <w:sz w:val="22"/>
          <w:szCs w:val="22"/>
        </w:rPr>
        <w:t xml:space="preserve"> does this differ depending on the medication class being examined?</w:t>
      </w:r>
    </w:p>
    <w:p w14:paraId="0DD841BE" w14:textId="233F07C4" w:rsidR="00F11C0A" w:rsidRDefault="007160AD" w:rsidP="00F11C0A">
      <w:pPr>
        <w:pStyle w:val="Heading1"/>
      </w:pPr>
      <w:r>
        <w:t>MATERIAL</w:t>
      </w:r>
      <w:r w:rsidR="0072623F">
        <w:t xml:space="preserve"> AND </w:t>
      </w:r>
      <w:r w:rsidR="00F11C0A">
        <w:t>M</w:t>
      </w:r>
      <w:r w:rsidR="00AB27BD">
        <w:t>ETHODS</w:t>
      </w:r>
      <w:r w:rsidR="000E7E00">
        <w:t xml:space="preserve"> </w:t>
      </w:r>
    </w:p>
    <w:p w14:paraId="18F6EF36" w14:textId="1B33DB7B" w:rsidR="005D51BC" w:rsidRPr="006C0A02" w:rsidRDefault="00BA2C66" w:rsidP="00002699">
      <w:r>
        <w:t xml:space="preserve">For the identification of </w:t>
      </w:r>
      <w:r w:rsidR="0031469C">
        <w:t xml:space="preserve">available </w:t>
      </w:r>
      <w:r>
        <w:t>RCTs for the pharmacological management of gambling disorder, t</w:t>
      </w:r>
      <w:r w:rsidR="005D51BC">
        <w:t xml:space="preserve">he study </w:t>
      </w:r>
      <w:r>
        <w:t xml:space="preserve">followed methods described in the pre-registered </w:t>
      </w:r>
      <w:r w:rsidR="005D51BC">
        <w:t>protocol</w:t>
      </w:r>
      <w:r>
        <w:t xml:space="preserve"> published </w:t>
      </w:r>
      <w:r w:rsidR="005D51BC">
        <w:t xml:space="preserve">on the PROSPERO </w:t>
      </w:r>
      <w:r w:rsidR="005D51BC" w:rsidRPr="00D32E9F">
        <w:t xml:space="preserve">International prospective register of systematic reviews </w:t>
      </w:r>
      <w:r w:rsidR="005D51BC" w:rsidRPr="00224D10">
        <w:rPr>
          <w:rFonts w:cstheme="minorHAnsi"/>
        </w:rPr>
        <w:t>[</w:t>
      </w:r>
      <w:r w:rsidR="005D51BC">
        <w:t xml:space="preserve">Registration number: </w:t>
      </w:r>
      <w:r w:rsidR="005D51BC" w:rsidRPr="00001EDE">
        <w:t>CRD42022329520</w:t>
      </w:r>
      <w:r w:rsidR="005D51BC">
        <w:t xml:space="preserve"> </w:t>
      </w:r>
      <w:r w:rsidR="005D51BC">
        <w:rPr>
          <w:rFonts w:cstheme="minorHAnsi"/>
          <w:color w:val="222222"/>
          <w:shd w:val="clear" w:color="auto" w:fill="FFFFFF"/>
        </w:rPr>
        <w:t xml:space="preserve">Available </w:t>
      </w:r>
      <w:r w:rsidR="005D51BC" w:rsidRPr="00224D10">
        <w:rPr>
          <w:rFonts w:cstheme="minorHAnsi"/>
          <w:color w:val="222222"/>
          <w:shd w:val="clear" w:color="auto" w:fill="FFFFFF"/>
        </w:rPr>
        <w:t xml:space="preserve">from: </w:t>
      </w:r>
      <w:r w:rsidR="005D51BC" w:rsidRPr="0015574C">
        <w:rPr>
          <w:rStyle w:val="Hyperlink"/>
          <w:rFonts w:cstheme="minorHAnsi"/>
          <w:shd w:val="clear" w:color="auto" w:fill="FFFFFF"/>
        </w:rPr>
        <w:lastRenderedPageBreak/>
        <w:t>https://www.crd.york.ac.uk/prospero/display_record.php?RecordID=329520</w:t>
      </w:r>
      <w:r w:rsidR="005D51BC" w:rsidRPr="00224D10">
        <w:rPr>
          <w:rFonts w:cstheme="minorHAnsi"/>
          <w:color w:val="222222"/>
          <w:shd w:val="clear" w:color="auto" w:fill="FFFFFF"/>
        </w:rPr>
        <w:t>]</w:t>
      </w:r>
      <w:r w:rsidR="005D51BC" w:rsidRPr="00AB5BEA">
        <w:rPr>
          <w:rFonts w:cs="Times New Roman"/>
          <w:color w:val="222222"/>
          <w:szCs w:val="19"/>
          <w:shd w:val="clear" w:color="auto" w:fill="FFFFFF"/>
        </w:rPr>
        <w:t xml:space="preserve">. </w:t>
      </w:r>
      <w:r w:rsidR="005D51BC">
        <w:t>This study reporting followed the PRISMA</w:t>
      </w:r>
      <w:r w:rsidR="00AB5BEA">
        <w:t xml:space="preserve"> </w:t>
      </w:r>
      <w:r w:rsidR="005D51BC">
        <w:t>guidelines</w:t>
      </w:r>
      <w:r w:rsidR="00002699">
        <w:t xml:space="preserve"> </w:t>
      </w:r>
      <w:r w:rsidR="00002699">
        <w:fldChar w:fldCharType="begin" w:fldLock="1"/>
      </w:r>
      <w:r w:rsidR="00153F12">
        <w:instrText>ADDIN CSL_CITATION {"citationItems":[{"id":"ITEM-1","itemData":{"DOI":"10.1136/bmj.g7647","ISSN":"17561833","PMID":"25555855","abstract":"Protocols of systematic reviews and meta-analyses allow for planning and documentation of review methods, act as a guard against arbitrary decision making during review conduct, enable readers to assess for the presence of selective reporting against completed reviews, when made publicly available, reduce duplication of efforts and potentially prompt collaboration. Evidence documenting the existence of selective reporting and excessive duplication of reviews on the same or similar topics is accumulating and many calls have been made in support of the documentation and public availability of review protocols. Several efforts have emerged in recent years to rectify these problems, including development of an international register for prospective reviews (PROSPERO) and launch of the first open access journal dedicated to the exclusive publication of systematic review products, including protocols (BioMed Central's Systematic Reviews). Furthering these efforts and building on the PRISMA (Preferred Reporting Items for Systematic Reviews and Meta-analyses) guidelines, an international group of experts has created a guideline to improve the transparency, accuracy, completeness, and frequency of documented systematic review and meta-analysis protocols-PRISMA-P (for protocols) 2015. The PRISMA-P checklist contains 17 items considered to be essential and minimum components of a systematic review or meta-analysis protocol. This PRISMA-P 2015 Explanation and Elaboration paper provides readers with a full understanding of and evidence about the necessity of each item as well as a model example from an existing published protocol. This paper should be read together with the PRISMA-P 2015 statement. Systematic review authors and assessors are strongly encouraged to make use of PRISMA-P when drafting and appraising review protocols.","author":[{"dropping-particle":"","family":"Shamseer","given":"Larissa","non-dropping-particle":"","parse-names":false,"suffix":""},{"dropping-particle":"","family":"Moher","given":"David","non-dropping-particle":"","parse-names":false,"suffix":""},{"dropping-particle":"","family":"Clarke","given":"Mike","non-dropping-particle":"","parse-names":false,"suffix":""},{"dropping-particle":"","family":"Ghersi","given":"Davina","non-dropping-particle":"","parse-names":false,"suffix":""},{"dropping-particle":"","family":"Liberati","given":"Alessandro","non-dropping-particle":"","parse-names":false,"suffix":""},{"dropping-particle":"","family":"Petticrew","given":"Mark","non-dropping-particle":"","parse-names":false,"suffix":""},{"dropping-particle":"","family":"Shekelle","given":"Paul","non-dropping-particle":"","parse-names":false,"suffix":""},{"dropping-particle":"","family":"Stewart","given":"Lesley A.","non-dropping-particle":"","parse-names":false,"suffix":""},{"dropping-particle":"","family":"Altman","given":"Douglas G.","non-dropping-particle":"","parse-names":false,"suffix":""},{"dropping-particle":"","family":"Booth","given":"Alison","non-dropping-particle":"","parse-names":false,"suffix":""},{"dropping-particle":"","family":"Chan","given":"An Wen","non-dropping-particle":"","parse-names":false,"suffix":""},{"dropping-particle":"","family":"Chang","given":"Stephanie","non-dropping-particle":"","parse-names":false,"suffix":""},{"dropping-particle":"","family":"Clifford","given":"Tammy","non-dropping-particle":"","parse-names":false,"suffix":""},{"dropping-particle":"","family":"Dickersin","given":"Kay","non-dropping-particle":"","parse-names":false,"suffix":""},{"dropping-particle":"","family":"Egger","given":"Matthias","non-dropping-particle":"","parse-names":false,"suffix":""},{"dropping-particle":"","family":"Gøtzsche","given":"Peter C.","non-dropping-particle":"","parse-names":false,"suffix":""},{"dropping-particle":"","family":"Grimshaw","given":"Jeremy M.","non-dropping-particle":"","parse-names":false,"suffix":""},{"dropping-particle":"","family":"Groves","given":"Trish","non-dropping-particle":"","parse-names":false,"suffix":""},{"dropping-particle":"","family":"Helfand","given":"Mark","non-dropping-particle":"","parse-names":false,"suffix":""},{"dropping-particle":"","family":"Higgins","given":"Julian","non-dropping-particle":"","parse-names":false,"suffix":""},{"dropping-particle":"","family":"Lasserson","given":"Toby","non-dropping-particle":"","parse-names":false,"suffix":""},{"dropping-particle":"","family":"Lau","given":"Joseph","non-dropping-particle":"","parse-names":false,"suffix":""},{"dropping-particle":"","family":"Lohr","given":"Kathleen","non-dropping-particle":"","parse-names":false,"suffix":""},{"dropping-particle":"","family":"McGowan","given":"Jessie","non-dropping-particle":"","parse-names":false,"suffix":""},{"dropping-particle":"","family":"Mulrow","given":"Cynthia","non-dropping-particle":"","parse-names":false,"suffix":""},{"dropping-particle":"","family":"Norton","given":"Melissa","non-dropping-particle":"","parse-names":false,"suffix":""},{"dropping-particle":"","family":"Page","given":"Matthew","non-dropping-particle":"","parse-names":false,"suffix":""},{"dropping-particle":"","family":"Sampson","given":"Margaret","non-dropping-particle":"","parse-names":false,"suffix":""},{"dropping-particle":"","family":"Schünemann","given":"Holger","non-dropping-particle":"","parse-names":false,"suffix":""},{"dropping-particle":"","family":"Simera","given":"Iveta","non-dropping-particle":"","parse-names":false,"suffix":""},{"dropping-particle":"","family":"Summerskill","given":"William","non-dropping-particle":"","parse-names":false,"suffix":""},{"dropping-particle":"","family":"Tetzlaff","given":"Jennifer","non-dropping-particle":"","parse-names":false,"suffix":""},{"dropping-particle":"","family":"Trikalinos","given":"Thomas A.","non-dropping-particle":"","parse-names":false,"suffix":""},{"dropping-particle":"","family":"Tovey","given":"David","non-dropping-particle":"","parse-names":false,"suffix":""},{"dropping-particle":"","family":"Turner","given":"Lucy","non-dropping-particle":"","parse-names":false,"suffix":""},{"dropping-particle":"","family":"Whitlock","given":"Evelyn","non-dropping-particle":"","parse-names":false,"suffix":""}],"container-title":"BMJ (Online)","id":"ITEM-1","issued":{"date-parts":[["2015","1","2"]]},"publisher":"BMJ Publishing Group","title":"Preferred reporting items for systematic review and meta-analysis protocols (prisma-p) 2015: Elaboration and explanation","type":"article","volume":"349"},"uris":["http://www.mendeley.com/documents/?uuid=7ddc6ba6-ace5-3e02-af39-1e2417670cb3"]}],"mendeley":{"formattedCitation":"(Shamseer et al., 2015)","plainTextFormattedCitation":"(Shamseer et al., 2015)","previouslyFormattedCitation":"(Shamseer et al., 2015)"},"properties":{"noteIndex":0},"schema":"https://github.com/citation-style-language/schema/raw/master/csl-citation.json"}</w:instrText>
      </w:r>
      <w:r w:rsidR="00002699">
        <w:fldChar w:fldCharType="separate"/>
      </w:r>
      <w:r w:rsidR="006B30C0" w:rsidRPr="006B30C0">
        <w:rPr>
          <w:noProof/>
        </w:rPr>
        <w:t>(Shamseer et al., 2015)</w:t>
      </w:r>
      <w:r w:rsidR="00002699">
        <w:fldChar w:fldCharType="end"/>
      </w:r>
      <w:r w:rsidR="005D51BC">
        <w:t>.</w:t>
      </w:r>
    </w:p>
    <w:p w14:paraId="4A2D4FDC" w14:textId="64892B59" w:rsidR="00A37397" w:rsidRDefault="00A37397" w:rsidP="00A37397">
      <w:pPr>
        <w:pStyle w:val="Heading3"/>
      </w:pPr>
      <w:r>
        <w:t xml:space="preserve">Search strategy </w:t>
      </w:r>
    </w:p>
    <w:p w14:paraId="76B9745B" w14:textId="73D5982A" w:rsidR="000255BF" w:rsidRPr="00424B04" w:rsidRDefault="0031469C" w:rsidP="000255BF">
      <w:pPr>
        <w:rPr>
          <w:b/>
          <w:bCs/>
          <w:i/>
          <w:iCs/>
        </w:rPr>
      </w:pPr>
      <w:r w:rsidRPr="0031469C">
        <w:t xml:space="preserve">We searched up to 19 February 2024, a broad range of databases, including MEDLINE, EMBASE, PsycINFO, PubMed, CINAHL, AMED, and the Cochrane Database of Systematic Reviews, ERIC and Web of Science (including Science Citation Index Expanded (SCI-EXPANDED), Social  Science Citation Index (SSCI), Conference Proceedings Citation Index-Science (CPCI-S) and Conference Proceedings Citation Index-Social Science and Humanities (CPCI-SSH)) via Web of Knowledge and the WHO International Trials Registry Platform (including ClinicalTrials.gov. The search strings used and full list of electronic databases and clinical trial registries in which the search was conducted are available in the previous publication </w:t>
      </w:r>
      <w:r w:rsidR="00804656" w:rsidRPr="00804656">
        <w:fldChar w:fldCharType="begin" w:fldLock="1"/>
      </w:r>
      <w:r w:rsidR="00153F12">
        <w:instrText>ADDIN CSL_CITATION {"citationItems":[{"id":"ITEM-1","itemData":{"DOI":"10.1101/2023.10.20.23297314","abstract":"Background Clinical guidelines remain unclear on which medications for gambling disorder are to be preferred in terms of efficacy and tolerability. We aimed to compare pharmacological treatments for gambling disorder in terms of efficacy and tolerability, using network meta-analysis (NMA).\n\nMethods We searched, up to 19 February 2024, a broad range of databases, including MEDLINE, EMBASE, PsycINFO, PubMed, CINAHL, AMED, and the Cochrane Database of Systematic Reviews, ERIC and Web of Science (including Science Citation Index Expanded (SCI-EXPANDED), Social Science Citation Index (SSCI), Conference Proceedings Citation Index-Science (CPCI-S) and Conference Proceedings Citation Index-Social Science and Humanities (CPCI-SSH)) via Web of Knowledge and the WHO International Trials Registry Platform (including [ClinicalTrials.gov][1]), for double-blind randomised controlled trials (RCTs) of medications for gambling disorder. Outcomes were gambling symptom severity and quality of life (for efficacy), and tolerability. Confidence in the network estimates was assessed using the CINeMA framework. We followed the PRISMA-NMA guidelines and pre-registered the protocol [CRD42022329520].\n\nOutcomes We included 22 RCTs in the systematic review and 16 RCTs (n = 977 participants) in the NMA. Compared with placebo, moderate confidence evidence indicated that nalmefene [Standardized Mean Difference (SMD): −0·86; 95% confidence interval (CI: −1·32,-0·41)] reduced gambling severity, followed by naltrexone [-0·42; −0·85, 0·01)]. Nalmefene [Odds Ratio (OR): 7·55; 95%CI: 2·24-25·41] and naltrexone (7·82; 1·26-48·70) had significantly higher dropout due to side effects (lower tolerability) compared with placebo. Naltrexone (SMD: −0·50; 95%CI: −0·85,-0·14) and nalmefene (−0·36; −0·72,-0·01) were more beneficial than placebo in terms of quality of life. Olanzapine and topiramate were not more efficacious than placebo.\n\nInterpretation Nalmefene and naltrexone currently have the most supportive evidence for the pharmacological treatment of gambling disorder. Further clinical trials of novel compounds, and analysis of individual participant data are needed, to strengthen the evidence base, and help tailor treatments at the individual patient level.\n\nFunding This study was supported by unrestricted grant funds to Professor Chamberlain held at the University of Southampton, originating from the NHS.\n\nEvidence before this study Over the past few decades, there has been a substantial need…","author":[{"dropping-particle":"","family":"Ioannidis","given":"Konstantinos","non-dropping-particle":"","parse-names":false,"suffix":""},{"dropping-particle":"","family":"Giovane","given":"Cinzia","non-dropping-particle":"Del","parse-names":false,"suffix":""},{"dropping-particle":"","family":"Tzagarakis","given":"Charidimos","non-dropping-particle":"","parse-names":false,"suffix":""},{"dropping-particle":"","family":"Solly","given":"Jeremy E","non-dropping-particle":"","parse-names":false,"suffix":""},{"dropping-particle":"","family":"Westwood","given":"Samuel J","non-dropping-particle":"","parse-names":false,"suffix":""},{"dropping-particle":"","family":"Parlatini","given":"Valeria","non-dropping-particle":"","parse-names":false,"suffix":""},{"dropping-particle":"","family":"Bowden-Jones","given":"Henrietta","non-dropping-particle":"","parse-names":false,"suffix":""},{"dropping-particle":"","family":"Grant","given":"Jon E","non-dropping-particle":"","parse-names":false,"suffix":""},{"dropping-particle":"","family":"Cortese","given":"Samuele","non-dropping-particle":"","parse-names":false,"suffix":""},{"dropping-particle":"","family":"Chamberlain Author details","given":"Samuel R","non-dropping-particle":"","parse-names":false,"suffix":""}],"container-title":"medRxiv","id":"ITEM-1","issued":{"date-parts":[["2024","3","20"]]},"page":"2023.10.20.23297314","publisher":"Cold Spring Harbor Laboratory Press","title":"Pharmacological Management of Gambling Disorder: A Systematic Review and Network Meta-Analysis","type":"article-journal"},"uris":["http://www.mendeley.com/documents/?uuid=ab6821fb-c2c8-39d9-9a32-1e652420aff8"]}],"mendeley":{"formattedCitation":"(Ioannidis et al., 2024)","plainTextFormattedCitation":"(Ioannidis et al., 2024)","previouslyFormattedCitation":"(Ioannidis et al., 2024)"},"properties":{"noteIndex":0},"schema":"https://github.com/citation-style-language/schema/raw/master/csl-citation.json"}</w:instrText>
      </w:r>
      <w:r w:rsidR="00804656" w:rsidRPr="00804656">
        <w:fldChar w:fldCharType="separate"/>
      </w:r>
      <w:r w:rsidR="006B30C0" w:rsidRPr="006B30C0">
        <w:rPr>
          <w:noProof/>
        </w:rPr>
        <w:t>(Ioannidis et al., 2024)</w:t>
      </w:r>
      <w:r w:rsidR="00804656" w:rsidRPr="00804656">
        <w:fldChar w:fldCharType="end"/>
      </w:r>
      <w:r w:rsidR="000255BF">
        <w:t>.</w:t>
      </w:r>
      <w:r w:rsidR="000255BF">
        <w:rPr>
          <w:rFonts w:cs="Times New Roman"/>
          <w:b/>
          <w:bCs/>
          <w:i/>
          <w:iCs/>
          <w:sz w:val="24"/>
          <w:szCs w:val="24"/>
        </w:rPr>
        <w:t xml:space="preserve"> </w:t>
      </w:r>
    </w:p>
    <w:p w14:paraId="57D04F41" w14:textId="74170895" w:rsidR="006A2623" w:rsidRDefault="006A2623" w:rsidP="006A2623">
      <w:pPr>
        <w:pStyle w:val="Heading3"/>
      </w:pPr>
      <w:r>
        <w:t>Eligibility criteria</w:t>
      </w:r>
    </w:p>
    <w:p w14:paraId="2E27989A" w14:textId="1BA15793" w:rsidR="0036649E" w:rsidRDefault="006A2623" w:rsidP="000E1908">
      <w:pPr>
        <w:spacing w:before="240"/>
      </w:pPr>
      <w:r>
        <w:t xml:space="preserve">We included </w:t>
      </w:r>
      <w:r w:rsidR="0031469C" w:rsidRPr="0031469C">
        <w:t xml:space="preserve">published or unpublished </w:t>
      </w:r>
      <w:r>
        <w:t>RCTs</w:t>
      </w:r>
      <w:r w:rsidRPr="00717FB9">
        <w:t xml:space="preserve"> comparing an active medi</w:t>
      </w:r>
      <w:r>
        <w:t>c</w:t>
      </w:r>
      <w:r w:rsidRPr="00717FB9">
        <w:t>ation vs. placebo</w:t>
      </w:r>
      <w:r>
        <w:t>,</w:t>
      </w:r>
      <w:r w:rsidRPr="00717FB9">
        <w:t xml:space="preserve"> </w:t>
      </w:r>
      <w:r>
        <w:t>for the t</w:t>
      </w:r>
      <w:r w:rsidRPr="00717FB9">
        <w:t>reatment of Gambling Disorder/Pathological Gambling. Trials with a cross</w:t>
      </w:r>
      <w:r w:rsidR="000374BF">
        <w:t>-</w:t>
      </w:r>
      <w:r w:rsidRPr="00717FB9">
        <w:t xml:space="preserve">over design </w:t>
      </w:r>
      <w:r>
        <w:t>were</w:t>
      </w:r>
      <w:r w:rsidRPr="00717FB9">
        <w:t xml:space="preserve"> included </w:t>
      </w:r>
      <w:r>
        <w:t>if</w:t>
      </w:r>
      <w:r w:rsidRPr="00943FBB">
        <w:t xml:space="preserve"> data from the pre cross-over phase were available, to avoid carr</w:t>
      </w:r>
      <w:r w:rsidR="000374BF">
        <w:t>y-</w:t>
      </w:r>
      <w:r w:rsidRPr="00943FBB">
        <w:t>over effects</w:t>
      </w:r>
      <w:r w:rsidR="007A075A">
        <w:t>.</w:t>
      </w:r>
      <w:r w:rsidR="00804656">
        <w:rPr>
          <w:noProof/>
          <w:vertAlign w:val="superscript"/>
        </w:rPr>
        <w:t xml:space="preserve"> </w:t>
      </w:r>
      <w:r>
        <w:t>We included only studies of a</w:t>
      </w:r>
      <w:r w:rsidRPr="00717FB9">
        <w:t>dults</w:t>
      </w:r>
      <w:r>
        <w:t xml:space="preserve"> (&gt;</w:t>
      </w:r>
      <w:r w:rsidRPr="00717FB9">
        <w:t>18</w:t>
      </w:r>
      <w:r>
        <w:t>yrs</w:t>
      </w:r>
      <w:r w:rsidRPr="00717FB9">
        <w:t>) with a primary DSM (III onwards) or ICD (9 onwards) diagnosis of Gambling Disorder/Pathological Gambling</w:t>
      </w:r>
      <w:r w:rsidR="00AB5BEA">
        <w:t>.</w:t>
      </w:r>
    </w:p>
    <w:p w14:paraId="43DABEED" w14:textId="7CC57603" w:rsidR="00A55A47" w:rsidRDefault="00A37397" w:rsidP="00A55A47">
      <w:pPr>
        <w:pStyle w:val="Heading3"/>
      </w:pPr>
      <w:r>
        <w:t>Data extraction and o</w:t>
      </w:r>
      <w:r w:rsidR="00A55A47">
        <w:t>utcomes</w:t>
      </w:r>
    </w:p>
    <w:p w14:paraId="68DA2276" w14:textId="673B7B83" w:rsidR="006A2623" w:rsidRDefault="00883A83" w:rsidP="00E40CE9">
      <w:r>
        <w:t xml:space="preserve">Details on data extraction </w:t>
      </w:r>
      <w:r w:rsidR="00E26720">
        <w:t xml:space="preserve">were described in previous work and are available online </w:t>
      </w:r>
      <w:r w:rsidR="00E26720">
        <w:fldChar w:fldCharType="begin" w:fldLock="1"/>
      </w:r>
      <w:r w:rsidR="00153F12">
        <w:instrText>ADDIN CSL_CITATION {"citationItems":[{"id":"ITEM-1","itemData":{"DOI":"10.1101/2023.10.20.23297314","abstract":"Background Clinical guidelines remain unclear on which medications for gambling disorder are to be preferred in terms of efficacy and tolerability. We aimed to compare pharmacological treatments for gambling disorder in terms of efficacy and tolerability, using network meta-analysis (NMA).\n\nMethods We searched, up to 19 February 2024, a broad range of databases, including MEDLINE, EMBASE, PsycINFO, PubMed, CINAHL, AMED, and the Cochrane Database of Systematic Reviews, ERIC and Web of Science (including Science Citation Index Expanded (SCI-EXPANDED), Social Science Citation Index (SSCI), Conference Proceedings Citation Index-Science (CPCI-S) and Conference Proceedings Citation Index-Social Science and Humanities (CPCI-SSH)) via Web of Knowledge and the WHO International Trials Registry Platform (including [ClinicalTrials.gov][1]), for double-blind randomised controlled trials (RCTs) of medications for gambling disorder. Outcomes were gambling symptom severity and quality of life (for efficacy), and tolerability. Confidence in the network estimates was assessed using the CINeMA framework. We followed the PRISMA-NMA guidelines and pre-registered the protocol [CRD42022329520].\n\nOutcomes We included 22 RCTs in the systematic review and 16 RCTs (n = 977 participants) in the NMA. Compared with placebo, moderate confidence evidence indicated that nalmefene [Standardized Mean Difference (SMD): −0·86; 95% confidence interval (CI: −1·32,-0·41)] reduced gambling severity, followed by naltrexone [-0·42; −0·85, 0·01)]. Nalmefene [Odds Ratio (OR): 7·55; 95%CI: 2·24-25·41] and naltrexone (7·82; 1·26-48·70) had significantly higher dropout due to side effects (lower tolerability) compared with placebo. Naltrexone (SMD: −0·50; 95%CI: −0·85,-0·14) and nalmefene (−0·36; −0·72,-0·01) were more beneficial than placebo in terms of quality of life. Olanzapine and topiramate were not more efficacious than placebo.\n\nInterpretation Nalmefene and naltrexone currently have the most supportive evidence for the pharmacological treatment of gambling disorder. Further clinical trials of novel compounds, and analysis of individual participant data are needed, to strengthen the evidence base, and help tailor treatments at the individual patient level.\n\nFunding This study was supported by unrestricted grant funds to Professor Chamberlain held at the University of Southampton, originating from the NHS.\n\nEvidence before this study Over the past few decades, there has been a substantial need…","author":[{"dropping-particle":"","family":"Ioannidis","given":"Konstantinos","non-dropping-particle":"","parse-names":false,"suffix":""},{"dropping-particle":"","family":"Giovane","given":"Cinzia","non-dropping-particle":"Del","parse-names":false,"suffix":""},{"dropping-particle":"","family":"Tzagarakis","given":"Charidimos","non-dropping-particle":"","parse-names":false,"suffix":""},{"dropping-particle":"","family":"Solly","given":"Jeremy E","non-dropping-particle":"","parse-names":false,"suffix":""},{"dropping-particle":"","family":"Westwood","given":"Samuel J","non-dropping-particle":"","parse-names":false,"suffix":""},{"dropping-particle":"","family":"Parlatini","given":"Valeria","non-dropping-particle":"","parse-names":false,"suffix":""},{"dropping-particle":"","family":"Bowden-Jones","given":"Henrietta","non-dropping-particle":"","parse-names":false,"suffix":""},{"dropping-particle":"","family":"Grant","given":"Jon E","non-dropping-particle":"","parse-names":false,"suffix":""},{"dropping-particle":"","family":"Cortese","given":"Samuele","non-dropping-particle":"","parse-names":false,"suffix":""},{"dropping-particle":"","family":"Chamberlain Author details","given":"Samuel R","non-dropping-particle":"","parse-names":false,"suffix":""}],"container-title":"medRxiv","id":"ITEM-1","issued":{"date-parts":[["2024","3","20"]]},"page":"2023.10.20.23297314","publisher":"Cold Spring Harbor Laboratory Press","title":"Pharmacological Management of Gambling Disorder: A Systematic Review and Network Meta-Analysis","type":"article-journal"},"uris":["http://www.mendeley.com/documents/?uuid=ab6821fb-c2c8-39d9-9a32-1e652420aff8"]}],"mendeley":{"formattedCitation":"(Ioannidis et al., 2024)","plainTextFormattedCitation":"(Ioannidis et al., 2024)","previouslyFormattedCitation":"(Ioannidis et al., 2024)"},"properties":{"noteIndex":0},"schema":"https://github.com/citation-style-language/schema/raw/master/csl-citation.json"}</w:instrText>
      </w:r>
      <w:r w:rsidR="00E26720">
        <w:fldChar w:fldCharType="separate"/>
      </w:r>
      <w:r w:rsidR="006B30C0" w:rsidRPr="006B30C0">
        <w:rPr>
          <w:noProof/>
        </w:rPr>
        <w:t>(Ioannidis et al., 2024)</w:t>
      </w:r>
      <w:r w:rsidR="00E26720">
        <w:fldChar w:fldCharType="end"/>
      </w:r>
      <w:r>
        <w:t xml:space="preserve">. </w:t>
      </w:r>
      <w:r w:rsidR="00251F64">
        <w:t xml:space="preserve">Additional information about the ascertainment of placebo control processes were collected in this dataset, including </w:t>
      </w:r>
      <w:r w:rsidR="0031469C">
        <w:t xml:space="preserve">1) </w:t>
      </w:r>
      <w:r w:rsidR="00CE785B">
        <w:t xml:space="preserve">the presence </w:t>
      </w:r>
      <w:r w:rsidR="00251F64">
        <w:t>of</w:t>
      </w:r>
      <w:r w:rsidR="00CE785B">
        <w:t xml:space="preserve"> a</w:t>
      </w:r>
      <w:r w:rsidR="00251F64">
        <w:t xml:space="preserve"> placebo run in process</w:t>
      </w:r>
      <w:r w:rsidR="00C26BF6">
        <w:t xml:space="preserve"> (</w:t>
      </w:r>
      <w:r w:rsidR="00183DF3">
        <w:t>“</w:t>
      </w:r>
      <w:r w:rsidR="00C26BF6">
        <w:t>Y</w:t>
      </w:r>
      <w:r w:rsidR="00183DF3">
        <w:t>es</w:t>
      </w:r>
      <w:r w:rsidR="00C26BF6">
        <w:t>/N</w:t>
      </w:r>
      <w:r w:rsidR="00183DF3">
        <w:t>o/Unclear”</w:t>
      </w:r>
      <w:r w:rsidR="00C26BF6">
        <w:t>)</w:t>
      </w:r>
      <w:r w:rsidR="006C373E">
        <w:t xml:space="preserve">, use of independent investigators </w:t>
      </w:r>
      <w:r w:rsidR="00A643D4">
        <w:t xml:space="preserve">(not involved in clinical care) </w:t>
      </w:r>
      <w:r w:rsidR="006C373E">
        <w:t xml:space="preserve">to assess side effects </w:t>
      </w:r>
      <w:r w:rsidR="00183DF3">
        <w:t>(“Yes/No/Unclear”)</w:t>
      </w:r>
      <w:r w:rsidR="006C373E">
        <w:t xml:space="preserve">, prevention of side effects </w:t>
      </w:r>
      <w:r w:rsidR="00183DF3">
        <w:t xml:space="preserve">(“Yes/No/Unclear”) </w:t>
      </w:r>
      <w:r w:rsidR="00251F64">
        <w:t>and assessment of blinding</w:t>
      </w:r>
      <w:r w:rsidR="00A643D4">
        <w:t xml:space="preserve"> success</w:t>
      </w:r>
      <w:r w:rsidR="00C26BF6">
        <w:t xml:space="preserve"> </w:t>
      </w:r>
      <w:r w:rsidR="00183DF3">
        <w:t xml:space="preserve">(“Yes/No/Unclear”), </w:t>
      </w:r>
      <w:r w:rsidR="00CE785B">
        <w:t>2) full d</w:t>
      </w:r>
      <w:r w:rsidR="00002699">
        <w:t>etails of nocebo effects</w:t>
      </w:r>
      <w:r w:rsidR="00CE785B">
        <w:t xml:space="preserve"> (specific side effects produced by placebo, attributed to medication effects)</w:t>
      </w:r>
      <w:r w:rsidR="00C26BF6">
        <w:t xml:space="preserve"> </w:t>
      </w:r>
      <w:r w:rsidR="00CE785B">
        <w:t>3</w:t>
      </w:r>
      <w:r w:rsidR="00C26BF6">
        <w:t>) the presence of industry</w:t>
      </w:r>
      <w:r w:rsidR="00CE785B">
        <w:t>-related</w:t>
      </w:r>
      <w:r w:rsidR="00C26BF6">
        <w:t xml:space="preserve"> infl</w:t>
      </w:r>
      <w:r w:rsidR="006F479D">
        <w:t>uence</w:t>
      </w:r>
      <w:r w:rsidR="00C26BF6">
        <w:t xml:space="preserve">s, including the presence of industry sponsorship </w:t>
      </w:r>
      <w:r w:rsidR="00183DF3">
        <w:t>(“Yes/No/Unclear”)</w:t>
      </w:r>
      <w:r w:rsidR="00C26BF6">
        <w:t xml:space="preserve"> and the </w:t>
      </w:r>
      <w:r w:rsidR="00CE785B">
        <w:t xml:space="preserve">presence of </w:t>
      </w:r>
      <w:r w:rsidR="00C26BF6">
        <w:t xml:space="preserve">declared industry related conflict of interest from the manuscript authors in each respective publication </w:t>
      </w:r>
      <w:r w:rsidR="00183DF3">
        <w:t>(“Yes/No/Unclear”)</w:t>
      </w:r>
      <w:r w:rsidR="00251F64">
        <w:t xml:space="preserve">. </w:t>
      </w:r>
    </w:p>
    <w:p w14:paraId="23BD8617" w14:textId="3F7A95F6" w:rsidR="003470B7" w:rsidRDefault="00AB5BEA" w:rsidP="003470B7">
      <w:pPr>
        <w:pStyle w:val="Heading3"/>
      </w:pPr>
      <w:r>
        <w:lastRenderedPageBreak/>
        <w:t>Clinical measures of efficacy</w:t>
      </w:r>
    </w:p>
    <w:p w14:paraId="39DB588C" w14:textId="34C39E88" w:rsidR="00A55A47" w:rsidRDefault="00A55A47" w:rsidP="00A55A47">
      <w:r>
        <w:t>The primary efficacy outcome was gambling symptom severity measured by well-established and validated instruments, namely the Yale-Brown Obsessive Compulsive Scale adapted for Pathological Gambling (PG-YBOCS)</w:t>
      </w:r>
      <w:r w:rsidR="007A075A">
        <w:t>,</w:t>
      </w:r>
      <w:r w:rsidR="00E26720">
        <w:t xml:space="preserve"> </w:t>
      </w:r>
      <w:r w:rsidR="00804656">
        <w:fldChar w:fldCharType="begin" w:fldLock="1"/>
      </w:r>
      <w:r w:rsidR="00153F12">
        <w:instrText>ADDIN CSL_CITATION {"citationItems":[{"id":"ITEM-1","itemData":{"DOI":"10.1007/S10899-005-5557-3","ISSN":"1573-3602","PMID":"16311876","abstract":"The Yale Brown Obsessive Compulsive Scale adapted for Pathological Gambling (PG-YBOCS) was developed to measure the severity and change in severity of pathological gambling symptoms. The PG-YBOCS is a 10-item clinician-administered questionnaire that measures the severity of PG over a recent time interval (usually within the past one/two week(s)). In order to assess and validate the scale, it was administered to 337 subjects: 188 pathological gamblers and 149 healthy controls. Internal consistency and correlations between individual items and total score were assessed for various permutations of the sample. Other scales were administered to assess convergent, discriminant and content validity. Sensitivity to change was evaluated in treatment studies with fluovoxamine, lithium, and valproate. Each item was frequently endorsed across a range of severity. Good inter-rater reliability and internal consistency were obtained. The PG-YBOCS showed high validity and reliability for total score, item-total correlations, and for each subscale (Thoughts/Urges and Behavior). PG-YBOCS scores correlated with global severity and South Oaks Gambling Screen (SOGS) scores. The scale was also sensitive to change in pathological gambling severity. PG-YBOCS thus appears to be a reliable and valid measure of pathological gambling severity, and can be regarded as an important tool for clinicians and researchers treating pathological gamblers. © 2005 Springer Science+Business Media, Inc.","author":[{"dropping-particle":"","family":"Pallanti","given":"Stefano","non-dropping-particle":"","parse-names":false,"suffix":""},{"dropping-particle":"","family":"DeCaria","given":"Concetta M.","non-dropping-particle":"","parse-names":false,"suffix":""},{"dropping-particle":"","family":"Grant","given":"Jon E.","non-dropping-particle":"","parse-names":false,"suffix":""},{"dropping-particle":"","family":"Urpe","given":"Mauro","non-dropping-particle":"","parse-names":false,"suffix":""},{"dropping-particle":"","family":"Hollander","given":"Eric","non-dropping-particle":"","parse-names":false,"suffix":""}],"container-title":"Journal of gambling studies","id":"ITEM-1","issue":"4","issued":{"date-parts":[["2005","12"]]},"page":"431-443","publisher":"J Gambl Stud","title":"Reliability and validity of the pathological gambling adaptation of the Yale-Brown Obsessive-Compulsive Scale (PG-YBOCS)","type":"article-journal","volume":"21"},"uris":["http://www.mendeley.com/documents/?uuid=0fdd876d-5fe8-323c-b5aa-cf9084a13edf"]}],"mendeley":{"formattedCitation":"(Pallanti, DeCaria, Grant, Urpe, &amp; Hollander, 2005)","plainTextFormattedCitation":"(Pallanti, DeCaria, Grant, Urpe, &amp; Hollander, 2005)","previouslyFormattedCitation":"(Pallanti, DeCaria, Grant, Urpe, &amp; Hollander, 2005)"},"properties":{"noteIndex":0},"schema":"https://github.com/citation-style-language/schema/raw/master/csl-citation.json"}</w:instrText>
      </w:r>
      <w:r w:rsidR="00804656">
        <w:fldChar w:fldCharType="separate"/>
      </w:r>
      <w:r w:rsidR="006B30C0" w:rsidRPr="006B30C0">
        <w:rPr>
          <w:noProof/>
        </w:rPr>
        <w:t>(Pallanti, DeCaria, Grant, Urpe, &amp; Hollander, 2005)</w:t>
      </w:r>
      <w:r w:rsidR="00804656">
        <w:fldChar w:fldCharType="end"/>
      </w:r>
      <w:r>
        <w:t xml:space="preserve"> the Gambling Symptom Assessment Scale (G-SAS)</w:t>
      </w:r>
      <w:r w:rsidR="007A075A">
        <w:t>,</w:t>
      </w:r>
      <w:r w:rsidR="00E26720">
        <w:t xml:space="preserve"> </w:t>
      </w:r>
      <w:r w:rsidR="00804656">
        <w:fldChar w:fldCharType="begin" w:fldLock="1"/>
      </w:r>
      <w:r w:rsidR="00153F12">
        <w:instrText>ADDIN CSL_CITATION {"citationItems":[{"id":"ITEM-1","itemData":{"DOI":"10.1016/S0006-3223(01)01079-4","ISSN":"0006-3223","PMID":"11377409","abstract":"Background: The authors' goal was to assess the efficacy and tolerability of naltrexone in the treatment of pathologic gambling disorder. Methods: Eighty-three subjects who met criteria for DSM-IV pathologic gambling disorder were enrolled in a 1-week single-blind placebo lead-in followed by an 11-week double-blind naltrexone or placebo trial. Naltrexone was started at 25 mg/day and titrated upward until maximum symptom improvement or 250 mg/day was achieved. Gambling symptom change was assessed with the patient-rated Clinical Global Impression (PG-CGI-PT), clinician-rated CGI (PG-CGI-MD), and the Gambling Symptom Rating Scale (G-SAS). Side effects were monitored weekly and liver function tests biweekly. Results: Data from 45 patients were analyzed. Using random regression analysis, significant improvement was noted in all three gambling symptom measures: patient-rated Clinical Global Impression, p &lt; .001; clinician-rated CGI, p &lt; .001; Gambling Symptom Rating Scale, p &lt; .019. At study end, 75% of subjects taking naltrexone were much or very much improved on both the PE-CEI PT and the PG-CGI-MD, compared with only 24% of those on placebo. Elevated liver enzymes occurred in four subjects who were taking analgesics concurrently. Nausea was common during the first week of treatment. Conclusions: Results suggest that naltrexone is effective in reducing the symptoms of pathologic gambling. Until further studies corroborate the present findings, our report should be interpreted cautiously. © 2001 Society of Biological Psychiatry.","author":[{"dropping-particle":"","family":"Kim","given":"Suck Won","non-dropping-particle":"","parse-names":false,"suffix":""},{"dropping-particle":"","family":"Grant","given":"Jon E.","non-dropping-particle":"","parse-names":false,"suffix":""},{"dropping-particle":"","family":"Adson","given":"David E.","non-dropping-particle":"","parse-names":false,"suffix":""},{"dropping-particle":"","family":"Shin","given":"Young Chul","non-dropping-particle":"","parse-names":false,"suffix":""}],"container-title":"Biological psychiatry","id":"ITEM-1","issue":"11","issued":{"date-parts":[["2001","6","1"]]},"page":"914-921","publisher":"Biol Psychiatry","title":"Double-blind naltrexone and placebo comparison study in the treatment of pathological gambling","type":"article-journal","volume":"49"},"uris":["http://www.mendeley.com/documents/?uuid=13b2f173-5486-302e-b394-79c228750fa4"]}],"mendeley":{"formattedCitation":"(Kim, Grant, Adson, &amp; Shin, 2001)","plainTextFormattedCitation":"(Kim, Grant, Adson, &amp; Shin, 2001)","previouslyFormattedCitation":"(Kim, Grant, Adson, &amp; Shin, 2001)"},"properties":{"noteIndex":0},"schema":"https://github.com/citation-style-language/schema/raw/master/csl-citation.json"}</w:instrText>
      </w:r>
      <w:r w:rsidR="00804656">
        <w:fldChar w:fldCharType="separate"/>
      </w:r>
      <w:r w:rsidR="006B30C0" w:rsidRPr="006B30C0">
        <w:rPr>
          <w:noProof/>
        </w:rPr>
        <w:t>(Kim, Grant, Adson, &amp; Shin, 2001)</w:t>
      </w:r>
      <w:r w:rsidR="00804656">
        <w:fldChar w:fldCharType="end"/>
      </w:r>
      <w:r>
        <w:t xml:space="preserve"> and the Clinical Global Impression-Improvement scale (CGI-I)</w:t>
      </w:r>
      <w:r w:rsidR="00804656">
        <w:t xml:space="preserve"> </w:t>
      </w:r>
      <w:r w:rsidR="00804656">
        <w:fldChar w:fldCharType="begin" w:fldLock="1"/>
      </w:r>
      <w:r w:rsidR="00153F12">
        <w:instrText>ADDIN CSL_CITATION {"citationItems":[{"id":"ITEM-1","itemData":{"ISSN":"1555-5194","PMID":"20526405","abstract":"OBJECTIVE This paper reviews the potential value in daily clinical practice of an easily applied research tool, the Clinical Global Impressions (CGI) Scale, for the nonresearcher clinician to quantify and track patient progress and treatment response over time. METHOD The instrument is described and sample patient scenarios are provided with scoring rationales and a practical charting system. CONCLUSION The CGI severity and improvement scales offer a readily understood, practical measurement tool that can easily be administered by a clinician in a busy clinical practice setting.","author":[{"dropping-particle":"","family":"Busner","given":"Joan","non-dropping-particle":"","parse-names":false,"suffix":""},{"dropping-particle":"","family":"Targum","given":"Steven D.","non-dropping-particle":"","parse-names":false,"suffix":""}],"container-title":"Psychiatry (Edgmont)","id":"ITEM-1","issue":"7","issued":{"date-parts":[["2007","7"]]},"page":"28","publisher":"Matrix Medical Communications","title":"The Clinical Global Impressions Scale: Applying a Research Tool in Clinical Practice","type":"article-journal","volume":"4"},"uris":["http://www.mendeley.com/documents/?uuid=0583aa7b-16d9-3196-8d4d-1375810c174f"]}],"mendeley":{"formattedCitation":"(Busner &amp; Targum, 2007)","plainTextFormattedCitation":"(Busner &amp; Targum, 2007)","previouslyFormattedCitation":"(Busner &amp; Targum, 2007)"},"properties":{"noteIndex":0},"schema":"https://github.com/citation-style-language/schema/raw/master/csl-citation.json"}</w:instrText>
      </w:r>
      <w:r w:rsidR="00804656">
        <w:fldChar w:fldCharType="separate"/>
      </w:r>
      <w:r w:rsidR="006B30C0" w:rsidRPr="006B30C0">
        <w:rPr>
          <w:noProof/>
        </w:rPr>
        <w:t>(Busner &amp; Targum, 2007)</w:t>
      </w:r>
      <w:r w:rsidR="00804656">
        <w:fldChar w:fldCharType="end"/>
      </w:r>
      <w:r w:rsidR="007A075A">
        <w:t>.</w:t>
      </w:r>
      <w:r w:rsidR="00804656">
        <w:t xml:space="preserve"> </w:t>
      </w:r>
      <w:r>
        <w:t>If a study reported results from multiple scales, we us</w:t>
      </w:r>
      <w:r w:rsidR="0038494D">
        <w:t>ed</w:t>
      </w:r>
      <w:r>
        <w:t xml:space="preserve"> the following hierarchy</w:t>
      </w:r>
      <w:r w:rsidR="0038494D">
        <w:t xml:space="preserve"> in the choice of the scale</w:t>
      </w:r>
      <w:r>
        <w:t>: PG-YBOCS</w:t>
      </w:r>
      <w:r w:rsidR="000A4E9F">
        <w:t xml:space="preserve"> as first preference</w:t>
      </w:r>
      <w:r>
        <w:t>; G-SAS</w:t>
      </w:r>
      <w:r w:rsidR="000A4E9F">
        <w:t xml:space="preserve"> as next preference</w:t>
      </w:r>
      <w:r>
        <w:t>, CGI-I</w:t>
      </w:r>
      <w:r w:rsidR="000A4E9F">
        <w:t xml:space="preserve"> as third preference</w:t>
      </w:r>
      <w:r>
        <w:t xml:space="preserve">. </w:t>
      </w:r>
      <w:r w:rsidR="00B81A0C">
        <w:t xml:space="preserve">This was done to prioritize structured clinical instruments against unstructured or self-report instruments. </w:t>
      </w:r>
      <w:r>
        <w:t>The secondary efficacy outcome was the improvement in quality of life and functioning as measured by validated instruments including but not limited to the Sheehan Disability Scale (SDS)</w:t>
      </w:r>
      <w:r w:rsidR="00437B3C">
        <w:t xml:space="preserve"> </w:t>
      </w:r>
      <w:r w:rsidR="00E26720">
        <w:rPr>
          <w:noProof/>
          <w:vertAlign w:val="superscript"/>
        </w:rPr>
        <w:fldChar w:fldCharType="begin" w:fldLock="1"/>
      </w:r>
      <w:r w:rsidR="00153F12">
        <w:rPr>
          <w:noProof/>
          <w:vertAlign w:val="superscript"/>
        </w:rPr>
        <w:instrText>ADDIN CSL_CITATION {"citationItems":[{"id":"ITEM-1","itemData":{"DOI":"10.1097/00004850-199606003-00015","ISSN":"0268-1315","PMID":"8923116","abstract":"The frequent occurrence of desynchrony between psychiatric symptoms and disability makes it necessary to measure disability/functional impairment in addition to psychiatric symptoms when tracking treatment outcome. Existing disability measures in psychiatry are comprehensive but lengthy. There is a need for short, simple, cost-effective, sensitive measures of disability and functional impairment in psychiatric disorders. We developed a discretized analog disability scale (DISS) which uses visual-spatial, numeric and verbal descriptive anchors to assess disability across three domains: work, social life and family life. The DISS has proved to be very sensitive to change in drug treatment studies in psychiatry. The usefulness of the DISS in assessing disability in terms of work, social and family relationships is discussed.","author":[{"dropping-particle":"V.","family":"Sheehan","given":"D.","non-dropping-particle":"","parse-names":false,"suffix":""},{"dropping-particle":"","family":"Harnett-Sheehan","given":"K.","non-dropping-particle":"","parse-names":false,"suffix":""},{"dropping-particle":"","family":"Raj","given":"B. A.","non-dropping-particle":"","parse-names":false,"suffix":""}],"container-title":"International clinical psychopharmacology","id":"ITEM-1","issue":"SUPPL. 3","issued":{"date-parts":[["1996"]]},"page":"89-95","publisher":"Int Clin Psychopharmacol","title":"The measurement of disability","type":"article-journal","volume":"11 Suppl 3"},"uris":["http://www.mendeley.com/documents/?uuid=4274784f-0569-3601-94ab-e084dada88cd"]}],"mendeley":{"formattedCitation":"(Sheehan, Harnett-Sheehan, &amp; Raj, 1996)","plainTextFormattedCitation":"(Sheehan, Harnett-Sheehan, &amp; Raj, 1996)","previouslyFormattedCitation":"(Sheehan, Harnett-Sheehan, &amp; Raj, 1996)"},"properties":{"noteIndex":0},"schema":"https://github.com/citation-style-language/schema/raw/master/csl-citation.json"}</w:instrText>
      </w:r>
      <w:r w:rsidR="00E26720">
        <w:rPr>
          <w:noProof/>
          <w:vertAlign w:val="superscript"/>
        </w:rPr>
        <w:fldChar w:fldCharType="separate"/>
      </w:r>
      <w:r w:rsidR="006B30C0" w:rsidRPr="006B30C0">
        <w:rPr>
          <w:noProof/>
        </w:rPr>
        <w:t>(Sheehan, Harnett-Sheehan, &amp; Raj, 1996)</w:t>
      </w:r>
      <w:r w:rsidR="00E26720">
        <w:rPr>
          <w:noProof/>
          <w:vertAlign w:val="superscript"/>
        </w:rPr>
        <w:fldChar w:fldCharType="end"/>
      </w:r>
      <w:r w:rsidR="007E158B">
        <w:t xml:space="preserve"> and other q</w:t>
      </w:r>
      <w:r>
        <w:t>uality of life metrics.</w:t>
      </w:r>
      <w:r w:rsidRPr="00764A3E">
        <w:t xml:space="preserve"> </w:t>
      </w:r>
      <w:r w:rsidR="00E26720">
        <w:t xml:space="preserve">Further information about the selection of severity metrics are presented in previous work </w:t>
      </w:r>
      <w:r w:rsidR="00E26720">
        <w:fldChar w:fldCharType="begin" w:fldLock="1"/>
      </w:r>
      <w:r w:rsidR="00153F12">
        <w:instrText>ADDIN CSL_CITATION {"citationItems":[{"id":"ITEM-1","itemData":{"DOI":"10.1101/2023.10.20.23297314","abstract":"Background Clinical guidelines remain unclear on which medications for gambling disorder are to be preferred in terms of efficacy and tolerability. We aimed to compare pharmacological treatments for gambling disorder in terms of efficacy and tolerability, using network meta-analysis (NMA).\n\nMethods We searched, up to 19 February 2024, a broad range of databases, including MEDLINE, EMBASE, PsycINFO, PubMed, CINAHL, AMED, and the Cochrane Database of Systematic Reviews, ERIC and Web of Science (including Science Citation Index Expanded (SCI-EXPANDED), Social Science Citation Index (SSCI), Conference Proceedings Citation Index-Science (CPCI-S) and Conference Proceedings Citation Index-Social Science and Humanities (CPCI-SSH)) via Web of Knowledge and the WHO International Trials Registry Platform (including [ClinicalTrials.gov][1]), for double-blind randomised controlled trials (RCTs) of medications for gambling disorder. Outcomes were gambling symptom severity and quality of life (for efficacy), and tolerability. Confidence in the network estimates was assessed using the CINeMA framework. We followed the PRISMA-NMA guidelines and pre-registered the protocol [CRD42022329520].\n\nOutcomes We included 22 RCTs in the systematic review and 16 RCTs (n = 977 participants) in the NMA. Compared with placebo, moderate confidence evidence indicated that nalmefene [Standardized Mean Difference (SMD): −0·86; 95% confidence interval (CI: −1·32,-0·41)] reduced gambling severity, followed by naltrexone [-0·42; −0·85, 0·01)]. Nalmefene [Odds Ratio (OR): 7·55; 95%CI: 2·24-25·41] and naltrexone (7·82; 1·26-48·70) had significantly higher dropout due to side effects (lower tolerability) compared with placebo. Naltrexone (SMD: −0·50; 95%CI: −0·85,-0·14) and nalmefene (−0·36; −0·72,-0·01) were more beneficial than placebo in terms of quality of life. Olanzapine and topiramate were not more efficacious than placebo.\n\nInterpretation Nalmefene and naltrexone currently have the most supportive evidence for the pharmacological treatment of gambling disorder. Further clinical trials of novel compounds, and analysis of individual participant data are needed, to strengthen the evidence base, and help tailor treatments at the individual patient level.\n\nFunding This study was supported by unrestricted grant funds to Professor Chamberlain held at the University of Southampton, originating from the NHS.\n\nEvidence before this study Over the past few decades, there has been a substantial need…","author":[{"dropping-particle":"","family":"Ioannidis","given":"Konstantinos","non-dropping-particle":"","parse-names":false,"suffix":""},{"dropping-particle":"","family":"Giovane","given":"Cinzia","non-dropping-particle":"Del","parse-names":false,"suffix":""},{"dropping-particle":"","family":"Tzagarakis","given":"Charidimos","non-dropping-particle":"","parse-names":false,"suffix":""},{"dropping-particle":"","family":"Solly","given":"Jeremy E","non-dropping-particle":"","parse-names":false,"suffix":""},{"dropping-particle":"","family":"Westwood","given":"Samuel J","non-dropping-particle":"","parse-names":false,"suffix":""},{"dropping-particle":"","family":"Parlatini","given":"Valeria","non-dropping-particle":"","parse-names":false,"suffix":""},{"dropping-particle":"","family":"Bowden-Jones","given":"Henrietta","non-dropping-particle":"","parse-names":false,"suffix":""},{"dropping-particle":"","family":"Grant","given":"Jon E","non-dropping-particle":"","parse-names":false,"suffix":""},{"dropping-particle":"","family":"Cortese","given":"Samuele","non-dropping-particle":"","parse-names":false,"suffix":""},{"dropping-particle":"","family":"Chamberlain Author details","given":"Samuel R","non-dropping-particle":"","parse-names":false,"suffix":""}],"container-title":"medRxiv","id":"ITEM-1","issued":{"date-parts":[["2024","3","20"]]},"page":"2023.10.20.23297314","publisher":"Cold Spring Harbor Laboratory Press","title":"Pharmacological Management of Gambling Disorder: A Systematic Review and Network Meta-Analysis","type":"article-journal"},"uris":["http://www.mendeley.com/documents/?uuid=ab6821fb-c2c8-39d9-9a32-1e652420aff8"]}],"mendeley":{"formattedCitation":"(Ioannidis et al., 2024)","plainTextFormattedCitation":"(Ioannidis et al., 2024)","previouslyFormattedCitation":"(Ioannidis et al., 2024)"},"properties":{"noteIndex":0},"schema":"https://github.com/citation-style-language/schema/raw/master/csl-citation.json"}</w:instrText>
      </w:r>
      <w:r w:rsidR="00E26720">
        <w:fldChar w:fldCharType="separate"/>
      </w:r>
      <w:r w:rsidR="006B30C0" w:rsidRPr="006B30C0">
        <w:rPr>
          <w:noProof/>
        </w:rPr>
        <w:t>(Ioannidis et al., 2024)</w:t>
      </w:r>
      <w:r w:rsidR="00E26720">
        <w:fldChar w:fldCharType="end"/>
      </w:r>
      <w:r w:rsidR="00E26720">
        <w:t>.</w:t>
      </w:r>
      <w:r w:rsidR="00344F48">
        <w:t xml:space="preserve">  </w:t>
      </w:r>
    </w:p>
    <w:p w14:paraId="1284637B" w14:textId="59D484D2" w:rsidR="007C6798" w:rsidRDefault="007C6798" w:rsidP="007C6798">
      <w:pPr>
        <w:pStyle w:val="Heading3"/>
      </w:pPr>
      <w:r>
        <w:t>Nocebo outcomes</w:t>
      </w:r>
    </w:p>
    <w:p w14:paraId="77776AF3" w14:textId="680CCDC1" w:rsidR="007C6798" w:rsidRDefault="007C6798" w:rsidP="00A55A47">
      <w:r w:rsidRPr="007C6798">
        <w:t>Nocebo effects were calculated by the percentage of drop outs from perceived “medication side effects” from the placebo arms, in the RCTs.</w:t>
      </w:r>
    </w:p>
    <w:p w14:paraId="398CC969" w14:textId="7FD304A9" w:rsidR="00717FB9" w:rsidRDefault="00DF5B00" w:rsidP="00845586">
      <w:pPr>
        <w:pStyle w:val="Heading3"/>
      </w:pPr>
      <w:r>
        <w:t>D</w:t>
      </w:r>
      <w:r w:rsidR="00717FB9">
        <w:t>ata synthesis</w:t>
      </w:r>
    </w:p>
    <w:p w14:paraId="673806F1" w14:textId="2C16B296" w:rsidR="00730D3A" w:rsidRDefault="00730D3A" w:rsidP="00730D3A">
      <w:pPr>
        <w:tabs>
          <w:tab w:val="left" w:pos="4253"/>
        </w:tabs>
      </w:pPr>
      <w:r w:rsidRPr="007E5E8B">
        <w:t xml:space="preserve">Data were analyzed using statistical software R version </w:t>
      </w:r>
      <w:r>
        <w:t>4.2.1</w:t>
      </w:r>
      <w:r w:rsidRPr="007E5E8B">
        <w:t>. Meta-analysis was performed using packages of “robumeta” and “metafor”</w:t>
      </w:r>
      <w:r>
        <w:t xml:space="preserve"> </w:t>
      </w:r>
      <w:r>
        <w:fldChar w:fldCharType="begin" w:fldLock="1"/>
      </w:r>
      <w:r w:rsidR="00153F12">
        <w:instrText>ADDIN CSL_CITATION {"citationItems":[{"id":"ITEM-1","itemData":{"URL":"https://github.com/zackfisher/robumeta","accessed":{"date-parts":[["2020","6","27"]]},"author":[{"dropping-particle":"","family":"Fisher","given":"Zachary","non-dropping-particle":"","parse-names":false,"suffix":""},{"dropping-particle":"","family":"Tipton","given":"Elizabeth","non-dropping-particle":"","parse-names":false,"suffix":""},{"dropping-particle":"","family":"Zhipeng","given":"Hou","non-dropping-particle":"","parse-names":false,"suffix":""}],"container-title":"CRAN Repository","id":"ITEM-1","issued":{"date-parts":[["2017"]]},"title":"robumeta: An R-package for robust variance estimation in meta-analysis","type":"webpage"},"uris":["http://www.mendeley.com/documents/?uuid=99ab5bc7-5b68-4864-95bb-26500243ce60"]},{"id":"ITEM-2","itemData":{"author":[{"dropping-particle":"","family":"Viechtbauer","given":"Wolfgang","non-dropping-particle":"","parse-names":false,"suffix":""}],"container-title":"CRAN Repository","id":"ITEM-2","issued":{"date-parts":[["2020"]]},"title":"Package ‘metafor’; Meta-Analysis Package for R","type":"webpage"},"uris":["http://www.mendeley.com/documents/?uuid=f17ecd97-70d7-4bb3-b710-9f0a99a44bfd"]}],"mendeley":{"formattedCitation":"(Fisher, Tipton, &amp; Zhipeng, 2017; Viechtbauer, 2020)","plainTextFormattedCitation":"(Fisher, Tipton, &amp; Zhipeng, 2017; Viechtbauer, 2020)","previouslyFormattedCitation":"(Fisher, Tipton, &amp; Zhipeng, 2017; Viechtbauer, 2020)"},"properties":{"noteIndex":0},"schema":"https://github.com/citation-style-language/schema/raw/master/csl-citation.json"}</w:instrText>
      </w:r>
      <w:r>
        <w:fldChar w:fldCharType="separate"/>
      </w:r>
      <w:r w:rsidR="006B30C0" w:rsidRPr="006B30C0">
        <w:rPr>
          <w:noProof/>
        </w:rPr>
        <w:t>(Fisher, Tipton, &amp; Zhipeng, 2017; Viechtbauer, 2020)</w:t>
      </w:r>
      <w:r>
        <w:fldChar w:fldCharType="end"/>
      </w:r>
      <w:r w:rsidRPr="007E5E8B">
        <w:t>.</w:t>
      </w:r>
      <w:r>
        <w:t xml:space="preserve"> </w:t>
      </w:r>
      <w:r w:rsidRPr="007E5E8B">
        <w:t>The R code used for this analysis is shared in the supplement.</w:t>
      </w:r>
      <w:r>
        <w:t xml:space="preserve"> We performed analyses for gambling severity, using all types of outcomes, using a hierarchical approach described above, and then for each type of clinical severity outcome separately. We also performed a meta-analysis for quality of life outcomes; all the above were performed separately for the placebo and the treatment arms</w:t>
      </w:r>
      <w:r w:rsidR="0031469C">
        <w:t>.</w:t>
      </w:r>
      <w:r>
        <w:t xml:space="preserve"> We calculated the within-group </w:t>
      </w:r>
      <w:r w:rsidR="00B304CE">
        <w:t>S</w:t>
      </w:r>
      <w:r w:rsidR="007578FE" w:rsidRPr="007578FE">
        <w:t xml:space="preserve">tandardized </w:t>
      </w:r>
      <w:r w:rsidR="00B304CE">
        <w:t>M</w:t>
      </w:r>
      <w:r w:rsidR="007578FE" w:rsidRPr="007578FE">
        <w:t xml:space="preserve">ean </w:t>
      </w:r>
      <w:r w:rsidR="00B304CE">
        <w:t>C</w:t>
      </w:r>
      <w:r w:rsidR="007578FE" w:rsidRPr="007578FE">
        <w:t xml:space="preserve">hange using </w:t>
      </w:r>
      <w:r w:rsidR="00B304CE">
        <w:t>C</w:t>
      </w:r>
      <w:r w:rsidR="007578FE" w:rsidRPr="007578FE">
        <w:t xml:space="preserve">hange score standardization </w:t>
      </w:r>
      <w:r w:rsidR="007578FE">
        <w:fldChar w:fldCharType="begin" w:fldLock="1"/>
      </w:r>
      <w:r w:rsidR="00153F12">
        <w:instrText>ADDIN CSL_CITATION {"citationItems":[{"id":"ITEM-1","itemData":{"DOI":"10.3102/10769986018003271","ISSN":"0362-9791","abstract":"This article develops the distribution theory for a Glass-type (1976) estimator of effect size from studies involving paired comparisons. We derive an unbiased estimator of effect size followingHed...","author":[{"dropping-particle":"","family":"Gibbons","given":"Robert D.","non-dropping-particle":"","parse-names":false,"suffix":""},{"dropping-particle":"","family":"Hedeker","given":"Donald R.","non-dropping-particle":"","parse-names":false,"suffix":""},{"dropping-particle":"","family":"Davis","given":"John M.","non-dropping-particle":"","parse-names":false,"suffix":""}],"container-title":"http://dx.doi.org/10.3102/10769986018003271","id":"ITEM-1","issue":"3","issued":{"date-parts":[["1993","9","1"]]},"page":"271-279","publisher":"SAGE PublicationsSage CA: Los Angeles, CA","title":"Estimation of Effect Size From a Series of Experiments Involving Paired Comparisons","type":"article-journal","volume":"18"},"uris":["http://www.mendeley.com/documents/?uuid=54c53888-5af0-3ce5-a03e-fe179e84c7e8"]}],"mendeley":{"formattedCitation":"(Gibbons, Hedeker, &amp; Davis, 1993)","plainTextFormattedCitation":"(Gibbons, Hedeker, &amp; Davis, 1993)","previouslyFormattedCitation":"(Gibbons, Hedeker, &amp; Davis, 1993)"},"properties":{"noteIndex":0},"schema":"https://github.com/citation-style-language/schema/raw/master/csl-citation.json"}</w:instrText>
      </w:r>
      <w:r w:rsidR="007578FE">
        <w:fldChar w:fldCharType="separate"/>
      </w:r>
      <w:r w:rsidR="006B30C0" w:rsidRPr="006B30C0">
        <w:rPr>
          <w:noProof/>
        </w:rPr>
        <w:t>(Gibbons, Hedeker, &amp; Davis, 1993)</w:t>
      </w:r>
      <w:r w:rsidR="007578FE">
        <w:fldChar w:fldCharType="end"/>
      </w:r>
      <w:r w:rsidR="007578FE">
        <w:t xml:space="preserve"> (</w:t>
      </w:r>
      <w:r>
        <w:t>SM</w:t>
      </w:r>
      <w:r w:rsidR="007578FE">
        <w:t>CC</w:t>
      </w:r>
      <w:r>
        <w:t>), in active medication and placebo arms separately, to measure the efficacy outcomes.</w:t>
      </w:r>
      <w:r w:rsidR="007578FE">
        <w:t xml:space="preserve"> For the calculations of SMCC, we </w:t>
      </w:r>
      <w:r w:rsidR="0031469C">
        <w:t xml:space="preserve">first </w:t>
      </w:r>
      <w:r w:rsidR="00C15B46">
        <w:t xml:space="preserve">imputed </w:t>
      </w:r>
      <w:r w:rsidR="007578FE">
        <w:t>a correlation of 0.50 between baseline and end-of-treatment within groups. We performed sensitivity analyses with correlations of 0.2</w:t>
      </w:r>
      <w:r w:rsidR="002461FE">
        <w:t>5 and 0.75</w:t>
      </w:r>
      <w:r w:rsidR="007578FE">
        <w:t xml:space="preserve"> to ascertain any impact on the analyses.</w:t>
      </w:r>
      <w:r>
        <w:t xml:space="preserve"> The measure of effect for nocebo was the dropout rate due to medication side effects (or attributed to medication side effects in the placebo arm, i.e.</w:t>
      </w:r>
      <w:r w:rsidR="0031469C">
        <w:t>,</w:t>
      </w:r>
      <w:r>
        <w:t xml:space="preserve"> nocebo effects), </w:t>
      </w:r>
      <w:r>
        <w:lastRenderedPageBreak/>
        <w:t xml:space="preserve">expressed as percentage of drop out, in the placebo arms. Study arms randomizing the same compound at different dose were merged into a single arm in line with the </w:t>
      </w:r>
      <w:r w:rsidR="0031469C" w:rsidRPr="0031469C">
        <w:t xml:space="preserve">recommendations in the </w:t>
      </w:r>
      <w:r>
        <w:t xml:space="preserve">Cochrane handbook </w:t>
      </w:r>
      <w:r>
        <w:fldChar w:fldCharType="begin" w:fldLock="1"/>
      </w:r>
      <w:r w:rsidR="00D257AC">
        <w:instrText>ADDIN CSL_CITATION {"citationItems":[{"id":"ITEM-1","itemData":{"URL":"https://handbook-5-1.cochrane.org/chapter_7/7_7_extracting_study_results_and_converting_to_the_desired.htm","author":[{"dropping-particle":"","family":"The Cochrane Collaboration","given":"","non-dropping-particle":"","parse-names":false,"suffix":""}],"container-title":"5.1.0","id":"ITEM-1","issued":{"date-parts":[["2011"]]},"title":"Cochrane Handbook, 7.7 Extracting study results and converting to the desired format","type":"webpage"},"uris":["http://www.mendeley.com/documents/?uuid=e49b9a72-d462-4ead-b4ca-9f5015aab442"]}],"mendeley":{"formattedCitation":"(The Cochrane Collaboration, 2011)","plainTextFormattedCitation":"(The Cochrane Collaboration, 2011)","previouslyFormattedCitation":"(The Cochrane Collaboration, 2011)"},"properties":{"noteIndex":0},"schema":"https://github.com/citation-style-language/schema/raw/master/csl-citation.json"}</w:instrText>
      </w:r>
      <w:r>
        <w:fldChar w:fldCharType="separate"/>
      </w:r>
      <w:r w:rsidR="00E345CF" w:rsidRPr="00E345CF">
        <w:rPr>
          <w:noProof/>
        </w:rPr>
        <w:t>(The Cochrane Collaboration, 2011)</w:t>
      </w:r>
      <w:r>
        <w:fldChar w:fldCharType="end"/>
      </w:r>
      <w:r>
        <w:t xml:space="preserve">. We meta-analysed these outcomes through </w:t>
      </w:r>
      <w:r w:rsidRPr="007E5E8B">
        <w:t>a random-effects model (REM) in all cases to provide a more generalizable model estimate</w:t>
      </w:r>
      <w:r>
        <w:t xml:space="preserve">. </w:t>
      </w:r>
      <w:r w:rsidR="00894F9C">
        <w:t>We ascertained heterogeneity by c</w:t>
      </w:r>
      <w:r w:rsidR="00894F9C" w:rsidRPr="00865875">
        <w:t>alculating the Q-statistic, which is the ratio of observed variation to within-study variance,</w:t>
      </w:r>
      <w:r w:rsidR="00894F9C">
        <w:t xml:space="preserve"> formulated in a null hypothesis test (the null hypothesis here being that all individual studies measure/examine the same effect). The test</w:t>
      </w:r>
      <w:r w:rsidR="00894F9C" w:rsidRPr="00865875">
        <w:t xml:space="preserve"> </w:t>
      </w:r>
      <w:r w:rsidR="00894F9C">
        <w:t>indicates</w:t>
      </w:r>
      <w:r w:rsidR="00894F9C" w:rsidRPr="00865875">
        <w:t xml:space="preserve"> how much of the overall heterogeneity can be attributed to true between-studies variation.</w:t>
      </w:r>
      <w:r w:rsidR="00894F9C">
        <w:t xml:space="preserve"> </w:t>
      </w:r>
      <w:r>
        <w:t xml:space="preserve">We </w:t>
      </w:r>
      <w:r w:rsidR="00894F9C">
        <w:t xml:space="preserve">also </w:t>
      </w:r>
      <w:r>
        <w:t>assessed the heterogeneity within each comparison visually by considering the forest plot, and quantitatively with the I² statistic and the τ</w:t>
      </w:r>
      <w:r w:rsidRPr="00F43DCC">
        <w:rPr>
          <w:vertAlign w:val="superscript"/>
        </w:rPr>
        <w:t>2</w:t>
      </w:r>
      <w:r w:rsidRPr="007A075A">
        <w:t>.</w:t>
      </w:r>
      <w:r>
        <w:t xml:space="preserve"> </w:t>
      </w:r>
      <w:r>
        <w:fldChar w:fldCharType="begin" w:fldLock="1"/>
      </w:r>
      <w:r w:rsidR="00153F12">
        <w:instrText>ADDIN CSL_CITATION {"citationItems":[{"id":"ITEM-1","itemData":{"author":[{"dropping-particle":"","family":"Higgins","given":"JPT","non-dropping-particle":"","parse-names":false,"suffix":""},{"dropping-particle":"","family":"Thomas","given":"J","non-dropping-particle":"","parse-names":false,"suffix":""},{"dropping-particle":"","family":"Chandler","given":"J","non-dropping-particle":"","parse-names":false,"suffix":""},{"dropping-particle":"","family":"Cumpston","given":"M","non-dropping-particle":"","parse-names":false,"suffix":""},{"dropping-particle":"","family":"Li","given":"T","non-dropping-particle":"","parse-names":false,"suffix":""},{"dropping-particle":"","family":"Page","given":"MJ","non-dropping-particle":"","parse-names":false,"suffix":""},{"dropping-particle":"","family":"Welch","given":"VA","non-dropping-particle":"","parse-names":false,"suffix":""}],"edition":"2nd Editio","id":"ITEM-1","issued":{"date-parts":[["2019"]]},"publisher":"John Wiley &amp; Sons","publisher-place":"Chichester (UK)","title":"Cochrane Handbook for Systematic Reviews of Interventions","type":"book"},"uris":["http://www.mendeley.com/documents/?uuid=2b2c7c65-6cf6-4999-9bff-7f2fafe625f4"]}],"mendeley":{"formattedCitation":"(Higgins et al., 2019)","plainTextFormattedCitation":"(Higgins et al., 2019)","previouslyFormattedCitation":"(Higgins et al., 2019)"},"properties":{"noteIndex":0},"schema":"https://github.com/citation-style-language/schema/raw/master/csl-citation.json"}</w:instrText>
      </w:r>
      <w:r>
        <w:fldChar w:fldCharType="separate"/>
      </w:r>
      <w:r w:rsidR="006B30C0" w:rsidRPr="006B30C0">
        <w:rPr>
          <w:noProof/>
        </w:rPr>
        <w:t>(Higgins et al., 2019)</w:t>
      </w:r>
      <w:r>
        <w:fldChar w:fldCharType="end"/>
      </w:r>
      <w:r>
        <w:t>.</w:t>
      </w:r>
      <w:r w:rsidRPr="007E5E8B">
        <w:t xml:space="preserve"> </w:t>
      </w:r>
      <w:r w:rsidR="0031469C" w:rsidRPr="0031469C">
        <w:t xml:space="preserve">Moderator meta-regression analysis was conducted considering the following regressors:  </w:t>
      </w:r>
      <w:r w:rsidRPr="007E5E8B">
        <w:t xml:space="preserve"> </w:t>
      </w:r>
      <w:r>
        <w:t xml:space="preserve">year of publication, medication class, presence of company sponsor, duration of the study, gambling severity scale choice, mean </w:t>
      </w:r>
      <w:r w:rsidRPr="007E5E8B">
        <w:t>age</w:t>
      </w:r>
      <w:r>
        <w:t xml:space="preserve"> of participants</w:t>
      </w:r>
      <w:r w:rsidRPr="007E5E8B">
        <w:t xml:space="preserve">, </w:t>
      </w:r>
      <w:r>
        <w:t xml:space="preserve">percentage of </w:t>
      </w:r>
      <w:r w:rsidRPr="007E5E8B">
        <w:t>gender</w:t>
      </w:r>
      <w:r>
        <w:t xml:space="preserve"> split,</w:t>
      </w:r>
      <w:r w:rsidR="00B304CE">
        <w:t xml:space="preserve"> baseline gambling severity scores,</w:t>
      </w:r>
      <w:r>
        <w:t xml:space="preserve"> presence of declared conflict of interest in th</w:t>
      </w:r>
      <w:r w:rsidR="00B304CE">
        <w:t>e authors and</w:t>
      </w:r>
      <w:r>
        <w:t xml:space="preserve"> study design with </w:t>
      </w:r>
      <w:r w:rsidR="00B304CE">
        <w:t xml:space="preserve">unbalanced randomization and </w:t>
      </w:r>
      <w:r>
        <w:t>pl</w:t>
      </w:r>
      <w:r w:rsidR="00B304CE">
        <w:t>acebo run in phase</w:t>
      </w:r>
      <w:r w:rsidRPr="007E5E8B">
        <w:t xml:space="preserve">. </w:t>
      </w:r>
      <w:r w:rsidR="00630FFE" w:rsidRPr="00630FFE">
        <w:t>We calculated the correlation between the placebo effect sizes and the respective effect sizes for the treatment arms in each meta-analysis.</w:t>
      </w:r>
    </w:p>
    <w:p w14:paraId="14B83460" w14:textId="515CA0CC" w:rsidR="00630FFE" w:rsidRDefault="00630FFE" w:rsidP="00630FFE">
      <w:pPr>
        <w:pStyle w:val="Heading3"/>
      </w:pPr>
      <w:r>
        <w:t>Publication Bias assessment</w:t>
      </w:r>
    </w:p>
    <w:p w14:paraId="305F4166" w14:textId="1F059112" w:rsidR="00630FFE" w:rsidRDefault="00630FFE" w:rsidP="00730D3A">
      <w:pPr>
        <w:tabs>
          <w:tab w:val="left" w:pos="4253"/>
        </w:tabs>
      </w:pPr>
      <w:r w:rsidRPr="00630FFE">
        <w:t>We examined publication bias with the use of funnel plots (visual/graphic inspection for asymmetry), as well as with regression tests for funnel plot asymmetry. Where appropriate we used the trim and fill method to provide an updated effect size estimate.</w:t>
      </w:r>
    </w:p>
    <w:p w14:paraId="32A4E38D" w14:textId="2B530B7C" w:rsidR="00153F12" w:rsidRDefault="00153F12" w:rsidP="00BB6F19">
      <w:pPr>
        <w:pStyle w:val="Heading3"/>
      </w:pPr>
      <w:r>
        <w:t>Risk of bias assessment</w:t>
      </w:r>
    </w:p>
    <w:p w14:paraId="2BEC516A" w14:textId="43D6B694" w:rsidR="00153F12" w:rsidRDefault="00153F12" w:rsidP="00730D3A">
      <w:pPr>
        <w:tabs>
          <w:tab w:val="left" w:pos="4253"/>
        </w:tabs>
      </w:pPr>
      <w:r w:rsidRPr="00153F12">
        <w:t xml:space="preserve">For within-study bias, </w:t>
      </w:r>
      <w:r>
        <w:t xml:space="preserve">and to assess the methodological quality of </w:t>
      </w:r>
      <w:r w:rsidRPr="00153F12">
        <w:t xml:space="preserve">each individual RCT included in our </w:t>
      </w:r>
      <w:r>
        <w:t>m</w:t>
      </w:r>
      <w:r w:rsidRPr="00153F12">
        <w:t>eta-</w:t>
      </w:r>
      <w:r>
        <w:t>a</w:t>
      </w:r>
      <w:r w:rsidRPr="00153F12">
        <w:t xml:space="preserve">nalysis </w:t>
      </w:r>
      <w:r>
        <w:t xml:space="preserve">we used </w:t>
      </w:r>
      <w:r w:rsidRPr="00153F12">
        <w:t>the Cochrane Risk of Bias tool version 2 (RoB2)</w:t>
      </w:r>
      <w:r>
        <w:t xml:space="preserve"> </w:t>
      </w:r>
      <w:r>
        <w:fldChar w:fldCharType="begin" w:fldLock="1"/>
      </w:r>
      <w:r w:rsidR="00FC65F0">
        <w:instrText>ADDIN CSL_CITATION {"citationItems":[{"id":"ITEM-1","itemData":{"URL":"https://methods.cochrane.org/bias/resources/rob-2-revised-cochrane-risk-bias-tool-randomized-trials","accessed":{"date-parts":[["2023","6","25"]]},"author":[{"dropping-particle":"","family":"Cochrane","given":"","non-dropping-particle":"","parse-names":false,"suffix":""}],"id":"ITEM-1","issued":{"date-parts":[["2023"]]},"title":"RoB 2: A revised Cochrane risk-of-bias tool for randomized trials | Cochrane Bias","type":"webpage"},"uris":["http://www.mendeley.com/documents/?uuid=9f20f3fe-e844-395e-8ace-f8811754e33e"]}],"mendeley":{"formattedCitation":"(Cochrane, 2023)","plainTextFormattedCitation":"(Cochrane, 2023)","previouslyFormattedCitation":"(Cochrane, 2023)"},"properties":{"noteIndex":0},"schema":"https://github.com/citation-style-language/schema/raw/master/csl-citation.json"}</w:instrText>
      </w:r>
      <w:r>
        <w:fldChar w:fldCharType="separate"/>
      </w:r>
      <w:r w:rsidRPr="00153F12">
        <w:rPr>
          <w:noProof/>
        </w:rPr>
        <w:t>(Cochrane, 2023)</w:t>
      </w:r>
      <w:r>
        <w:fldChar w:fldCharType="end"/>
      </w:r>
      <w:r w:rsidRPr="00153F12">
        <w:t>.</w:t>
      </w:r>
    </w:p>
    <w:p w14:paraId="3A3BA8B3" w14:textId="7D5FD16F" w:rsidR="00F11C0A" w:rsidRDefault="00F11C0A" w:rsidP="00F11C0A">
      <w:pPr>
        <w:pStyle w:val="Heading1"/>
      </w:pPr>
      <w:r>
        <w:t>R</w:t>
      </w:r>
      <w:r w:rsidR="00AB27BD">
        <w:t>ESULTS</w:t>
      </w:r>
    </w:p>
    <w:p w14:paraId="60C67AC3" w14:textId="611CB1EC" w:rsidR="001C739D" w:rsidRDefault="001C739D" w:rsidP="001C739D">
      <w:r>
        <w:t xml:space="preserve">The search yielded 4261 references from electronic databases and 71 hits from clinical trial registries. A final set of </w:t>
      </w:r>
      <w:r w:rsidR="00C1358D">
        <w:t>16</w:t>
      </w:r>
      <w:r>
        <w:t xml:space="preserve"> eligible RCTs were selected for inclusion in the </w:t>
      </w:r>
      <w:r w:rsidR="00C1358D">
        <w:t xml:space="preserve">meta-analyses. </w:t>
      </w:r>
      <w:r w:rsidR="0031469C">
        <w:t xml:space="preserve">Full details about the search results are presented in the PRISMA flowchart (Figure 1). </w:t>
      </w:r>
      <w:r w:rsidR="00C6320E">
        <w:t>Randomized participants</w:t>
      </w:r>
      <w:r w:rsidR="0031469C">
        <w:t xml:space="preserve"> across the included RCTs</w:t>
      </w:r>
      <w:r w:rsidR="0031469C" w:rsidRPr="0031469C">
        <w:t xml:space="preserve"> </w:t>
      </w:r>
      <w:r w:rsidR="00C6320E">
        <w:t>were ~47</w:t>
      </w:r>
      <w:r>
        <w:t>% males (</w:t>
      </w:r>
      <w:r w:rsidR="00C1358D">
        <w:t>394</w:t>
      </w:r>
      <w:r>
        <w:t>/</w:t>
      </w:r>
      <w:r w:rsidR="00C1358D">
        <w:t>833</w:t>
      </w:r>
      <w:r>
        <w:t xml:space="preserve">), and their ages ranged from </w:t>
      </w:r>
      <w:r w:rsidR="00C1358D">
        <w:t>36.2</w:t>
      </w:r>
      <w:r>
        <w:t xml:space="preserve"> to 51</w:t>
      </w:r>
      <w:r w:rsidR="002B1FF9">
        <w:t>.</w:t>
      </w:r>
      <w:r>
        <w:t>5 years (Mean=43</w:t>
      </w:r>
      <w:r w:rsidR="002B1FF9">
        <w:t>.</w:t>
      </w:r>
      <w:r w:rsidR="00C1358D">
        <w:t>30</w:t>
      </w:r>
      <w:r>
        <w:t xml:space="preserve">; </w:t>
      </w:r>
      <w:r w:rsidR="0031469C">
        <w:t xml:space="preserve">standard deviation </w:t>
      </w:r>
      <w:r>
        <w:t>SD=</w:t>
      </w:r>
      <w:r w:rsidR="00C1358D">
        <w:t>3.38</w:t>
      </w:r>
      <w:r>
        <w:t xml:space="preserve">). </w:t>
      </w:r>
      <w:r>
        <w:lastRenderedPageBreak/>
        <w:t xml:space="preserve">Each of the 16 RCTs included in the </w:t>
      </w:r>
      <w:r w:rsidR="00C1358D">
        <w:t>meta-analysis</w:t>
      </w:r>
      <w:r>
        <w:t xml:space="preserve"> (total participants: </w:t>
      </w:r>
      <w:r w:rsidR="00C6320E">
        <w:t>833</w:t>
      </w:r>
      <w:r>
        <w:t>) contributed to one pairwise comparison</w:t>
      </w:r>
      <w:r w:rsidR="00C6320E">
        <w:t xml:space="preserve"> (active treatment vs. placebo)</w:t>
      </w:r>
      <w:r>
        <w:t xml:space="preserve">, totalling 16 pairwise comparisons across studies (16 for gambling severity, </w:t>
      </w:r>
      <w:r w:rsidR="00C6320E">
        <w:t>five</w:t>
      </w:r>
      <w:r>
        <w:t xml:space="preserve"> for quality of life). </w:t>
      </w:r>
    </w:p>
    <w:p w14:paraId="6CF93150" w14:textId="4BA5A6A5" w:rsidR="00EF5250" w:rsidRDefault="001C739D" w:rsidP="00154532">
      <w:pPr>
        <w:jc w:val="center"/>
      </w:pPr>
      <w:r w:rsidDel="001C739D">
        <w:t xml:space="preserve"> </w:t>
      </w:r>
      <w:r w:rsidR="00617E4B">
        <w:t>[INSERT FIGURE 1 ABOUT HERE]</w:t>
      </w:r>
    </w:p>
    <w:p w14:paraId="4ABF8BE8" w14:textId="1CBA1EFD" w:rsidR="00251F64" w:rsidRDefault="008172E0" w:rsidP="008172E0">
      <w:pPr>
        <w:pStyle w:val="Heading3"/>
      </w:pPr>
      <w:r>
        <w:t xml:space="preserve">Placebo </w:t>
      </w:r>
      <w:r w:rsidR="00947874">
        <w:t>response</w:t>
      </w:r>
    </w:p>
    <w:p w14:paraId="23742B2F" w14:textId="77248524" w:rsidR="008172E0" w:rsidRDefault="00251F64" w:rsidP="008701C5">
      <w:r w:rsidRPr="00BA306F">
        <w:t xml:space="preserve">Placebo </w:t>
      </w:r>
      <w:r w:rsidR="00947874">
        <w:t>response</w:t>
      </w:r>
      <w:r w:rsidR="00BB6F19" w:rsidRPr="00BA306F">
        <w:t xml:space="preserve"> </w:t>
      </w:r>
      <w:r w:rsidRPr="00BA306F">
        <w:t xml:space="preserve">(baseline to end-of-treatment) for the severity of gambling (all scales) was </w:t>
      </w:r>
      <w:r w:rsidR="00300B4E" w:rsidRPr="00BA306F">
        <w:t>SMCC</w:t>
      </w:r>
      <w:r w:rsidRPr="00BA306F">
        <w:t xml:space="preserve"> = 1.</w:t>
      </w:r>
      <w:r w:rsidR="00BA306F" w:rsidRPr="00BA306F">
        <w:t>18 (95%CI 0.91</w:t>
      </w:r>
      <w:r w:rsidRPr="00BA306F">
        <w:t>-1.</w:t>
      </w:r>
      <w:r w:rsidR="00BA306F" w:rsidRPr="00BA306F">
        <w:t>4</w:t>
      </w:r>
      <w:r w:rsidRPr="00BA306F">
        <w:t>6), whereas for the specific gambling severity scales the effect sizes were 1.</w:t>
      </w:r>
      <w:r w:rsidR="00BA306F" w:rsidRPr="00BA306F">
        <w:t>24</w:t>
      </w:r>
      <w:r w:rsidRPr="00BA306F">
        <w:t xml:space="preserve"> (95%CI </w:t>
      </w:r>
      <w:r w:rsidR="00BA306F" w:rsidRPr="00BA306F">
        <w:t>0.91</w:t>
      </w:r>
      <w:r w:rsidRPr="00BA306F">
        <w:t>-1.</w:t>
      </w:r>
      <w:r w:rsidR="00BA306F" w:rsidRPr="00BA306F">
        <w:t>5</w:t>
      </w:r>
      <w:r w:rsidRPr="00BA306F">
        <w:t>7) for PG-YBOCS, 1.</w:t>
      </w:r>
      <w:r w:rsidR="00BA306F" w:rsidRPr="00BA306F">
        <w:t>05</w:t>
      </w:r>
      <w:r w:rsidRPr="00BA306F">
        <w:t xml:space="preserve"> (95%CI 0.</w:t>
      </w:r>
      <w:r w:rsidR="00BA306F" w:rsidRPr="00BA306F">
        <w:t>79</w:t>
      </w:r>
      <w:r w:rsidRPr="00BA306F">
        <w:t>-1.</w:t>
      </w:r>
      <w:r w:rsidR="00BA306F" w:rsidRPr="00BA306F">
        <w:t>31</w:t>
      </w:r>
      <w:r w:rsidRPr="00BA306F">
        <w:t>) for GSAS</w:t>
      </w:r>
      <w:r w:rsidR="00290C03" w:rsidRPr="00BA306F">
        <w:t xml:space="preserve"> and</w:t>
      </w:r>
      <w:r w:rsidRPr="00BA306F">
        <w:t xml:space="preserve"> 0.</w:t>
      </w:r>
      <w:r w:rsidR="00BA306F" w:rsidRPr="00BA306F">
        <w:t>79</w:t>
      </w:r>
      <w:r w:rsidRPr="00BA306F">
        <w:t xml:space="preserve"> (95%CI 0.4</w:t>
      </w:r>
      <w:r w:rsidR="00BA306F" w:rsidRPr="00BA306F">
        <w:t>6</w:t>
      </w:r>
      <w:r w:rsidRPr="00BA306F">
        <w:t>-1.</w:t>
      </w:r>
      <w:r w:rsidR="00BA306F" w:rsidRPr="00BA306F">
        <w:t>13</w:t>
      </w:r>
      <w:r w:rsidRPr="00BA306F">
        <w:t xml:space="preserve">) for CGI-I. Quality of life effect sizes were </w:t>
      </w:r>
      <w:r w:rsidR="00BA306F" w:rsidRPr="00BA306F">
        <w:t>SMCC</w:t>
      </w:r>
      <w:r w:rsidRPr="00BA306F">
        <w:t xml:space="preserve"> = 0.6</w:t>
      </w:r>
      <w:r w:rsidR="00BA306F" w:rsidRPr="00BA306F">
        <w:t>3</w:t>
      </w:r>
      <w:r w:rsidRPr="00BA306F">
        <w:t xml:space="preserve"> (95%CI 0.42-0.8</w:t>
      </w:r>
      <w:r w:rsidR="00BA306F" w:rsidRPr="00BA306F">
        <w:t>3</w:t>
      </w:r>
      <w:r w:rsidRPr="00BA306F">
        <w:t>)</w:t>
      </w:r>
      <w:r w:rsidR="00BA306F">
        <w:t xml:space="preserve"> (see Figure 1)</w:t>
      </w:r>
      <w:r w:rsidRPr="00BA306F">
        <w:t>.</w:t>
      </w:r>
      <w:r w:rsidR="00AB1639" w:rsidRPr="00BA306F">
        <w:t xml:space="preserve"> For</w:t>
      </w:r>
      <w:r w:rsidR="00C63B51">
        <w:t xml:space="preserve"> reference, under active</w:t>
      </w:r>
      <w:r w:rsidR="00AB1639" w:rsidRPr="00BA306F">
        <w:t xml:space="preserve"> treatment arms, overall gambling severity effect size </w:t>
      </w:r>
      <w:r w:rsidR="00300B4E" w:rsidRPr="00BA306F">
        <w:t xml:space="preserve">was </w:t>
      </w:r>
      <w:r w:rsidR="00BA306F" w:rsidRPr="00BA306F">
        <w:t xml:space="preserve">SMCC = </w:t>
      </w:r>
      <w:r w:rsidR="00300B4E" w:rsidRPr="00BA306F">
        <w:t>1.49 (95%CI 1.18-1.80</w:t>
      </w:r>
      <w:r w:rsidR="00AB1639" w:rsidRPr="00BA306F">
        <w:t>), whereas quality of life</w:t>
      </w:r>
      <w:r w:rsidR="00AB1639" w:rsidRPr="00AB1639">
        <w:t xml:space="preserve"> effect </w:t>
      </w:r>
      <w:r w:rsidR="00AB1639">
        <w:t>was</w:t>
      </w:r>
      <w:r w:rsidR="00AB1639" w:rsidRPr="00AB1639">
        <w:t xml:space="preserve"> g = 0.</w:t>
      </w:r>
      <w:r w:rsidR="00300B4E">
        <w:t>69 (95%CI 0.55-0.84</w:t>
      </w:r>
      <w:r w:rsidR="00AB1639" w:rsidRPr="00AB1639">
        <w:t>)</w:t>
      </w:r>
      <w:r w:rsidR="001E777B">
        <w:t>.</w:t>
      </w:r>
      <w:r>
        <w:t xml:space="preserve"> </w:t>
      </w:r>
      <w:r w:rsidR="00AB1639">
        <w:t>Full details</w:t>
      </w:r>
      <w:r w:rsidR="00290C03">
        <w:t xml:space="preserve"> are available in the online supplement (</w:t>
      </w:r>
      <w:r w:rsidR="00AB1639">
        <w:t xml:space="preserve">paragraph </w:t>
      </w:r>
      <w:r w:rsidR="00AB1639">
        <w:rPr>
          <w:rFonts w:cs="Times New Roman"/>
        </w:rPr>
        <w:t>§</w:t>
      </w:r>
      <w:r w:rsidR="00AB1639">
        <w:t>S1</w:t>
      </w:r>
      <w:r w:rsidR="00290C03" w:rsidRPr="0072623F">
        <w:t>).</w:t>
      </w:r>
      <w:r w:rsidR="00290C03">
        <w:t xml:space="preserve"> </w:t>
      </w:r>
      <w:r w:rsidR="008701C5" w:rsidRPr="008701C5">
        <w:t xml:space="preserve"> </w:t>
      </w:r>
    </w:p>
    <w:p w14:paraId="058AE2E3" w14:textId="20887799" w:rsidR="00251F64" w:rsidRDefault="00251F64" w:rsidP="00251F64">
      <w:pPr>
        <w:jc w:val="center"/>
      </w:pPr>
      <w:r>
        <w:t xml:space="preserve">[FIGURE </w:t>
      </w:r>
      <w:r w:rsidR="0031469C">
        <w:t>2</w:t>
      </w:r>
      <w:r>
        <w:t xml:space="preserve"> ABOUT HERE]</w:t>
      </w:r>
    </w:p>
    <w:p w14:paraId="19227F78" w14:textId="545CE24C" w:rsidR="008172E0" w:rsidRDefault="00865875" w:rsidP="00FF706D">
      <w:pPr>
        <w:pStyle w:val="Heading3"/>
      </w:pPr>
      <w:r>
        <w:t>Heterogeneity within placebo arms</w:t>
      </w:r>
    </w:p>
    <w:p w14:paraId="3BEDA8AF" w14:textId="6A7F3111" w:rsidR="00865875" w:rsidRDefault="002C5FA1" w:rsidP="0091033B">
      <w:r>
        <w:t>W</w:t>
      </w:r>
      <w:r w:rsidR="00865875">
        <w:t xml:space="preserve">e identified </w:t>
      </w:r>
      <w:r w:rsidR="00FF706D">
        <w:t xml:space="preserve">moderate to high variance from </w:t>
      </w:r>
      <w:r w:rsidR="00865875">
        <w:t>heterogeneity</w:t>
      </w:r>
      <w:r w:rsidR="00FF706D">
        <w:t xml:space="preserve"> measures</w:t>
      </w:r>
      <w:r w:rsidR="00865875">
        <w:t xml:space="preserve"> within the analysed studies of the placebo arms</w:t>
      </w:r>
      <w:r w:rsidR="00FF706D">
        <w:t>, which was particularly prominent in the studies</w:t>
      </w:r>
      <w:r>
        <w:t xml:space="preserve"> that</w:t>
      </w:r>
      <w:r w:rsidR="00FF706D">
        <w:t xml:space="preserve"> used the PG-YBOCS instrument (see Table 1).</w:t>
      </w:r>
      <w:r w:rsidR="00865875">
        <w:t xml:space="preserve"> </w:t>
      </w:r>
      <w:r w:rsidR="00290C03">
        <w:t xml:space="preserve">Heterogeneity in the treatment arms followed </w:t>
      </w:r>
      <w:r w:rsidR="008C1C46">
        <w:t xml:space="preserve">a </w:t>
      </w:r>
      <w:r w:rsidR="00290C03">
        <w:t>similar pattern (</w:t>
      </w:r>
      <w:r w:rsidR="00AB1639">
        <w:t xml:space="preserve">paragraph </w:t>
      </w:r>
      <w:r w:rsidR="00AB1639" w:rsidRPr="00AB1639">
        <w:t>§S2</w:t>
      </w:r>
      <w:r w:rsidR="00290C03">
        <w:t xml:space="preserve">). </w:t>
      </w:r>
    </w:p>
    <w:p w14:paraId="22D2C1F8" w14:textId="77777777" w:rsidR="00FF706D" w:rsidRDefault="00FF706D" w:rsidP="00FF706D">
      <w:pPr>
        <w:pStyle w:val="Heading3"/>
      </w:pPr>
      <w:r>
        <w:t>Publication bias assessment</w:t>
      </w:r>
    </w:p>
    <w:p w14:paraId="055CB108" w14:textId="38DF95D4" w:rsidR="00FF706D" w:rsidRPr="00FF706D" w:rsidRDefault="00EA4AF2" w:rsidP="00FF706D">
      <w:r>
        <w:t xml:space="preserve">Publication bias was identified graphically and statistically in the case of quality of life, in which the trim and fill method suggested a more conservative </w:t>
      </w:r>
      <w:r w:rsidR="00290C03">
        <w:t xml:space="preserve">placebo </w:t>
      </w:r>
      <w:r>
        <w:t>effect estimate</w:t>
      </w:r>
      <w:r w:rsidR="005649D9">
        <w:t xml:space="preserve"> (0.50 vs. 0.65)</w:t>
      </w:r>
      <w:r w:rsidR="00426A22">
        <w:t>, which was not present in the treatment arms</w:t>
      </w:r>
      <w:r w:rsidR="005649D9">
        <w:t>.</w:t>
      </w:r>
      <w:r>
        <w:t xml:space="preserve"> </w:t>
      </w:r>
      <w:r w:rsidR="00AB1639">
        <w:t>Publication bias assessment for treatment arms i</w:t>
      </w:r>
      <w:r w:rsidR="00D43485">
        <w:t>s</w:t>
      </w:r>
      <w:r w:rsidR="00AB1639">
        <w:t xml:space="preserve"> presented in the supplement (paragraph §S3).</w:t>
      </w:r>
    </w:p>
    <w:p w14:paraId="0D89E670" w14:textId="6D61ABE5" w:rsidR="00FF706D" w:rsidRDefault="00FF706D" w:rsidP="00FF706D">
      <w:pPr>
        <w:jc w:val="center"/>
      </w:pPr>
      <w:r>
        <w:t xml:space="preserve">[INSERT FIGURE </w:t>
      </w:r>
      <w:r w:rsidR="0031469C">
        <w:t>3</w:t>
      </w:r>
      <w:r>
        <w:t xml:space="preserve"> ABOUT HERE]</w:t>
      </w:r>
    </w:p>
    <w:p w14:paraId="59EB9B34" w14:textId="60968BFE" w:rsidR="00FF706D" w:rsidRDefault="00FF706D" w:rsidP="0091033B"/>
    <w:p w14:paraId="2666FF95" w14:textId="2F5C5958" w:rsidR="005649D9" w:rsidRDefault="005649D9">
      <w:pPr>
        <w:spacing w:line="259" w:lineRule="auto"/>
        <w:jc w:val="left"/>
        <w:rPr>
          <w:rFonts w:eastAsiaTheme="majorEastAsia" w:cstheme="majorBidi"/>
          <w:b/>
          <w:i/>
          <w:sz w:val="24"/>
          <w:szCs w:val="24"/>
        </w:rPr>
      </w:pPr>
    </w:p>
    <w:p w14:paraId="22B1FB6D" w14:textId="77777777" w:rsidR="00630FFE" w:rsidRPr="00630FFE" w:rsidRDefault="00630FFE" w:rsidP="00630FFE">
      <w:pPr>
        <w:pStyle w:val="Heading3"/>
      </w:pPr>
      <w:r w:rsidRPr="00630FFE">
        <w:lastRenderedPageBreak/>
        <w:t xml:space="preserve">Meta-regression analysis </w:t>
      </w:r>
    </w:p>
    <w:p w14:paraId="4BB11F9C" w14:textId="7472A299" w:rsidR="00630FFE" w:rsidRDefault="00630FFE" w:rsidP="00630FFE">
      <w:r w:rsidRPr="00630FFE">
        <w:t xml:space="preserve">Meta-regression results are presented in detail in Table 2. For gambling severity, recency of publication, supplement medication class and the absence of company sponsorship were associated with higher placebo effect sizes. For gambling severity using PG-YBOCS only, recency of publication, supplement medication class, as well as higher severity of baseline symptoms were associated with higher placebo effect sizes. For gambling severity using GSAS only, supplement and opiate receptor antagonist medication classes and the absence of company sponsorship were associated with higher placebo effect sizes. For CGI, antipsychotics and supplement medication classes were associated with lower placebo response. In the moderation analysis of quality of life, shorter trial duration was associated with larger placebo response, whereas longer duration was associated with lower response. Lower baseline of symptoms was associated with lower placebo </w:t>
      </w:r>
      <w:r w:rsidR="00947874">
        <w:t>response</w:t>
      </w:r>
      <w:r w:rsidRPr="00630FFE">
        <w:t xml:space="preserve">. No other parameters were statistically associated with moderating effect sizes in relation to placebo </w:t>
      </w:r>
      <w:r w:rsidR="00947874">
        <w:t>response</w:t>
      </w:r>
      <w:r w:rsidR="00947874" w:rsidRPr="00630FFE">
        <w:t xml:space="preserve"> </w:t>
      </w:r>
      <w:r w:rsidRPr="00630FFE">
        <w:t xml:space="preserve">on symptom severity or quality of life. Full results for the treatment arms are presented in the supplementary materials (paragraph §S4). </w:t>
      </w:r>
    </w:p>
    <w:p w14:paraId="75253531" w14:textId="651689CC" w:rsidR="00617E4B" w:rsidRDefault="00E367E4" w:rsidP="00630FFE">
      <w:pPr>
        <w:jc w:val="center"/>
      </w:pPr>
      <w:r w:rsidDel="00E367E4">
        <w:t xml:space="preserve"> </w:t>
      </w:r>
      <w:r w:rsidR="00617E4B">
        <w:t xml:space="preserve">[INSERT TABLE </w:t>
      </w:r>
      <w:r w:rsidR="00865875">
        <w:t>2</w:t>
      </w:r>
      <w:r w:rsidR="00617E4B">
        <w:t xml:space="preserve"> ABOUT HERE]</w:t>
      </w:r>
    </w:p>
    <w:p w14:paraId="5D0EA6FF" w14:textId="77777777" w:rsidR="00865875" w:rsidRDefault="00865875">
      <w:pPr>
        <w:spacing w:line="259" w:lineRule="auto"/>
        <w:jc w:val="left"/>
        <w:rPr>
          <w:rFonts w:eastAsiaTheme="majorEastAsia" w:cstheme="majorBidi"/>
          <w:b/>
          <w:i/>
          <w:sz w:val="24"/>
          <w:szCs w:val="24"/>
        </w:rPr>
      </w:pPr>
      <w:r>
        <w:br w:type="page"/>
      </w:r>
    </w:p>
    <w:p w14:paraId="7651AB7B" w14:textId="1E5B3239" w:rsidR="00047068" w:rsidRDefault="00047068" w:rsidP="00047068">
      <w:pPr>
        <w:pStyle w:val="Heading3"/>
      </w:pPr>
      <w:r>
        <w:lastRenderedPageBreak/>
        <w:t>Correlation between the placebo effects and the treatment effects</w:t>
      </w:r>
    </w:p>
    <w:p w14:paraId="42EED6CD" w14:textId="12AD807D" w:rsidR="00047068" w:rsidRDefault="00047068" w:rsidP="00D32B00">
      <w:r>
        <w:t xml:space="preserve">We calculated the correlation between the placebo effect sizes and the respective effect sizes for the treatment arms in each meta-analysis. </w:t>
      </w:r>
      <w:r w:rsidR="00630FFE">
        <w:t>F</w:t>
      </w:r>
      <w:r>
        <w:t>or gambling severity the placebo and treatment effect size</w:t>
      </w:r>
      <w:r w:rsidR="00EB01D1">
        <w:t>s</w:t>
      </w:r>
      <w:r>
        <w:t xml:space="preserve"> were high</w:t>
      </w:r>
      <w:r w:rsidR="001A3CA2">
        <w:t>l</w:t>
      </w:r>
      <w:r>
        <w:t xml:space="preserve">y correlated in all analyses (see Table 3); however, this was not true for quality of life meta-analyses, in which the placebo and treatment effect sizes were weakly correlated. </w:t>
      </w:r>
    </w:p>
    <w:p w14:paraId="1FB48597" w14:textId="28443942" w:rsidR="00047068" w:rsidRDefault="00047068" w:rsidP="00047068">
      <w:pPr>
        <w:jc w:val="center"/>
      </w:pPr>
      <w:r>
        <w:t>[INSERT TABLE 3 ABOUT HERE]</w:t>
      </w:r>
    </w:p>
    <w:p w14:paraId="2AD39CE7" w14:textId="4DA43465" w:rsidR="002461FE" w:rsidRDefault="002461FE" w:rsidP="005649D9">
      <w:pPr>
        <w:pStyle w:val="Heading3"/>
      </w:pPr>
      <w:r>
        <w:t>Sensitivity Analyses</w:t>
      </w:r>
    </w:p>
    <w:p w14:paraId="2F7AE135" w14:textId="15318D94" w:rsidR="002461FE" w:rsidRPr="002461FE" w:rsidRDefault="002461FE" w:rsidP="002461FE">
      <w:r>
        <w:t xml:space="preserve">Full results </w:t>
      </w:r>
      <w:r w:rsidR="00630FFE" w:rsidRPr="00630FFE">
        <w:t xml:space="preserve">at r=0.25 and r=0.75 </w:t>
      </w:r>
      <w:r>
        <w:t>are presented in the supplementary materials (paragraph §S</w:t>
      </w:r>
      <w:r w:rsidR="009511DB">
        <w:t>6</w:t>
      </w:r>
      <w:r>
        <w:t xml:space="preserve"> &amp; §S</w:t>
      </w:r>
      <w:r w:rsidR="009511DB">
        <w:t>7</w:t>
      </w:r>
      <w:r>
        <w:t>). Sensitivity analyses did not substantially alter the results</w:t>
      </w:r>
      <w:r w:rsidR="00D61529">
        <w:t xml:space="preserve"> (see also Table 2 in which m</w:t>
      </w:r>
      <w:r w:rsidR="00630FFE">
        <w:t>eta-regression</w:t>
      </w:r>
      <w:r w:rsidR="00D61529">
        <w:t xml:space="preserve"> analysis results maintained in sensitivity analyses are shown in tabularized format)</w:t>
      </w:r>
      <w:r>
        <w:t xml:space="preserve">. </w:t>
      </w:r>
      <w:r w:rsidR="00D61529">
        <w:t>T</w:t>
      </w:r>
      <w:r>
        <w:t xml:space="preserve">he effect sizes were notably lower </w:t>
      </w:r>
      <w:r w:rsidR="00D61529">
        <w:t>‘</w:t>
      </w:r>
      <w:r>
        <w:t>overall</w:t>
      </w:r>
      <w:r w:rsidR="00D61529">
        <w:t>’</w:t>
      </w:r>
      <w:r>
        <w:t xml:space="preserve"> at lower imputed correlations and higher overall at higher imputed correlation (i.e. SMCC for gambling severity was 1.00, 1.18 and 1.55 at r=0.25, 0.50 and 0.75 respectively and SMCC for QOL was 0.51, 0.63 and 0.87 at r=0.25, 0.50 and 0.75 respectively)</w:t>
      </w:r>
      <w:r w:rsidR="00D61529">
        <w:t>, however remained large in size for gambling severity and moderate-large for quality of life</w:t>
      </w:r>
      <w:r>
        <w:t xml:space="preserve">. </w:t>
      </w:r>
      <w:r w:rsidR="00BA306F">
        <w:t xml:space="preserve">Heterogeneity results were effectively similar in sensitivity analyses. </w:t>
      </w:r>
      <w:r>
        <w:t>Publication biases became more prominent at higher imputed correlation</w:t>
      </w:r>
      <w:r w:rsidR="009511DB">
        <w:t xml:space="preserve">s and the trim and fill method </w:t>
      </w:r>
      <w:r w:rsidR="00BA306F">
        <w:t xml:space="preserve">was required to </w:t>
      </w:r>
      <w:r w:rsidR="009511DB">
        <w:t>produce more conservative (lower) effect estimates at r=0.75 for most of the effect size estimates (see supplementary material §S7)</w:t>
      </w:r>
      <w:r w:rsidR="00BA306F">
        <w:t>. The direction of correction from trim and fill was always towards the effects reported in the main paper (with r=0.50)</w:t>
      </w:r>
      <w:r w:rsidR="009511DB">
        <w:t xml:space="preserve">. </w:t>
      </w:r>
    </w:p>
    <w:p w14:paraId="013FCD74" w14:textId="29DC28CF" w:rsidR="00EF5250" w:rsidRDefault="005649D9" w:rsidP="005649D9">
      <w:pPr>
        <w:pStyle w:val="Heading3"/>
      </w:pPr>
      <w:r>
        <w:t>Nocebo effects</w:t>
      </w:r>
    </w:p>
    <w:p w14:paraId="3654719D" w14:textId="236627D5" w:rsidR="005649D9" w:rsidRDefault="005649D9" w:rsidP="005649D9">
      <w:r>
        <w:t xml:space="preserve">Due to paucity of </w:t>
      </w:r>
      <w:r w:rsidR="007C6798">
        <w:t>data</w:t>
      </w:r>
      <w:r>
        <w:t xml:space="preserve">, those were calculated for each </w:t>
      </w:r>
      <w:r w:rsidR="00427163">
        <w:t>pharmacological class</w:t>
      </w:r>
      <w:r>
        <w:t xml:space="preserve"> separately. Results indicated 2.4% drop outs from placebo arms in the antidepressant trials (fluvoxamine, paroxetine), 6.1%</w:t>
      </w:r>
      <w:r w:rsidR="00427163">
        <w:t xml:space="preserve"> placebo drop outs</w:t>
      </w:r>
      <w:r w:rsidR="007C6798">
        <w:t xml:space="preserve"> for antipsychotics (o</w:t>
      </w:r>
      <w:r>
        <w:t>lanzapine</w:t>
      </w:r>
      <w:r w:rsidR="00047068">
        <w:t>), 1.9%</w:t>
      </w:r>
      <w:r w:rsidR="00427163">
        <w:t xml:space="preserve"> placebo drop outs</w:t>
      </w:r>
      <w:r w:rsidR="00047068">
        <w:t xml:space="preserve"> for opiate receptor ant</w:t>
      </w:r>
      <w:r>
        <w:t xml:space="preserve">agonists (naltrexone, nalmefene, naloxone), 1.6% </w:t>
      </w:r>
      <w:r w:rsidR="00427163">
        <w:t xml:space="preserve">placebo drop outs </w:t>
      </w:r>
      <w:r>
        <w:t>for mood stabilizers (topiramate, lithium) and 0%</w:t>
      </w:r>
      <w:r w:rsidR="00427163">
        <w:t xml:space="preserve"> placebo drop outs</w:t>
      </w:r>
      <w:r>
        <w:t xml:space="preserve"> for supplements (NAC, silymarin). </w:t>
      </w:r>
      <w:r w:rsidR="00F904A1">
        <w:t>Detailed results are presented in the supplement (paragraph §S</w:t>
      </w:r>
      <w:r w:rsidR="009511DB">
        <w:t>8</w:t>
      </w:r>
      <w:r w:rsidR="00F904A1">
        <w:t>)</w:t>
      </w:r>
    </w:p>
    <w:p w14:paraId="7EA4EE2F" w14:textId="2220DD16" w:rsidR="00153F12" w:rsidRDefault="00153F12" w:rsidP="00153F12">
      <w:pPr>
        <w:pStyle w:val="Heading3"/>
      </w:pPr>
      <w:r>
        <w:lastRenderedPageBreak/>
        <w:t>Quality assessment</w:t>
      </w:r>
    </w:p>
    <w:p w14:paraId="30242E5D" w14:textId="0E7AD697" w:rsidR="00153F12" w:rsidRPr="00153F12" w:rsidRDefault="00153F12" w:rsidP="00153F12">
      <w:r>
        <w:t xml:space="preserve">We completed RoB2 for all papers under scope. All domains had “low concern” as the most common outcome, apart from Domain 5 (bias in selection of the reported result) in which </w:t>
      </w:r>
      <w:r w:rsidRPr="00153F12">
        <w:t xml:space="preserve">“some concern” </w:t>
      </w:r>
      <w:r>
        <w:t xml:space="preserve">was the predominant </w:t>
      </w:r>
      <w:r w:rsidRPr="00153F12">
        <w:t>outcome</w:t>
      </w:r>
      <w:r>
        <w:t>. Consequently, the majority of papers scored as “some concern” in the overall risk of bias. Full RoB2 scores are reported in the supplement (paragraph §S9).</w:t>
      </w:r>
    </w:p>
    <w:p w14:paraId="6D1EFFB0" w14:textId="6FDA088D" w:rsidR="00F11C0A" w:rsidRDefault="00F11C0A" w:rsidP="00F127E0">
      <w:pPr>
        <w:pStyle w:val="Heading1"/>
      </w:pPr>
      <w:r w:rsidRPr="00F127E0">
        <w:t>D</w:t>
      </w:r>
      <w:r w:rsidR="00AB27BD" w:rsidRPr="00F127E0">
        <w:t>ISCUSSION</w:t>
      </w:r>
    </w:p>
    <w:p w14:paraId="7EBA7ADC" w14:textId="45BDFDF0" w:rsidR="00290C03" w:rsidRDefault="00290C03" w:rsidP="00290C03">
      <w:r>
        <w:t xml:space="preserve">This is the first systematic review and meta-analysis of placebo effects in RCTs for the pharmacological management of gambling disorder. Our </w:t>
      </w:r>
      <w:r w:rsidR="007E158B">
        <w:t xml:space="preserve">findings </w:t>
      </w:r>
      <w:r>
        <w:t xml:space="preserve">indicate that placebo effects are prominent and of large magnitude for clinical efficacy outcomes of gambling severity (across scales), and of moderate-large magnitude for quality of life clinical efficacy measures. We first consider the implications of these high placebo effects, and then </w:t>
      </w:r>
      <w:r w:rsidR="007C6798">
        <w:t>discuss</w:t>
      </w:r>
      <w:r>
        <w:t xml:space="preserve"> moderating factors, and nocebo effects. </w:t>
      </w:r>
    </w:p>
    <w:p w14:paraId="3A88053F" w14:textId="07AE01B3" w:rsidR="00B919AD" w:rsidRDefault="00260688" w:rsidP="00441DF8">
      <w:r w:rsidRPr="00B919AD">
        <w:t xml:space="preserve">Placebo response rates can be influenced by the condition being studied. For example, placebo response rates </w:t>
      </w:r>
      <w:r w:rsidR="00CA72CE" w:rsidRPr="0032144B">
        <w:t xml:space="preserve">in clinical trials </w:t>
      </w:r>
      <w:r w:rsidRPr="0032144B">
        <w:t>are generally relatively high for depression, panic disorder, or generalized anxiety disorder but are typically low for</w:t>
      </w:r>
      <w:r w:rsidR="00D737B2" w:rsidRPr="00A22864">
        <w:t xml:space="preserve"> </w:t>
      </w:r>
      <w:r w:rsidR="00B919AD">
        <w:t>certain other mental health</w:t>
      </w:r>
      <w:r w:rsidR="00B919AD" w:rsidRPr="00B919AD">
        <w:t xml:space="preserve"> </w:t>
      </w:r>
      <w:r w:rsidRPr="00B919AD">
        <w:t>conditions such as OCD</w:t>
      </w:r>
      <w:r w:rsidR="00F31B04" w:rsidRPr="00B919AD">
        <w:t xml:space="preserve"> or schizophrenia</w:t>
      </w:r>
      <w:r w:rsidR="00D737B2" w:rsidRPr="00B919AD">
        <w:t xml:space="preserve"> (e.g.</w:t>
      </w:r>
      <w:r w:rsidR="007C6798">
        <w:t>,</w:t>
      </w:r>
      <w:r w:rsidR="00D737B2" w:rsidRPr="00B919AD">
        <w:t xml:space="preserve"> see</w:t>
      </w:r>
      <w:r w:rsidR="00093815" w:rsidRPr="00B919AD">
        <w:t xml:space="preserve"> </w:t>
      </w:r>
      <w:r w:rsidR="00093815" w:rsidRPr="00441DF8">
        <w:fldChar w:fldCharType="begin" w:fldLock="1"/>
      </w:r>
      <w:r w:rsidR="00BB6F19">
        <w:instrText>ADDIN CSL_CITATION {"citationItems":[{"id":"ITEM-1","itemData":{"DOI":"10.1038/s41598-021-99534-z","ISBN":"0123456789","ISSN":"2045-2322","PMID":"34716400","abstract":"The placebo effect across psychiatric disorders is still not well understood. In the present study, we conducted meta-analyses including meta-regression, and machine learning analyses to investigate whether the power of placebo effect depends on the types of psychiatric disorders. We included 108 clinical trials (32,035 participants) investigating pharmacological intervention effects on major depressive disorder (MDD), bipolar disorder (BD) and schizophrenia (SCZ). We developed measures based on clinical rating scales and Clinical Global Impression scores to compare placebo effects across these disorders. We performed meta-analysis including meta-regression using sample-size weighted bootstrapping techniques, and machine learning analysis to identify the disorder type included in a trial based on the placebo response. Consistently through multiple measures and analyses, we found differential placebo effects across the three disorders, and found lower placebo effect in SCZ compared to mood disorders. The differential placebo effects could also distinguish the condition involved in each trial between SCZ and mood disorders with machine learning. Our study indicates differential placebo effect across MDD, BD, and SCZ, which is important for future neurobiological studies of placebo effects across psychiatric disorders and may lead to potential therapeutic applications of placebo on disorders more responsive to placebo compared to other conditions.","author":[{"dropping-particle":"","family":"Cao","given":"Bo","non-dropping-particle":"","parse-names":false,"suffix":""},{"dropping-particle":"","family":"Liu","given":"Yang S.","non-dropping-particle":"","parse-names":false,"suffix":""},{"dropping-particle":"","family":"Selvitella","given":"Alessandro","non-dropping-particle":"","parse-names":false,"suffix":""},{"dropping-particle":"","family":"Librenza-Garcia","given":"Diego","non-dropping-particle":"","parse-names":false,"suffix":""},{"dropping-particle":"","family":"Passos","given":"Ives Cavalcante","non-dropping-particle":"","parse-names":false,"suffix":""},{"dropping-particle":"","family":"Sawalha","given":"Jeffrey","non-dropping-particle":"","parse-names":false,"suffix":""},{"dropping-particle":"","family":"Ballester","given":"Pedro","non-dropping-particle":"","parse-names":false,"suffix":""},{"dropping-particle":"","family":"Chen","given":"Jianshan","non-dropping-particle":"","parse-names":false,"suffix":""},{"dropping-particle":"","family":"Dong","given":"Shimiao","non-dropping-particle":"","parse-names":false,"suffix":""},{"dropping-particle":"","family":"Wang","given":"Fei","non-dropping-particle":"","parse-names":false,"suffix":""},{"dropping-particle":"","family":"Kapczinski","given":"Flavio","non-dropping-particle":"","parse-names":false,"suffix":""},{"dropping-particle":"","family":"Dursun","given":"Serdar M.","non-dropping-particle":"","parse-names":false,"suffix":""},{"dropping-particle":"","family":"Li","given":"Xin Min","non-dropping-particle":"","parse-names":false,"suffix":""},{"dropping-particle":"","family":"Greiner","given":"Russell","non-dropping-particle":"","parse-names":false,"suffix":""},{"dropping-particle":"","family":"Greenshaw","given":"Andrew","non-dropping-particle":"","parse-names":false,"suffix":""}],"container-title":"Scientific Reports 2021 11:1","id":"ITEM-1","issue":"1","issued":{"date-parts":[["2021","10","29"]]},"page":"1-9","publisher":"Nature Publishing Group","title":"Differential power of placebo across major psychiatric disorders: a preliminary meta-analysis and machine learning study","type":"article-journal","volume":"11"},"uris":["http://www.mendeley.com/documents/?uuid=57a1d04c-b162-33d0-b4f9-8d9e1f96f5b2"]},{"id":"ITEM-2","itemData":{"DOI":"10.1001/JAMANETWORKOPEN.2021.25531","ISSN":"2574-3805","PMID":"34559231","abstract":"Importance: The placebo effect in depression clinical trials is a substantial factor associated with failure to establish efficacy of novel and repurposed treatments. However, the magnitude of the placebo effect and whether it differs across treatment modalities in treatment-resistant depression (TRD) is unclear. Objective: To examine the magnitude of the placebo effect in patients with TRD across different treatment modalities and its possible moderators. Data Sources: Searches were conducted on MEDLINE, Web of Science, and PsychInfo from inception to June 21, 2021. Study Selection: Randomized clinical trials (RCTs) were included if they recruited patients with TRD and randomized them to a placebo or sham arm and a pharmacotherapy, brain stimulation, or psychotherapy arm. Data Extraction and Synthesis: Independent reviewers used standard forms for data extraction and quality assessment. Random-effects analyses and standard pairwise meta-analyses were performed. Main Outcomes and Measures: The primary outcome was the Hedges g value for the reported depression scales. Secondary outcomes included moderators assessed via meta-regression and response and remission rates. Heterogeneity was assessed with the I2test, and publication bias was evaluated using the Egger test and a funnel plot. Cochrane Risk of Bias Tool was used to estimate risks. Results: Fifty RCTs were included involving various types of placebo or sham interventions with a total of 3228 participants (mean [SD] age, 45.8 [6.0] years; 1769 [54.8%] female). The pooled placebo effect size for all modalities was large (g = 1.05; 95% CI, 0.91-1.1); the placebo effect size in RCTs of specific treatment modalities did not significantly differ. Similarly, response and remission rates associated with placebo were comparable across modalities. Heterogeneity was large. Three variables were associated with a larger placebo effect size: open-label prospective treatment before double-blind placebo randomization (β = 0.35; 95% CI, 0.11 to 0.59; P =.004), later year of publication (β = 0.03; 95% CI, 0.003 to 0.05; P =.03), and industry-sponsored trials (β = 0.34; 95% CI, 0.09 to 0.58; P =.007). The number of failed interventions was associated with the probability a smaller placebo effect size (β = -0.12; 95% CI, -0.23 to -0.01, P =.03). The Egger test result was not significant for small studies' effects. Conclusions and Relevance: This analysis may provide a benchmark for past and future clinical RCTs that …","author":[{"dropping-particle":"","family":"Jones","given":"Brett D.M.","non-dropping-particle":"","parse-names":false,"suffix":""},{"dropping-particle":"","family":"Razza","given":"Lais B.","non-dropping-particle":"","parse-names":false,"suffix":""},{"dropping-particle":"","family":"Weissman","given":"Cory R.","non-dropping-particle":"","parse-names":false,"suffix":""},{"dropping-particle":"","family":"Karbi","given":"Jewel","non-dropping-particle":"","parse-names":false,"suffix":""},{"dropping-particle":"","family":"Vine","given":"Tya","non-dropping-particle":"","parse-names":false,"suffix":""},{"dropping-particle":"","family":"Mulsant","given":"Louise S.","non-dropping-particle":"","parse-names":false,"suffix":""},{"dropping-particle":"","family":"Brunoni","given":"Andre R.","non-dropping-particle":"","parse-names":false,"suffix":""},{"dropping-particle":"","family":"Husain","given":"M. Ishrat","non-dropping-particle":"","parse-names":false,"suffix":""},{"dropping-particle":"","family":"Mulsant","given":"Benoit H.","non-dropping-particle":"","parse-names":false,"suffix":""},{"dropping-particle":"","family":"Blumberger","given":"Daniel M.","non-dropping-particle":"","parse-names":false,"suffix":""},{"dropping-particle":"","family":"Daskalakis","given":"Zafiris J.","non-dropping-particle":"","parse-names":false,"suffix":""}],"container-title":"JAMA network open","id":"ITEM-2","issue":"9","issued":{"date-parts":[["2021","9","24"]]},"publisher":"JAMA Netw Open","title":"Magnitude of the Placebo Response Across Treatment Modalities Used for Treatment-Resistant Depression in Adults: A Systematic Review and Meta-analysis","type":"article-journal","volume":"4"},"uris":["http://www.mendeley.com/documents/?uuid=a5e645f1-50c8-3771-b7f8-72a985900e98"]},{"id":"ITEM-3","itemData":{"ISSN":"1537-8276","PMID":"29910696","abstract":"This well-known effect can be harnessed to improve treatment.","author":[{"dropping-particle":"","family":"Bernstein","given":"Michael H","non-dropping-particle":"","parse-names":false,"suffix":""},{"dropping-particle":"","family":"Brown","given":"Walter A","non-dropping-particle":"","parse-names":false,"suffix":""},{"dropping-particle":"","family":"Professor of Psychiatry","given":"Clinical","non-dropping-particle":"","parse-names":false,"suffix":""},{"dropping-particle":"","family":"Behavior","given":"Human","non-dropping-particle":"","parse-names":false,"suffix":""}],"container-title":"Current psychiatry","id":"ITEM-3","issue":"11","issued":{"date-parts":[["2017","11"]]},"page":"29","publisher":"NIH Public Access","title":"The placebo effect in psychiatric practice","type":"article-journal","volume":"16"},"uris":["http://www.mendeley.com/documents/?uuid=87390cc5-f6fb-3871-83fa-9d01b74de5a7"]},{"id":"ITEM-4","itemData":{"DOI":"10.1038/S41380-024-02638-X","ISSN":"1476-5578","PMID":"38914807","abstract":"There is a growing literature exploring the placebo response within specific mental disorders, but no overarching quantitative synthesis of this research has analyzed evidence across mental disorders. We carried out an umbrella review of meta-analyses of randomized controlled trials (RCTs) of biological treatments (pharmacotherapy or neurostimulation) for mental disorders. We explored whether placebo effect size differs across distinct disorders, and the correlates of increased placebo effects. Based on a pre-registered protocol, we searched Medline, PsycInfo, EMBASE, and Web of Knowledge up to 23.10.2022 for systematic reviews and/or meta-analyses reporting placebo effect sizes in psychopharmacological or neurostimulation RCTs. Twenty meta-analyses, summarising 1,691 RCTs involving 261,730 patients, were included. Placebo effect size varied, and was large in alcohol use disorder (g = 0.90, 95% CI [0.70, 1.09]), depression (g = 1.10, 95% CI [1.06, 1.15]), restless legs syndrome (g = 1.41, 95% CI [1.25, 1.56]), and generalized anxiety disorder (d = 1.85, 95% CI [1.61, 2.09]). Placebo effect size was small-to-medium in obsessive-compulsive disorder (d = 0.32, 95% CI [0.22, 0.41]), primary insomnia (g = 0.35, 95% CI [0.28, 0.42]), and schizophrenia spectrum disorders (standardized mean change = 0.33, 95% CI [0.22, 0.44]). Correlates of larger placebo response in multiple mental disorders included later publication year (opposite finding for ADHD), younger age, more trial sites, larger sample size, increased baseline severity, and larger active treatment effect size. Most (18 of 20) meta-analyses were judged ‘low’ quality as per AMSTAR-2. Placebo effect sizes varied substantially across mental disorders. Future research should explore the sources of this variation. We identified important gaps in the literature, with no eligible systematic reviews/meta-analyses of placebo response in stress-related disorders, eating disorders, behavioural addictions, or bipolar mania.","author":[{"dropping-particle":"","family":"Huneke","given":"Nathan T.M.","non-dropping-particle":"","parse-names":false,"suffix":""},{"dropping-particle":"","family":"Amin","given":"Jay","non-dropping-particle":"","parse-names":false,"suffix":""},{"dropping-particle":"","family":"Baldwin","given":"David S.","non-dropping-particle":"","parse-names":false,"suffix":""},{"dropping-particle":"","family":"Bellato","given":"Alessio","non-dropping-particle":"","parse-names":false,"suffix":""},{"dropping-particle":"","family":"Brandt","given":"Valerie","non-dropping-particle":"","parse-names":false,"suffix":""},{"dropping-particle":"","family":"Chamberlain","given":"Samuel R.","non-dropping-particle":"","parse-names":false,"suffix":""},{"dropping-particle":"","family":"Correll","given":"Christoph U.","non-dropping-particle":"","parse-names":false,"suffix":""},{"dropping-particle":"","family":"Eudave","given":"Luis","non-dropping-particle":"","parse-names":false,"suffix":""},{"dropping-particle":"","family":"Garner","given":"Matthew","non-dropping-particle":"","parse-names":false,"suffix":""},{"dropping-particle":"","family":"Gosling","given":"Corentin J.","non-dropping-particle":"","parse-names":false,"suffix":""},{"dropping-particle":"","family":"Hill","given":"Catherine M.","non-dropping-particle":"","parse-names":false,"suffix":""},{"dropping-particle":"","family":"Hou","given":"Ruihua","non-dropping-particle":"","parse-names":false,"suffix":""},{"dropping-particle":"","family":"Howes","given":"Oliver D.","non-dropping-particle":"","parse-names":false,"suffix":""},{"dropping-particle":"","family":"Ioannidis","given":"Konstantinos","non-dropping-particle":"","parse-names":false,"suffix":""},{"dropping-particle":"","family":"Köhler-Forsberg","given":"Ole","non-dropping-particle":"","parse-names":false,"suffix":""},{"dropping-particle":"","family":"Marzulli","given":"Lucia","non-dropping-particle":"","parse-names":false,"suffix":""},{"dropping-particle":"","family":"Reed","given":"Claire","non-dropping-particle":"","parse-names":false,"suffix":""},{"dropping-particle":"","family":"Sinclair","given":"Julia M.A.","non-dropping-particle":"","parse-names":false,"suffix":""},{"dropping-particle":"","family":"Singh","given":"Satneet","non-dropping-particle":"","parse-names":false,"suffix":""},{"dropping-particle":"","family":"Solmi","given":"Marco","non-dropping-particle":"","parse-names":false,"suffix":""},{"dropping-particle":"","family":"Cortese","given":"Samuele","non-dropping-particle":"","parse-names":false,"suffix":""}],"container-title":"Molecular psychiatry","id":"ITEM-4","issued":{"date-parts":[["2024"]]},"publisher":"Mol Psychiatry","title":"Placebo effects in randomized trials of pharmacological and neurostimulation interventions for mental disorders: An umbrella review","type":"article-journal"},"uris":["http://www.mendeley.com/documents/?uuid=2d27ca33-a2e3-3a9d-a3c3-8ac9b5d3c38e"]}],"mendeley":{"formattedCitation":"(Bernstein, Brown, Professor of Psychiatry, &amp; Behavior, 2017; Cao et al., 2021; Huneke et al., 2024; Jones et al., 2021)","plainTextFormattedCitation":"(Bernstein, Brown, Professor of Psychiatry, &amp; Behavior, 2017; Cao et al., 2021; Huneke et al., 2024; Jones et al., 2021)","previouslyFormattedCitation":"(Bernstein, Brown, Professor of Psychiatry, &amp; Behavior, 2017; Cao et al., 2021; Huneke et al., 2024; Jones et al., 2021)"},"properties":{"noteIndex":0},"schema":"https://github.com/citation-style-language/schema/raw/master/csl-citation.json"}</w:instrText>
      </w:r>
      <w:r w:rsidR="00093815" w:rsidRPr="00441DF8">
        <w:fldChar w:fldCharType="separate"/>
      </w:r>
      <w:r w:rsidR="00BB6F19" w:rsidRPr="00BB6F19">
        <w:rPr>
          <w:noProof/>
        </w:rPr>
        <w:t>(Bernstein, Brown, Professor of Psychiatry, &amp; Behavior, 2017; Cao et al., 2021; Huneke et al., 2024; Jones et al., 2021)</w:t>
      </w:r>
      <w:r w:rsidR="00093815" w:rsidRPr="00441DF8">
        <w:fldChar w:fldCharType="end"/>
      </w:r>
      <w:r w:rsidR="00D737B2" w:rsidRPr="00441DF8">
        <w:t>)</w:t>
      </w:r>
      <w:r w:rsidRPr="00441DF8">
        <w:t xml:space="preserve">. </w:t>
      </w:r>
      <w:r w:rsidR="00B67BAB" w:rsidRPr="00441DF8">
        <w:t>Our finding of a relatively high placebo response rate for gambling disorder</w:t>
      </w:r>
      <w:r w:rsidR="002F09AA" w:rsidRPr="00441DF8">
        <w:t xml:space="preserve"> bears similarity with what has been found for other addictions such as alcohol use disorder, where high placebo response rates have been noted </w:t>
      </w:r>
      <w:r w:rsidR="00093815" w:rsidRPr="00441DF8">
        <w:fldChar w:fldCharType="begin" w:fldLock="1"/>
      </w:r>
      <w:r w:rsidR="00153F12">
        <w:instrText>ADDIN CSL_CITATION {"citationItems":[{"id":"ITEM-1","itemData":{"DOI":"10.1001/JAMA.295.17.2003","ISSN":"1538-3598","PMID":"16670409","abstract":"Context: Alcohol dependence treatment may include medications, behavioral therapies, or both. It is unknown how combining these treatments may impact their effectiveness, especially in the context of primary care and other nonspecialty settings. Objectives: To evaluate the efficacy of medication, behavioral therapies, and their combinations for treatment of alcohol dependence and to evaluate placebo effect on overall outcome. Design, Setting, and Participants: Randomized controlled trial conducted January 2001-January 2004 among 1383 recently alcohol-abstinent volunteers (median age, 44 years) from 11 US academic sites with Diagnostic and Statistical Manual of Mental Disorders, Fourth Edition, diagnoses of primary alcohol dependence. Interventions: Eight groups of patients received medical management with 16 weeks of naltrexone (100 mg/d) or acamprosate (3 g/d), both, and/or both placebos, with or without a combined behavioral intervention (CBI). A ninth group received CBI only (no pills). Patients were also evaluated for up to 1 year after treatment. Main Outcome Measures: Percent days abstinent from alcohol and time to first heavy drinking day. Results: All groups showed substantial reduction in drinking. During treatment, patients receiving naltrexone plus medical management (n=302), CBI plus medical management and placebos (n=305), or both naltrexone and CBI plus medical management (n=309) had higher percent days abstinent (80.6, 79.2, and 77.1, respectively) than the 75.1 in those receiving placebos and medical management only (n=305), a significant naltrexone x behavioral intervention interaction (P=.009). Naltrexone also reduced risk of a heavy drinking day (hazard ratio, 0.72; 97.5% CI, 0.53-0.98; P=.02) over time, most evident in those receiving medical management but not CBI. Acamprosate showed no significant effect on drinking vs placebo, either by itself or with any combination of naltrexone, CBI, or both. During treatment, those receiving CBI without pills or medical management (n=157) had lower percent days abstinent (66.6) than those receiving placebo plus medical management alone (n=153) or placebo plus medical management and CBI (n=156) (73.8 and 79.8, respectively; P&lt;.001). One year after treatment, these between-group effects were similar but no longer significant. Conclusions: Patients receiving medical management with naltrexone, CBI, or both fared better on drinking outcomes, whereas acamprosate showed no evidence of efficacy, with…","author":[{"dropping-particle":"","family":"Anton","given":"Raymond F.","non-dropping-particle":"","parse-names":false,"suffix":""},{"dropping-particle":"","family":"O'Malley","given":"Stephanie S.","non-dropping-particle":"","parse-names":false,"suffix":""},{"dropping-particle":"","family":"Ciraulo","given":"Domenic A.","non-dropping-particle":"","parse-names":false,"suffix":""},{"dropping-particle":"","family":"Cisler","given":"Ron A.","non-dropping-particle":"","parse-names":false,"suffix":""},{"dropping-particle":"","family":"Couper","given":"David","non-dropping-particle":"","parse-names":false,"suffix":""},{"dropping-particle":"","family":"Donovan","given":"Dennis M.","non-dropping-particle":"","parse-names":false,"suffix":""},{"dropping-particle":"","family":"Gastfriend","given":"David R.","non-dropping-particle":"","parse-names":false,"suffix":""},{"dropping-particle":"","family":"Hosking","given":"James D.","non-dropping-particle":"","parse-names":false,"suffix":""},{"dropping-particle":"","family":"Johnson","given":"Bankole A.","non-dropping-particle":"","parse-names":false,"suffix":""},{"dropping-particle":"","family":"LoCastro","given":"Joseph S.","non-dropping-particle":"","parse-names":false,"suffix":""},{"dropping-particle":"","family":"Longabaugh","given":"Richard","non-dropping-particle":"","parse-names":false,"suffix":""},{"dropping-particle":"","family":"Mason","given":"Barbara J.","non-dropping-particle":"","parse-names":false,"suffix":""},{"dropping-particle":"","family":"Mattson","given":"Margaret E.","non-dropping-particle":"","parse-names":false,"suffix":""},{"dropping-particle":"","family":"Miller","given":"William R.","non-dropping-particle":"","parse-names":false,"suffix":""},{"dropping-particle":"","family":"Pettinati","given":"Helen M.","non-dropping-particle":"","parse-names":false,"suffix":""},{"dropping-particle":"","family":"Randall","given":"Carrie L.","non-dropping-particle":"","parse-names":false,"suffix":""},{"dropping-particle":"","family":"Swift","given":"Robert","non-dropping-particle":"","parse-names":false,"suffix":""},{"dropping-particle":"","family":"Weiss","given":"Roger D.","non-dropping-particle":"","parse-names":false,"suffix":""},{"dropping-particle":"","family":"Williams","given":"Lauren D.","non-dropping-particle":"","parse-names":false,"suffix":""},{"dropping-particle":"","family":"Zweben","given":"Allen","non-dropping-particle":"","parse-names":false,"suffix":""}],"container-title":"JAMA","id":"ITEM-1","issue":"17","issued":{"date-parts":[["2006"]]},"page":"2003-2017","publisher":"JAMA","title":"Combined pharmacotherapies and behavioral interventions for alcohol dependence: the COMBINE study: a randomized controlled trial","type":"article-journal","volume":"295"},"uris":["http://www.mendeley.com/documents/?uuid=823690cd-29ce-37d4-9239-1d18b2f520ae"]},{"id":"ITEM-2","itemData":{"DOI":"10.1097/JCP.0B013E3182983E73","ISSN":"1533-712X","PMID":"23857312","abstract":"OBJECTIVE: Placebo group improvement in pharmacotherapy trials has been increasing over time across several pharmacological treatment areas. However, it is unknown to what degree increasing improvement has occurred in pharmacotherapy trials for alcohol use disorders or what factors may account for placebo group improvement. This meta-analysis of 47 alcohol pharmacotherapy trials evaluated (1) the magnitude of placebo group improvement, (2) the extent to which placebo group improvement has been increasing over time, and (3) several potential moderators that might account for variation in placebo group improvement. METHOD: Random-effects univariate and multivariate analyses were conducted that examined the magnitude of placebo group improvement in the 47 studies and several potential moderators of improvement: (a) publication year, (b) country in which the study was conducted, (c) outcome data source/type, (d) number of placebo administrations, (e) overall severity of study participants, and (f) additional psychosocial treatment. RESULTS: Substantial placebo group improvement was found overall and improvement was larger in more recent studies. Greater improvement was found on moderately subjective outcomes, with more frequent administrations of the placebo, and in studies with greater participant severity of illness. However, even after controlling for these moderators, placebo group improvement remained significant, as did placebo group improvement over time. CONCLUSIONS: Similar to previous pharmacotherapy placebo research, substantial pretest to posttest placebo group improvement has occurred in alcohol pharmacotherapy trials, an effect that has been increasing over time. However, several plausible moderator variables were not able to explain why placebo group improvement has been increasing over time.","author":[{"dropping-particle":"","family":"Re","given":"A. C.","non-dropping-particle":"Del","parse-names":false,"suffix":""},{"dropping-particle":"","family":"Maisel","given":"Natalya","non-dropping-particle":"","parse-names":false,"suffix":""},{"dropping-particle":"","family":"Blodgett","given":"Janet C.","non-dropping-particle":"","parse-names":false,"suffix":""},{"dropping-particle":"","family":"Wilbourne","given":"Paula","non-dropping-particle":"","parse-names":false,"suffix":""},{"dropping-particle":"","family":"Finney","given":"John W.","non-dropping-particle":"","parse-names":false,"suffix":""}],"container-title":"Journal of clinical psychopharmacology","id":"ITEM-2","issue":"5","issued":{"date-parts":[["2013","10"]]},"page":"649-657","publisher":"J Clin Psychopharmacol","title":"Placebo group improvement in trials of pharmacotherapies for alcohol use disorders: a multivariate meta-analysis examining change over time","type":"article-journal","volume":"33"},"uris":["http://www.mendeley.com/documents/?uuid=a01f8c6a-3dc5-3c4d-8ed0-57aaa0e6daa6"]},{"id":"ITEM-3","itemData":{"DOI":"10.1111/ACER.14670","ISSN":"15300277","PMID":"34418121","abstract":"Background: There is considerable unexplained variability in alcohol abstinence rates (AR) in the placebo groups of randomized controlled trials (RCTs) for alcohol dependence (AD). This is of particular interest because placebo responses correlate negatively with treatment effect size. Recent evidence suggests that the placebo response is lower in very heavy drinkers who show no “spontaneous improvement” prior to treatment initiation (high-severity population) than in a mild-severity population and in studies with longer treatment duration. We systematically investigated the relationship between population severity, treatment duration, and the placebo response in AR to inform a strategy aimed at reducing the placebo response and thereby increasing assay sensitivity in RCTs for AD. Methods: We conducted a systematic literature review on placebo-controlled RCTs for AD.We assigned retained RCTs to high- or mild-severity groups of studies based on baseline drinking risk levels and abstinence duration before treatment initiation. We tested the effects of population severity and treatment duration on the placebo response in AR using meta-regression analysis. Results: Among the 19 retained RCTs (comprising 1996 placebo-treated patients), 11 trials were high-severity and 8 were mild-severity RCTs. The between-study variability in AR was lower in the high-severity than in the mild-severity studies (interquartile range: 7.4% vs. 20.9%). The AR in placebo groups was dependent on population severity (p = 0.004) and treatment duration (p = 0.017) and was lower in the high-severity studies (16.8% at 3 months) than the mild-severity studies (36.7% at 3 months). Conclusions: Pharmacological RCTs for AD should select high-severity patients to decrease the magnitude and variability in the placebo effect and and improve the efficiency of drug development efforts for AD.","author":[{"dropping-particle":"","family":"Scherrer","given":"Bruno","non-dropping-particle":"","parse-names":false,"suffix":""},{"dropping-particle":"","family":"Guiraud","given":"Julien","non-dropping-particle":"","parse-names":false,"suffix":""},{"dropping-particle":"","family":"Addolorato","given":"Giovanni","non-dropping-particle":"","parse-names":false,"suffix":""},{"dropping-particle":"","family":"Aubin","given":"Henri Jean","non-dropping-particle":"","parse-names":false,"suffix":""},{"dropping-particle":"","family":"Bejczy","given":"Andrea","non-dropping-particle":"de","parse-names":false,"suffix":""},{"dropping-particle":"","family":"Benyamina","given":"Amine","non-dropping-particle":"","parse-names":false,"suffix":""},{"dropping-particle":"","family":"Brink","given":"Wim","non-dropping-particle":"van den","parse-names":false,"suffix":""},{"dropping-particle":"","family":"Caputo","given":"Fabio","non-dropping-particle":"","parse-names":false,"suffix":""},{"dropping-particle":"","family":"Dematteis","given":"Maurice","non-dropping-particle":"","parse-names":false,"suffix":""},{"dropping-particle":"","family":"Goudriaan","given":"Anna E.","non-dropping-particle":"","parse-names":false,"suffix":""},{"dropping-particle":"","family":"Gual","given":"Antoni","non-dropping-particle":"","parse-names":false,"suffix":""},{"dropping-particle":"","family":"Kiefer","given":"Falk","non-dropping-particle":"","parse-names":false,"suffix":""},{"dropping-particle":"","family":"Leggio","given":"Lorenzo","non-dropping-particle":"","parse-names":false,"suffix":""},{"dropping-particle":"","family":"Lesch","given":"Otto Michael","non-dropping-particle":"","parse-names":false,"suffix":""},{"dropping-particle":"","family":"Maremmani","given":"Icro","non-dropping-particle":"","parse-names":false,"suffix":""},{"dropping-particle":"","family":"Nutt","given":"David J.","non-dropping-particle":"","parse-names":false,"suffix":""},{"dropping-particle":"","family":"Paille","given":"François","non-dropping-particle":"","parse-names":false,"suffix":""},{"dropping-particle":"","family":"Perney","given":"Pascal","non-dropping-particle":"","parse-names":false,"suffix":""},{"dropping-particle":"","family":"Poulnais","given":"Roch","non-dropping-particle":"","parse-names":false,"suffix":""},{"dropping-particle":"","family":"Raffaillac","given":"Quentin","non-dropping-particle":"","parse-names":false,"suffix":""},{"dropping-particle":"","family":"Rehm","given":"Jürgen","non-dropping-particle":"","parse-names":false,"suffix":""},{"dropping-particle":"","family":"Rolland","given":"Benjamin","non-dropping-particle":"","parse-names":false,"suffix":""},{"dropping-particle":"","family":"Simon","given":"Nicolas","non-dropping-particle":"","parse-names":false,"suffix":""},{"dropping-particle":"","family":"Söderpalm","given":"Bo","non-dropping-particle":"","parse-names":false,"suffix":""},{"dropping-particle":"","family":"Sommer","given":"Wolfgang H.","non-dropping-particle":"","parse-names":false,"suffix":""},{"dropping-particle":"","family":"Walter","given":"Henriette","non-dropping-particle":"","parse-names":false,"suffix":""},{"dropping-particle":"","family":"Spanagel","given":"Rainer","non-dropping-particle":"","parse-names":false,"suffix":""}],"container-title":"Alcoholism, Clinical and Experimental Research","id":"ITEM-3","issue":"9","issued":{"date-parts":[["2021","9","1"]]},"page":"1722","publisher":"Wiley-Blackwell","title":"Baseline severity and the prediction of placebo response in clinical trials for alcohol dependence: A meta‐regression analysis to develop an enrichment strategy","type":"article-journal","volume":"45"},"uris":["http://www.mendeley.com/documents/?uuid=492775ff-67ed-3233-b713-133fbb98bd7b"]}],"mendeley":{"formattedCitation":"(Anton et al., 2006; Del Re, Maisel, Blodgett, Wilbourne, &amp; Finney, 2013; Scherrer et al., 2021)","plainTextFormattedCitation":"(Anton et al., 2006; Del Re, Maisel, Blodgett, Wilbourne, &amp; Finney, 2013; Scherrer et al., 2021)","previouslyFormattedCitation":"(Anton et al., 2006; Del Re, Maisel, Blodgett, Wilbourne, &amp; Finney, 2013; Scherrer et al., 2021)"},"properties":{"noteIndex":0},"schema":"https://github.com/citation-style-language/schema/raw/master/csl-citation.json"}</w:instrText>
      </w:r>
      <w:r w:rsidR="00093815" w:rsidRPr="00441DF8">
        <w:fldChar w:fldCharType="separate"/>
      </w:r>
      <w:r w:rsidR="006B30C0" w:rsidRPr="006B30C0">
        <w:rPr>
          <w:noProof/>
        </w:rPr>
        <w:t>(Anton et al., 2006; Del Re, Maisel, Blodgett, Wilbourne, &amp; Finney, 2013; Scherrer et al., 2021)</w:t>
      </w:r>
      <w:r w:rsidR="00093815" w:rsidRPr="00441DF8">
        <w:fldChar w:fldCharType="end"/>
      </w:r>
      <w:r w:rsidR="006440D1">
        <w:t xml:space="preserve">, and places gambling disorder among the mental disorders with the largest placebo effect sizes </w:t>
      </w:r>
      <w:r w:rsidR="006440D1">
        <w:fldChar w:fldCharType="begin" w:fldLock="1"/>
      </w:r>
      <w:r w:rsidR="00BB6F19">
        <w:instrText>ADDIN CSL_CITATION {"citationItems":[{"id":"ITEM-1","itemData":{"DOI":"10.1038/S41380-024-02638-X","ISSN":"1476-5578","PMID":"38914807","abstract":"There is a growing literature exploring the placebo response within specific mental disorders, but no overarching quantitative synthesis of this research has analyzed evidence across mental disorders. We carried out an umbrella review of meta-analyses of randomized controlled trials (RCTs) of biological treatments (pharmacotherapy or neurostimulation) for mental disorders. We explored whether placebo effect size differs across distinct disorders, and the correlates of increased placebo effects. Based on a pre-registered protocol, we searched Medline, PsycInfo, EMBASE, and Web of Knowledge up to 23.10.2022 for systematic reviews and/or meta-analyses reporting placebo effect sizes in psychopharmacological or neurostimulation RCTs. Twenty meta-analyses, summarising 1,691 RCTs involving 261,730 patients, were included. Placebo effect size varied, and was large in alcohol use disorder (g = 0.90, 95% CI [0.70, 1.09]), depression (g = 1.10, 95% CI [1.06, 1.15]), restless legs syndrome (g = 1.41, 95% CI [1.25, 1.56]), and generalized anxiety disorder (d = 1.85, 95% CI [1.61, 2.09]). Placebo effect size was small-to-medium in obsessive-compulsive disorder (d = 0.32, 95% CI [0.22, 0.41]), primary insomnia (g = 0.35, 95% CI [0.28, 0.42]), and schizophrenia spectrum disorders (standardized mean change = 0.33, 95% CI [0.22, 0.44]). Correlates of larger placebo response in multiple mental disorders included later publication year (opposite finding for ADHD), younger age, more trial sites, larger sample size, increased baseline severity, and larger active treatment effect size. Most (18 of 20) meta-analyses were judged ‘low’ quality as per AMSTAR-2. Placebo effect sizes varied substantially across mental disorders. Future research should explore the sources of this variation. We identified important gaps in the literature, with no eligible systematic reviews/meta-analyses of placebo response in stress-related disorders, eating disorders, behavioural addictions, or bipolar mania.","author":[{"dropping-particle":"","family":"Huneke","given":"Nathan T.M.","non-dropping-particle":"","parse-names":false,"suffix":""},{"dropping-particle":"","family":"Amin","given":"Jay","non-dropping-particle":"","parse-names":false,"suffix":""},{"dropping-particle":"","family":"Baldwin","given":"David S.","non-dropping-particle":"","parse-names":false,"suffix":""},{"dropping-particle":"","family":"Bellato","given":"Alessio","non-dropping-particle":"","parse-names":false,"suffix":""},{"dropping-particle":"","family":"Brandt","given":"Valerie","non-dropping-particle":"","parse-names":false,"suffix":""},{"dropping-particle":"","family":"Chamberlain","given":"Samuel R.","non-dropping-particle":"","parse-names":false,"suffix":""},{"dropping-particle":"","family":"Correll","given":"Christoph U.","non-dropping-particle":"","parse-names":false,"suffix":""},{"dropping-particle":"","family":"Eudave","given":"Luis","non-dropping-particle":"","parse-names":false,"suffix":""},{"dropping-particle":"","family":"Garner","given":"Matthew","non-dropping-particle":"","parse-names":false,"suffix":""},{"dropping-particle":"","family":"Gosling","given":"Corentin J.","non-dropping-particle":"","parse-names":false,"suffix":""},{"dropping-particle":"","family":"Hill","given":"Catherine M.","non-dropping-particle":"","parse-names":false,"suffix":""},{"dropping-particle":"","family":"Hou","given":"Ruihua","non-dropping-particle":"","parse-names":false,"suffix":""},{"dropping-particle":"","family":"Howes","given":"Oliver D.","non-dropping-particle":"","parse-names":false,"suffix":""},{"dropping-particle":"","family":"Ioannidis","given":"Konstantinos","non-dropping-particle":"","parse-names":false,"suffix":""},{"dropping-particle":"","family":"Köhler-Forsberg","given":"Ole","non-dropping-particle":"","parse-names":false,"suffix":""},{"dropping-particle":"","family":"Marzulli","given":"Lucia","non-dropping-particle":"","parse-names":false,"suffix":""},{"dropping-particle":"","family":"Reed","given":"Claire","non-dropping-particle":"","parse-names":false,"suffix":""},{"dropping-particle":"","family":"Sinclair","given":"Julia M.A.","non-dropping-particle":"","parse-names":false,"suffix":""},{"dropping-particle":"","family":"Singh","given":"Satneet","non-dropping-particle":"","parse-names":false,"suffix":""},{"dropping-particle":"","family":"Solmi","given":"Marco","non-dropping-particle":"","parse-names":false,"suffix":""},{"dropping-particle":"","family":"Cortese","given":"Samuele","non-dropping-particle":"","parse-names":false,"suffix":""}],"container-title":"Molecular psychiatry","id":"ITEM-1","issued":{"date-parts":[["2024"]]},"publisher":"Mol Psychiatry","title":"Placebo effects in randomized trials of pharmacological and neurostimulation interventions for mental disorders: An umbrella review","type":"article-journal"},"uris":["http://www.mendeley.com/documents/?uuid=2d27ca33-a2e3-3a9d-a3c3-8ac9b5d3c38e"]}],"mendeley":{"formattedCitation":"(Huneke et al., 2024)","plainTextFormattedCitation":"(Huneke et al., 2024)","previouslyFormattedCitation":"(Huneke et al., 2023)"},"properties":{"noteIndex":0},"schema":"https://github.com/citation-style-language/schema/raw/master/csl-citation.json"}</w:instrText>
      </w:r>
      <w:r w:rsidR="006440D1">
        <w:fldChar w:fldCharType="separate"/>
      </w:r>
      <w:r w:rsidR="00BB6F19" w:rsidRPr="00BB6F19">
        <w:rPr>
          <w:noProof/>
        </w:rPr>
        <w:t>(Huneke et al., 2024)</w:t>
      </w:r>
      <w:r w:rsidR="006440D1">
        <w:fldChar w:fldCharType="end"/>
      </w:r>
      <w:r w:rsidR="006440D1">
        <w:t>.</w:t>
      </w:r>
      <w:r w:rsidR="002F09AA" w:rsidRPr="00441DF8">
        <w:t xml:space="preserve"> The finding of a high placebo response rate for gambling disorder </w:t>
      </w:r>
      <w:r w:rsidR="00B67BAB" w:rsidRPr="00441DF8">
        <w:t>has a number of implications. Firstly, the results suggest that people who seek treatment for gambling disorde</w:t>
      </w:r>
      <w:r w:rsidR="001277AB">
        <w:t xml:space="preserve">r </w:t>
      </w:r>
      <w:r w:rsidR="00B67BAB" w:rsidRPr="00B919AD">
        <w:t>experience</w:t>
      </w:r>
      <w:r w:rsidR="00CA72CE" w:rsidRPr="00B919AD">
        <w:t xml:space="preserve"> notable</w:t>
      </w:r>
      <w:r w:rsidR="00B67BAB" w:rsidRPr="00B919AD">
        <w:t xml:space="preserve"> symptom improvement that is not directly related to the active medication compound being examined – </w:t>
      </w:r>
      <w:r w:rsidR="00B919AD">
        <w:t xml:space="preserve">from the perspective of patient outcomes </w:t>
      </w:r>
      <w:r w:rsidR="00B67BAB" w:rsidRPr="00B919AD">
        <w:t xml:space="preserve">this is a </w:t>
      </w:r>
      <w:r w:rsidR="00A22864">
        <w:t>positive</w:t>
      </w:r>
      <w:r w:rsidR="00B67BAB" w:rsidRPr="00B919AD">
        <w:t xml:space="preserve">, and </w:t>
      </w:r>
      <w:r w:rsidR="006440D1">
        <w:t>highlights the potential importance of</w:t>
      </w:r>
      <w:r w:rsidR="00B67BAB" w:rsidRPr="00B919AD">
        <w:t xml:space="preserve"> factors such as therapeutic alliance and non-specific support from research and clinical teams. Secondly, large placebo response </w:t>
      </w:r>
      <w:r w:rsidR="006440D1">
        <w:t xml:space="preserve">potentially </w:t>
      </w:r>
      <w:r w:rsidR="00B67BAB" w:rsidRPr="00B919AD">
        <w:t xml:space="preserve">represents a </w:t>
      </w:r>
      <w:r w:rsidR="00B919AD">
        <w:t xml:space="preserve">design </w:t>
      </w:r>
      <w:r w:rsidR="00A615F0" w:rsidRPr="00B919AD">
        <w:t>problem</w:t>
      </w:r>
      <w:r w:rsidR="00B67BAB" w:rsidRPr="00B919AD">
        <w:t xml:space="preserve"> for pharmacological clinical trials of gambling disorder, by making it challenging to detect a</w:t>
      </w:r>
      <w:r w:rsidR="001277AB">
        <w:t xml:space="preserve"> true</w:t>
      </w:r>
      <w:r w:rsidR="00B67BAB" w:rsidRPr="00B919AD">
        <w:t xml:space="preserve"> active effect of medication.</w:t>
      </w:r>
      <w:r w:rsidR="0061327F">
        <w:t xml:space="preserve"> Intriguingly, </w:t>
      </w:r>
      <w:r w:rsidR="00675CC8">
        <w:t xml:space="preserve">we found that quality of life measures show a greater disparity </w:t>
      </w:r>
      <w:r w:rsidR="00675CC8">
        <w:lastRenderedPageBreak/>
        <w:t>between placebo and treatment response</w:t>
      </w:r>
      <w:r w:rsidR="00E26028">
        <w:t>.</w:t>
      </w:r>
      <w:r w:rsidR="0008605B">
        <w:t xml:space="preserve"> </w:t>
      </w:r>
      <w:r w:rsidR="007B7352">
        <w:t xml:space="preserve">How </w:t>
      </w:r>
      <w:r w:rsidR="00E26028">
        <w:t>different</w:t>
      </w:r>
      <w:r w:rsidR="0008605B">
        <w:t xml:space="preserve"> outcome measure</w:t>
      </w:r>
      <w:r w:rsidR="00E26028">
        <w:t>s</w:t>
      </w:r>
      <w:r w:rsidR="00F264F4">
        <w:t xml:space="preserve"> </w:t>
      </w:r>
      <w:r w:rsidR="007B7352">
        <w:t>affect</w:t>
      </w:r>
      <w:r w:rsidR="00F264F4">
        <w:t xml:space="preserve"> estimates of treatment effect size </w:t>
      </w:r>
      <w:r w:rsidR="001215EA">
        <w:t xml:space="preserve">needs </w:t>
      </w:r>
      <w:r w:rsidR="00E26028">
        <w:t>to be further understood</w:t>
      </w:r>
      <w:r w:rsidR="00F264F4">
        <w:t xml:space="preserve">. </w:t>
      </w:r>
      <w:r w:rsidR="006440D1">
        <w:t>T</w:t>
      </w:r>
      <w:r w:rsidR="00CA72CE" w:rsidRPr="00441DF8">
        <w:t xml:space="preserve">he high placebo response also highlights a disparity in the literature for </w:t>
      </w:r>
      <w:r w:rsidR="00B919AD">
        <w:t xml:space="preserve">how </w:t>
      </w:r>
      <w:r w:rsidR="00CA72CE" w:rsidRPr="00B919AD">
        <w:t>differ</w:t>
      </w:r>
      <w:r w:rsidR="006440D1">
        <w:t>ent gambling disorder treatment modalities</w:t>
      </w:r>
      <w:r w:rsidR="00A22864">
        <w:t xml:space="preserve"> are compared (or contrasted) with</w:t>
      </w:r>
      <w:r w:rsidR="00B919AD">
        <w:t xml:space="preserve"> each other</w:t>
      </w:r>
      <w:r w:rsidR="00CA72CE" w:rsidRPr="00B919AD">
        <w:t xml:space="preserve">. </w:t>
      </w:r>
      <w:r w:rsidR="00A22864">
        <w:t>In particular, m</w:t>
      </w:r>
      <w:r w:rsidR="00CA72CE" w:rsidRPr="00B919AD">
        <w:t>any psychological intervention</w:t>
      </w:r>
      <w:r w:rsidR="002F09AA" w:rsidRPr="00B919AD">
        <w:t xml:space="preserve"> clinical trials in gambling disorder </w:t>
      </w:r>
      <w:r w:rsidR="00CA72CE" w:rsidRPr="00B919AD">
        <w:t>have used waiting list control</w:t>
      </w:r>
      <w:r w:rsidR="00583EA8" w:rsidRPr="00B919AD">
        <w:t xml:space="preserve"> </w:t>
      </w:r>
      <w:r w:rsidR="00093815" w:rsidRPr="00441DF8">
        <w:fldChar w:fldCharType="begin" w:fldLock="1"/>
      </w:r>
      <w:r w:rsidR="00153F12">
        <w:instrText>ADDIN CSL_CITATION {"citationItems":[{"id":"ITEM-1","itemData":{"DOI":"10.1037/ADB0000290","ISSN":"19391501","PMID":"28639817","abstract":"Gambling problems impact 0.2%-4.0% of the population, and research related to treating gambling has burgeoned in the last decades. This article reviews trials for psychosocial treatments of gambling problems. Using Preferred Reporting Items for Systematic Reviews and Meta-Analyses Standards, we identified 21 randomized trials. Eleven studies evaluated interventions delivered via multisession, in-person therapy: cognitive therapies, cognitive-behavioral (CB) therapies, and motivational interventions (MI) alone or with CB therapies. An additional 10 studies used approaches that involved 1 or fewer in-person sessions; these included workbooks with CB exercises alone or in combination with MI and brief feedback or advice interventions. Although most studies found some benefits of CB therapy (alone or combined with MI) and brief feedback or advice relative to the control condition in the short term, only a handful of studies demonstrated any long-term benefits. Nearly half the studies used waitlist controls, precluding an understanding of long-term efficacy, and standardized outcomes measures are also lacking. Populations also differ markedly across studies, from nontreatment-seeking persons who screened positive for gambling problems to those with severe gambling disorder, and these discrepant populations may require different interventions. Although problem gamblers with less pronounced symptoms may benefit from very minimal interventions, therapist contact generally improved outcomes relative to entirely self-directed interventions, and at least some therapist contact may be necessary for patients with more severe gambling pathology to benefit from CB interventions. As treatment services for gambling continue to grow, this review provides timely information on best practices for gambling treatment.","author":[{"dropping-particle":"","family":"Petry","given":"Nancy M.","non-dropping-particle":"","parse-names":false,"suffix":""},{"dropping-particle":"","family":"Ginley","given":"Meredith K.","non-dropping-particle":"","parse-names":false,"suffix":""},{"dropping-particle":"","family":"Rash","given":"Carla J.","non-dropping-particle":"","parse-names":false,"suffix":""}],"container-title":"Psychology of addictive behaviors : journal of the Society of Psychologists in Addictive Behaviors","id":"ITEM-1","issue":"8","issued":{"date-parts":[["2017","12","1"]]},"page":"951","publisher":"NIH Public Access","title":"A systematic review of treatments for problem gambling","type":"article-journal","volume":"31"},"uris":["http://www.mendeley.com/documents/?uuid=2012de79-974b-3228-b768-166477a3987d"]}],"mendeley":{"formattedCitation":"(Petry, Ginley, &amp; Rash, 2017)","plainTextFormattedCitation":"(Petry, Ginley, &amp; Rash, 2017)","previouslyFormattedCitation":"(Petry, Ginley, &amp; Rash, 2017)"},"properties":{"noteIndex":0},"schema":"https://github.com/citation-style-language/schema/raw/master/csl-citation.json"}</w:instrText>
      </w:r>
      <w:r w:rsidR="00093815" w:rsidRPr="00441DF8">
        <w:fldChar w:fldCharType="separate"/>
      </w:r>
      <w:r w:rsidR="006B30C0" w:rsidRPr="006B30C0">
        <w:rPr>
          <w:noProof/>
        </w:rPr>
        <w:t>(Petry, Ginley, &amp; Rash, 2017)</w:t>
      </w:r>
      <w:r w:rsidR="00093815" w:rsidRPr="00441DF8">
        <w:fldChar w:fldCharType="end"/>
      </w:r>
      <w:r w:rsidR="006440D1">
        <w:t>.</w:t>
      </w:r>
      <w:r w:rsidR="006440D1" w:rsidRPr="006440D1">
        <w:t xml:space="preserve"> </w:t>
      </w:r>
      <w:r w:rsidR="005B7FD8">
        <w:t>In practical terms, this suggests that pharmacological options should be considered more often in clinical practice, as they have had to pass a higher clinical standard to show their efficacy</w:t>
      </w:r>
      <w:r w:rsidR="00182F5A">
        <w:t xml:space="preserve"> in trials</w:t>
      </w:r>
      <w:r w:rsidR="005B7FD8">
        <w:t xml:space="preserve">. </w:t>
      </w:r>
      <w:r w:rsidR="006440D1">
        <w:t>It is likely that randomisation to wait list results in reduced symptom improvement compared with a placebo due to fewer clinical interactions and lower expectations of benefit and/or ‘disappointment’</w:t>
      </w:r>
      <w:r w:rsidR="006440D1">
        <w:fldChar w:fldCharType="begin" w:fldLock="1"/>
      </w:r>
      <w:r w:rsidR="00153F12">
        <w:instrText>ADDIN CSL_CITATION {"citationItems":[{"id":"ITEM-1","itemData":{"DOI":"10.1097/YIC.0000000000000078","ISSN":"1473-5857","PMID":"25932596","abstract":"To our knowledge, no previous meta-analysis has attempted to compare the efficacy of pharmacological, psychological and combined treatments for the three main anxiety disorders (panic disorder, generalized anxiety disorder and social phobia). Pre-post and treated versus control effect sizes (ES) were calculated for all evaluable randomized-controlled studies (n=234), involving 37 333 patients. Medications were associated with a significantly higher average pre-post ES [Cohen's d=2.02 (1.90-2.15); 28 051 patients] than psychotherapies [1.22 (1.14-1.30); 6992 patients; P&lt;0.0001]. ES were 2.25 for serotonin-noradrenaline reuptake inhibitors (n=23 study arms), 2.15 for benzodiazepines (n=42), 2.09 for selective serotonin reuptake inhibitors (n=62) and 1.83 for tricyclic antidepressants (n=15). ES for psychotherapies were mindfulness therapies, 1.56 (n=4); relaxation, 1.36 (n=17); individual cognitive behavioural/exposure therapy (CBT), 1.30 (n=93); group CBT, 1.22 (n=18); psychodynamic therapy 1.17 (n=5); therapies without face-to-face contact (e.g. Internet therapies), 1.11 (n=34); eye movement desensitization reprocessing, 1.03 (n=3); and interpersonal therapy 0.78 (n=4). The ES was 2.12 (n=16) for CBT/drug combinations. Exercise had an ES of 1.23 (n=3). For control groups, ES were 1.29 for placebo pills (n=111), 0.83 for psychological placebos (n=16) and 0.20 for waitlists (n=50). In direct comparisons with control groups, all investigated drugs, except for citalopram, opipramol and moclobemide, were significantly more effective than placebo. Individual CBT was more effective than waiting list, psychological placebo and pill placebo. When looking at the average pre-post ES, medications were more effective than psychotherapies. Pre-post ES for psychotherapies did not differ from pill placebos; this finding cannot be explained by heterogeneity, publication bias or allegiance effects. However, the decision on whether to choose psychotherapy, medications or a combination of the two should be left to the patient as drugs may have side effects, interactions and contraindications.","author":[{"dropping-particle":"","family":"Bandelow","given":"Borwin","non-dropping-particle":"","parse-names":false,"suffix":""},{"dropping-particle":"","family":"Reitt","given":"Markus","non-dropping-particle":"","parse-names":false,"suffix":""},{"dropping-particle":"","family":"Röver","given":"Christian","non-dropping-particle":"","parse-names":false,"suffix":""},{"dropping-particle":"","family":"Michaelis","given":"Sophie","non-dropping-particle":"","parse-names":false,"suffix":""},{"dropping-particle":"","family":"Görlich","given":"Yvonne","non-dropping-particle":"","parse-names":false,"suffix":""},{"dropping-particle":"","family":"Wedekind","given":"Dirk","non-dropping-particle":"","parse-names":false,"suffix":""}],"container-title":"International clinical psychopharmacology","id":"ITEM-1","issue":"4","issued":{"date-parts":[["2015","6","19"]]},"page":"183-192","publisher":"Int Clin Psychopharmacol","title":"Efficacy of treatments for anxiety disorders: a meta-analysis","type":"article-journal","volume":"30"},"uris":["http://www.mendeley.com/documents/?uuid=5cdbf355-2365-3a16-a578-b24cd8853d4f"]}],"mendeley":{"formattedCitation":"(Bandelow et al., 2015)","plainTextFormattedCitation":"(Bandelow et al., 2015)","previouslyFormattedCitation":"(Bandelow et al., 2015)"},"properties":{"noteIndex":0},"schema":"https://github.com/citation-style-language/schema/raw/master/csl-citation.json"}</w:instrText>
      </w:r>
      <w:r w:rsidR="006440D1">
        <w:fldChar w:fldCharType="separate"/>
      </w:r>
      <w:r w:rsidR="006B30C0" w:rsidRPr="006B30C0">
        <w:rPr>
          <w:noProof/>
        </w:rPr>
        <w:t>(Bandelow et al., 2015)</w:t>
      </w:r>
      <w:r w:rsidR="006440D1">
        <w:fldChar w:fldCharType="end"/>
      </w:r>
      <w:r w:rsidR="006440D1">
        <w:t>,</w:t>
      </w:r>
      <w:r w:rsidR="00CA72CE" w:rsidRPr="00441DF8">
        <w:t xml:space="preserve"> thereby </w:t>
      </w:r>
      <w:r w:rsidR="00840DC4">
        <w:t xml:space="preserve">substantially </w:t>
      </w:r>
      <w:r w:rsidR="00CA72CE" w:rsidRPr="00441DF8">
        <w:t>inflating effect sizes for active therapy</w:t>
      </w:r>
      <w:r w:rsidR="00840DC4">
        <w:t xml:space="preserve"> versus control</w:t>
      </w:r>
      <w:r w:rsidR="00CA72CE" w:rsidRPr="00441DF8">
        <w:t xml:space="preserve">. </w:t>
      </w:r>
      <w:r w:rsidR="002F09AA" w:rsidRPr="00441DF8">
        <w:t xml:space="preserve">This </w:t>
      </w:r>
      <w:r w:rsidR="00A22864">
        <w:t>issue of inflating trea</w:t>
      </w:r>
      <w:r w:rsidR="001277AB">
        <w:t>tment effect siz</w:t>
      </w:r>
      <w:r w:rsidR="00A22864">
        <w:t xml:space="preserve">es by using a weak control condition </w:t>
      </w:r>
      <w:r w:rsidR="002F09AA" w:rsidRPr="00A22864">
        <w:t>has also been noted for other compulsive conditions such as OCD</w:t>
      </w:r>
      <w:r w:rsidR="00F34177" w:rsidRPr="00A22864">
        <w:t xml:space="preserve"> </w:t>
      </w:r>
      <w:r w:rsidR="00F34177" w:rsidRPr="00441DF8">
        <w:fldChar w:fldCharType="begin" w:fldLock="1"/>
      </w:r>
      <w:r w:rsidR="00153F12">
        <w:instrText>ADDIN CSL_CITATION {"citationItems":[{"id":"ITEM-1","itemData":{"DOI":"10.3389/FPSYT.2022.877089","ISSN":"16640640","PMID":"35815038","author":[{"dropping-particle":"","family":"Laws","given":"Keith R.","non-dropping-particle":"","parse-names":false,"suffix":""},{"dropping-particle":"","family":"Pellegrini","given":"Luca","non-dropping-particle":"","parse-names":false,"suffix":""},{"dropping-particle":"","family":"Reid","given":"Jemma E.","non-dropping-particle":"","parse-names":false,"suffix":""},{"dropping-particle":"","family":"Drummond","given":"Lynne M.","non-dropping-particle":"","parse-names":false,"suffix":""},{"dropping-particle":"","family":"Fineberg","given":"Naomi A.","non-dropping-particle":"","parse-names":false,"suffix":""}],"container-title":"Frontiers in Psychiatry","id":"ITEM-1","issued":{"date-parts":[["2022","6","22"]]},"page":"877089","publisher":"Frontiers Media SA","title":"The Inflating Impact of Waiting-List Controls on Effect Size Estimates","type":"article-journal","volume":"13"},"uris":["http://www.mendeley.com/documents/?uuid=d4ddc00a-22b9-3563-b0f0-9cf4c5fa9f73"]}],"mendeley":{"formattedCitation":"(Laws, Pellegrini, Reid, Drummond, &amp; Fineberg, 2022)","plainTextFormattedCitation":"(Laws, Pellegrini, Reid, Drummond, &amp; Fineberg, 2022)","previouslyFormattedCitation":"(Laws, Pellegrini, Reid, Drummond, &amp; Fineberg, 2022)"},"properties":{"noteIndex":0},"schema":"https://github.com/citation-style-language/schema/raw/master/csl-citation.json"}</w:instrText>
      </w:r>
      <w:r w:rsidR="00F34177" w:rsidRPr="00441DF8">
        <w:fldChar w:fldCharType="separate"/>
      </w:r>
      <w:r w:rsidR="006B30C0" w:rsidRPr="006B30C0">
        <w:rPr>
          <w:noProof/>
        </w:rPr>
        <w:t>(Laws, Pellegrini, Reid, Drummond, &amp; Fineberg, 2022)</w:t>
      </w:r>
      <w:r w:rsidR="00F34177" w:rsidRPr="00441DF8">
        <w:fldChar w:fldCharType="end"/>
      </w:r>
      <w:r w:rsidR="002F09AA" w:rsidRPr="00441DF8">
        <w:t xml:space="preserve">. </w:t>
      </w:r>
      <w:r w:rsidR="00CA72CE" w:rsidRPr="00441DF8">
        <w:t xml:space="preserve">In contrast, </w:t>
      </w:r>
      <w:r w:rsidR="00B919AD">
        <w:t xml:space="preserve">controlled </w:t>
      </w:r>
      <w:r w:rsidR="00CA72CE" w:rsidRPr="00B919AD">
        <w:t>clinical trials of medications have use</w:t>
      </w:r>
      <w:r w:rsidR="00B919AD">
        <w:t>d</w:t>
      </w:r>
      <w:r w:rsidR="00CA72CE" w:rsidRPr="00B919AD">
        <w:t xml:space="preserve"> placebo control, which is much more conservative</w:t>
      </w:r>
      <w:r w:rsidR="001277AB">
        <w:t xml:space="preserve"> and scientifically rigorous</w:t>
      </w:r>
      <w:r w:rsidR="00CA72CE" w:rsidRPr="00B919AD">
        <w:t xml:space="preserve">. </w:t>
      </w:r>
      <w:r w:rsidR="00D3192D" w:rsidRPr="00B919AD">
        <w:t xml:space="preserve">This issue needs to be considered when weighing the balance in favour of particular </w:t>
      </w:r>
      <w:r w:rsidR="006440D1">
        <w:t>treatment modalities</w:t>
      </w:r>
      <w:r w:rsidR="00D3192D" w:rsidRPr="00B919AD">
        <w:t xml:space="preserve"> for gambling disorder. </w:t>
      </w:r>
      <w:r w:rsidR="0009518E">
        <w:t>A</w:t>
      </w:r>
      <w:r w:rsidR="002B47E1">
        <w:t xml:space="preserve">nother consideration is </w:t>
      </w:r>
      <w:r w:rsidR="007D4E9E">
        <w:t xml:space="preserve">around </w:t>
      </w:r>
      <w:r w:rsidR="002B47E1">
        <w:t>risks – with both medications and therapies being associated with advers</w:t>
      </w:r>
      <w:r w:rsidR="001277AB">
        <w:t>e effects for some individuals, yet adverse events are almost always documented in pharmacological trials but rarely in psychological trials in the field</w:t>
      </w:r>
      <w:r w:rsidR="0009518E">
        <w:t xml:space="preserve"> </w:t>
      </w:r>
      <w:r w:rsidR="0009518E">
        <w:fldChar w:fldCharType="begin" w:fldLock="1"/>
      </w:r>
      <w:r w:rsidR="00153F12">
        <w:instrText>ADDIN CSL_CITATION {"citationItems":[{"id":"ITEM-1","itemData":{"DOI":"10.1037/PST0000359","ISSN":"1939-1536","PMID":"35049321","abstract":"The assessment of safety data has become a standard across many clinical interventions. The aim of this systematic review is to investigate the extent to which harm is addressed within psychotherapy study protocols. The review includes study protocols of randomized controlled trials published between 2004 and 2017 investigating the effects of psychotherapy in adult patients with affective disorders, phobia, anxiety, obsessive–compulsive disorder, posttraumatic stress disorder, and/or personality disorders. We conducted a systematic search in the CENTRAL, Medline, PsycINFO, and Web of Science databases as well as in relevant journals. In total, 115 study protocols were included, examining 168 psychotherapy and 85 control conditions. These protocols differed considerably in the way they conceptualized harm: 77 explicitly addressed harm, 62 considered serious adverse events, and 39 considered adverse events. Although serious adverse events were defined somewhat consistently, adverse events were not. Our results imply that clinical researchers do not apply standardized approaches with regard to harm concepts, assessment, and management. To gather data on frequencies of harmful effects, we argue a higher degree of standardization would be useful. Feasible recommendations are provided based on examples of good practice from the reviewed study protocols.","author":[{"dropping-particle":"","family":"Klatte","given":"Rahel","non-dropping-particle":"","parse-names":false,"suffix":""},{"dropping-particle":"","family":"Strauss","given":"Bernhard","non-dropping-particle":"","parse-names":false,"suffix":""},{"dropping-particle":"","family":"Flückiger","given":"Christoph","non-dropping-particle":"","parse-names":false,"suffix":""},{"dropping-particle":"","family":"Färber","given":"Francesca","non-dropping-particle":"","parse-names":false,"suffix":""},{"dropping-particle":"","family":"Rosendahl","given":"Jenny","non-dropping-particle":"","parse-names":false,"suffix":""}],"container-title":"Psychotherapy (Chicago, Ill.)","id":"ITEM-1","issue":"1","issued":{"date-parts":[["2023","1","20"]]},"page":"130-148","publisher":"Psychotherapy (Chic)","title":"Defining and assessing adverse events and harmful effects in psychotherapy study protocols: A systematic review","type":"article-journal","volume":"60"},"uris":["http://www.mendeley.com/documents/?uuid=c97fb70f-f471-3a77-9797-2ef92ff787af"]}],"mendeley":{"formattedCitation":"(Klatte, Strauss, Flückiger, Färber, &amp; Rosendahl, 2023)","plainTextFormattedCitation":"(Klatte, Strauss, Flückiger, Färber, &amp; Rosendahl, 2023)","previouslyFormattedCitation":"(Klatte, Strauss, Flückiger, Färber, &amp; Rosendahl, 2023)"},"properties":{"noteIndex":0},"schema":"https://github.com/citation-style-language/schema/raw/master/csl-citation.json"}</w:instrText>
      </w:r>
      <w:r w:rsidR="0009518E">
        <w:fldChar w:fldCharType="separate"/>
      </w:r>
      <w:r w:rsidR="006B30C0" w:rsidRPr="006B30C0">
        <w:rPr>
          <w:noProof/>
        </w:rPr>
        <w:t>(Klatte, Strauss, Flückiger, Färber, &amp; Rosendahl, 2023)</w:t>
      </w:r>
      <w:r w:rsidR="0009518E">
        <w:fldChar w:fldCharType="end"/>
      </w:r>
      <w:r w:rsidR="001277AB">
        <w:t xml:space="preserve">. </w:t>
      </w:r>
    </w:p>
    <w:p w14:paraId="7A2DDC3E" w14:textId="77777777" w:rsidR="00947874" w:rsidRDefault="00947874" w:rsidP="00947874">
      <w:r>
        <w:t xml:space="preserve">Little is yet known about the neurobiological determinants of the placebo effects in pharmacological trials of gambling disorder. We know that, in general, the placebo effect is mediated by diverse neurobiological processes, including learning, expectation and social cognition </w:t>
      </w:r>
      <w:r>
        <w:fldChar w:fldCharType="begin" w:fldLock="1"/>
      </w:r>
      <w:r>
        <w:instrText>ADDIN CSL_CITATION {"citationItems":[{"id":"ITEM-1","itemData":{"DOI":"10.1038/NRN3976","ISSN":"14710048","PMID":"26087681","abstract":"Placebo effects are beneficial effects that are attributable to the brain-mind responses to the context in which a treatment is delivered rather than to the specific actions of the drug. They are mediated by diverse processes-including learning, expectations and social cognition-and can influence various clinical and physiological outcomes related to health. Emerging neuroscience evidence implicates multiple brain systems and neurochemical mediators, including opioids and dopamine. We present an empirical review of the brain systems that are involved in placebo effects, focusing on placebo analgesia, and a conceptual framework linking these findings to the mind-brain processes that mediate them. This framework suggests that the neuropsychological processes that mediate placebo effects may be crucial for a wide array of therapeutic approaches, including many drugs.","author":[{"dropping-particle":"","family":"Wager","given":"Tor D.","non-dropping-particle":"","parse-names":false,"suffix":""},{"dropping-particle":"","family":"Atlas","given":"Lauren Y.","non-dropping-particle":"","parse-names":false,"suffix":""}],"container-title":"Nature reviews. Neuroscience","id":"ITEM-1","issue":"7","issued":{"date-parts":[["2015","7","22"]]},"page":"403","publisher":"NIH Public Access","title":"The neuroscience of placebo effects: connecting context, learning and health","type":"article-journal","volume":"16"},"uris":["http://www.mendeley.com/documents/?uuid=279a14e9-940b-3a66-9796-81e57fa6414a"]}],"mendeley":{"formattedCitation":"(Wager &amp; Atlas, 2015)","plainTextFormattedCitation":"(Wager &amp; Atlas, 2015)","previouslyFormattedCitation":"(Wager &amp; Atlas, 2015)"},"properties":{"noteIndex":0},"schema":"https://github.com/citation-style-language/schema/raw/master/csl-citation.json"}</w:instrText>
      </w:r>
      <w:r>
        <w:fldChar w:fldCharType="separate"/>
      </w:r>
      <w:r w:rsidRPr="00FC65F0">
        <w:rPr>
          <w:noProof/>
        </w:rPr>
        <w:t>(Wager &amp; Atlas, 2015)</w:t>
      </w:r>
      <w:r>
        <w:fldChar w:fldCharType="end"/>
      </w:r>
      <w:r>
        <w:t xml:space="preserve">. Commonalities in the neurobiological characteristics  of gamblers e.g. heightened impulsivity </w:t>
      </w:r>
      <w:r>
        <w:fldChar w:fldCharType="begin" w:fldLock="1"/>
      </w:r>
      <w:r>
        <w:instrText>ADDIN CSL_CITATION {"citationItems":[{"id":"ITEM-1","itemData":{"DOI":"10.1038/s41386-019-0393-9","ISSN":"0893-133X","abstract":"Gambling Disorder is a prevalent psychiatric condition often linked to dysfunction of cognitive domains regulating impulsive behavior. Despite the centrality of impulsivity to neurobiological models of Gambling Disorder, a comprehensive meta-analysis of all impulsive cognitive domains has yet to be conducted. It is also not clear whether cognitive deficits in Gambling Disorder extend to those with problem (at-risk) gambling. A systematic review was undertaken of case–control studies examining the following cognitive domains in Gambling Disorder or in at-risk (problem) gambling: attentional inhibition, motor inhibition, discounting, decision-making, and reflection impulsivity. Case–control differences in cognition were identified using meta-analysis (random-effects modeling). Moderation analysis explored potential influences of age, gender, presence/absence of comorbidities in cases, geographical region, and study quality on cognitive performance. Gambling Disorder was associated with significant impairments in motor (g = 0.39–0.48) and attentional (g = 0.55) inhibition, discounting (g = 0.66), and decision-making (g = 0.63) tasks. For problem gambling, only decision-making had sufficient data for meta-analysis, yielding significant impairment versus controls (g = 0.66); however, study quality was relatively low. Insufficient data were available for meta-analysis of reflection impulsivity. There was evidence for significant publication bias only for the discounting domain, after an outlier study was excluded. Study quality overall was reasonable (mean score 71.9% of maximum), but most studies (~85%) did not screen for comorbid impulse control and related disorders. This meta-analysis indicates heightened impulsivity across a range of cognitive domains in Gambling Disorder. Decision-making impulsivity may extend to problem (at-risk) gambling, but further studies are needed to confirm such candidate cognitive vulnerability markers.","author":[{"dropping-particle":"","family":"Ioannidis","given":"Konstantinos","non-dropping-particle":"","parse-names":false,"suffix":""},{"dropping-particle":"","family":"Hook","given":"Roxanne","non-dropping-particle":"","parse-names":false,"suffix":""},{"dropping-particle":"","family":"Wickham","given":"Katie","non-dropping-particle":"","parse-names":false,"suffix":""},{"dropping-particle":"","family":"Grant","given":"Jon E.","non-dropping-particle":"","parse-names":false,"suffix":""},{"dropping-particle":"","family":"Chamberlain","given":"Samuel R.","non-dropping-particle":"","parse-names":false,"suffix":""}],"container-title":"Neuropsychopharmacology","id":"ITEM-1","issue":"8","issued":{"date-parts":[["2019","7","16"]]},"page":"1354-1361","publisher":"Nature Publishing Group","title":"Impulsivity in Gambling Disorder and problem gambling: a meta-analysis","type":"article-journal","volume":"44"},"uris":["http://www.mendeley.com/documents/?uuid=af0f2ccb-48a4-3f37-9786-b37defb45917"]}],"mendeley":{"formattedCitation":"(Ioannidis, Hook, Wickham, Grant, &amp; Chamberlain, 2019)","plainTextFormattedCitation":"(Ioannidis, Hook, Wickham, Grant, &amp; Chamberlain, 2019)","previouslyFormattedCitation":"(Ioannidis, Hook, Wickham, Grant, &amp; Chamberlain, 2019)"},"properties":{"noteIndex":0},"schema":"https://github.com/citation-style-language/schema/raw/master/csl-citation.json"}</w:instrText>
      </w:r>
      <w:r>
        <w:fldChar w:fldCharType="separate"/>
      </w:r>
      <w:r w:rsidRPr="00FC65F0">
        <w:rPr>
          <w:noProof/>
        </w:rPr>
        <w:t>(Ioannidis, Hook, Wickham, Grant, &amp; Chamberlain, 2019)</w:t>
      </w:r>
      <w:r>
        <w:fldChar w:fldCharType="end"/>
      </w:r>
      <w:r>
        <w:t xml:space="preserve"> or a dysregulated anticipatory dopaminergic response </w:t>
      </w:r>
      <w:r>
        <w:fldChar w:fldCharType="begin" w:fldLock="1"/>
      </w:r>
      <w:r>
        <w:instrText>ADDIN CSL_CITATION {"citationItems":[{"id":"ITEM-1","itemData":{"DOI":"10.1016/J.PNPBP.2019.109802","ISSN":"0278-5846","PMID":"31678482","abstract":"The dopamine system is associated with reward processes in both gambling disorder and substance use disorder, and may constitute a common neurobiological underpinning in addiction. The present review examines differences and similarities of dopaminergic reward processes in gambling disorder and substance use disorder. First, it is suggested that baseline binding potentials of the dopamine system may not be a common pathway, since substance use disorder is associated with reduced binding potentials, whereas gambling disorder is not. Second, it is suggested that dopaminergic reward response may be not a common pathway, since substance use disorder is associated with a blunted dopamine response toward drugs, while conflicting findings of reward response has been reported in gambling disorder. Instead, it is suggested that the anticpatory dopamine response may constitute a common underpinning of gambling disorder and substance use disorder, which may be associated with increased dopamine activity in both types of disorder, and does not involve the intake of substances. The notion of the anticipatory dopamine response as a common underpinning of gambling disorder and substance use disorder is consistent with dopaminergic models of addictions such as the incentive-sensitization model, the ingrative neurodevelopmental model of vulnerability toward addiction and the reward prediction error model.","author":[{"dropping-particle":"","family":"Linnet","given":"Jakob","non-dropping-particle":"","parse-names":false,"suffix":""}],"container-title":"Progress in Neuro-Psychopharmacology and Biological Psychiatry","id":"ITEM-1","issued":{"date-parts":[["2020","3","2"]]},"page":"109802","publisher":"Elsevier","title":"The anticipatory dopamine response in addiction: A common neurobiological underpinning of gambling disorder and substance use disorder?","type":"article-journal","volume":"98"},"uris":["http://www.mendeley.com/documents/?uuid=60a685e0-9693-39a5-822a-fb57902fce45"]}],"mendeley":{"formattedCitation":"(Linnet, 2020)","plainTextFormattedCitation":"(Linnet, 2020)","previouslyFormattedCitation":"(Linnet, 2020)"},"properties":{"noteIndex":0},"schema":"https://github.com/citation-style-language/schema/raw/master/csl-citation.json"}</w:instrText>
      </w:r>
      <w:r>
        <w:fldChar w:fldCharType="separate"/>
      </w:r>
      <w:r w:rsidRPr="00FC65F0">
        <w:rPr>
          <w:noProof/>
        </w:rPr>
        <w:t>(Linnet, 2020)</w:t>
      </w:r>
      <w:r>
        <w:fldChar w:fldCharType="end"/>
      </w:r>
      <w:r>
        <w:t xml:space="preserve"> could predispose to heightened placebo or nocebo responses, by altering underlying learning and reward expectation processes. Future studies could further investigate those neurobiological processes involved in the production of placebo and nocebo effects in gambling disorder. </w:t>
      </w:r>
    </w:p>
    <w:p w14:paraId="6D886FDA" w14:textId="77777777" w:rsidR="006440D1" w:rsidRDefault="006440D1" w:rsidP="006440D1">
      <w:pPr>
        <w:pStyle w:val="Heading3"/>
      </w:pPr>
      <w:r>
        <w:lastRenderedPageBreak/>
        <w:t>Study design elements, including blinding integrity</w:t>
      </w:r>
    </w:p>
    <w:p w14:paraId="2637DEA2" w14:textId="77777777" w:rsidR="006440D1" w:rsidRDefault="006440D1" w:rsidP="006440D1">
      <w:r>
        <w:t>Study duration significantly moderated placebo response specifically for one symptom severity measure (CGI) and also for quality of life: with shorter duration linked to lower placebo effect on CGI, and linked to larger placebo effect on quality of life. The reasons for these results are unclear. We did not find that unbalanced randomization moderated any of the meta-analyses effects.</w:t>
      </w:r>
    </w:p>
    <w:p w14:paraId="4864AE90" w14:textId="69D728FB" w:rsidR="006440D1" w:rsidRDefault="006440D1" w:rsidP="006440D1">
      <w:r>
        <w:t xml:space="preserve">In addition, placebo run-in (present in 38.9% or 7 out of 18 studies) did not significantly moderate the placebo response, indicating that inclusion of such a run-in did not help minimise placebo effect size - contrary to what might be anticipated. Nonetheless, this accords with findings in antidepressant trials, where placebo run-in periods are associated with reductions in treatment response in </w:t>
      </w:r>
      <w:r>
        <w:rPr>
          <w:i/>
          <w:iCs/>
        </w:rPr>
        <w:t>both</w:t>
      </w:r>
      <w:r>
        <w:t xml:space="preserve"> arms and thereby not altering the efficacy comparison between medication and placebo </w:t>
      </w:r>
      <w:r>
        <w:fldChar w:fldCharType="begin" w:fldLock="1"/>
      </w:r>
      <w:r w:rsidR="00153F12">
        <w:instrText>ADDIN CSL_CITATION {"citationItems":[{"id":"ITEM-1","itemData":{"DOI":"10.1001/JAMAPSYCHIATRY.2021.3204","ISSN":"2168-6238","PMID":"34757405","abstract":"Importance: Single-blind placebo run-in (PRI) periods are common in randomized clinical trials (RCTs) of treatment for depression. They aim to increase sensitivity to detect drug effects; however, the association of PRI periods with study outcomes remains unclear. This is concerning given the costs of PRI periods to patients and investigators. Objective: To examine the association of the use of PRI periods with the placebo response, drug response, and drug-placebo difference among RCTs of antidepressants. Data Sources: MEDLINE, Embase, the Cochrane Central Register of Controlled Trials, and PsycINFO, as well as repositories of unpublished studies, were systematically searched up to July 2021. Study Selection: Included studies were double-blind, placebo-controlled RCTs of antidepressant medication among adults with depressive disorders. Data Extraction and Synthesis: Data were extracted into a coding sheet, including the characteristics of studies, the characteristics of PRI periods, and the outcomes of studies. Main Outcomes and Measures: Study outcomes were the primary depression symptom measure reported by the RCT. These outcomes were used to calculate effect sizes (Hedges g) of the within-group drug response and placebo response as well as the drug-placebo difference. Random-effects meta-analysis was used to calculate effect sizes, and subgroup analyses were used to compare outcomes depending on use of PRI periods. Results: A total of 347 trials (representing 89183 participants) were included; 174 studies (50%) reported using a single-blind PRI period. Response outcome data were available for 189 studies. Studies using PRI periods reported a smaller placebo response (g = 1.05 [95% CI, 0.98-1.11]; I2= 82%) than studies that did not use a PRI period (g = 1.15 [95% CI, 1.09-1.21]; I2= 81%; P =.02). Subgroup analysis showed a larger drug response size among studies that did not use a PRI period (g = 1.55 [95% CI, 1.49-1.61]; I2= 85%) than those that did use a PRI period (g = 1.42 [95% CI, 1.36-1.48]; I2= 81%; P =.001). The drug-placebo difference did not differ by use of PRI periods (g = 0.33 [95% CI, 0.29-0.38]; I2= 47% for use of a PRI period vs g = 0.34 [95% CI, 0.30-0.38]; I2= 54% for no use of PRI periods; P =.92). The likelihood of response to drug vs placebo also did not differ between studies that used a PRI period (odds ratio, 1.89 [95% CI, 1.76-2.03]) and those that did not use a PRI period (odds ratio, 1.77 [95% CI, 1.65-1.89]; P =.18). Conclu…","author":[{"dropping-particle":"","family":"Scott","given":"Amelia J.","non-dropping-particle":"","parse-names":false,"suffix":""},{"dropping-particle":"","family":"Sharpe","given":"Louise","non-dropping-particle":"","parse-names":false,"suffix":""},{"dropping-particle":"","family":"Quinn","given":"Veronica","non-dropping-particle":"","parse-names":false,"suffix":""},{"dropping-particle":"","family":"Colagiuri","given":"Ben","non-dropping-particle":"","parse-names":false,"suffix":""}],"container-title":"JAMA psychiatry","id":"ITEM-1","issue":"1","issued":{"date-parts":[["2022","1","1"]]},"page":"42-49","publisher":"JAMA Psychiatry","title":"Association of Single-blind Placebo Run-in Periods With the Placebo Response in Randomized Clinical Trials of Antidepressants: A Systematic Review and Meta-analysis","type":"article-journal","volume":"79"},"uris":["http://www.mendeley.com/documents/?uuid=23eb3770-09e2-395c-832a-3d2a9760f7ce"]}],"mendeley":{"formattedCitation":"(Scott, Sharpe, Quinn, &amp; Colagiuri, 2022)","plainTextFormattedCitation":"(Scott, Sharpe, Quinn, &amp; Colagiuri, 2022)","previouslyFormattedCitation":"(Scott, Sharpe, Quinn, &amp; Colagiuri, 2022)"},"properties":{"noteIndex":0},"schema":"https://github.com/citation-style-language/schema/raw/master/csl-citation.json"}</w:instrText>
      </w:r>
      <w:r>
        <w:fldChar w:fldCharType="separate"/>
      </w:r>
      <w:r w:rsidR="006B30C0" w:rsidRPr="006B30C0">
        <w:rPr>
          <w:noProof/>
        </w:rPr>
        <w:t>(Scott, Sharpe, Quinn, &amp; Colagiuri, 2022)</w:t>
      </w:r>
      <w:r>
        <w:fldChar w:fldCharType="end"/>
      </w:r>
      <w:r>
        <w:t>. Given that using placebo run-in periods does not minimise placebo effect size, could affect the external validity of the trial, and necessarily involves deception which could be considered unethical, we would recommend against their use in pharmacological trials for gambling disorder.</w:t>
      </w:r>
    </w:p>
    <w:p w14:paraId="5989AF9D" w14:textId="5E915FE3" w:rsidR="006440D1" w:rsidRDefault="006440D1" w:rsidP="006440D1">
      <w:r>
        <w:t xml:space="preserve">We also found that none of the studies assessed blinding success (i.e.  </w:t>
      </w:r>
      <w:proofErr w:type="gramStart"/>
      <w:r>
        <w:t>through</w:t>
      </w:r>
      <w:proofErr w:type="gramEnd"/>
      <w:r>
        <w:t xml:space="preserve"> debriefing of participants and/or research staff). One study made a specific effort to prevent side effects </w:t>
      </w:r>
      <w:r>
        <w:fldChar w:fldCharType="begin" w:fldLock="1"/>
      </w:r>
      <w:r w:rsidR="00153F12">
        <w:instrText>ADDIN CSL_CITATION {"citationItems":[{"id":"ITEM-1","itemData":{"DOI":"10.4088/JCP.v69n0511","ISSN":"01606689","PMID":"18384246","abstract":"Objective: Pathological gambling (PG) is a disabling disorder experienced by approximately 1% of adults and for which few empirically validated treatments exist. This study examined the efficacy and tolerability of the opioid antagonist naltrexone in adults with PG who have urges to gamble. Method: An 18-week, double-blind, placebo-controlled trial was conducted to evaluate the safety and efficacy of 3 doses of oral naltrexone for PG. Seventy-seven individuals with DSM-IVTR PG were randomly assigned to naltrexone (50 mg/day, 100 mg/day, or 150 mg/day) or placebo. Subjects were assessed with the Pathological Gambling Adaptation of the Yale-Brown Obsessive Compulsive Scale (PG-YBOCS), the urge and behavior subscales of the PG-YBOCS, the Gambling Symptom Assessment Scale (G-SAS), the Clinical Global Impressions-Severity of Illness scale (CGI-S), and measures of depression, anxiety, and psychosocial functioning. Data were collected from September 2002 to June 2005. Results: Outcomes did not significantly differ between the various doses of naltrexone. Subjects assigned to naltrexone had significantly greater reductions in PG-YBOCS total scores (p = .0094), gambling urges (p = .0053), and gambling behavior (p = .0134) compared to subjects assigned to placebo. Subjects assigned to naltrexone also had greater improvement in overall gambling severity (reflected in the CGI-S scores) (p = .0080) and in psychosocial functioning (p = .0177) than subjects assigned to placebo. A completer analysis (N = 49) demonstrated significantly greater improvement on all variables for subjects assigned to naltrexone. A sex analysis demonstrated that men and women did not differ significantly in their response to naltrexone. Conclusion: Subjects assigned to naltrexone demonstrated statistically significant reductions in gambling urges and behavior in PG. Low-dose naltrexone (50 mg/day) appeared as efficacious as higher doses (100 mg/day and 150 mg/day), and all doses were well tolerated. © Copyright 2008 Physicians Postgraduate Press Inc.","author":[{"dropping-particle":"","family":"Grant","given":"Jon E.","non-dropping-particle":"","parse-names":false,"suffix":""},{"dropping-particle":"","family":"Suck","given":"Won Kim","non-dropping-particle":"","parse-names":false,"suffix":""},{"dropping-particle":"","family":"Hartman","given":"Boyd K.","non-dropping-particle":"","parse-names":false,"suffix":""}],"container-title":"Journal of Clinical Psychiatry","id":"ITEM-1","issue":"5","issued":{"date-parts":[["2008"]]},"page":"783-789","publisher":"Physicians Postgraduate Press Inc.","title":"A double-blind, placebo-controlled study of the opiate antagonist naltrexone in the treatment of pathological gambling urges","type":"article-journal","volume":"69"},"uris":["http://www.mendeley.com/documents/?uuid=61e21fe1-c676-361f-ac11-572eea48329d"]}],"mendeley":{"formattedCitation":"(J. E. Grant, Suck, &amp; Hartman, 2008)","plainTextFormattedCitation":"(J. E. Grant, Suck, &amp; Hartman, 2008)","previouslyFormattedCitation":"(J. E. Grant, Suck, &amp; Hartman, 2008)"},"properties":{"noteIndex":0},"schema":"https://github.com/citation-style-language/schema/raw/master/csl-citation.json"}</w:instrText>
      </w:r>
      <w:r>
        <w:fldChar w:fldCharType="separate"/>
      </w:r>
      <w:r w:rsidR="006B30C0" w:rsidRPr="006B30C0">
        <w:rPr>
          <w:noProof/>
        </w:rPr>
        <w:t>(J. E. Grant, Suck, &amp; Hartman, 2008)</w:t>
      </w:r>
      <w:r>
        <w:fldChar w:fldCharType="end"/>
      </w:r>
      <w:r>
        <w:t xml:space="preserve"> and utilized an independent investigator at expected peak of side effects to avoid un-blinding due to common side effects. </w:t>
      </w:r>
    </w:p>
    <w:p w14:paraId="39691B3F" w14:textId="630F688D" w:rsidR="00CB2C0E" w:rsidRPr="00B919AD" w:rsidRDefault="00CB2C0E">
      <w:pPr>
        <w:pStyle w:val="Heading3"/>
      </w:pPr>
      <w:r w:rsidRPr="00CA6246">
        <w:t>Medication class</w:t>
      </w:r>
    </w:p>
    <w:p w14:paraId="63DEBDA0" w14:textId="5BCAB6E5" w:rsidR="000B4AE7" w:rsidRDefault="006F479D" w:rsidP="00717FB9">
      <w:r w:rsidRPr="006F479D">
        <w:t>Turning now to significant moderators of placebo effects in this study, we found that the supplements medication class, here including n-acetyl cysteine (NAC) and silymarin</w:t>
      </w:r>
      <w:r w:rsidR="00D23077">
        <w:t xml:space="preserve">, </w:t>
      </w:r>
      <w:r w:rsidR="000028DB">
        <w:t>moderated a higher placebo effect size for symptom severity measures overall.</w:t>
      </w:r>
      <w:r w:rsidR="00D23077">
        <w:t xml:space="preserve"> This is interesting in that supplement medications are often perceived by service users as “innoc</w:t>
      </w:r>
      <w:r w:rsidR="000028DB">
        <w:t>uous” or not likely to have any side effects</w:t>
      </w:r>
      <w:r w:rsidR="00C75939">
        <w:t xml:space="preserve"> </w:t>
      </w:r>
      <w:r w:rsidR="00C75939">
        <w:fldChar w:fldCharType="begin" w:fldLock="1"/>
      </w:r>
      <w:r w:rsidR="006B30C0">
        <w:instrText>ADDIN CSL_CITATION {"citationItems":[{"id":"ITEM-1","itemData":{"DOI":"10.1016/S0002-9343(97)00397-5","ISSN":"0002-9343","PMID":"9528737","abstract":"Herbal medicines have become a popular form of therapy. They are often perceived as being natural and therefore harmless. This article reviews the recent literature on the adverse effects of herbal remedies. Examples of allergic reactions, toxic reactions, adverse effects related to an herb's desired pharmacological actions, possible mutagenic effects, drug interactions, drug contamination, and mistaken plant identities are provided. Because of underreporting, our present knowledge may well be just the 'tip of the iceberg.' Little is known about the relative safety of herbal remedies compared to synthetic drug treatments, although for some herbal remedies, the risks may be less than for conventional drugs.","author":[{"dropping-particle":"","family":"Ernst","given":"Edzard","non-dropping-particle":"","parse-names":false,"suffix":""}],"container-title":"The American Journal of Medicine","id":"ITEM-1","issue":"2","issued":{"date-parts":[["1998","2","1"]]},"page":"170-178","publisher":"Elsevier","title":"Harmless Herbs? A Review of the Recent Literature","type":"article-journal","volume":"104"},"uris":["http://www.mendeley.com/documents/?uuid=bd7dd4c9-4598-32bb-8676-542ea12ce218"]}],"mendeley":{"formattedCitation":"(Ernst, 1998)","plainTextFormattedCitation":"(Ernst, 1998)","previouslyFormattedCitation":"(Ernst, 1998)"},"properties":{"noteIndex":0},"schema":"https://github.com/citation-style-language/schema/raw/master/csl-citation.json"}</w:instrText>
      </w:r>
      <w:r w:rsidR="00C75939">
        <w:fldChar w:fldCharType="separate"/>
      </w:r>
      <w:r w:rsidR="006B30C0" w:rsidRPr="006B30C0">
        <w:rPr>
          <w:noProof/>
        </w:rPr>
        <w:t>(Ernst, 1998)</w:t>
      </w:r>
      <w:r w:rsidR="00C75939">
        <w:fldChar w:fldCharType="end"/>
      </w:r>
      <w:r w:rsidR="000028DB">
        <w:t>.</w:t>
      </w:r>
      <w:r w:rsidR="00D23077">
        <w:t xml:space="preserve"> </w:t>
      </w:r>
      <w:r w:rsidR="000B4AE7">
        <w:t>St</w:t>
      </w:r>
      <w:r w:rsidR="000B4AE7" w:rsidRPr="000B4AE7">
        <w:t>rong</w:t>
      </w:r>
      <w:r w:rsidR="006440D1">
        <w:t>er</w:t>
      </w:r>
      <w:r w:rsidR="000B4AE7" w:rsidRPr="000B4AE7">
        <w:t xml:space="preserve"> placebo response</w:t>
      </w:r>
      <w:r w:rsidR="006440D1">
        <w:t>s</w:t>
      </w:r>
      <w:r w:rsidR="000B4AE7" w:rsidRPr="000B4AE7">
        <w:t xml:space="preserve"> </w:t>
      </w:r>
      <w:r w:rsidR="006440D1">
        <w:t>might</w:t>
      </w:r>
      <w:r w:rsidR="000B4AE7">
        <w:t xml:space="preserve"> </w:t>
      </w:r>
      <w:r w:rsidR="006440D1">
        <w:t>o</w:t>
      </w:r>
      <w:r w:rsidR="0009518E">
        <w:t>c</w:t>
      </w:r>
      <w:r w:rsidR="006440D1">
        <w:t>cur</w:t>
      </w:r>
      <w:r w:rsidR="000B4AE7">
        <w:t xml:space="preserve"> because individuals perceive supplements as a ‘more natural’ way to correct symptoms or more acceptable. Another possibility is that due to relatively good side effect profiles observed for these supplements in clinical trial conditions, blinding may have been ‘truer’ as compared to studies </w:t>
      </w:r>
      <w:r w:rsidR="006440D1">
        <w:t>of</w:t>
      </w:r>
      <w:r w:rsidR="000B4AE7">
        <w:t xml:space="preserve"> other classes of medications that are more likely to have side effects. </w:t>
      </w:r>
      <w:r w:rsidR="006440D1">
        <w:t xml:space="preserve">However, we currently do not have the data to make inferences </w:t>
      </w:r>
      <w:r w:rsidR="006440D1">
        <w:lastRenderedPageBreak/>
        <w:t xml:space="preserve">regarding the effect that side-effects or beliefs might have on blinding and thus estimates of efficacy. </w:t>
      </w:r>
      <w:r w:rsidR="000B4AE7">
        <w:t>Future studies could address the success or otherwise of blinding by debriefing both study participants and investigators after trial completion</w:t>
      </w:r>
      <w:r w:rsidR="000028DB">
        <w:t xml:space="preserve"> </w:t>
      </w:r>
      <w:r w:rsidR="000028DB" w:rsidRPr="000028DB">
        <w:t>with standard instruments such as the ‘guess of treatment’ questionnaire</w:t>
      </w:r>
      <w:r w:rsidR="000028DB">
        <w:t xml:space="preserve"> </w:t>
      </w:r>
      <w:r w:rsidR="000028DB">
        <w:fldChar w:fldCharType="begin" w:fldLock="1"/>
      </w:r>
      <w:r w:rsidR="00153F12">
        <w:instrText>ADDIN CSL_CITATION {"citationItems":[{"id":"ITEM-1","itemData":{"DOI":"10.31234/OSF.IO/WQPD2","author":[{"dropping-particle":"","family":"Szigeti","given":"Balázs","non-dropping-particle":"","parse-names":false,"suffix":""},{"dropping-particle":"","family":"Nutt","given":"David","non-dropping-particle":"","parse-names":false,"suffix":""},{"dropping-particle":"","family":"Carhart-Harris","given":"Robin","non-dropping-particle":"","parse-names":false,"suffix":""},{"dropping-particle":"","family":"Erritzoe","given":"David","non-dropping-particle":"","parse-names":false,"suffix":""}],"container-title":"OSF pre-print","id":"ITEM-1","issued":{"date-parts":[["2024","3","9"]]},"publisher":"OSF","title":"Guess of Treatment questionnaire","type":"article-journal"},"uris":["http://www.mendeley.com/documents/?uuid=e33802dd-6c8b-33ed-a024-d901073622c1"]},{"id":"ITEM-2","itemData":{"DOI":"doi:10.31219/osf.io/fp3gs","author":[{"dropping-particle":"","family":"Haq","given":"Ruqayyah","non-dropping-particle":"","parse-names":false,"suffix":""},{"dropping-particle":"","family":"Molteni","given":"Laura","non-dropping-particle":"","parse-names":false,"suffix":""},{"dropping-particle":"","family":"Huneke","given":"Nathan","non-dropping-particle":"","parse-names":false,"suffix":""}],"container-title":"OSF (Pre-print)","id":"ITEM-2","issued":{"date-parts":[["2024"]]},"title":"The Relationship Between Blinding Integrity and Treatment Efficacy in Randomised-Controlled Trials in Patients with Anxiety Disorders: A Systematic Review and Meta-Analysis","type":"article-journal"},"uris":["http://www.mendeley.com/documents/?uuid=8de03923-2057-4855-82af-f17074800bf7","http://www.mendeley.com/documents/?uuid=db44a36e-f9fa-40fc-a128-36ad5146b079"]}],"mendeley":{"formattedCitation":"(Haq, Molteni, &amp; Huneke, 2024; Szigeti, Nutt, Carhart-Harris, &amp; Erritzoe, 2024)","plainTextFormattedCitation":"(Haq, Molteni, &amp; Huneke, 2024; Szigeti, Nutt, Carhart-Harris, &amp; Erritzoe, 2024)","previouslyFormattedCitation":"(Haq, Molteni, &amp; Huneke, 2024; Szigeti, Nutt, Carhart-Harris, &amp; Erritzoe, 2024)"},"properties":{"noteIndex":0},"schema":"https://github.com/citation-style-language/schema/raw/master/csl-citation.json"}</w:instrText>
      </w:r>
      <w:r w:rsidR="000028DB">
        <w:fldChar w:fldCharType="separate"/>
      </w:r>
      <w:r w:rsidR="006B30C0" w:rsidRPr="006B30C0">
        <w:rPr>
          <w:noProof/>
        </w:rPr>
        <w:t>(Haq, Molteni, &amp; Huneke, 2024; Szigeti, Nutt, Carhart-Harris, &amp; Erritzoe, 2024)</w:t>
      </w:r>
      <w:r w:rsidR="000028DB">
        <w:fldChar w:fldCharType="end"/>
      </w:r>
      <w:r w:rsidR="000B4AE7">
        <w:t xml:space="preserve">. </w:t>
      </w:r>
    </w:p>
    <w:p w14:paraId="7C390653" w14:textId="05D2B349" w:rsidR="00CB2C0E" w:rsidRDefault="00CB2C0E" w:rsidP="00CB2C0E">
      <w:pPr>
        <w:pStyle w:val="Heading3"/>
      </w:pPr>
      <w:r>
        <w:t>Recency of publication</w:t>
      </w:r>
    </w:p>
    <w:p w14:paraId="08F5D361" w14:textId="5EC820C9" w:rsidR="00EB1198" w:rsidRDefault="000028DB" w:rsidP="00717FB9">
      <w:r>
        <w:t>W</w:t>
      </w:r>
      <w:r w:rsidR="00047068">
        <w:t>e found</w:t>
      </w:r>
      <w:r>
        <w:t xml:space="preserve"> that</w:t>
      </w:r>
      <w:r w:rsidR="00047068">
        <w:t xml:space="preserve"> </w:t>
      </w:r>
      <w:r w:rsidR="00FB14FF">
        <w:t>later</w:t>
      </w:r>
      <w:r w:rsidR="00047068">
        <w:t xml:space="preserve"> year of publication</w:t>
      </w:r>
      <w:r w:rsidR="00FB14FF">
        <w:t xml:space="preserve"> pred</w:t>
      </w:r>
      <w:r>
        <w:t xml:space="preserve">icted </w:t>
      </w:r>
      <w:r w:rsidR="00FB14FF">
        <w:t>higher placebo effect sizes</w:t>
      </w:r>
      <w:r w:rsidR="00C26EA5">
        <w:t>, for symptom severity measures overall</w:t>
      </w:r>
      <w:r w:rsidR="00FB14FF">
        <w:t xml:space="preserve">. One could expect that newer studies would follow more rigorous approaches to standardizing placebo procedures, leading to diminished </w:t>
      </w:r>
      <w:r>
        <w:t xml:space="preserve">or stable </w:t>
      </w:r>
      <w:r w:rsidR="00FB14FF">
        <w:t>placebo effects, however this is not the case</w:t>
      </w:r>
      <w:r w:rsidR="006F479D">
        <w:t xml:space="preserve"> here</w:t>
      </w:r>
      <w:r w:rsidR="00FB14FF">
        <w:t>.</w:t>
      </w:r>
      <w:r w:rsidR="00EB1198">
        <w:t xml:space="preserve"> Interestingly, across psychiatric disorders in general, it has been shown that placebo effects have been larger with more recent publications </w:t>
      </w:r>
      <w:r w:rsidR="007120B3">
        <w:fldChar w:fldCharType="begin" w:fldLock="1"/>
      </w:r>
      <w:r w:rsidR="00D257AC">
        <w:instrText>ADDIN CSL_CITATION {"citationItems":[{"id":"ITEM-1","itemData":{"DOI":"10.1016/S2215-0366(14)00092-3","ISSN":"2215-0366","PMID":"25815249","abstract":"A strong placebo response in psychiatric disorders has been noted for the past 50 years and various attempts have been made to identify predictors of it, by use of meta-analyses of randomised controlled trials and laboratory studies. We reviewed 31 meta-analyses and systematic reviews of more than 500 randomised placebo-controlled trials across psychiatry (depression, schizophrenia, mania, attention-deficit hyperactivity disorder, autism, psychosis, binge-eating disorder, and addiction) for factors identified to be associated with increased placebo response. Of 20 factors discussed, only three were often linked to high placebo responses: low baseline severity of symptoms, more recent trials, and unbalanced randomisation (more patients randomly assigned to drug than placebo). Randomised controlled trials in non-drug therapy have not added further predictors, and laboratory studies with psychological, brain, and genetic approaches have not been successful in identifying predictors of placebo responses. This comprehensive Review suggests that predictors of the placebo response are still to be discovered, the response probably has more than one mediator, and that different and distinct moderators are probably what cause the placebo response within psychiatry and beyond.","author":[{"dropping-particle":"","family":"Weimer","given":"Katja","non-dropping-particle":"","parse-names":false,"suffix":""},{"dropping-particle":"","family":"Colloca","given":"Luana","non-dropping-particle":"","parse-names":false,"suffix":""},{"dropping-particle":"","family":"Enck","given":"Paul","non-dropping-particle":"","parse-names":false,"suffix":""}],"container-title":"The Lancet Psychiatry","id":"ITEM-1","issue":"3","issued":{"date-parts":[["2015","3","1"]]},"page":"246-257","publisher":"Elsevier","title":"Placebo effects in psychiatry: mediators and moderators","type":"article-journal","volume":"2"},"uris":["http://www.mendeley.com/documents/?uuid=6699a2fa-ab3b-3c10-9089-af976c7c520f"]},{"id":"ITEM-2","itemData":{"DOI":"10.1038/S41380-024-02638-X","ISSN":"1476-5578","PMID":"38914807","abstract":"There is a growing literature exploring the placebo response within specific mental disorders, but no overarching quantitative synthesis of this research has analyzed evidence across mental disorders. We carried out an umbrella review of meta-analyses of randomized controlled trials (RCTs) of biological treatments (pharmacotherapy or neurostimulation) for mental disorders. We explored whether placebo effect size differs across distinct disorders, and the correlates of increased placebo effects. Based on a pre-registered protocol, we searched Medline, PsycInfo, EMBASE, and Web of Knowledge up to 23.10.2022 for systematic reviews and/or meta-analyses reporting placebo effect sizes in psychopharmacological or neurostimulation RCTs. Twenty meta-analyses, summarising 1,691 RCTs involving 261,730 patients, were included. Placebo effect size varied, and was large in alcohol use disorder (g = 0.90, 95% CI [0.70, 1.09]), depression (g = 1.10, 95% CI [1.06, 1.15]), restless legs syndrome (g = 1.41, 95% CI [1.25, 1.56]), and generalized anxiety disorder (d = 1.85, 95% CI [1.61, 2.09]). Placebo effect size was small-to-medium in obsessive-compulsive disorder (d = 0.32, 95% CI [0.22, 0.41]), primary insomnia (g = 0.35, 95% CI [0.28, 0.42]), and schizophrenia spectrum disorders (standardized mean change = 0.33, 95% CI [0.22, 0.44]). Correlates of larger placebo response in multiple mental disorders included later publication year (opposite finding for ADHD), younger age, more trial sites, larger sample size, increased baseline severity, and larger active treatment effect size. Most (18 of 20) meta-analyses were judged ‘low’ quality as per AMSTAR-2. Placebo effect sizes varied substantially across mental disorders. Future research should explore the sources of this variation. We identified important gaps in the literature, with no eligible systematic reviews/meta-analyses of placebo response in stress-related disorders, eating disorders, behavioural addictions, or bipolar mania.","author":[{"dropping-particle":"","family":"Huneke","given":"Nathan T.M.","non-dropping-particle":"","parse-names":false,"suffix":""},{"dropping-particle":"","family":"Amin","given":"Jay","non-dropping-particle":"","parse-names":false,"suffix":""},{"dropping-particle":"","family":"Baldwin","given":"David S.","non-dropping-particle":"","parse-names":false,"suffix":""},{"dropping-particle":"","family":"Bellato","given":"Alessio","non-dropping-particle":"","parse-names":false,"suffix":""},{"dropping-particle":"","family":"Brandt","given":"Valerie","non-dropping-particle":"","parse-names":false,"suffix":""},{"dropping-particle":"","family":"Chamberlain","given":"Samuel R.","non-dropping-particle":"","parse-names":false,"suffix":""},{"dropping-particle":"","family":"Correll","given":"Christoph U.","non-dropping-particle":"","parse-names":false,"suffix":""},{"dropping-particle":"","family":"Eudave","given":"Luis","non-dropping-particle":"","parse-names":false,"suffix":""},{"dropping-particle":"","family":"Garner","given":"Matthew","non-dropping-particle":"","parse-names":false,"suffix":""},{"dropping-particle":"","family":"Gosling","given":"Corentin J.","non-dropping-particle":"","parse-names":false,"suffix":""},{"dropping-particle":"","family":"Hill","given":"Catherine M.","non-dropping-particle":"","parse-names":false,"suffix":""},{"dropping-particle":"","family":"Hou","given":"Ruihua","non-dropping-particle":"","parse-names":false,"suffix":""},{"dropping-particle":"","family":"Howes","given":"Oliver D.","non-dropping-particle":"","parse-names":false,"suffix":""},{"dropping-particle":"","family":"Ioannidis","given":"Konstantinos","non-dropping-particle":"","parse-names":false,"suffix":""},{"dropping-particle":"","family":"Köhler-Forsberg","given":"Ole","non-dropping-particle":"","parse-names":false,"suffix":""},{"dropping-particle":"","family":"Marzulli","given":"Lucia","non-dropping-particle":"","parse-names":false,"suffix":""},{"dropping-particle":"","family":"Reed","given":"Claire","non-dropping-particle":"","parse-names":false,"suffix":""},{"dropping-particle":"","family":"Sinclair","given":"Julia M.A.","non-dropping-particle":"","parse-names":false,"suffix":""},{"dropping-particle":"","family":"Singh","given":"Satneet","non-dropping-particle":"","parse-names":false,"suffix":""},{"dropping-particle":"","family":"Solmi","given":"Marco","non-dropping-particle":"","parse-names":false,"suffix":""},{"dropping-particle":"","family":"Cortese","given":"Samuele","non-dropping-particle":"","parse-names":false,"suffix":""}],"container-title":"Molecular psychiatry","id":"ITEM-2","issued":{"date-parts":[["2024"]]},"publisher":"Mol Psychiatry","title":"Placebo effects in randomized trials of pharmacological and neurostimulation interventions for mental disorders: An umbrella review","type":"article-journal"},"uris":["http://www.mendeley.com/documents/?uuid=2d27ca33-a2e3-3a9d-a3c3-8ac9b5d3c38e"]}],"mendeley":{"formattedCitation":"(Huneke et al., 2024; Weimer et al., 2015)","plainTextFormattedCitation":"(Huneke et al., 2024; Weimer et al., 2015)","previouslyFormattedCitation":"(Huneke et al., 2024; Weimer et al., 2015)"},"properties":{"noteIndex":0},"schema":"https://github.com/citation-style-language/schema/raw/master/csl-citation.json"}</w:instrText>
      </w:r>
      <w:r w:rsidR="007120B3">
        <w:fldChar w:fldCharType="separate"/>
      </w:r>
      <w:r w:rsidR="00D257AC" w:rsidRPr="00D257AC">
        <w:rPr>
          <w:noProof/>
        </w:rPr>
        <w:t>(Huneke et al., 2024; Weimer et al., 2015)</w:t>
      </w:r>
      <w:r w:rsidR="007120B3">
        <w:fldChar w:fldCharType="end"/>
      </w:r>
      <w:r w:rsidR="00EB1198">
        <w:t xml:space="preserve">. The reasons for this change are simply not known, but findings herein for gambling disorder are consistent </w:t>
      </w:r>
      <w:r w:rsidR="006F479D">
        <w:t>with those in</w:t>
      </w:r>
      <w:r w:rsidR="00EB1198">
        <w:t xml:space="preserve"> many other mental health conditions. </w:t>
      </w:r>
    </w:p>
    <w:p w14:paraId="505FDE4E" w14:textId="78F16850" w:rsidR="0076416F" w:rsidRDefault="0076416F" w:rsidP="0076416F">
      <w:pPr>
        <w:pStyle w:val="Heading3"/>
      </w:pPr>
      <w:r>
        <w:t>Industry influence</w:t>
      </w:r>
    </w:p>
    <w:p w14:paraId="1267325A" w14:textId="6963127A" w:rsidR="00A23626" w:rsidRDefault="0069622C" w:rsidP="00717FB9">
      <w:r>
        <w:t xml:space="preserve">We found that the absence of company sponsorship was associated with higher effect sizes in the placebo arms for symptom severity measures overall. </w:t>
      </w:r>
      <w:r w:rsidR="00997F44">
        <w:t>This is a novel result with a lot of interesting implications. It is possible that participants being aware of company sponsorship are negatively influenced towards the beneficial effects of the medication treatment, thus generating a lesser placebo response.</w:t>
      </w:r>
      <w:r w:rsidR="00442056">
        <w:t xml:space="preserve"> However, it has also been shown that industry sponsorship is associated with higher effect sizes in RCTs in general </w:t>
      </w:r>
      <w:r w:rsidR="00442056">
        <w:fldChar w:fldCharType="begin" w:fldLock="1"/>
      </w:r>
      <w:r w:rsidR="00153F12">
        <w:instrText>ADDIN CSL_CITATION {"citationItems":[{"id":"ITEM-1","itemData":{"DOI":"10.1002/14651858.MR000033.PUB3","ISSN":"14651858","PMID":"28207928","abstract":"Background Clinical research affecting how doctors practice medicine is increasingly sponsored by companies that make drugs and medical devices. Previous systematic reviews have found that pharmaceutical-industry sponsored studies are more often favorable to the sponsor’s product compared with studies with other sources of sponsorship. A similar association between sponsorship and outcomes have been found for device studies, but the body of evidence is not as strong as for sponsorship of drug studies. This review is an update of a previous Cochrane review and includes empirical studies on the association between sponsorship and research outcome. Objectives To investigate whether industry sponsored drug and device studies have more favorable outcomes and differ in risk of bias, compared with studies having other sources of sponsorship. Search methods In this update we searched MEDLINE (2010 to February 2015), Embase (2010 to February 2015), the Cochrane Methodology Register (2015, Issue 2) and Web of Science (June 2015). In addition, we searched reference lists of included papers, previous systematic reviews and author files. Selection criteria Cross-sectional studies, cohort studies, systematic reviews and meta-analyses that quantitatively compared primary research studies of drugs or medical devices sponsored by industry with studies with other sources of sponsorship. We had no language restrictions. Data collection and analysis Two assessors screened abstracts and identified and included relevant papers. Two assessors extracted data, and we contacted authors of included papers for additional unpublished data. Outcomes included favorable results, favorable conclusions, effect size, risk of bias and whether the conclusions agreed with the study results. Two assessors assessed risk of bias of included papers. We calculated pooled risk ratios (RR) for dichotomous data (with 95% confidence intervals (CIs)). Main results Twenty-seven new papers were included in this update and in total the review contains 75 included papers. Industry sponsored studies more often had favorable efficacy results, RR: 1.27 (95% CI: 1.17 to 1.37) (25 papers) (moderate quality evidence), similar harms results RR: 1.37 (95% CI: 0.64 to 2.93) (four papers) (very low quality evidence) and more often favorable conclusions RR: 1.34 (95% CI: 1.19 to 1.51) (29 papers) (low quality evidence) compared with non-industry sponsored studies. Nineteen papers reported on sponsorship and efficac…","author":[{"dropping-particle":"","family":"Lundh","given":"Andreas","non-dropping-particle":"","parse-names":false,"suffix":""},{"dropping-particle":"","family":"Lexchin","given":"Joel","non-dropping-particle":"","parse-names":false,"suffix":""},{"dropping-particle":"","family":"Mintzes","given":"Barbara","non-dropping-particle":"","parse-names":false,"suffix":""},{"dropping-particle":"","family":"Schroll","given":"Jeppe B.","non-dropping-particle":"","parse-names":false,"suffix":""},{"dropping-particle":"","family":"Bero","given":"Lisa","non-dropping-particle":"","parse-names":false,"suffix":""}],"container-title":"The Cochrane Database of Systematic Reviews","id":"ITEM-1","issue":"2","issued":{"date-parts":[["2017"]]},"publisher":"John Wiley and Sons, Inc. and the Cochrane Library","title":"Industry sponsorship and research outcome","type":"article-journal","volume":"2017"},"uris":["http://www.mendeley.com/documents/?uuid=e1496ca4-7b2b-3982-9dae-8f0059842141"]}],"mendeley":{"formattedCitation":"(Lundh, Lexchin, Mintzes, Schroll, &amp; Bero, 2017)","plainTextFormattedCitation":"(Lundh, Lexchin, Mintzes, Schroll, &amp; Bero, 2017)","previouslyFormattedCitation":"(Lundh, Lexchin, Mintzes, Schroll, &amp; Bero, 2017)"},"properties":{"noteIndex":0},"schema":"https://github.com/citation-style-language/schema/raw/master/csl-citation.json"}</w:instrText>
      </w:r>
      <w:r w:rsidR="00442056">
        <w:fldChar w:fldCharType="separate"/>
      </w:r>
      <w:r w:rsidR="006B30C0" w:rsidRPr="006B30C0">
        <w:rPr>
          <w:noProof/>
        </w:rPr>
        <w:t>(Lundh, Lexchin, Mintzes, Schroll, &amp; Bero, 2017)</w:t>
      </w:r>
      <w:r w:rsidR="00442056">
        <w:fldChar w:fldCharType="end"/>
      </w:r>
      <w:r w:rsidR="00442056">
        <w:t xml:space="preserve">, in which case this applies to both treatment and placebo arms, which are highly correlated in this dataset. </w:t>
      </w:r>
      <w:r w:rsidR="007371D4">
        <w:t>Another possibility is that clinical trials conducted in academic settings may offer more additional support (irrespective of randomisation)</w:t>
      </w:r>
      <w:r w:rsidR="00B919AD">
        <w:t xml:space="preserve"> as contrasted to commercial studies </w:t>
      </w:r>
      <w:r w:rsidR="00C26EA5">
        <w:t xml:space="preserve">potentially </w:t>
      </w:r>
      <w:r w:rsidR="00B919AD">
        <w:t xml:space="preserve">involving generic </w:t>
      </w:r>
      <w:r w:rsidR="001277AB">
        <w:t xml:space="preserve">/ non-specialist </w:t>
      </w:r>
      <w:r w:rsidR="00B919AD">
        <w:t>recruitment sites,</w:t>
      </w:r>
      <w:r w:rsidR="007371D4">
        <w:t xml:space="preserve"> such as spending time with </w:t>
      </w:r>
      <w:r w:rsidR="006F479D">
        <w:t xml:space="preserve">expert </w:t>
      </w:r>
      <w:r w:rsidR="007371D4">
        <w:t xml:space="preserve">clinicians who take time to speak with patients or offer formal psychological support. </w:t>
      </w:r>
      <w:r w:rsidR="0076416F">
        <w:t xml:space="preserve">Interestingly, self-reported </w:t>
      </w:r>
      <w:r w:rsidR="00CB2C0E">
        <w:t xml:space="preserve">industry related </w:t>
      </w:r>
      <w:r w:rsidR="0076416F">
        <w:t xml:space="preserve">conflict of interest from the manuscripts authors did not moderate any effect sizes, meaning that we did not find any evidence that those declared relationships from the authors </w:t>
      </w:r>
      <w:r w:rsidR="00CB2C0E">
        <w:t>w</w:t>
      </w:r>
      <w:r w:rsidR="001277AB">
        <w:t>ere</w:t>
      </w:r>
      <w:r w:rsidR="00CB2C0E">
        <w:t xml:space="preserve"> associated with the effect sizes reported</w:t>
      </w:r>
      <w:r w:rsidR="0076416F">
        <w:t xml:space="preserve">. </w:t>
      </w:r>
      <w:r w:rsidR="00C75939">
        <w:t xml:space="preserve">It is possible that moderation by </w:t>
      </w:r>
      <w:r w:rsidR="001605E5">
        <w:t>absence</w:t>
      </w:r>
      <w:r w:rsidR="00C75939">
        <w:t xml:space="preserve"> of industry sponsorship was related </w:t>
      </w:r>
      <w:r w:rsidR="00840DC4">
        <w:t xml:space="preserve">to </w:t>
      </w:r>
      <w:r w:rsidR="00C75939">
        <w:t xml:space="preserve">the moderation by medication class, as both studies which included supplements were unsponsored. </w:t>
      </w:r>
    </w:p>
    <w:p w14:paraId="03930217" w14:textId="5159D99A" w:rsidR="0076416F" w:rsidRDefault="00CB2C0E" w:rsidP="0076416F">
      <w:pPr>
        <w:pStyle w:val="Heading3"/>
      </w:pPr>
      <w:r>
        <w:lastRenderedPageBreak/>
        <w:t>Choice of severity instrument, b</w:t>
      </w:r>
      <w:r w:rsidR="0076416F">
        <w:t xml:space="preserve">aseline severity </w:t>
      </w:r>
    </w:p>
    <w:p w14:paraId="2B14C986" w14:textId="5F50E9A1" w:rsidR="00FB255A" w:rsidRDefault="00CB2C0E" w:rsidP="00717FB9">
      <w:r>
        <w:t xml:space="preserve">While placebo effects were </w:t>
      </w:r>
      <w:r w:rsidR="0022280B">
        <w:t xml:space="preserve">numerically </w:t>
      </w:r>
      <w:r>
        <w:t>larger in the studies which assessed gambling severity improvements via clinician structured instruments, than self-reported instruments, or unstructured clinical instruments, choice of severity instrument was not statistically significant in moderation analyses</w:t>
      </w:r>
      <w:r w:rsidR="00470053">
        <w:t>, suggesting that approaches similarly capture placebo effects, in terms of gambling severity</w:t>
      </w:r>
      <w:r>
        <w:t xml:space="preserve">.  </w:t>
      </w:r>
      <w:r w:rsidR="00470053">
        <w:t>However, those scales had differences as well; for example, w</w:t>
      </w:r>
      <w:r w:rsidR="00A23626">
        <w:t xml:space="preserve">e </w:t>
      </w:r>
      <w:r w:rsidR="00470053">
        <w:t>f</w:t>
      </w:r>
      <w:r>
        <w:t>ound</w:t>
      </w:r>
      <w:r w:rsidR="00A23626">
        <w:t xml:space="preserve"> </w:t>
      </w:r>
      <w:r>
        <w:t xml:space="preserve">higher </w:t>
      </w:r>
      <w:r w:rsidR="00A23626">
        <w:t xml:space="preserve">baseline symptom severity </w:t>
      </w:r>
      <w:r>
        <w:t>leading to higher</w:t>
      </w:r>
      <w:r w:rsidR="00A23626">
        <w:t xml:space="preserve"> placebo response</w:t>
      </w:r>
      <w:r>
        <w:t>, using the PG-YBOCS instrument</w:t>
      </w:r>
      <w:r w:rsidR="00470053">
        <w:t xml:space="preserve">, </w:t>
      </w:r>
      <w:r w:rsidR="00FB255A">
        <w:t>which was also true for the treatment arms, using both PG-YBOCS and GSAS</w:t>
      </w:r>
      <w:r w:rsidR="00470053">
        <w:t>.</w:t>
      </w:r>
      <w:r w:rsidR="00C74B54">
        <w:t xml:space="preserve"> </w:t>
      </w:r>
      <w:r w:rsidR="00AF6485">
        <w:t>That i</w:t>
      </w:r>
      <w:r w:rsidR="00E27A2B">
        <w:t xml:space="preserve">s an interesting </w:t>
      </w:r>
      <w:r w:rsidR="0009518E">
        <w:t>finding</w:t>
      </w:r>
      <w:r w:rsidR="00AF6485">
        <w:t>,</w:t>
      </w:r>
      <w:r w:rsidR="00E27A2B">
        <w:t xml:space="preserve"> which may suggest that some placebo effects follow a “regression to the mean” pattern </w:t>
      </w:r>
      <w:r w:rsidR="00B219B6">
        <w:fldChar w:fldCharType="begin" w:fldLock="1"/>
      </w:r>
      <w:r w:rsidR="00153F12">
        <w:instrText>ADDIN CSL_CITATION {"citationItems":[{"id":"ITEM-1","itemData":{"DOI":"10.2174/1567205043332027","ISSN":"15672050","PMID":"15975061","abstract":"Effective drug development depends on understanding and optimizing results from controlled clinical trials. A recent double-blind, randomized, controlled trial of the treatment of agitation in patients with Alzheimer's disease (AD) found no difference among the four arms of the study: haloperidol, trazodone, behavioral therapy, placebo. The current analysis was undertaken to further investigate the issues bearing on this outcome and to identify better means of detecting psychotropic effects in trials involving patients with AD. This was post hoc analysis of a clinical trial data set. Patients in the placebo group were divided into responders (25% reduction in symptoms), worseners (25% worsening in baseline agitation scores), and those without a change in symptoms. Analysis of the trial outcomes demonstrated that the reduction observed in the placebo group was of the same magnitude as predicted by regression to the mean. Patients exhibiting greater improvement had more severe baseline behavioral disturbances. The relatively modest severity of agitation and the low medication doses achieved in the study may have further contributed to the failure to distinguish among treatment groups. Research design adjustments such as collection of both screening and baseline measures to determine eligibility may limit the effects of regression to the mean on trial outcomes and reduce this challenge to clinical trials.","author":[{"dropping-particle":"","family":"Cummings","given":"Jeffrey L.","non-dropping-particle":"","parse-names":false,"suffix":""},{"dropping-particle":"","family":"Tractenberg","given":"Rochelle E.","non-dropping-particle":"","parse-names":false,"suffix":""},{"dropping-particle":"","family":"Gamst","given":"Anthony","non-dropping-particle":"","parse-names":false,"suffix":""},{"dropping-particle":"","family":"Teri","given":"Linda","non-dropping-particle":"","parse-names":false,"suffix":""},{"dropping-particle":"","family":"Masterman","given":"Donna","non-dropping-particle":"","parse-names":false,"suffix":""},{"dropping-particle":"","family":"Thal","given":"Leon J.","non-dropping-particle":"","parse-names":false,"suffix":""}],"container-title":"Current Alzheimer research","id":"ITEM-1","issue":"4","issued":{"date-parts":[["2004","3","18"]]},"page":"323","publisher":"NIH Public Access","title":"Regression to the Mean: Implications for Clinical Trials of Psychotropic Agents in Dementia","type":"article-journal","volume":"1"},"uris":["http://www.mendeley.com/documents/?uuid=1faec49f-e0da-3cfc-a8f8-6a854c0dbf8f"]}],"mendeley":{"formattedCitation":"(Cummings et al., 2004)","plainTextFormattedCitation":"(Cummings et al., 2004)","previouslyFormattedCitation":"(Cummings et al., 2004)"},"properties":{"noteIndex":0},"schema":"https://github.com/citation-style-language/schema/raw/master/csl-citation.json"}</w:instrText>
      </w:r>
      <w:r w:rsidR="00B219B6">
        <w:fldChar w:fldCharType="separate"/>
      </w:r>
      <w:r w:rsidR="006B30C0" w:rsidRPr="006B30C0">
        <w:rPr>
          <w:noProof/>
        </w:rPr>
        <w:t>(Cummings et al., 2004)</w:t>
      </w:r>
      <w:r w:rsidR="00B219B6">
        <w:fldChar w:fldCharType="end"/>
      </w:r>
      <w:r w:rsidR="00B219B6">
        <w:t xml:space="preserve"> </w:t>
      </w:r>
      <w:r w:rsidR="00E27A2B">
        <w:t>i.e. can be attributed to statistical artefact</w:t>
      </w:r>
      <w:r w:rsidR="00AF6485">
        <w:t>s which are unequally distributed across levels of baseline severity,</w:t>
      </w:r>
      <w:r w:rsidR="00E27A2B">
        <w:t xml:space="preserve"> or th</w:t>
      </w:r>
      <w:r w:rsidR="00AF6485">
        <w:t>at they are impacted by</w:t>
      </w:r>
      <w:r w:rsidR="00E27A2B">
        <w:t xml:space="preserve"> </w:t>
      </w:r>
      <w:r w:rsidR="00F44A99">
        <w:t xml:space="preserve">floor </w:t>
      </w:r>
      <w:r w:rsidR="00AF6485">
        <w:t>effects</w:t>
      </w:r>
      <w:r w:rsidR="00E27A2B">
        <w:t xml:space="preserve">. </w:t>
      </w:r>
      <w:r w:rsidR="00AF6485">
        <w:t xml:space="preserve">Furthermore, it is interesting that the reverse has been shown prior to the current study, for </w:t>
      </w:r>
      <w:r w:rsidR="00B219B6">
        <w:t xml:space="preserve">placebo effects in </w:t>
      </w:r>
      <w:r w:rsidR="00AF6485">
        <w:t>alcohol dependence RCTs</w:t>
      </w:r>
      <w:r w:rsidR="00B219B6">
        <w:t xml:space="preserve"> </w:t>
      </w:r>
      <w:r w:rsidR="00B219B6">
        <w:fldChar w:fldCharType="begin" w:fldLock="1"/>
      </w:r>
      <w:r w:rsidR="00153F12">
        <w:instrText>ADDIN CSL_CITATION {"citationItems":[{"id":"ITEM-1","itemData":{"DOI":"10.1111/ACER.14670","ISSN":"15300277","PMID":"34418121","abstract":"Background: There is considerable unexplained variability in alcohol abstinence rates (AR) in the placebo groups of randomized controlled trials (RCTs) for alcohol dependence (AD). This is of particular interest because placebo responses correlate negatively with treatment effect size. Recent evidence suggests that the placebo response is lower in very heavy drinkers who show no “spontaneous improvement” prior to treatment initiation (high-severity population) than in a mild-severity population and in studies with longer treatment duration. We systematically investigated the relationship between population severity, treatment duration, and the placebo response in AR to inform a strategy aimed at reducing the placebo response and thereby increasing assay sensitivity in RCTs for AD. Methods: We conducted a systematic literature review on placebo-controlled RCTs for AD.We assigned retained RCTs to high- or mild-severity groups of studies based on baseline drinking risk levels and abstinence duration before treatment initiation. We tested the effects of population severity and treatment duration on the placebo response in AR using meta-regression analysis. Results: Among the 19 retained RCTs (comprising 1996 placebo-treated patients), 11 trials were high-severity and 8 were mild-severity RCTs. The between-study variability in AR was lower in the high-severity than in the mild-severity studies (interquartile range: 7.4% vs. 20.9%). The AR in placebo groups was dependent on population severity (p = 0.004) and treatment duration (p = 0.017) and was lower in the high-severity studies (16.8% at 3 months) than the mild-severity studies (36.7% at 3 months). Conclusions: Pharmacological RCTs for AD should select high-severity patients to decrease the magnitude and variability in the placebo effect and and improve the efficiency of drug development efforts for AD.","author":[{"dropping-particle":"","family":"Scherrer","given":"Bruno","non-dropping-particle":"","parse-names":false,"suffix":""},{"dropping-particle":"","family":"Guiraud","given":"Julien","non-dropping-particle":"","parse-names":false,"suffix":""},{"dropping-particle":"","family":"Addolorato","given":"Giovanni","non-dropping-particle":"","parse-names":false,"suffix":""},{"dropping-particle":"","family":"Aubin","given":"Henri Jean","non-dropping-particle":"","parse-names":false,"suffix":""},{"dropping-particle":"","family":"Bejczy","given":"Andrea","non-dropping-particle":"de","parse-names":false,"suffix":""},{"dropping-particle":"","family":"Benyamina","given":"Amine","non-dropping-particle":"","parse-names":false,"suffix":""},{"dropping-particle":"","family":"Brink","given":"Wim","non-dropping-particle":"van den","parse-names":false,"suffix":""},{"dropping-particle":"","family":"Caputo","given":"Fabio","non-dropping-particle":"","parse-names":false,"suffix":""},{"dropping-particle":"","family":"Dematteis","given":"Maurice","non-dropping-particle":"","parse-names":false,"suffix":""},{"dropping-particle":"","family":"Goudriaan","given":"Anna E.","non-dropping-particle":"","parse-names":false,"suffix":""},{"dropping-particle":"","family":"Gual","given":"Antoni","non-dropping-particle":"","parse-names":false,"suffix":""},{"dropping-particle":"","family":"Kiefer","given":"Falk","non-dropping-particle":"","parse-names":false,"suffix":""},{"dropping-particle":"","family":"Leggio","given":"Lorenzo","non-dropping-particle":"","parse-names":false,"suffix":""},{"dropping-particle":"","family":"Lesch","given":"Otto Michael","non-dropping-particle":"","parse-names":false,"suffix":""},{"dropping-particle":"","family":"Maremmani","given":"Icro","non-dropping-particle":"","parse-names":false,"suffix":""},{"dropping-particle":"","family":"Nutt","given":"David J.","non-dropping-particle":"","parse-names":false,"suffix":""},{"dropping-particle":"","family":"Paille","given":"François","non-dropping-particle":"","parse-names":false,"suffix":""},{"dropping-particle":"","family":"Perney","given":"Pascal","non-dropping-particle":"","parse-names":false,"suffix":""},{"dropping-particle":"","family":"Poulnais","given":"Roch","non-dropping-particle":"","parse-names":false,"suffix":""},{"dropping-particle":"","family":"Raffaillac","given":"Quentin","non-dropping-particle":"","parse-names":false,"suffix":""},{"dropping-particle":"","family":"Rehm","given":"Jürgen","non-dropping-particle":"","parse-names":false,"suffix":""},{"dropping-particle":"","family":"Rolland","given":"Benjamin","non-dropping-particle":"","parse-names":false,"suffix":""},{"dropping-particle":"","family":"Simon","given":"Nicolas","non-dropping-particle":"","parse-names":false,"suffix":""},{"dropping-particle":"","family":"Söderpalm","given":"Bo","non-dropping-particle":"","parse-names":false,"suffix":""},{"dropping-particle":"","family":"Sommer","given":"Wolfgang H.","non-dropping-particle":"","parse-names":false,"suffix":""},{"dropping-particle":"","family":"Walter","given":"Henriette","non-dropping-particle":"","parse-names":false,"suffix":""},{"dropping-particle":"","family":"Spanagel","given":"Rainer","non-dropping-particle":"","parse-names":false,"suffix":""}],"container-title":"Alcoholism, Clinical and Experimental Research","id":"ITEM-1","issue":"9","issued":{"date-parts":[["2021","9","1"]]},"page":"1722","publisher":"Wiley-Blackwell","title":"Baseline severity and the prediction of placebo response in clinical trials for alcohol dependence: A meta‐regression analysis to develop an enrichment strategy","type":"article-journal","volume":"45"},"uris":["http://www.mendeley.com/documents/?uuid=492775ff-67ed-3233-b713-133fbb98bd7b"]}],"mendeley":{"formattedCitation":"(Scherrer et al., 2021)","plainTextFormattedCitation":"(Scherrer et al., 2021)","previouslyFormattedCitation":"(Scherrer et al., 2021)"},"properties":{"noteIndex":0},"schema":"https://github.com/citation-style-language/schema/raw/master/csl-citation.json"}</w:instrText>
      </w:r>
      <w:r w:rsidR="00B219B6">
        <w:fldChar w:fldCharType="separate"/>
      </w:r>
      <w:r w:rsidR="006B30C0" w:rsidRPr="006B30C0">
        <w:rPr>
          <w:noProof/>
        </w:rPr>
        <w:t>(Scherrer et al., 2021)</w:t>
      </w:r>
      <w:r w:rsidR="00B219B6">
        <w:fldChar w:fldCharType="end"/>
      </w:r>
      <w:r w:rsidR="0069622C">
        <w:t xml:space="preserve"> </w:t>
      </w:r>
      <w:r w:rsidR="00C74B54">
        <w:t xml:space="preserve">and quality of life followed the same reverse pattern (lower baseline was associated with higher effect seizes) </w:t>
      </w:r>
      <w:r w:rsidR="00B219B6">
        <w:t>so this result merits exploration</w:t>
      </w:r>
      <w:r w:rsidR="0022280B">
        <w:t xml:space="preserve"> in future work</w:t>
      </w:r>
      <w:r w:rsidR="00B219B6">
        <w:t xml:space="preserve">. </w:t>
      </w:r>
      <w:r w:rsidR="00AF6485">
        <w:t xml:space="preserve"> </w:t>
      </w:r>
    </w:p>
    <w:p w14:paraId="538BC2FE" w14:textId="34E362F4" w:rsidR="0076416F" w:rsidRDefault="0076416F" w:rsidP="0076416F">
      <w:pPr>
        <w:pStyle w:val="Heading3"/>
      </w:pPr>
      <w:r>
        <w:t>Nocebo effects</w:t>
      </w:r>
    </w:p>
    <w:p w14:paraId="57D6796F" w14:textId="15A6DA2B" w:rsidR="00973C84" w:rsidRDefault="00366EFE" w:rsidP="00717FB9">
      <w:r>
        <w:t xml:space="preserve">In terms of nocebo effects, </w:t>
      </w:r>
      <w:r w:rsidR="00C43D70">
        <w:t>l</w:t>
      </w:r>
      <w:r w:rsidR="004A1250">
        <w:t xml:space="preserve">ow placebo </w:t>
      </w:r>
      <w:r w:rsidR="0076416F">
        <w:t>dropout</w:t>
      </w:r>
      <w:r w:rsidR="004A1250">
        <w:t xml:space="preserve"> rates (&lt;2%) were found for clinical trials focusing on supplements (NAC, silymarin), mood stabilizers, and opioid receptor antagonists; slightly high</w:t>
      </w:r>
      <w:r w:rsidR="00C43D70">
        <w:t xml:space="preserve">er for SSRIs (2.4%); and higher rates were </w:t>
      </w:r>
      <w:r w:rsidR="00601F4D">
        <w:t>observed</w:t>
      </w:r>
      <w:r w:rsidR="00C43D70">
        <w:t xml:space="preserve"> for placebo drop outs for </w:t>
      </w:r>
      <w:r w:rsidR="0076416F">
        <w:t>antipsychotic (</w:t>
      </w:r>
      <w:r w:rsidR="00C43D70">
        <w:t>olanzapine</w:t>
      </w:r>
      <w:r w:rsidR="0076416F">
        <w:t>)</w:t>
      </w:r>
      <w:r w:rsidR="00C43D70">
        <w:t xml:space="preserve"> </w:t>
      </w:r>
      <w:r w:rsidR="00C43D70" w:rsidRPr="00601F4D">
        <w:t>studies</w:t>
      </w:r>
      <w:r w:rsidR="004A1250">
        <w:t xml:space="preserve"> (6.1%). </w:t>
      </w:r>
      <w:r w:rsidR="009B1225">
        <w:t>This variability could reflect expectation (e.g. people may anticipate ‘worse’ side effects for olanzapine had they read about it in advance, not knowing if they were then assigned to active or placebo treatment</w:t>
      </w:r>
      <w:r w:rsidR="0069622C">
        <w:t xml:space="preserve"> </w:t>
      </w:r>
      <w:r w:rsidR="0069622C">
        <w:fldChar w:fldCharType="begin" w:fldLock="1"/>
      </w:r>
      <w:r w:rsidR="00153F12">
        <w:instrText>ADDIN CSL_CITATION {"citationItems":[{"id":"ITEM-1","itemData":{"DOI":"10.1093/ABM/KAY071","ISSN":"1532-4796","PMID":"30204841","abstract":"Background One contributing factor to the development of nocebo effects is information provided about possible side effects. However, nondisclosure of information can be problematic. Purpose We assessed whether positively framed side effect information (highlighting likelihood of not experiencing side effects) can reduce nocebo effects compared to negatively framed information (highlighting likelihood of experiencing side effects). Methods One hundred twelve participants took part in research ostensibly assessing the influence of benzodiazepines (actually sham capsules) on anxiety. Participants were randomized to receive a sham capsule with positively or negatively framed information about four side effects, or a no-treatment control condition. Side effect expectations were assessed after information provision. Framed side effects and other unmentioned symptoms were assessed during the session and 24-hr follow-up. Results Nocebo effects occurred in symptoms presented as side effects (regardless of framing) during the study session and follow-up (ps &lt; .003). At follow-up, there was also a nocebo effect in other unmentioned symptoms (p = .018). Positive framing reduced side effect symptoms compared with negative framing during the study session (p = .037), but this effect was no longer present at follow-up (p = .53). Side effect expectations did not differ between the framing conditions (p = .14). Conclusions Positive framing reduced side effects short-term, but not at follow-up. Expectations did not differ between negative and positive framing. Nocebo effects appeared to generalize to other unmentioned symptoms over a 24-hr period. Further research is needed to determine whether the initial impact of positive framing can be maintained over time.","author":[{"dropping-particle":"","family":"Faasse","given":"Kate","non-dropping-particle":"","parse-names":false,"suffix":""},{"dropping-particle":"","family":"Huynh","given":"Anna","non-dropping-particle":"","parse-names":false,"suffix":""},{"dropping-particle":"","family":"Pearson","given":"Sarah","non-dropping-particle":"","parse-names":false,"suffix":""},{"dropping-particle":"","family":"Geers","given":"Andrew L.","non-dropping-particle":"","parse-names":false,"suffix":""},{"dropping-particle":"","family":"Helfer","given":"Suzanne G.","non-dropping-particle":"","parse-names":false,"suffix":""},{"dropping-particle":"","family":"Colagiuri","given":"Ben","non-dropping-particle":"","parse-names":false,"suffix":""}],"container-title":"Annals of behavioral medicine : a publication of the Society of Behavioral Medicine","id":"ITEM-1","issue":"7","issued":{"date-parts":[["2019","6","4"]]},"page":"621-629","publisher":"Ann Behav Med","title":"The Influence of Side Effect Information Framing on Nocebo Effects","type":"article-journal","volume":"53"},"uris":["http://www.mendeley.com/documents/?uuid=e8ef2f21-761a-3809-83d2-6ae11bdedbba"]}],"mendeley":{"formattedCitation":"(Faasse et al., 2019)","plainTextFormattedCitation":"(Faasse et al., 2019)","previouslyFormattedCitation":"(Faasse et al., 2019)"},"properties":{"noteIndex":0},"schema":"https://github.com/citation-style-language/schema/raw/master/csl-citation.json"}</w:instrText>
      </w:r>
      <w:r w:rsidR="0069622C">
        <w:fldChar w:fldCharType="separate"/>
      </w:r>
      <w:r w:rsidR="006B30C0" w:rsidRPr="006B30C0">
        <w:rPr>
          <w:noProof/>
        </w:rPr>
        <w:t>(Faasse et al., 2019)</w:t>
      </w:r>
      <w:r w:rsidR="0069622C">
        <w:fldChar w:fldCharType="end"/>
      </w:r>
      <w:r w:rsidR="009B1225">
        <w:t xml:space="preserve">). </w:t>
      </w:r>
      <w:r w:rsidR="0044220C">
        <w:t xml:space="preserve">Low nocebo effects is useful because it reduces clinical trial drop out, which can undermine the integrity of clinical trials. </w:t>
      </w:r>
    </w:p>
    <w:p w14:paraId="0344CDAB" w14:textId="656A7730" w:rsidR="000A308B" w:rsidRDefault="000A308B" w:rsidP="00F127E0">
      <w:pPr>
        <w:pStyle w:val="Heading3"/>
      </w:pPr>
      <w:r w:rsidRPr="00F127E0">
        <w:t>Limita</w:t>
      </w:r>
      <w:r w:rsidRPr="00F127E0">
        <w:rPr>
          <w:rStyle w:val="Heading2Char"/>
          <w:b/>
          <w:szCs w:val="24"/>
        </w:rPr>
        <w:t>t</w:t>
      </w:r>
      <w:r w:rsidRPr="00F127E0">
        <w:t>ions</w:t>
      </w:r>
    </w:p>
    <w:p w14:paraId="659E42A7" w14:textId="3DC358A4" w:rsidR="00157B1F" w:rsidRDefault="00A934BB" w:rsidP="00F81267">
      <w:r>
        <w:t>S</w:t>
      </w:r>
      <w:r w:rsidR="004F2D35">
        <w:t xml:space="preserve">everal </w:t>
      </w:r>
      <w:r w:rsidR="0069622C">
        <w:t xml:space="preserve">possible </w:t>
      </w:r>
      <w:r w:rsidR="004F2D35">
        <w:t>limitations should be considered</w:t>
      </w:r>
      <w:r w:rsidR="00F60693">
        <w:t xml:space="preserve">, reflecting both limitations of the included RCTs and of our </w:t>
      </w:r>
      <w:r w:rsidR="00865875">
        <w:t>meta-analysis</w:t>
      </w:r>
      <w:r w:rsidR="00F60693">
        <w:t xml:space="preserve">. </w:t>
      </w:r>
      <w:r w:rsidR="004F2D35">
        <w:t xml:space="preserve">In terms of </w:t>
      </w:r>
      <w:r w:rsidR="00A56790">
        <w:t>the included RCTs,</w:t>
      </w:r>
      <w:r w:rsidR="00DA5D9D">
        <w:t xml:space="preserve"> </w:t>
      </w:r>
      <w:r w:rsidR="00F81267">
        <w:t xml:space="preserve">the number available for gambling disorder is relatively limited to date, as compared to other areas of mental ill health (e.g. depression). The reasons for this are multi-fold, and include a historical </w:t>
      </w:r>
      <w:r w:rsidR="00840DC4">
        <w:t xml:space="preserve">(and persisting) </w:t>
      </w:r>
      <w:r w:rsidR="00D97859">
        <w:t xml:space="preserve">lack of </w:t>
      </w:r>
      <w:r w:rsidR="00F81267">
        <w:t>funding for gambling disorder research from independent national funding schemes</w:t>
      </w:r>
      <w:r w:rsidR="00D97859">
        <w:t xml:space="preserve"> globally</w:t>
      </w:r>
      <w:r w:rsidR="00F81267">
        <w:t xml:space="preserve">. Available RCTs also have a number of methodological issues </w:t>
      </w:r>
      <w:r w:rsidR="00D97859">
        <w:t xml:space="preserve">such as relatively small </w:t>
      </w:r>
      <w:r w:rsidR="00D97859">
        <w:lastRenderedPageBreak/>
        <w:t>sample sizes (in many cases) as compared to other areas of mental ill health</w:t>
      </w:r>
      <w:r w:rsidR="00F81267">
        <w:t xml:space="preserve">. </w:t>
      </w:r>
      <w:r w:rsidR="00A23626">
        <w:t xml:space="preserve">The available studies did not generally examine views towards medications (e.g. pharmaceuticals versus nutraceuticals), expectation, or other variables (e.g. personality) that may relate to placebo response. </w:t>
      </w:r>
      <w:r w:rsidR="005E7105">
        <w:t xml:space="preserve">We also identified a moderate-high degree of heterogeneity, particularly in the meta-analyses of gambling severity using the PG-YBOCS scale; this might reflect differences in other elements of </w:t>
      </w:r>
      <w:r w:rsidR="0069622C">
        <w:t>study</w:t>
      </w:r>
      <w:r w:rsidR="005E7105">
        <w:t xml:space="preserve"> design (e.g. duration, presence of co-morbidities etc). Specifically, when it comes to the placebo effect, the presence of comorbidities may play a role. Particularly axis-II issues ma</w:t>
      </w:r>
      <w:r w:rsidR="00964EC9">
        <w:t xml:space="preserve">y influence placebo responses </w:t>
      </w:r>
      <w:r w:rsidR="00964EC9">
        <w:fldChar w:fldCharType="begin" w:fldLock="1"/>
      </w:r>
      <w:r w:rsidR="006B30C0">
        <w:instrText>ADDIN CSL_CITATION {"citationItems":[{"id":"ITEM-1","itemData":{"DOI":"10.1002/PNP.667","ISSN":"1931-227X","abstract":"Drug prescription and polypharmacy are commonly seen in the management of borderline personality disorder (BPD) in clinical practice, and the ‘placebo effect of medications’ in BPD patients is significant. However, it is to be noted that ‘no drug’ has a UK market authorisation or Food &amp; Drug Administration approval in the USA for BPD. Here Dr Yadav reviews the guidelines.","author":[{"dropping-particle":"","family":"Yadav","given":"Devender","non-dropping-particle":"","parse-names":false,"suffix":""}],"container-title":"Progress in Neurology and Psychiatry","id":"ITEM-1","issue":"2","issued":{"date-parts":[["2020","4","1"]]},"page":"25-30","publisher":"John Wiley &amp; Sons, Ltd","title":"Prescribing in borderline personality disorder – the clinical guidelines","type":"article-journal","volume":"24"},"uris":["http://www.mendeley.com/documents/?uuid=425569c7-bfc8-39a6-953c-717f7dff5f6a"]}],"mendeley":{"formattedCitation":"(Yadav, 2020)","plainTextFormattedCitation":"(Yadav, 2020)","previouslyFormattedCitation":"(Yadav, 2020)"},"properties":{"noteIndex":0},"schema":"https://github.com/citation-style-language/schema/raw/master/csl-citation.json"}</w:instrText>
      </w:r>
      <w:r w:rsidR="00964EC9">
        <w:fldChar w:fldCharType="separate"/>
      </w:r>
      <w:r w:rsidR="006B30C0" w:rsidRPr="006B30C0">
        <w:rPr>
          <w:noProof/>
        </w:rPr>
        <w:t>(Yadav, 2020)</w:t>
      </w:r>
      <w:r w:rsidR="00964EC9">
        <w:fldChar w:fldCharType="end"/>
      </w:r>
      <w:r w:rsidR="00964EC9">
        <w:t xml:space="preserve"> and those have been under-investigated in gambling disorder RCTs. </w:t>
      </w:r>
    </w:p>
    <w:p w14:paraId="5B1450DA" w14:textId="0858724E" w:rsidR="005566AA" w:rsidRDefault="00D97859" w:rsidP="004F2D35">
      <w:r>
        <w:t xml:space="preserve">In terms of limitations of the meta-analysis, we </w:t>
      </w:r>
      <w:r w:rsidR="0069622C">
        <w:t>could</w:t>
      </w:r>
      <w:r>
        <w:t xml:space="preserve"> not consider time course of placebo responses – for example, we could not establish who responded to placebo for the whole of a given study as opposed to responding just at the end. T</w:t>
      </w:r>
      <w:r w:rsidR="005566AA" w:rsidRPr="005566AA">
        <w:t xml:space="preserve">he </w:t>
      </w:r>
      <w:r w:rsidR="007D4E9E">
        <w:t xml:space="preserve">meta-regression </w:t>
      </w:r>
      <w:r w:rsidR="0069622C" w:rsidRPr="005566AA">
        <w:t xml:space="preserve">analyses </w:t>
      </w:r>
      <w:r w:rsidR="0069622C">
        <w:t>could not be</w:t>
      </w:r>
      <w:r w:rsidR="0069622C" w:rsidRPr="005566AA">
        <w:t xml:space="preserve"> c</w:t>
      </w:r>
      <w:r w:rsidR="0069622C">
        <w:t xml:space="preserve">onducted for all </w:t>
      </w:r>
      <w:r w:rsidR="0069622C">
        <w:rPr>
          <w:i/>
          <w:iCs/>
        </w:rPr>
        <w:t>a priori</w:t>
      </w:r>
      <w:r w:rsidR="0069622C">
        <w:t xml:space="preserve"> hypothesised predictors due to lack of data</w:t>
      </w:r>
      <w:r w:rsidR="0069622C" w:rsidRPr="005566AA">
        <w:t xml:space="preserve"> in given categories</w:t>
      </w:r>
      <w:r w:rsidR="0069622C">
        <w:t xml:space="preserve"> (e.g. no study assessed blinding integrity)</w:t>
      </w:r>
      <w:r w:rsidR="0069622C" w:rsidRPr="005566AA">
        <w:t xml:space="preserve">; </w:t>
      </w:r>
      <w:r w:rsidR="005566AA" w:rsidRPr="005566AA">
        <w:t>and it should also be consid</w:t>
      </w:r>
      <w:r w:rsidR="000C2C4F">
        <w:t>ered that the number of studies</w:t>
      </w:r>
      <w:r w:rsidR="005566AA" w:rsidRPr="005566AA">
        <w:t xml:space="preserve"> in the explored modera</w:t>
      </w:r>
      <w:r w:rsidR="000C2C4F">
        <w:t>tor categories was small in some</w:t>
      </w:r>
      <w:r w:rsidR="005566AA" w:rsidRPr="005566AA">
        <w:t xml:space="preserve"> cases</w:t>
      </w:r>
      <w:r w:rsidR="000C2C4F">
        <w:t xml:space="preserve"> (e.g.</w:t>
      </w:r>
      <w:r w:rsidR="007D4E9E">
        <w:t>,</w:t>
      </w:r>
      <w:r w:rsidR="000C2C4F">
        <w:t xml:space="preserve"> having only one RCT with unbalanced randomization)</w:t>
      </w:r>
      <w:r w:rsidR="005566AA" w:rsidRPr="005566AA">
        <w:t>, potentially limiting power to detect effects of moderators.</w:t>
      </w:r>
      <w:r w:rsidR="000C2C4F">
        <w:t xml:space="preserve"> The other limitation of the moderation analyses is that those were not corrected for multiple comparisons, which suggests that those should be considered as exploratory</w:t>
      </w:r>
      <w:r w:rsidR="000278AA">
        <w:t xml:space="preserve">, requiring further </w:t>
      </w:r>
      <w:r w:rsidR="007F3D6D">
        <w:t>i</w:t>
      </w:r>
      <w:r>
        <w:t xml:space="preserve">nvestigation once (if) a substantially larger number of clinical trials </w:t>
      </w:r>
      <w:r w:rsidR="007F3D6D">
        <w:t>become</w:t>
      </w:r>
      <w:r>
        <w:t xml:space="preserve"> available for analysis</w:t>
      </w:r>
      <w:r w:rsidR="007F3D6D">
        <w:t xml:space="preserve"> in the future</w:t>
      </w:r>
      <w:r>
        <w:t xml:space="preserve">. </w:t>
      </w:r>
      <w:r w:rsidR="00BE60C1">
        <w:t xml:space="preserve">Finally, one of the limitations of examining nocebo effects in this analysis is that we were </w:t>
      </w:r>
      <w:r w:rsidR="00E210DE">
        <w:t xml:space="preserve">only </w:t>
      </w:r>
      <w:r w:rsidR="00BE60C1">
        <w:t xml:space="preserve">able to explore </w:t>
      </w:r>
      <w:r w:rsidR="00E210DE">
        <w:t xml:space="preserve">the aspect of </w:t>
      </w:r>
      <w:r w:rsidR="00BE60C1">
        <w:t xml:space="preserve">nocebo effect which led to drop out from the trials. Other, potentially </w:t>
      </w:r>
      <w:r w:rsidR="00E210DE">
        <w:t xml:space="preserve">more </w:t>
      </w:r>
      <w:r w:rsidR="00BE60C1">
        <w:t xml:space="preserve">minor nocebo effects, which may though influence clinical efficacy or blinding success, were not consistently reported to allow for robust examination. </w:t>
      </w:r>
      <w:r w:rsidR="00431ADC">
        <w:t xml:space="preserve">Future studies should maintain a consistent study design and reporting, </w:t>
      </w:r>
      <w:r w:rsidR="00A25D9B">
        <w:t xml:space="preserve">to allow for the reduction of heterogeneity, but also </w:t>
      </w:r>
      <w:r w:rsidR="00431ADC">
        <w:t xml:space="preserve">to include </w:t>
      </w:r>
      <w:r w:rsidR="00A25D9B">
        <w:t xml:space="preserve">study design elements like the </w:t>
      </w:r>
      <w:r w:rsidR="00431ADC">
        <w:t xml:space="preserve">assessment of comorbidities, </w:t>
      </w:r>
      <w:r w:rsidR="00A25D9B">
        <w:t xml:space="preserve">assessment of </w:t>
      </w:r>
      <w:r w:rsidR="00431ADC">
        <w:t>blinding success and nocebo effect details, to aid the interpretation of future findings.</w:t>
      </w:r>
    </w:p>
    <w:p w14:paraId="663EB0FC" w14:textId="77777777" w:rsidR="00A23626" w:rsidRDefault="00A23626" w:rsidP="004F2D35"/>
    <w:p w14:paraId="6147FDD9" w14:textId="5788FE18" w:rsidR="00DE3BC4" w:rsidRDefault="003B2842" w:rsidP="0050597F">
      <w:pPr>
        <w:pStyle w:val="Heading2"/>
      </w:pPr>
      <w:r>
        <w:t>Conclusions and i</w:t>
      </w:r>
      <w:r w:rsidR="00DE3BC4" w:rsidRPr="00DE3BC4">
        <w:t xml:space="preserve">mplications </w:t>
      </w:r>
      <w:r>
        <w:t>for</w:t>
      </w:r>
      <w:r w:rsidR="00DE3BC4" w:rsidRPr="00DE3BC4">
        <w:t xml:space="preserve"> future research </w:t>
      </w:r>
    </w:p>
    <w:p w14:paraId="7189709B" w14:textId="72B8F737" w:rsidR="00865875" w:rsidRDefault="00182F5A" w:rsidP="00EA766F">
      <w:r w:rsidRPr="00182F5A">
        <w:t>The current meta-analysis provides insights into the importance of placebo effects in pharmacological RCTs for gambling disorder. Considering these effects is also of relevance to routine clinical practice</w:t>
      </w:r>
      <w:r w:rsidR="00302035">
        <w:t xml:space="preserve">, for example, </w:t>
      </w:r>
      <w:r w:rsidR="00302035" w:rsidRPr="00302035">
        <w:t xml:space="preserve">being </w:t>
      </w:r>
      <w:r w:rsidR="00302035" w:rsidRPr="00302035">
        <w:lastRenderedPageBreak/>
        <w:t xml:space="preserve">aware of placebo effects may encourage clinicians to spend more time addressing a patient’s beliefs and attitudes around medication before starting treatment to enhance </w:t>
      </w:r>
      <w:r w:rsidR="00302035">
        <w:t>chances they positively respond</w:t>
      </w:r>
      <w:r w:rsidRPr="00182F5A">
        <w:t>. We found that placebo effects are prominent (large) across these trials and that there are several moderators, on at least some outcome measures of these placebo effects (year of publication, medication class, duration of treatment, company sponsorship status). Nocebo effects were measurable and may be influenced by medication class being studied in a particular trial. The study also found a lack of assessment of blinding integrity across the available RCTs and unclear use of independent raters. Future studies should consider those parameters when designing RCTs for the assessment of clinical efficacy for the pharmacological management of gambling disorder. It remains unclear how best to minimize (or at least make predictable) placebo effects in clinical trials for gambling disorder, because placebo ‘run-in’ did not significantly moderate placebo response herein. Finally, we recommend that future RCTs of psychological interventions for gambling disorder adopt rigorous control conditions and measure adverse events – to ensure parity with the standards already being set by pharmacological RCTs in the field</w:t>
      </w:r>
      <w:r>
        <w:t xml:space="preserve">. </w:t>
      </w:r>
    </w:p>
    <w:p w14:paraId="5E89A651" w14:textId="31A483CD" w:rsidR="00F855A5" w:rsidRDefault="00F855A5" w:rsidP="00F855A5">
      <w:pPr>
        <w:pStyle w:val="Heading2"/>
      </w:pPr>
      <w:r>
        <w:t>Data availability</w:t>
      </w:r>
    </w:p>
    <w:p w14:paraId="61BE62DE" w14:textId="7C8CE3DB" w:rsidR="00F855A5" w:rsidRDefault="00F855A5" w:rsidP="00F855A5">
      <w:r>
        <w:t xml:space="preserve">The data that support the findings of this study are available </w:t>
      </w:r>
      <w:r w:rsidR="0028046A">
        <w:t>up</w:t>
      </w:r>
      <w:r>
        <w:t>on</w:t>
      </w:r>
      <w:r w:rsidR="0028046A">
        <w:t xml:space="preserve"> reasonable</w:t>
      </w:r>
      <w:r>
        <w:t xml:space="preserve"> request from the corresponding author</w:t>
      </w:r>
      <w:r w:rsidR="005E224F">
        <w:t xml:space="preserve"> (e.g. for peer review</w:t>
      </w:r>
      <w:r w:rsidR="004C2C43">
        <w:t xml:space="preserve"> purposes</w:t>
      </w:r>
      <w:r w:rsidR="005E224F">
        <w:t>) and will be published upon acceptance of the manuscript</w:t>
      </w:r>
      <w:r>
        <w:t>.</w:t>
      </w:r>
    </w:p>
    <w:p w14:paraId="7784932F" w14:textId="55A3F3F2" w:rsidR="00721FB2" w:rsidRDefault="00721FB2" w:rsidP="006D1356">
      <w:pPr>
        <w:pStyle w:val="Heading2"/>
      </w:pPr>
      <w:r>
        <w:t>Analytic code availability</w:t>
      </w:r>
    </w:p>
    <w:p w14:paraId="1D7B6A29" w14:textId="1A7CF9D4" w:rsidR="006D1356" w:rsidRDefault="003F1387" w:rsidP="00F855A5">
      <w:r>
        <w:t xml:space="preserve">Example </w:t>
      </w:r>
      <w:r w:rsidR="00865875">
        <w:t>R</w:t>
      </w:r>
      <w:r w:rsidR="006D1356">
        <w:t xml:space="preserve"> code </w:t>
      </w:r>
      <w:r w:rsidR="002237AD">
        <w:t xml:space="preserve">and package information </w:t>
      </w:r>
      <w:r w:rsidR="0014440C">
        <w:t xml:space="preserve">for </w:t>
      </w:r>
      <w:r w:rsidR="00865875">
        <w:t>meta-analysis</w:t>
      </w:r>
      <w:r w:rsidR="0014440C">
        <w:t xml:space="preserve"> </w:t>
      </w:r>
      <w:r w:rsidR="006D1356">
        <w:t xml:space="preserve">can be found </w:t>
      </w:r>
      <w:r w:rsidR="0014440C">
        <w:t xml:space="preserve">in the </w:t>
      </w:r>
      <w:r w:rsidR="00362370">
        <w:t>supplementary material</w:t>
      </w:r>
      <w:r w:rsidR="004A3E47">
        <w:t xml:space="preserve"> </w:t>
      </w:r>
      <w:r w:rsidR="00D87EAB">
        <w:t>(</w:t>
      </w:r>
      <w:r w:rsidR="00B304CE" w:rsidRPr="00B304CE">
        <w:t>§S</w:t>
      </w:r>
      <w:r w:rsidR="00153F12">
        <w:t>10</w:t>
      </w:r>
      <w:r w:rsidR="00D87EAB">
        <w:t>)</w:t>
      </w:r>
      <w:r w:rsidR="0014440C">
        <w:t>.</w:t>
      </w:r>
    </w:p>
    <w:p w14:paraId="090D3943" w14:textId="77777777" w:rsidR="00F855A5" w:rsidRDefault="00F855A5" w:rsidP="00F855A5">
      <w:pPr>
        <w:pStyle w:val="Heading2"/>
      </w:pPr>
      <w:r>
        <w:t>Acknowledgement</w:t>
      </w:r>
    </w:p>
    <w:p w14:paraId="5B5A6FF8" w14:textId="59A0616C" w:rsidR="00F855A5" w:rsidRDefault="00F855A5" w:rsidP="00F855A5">
      <w:r>
        <w:t>We would like to thank authors of published papers included in this meta-analysis who responded to requests for additional information to enable the meta-analysis.</w:t>
      </w:r>
      <w:r w:rsidR="008B0E4A">
        <w:t xml:space="preserve"> </w:t>
      </w:r>
    </w:p>
    <w:p w14:paraId="2403900F" w14:textId="502693DD" w:rsidR="001F0CE9" w:rsidRDefault="001F0CE9" w:rsidP="001F0CE9">
      <w:pPr>
        <w:pStyle w:val="Heading2"/>
      </w:pPr>
      <w:r>
        <w:t xml:space="preserve">Funding </w:t>
      </w:r>
    </w:p>
    <w:p w14:paraId="315BC099" w14:textId="0449054F" w:rsidR="008B0E4A" w:rsidRDefault="008B0E4A" w:rsidP="00F855A5">
      <w:r>
        <w:t xml:space="preserve">This study was supported by </w:t>
      </w:r>
      <w:r w:rsidR="00E74392">
        <w:t xml:space="preserve">unrestricted </w:t>
      </w:r>
      <w:r>
        <w:t xml:space="preserve">grant funds to Professor Chamberlain held at the University of Southampton, originating from the NHS. </w:t>
      </w:r>
      <w:r w:rsidR="00E74392">
        <w:t xml:space="preserve">The funding source had no role in the design, conduct, or reporting of the study. </w:t>
      </w:r>
    </w:p>
    <w:p w14:paraId="5B56BBD2" w14:textId="4D717A82" w:rsidR="00F855A5" w:rsidRDefault="00F855A5" w:rsidP="00F855A5">
      <w:pPr>
        <w:pStyle w:val="Heading2"/>
      </w:pPr>
      <w:r>
        <w:lastRenderedPageBreak/>
        <w:t>Declaration of interest</w:t>
      </w:r>
    </w:p>
    <w:p w14:paraId="76089685" w14:textId="7487FBAE" w:rsidR="001F0CE9" w:rsidRDefault="00677F50" w:rsidP="00E210DE">
      <w:r w:rsidRPr="001F0CE9">
        <w:t xml:space="preserve">Dr Ioannidis is clinical </w:t>
      </w:r>
      <w:r>
        <w:t>l</w:t>
      </w:r>
      <w:r w:rsidRPr="001F0CE9">
        <w:t xml:space="preserve">ead for the Southern </w:t>
      </w:r>
      <w:r>
        <w:t>Gambling</w:t>
      </w:r>
      <w:r w:rsidRPr="001F0CE9">
        <w:t xml:space="preserve"> Service and receives a stipend from Elsevier for journal editorial work.</w:t>
      </w:r>
      <w:r w:rsidRPr="0069622C">
        <w:t xml:space="preserve"> </w:t>
      </w:r>
      <w:r w:rsidR="001F0CE9" w:rsidRPr="001F0CE9">
        <w:t xml:space="preserve">Professor Chamberlain is service director for the NHS Southern Gambling Service. </w:t>
      </w:r>
      <w:r w:rsidR="008B0E4A" w:rsidRPr="001F0CE9">
        <w:t>Professor Chamberlain receives a stipend from Elsevier for journal editorial work.</w:t>
      </w:r>
      <w:r w:rsidR="008B0E4A">
        <w:t xml:space="preserve"> </w:t>
      </w:r>
      <w:r w:rsidR="00E210DE" w:rsidRPr="00E210DE">
        <w:t>Drs Solly and Fusetto</w:t>
      </w:r>
      <w:r w:rsidR="0036498F">
        <w:t xml:space="preserve"> </w:t>
      </w:r>
      <w:r w:rsidR="00E210DE" w:rsidRPr="00E210DE">
        <w:t xml:space="preserve">Veronesi are NIHR Academic Clinical Fellows, </w:t>
      </w:r>
      <w:r w:rsidR="00E210DE">
        <w:t>and</w:t>
      </w:r>
      <w:r w:rsidR="00E210DE" w:rsidRPr="00E210DE">
        <w:t xml:space="preserve"> Dr</w:t>
      </w:r>
      <w:r w:rsidR="0069622C" w:rsidRPr="0069622C">
        <w:t xml:space="preserve"> Huneke is an NIHR Clinical Lecturer. </w:t>
      </w:r>
      <w:r w:rsidR="0009518E" w:rsidRPr="0009518E">
        <w:t>Professor Baldwin receives a stipend from Wiley for journal editorial work.</w:t>
      </w:r>
      <w:r w:rsidR="00591D7E">
        <w:t xml:space="preserve"> </w:t>
      </w:r>
      <w:r w:rsidR="00591D7E" w:rsidRPr="00591D7E">
        <w:t xml:space="preserve">Cinzia </w:t>
      </w:r>
      <w:proofErr w:type="gramStart"/>
      <w:r w:rsidR="00591D7E" w:rsidRPr="00591D7E">
        <w:t>del</w:t>
      </w:r>
      <w:proofErr w:type="gramEnd"/>
      <w:r w:rsidR="00591D7E" w:rsidRPr="00591D7E">
        <w:t xml:space="preserve"> Giovane’s time on the project was funded partly through the grant funding to SRC.</w:t>
      </w:r>
      <w:r w:rsidR="0009518E" w:rsidRPr="0009518E">
        <w:t xml:space="preserve"> </w:t>
      </w:r>
      <w:r w:rsidR="00E17B1C" w:rsidRPr="00E17B1C">
        <w:t>Dr. Grant has received research grants from Janssen and Biohaven Pharmaceuticals. He receives yearly compensation from Springer Publishing for acting as Editor-in-Chief of the Journal of Gambling Studies and has received royalties from Oxford University Press, American Psychiatric Publishing, Inc., Norton Press, and McGraw Hill.</w:t>
      </w:r>
      <w:r w:rsidR="00E17B1C">
        <w:t xml:space="preserve"> </w:t>
      </w:r>
      <w:r w:rsidR="001F0CE9" w:rsidRPr="001F0CE9">
        <w:t xml:space="preserve">None of the authors have conflicts of interest in relation to the gambling or gaming industry. </w:t>
      </w:r>
      <w:r w:rsidR="00E210DE">
        <w:t xml:space="preserve">Samuele Cortese, NIHR Research Professor (NIHR303122) is funded by the NIHR for this research project. Samuele Cortese is also supported by NIHR grants NIHR203684, NIHR203035, NIHR130077, NIHR128472, </w:t>
      </w:r>
      <w:proofErr w:type="gramStart"/>
      <w:r w:rsidR="00E210DE">
        <w:t>RP</w:t>
      </w:r>
      <w:proofErr w:type="gramEnd"/>
      <w:r w:rsidR="00E210DE">
        <w:t>-PG-0618-20003 and by grant 101095568-HORIZONHLTH- 2022-DISEASE-07-03 from the European Research Executive Agency. Prof. Cortese has declared reimbursement for travel and accommodation expenses from the Association for Child and Adolescent Central Health (ACAMH) in relation to lectures delivered for ACAMH, the Canadian AADHD Alliance Resource, the British Association of Psychopharmacology, and from Healthcare Convention for educational activity on ADHD, and has received honoraria from Medice.</w:t>
      </w:r>
      <w:r w:rsidR="00E210DE" w:rsidRPr="00E210DE">
        <w:t xml:space="preserve"> </w:t>
      </w:r>
      <w:r w:rsidR="00E210DE">
        <w:t>The views expressed in this publication are those of the author(s) and not necessarily those of the NIHR, NHS or the UK Department of Health and Social Care.</w:t>
      </w:r>
      <w:r w:rsidR="00591D7E" w:rsidRPr="00591D7E">
        <w:t xml:space="preserve"> </w:t>
      </w:r>
      <w:r w:rsidR="00591D7E" w:rsidRPr="001F0CE9">
        <w:t>None of the authors accept voluntary donations from the gambling or gaming industry</w:t>
      </w:r>
      <w:r w:rsidR="00591D7E">
        <w:t xml:space="preserve"> either personally or in terms of institutional funds held in their name.</w:t>
      </w:r>
    </w:p>
    <w:p w14:paraId="0301C91B" w14:textId="26CF45BF" w:rsidR="001F0CE9" w:rsidRPr="00D95C18" w:rsidRDefault="001F0CE9" w:rsidP="008E2D68"/>
    <w:p w14:paraId="7E00DF8D" w14:textId="1932771C" w:rsidR="00880710" w:rsidRDefault="00880710">
      <w:pPr>
        <w:spacing w:line="259" w:lineRule="auto"/>
        <w:jc w:val="left"/>
        <w:rPr>
          <w:rFonts w:asciiTheme="majorHAnsi" w:eastAsiaTheme="majorEastAsia" w:hAnsiTheme="majorHAnsi" w:cstheme="majorBidi"/>
          <w:b/>
          <w:sz w:val="28"/>
          <w:szCs w:val="32"/>
        </w:rPr>
      </w:pPr>
      <w:r>
        <w:br w:type="page"/>
      </w:r>
    </w:p>
    <w:p w14:paraId="0387BA93" w14:textId="77777777" w:rsidR="00F855A5" w:rsidRDefault="00F855A5" w:rsidP="00F855A5">
      <w:pPr>
        <w:pStyle w:val="Heading2"/>
      </w:pPr>
      <w:r>
        <w:lastRenderedPageBreak/>
        <w:t>Author contributions</w:t>
      </w:r>
    </w:p>
    <w:p w14:paraId="090D4FA7" w14:textId="4D1F2829" w:rsidR="00F855A5" w:rsidRDefault="00F855A5" w:rsidP="00F855A5">
      <w:r w:rsidRPr="00E2183E">
        <w:t xml:space="preserve">KI, </w:t>
      </w:r>
      <w:r>
        <w:t>CT, J</w:t>
      </w:r>
      <w:r w:rsidR="00523D87">
        <w:t>E</w:t>
      </w:r>
      <w:r>
        <w:t>S, SC,</w:t>
      </w:r>
      <w:r w:rsidRPr="00E2183E">
        <w:t xml:space="preserve"> SRC contributed to the design of the study;</w:t>
      </w:r>
      <w:r>
        <w:t xml:space="preserve"> </w:t>
      </w:r>
      <w:r w:rsidR="0076343C">
        <w:t>CT and J</w:t>
      </w:r>
      <w:r w:rsidR="00523D87">
        <w:t>E</w:t>
      </w:r>
      <w:r w:rsidR="0076343C">
        <w:t xml:space="preserve">S led the search and screening process; </w:t>
      </w:r>
      <w:r>
        <w:t>KI,</w:t>
      </w:r>
      <w:r w:rsidR="00BD54CC">
        <w:t xml:space="preserve"> CDG,</w:t>
      </w:r>
      <w:r>
        <w:t xml:space="preserve"> </w:t>
      </w:r>
      <w:r w:rsidR="00A224FC">
        <w:t xml:space="preserve">JES, </w:t>
      </w:r>
      <w:r>
        <w:t>SRC</w:t>
      </w:r>
      <w:r w:rsidR="00865875">
        <w:t>, GFV</w:t>
      </w:r>
      <w:r>
        <w:t xml:space="preserve"> contributed to data collection. KI, </w:t>
      </w:r>
      <w:r w:rsidR="00A224FC">
        <w:t xml:space="preserve">JES, </w:t>
      </w:r>
      <w:r>
        <w:t>and SRC had access</w:t>
      </w:r>
      <w:r w:rsidR="00865875">
        <w:t xml:space="preserve"> to the data.</w:t>
      </w:r>
      <w:r w:rsidR="006B2A0F">
        <w:t xml:space="preserve"> VP and SJW conducted the RoB2 and contributed equally to the manuscript.</w:t>
      </w:r>
      <w:r w:rsidR="00865875">
        <w:t xml:space="preserve"> KI</w:t>
      </w:r>
      <w:r>
        <w:t xml:space="preserve"> </w:t>
      </w:r>
      <w:r w:rsidR="00727F42">
        <w:t>conducted the</w:t>
      </w:r>
      <w:r w:rsidR="00865875">
        <w:t xml:space="preserve"> meta-</w:t>
      </w:r>
      <w:r>
        <w:t>analysis and take</w:t>
      </w:r>
      <w:r w:rsidR="0032144B">
        <w:t>s</w:t>
      </w:r>
      <w:r>
        <w:t xml:space="preserve"> responsibility for the integrity and accuracy of the data analysis</w:t>
      </w:r>
      <w:r w:rsidR="00727F42">
        <w:t xml:space="preserve"> itself</w:t>
      </w:r>
      <w:r>
        <w:t xml:space="preserve">. All authors have intellectually contributed and reviewed the final submitted manuscript. </w:t>
      </w:r>
      <w:r w:rsidR="009F0D05">
        <w:t xml:space="preserve">All authors accept responsibility for the conduct of the study and its integrity.  </w:t>
      </w:r>
    </w:p>
    <w:p w14:paraId="4E36E0D0" w14:textId="1617BF9F" w:rsidR="00865875" w:rsidRDefault="00865875" w:rsidP="00002699">
      <w:pPr>
        <w:pStyle w:val="Heading2"/>
      </w:pPr>
      <w:r>
        <w:t>REFERENCES</w:t>
      </w:r>
    </w:p>
    <w:p w14:paraId="62418E82" w14:textId="645FE73E" w:rsidR="00BB6F19" w:rsidRPr="00BB6F19" w:rsidRDefault="00865875" w:rsidP="00BB6F19">
      <w:pPr>
        <w:widowControl w:val="0"/>
        <w:autoSpaceDE w:val="0"/>
        <w:autoSpaceDN w:val="0"/>
        <w:adjustRightInd w:val="0"/>
        <w:ind w:left="480" w:hanging="480"/>
        <w:rPr>
          <w:rFonts w:cs="Times New Roman"/>
          <w:noProof/>
          <w:szCs w:val="24"/>
        </w:rPr>
      </w:pPr>
      <w:r>
        <w:fldChar w:fldCharType="begin" w:fldLock="1"/>
      </w:r>
      <w:r>
        <w:instrText xml:space="preserve">ADDIN Mendeley Bibliography CSL_BIBLIOGRAPHY </w:instrText>
      </w:r>
      <w:r>
        <w:fldChar w:fldCharType="separate"/>
      </w:r>
      <w:r w:rsidR="00BB6F19" w:rsidRPr="00BB6F19">
        <w:rPr>
          <w:rFonts w:cs="Times New Roman"/>
          <w:noProof/>
          <w:szCs w:val="24"/>
        </w:rPr>
        <w:t xml:space="preserve">American Psychiatric Association. (2022). Diagnostic and Statistical Manual of Mental Disorders, Fifth Edition, Text Revision (DSM-5-TR). </w:t>
      </w:r>
      <w:r w:rsidR="00BB6F19" w:rsidRPr="00BB6F19">
        <w:rPr>
          <w:rFonts w:cs="Times New Roman"/>
          <w:i/>
          <w:iCs/>
          <w:noProof/>
          <w:szCs w:val="24"/>
        </w:rPr>
        <w:t>Diagnostic and Statistical Manual of Mental Disorders</w:t>
      </w:r>
      <w:r w:rsidR="00BB6F19" w:rsidRPr="00BB6F19">
        <w:rPr>
          <w:rFonts w:cs="Times New Roman"/>
          <w:noProof/>
          <w:szCs w:val="24"/>
        </w:rPr>
        <w:t>. https://doi.org/10.1176/APPI.BOOKS.9780890425787</w:t>
      </w:r>
    </w:p>
    <w:p w14:paraId="0804FD34"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Anton, R. F., O’Malley, S. S., Ciraulo, D. A., Cisler, R. A., Couper, D., Donovan, D. M., … Zweben, A. (2006). Combined pharmacotherapies and behavioral interventions for alcohol dependence: the COMBINE study: a randomized controlled trial. </w:t>
      </w:r>
      <w:r w:rsidRPr="00BB6F19">
        <w:rPr>
          <w:rFonts w:cs="Times New Roman"/>
          <w:i/>
          <w:iCs/>
          <w:noProof/>
          <w:szCs w:val="24"/>
        </w:rPr>
        <w:t>JAMA</w:t>
      </w:r>
      <w:r w:rsidRPr="00BB6F19">
        <w:rPr>
          <w:rFonts w:cs="Times New Roman"/>
          <w:noProof/>
          <w:szCs w:val="24"/>
        </w:rPr>
        <w:t xml:space="preserve">, </w:t>
      </w:r>
      <w:r w:rsidRPr="00BB6F19">
        <w:rPr>
          <w:rFonts w:cs="Times New Roman"/>
          <w:i/>
          <w:iCs/>
          <w:noProof/>
          <w:szCs w:val="24"/>
        </w:rPr>
        <w:t>295</w:t>
      </w:r>
      <w:r w:rsidRPr="00BB6F19">
        <w:rPr>
          <w:rFonts w:cs="Times New Roman"/>
          <w:noProof/>
          <w:szCs w:val="24"/>
        </w:rPr>
        <w:t>(17), 2003–2017. https://doi.org/10.1001/JAMA.295.17.2003</w:t>
      </w:r>
    </w:p>
    <w:p w14:paraId="42725D8D"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Ashar, Y. K., Chang, L. J., &amp; Wager, T. D. (2017). Brain Mechanisms of the Placebo Effect: An Affective Appraisal Account. </w:t>
      </w:r>
      <w:r w:rsidRPr="00BB6F19">
        <w:rPr>
          <w:rFonts w:cs="Times New Roman"/>
          <w:i/>
          <w:iCs/>
          <w:noProof/>
          <w:szCs w:val="24"/>
        </w:rPr>
        <w:t>Annual Review of Clinical Psychology</w:t>
      </w:r>
      <w:r w:rsidRPr="00BB6F19">
        <w:rPr>
          <w:rFonts w:cs="Times New Roman"/>
          <w:noProof/>
          <w:szCs w:val="24"/>
        </w:rPr>
        <w:t xml:space="preserve">, </w:t>
      </w:r>
      <w:r w:rsidRPr="00BB6F19">
        <w:rPr>
          <w:rFonts w:cs="Times New Roman"/>
          <w:i/>
          <w:iCs/>
          <w:noProof/>
          <w:szCs w:val="24"/>
        </w:rPr>
        <w:t>13</w:t>
      </w:r>
      <w:r w:rsidRPr="00BB6F19">
        <w:rPr>
          <w:rFonts w:cs="Times New Roman"/>
          <w:noProof/>
          <w:szCs w:val="24"/>
        </w:rPr>
        <w:t>, 73–89. https://doi.org/10.1146/ANNUREV-CLINPSY-021815-093015</w:t>
      </w:r>
    </w:p>
    <w:p w14:paraId="387BC3C3"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Bandelow, B., Reitt, M., Röver, C., Michaelis, S., Görlich, Y., &amp; Wedekind, D. (2015). Efficacy of treatments for anxiety disorders: a meta-analysis. </w:t>
      </w:r>
      <w:r w:rsidRPr="00BB6F19">
        <w:rPr>
          <w:rFonts w:cs="Times New Roman"/>
          <w:i/>
          <w:iCs/>
          <w:noProof/>
          <w:szCs w:val="24"/>
        </w:rPr>
        <w:t>International Clinical Psychopharmacology</w:t>
      </w:r>
      <w:r w:rsidRPr="00BB6F19">
        <w:rPr>
          <w:rFonts w:cs="Times New Roman"/>
          <w:noProof/>
          <w:szCs w:val="24"/>
        </w:rPr>
        <w:t xml:space="preserve">, </w:t>
      </w:r>
      <w:r w:rsidRPr="00BB6F19">
        <w:rPr>
          <w:rFonts w:cs="Times New Roman"/>
          <w:i/>
          <w:iCs/>
          <w:noProof/>
          <w:szCs w:val="24"/>
        </w:rPr>
        <w:t>30</w:t>
      </w:r>
      <w:r w:rsidRPr="00BB6F19">
        <w:rPr>
          <w:rFonts w:cs="Times New Roman"/>
          <w:noProof/>
          <w:szCs w:val="24"/>
        </w:rPr>
        <w:t>(4), 183–192. https://doi.org/10.1097/YIC.0000000000000078</w:t>
      </w:r>
    </w:p>
    <w:p w14:paraId="7F11EC00"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Barsky, A. J., Saintfort, R., Rogers, M. P., &amp; Borus, J. F. (2002). Nonspecific medication side effects and the nocebo phenomenon. </w:t>
      </w:r>
      <w:r w:rsidRPr="00BB6F19">
        <w:rPr>
          <w:rFonts w:cs="Times New Roman"/>
          <w:i/>
          <w:iCs/>
          <w:noProof/>
          <w:szCs w:val="24"/>
        </w:rPr>
        <w:t>JAMA</w:t>
      </w:r>
      <w:r w:rsidRPr="00BB6F19">
        <w:rPr>
          <w:rFonts w:cs="Times New Roman"/>
          <w:noProof/>
          <w:szCs w:val="24"/>
        </w:rPr>
        <w:t xml:space="preserve">, </w:t>
      </w:r>
      <w:r w:rsidRPr="00BB6F19">
        <w:rPr>
          <w:rFonts w:cs="Times New Roman"/>
          <w:i/>
          <w:iCs/>
          <w:noProof/>
          <w:szCs w:val="24"/>
        </w:rPr>
        <w:t>287</w:t>
      </w:r>
      <w:r w:rsidRPr="00BB6F19">
        <w:rPr>
          <w:rFonts w:cs="Times New Roman"/>
          <w:noProof/>
          <w:szCs w:val="24"/>
        </w:rPr>
        <w:t>(5), 622–627. https://doi.org/10.1001/JAMA.287.5.622</w:t>
      </w:r>
    </w:p>
    <w:p w14:paraId="6D97A5DF"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Bernstein, M. H., Brown, W. A., Professor of Psychiatry, C., &amp; Behavior, H. (2017). The placebo effect in psychiatric practice. </w:t>
      </w:r>
      <w:r w:rsidRPr="00BB6F19">
        <w:rPr>
          <w:rFonts w:cs="Times New Roman"/>
          <w:i/>
          <w:iCs/>
          <w:noProof/>
          <w:szCs w:val="24"/>
        </w:rPr>
        <w:t>Current Psychiatry</w:t>
      </w:r>
      <w:r w:rsidRPr="00BB6F19">
        <w:rPr>
          <w:rFonts w:cs="Times New Roman"/>
          <w:noProof/>
          <w:szCs w:val="24"/>
        </w:rPr>
        <w:t xml:space="preserve">, </w:t>
      </w:r>
      <w:r w:rsidRPr="00BB6F19">
        <w:rPr>
          <w:rFonts w:cs="Times New Roman"/>
          <w:i/>
          <w:iCs/>
          <w:noProof/>
          <w:szCs w:val="24"/>
        </w:rPr>
        <w:t>16</w:t>
      </w:r>
      <w:r w:rsidRPr="00BB6F19">
        <w:rPr>
          <w:rFonts w:cs="Times New Roman"/>
          <w:noProof/>
          <w:szCs w:val="24"/>
        </w:rPr>
        <w:t>(11), 29. Retrieved from /pmc/articles/PMC6003660/</w:t>
      </w:r>
    </w:p>
    <w:p w14:paraId="6DC34F2D"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Busner, J., &amp; Targum, S. D. (2007). The Clinical Global Impressions Scale: Applying a Research Tool in </w:t>
      </w:r>
      <w:r w:rsidRPr="00BB6F19">
        <w:rPr>
          <w:rFonts w:cs="Times New Roman"/>
          <w:noProof/>
          <w:szCs w:val="24"/>
        </w:rPr>
        <w:lastRenderedPageBreak/>
        <w:t xml:space="preserve">Clinical Practice. </w:t>
      </w:r>
      <w:r w:rsidRPr="00BB6F19">
        <w:rPr>
          <w:rFonts w:cs="Times New Roman"/>
          <w:i/>
          <w:iCs/>
          <w:noProof/>
          <w:szCs w:val="24"/>
        </w:rPr>
        <w:t>Psychiatry (Edgmont)</w:t>
      </w:r>
      <w:r w:rsidRPr="00BB6F19">
        <w:rPr>
          <w:rFonts w:cs="Times New Roman"/>
          <w:noProof/>
          <w:szCs w:val="24"/>
        </w:rPr>
        <w:t xml:space="preserve">, </w:t>
      </w:r>
      <w:r w:rsidRPr="00BB6F19">
        <w:rPr>
          <w:rFonts w:cs="Times New Roman"/>
          <w:i/>
          <w:iCs/>
          <w:noProof/>
          <w:szCs w:val="24"/>
        </w:rPr>
        <w:t>4</w:t>
      </w:r>
      <w:r w:rsidRPr="00BB6F19">
        <w:rPr>
          <w:rFonts w:cs="Times New Roman"/>
          <w:noProof/>
          <w:szCs w:val="24"/>
        </w:rPr>
        <w:t>(7), 28. Retrieved from /pmc/articles/PMC2880930/</w:t>
      </w:r>
    </w:p>
    <w:p w14:paraId="78C1523A"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Cao, B., Liu, Y. S., Selvitella, A., Librenza-Garcia, D., Passos, I. C., Sawalha, J., … Greenshaw, A. (2021). Differential power of placebo across major psychiatric disorders: a preliminary meta-analysis and machine learning study. </w:t>
      </w:r>
      <w:r w:rsidRPr="00BB6F19">
        <w:rPr>
          <w:rFonts w:cs="Times New Roman"/>
          <w:i/>
          <w:iCs/>
          <w:noProof/>
          <w:szCs w:val="24"/>
        </w:rPr>
        <w:t>Scientific Reports 2021 11:1</w:t>
      </w:r>
      <w:r w:rsidRPr="00BB6F19">
        <w:rPr>
          <w:rFonts w:cs="Times New Roman"/>
          <w:noProof/>
          <w:szCs w:val="24"/>
        </w:rPr>
        <w:t xml:space="preserve">, </w:t>
      </w:r>
      <w:r w:rsidRPr="00BB6F19">
        <w:rPr>
          <w:rFonts w:cs="Times New Roman"/>
          <w:i/>
          <w:iCs/>
          <w:noProof/>
          <w:szCs w:val="24"/>
        </w:rPr>
        <w:t>11</w:t>
      </w:r>
      <w:r w:rsidRPr="00BB6F19">
        <w:rPr>
          <w:rFonts w:cs="Times New Roman"/>
          <w:noProof/>
          <w:szCs w:val="24"/>
        </w:rPr>
        <w:t>(1), 1–9. https://doi.org/10.1038/s41598-021-99534-z</w:t>
      </w:r>
    </w:p>
    <w:p w14:paraId="2B7C7607"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Cochrane. (2023). RoB 2: A revised Cochrane risk-of-bias tool for randomized trials | Cochrane Bias. Retrieved June 25, 2023, from https://methods.cochrane.org/bias/resources/rob-2-revised-cochrane-risk-bias-tool-randomized-trials</w:t>
      </w:r>
    </w:p>
    <w:p w14:paraId="60C8C73A"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Colloca, L., &amp; Barsky, A. J. (2020). Placebo and Nocebo Effects. </w:t>
      </w:r>
      <w:r w:rsidRPr="00BB6F19">
        <w:rPr>
          <w:rFonts w:cs="Times New Roman"/>
          <w:i/>
          <w:iCs/>
          <w:noProof/>
          <w:szCs w:val="24"/>
        </w:rPr>
        <w:t>New England Journal of Medicine</w:t>
      </w:r>
      <w:r w:rsidRPr="00BB6F19">
        <w:rPr>
          <w:rFonts w:cs="Times New Roman"/>
          <w:noProof/>
          <w:szCs w:val="24"/>
        </w:rPr>
        <w:t xml:space="preserve">, </w:t>
      </w:r>
      <w:r w:rsidRPr="00BB6F19">
        <w:rPr>
          <w:rFonts w:cs="Times New Roman"/>
          <w:i/>
          <w:iCs/>
          <w:noProof/>
          <w:szCs w:val="24"/>
        </w:rPr>
        <w:t>382</w:t>
      </w:r>
      <w:r w:rsidRPr="00BB6F19">
        <w:rPr>
          <w:rFonts w:cs="Times New Roman"/>
          <w:noProof/>
          <w:szCs w:val="24"/>
        </w:rPr>
        <w:t>(6), 554–561. https://doi.org/10.1056/NEJMRA1907805/SUPPL_FILE/NEJMRA1907805_DISCLOSURES.PDF</w:t>
      </w:r>
    </w:p>
    <w:p w14:paraId="118FF05D"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Cummings, J. L., Tractenberg, R. E., Gamst, A., Teri, L., Masterman, D., &amp; Thal, L. J. (2004). Regression to the Mean: Implications for Clinical Trials of Psychotropic Agents in Dementia. </w:t>
      </w:r>
      <w:r w:rsidRPr="00BB6F19">
        <w:rPr>
          <w:rFonts w:cs="Times New Roman"/>
          <w:i/>
          <w:iCs/>
          <w:noProof/>
          <w:szCs w:val="24"/>
        </w:rPr>
        <w:t>Current Alzheimer Research</w:t>
      </w:r>
      <w:r w:rsidRPr="00BB6F19">
        <w:rPr>
          <w:rFonts w:cs="Times New Roman"/>
          <w:noProof/>
          <w:szCs w:val="24"/>
        </w:rPr>
        <w:t xml:space="preserve">, </w:t>
      </w:r>
      <w:r w:rsidRPr="00BB6F19">
        <w:rPr>
          <w:rFonts w:cs="Times New Roman"/>
          <w:i/>
          <w:iCs/>
          <w:noProof/>
          <w:szCs w:val="24"/>
        </w:rPr>
        <w:t>1</w:t>
      </w:r>
      <w:r w:rsidRPr="00BB6F19">
        <w:rPr>
          <w:rFonts w:cs="Times New Roman"/>
          <w:noProof/>
          <w:szCs w:val="24"/>
        </w:rPr>
        <w:t>(4), 323. https://doi.org/10.2174/1567205043332027</w:t>
      </w:r>
    </w:p>
    <w:p w14:paraId="5A04CFAA"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Del Re, A. C., Maisel, N., Blodgett, J. C., Wilbourne, P., &amp; Finney, J. W. (2013). Placebo group improvement in trials of pharmacotherapies for alcohol use disorders: a multivariate meta-analysis examining change over time. </w:t>
      </w:r>
      <w:r w:rsidRPr="00BB6F19">
        <w:rPr>
          <w:rFonts w:cs="Times New Roman"/>
          <w:i/>
          <w:iCs/>
          <w:noProof/>
          <w:szCs w:val="24"/>
        </w:rPr>
        <w:t>Journal of Clinical Psychopharmacology</w:t>
      </w:r>
      <w:r w:rsidRPr="00BB6F19">
        <w:rPr>
          <w:rFonts w:cs="Times New Roman"/>
          <w:noProof/>
          <w:szCs w:val="24"/>
        </w:rPr>
        <w:t xml:space="preserve">, </w:t>
      </w:r>
      <w:r w:rsidRPr="00BB6F19">
        <w:rPr>
          <w:rFonts w:cs="Times New Roman"/>
          <w:i/>
          <w:iCs/>
          <w:noProof/>
          <w:szCs w:val="24"/>
        </w:rPr>
        <w:t>33</w:t>
      </w:r>
      <w:r w:rsidRPr="00BB6F19">
        <w:rPr>
          <w:rFonts w:cs="Times New Roman"/>
          <w:noProof/>
          <w:szCs w:val="24"/>
        </w:rPr>
        <w:t>(5), 649–657. https://doi.org/10.1097/JCP.0B013E3182983E73</w:t>
      </w:r>
    </w:p>
    <w:p w14:paraId="059F8939"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Ernst, E. (1998). Harmless Herbs? A Review of the Recent Literature. </w:t>
      </w:r>
      <w:r w:rsidRPr="00BB6F19">
        <w:rPr>
          <w:rFonts w:cs="Times New Roman"/>
          <w:i/>
          <w:iCs/>
          <w:noProof/>
          <w:szCs w:val="24"/>
        </w:rPr>
        <w:t>The American Journal of Medicine</w:t>
      </w:r>
      <w:r w:rsidRPr="00BB6F19">
        <w:rPr>
          <w:rFonts w:cs="Times New Roman"/>
          <w:noProof/>
          <w:szCs w:val="24"/>
        </w:rPr>
        <w:t xml:space="preserve">, </w:t>
      </w:r>
      <w:r w:rsidRPr="00BB6F19">
        <w:rPr>
          <w:rFonts w:cs="Times New Roman"/>
          <w:i/>
          <w:iCs/>
          <w:noProof/>
          <w:szCs w:val="24"/>
        </w:rPr>
        <w:t>104</w:t>
      </w:r>
      <w:r w:rsidRPr="00BB6F19">
        <w:rPr>
          <w:rFonts w:cs="Times New Roman"/>
          <w:noProof/>
          <w:szCs w:val="24"/>
        </w:rPr>
        <w:t>(2), 170–178. https://doi.org/10.1016/S0002-9343(97)00397-5</w:t>
      </w:r>
    </w:p>
    <w:p w14:paraId="546008BA"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Faasse, K., Huynh, A., Pearson, S., Geers, A. L., Helfer, S. G., &amp; Colagiuri, B. (2019). The Influence of Side Effect Information Framing on Nocebo Effects. </w:t>
      </w:r>
      <w:r w:rsidRPr="00BB6F19">
        <w:rPr>
          <w:rFonts w:cs="Times New Roman"/>
          <w:i/>
          <w:iCs/>
          <w:noProof/>
          <w:szCs w:val="24"/>
        </w:rPr>
        <w:t>Annals of Behavioral Medicine : A Publication of the Society of Behavioral Medicine</w:t>
      </w:r>
      <w:r w:rsidRPr="00BB6F19">
        <w:rPr>
          <w:rFonts w:cs="Times New Roman"/>
          <w:noProof/>
          <w:szCs w:val="24"/>
        </w:rPr>
        <w:t xml:space="preserve">, </w:t>
      </w:r>
      <w:r w:rsidRPr="00BB6F19">
        <w:rPr>
          <w:rFonts w:cs="Times New Roman"/>
          <w:i/>
          <w:iCs/>
          <w:noProof/>
          <w:szCs w:val="24"/>
        </w:rPr>
        <w:t>53</w:t>
      </w:r>
      <w:r w:rsidRPr="00BB6F19">
        <w:rPr>
          <w:rFonts w:cs="Times New Roman"/>
          <w:noProof/>
          <w:szCs w:val="24"/>
        </w:rPr>
        <w:t>(7), 621–629. https://doi.org/10.1093/ABM/KAY071</w:t>
      </w:r>
    </w:p>
    <w:p w14:paraId="033BAA2E"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Fisher, Z., Tipton, E., &amp; Zhipeng, H. (2017). robumeta: An R-package for robust variance estimation in meta-analysis. Retrieved June 27, 2020, from CRAN Repository website: https://github.com/zackfisher/robumeta</w:t>
      </w:r>
    </w:p>
    <w:p w14:paraId="22FC5BB0"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lastRenderedPageBreak/>
        <w:t xml:space="preserve">Flaten, M. A., Simonsen, T., &amp; Olsen, H. (1999). Drug-related information generates placebo and nocebo responses that modify the drug response. </w:t>
      </w:r>
      <w:r w:rsidRPr="00BB6F19">
        <w:rPr>
          <w:rFonts w:cs="Times New Roman"/>
          <w:i/>
          <w:iCs/>
          <w:noProof/>
          <w:szCs w:val="24"/>
        </w:rPr>
        <w:t>Psychosomatic Medicine</w:t>
      </w:r>
      <w:r w:rsidRPr="00BB6F19">
        <w:rPr>
          <w:rFonts w:cs="Times New Roman"/>
          <w:noProof/>
          <w:szCs w:val="24"/>
        </w:rPr>
        <w:t xml:space="preserve">, </w:t>
      </w:r>
      <w:r w:rsidRPr="00BB6F19">
        <w:rPr>
          <w:rFonts w:cs="Times New Roman"/>
          <w:i/>
          <w:iCs/>
          <w:noProof/>
          <w:szCs w:val="24"/>
        </w:rPr>
        <w:t>61</w:t>
      </w:r>
      <w:r w:rsidRPr="00BB6F19">
        <w:rPr>
          <w:rFonts w:cs="Times New Roman"/>
          <w:noProof/>
          <w:szCs w:val="24"/>
        </w:rPr>
        <w:t>(2), 250–255. https://doi.org/10.1097/00006842-199903000-00018</w:t>
      </w:r>
    </w:p>
    <w:p w14:paraId="46563286"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Gibbons, R. D., Hedeker, D. R., &amp; Davis, J. M. (1993). Estimation of Effect Size From a Series of Experiments Involving Paired Comparisons. </w:t>
      </w:r>
      <w:r w:rsidRPr="00BB6F19">
        <w:rPr>
          <w:rFonts w:cs="Times New Roman"/>
          <w:i/>
          <w:iCs/>
          <w:noProof/>
          <w:szCs w:val="24"/>
        </w:rPr>
        <w:t>Http://Dx.Doi.Org/10.3102/10769986018003271</w:t>
      </w:r>
      <w:r w:rsidRPr="00BB6F19">
        <w:rPr>
          <w:rFonts w:cs="Times New Roman"/>
          <w:noProof/>
          <w:szCs w:val="24"/>
        </w:rPr>
        <w:t xml:space="preserve">, </w:t>
      </w:r>
      <w:r w:rsidRPr="00BB6F19">
        <w:rPr>
          <w:rFonts w:cs="Times New Roman"/>
          <w:i/>
          <w:iCs/>
          <w:noProof/>
          <w:szCs w:val="24"/>
        </w:rPr>
        <w:t>18</w:t>
      </w:r>
      <w:r w:rsidRPr="00BB6F19">
        <w:rPr>
          <w:rFonts w:cs="Times New Roman"/>
          <w:noProof/>
          <w:szCs w:val="24"/>
        </w:rPr>
        <w:t>(3), 271–279. https://doi.org/10.3102/10769986018003271</w:t>
      </w:r>
    </w:p>
    <w:p w14:paraId="73DD2960"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Grant, J., &amp; Chamberlain, S. (2017). The placebo effect and its clinical associations in gambling disorder. </w:t>
      </w:r>
      <w:r w:rsidRPr="00BB6F19">
        <w:rPr>
          <w:rFonts w:cs="Times New Roman"/>
          <w:i/>
          <w:iCs/>
          <w:noProof/>
          <w:szCs w:val="24"/>
        </w:rPr>
        <w:t>Ann Clin Psychiatry</w:t>
      </w:r>
      <w:r w:rsidRPr="00BB6F19">
        <w:rPr>
          <w:rFonts w:cs="Times New Roman"/>
          <w:noProof/>
          <w:szCs w:val="24"/>
        </w:rPr>
        <w:t xml:space="preserve">, </w:t>
      </w:r>
      <w:r w:rsidRPr="00BB6F19">
        <w:rPr>
          <w:rFonts w:cs="Times New Roman"/>
          <w:i/>
          <w:iCs/>
          <w:noProof/>
          <w:szCs w:val="24"/>
        </w:rPr>
        <w:t>3</w:t>
      </w:r>
      <w:r w:rsidRPr="00BB6F19">
        <w:rPr>
          <w:rFonts w:cs="Times New Roman"/>
          <w:noProof/>
          <w:szCs w:val="24"/>
        </w:rPr>
        <w:t>, 167–172. Retrieved from https://pubmed.ncbi.nlm.nih.gov/28738096/</w:t>
      </w:r>
    </w:p>
    <w:p w14:paraId="06893AE5"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Grant, J. E., Suck, W. K., &amp; Hartman, B. K. (2008). A double-blind, placebo-controlled study of the opiate antagonist naltrexone in the treatment of pathological gambling urges. </w:t>
      </w:r>
      <w:r w:rsidRPr="00BB6F19">
        <w:rPr>
          <w:rFonts w:cs="Times New Roman"/>
          <w:i/>
          <w:iCs/>
          <w:noProof/>
          <w:szCs w:val="24"/>
        </w:rPr>
        <w:t>Journal of Clinical Psychiatry</w:t>
      </w:r>
      <w:r w:rsidRPr="00BB6F19">
        <w:rPr>
          <w:rFonts w:cs="Times New Roman"/>
          <w:noProof/>
          <w:szCs w:val="24"/>
        </w:rPr>
        <w:t xml:space="preserve">, </w:t>
      </w:r>
      <w:r w:rsidRPr="00BB6F19">
        <w:rPr>
          <w:rFonts w:cs="Times New Roman"/>
          <w:i/>
          <w:iCs/>
          <w:noProof/>
          <w:szCs w:val="24"/>
        </w:rPr>
        <w:t>69</w:t>
      </w:r>
      <w:r w:rsidRPr="00BB6F19">
        <w:rPr>
          <w:rFonts w:cs="Times New Roman"/>
          <w:noProof/>
          <w:szCs w:val="24"/>
        </w:rPr>
        <w:t>(5), 783–789. https://doi.org/10.4088/JCP.v69n0511</w:t>
      </w:r>
    </w:p>
    <w:p w14:paraId="59A50FC6"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Haq, R., Molteni, L., &amp; Huneke, N. (2024). The Relationship Between Blinding Integrity and Treatment Efficacy in Randomised-Controlled Trials in Patients with Anxiety Disorders: A Systematic Review and Meta-Analysis. </w:t>
      </w:r>
      <w:r w:rsidRPr="00BB6F19">
        <w:rPr>
          <w:rFonts w:cs="Times New Roman"/>
          <w:i/>
          <w:iCs/>
          <w:noProof/>
          <w:szCs w:val="24"/>
        </w:rPr>
        <w:t>OSF (Pre-Print)</w:t>
      </w:r>
      <w:r w:rsidRPr="00BB6F19">
        <w:rPr>
          <w:rFonts w:cs="Times New Roman"/>
          <w:noProof/>
          <w:szCs w:val="24"/>
        </w:rPr>
        <w:t>. https://doi.org/doi:10.31219/osf.io/fp3gs</w:t>
      </w:r>
    </w:p>
    <w:p w14:paraId="2C5AFBB1"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Higgins, J., Thomas, J., Chandler, J., Cumpston, M., Li, T., Page, M., &amp; Welch, V. (2019). </w:t>
      </w:r>
      <w:r w:rsidRPr="00BB6F19">
        <w:rPr>
          <w:rFonts w:cs="Times New Roman"/>
          <w:i/>
          <w:iCs/>
          <w:noProof/>
          <w:szCs w:val="24"/>
        </w:rPr>
        <w:t>Cochrane Handbook for Systematic Reviews of Interventions</w:t>
      </w:r>
      <w:r w:rsidRPr="00BB6F19">
        <w:rPr>
          <w:rFonts w:cs="Times New Roman"/>
          <w:noProof/>
          <w:szCs w:val="24"/>
        </w:rPr>
        <w:t xml:space="preserve"> (2nd Editio). Chichester (UK): John Wiley &amp; Sons.</w:t>
      </w:r>
    </w:p>
    <w:p w14:paraId="39768A32"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Huneke, N. T. M., Amin, J., Baldwin, D. S., Bellato, A., Brandt, V., Chamberlain, S. R., … Cortese, S. (2024). Placebo effects in randomized trials of pharmacological and neurostimulation interventions for mental disorders: An umbrella review. </w:t>
      </w:r>
      <w:r w:rsidRPr="00BB6F19">
        <w:rPr>
          <w:rFonts w:cs="Times New Roman"/>
          <w:i/>
          <w:iCs/>
          <w:noProof/>
          <w:szCs w:val="24"/>
        </w:rPr>
        <w:t>Molecular Psychiatry</w:t>
      </w:r>
      <w:r w:rsidRPr="00BB6F19">
        <w:rPr>
          <w:rFonts w:cs="Times New Roman"/>
          <w:noProof/>
          <w:szCs w:val="24"/>
        </w:rPr>
        <w:t>. https://doi.org/10.1038/S41380-024-02638-X</w:t>
      </w:r>
    </w:p>
    <w:p w14:paraId="13A0724A"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Huneke, N. T. M., Chamberlain, S. R., Baldwin, D. S., &amp; Grant, J. E. (2021). Diverse predictors of treatment response to active medication and placebo in gambling disorder. </w:t>
      </w:r>
      <w:r w:rsidRPr="00BB6F19">
        <w:rPr>
          <w:rFonts w:cs="Times New Roman"/>
          <w:i/>
          <w:iCs/>
          <w:noProof/>
          <w:szCs w:val="24"/>
        </w:rPr>
        <w:t>Journal of Psychiatric Research</w:t>
      </w:r>
      <w:r w:rsidRPr="00BB6F19">
        <w:rPr>
          <w:rFonts w:cs="Times New Roman"/>
          <w:noProof/>
          <w:szCs w:val="24"/>
        </w:rPr>
        <w:t xml:space="preserve">, </w:t>
      </w:r>
      <w:r w:rsidRPr="00BB6F19">
        <w:rPr>
          <w:rFonts w:cs="Times New Roman"/>
          <w:i/>
          <w:iCs/>
          <w:noProof/>
          <w:szCs w:val="24"/>
        </w:rPr>
        <w:t>144</w:t>
      </w:r>
      <w:r w:rsidRPr="00BB6F19">
        <w:rPr>
          <w:rFonts w:cs="Times New Roman"/>
          <w:noProof/>
          <w:szCs w:val="24"/>
        </w:rPr>
        <w:t>, 96–101. https://doi.org/10.1016/J.JPSYCHIRES.2021.09.053</w:t>
      </w:r>
    </w:p>
    <w:p w14:paraId="0D4D375C"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Huneke, N. T. M., Van Der Wee, N., Garner, M., &amp; Baldwin, D. S. (2020). Why we need more research into the placebo response in psychiatry. </w:t>
      </w:r>
      <w:r w:rsidRPr="00BB6F19">
        <w:rPr>
          <w:rFonts w:cs="Times New Roman"/>
          <w:i/>
          <w:iCs/>
          <w:noProof/>
          <w:szCs w:val="24"/>
        </w:rPr>
        <w:t>Psychological Medicine</w:t>
      </w:r>
      <w:r w:rsidRPr="00BB6F19">
        <w:rPr>
          <w:rFonts w:cs="Times New Roman"/>
          <w:noProof/>
          <w:szCs w:val="24"/>
        </w:rPr>
        <w:t xml:space="preserve">, </w:t>
      </w:r>
      <w:r w:rsidRPr="00BB6F19">
        <w:rPr>
          <w:rFonts w:cs="Times New Roman"/>
          <w:i/>
          <w:iCs/>
          <w:noProof/>
          <w:szCs w:val="24"/>
        </w:rPr>
        <w:t>50</w:t>
      </w:r>
      <w:r w:rsidRPr="00BB6F19">
        <w:rPr>
          <w:rFonts w:cs="Times New Roman"/>
          <w:noProof/>
          <w:szCs w:val="24"/>
        </w:rPr>
        <w:t>(14), 2317. https://doi.org/10.1017/S0033291720003633</w:t>
      </w:r>
    </w:p>
    <w:p w14:paraId="665179EB"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lastRenderedPageBreak/>
        <w:t>ICD-11. (2021). ICD-11 for Mortality and Morbidity Statistics. Retrieved September 19, 2021, from https://icd.who.int/browse11/l-m/en#/http%3A%2F%2Fid.who.int%2Ficd%2Fentity%2F263852475</w:t>
      </w:r>
    </w:p>
    <w:p w14:paraId="5EBF20BC"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Ioannidis, K., &amp; Bowden-Jones, H. (2023). Online gambling among young men: a rising tide? </w:t>
      </w:r>
      <w:r w:rsidRPr="00BB6F19">
        <w:rPr>
          <w:rFonts w:cs="Times New Roman"/>
          <w:i/>
          <w:iCs/>
          <w:noProof/>
          <w:szCs w:val="24"/>
        </w:rPr>
        <w:t>Trends in Urology &amp; Men’s Health</w:t>
      </w:r>
      <w:r w:rsidRPr="00BB6F19">
        <w:rPr>
          <w:rFonts w:cs="Times New Roman"/>
          <w:noProof/>
          <w:szCs w:val="24"/>
        </w:rPr>
        <w:t xml:space="preserve">, </w:t>
      </w:r>
      <w:r w:rsidRPr="00BB6F19">
        <w:rPr>
          <w:rFonts w:cs="Times New Roman"/>
          <w:i/>
          <w:iCs/>
          <w:noProof/>
          <w:szCs w:val="24"/>
        </w:rPr>
        <w:t>14</w:t>
      </w:r>
      <w:r w:rsidRPr="00BB6F19">
        <w:rPr>
          <w:rFonts w:cs="Times New Roman"/>
          <w:noProof/>
          <w:szCs w:val="24"/>
        </w:rPr>
        <w:t>(5), 6–9. https://doi.org/10.1002/TRE.929</w:t>
      </w:r>
    </w:p>
    <w:p w14:paraId="6557A981"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Ioannidis, K., Del Giovane, C., Tzagarakis, C., Solly, J. E., Westwood, S. J., Parlatini, V., … Chamberlain Author details, S. R. (2024). Pharmacological Management of Gambling Disorder: A Systematic Review and Network Meta-Analysis. </w:t>
      </w:r>
      <w:r w:rsidRPr="00BB6F19">
        <w:rPr>
          <w:rFonts w:cs="Times New Roman"/>
          <w:i/>
          <w:iCs/>
          <w:noProof/>
          <w:szCs w:val="24"/>
        </w:rPr>
        <w:t>MedRxiv</w:t>
      </w:r>
      <w:r w:rsidRPr="00BB6F19">
        <w:rPr>
          <w:rFonts w:cs="Times New Roman"/>
          <w:noProof/>
          <w:szCs w:val="24"/>
        </w:rPr>
        <w:t>, 2023.10.20.23297314. https://doi.org/10.1101/2023.10.20.23297314</w:t>
      </w:r>
    </w:p>
    <w:p w14:paraId="6F0EB891"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Ioannidis, K., Hook, R., Wickham, K., Grant, J. E., &amp; Chamberlain, S. R. (2019). Impulsivity in Gambling Disorder and problem gambling: a meta-analysis. </w:t>
      </w:r>
      <w:r w:rsidRPr="00BB6F19">
        <w:rPr>
          <w:rFonts w:cs="Times New Roman"/>
          <w:i/>
          <w:iCs/>
          <w:noProof/>
          <w:szCs w:val="24"/>
        </w:rPr>
        <w:t>Neuropsychopharmacology</w:t>
      </w:r>
      <w:r w:rsidRPr="00BB6F19">
        <w:rPr>
          <w:rFonts w:cs="Times New Roman"/>
          <w:noProof/>
          <w:szCs w:val="24"/>
        </w:rPr>
        <w:t xml:space="preserve">, </w:t>
      </w:r>
      <w:r w:rsidRPr="00BB6F19">
        <w:rPr>
          <w:rFonts w:cs="Times New Roman"/>
          <w:i/>
          <w:iCs/>
          <w:noProof/>
          <w:szCs w:val="24"/>
        </w:rPr>
        <w:t>44</w:t>
      </w:r>
      <w:r w:rsidRPr="00BB6F19">
        <w:rPr>
          <w:rFonts w:cs="Times New Roman"/>
          <w:noProof/>
          <w:szCs w:val="24"/>
        </w:rPr>
        <w:t>(8), 1354–1361. https://doi.org/10.1038/s41386-019-0393-9</w:t>
      </w:r>
    </w:p>
    <w:p w14:paraId="22CB7270"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Jones, B. D. M., Razza, L. B., Weissman, C. R., Karbi, J., Vine, T., Mulsant, L. S., … Daskalakis, Z. J. (2021). Magnitude of the Placebo Response Across Treatment Modalities Used for Treatment-Resistant Depression in Adults: A Systematic Review and Meta-analysis. </w:t>
      </w:r>
      <w:r w:rsidRPr="00BB6F19">
        <w:rPr>
          <w:rFonts w:cs="Times New Roman"/>
          <w:i/>
          <w:iCs/>
          <w:noProof/>
          <w:szCs w:val="24"/>
        </w:rPr>
        <w:t>JAMA Network Open</w:t>
      </w:r>
      <w:r w:rsidRPr="00BB6F19">
        <w:rPr>
          <w:rFonts w:cs="Times New Roman"/>
          <w:noProof/>
          <w:szCs w:val="24"/>
        </w:rPr>
        <w:t xml:space="preserve">, </w:t>
      </w:r>
      <w:r w:rsidRPr="00BB6F19">
        <w:rPr>
          <w:rFonts w:cs="Times New Roman"/>
          <w:i/>
          <w:iCs/>
          <w:noProof/>
          <w:szCs w:val="24"/>
        </w:rPr>
        <w:t>4</w:t>
      </w:r>
      <w:r w:rsidRPr="00BB6F19">
        <w:rPr>
          <w:rFonts w:cs="Times New Roman"/>
          <w:noProof/>
          <w:szCs w:val="24"/>
        </w:rPr>
        <w:t>(9). https://doi.org/10.1001/JAMANETWORKOPEN.2021.25531</w:t>
      </w:r>
    </w:p>
    <w:p w14:paraId="71F1EB8E"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Kim, S. W., Grant, J. E., Adson, D. E., &amp; Shin, Y. C. (2001). Double-blind naltrexone and placebo comparison study in the treatment of pathological gambling. </w:t>
      </w:r>
      <w:r w:rsidRPr="00BB6F19">
        <w:rPr>
          <w:rFonts w:cs="Times New Roman"/>
          <w:i/>
          <w:iCs/>
          <w:noProof/>
          <w:szCs w:val="24"/>
        </w:rPr>
        <w:t>Biological Psychiatry</w:t>
      </w:r>
      <w:r w:rsidRPr="00BB6F19">
        <w:rPr>
          <w:rFonts w:cs="Times New Roman"/>
          <w:noProof/>
          <w:szCs w:val="24"/>
        </w:rPr>
        <w:t xml:space="preserve">, </w:t>
      </w:r>
      <w:r w:rsidRPr="00BB6F19">
        <w:rPr>
          <w:rFonts w:cs="Times New Roman"/>
          <w:i/>
          <w:iCs/>
          <w:noProof/>
          <w:szCs w:val="24"/>
        </w:rPr>
        <w:t>49</w:t>
      </w:r>
      <w:r w:rsidRPr="00BB6F19">
        <w:rPr>
          <w:rFonts w:cs="Times New Roman"/>
          <w:noProof/>
          <w:szCs w:val="24"/>
        </w:rPr>
        <w:t>(11), 914–921. https://doi.org/10.1016/S0006-3223(01)01079-4</w:t>
      </w:r>
    </w:p>
    <w:p w14:paraId="68E6A19E"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Klatte, R., Strauss, B., Flückiger, C., Färber, F., &amp; Rosendahl, J. (2023). Defining and assessing adverse events and harmful effects in psychotherapy study protocols: A systematic review. </w:t>
      </w:r>
      <w:r w:rsidRPr="00BB6F19">
        <w:rPr>
          <w:rFonts w:cs="Times New Roman"/>
          <w:i/>
          <w:iCs/>
          <w:noProof/>
          <w:szCs w:val="24"/>
        </w:rPr>
        <w:t>Psychotherapy (Chicago, Ill.)</w:t>
      </w:r>
      <w:r w:rsidRPr="00BB6F19">
        <w:rPr>
          <w:rFonts w:cs="Times New Roman"/>
          <w:noProof/>
          <w:szCs w:val="24"/>
        </w:rPr>
        <w:t xml:space="preserve">, </w:t>
      </w:r>
      <w:r w:rsidRPr="00BB6F19">
        <w:rPr>
          <w:rFonts w:cs="Times New Roman"/>
          <w:i/>
          <w:iCs/>
          <w:noProof/>
          <w:szCs w:val="24"/>
        </w:rPr>
        <w:t>60</w:t>
      </w:r>
      <w:r w:rsidRPr="00BB6F19">
        <w:rPr>
          <w:rFonts w:cs="Times New Roman"/>
          <w:noProof/>
          <w:szCs w:val="24"/>
        </w:rPr>
        <w:t>(1), 130–148. https://doi.org/10.1037/PST0000359</w:t>
      </w:r>
    </w:p>
    <w:p w14:paraId="72D30E20"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Laws, K. R., Pellegrini, L., Reid, J. E., Drummond, L. M., &amp; Fineberg, N. A. (2022). The Inflating Impact of Waiting-List Controls on Effect Size Estimates. </w:t>
      </w:r>
      <w:r w:rsidRPr="00BB6F19">
        <w:rPr>
          <w:rFonts w:cs="Times New Roman"/>
          <w:i/>
          <w:iCs/>
          <w:noProof/>
          <w:szCs w:val="24"/>
        </w:rPr>
        <w:t>Frontiers in Psychiatry</w:t>
      </w:r>
      <w:r w:rsidRPr="00BB6F19">
        <w:rPr>
          <w:rFonts w:cs="Times New Roman"/>
          <w:noProof/>
          <w:szCs w:val="24"/>
        </w:rPr>
        <w:t xml:space="preserve">, </w:t>
      </w:r>
      <w:r w:rsidRPr="00BB6F19">
        <w:rPr>
          <w:rFonts w:cs="Times New Roman"/>
          <w:i/>
          <w:iCs/>
          <w:noProof/>
          <w:szCs w:val="24"/>
        </w:rPr>
        <w:t>13</w:t>
      </w:r>
      <w:r w:rsidRPr="00BB6F19">
        <w:rPr>
          <w:rFonts w:cs="Times New Roman"/>
          <w:noProof/>
          <w:szCs w:val="24"/>
        </w:rPr>
        <w:t>, 877089. https://doi.org/10.3389/FPSYT.2022.877089</w:t>
      </w:r>
    </w:p>
    <w:p w14:paraId="25D1D8C3"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Linnet, J. (2020). The anticipatory dopamine response in addiction: A common neurobiological underpinning </w:t>
      </w:r>
      <w:r w:rsidRPr="00BB6F19">
        <w:rPr>
          <w:rFonts w:cs="Times New Roman"/>
          <w:noProof/>
          <w:szCs w:val="24"/>
        </w:rPr>
        <w:lastRenderedPageBreak/>
        <w:t xml:space="preserve">of gambling disorder and substance use disorder? </w:t>
      </w:r>
      <w:r w:rsidRPr="00BB6F19">
        <w:rPr>
          <w:rFonts w:cs="Times New Roman"/>
          <w:i/>
          <w:iCs/>
          <w:noProof/>
          <w:szCs w:val="24"/>
        </w:rPr>
        <w:t>Progress in Neuro-Psychopharmacology and Biological Psychiatry</w:t>
      </w:r>
      <w:r w:rsidRPr="00BB6F19">
        <w:rPr>
          <w:rFonts w:cs="Times New Roman"/>
          <w:noProof/>
          <w:szCs w:val="24"/>
        </w:rPr>
        <w:t xml:space="preserve">, </w:t>
      </w:r>
      <w:r w:rsidRPr="00BB6F19">
        <w:rPr>
          <w:rFonts w:cs="Times New Roman"/>
          <w:i/>
          <w:iCs/>
          <w:noProof/>
          <w:szCs w:val="24"/>
        </w:rPr>
        <w:t>98</w:t>
      </w:r>
      <w:r w:rsidRPr="00BB6F19">
        <w:rPr>
          <w:rFonts w:cs="Times New Roman"/>
          <w:noProof/>
          <w:szCs w:val="24"/>
        </w:rPr>
        <w:t>, 109802. https://doi.org/10.1016/J.PNPBP.2019.109802</w:t>
      </w:r>
    </w:p>
    <w:p w14:paraId="7E75837B"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Lundh, A., Lexchin, J., Mintzes, B., Schroll, J. B., &amp; Bero, L. (2017). Industry sponsorship and research outcome. </w:t>
      </w:r>
      <w:r w:rsidRPr="00BB6F19">
        <w:rPr>
          <w:rFonts w:cs="Times New Roman"/>
          <w:i/>
          <w:iCs/>
          <w:noProof/>
          <w:szCs w:val="24"/>
        </w:rPr>
        <w:t>The Cochrane Database of Systematic Reviews</w:t>
      </w:r>
      <w:r w:rsidRPr="00BB6F19">
        <w:rPr>
          <w:rFonts w:cs="Times New Roman"/>
          <w:noProof/>
          <w:szCs w:val="24"/>
        </w:rPr>
        <w:t xml:space="preserve">, </w:t>
      </w:r>
      <w:r w:rsidRPr="00BB6F19">
        <w:rPr>
          <w:rFonts w:cs="Times New Roman"/>
          <w:i/>
          <w:iCs/>
          <w:noProof/>
          <w:szCs w:val="24"/>
        </w:rPr>
        <w:t>2017</w:t>
      </w:r>
      <w:r w:rsidRPr="00BB6F19">
        <w:rPr>
          <w:rFonts w:cs="Times New Roman"/>
          <w:noProof/>
          <w:szCs w:val="24"/>
        </w:rPr>
        <w:t>(2). https://doi.org/10.1002/14651858.MR000033.PUB3</w:t>
      </w:r>
    </w:p>
    <w:p w14:paraId="7D42134B"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Pallanti, S., DeCaria, C. M., Grant, J. E., Urpe, M., &amp; Hollander, E. (2005). Reliability and validity of the pathological gambling adaptation of the Yale-Brown Obsessive-Compulsive Scale (PG-YBOCS). </w:t>
      </w:r>
      <w:r w:rsidRPr="00BB6F19">
        <w:rPr>
          <w:rFonts w:cs="Times New Roman"/>
          <w:i/>
          <w:iCs/>
          <w:noProof/>
          <w:szCs w:val="24"/>
        </w:rPr>
        <w:t>Journal of Gambling Studies</w:t>
      </w:r>
      <w:r w:rsidRPr="00BB6F19">
        <w:rPr>
          <w:rFonts w:cs="Times New Roman"/>
          <w:noProof/>
          <w:szCs w:val="24"/>
        </w:rPr>
        <w:t xml:space="preserve">, </w:t>
      </w:r>
      <w:r w:rsidRPr="00BB6F19">
        <w:rPr>
          <w:rFonts w:cs="Times New Roman"/>
          <w:i/>
          <w:iCs/>
          <w:noProof/>
          <w:szCs w:val="24"/>
        </w:rPr>
        <w:t>21</w:t>
      </w:r>
      <w:r w:rsidRPr="00BB6F19">
        <w:rPr>
          <w:rFonts w:cs="Times New Roman"/>
          <w:noProof/>
          <w:szCs w:val="24"/>
        </w:rPr>
        <w:t>(4), 431–443. https://doi.org/10.1007/S10899-005-5557-3</w:t>
      </w:r>
    </w:p>
    <w:p w14:paraId="6AEB3023"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Petry, N. M., Ginley, M. K., &amp; Rash, C. J. (2017). A systematic review of treatments for problem gambling. </w:t>
      </w:r>
      <w:r w:rsidRPr="00BB6F19">
        <w:rPr>
          <w:rFonts w:cs="Times New Roman"/>
          <w:i/>
          <w:iCs/>
          <w:noProof/>
          <w:szCs w:val="24"/>
        </w:rPr>
        <w:t>Psychology of Addictive Behaviors : Journal of the Society of Psychologists in Addictive Behaviors</w:t>
      </w:r>
      <w:r w:rsidRPr="00BB6F19">
        <w:rPr>
          <w:rFonts w:cs="Times New Roman"/>
          <w:noProof/>
          <w:szCs w:val="24"/>
        </w:rPr>
        <w:t xml:space="preserve">, </w:t>
      </w:r>
      <w:r w:rsidRPr="00BB6F19">
        <w:rPr>
          <w:rFonts w:cs="Times New Roman"/>
          <w:i/>
          <w:iCs/>
          <w:noProof/>
          <w:szCs w:val="24"/>
        </w:rPr>
        <w:t>31</w:t>
      </w:r>
      <w:r w:rsidRPr="00BB6F19">
        <w:rPr>
          <w:rFonts w:cs="Times New Roman"/>
          <w:noProof/>
          <w:szCs w:val="24"/>
        </w:rPr>
        <w:t>(8), 951. https://doi.org/10.1037/ADB0000290</w:t>
      </w:r>
    </w:p>
    <w:p w14:paraId="5BA28D59"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Scherrer, B., Guiraud, J., Addolorato, G., Aubin, H. J., de Bejczy, A., Benyamina, A., … Spanagel, R. (2021). Baseline severity and the prediction of placebo response in clinical trials for alcohol dependence: A meta‐regression analysis to develop an enrichment strategy. </w:t>
      </w:r>
      <w:r w:rsidRPr="00BB6F19">
        <w:rPr>
          <w:rFonts w:cs="Times New Roman"/>
          <w:i/>
          <w:iCs/>
          <w:noProof/>
          <w:szCs w:val="24"/>
        </w:rPr>
        <w:t>Alcoholism, Clinical and Experimental Research</w:t>
      </w:r>
      <w:r w:rsidRPr="00BB6F19">
        <w:rPr>
          <w:rFonts w:cs="Times New Roman"/>
          <w:noProof/>
          <w:szCs w:val="24"/>
        </w:rPr>
        <w:t xml:space="preserve">, </w:t>
      </w:r>
      <w:r w:rsidRPr="00BB6F19">
        <w:rPr>
          <w:rFonts w:cs="Times New Roman"/>
          <w:i/>
          <w:iCs/>
          <w:noProof/>
          <w:szCs w:val="24"/>
        </w:rPr>
        <w:t>45</w:t>
      </w:r>
      <w:r w:rsidRPr="00BB6F19">
        <w:rPr>
          <w:rFonts w:cs="Times New Roman"/>
          <w:noProof/>
          <w:szCs w:val="24"/>
        </w:rPr>
        <w:t>(9), 1722. https://doi.org/10.1111/ACER.14670</w:t>
      </w:r>
    </w:p>
    <w:p w14:paraId="0615790F"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Scott, A. J., Sharpe, L., Quinn, V., &amp; Colagiuri, B. (2022). Association of Single-blind Placebo Run-in Periods With the Placebo Response in Randomized Clinical Trials of Antidepressants: A Systematic Review and Meta-analysis. </w:t>
      </w:r>
      <w:r w:rsidRPr="00BB6F19">
        <w:rPr>
          <w:rFonts w:cs="Times New Roman"/>
          <w:i/>
          <w:iCs/>
          <w:noProof/>
          <w:szCs w:val="24"/>
        </w:rPr>
        <w:t>JAMA Psychiatry</w:t>
      </w:r>
      <w:r w:rsidRPr="00BB6F19">
        <w:rPr>
          <w:rFonts w:cs="Times New Roman"/>
          <w:noProof/>
          <w:szCs w:val="24"/>
        </w:rPr>
        <w:t xml:space="preserve">, </w:t>
      </w:r>
      <w:r w:rsidRPr="00BB6F19">
        <w:rPr>
          <w:rFonts w:cs="Times New Roman"/>
          <w:i/>
          <w:iCs/>
          <w:noProof/>
          <w:szCs w:val="24"/>
        </w:rPr>
        <w:t>79</w:t>
      </w:r>
      <w:r w:rsidRPr="00BB6F19">
        <w:rPr>
          <w:rFonts w:cs="Times New Roman"/>
          <w:noProof/>
          <w:szCs w:val="24"/>
        </w:rPr>
        <w:t>(1), 42–49. https://doi.org/10.1001/JAMAPSYCHIATRY.2021.3204</w:t>
      </w:r>
    </w:p>
    <w:p w14:paraId="00D1F33E"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Shamseer, L., Moher, D., Clarke, M., Ghersi, D., Liberati, A., Petticrew, M., … Whitlock, E. (2015, January 2). Preferred reporting items for systematic review and meta-analysis protocols (prisma-p) 2015: Elaboration and explanation. </w:t>
      </w:r>
      <w:r w:rsidRPr="00BB6F19">
        <w:rPr>
          <w:rFonts w:cs="Times New Roman"/>
          <w:i/>
          <w:iCs/>
          <w:noProof/>
          <w:szCs w:val="24"/>
        </w:rPr>
        <w:t>BMJ (Online)</w:t>
      </w:r>
      <w:r w:rsidRPr="00BB6F19">
        <w:rPr>
          <w:rFonts w:cs="Times New Roman"/>
          <w:noProof/>
          <w:szCs w:val="24"/>
        </w:rPr>
        <w:t>, Vol. 349. https://doi.org/10.1136/bmj.g7647</w:t>
      </w:r>
    </w:p>
    <w:p w14:paraId="116D4D3F"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Sheehan, D. V., Harnett-Sheehan, K., &amp; Raj, B. A. (1996). The measurement of disability. </w:t>
      </w:r>
      <w:r w:rsidRPr="00BB6F19">
        <w:rPr>
          <w:rFonts w:cs="Times New Roman"/>
          <w:i/>
          <w:iCs/>
          <w:noProof/>
          <w:szCs w:val="24"/>
        </w:rPr>
        <w:t>International Clinical Psychopharmacology</w:t>
      </w:r>
      <w:r w:rsidRPr="00BB6F19">
        <w:rPr>
          <w:rFonts w:cs="Times New Roman"/>
          <w:noProof/>
          <w:szCs w:val="24"/>
        </w:rPr>
        <w:t xml:space="preserve">, </w:t>
      </w:r>
      <w:r w:rsidRPr="00BB6F19">
        <w:rPr>
          <w:rFonts w:cs="Times New Roman"/>
          <w:i/>
          <w:iCs/>
          <w:noProof/>
          <w:szCs w:val="24"/>
        </w:rPr>
        <w:t>11 Suppl 3</w:t>
      </w:r>
      <w:r w:rsidRPr="00BB6F19">
        <w:rPr>
          <w:rFonts w:cs="Times New Roman"/>
          <w:noProof/>
          <w:szCs w:val="24"/>
        </w:rPr>
        <w:t>(SUPPL. 3), 89–95. https://doi.org/10.1097/00004850-199606003-00015</w:t>
      </w:r>
    </w:p>
    <w:p w14:paraId="29391473"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Szigeti, B., Nutt, D., Carhart-Harris, R., &amp; Erritzoe, D. (2024). Guess of Treatment questionnaire. </w:t>
      </w:r>
      <w:r w:rsidRPr="00BB6F19">
        <w:rPr>
          <w:rFonts w:cs="Times New Roman"/>
          <w:i/>
          <w:iCs/>
          <w:noProof/>
          <w:szCs w:val="24"/>
        </w:rPr>
        <w:t>OSF Pre-</w:t>
      </w:r>
      <w:r w:rsidRPr="00BB6F19">
        <w:rPr>
          <w:rFonts w:cs="Times New Roman"/>
          <w:i/>
          <w:iCs/>
          <w:noProof/>
          <w:szCs w:val="24"/>
        </w:rPr>
        <w:lastRenderedPageBreak/>
        <w:t>Print</w:t>
      </w:r>
      <w:r w:rsidRPr="00BB6F19">
        <w:rPr>
          <w:rFonts w:cs="Times New Roman"/>
          <w:noProof/>
          <w:szCs w:val="24"/>
        </w:rPr>
        <w:t>. https://doi.org/10.31234/OSF.IO/WQPD2</w:t>
      </w:r>
    </w:p>
    <w:p w14:paraId="0DD2455A"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The Cochrane Collaboration. (2011). Cochrane Handbook, 7.7 Extracting study results and converting to the desired format. Retrieved from 5.1.0 website: https://handbook-5-1.cochrane.org/chapter_7/7_7_extracting_study_results_and_converting_to_the_desired.htm</w:t>
      </w:r>
    </w:p>
    <w:p w14:paraId="56BB470D"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The Lancet Public Health. (2021). Gambling: a neglected public health issue. </w:t>
      </w:r>
      <w:r w:rsidRPr="00BB6F19">
        <w:rPr>
          <w:rFonts w:cs="Times New Roman"/>
          <w:i/>
          <w:iCs/>
          <w:noProof/>
          <w:szCs w:val="24"/>
        </w:rPr>
        <w:t>The Lancet Public Health</w:t>
      </w:r>
      <w:r w:rsidRPr="00BB6F19">
        <w:rPr>
          <w:rFonts w:cs="Times New Roman"/>
          <w:noProof/>
          <w:szCs w:val="24"/>
        </w:rPr>
        <w:t xml:space="preserve">, </w:t>
      </w:r>
      <w:r w:rsidRPr="00BB6F19">
        <w:rPr>
          <w:rFonts w:cs="Times New Roman"/>
          <w:i/>
          <w:iCs/>
          <w:noProof/>
          <w:szCs w:val="24"/>
        </w:rPr>
        <w:t>6</w:t>
      </w:r>
      <w:r w:rsidRPr="00BB6F19">
        <w:rPr>
          <w:rFonts w:cs="Times New Roman"/>
          <w:noProof/>
          <w:szCs w:val="24"/>
        </w:rPr>
        <w:t>(1), e1. https://doi.org/10.1016/S2468-2667(20)30290-5</w:t>
      </w:r>
    </w:p>
    <w:p w14:paraId="69A1AC80"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Viechtbauer, W. (2020). Package ‘metafor’; Meta-Analysis Package for R.</w:t>
      </w:r>
    </w:p>
    <w:p w14:paraId="7A63ACDF"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Wager, T. D., &amp; Atlas, L. Y. (2015). The neuroscience of placebo effects: connecting context, learning and health. </w:t>
      </w:r>
      <w:r w:rsidRPr="00BB6F19">
        <w:rPr>
          <w:rFonts w:cs="Times New Roman"/>
          <w:i/>
          <w:iCs/>
          <w:noProof/>
          <w:szCs w:val="24"/>
        </w:rPr>
        <w:t>Nature Reviews. Neuroscience</w:t>
      </w:r>
      <w:r w:rsidRPr="00BB6F19">
        <w:rPr>
          <w:rFonts w:cs="Times New Roman"/>
          <w:noProof/>
          <w:szCs w:val="24"/>
        </w:rPr>
        <w:t xml:space="preserve">, </w:t>
      </w:r>
      <w:r w:rsidRPr="00BB6F19">
        <w:rPr>
          <w:rFonts w:cs="Times New Roman"/>
          <w:i/>
          <w:iCs/>
          <w:noProof/>
          <w:szCs w:val="24"/>
        </w:rPr>
        <w:t>16</w:t>
      </w:r>
      <w:r w:rsidRPr="00BB6F19">
        <w:rPr>
          <w:rFonts w:cs="Times New Roman"/>
          <w:noProof/>
          <w:szCs w:val="24"/>
        </w:rPr>
        <w:t>(7), 403. https://doi.org/10.1038/NRN3976</w:t>
      </w:r>
    </w:p>
    <w:p w14:paraId="5CEBE950"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Wardle, H., &amp; McManus, S. (2021). Suicidality and gambling among young adults in Great Britain: results from a cross-sectional online survey. </w:t>
      </w:r>
      <w:r w:rsidRPr="00BB6F19">
        <w:rPr>
          <w:rFonts w:cs="Times New Roman"/>
          <w:i/>
          <w:iCs/>
          <w:noProof/>
          <w:szCs w:val="24"/>
        </w:rPr>
        <w:t>The Lancet Public Health</w:t>
      </w:r>
      <w:r w:rsidRPr="00BB6F19">
        <w:rPr>
          <w:rFonts w:cs="Times New Roman"/>
          <w:noProof/>
          <w:szCs w:val="24"/>
        </w:rPr>
        <w:t xml:space="preserve">, </w:t>
      </w:r>
      <w:r w:rsidRPr="00BB6F19">
        <w:rPr>
          <w:rFonts w:cs="Times New Roman"/>
          <w:i/>
          <w:iCs/>
          <w:noProof/>
          <w:szCs w:val="24"/>
        </w:rPr>
        <w:t>6</w:t>
      </w:r>
      <w:r w:rsidRPr="00BB6F19">
        <w:rPr>
          <w:rFonts w:cs="Times New Roman"/>
          <w:noProof/>
          <w:szCs w:val="24"/>
        </w:rPr>
        <w:t>(1), e39–e49. https://doi.org/10.1016/S2468-2667(20)30232-2</w:t>
      </w:r>
    </w:p>
    <w:p w14:paraId="6162771B" w14:textId="77777777" w:rsidR="00BB6F19" w:rsidRPr="00BB6F19" w:rsidRDefault="00BB6F19" w:rsidP="00BB6F19">
      <w:pPr>
        <w:widowControl w:val="0"/>
        <w:autoSpaceDE w:val="0"/>
        <w:autoSpaceDN w:val="0"/>
        <w:adjustRightInd w:val="0"/>
        <w:ind w:left="480" w:hanging="480"/>
        <w:rPr>
          <w:rFonts w:cs="Times New Roman"/>
          <w:noProof/>
          <w:szCs w:val="24"/>
        </w:rPr>
      </w:pPr>
      <w:r w:rsidRPr="00BB6F19">
        <w:rPr>
          <w:rFonts w:cs="Times New Roman"/>
          <w:noProof/>
          <w:szCs w:val="24"/>
        </w:rPr>
        <w:t xml:space="preserve">Weimer, K., Colloca, L., &amp; Enck, P. (2015). Placebo effects in psychiatry: mediators and moderators. </w:t>
      </w:r>
      <w:r w:rsidRPr="00BB6F19">
        <w:rPr>
          <w:rFonts w:cs="Times New Roman"/>
          <w:i/>
          <w:iCs/>
          <w:noProof/>
          <w:szCs w:val="24"/>
        </w:rPr>
        <w:t>The Lancet Psychiatry</w:t>
      </w:r>
      <w:r w:rsidRPr="00BB6F19">
        <w:rPr>
          <w:rFonts w:cs="Times New Roman"/>
          <w:noProof/>
          <w:szCs w:val="24"/>
        </w:rPr>
        <w:t xml:space="preserve">, </w:t>
      </w:r>
      <w:r w:rsidRPr="00BB6F19">
        <w:rPr>
          <w:rFonts w:cs="Times New Roman"/>
          <w:i/>
          <w:iCs/>
          <w:noProof/>
          <w:szCs w:val="24"/>
        </w:rPr>
        <w:t>2</w:t>
      </w:r>
      <w:r w:rsidRPr="00BB6F19">
        <w:rPr>
          <w:rFonts w:cs="Times New Roman"/>
          <w:noProof/>
          <w:szCs w:val="24"/>
        </w:rPr>
        <w:t>(3), 246–257. https://doi.org/10.1016/S2215-0366(14)00092-3</w:t>
      </w:r>
    </w:p>
    <w:p w14:paraId="198026DF" w14:textId="77777777" w:rsidR="00BB6F19" w:rsidRPr="00BB6F19" w:rsidRDefault="00BB6F19" w:rsidP="00BB6F19">
      <w:pPr>
        <w:widowControl w:val="0"/>
        <w:autoSpaceDE w:val="0"/>
        <w:autoSpaceDN w:val="0"/>
        <w:adjustRightInd w:val="0"/>
        <w:ind w:left="480" w:hanging="480"/>
        <w:rPr>
          <w:rFonts w:cs="Times New Roman"/>
          <w:noProof/>
        </w:rPr>
      </w:pPr>
      <w:r w:rsidRPr="00BB6F19">
        <w:rPr>
          <w:rFonts w:cs="Times New Roman"/>
          <w:noProof/>
          <w:szCs w:val="24"/>
        </w:rPr>
        <w:t xml:space="preserve">Yadav, D. (2020). Prescribing in borderline personality disorder – the clinical guidelines. </w:t>
      </w:r>
      <w:r w:rsidRPr="00BB6F19">
        <w:rPr>
          <w:rFonts w:cs="Times New Roman"/>
          <w:i/>
          <w:iCs/>
          <w:noProof/>
          <w:szCs w:val="24"/>
        </w:rPr>
        <w:t>Progress in Neurology and Psychiatry</w:t>
      </w:r>
      <w:r w:rsidRPr="00BB6F19">
        <w:rPr>
          <w:rFonts w:cs="Times New Roman"/>
          <w:noProof/>
          <w:szCs w:val="24"/>
        </w:rPr>
        <w:t xml:space="preserve">, </w:t>
      </w:r>
      <w:r w:rsidRPr="00BB6F19">
        <w:rPr>
          <w:rFonts w:cs="Times New Roman"/>
          <w:i/>
          <w:iCs/>
          <w:noProof/>
          <w:szCs w:val="24"/>
        </w:rPr>
        <w:t>24</w:t>
      </w:r>
      <w:r w:rsidRPr="00BB6F19">
        <w:rPr>
          <w:rFonts w:cs="Times New Roman"/>
          <w:noProof/>
          <w:szCs w:val="24"/>
        </w:rPr>
        <w:t>(2), 25–30. https://doi.org/10.1002/PNP.667</w:t>
      </w:r>
    </w:p>
    <w:p w14:paraId="7414547C" w14:textId="29DAFB4A" w:rsidR="00F855A5" w:rsidRDefault="00865875" w:rsidP="001C61AE">
      <w:r>
        <w:fldChar w:fldCharType="end"/>
      </w:r>
    </w:p>
    <w:p w14:paraId="45C8CF6A" w14:textId="5BD3D245" w:rsidR="00C54921" w:rsidRPr="00661187" w:rsidRDefault="00C54921" w:rsidP="001D22E0">
      <w:pPr>
        <w:rPr>
          <w:rFonts w:cs="Times New Roman"/>
        </w:rPr>
      </w:pPr>
    </w:p>
    <w:p w14:paraId="326CF2F6" w14:textId="77777777" w:rsidR="0072623F" w:rsidRPr="00344D14" w:rsidRDefault="0072623F" w:rsidP="0072623F">
      <w:pPr>
        <w:pStyle w:val="Heading3"/>
      </w:pPr>
      <w:r>
        <w:lastRenderedPageBreak/>
        <w:t>Figure 1 – PRISMA Flowchart</w:t>
      </w:r>
    </w:p>
    <w:p w14:paraId="18B185B6" w14:textId="70ABA8AC" w:rsidR="0072623F" w:rsidRDefault="007160AD" w:rsidP="0072623F">
      <w:pPr>
        <w:jc w:val="center"/>
      </w:pPr>
      <w:r>
        <w:rPr>
          <w:noProof/>
          <w:lang w:eastAsia="en-GB"/>
        </w:rPr>
        <w:drawing>
          <wp:inline distT="0" distB="0" distL="0" distR="0" wp14:anchorId="0472B058" wp14:editId="3EE3DC23">
            <wp:extent cx="6161026" cy="5327202"/>
            <wp:effectExtent l="0" t="0" r="0" b="6798"/>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61026" cy="5327202"/>
                    </a:xfrm>
                    <a:prstGeom prst="rect">
                      <a:avLst/>
                    </a:prstGeom>
                    <a:noFill/>
                    <a:ln>
                      <a:noFill/>
                      <a:prstDash/>
                    </a:ln>
                  </pic:spPr>
                </pic:pic>
              </a:graphicData>
            </a:graphic>
          </wp:inline>
        </w:drawing>
      </w:r>
    </w:p>
    <w:p w14:paraId="6D634F63" w14:textId="77777777" w:rsidR="0072623F" w:rsidRDefault="0072623F" w:rsidP="0072623F">
      <w:pPr>
        <w:jc w:val="left"/>
      </w:pPr>
      <w:r w:rsidRPr="008701C5">
        <w:rPr>
          <w:b/>
        </w:rPr>
        <w:t>Legend</w:t>
      </w:r>
      <w:r>
        <w:t>: PRISMA flowchart</w:t>
      </w:r>
    </w:p>
    <w:p w14:paraId="15E9729E" w14:textId="77777777" w:rsidR="0072623F" w:rsidRDefault="0072623F" w:rsidP="0072623F">
      <w:r>
        <w:t>Comparisons included in the meta-analysis comprised eleven different medications</w:t>
      </w:r>
      <w:r w:rsidRPr="0031469C">
        <w:t xml:space="preserve"> grouped in six classes</w:t>
      </w:r>
      <w:r>
        <w:t xml:space="preserve">: three opioid receptor antagonists (naltrexone, nalmefene, naloxone); two selective serotonin reuptake inhibitors (SSRIs - paroxetine and fluvoxamine); two mood stabilizers (topiramate, lithium); one </w:t>
      </w:r>
      <w:r w:rsidRPr="00D66B69">
        <w:t>norepinephrine–dopamine reuptake inhibitor (NDRI</w:t>
      </w:r>
      <w:r>
        <w:t xml:space="preserve">, bupropion); one antipsychotic (olanzapine); and two supplements (N-acetyl-cysteine, silymarin). </w:t>
      </w:r>
    </w:p>
    <w:p w14:paraId="175DAF13" w14:textId="77777777" w:rsidR="0072623F" w:rsidRDefault="0072623F">
      <w:pPr>
        <w:spacing w:line="259" w:lineRule="auto"/>
        <w:jc w:val="left"/>
        <w:rPr>
          <w:rFonts w:asciiTheme="minorHAnsi" w:hAnsiTheme="minorHAnsi"/>
        </w:rPr>
      </w:pPr>
    </w:p>
    <w:p w14:paraId="67719418" w14:textId="77777777" w:rsidR="0072623F" w:rsidRDefault="0072623F" w:rsidP="0072623F">
      <w:pPr>
        <w:pStyle w:val="Heading3"/>
      </w:pPr>
      <w:r>
        <w:lastRenderedPageBreak/>
        <w:t>Figure 2 – Forest plots</w:t>
      </w:r>
    </w:p>
    <w:p w14:paraId="0B4B42D9" w14:textId="767FE954" w:rsidR="0072623F" w:rsidRDefault="007160AD" w:rsidP="0072623F">
      <w:r>
        <w:rPr>
          <w:noProof/>
          <w:lang w:eastAsia="en-GB"/>
        </w:rPr>
        <w:drawing>
          <wp:inline distT="0" distB="0" distL="0" distR="0" wp14:anchorId="24274263" wp14:editId="112AA802">
            <wp:extent cx="5731514" cy="3347398"/>
            <wp:effectExtent l="0" t="0" r="2536" b="5402"/>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t="1541"/>
                    <a:stretch>
                      <a:fillRect/>
                    </a:stretch>
                  </pic:blipFill>
                  <pic:spPr>
                    <a:xfrm>
                      <a:off x="0" y="0"/>
                      <a:ext cx="5731514" cy="3347398"/>
                    </a:xfrm>
                    <a:prstGeom prst="rect">
                      <a:avLst/>
                    </a:prstGeom>
                    <a:noFill/>
                    <a:ln>
                      <a:noFill/>
                      <a:prstDash/>
                    </a:ln>
                  </pic:spPr>
                </pic:pic>
              </a:graphicData>
            </a:graphic>
          </wp:inline>
        </w:drawing>
      </w:r>
    </w:p>
    <w:p w14:paraId="61504869" w14:textId="77777777" w:rsidR="0072623F" w:rsidRDefault="0072623F" w:rsidP="0072623F">
      <w:r w:rsidRPr="008172E0">
        <w:rPr>
          <w:b/>
        </w:rPr>
        <w:t>Legend</w:t>
      </w:r>
      <w:r>
        <w:t xml:space="preserve">: </w:t>
      </w:r>
      <w:r w:rsidRPr="008172E0">
        <w:t xml:space="preserve">Meta-analysis of </w:t>
      </w:r>
      <w:r>
        <w:t>placebo effect in gambling severity (all studies, top left, per specific scale on the right hand side) in RCTs of pharmacological management of</w:t>
      </w:r>
      <w:r w:rsidRPr="008172E0">
        <w:t xml:space="preserve"> Gambling Disorder</w:t>
      </w:r>
      <w:r>
        <w:t>;</w:t>
      </w:r>
      <w:r w:rsidRPr="008172E0">
        <w:t xml:space="preserve"> “</w:t>
      </w:r>
      <w:r>
        <w:t>higher response</w:t>
      </w:r>
      <w:r w:rsidRPr="008172E0">
        <w:t xml:space="preserve">” indicates </w:t>
      </w:r>
      <w:r>
        <w:t>improvement in gambling symptom severity compared to baseline; placebo effect for quality of life outcomes (bottom left)</w:t>
      </w:r>
      <w:r w:rsidRPr="00A134CB">
        <w:t xml:space="preserve"> </w:t>
      </w:r>
      <w:r>
        <w:t>in RCTs of pharmacological management of</w:t>
      </w:r>
      <w:r w:rsidRPr="008172E0">
        <w:t xml:space="preserve"> Gambling Disorder</w:t>
      </w:r>
      <w:r>
        <w:t>;</w:t>
      </w:r>
      <w:r w:rsidRPr="008172E0">
        <w:t xml:space="preserve"> “</w:t>
      </w:r>
      <w:r>
        <w:t>higher response</w:t>
      </w:r>
      <w:r w:rsidRPr="008172E0">
        <w:t xml:space="preserve">” indicates </w:t>
      </w:r>
      <w:r>
        <w:t>improvement in quality of life compared to baseline.</w:t>
      </w:r>
    </w:p>
    <w:p w14:paraId="53026FBB" w14:textId="77777777" w:rsidR="0072623F" w:rsidRDefault="0072623F">
      <w:pPr>
        <w:spacing w:line="259" w:lineRule="auto"/>
        <w:jc w:val="left"/>
        <w:rPr>
          <w:rFonts w:asciiTheme="minorHAnsi" w:hAnsiTheme="minorHAnsi"/>
        </w:rPr>
      </w:pPr>
    </w:p>
    <w:p w14:paraId="3F8323BF" w14:textId="77777777" w:rsidR="0072623F" w:rsidRDefault="0072623F" w:rsidP="0072623F">
      <w:pPr>
        <w:pStyle w:val="Heading3"/>
      </w:pPr>
      <w:r>
        <w:lastRenderedPageBreak/>
        <w:t>Figure 3 – Funnel plots</w:t>
      </w:r>
    </w:p>
    <w:p w14:paraId="24FF1A6C" w14:textId="4DAC9518" w:rsidR="0072623F" w:rsidRDefault="007160AD" w:rsidP="0072623F">
      <w:r>
        <w:rPr>
          <w:noProof/>
          <w:lang w:eastAsia="en-GB"/>
        </w:rPr>
        <w:drawing>
          <wp:inline distT="0" distB="0" distL="0" distR="0" wp14:anchorId="70E093EE" wp14:editId="729805F9">
            <wp:extent cx="5731514" cy="3482071"/>
            <wp:effectExtent l="0" t="0" r="2536" b="4079"/>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4" cy="3482071"/>
                    </a:xfrm>
                    <a:prstGeom prst="rect">
                      <a:avLst/>
                    </a:prstGeom>
                    <a:noFill/>
                    <a:ln>
                      <a:noFill/>
                      <a:prstDash/>
                    </a:ln>
                  </pic:spPr>
                </pic:pic>
              </a:graphicData>
            </a:graphic>
          </wp:inline>
        </w:drawing>
      </w:r>
    </w:p>
    <w:p w14:paraId="03ED0646" w14:textId="462DF9BC" w:rsidR="0072623F" w:rsidRDefault="0072623F" w:rsidP="00E252D8">
      <w:r w:rsidRPr="005649D9">
        <w:rPr>
          <w:b/>
        </w:rPr>
        <w:t>Legend</w:t>
      </w:r>
      <w:r>
        <w:t xml:space="preserve"> – Funnel plots with regression for funnel plot asymmetry p-values.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Publication bias identified in the Quality of life analysis and the trim and fill method was used to provide a new effect size estimate. </w:t>
      </w:r>
    </w:p>
    <w:p w14:paraId="2C42A52B" w14:textId="77777777" w:rsidR="00AC03B5" w:rsidRDefault="00AC03B5" w:rsidP="00AC03B5">
      <w:pPr>
        <w:pStyle w:val="Heading2"/>
      </w:pPr>
      <w:r>
        <w:rPr>
          <w:rFonts w:cs="Times New Roman"/>
        </w:rPr>
        <w:lastRenderedPageBreak/>
        <w:t>§S1</w:t>
      </w:r>
      <w:r>
        <w:t xml:space="preserve"> Forest plots for treatment arms</w:t>
      </w:r>
    </w:p>
    <w:p w14:paraId="13C73DD0" w14:textId="77777777" w:rsidR="00AC03B5" w:rsidRPr="00E4363C" w:rsidRDefault="00AC03B5" w:rsidP="00AC03B5">
      <w:r w:rsidRPr="006F5E50">
        <w:rPr>
          <w:noProof/>
          <w:lang w:eastAsia="en-GB"/>
        </w:rPr>
        <w:drawing>
          <wp:inline distT="0" distB="0" distL="0" distR="0" wp14:anchorId="61245685" wp14:editId="4A180CF9">
            <wp:extent cx="5731510" cy="33699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369945"/>
                    </a:xfrm>
                    <a:prstGeom prst="rect">
                      <a:avLst/>
                    </a:prstGeom>
                  </pic:spPr>
                </pic:pic>
              </a:graphicData>
            </a:graphic>
          </wp:inline>
        </w:drawing>
      </w:r>
    </w:p>
    <w:p w14:paraId="5D9B0A36" w14:textId="77777777" w:rsidR="00AC03B5" w:rsidRDefault="00AC03B5" w:rsidP="00AC03B5">
      <w:pPr>
        <w:pStyle w:val="Heading2"/>
      </w:pPr>
      <w:r>
        <w:rPr>
          <w:rFonts w:cs="Times New Roman"/>
        </w:rPr>
        <w:t>§S2</w:t>
      </w:r>
      <w:r>
        <w:t xml:space="preserve"> Heterogeneity measures for treatment arms</w:t>
      </w:r>
    </w:p>
    <w:tbl>
      <w:tblPr>
        <w:tblStyle w:val="TableGrid"/>
        <w:tblW w:w="0" w:type="auto"/>
        <w:tblLook w:val="04A0" w:firstRow="1" w:lastRow="0" w:firstColumn="1" w:lastColumn="0" w:noHBand="0" w:noVBand="1"/>
      </w:tblPr>
      <w:tblGrid>
        <w:gridCol w:w="1563"/>
        <w:gridCol w:w="1634"/>
        <w:gridCol w:w="1343"/>
        <w:gridCol w:w="1582"/>
        <w:gridCol w:w="1454"/>
        <w:gridCol w:w="1609"/>
      </w:tblGrid>
      <w:tr w:rsidR="00AC03B5" w14:paraId="65F42238" w14:textId="77777777" w:rsidTr="008162C8">
        <w:trPr>
          <w:trHeight w:val="1237"/>
        </w:trPr>
        <w:tc>
          <w:tcPr>
            <w:tcW w:w="1563" w:type="dxa"/>
            <w:shd w:val="clear" w:color="auto" w:fill="DBDBDB" w:themeFill="accent3" w:themeFillTint="66"/>
            <w:vAlign w:val="center"/>
          </w:tcPr>
          <w:p w14:paraId="1FE3958E" w14:textId="77777777" w:rsidR="00AC03B5" w:rsidRPr="00D30D35" w:rsidRDefault="00AC03B5" w:rsidP="008162C8">
            <w:pPr>
              <w:jc w:val="center"/>
              <w:rPr>
                <w:b/>
              </w:rPr>
            </w:pPr>
          </w:p>
        </w:tc>
        <w:tc>
          <w:tcPr>
            <w:tcW w:w="1508" w:type="dxa"/>
            <w:shd w:val="clear" w:color="auto" w:fill="DBDBDB" w:themeFill="accent3" w:themeFillTint="66"/>
            <w:vAlign w:val="center"/>
          </w:tcPr>
          <w:p w14:paraId="78ED3D8D" w14:textId="77777777" w:rsidR="00AC03B5" w:rsidRPr="00D30D35" w:rsidRDefault="00AC03B5" w:rsidP="008162C8">
            <w:pPr>
              <w:jc w:val="center"/>
              <w:rPr>
                <w:b/>
              </w:rPr>
            </w:pPr>
            <w:r w:rsidRPr="00B65020">
              <w:rPr>
                <w:b/>
              </w:rPr>
              <w:t>tau^2 (estimated amount of total heterogeneity):</w:t>
            </w:r>
          </w:p>
        </w:tc>
        <w:tc>
          <w:tcPr>
            <w:tcW w:w="1343" w:type="dxa"/>
            <w:shd w:val="clear" w:color="auto" w:fill="DBDBDB" w:themeFill="accent3" w:themeFillTint="66"/>
            <w:vAlign w:val="center"/>
          </w:tcPr>
          <w:p w14:paraId="405F49AD" w14:textId="77777777" w:rsidR="00AC03B5" w:rsidRPr="00D30D35" w:rsidRDefault="00AC03B5" w:rsidP="008162C8">
            <w:pPr>
              <w:jc w:val="center"/>
              <w:rPr>
                <w:b/>
              </w:rPr>
            </w:pPr>
            <w:r w:rsidRPr="00B65020">
              <w:rPr>
                <w:b/>
              </w:rPr>
              <w:t xml:space="preserve">tau (square root of estimated tau^2 value):      </w:t>
            </w:r>
          </w:p>
        </w:tc>
        <w:tc>
          <w:tcPr>
            <w:tcW w:w="1582" w:type="dxa"/>
            <w:shd w:val="clear" w:color="auto" w:fill="DBDBDB" w:themeFill="accent3" w:themeFillTint="66"/>
            <w:vAlign w:val="center"/>
          </w:tcPr>
          <w:p w14:paraId="229A4AA4" w14:textId="77777777" w:rsidR="00AC03B5" w:rsidRPr="00D30D35" w:rsidRDefault="00AC03B5" w:rsidP="008162C8">
            <w:pPr>
              <w:jc w:val="center"/>
              <w:rPr>
                <w:b/>
              </w:rPr>
            </w:pPr>
            <w:r w:rsidRPr="00B65020">
              <w:rPr>
                <w:b/>
              </w:rPr>
              <w:t xml:space="preserve">I^2 (total heterogeneity / total variability):   </w:t>
            </w:r>
          </w:p>
        </w:tc>
        <w:tc>
          <w:tcPr>
            <w:tcW w:w="1454" w:type="dxa"/>
            <w:shd w:val="clear" w:color="auto" w:fill="DBDBDB" w:themeFill="accent3" w:themeFillTint="66"/>
            <w:vAlign w:val="center"/>
          </w:tcPr>
          <w:p w14:paraId="142E326C" w14:textId="77777777" w:rsidR="00AC03B5" w:rsidRPr="00D30D35" w:rsidRDefault="00AC03B5" w:rsidP="008162C8">
            <w:pPr>
              <w:jc w:val="center"/>
              <w:rPr>
                <w:b/>
              </w:rPr>
            </w:pPr>
            <w:r w:rsidRPr="00B65020">
              <w:rPr>
                <w:b/>
              </w:rPr>
              <w:t xml:space="preserve">H^2 (total variability / sampling variability):  </w:t>
            </w:r>
          </w:p>
        </w:tc>
        <w:tc>
          <w:tcPr>
            <w:tcW w:w="1455" w:type="dxa"/>
            <w:shd w:val="clear" w:color="auto" w:fill="DBDBDB" w:themeFill="accent3" w:themeFillTint="66"/>
            <w:vAlign w:val="center"/>
          </w:tcPr>
          <w:p w14:paraId="4B511F97" w14:textId="77777777" w:rsidR="00AC03B5" w:rsidRPr="00B65020" w:rsidRDefault="00AC03B5" w:rsidP="008162C8">
            <w:pPr>
              <w:jc w:val="center"/>
              <w:rPr>
                <w:b/>
              </w:rPr>
            </w:pPr>
            <w:r w:rsidRPr="00B65020">
              <w:rPr>
                <w:b/>
              </w:rPr>
              <w:t>Test for Heterogeneity:</w:t>
            </w:r>
          </w:p>
          <w:p w14:paraId="0235D334" w14:textId="77777777" w:rsidR="00AC03B5" w:rsidRPr="00D30D35" w:rsidRDefault="00AC03B5" w:rsidP="008162C8">
            <w:pPr>
              <w:jc w:val="center"/>
              <w:rPr>
                <w:b/>
              </w:rPr>
            </w:pPr>
          </w:p>
        </w:tc>
      </w:tr>
      <w:tr w:rsidR="00AC03B5" w14:paraId="4D8F1DA0" w14:textId="77777777" w:rsidTr="008162C8">
        <w:trPr>
          <w:trHeight w:val="842"/>
        </w:trPr>
        <w:tc>
          <w:tcPr>
            <w:tcW w:w="1563" w:type="dxa"/>
            <w:shd w:val="clear" w:color="auto" w:fill="DBDBDB" w:themeFill="accent3" w:themeFillTint="66"/>
            <w:vAlign w:val="center"/>
          </w:tcPr>
          <w:p w14:paraId="61D19E41" w14:textId="77777777" w:rsidR="00AC03B5" w:rsidRPr="00D30D35" w:rsidRDefault="00AC03B5" w:rsidP="008162C8">
            <w:pPr>
              <w:jc w:val="center"/>
              <w:rPr>
                <w:b/>
              </w:rPr>
            </w:pPr>
            <w:r w:rsidRPr="00D30D35">
              <w:rPr>
                <w:b/>
              </w:rPr>
              <w:t>Treatment gambling severity</w:t>
            </w:r>
          </w:p>
        </w:tc>
        <w:tc>
          <w:tcPr>
            <w:tcW w:w="1508" w:type="dxa"/>
            <w:shd w:val="clear" w:color="auto" w:fill="FFFFFF" w:themeFill="background1"/>
            <w:vAlign w:val="center"/>
          </w:tcPr>
          <w:p w14:paraId="41B10146" w14:textId="77777777" w:rsidR="00AC03B5" w:rsidRDefault="00AC03B5" w:rsidP="008162C8">
            <w:pPr>
              <w:jc w:val="center"/>
            </w:pPr>
            <w:r>
              <w:t>0.2709 (SE = 0.1421)</w:t>
            </w:r>
          </w:p>
        </w:tc>
        <w:tc>
          <w:tcPr>
            <w:tcW w:w="1343" w:type="dxa"/>
            <w:shd w:val="clear" w:color="auto" w:fill="FFFFFF" w:themeFill="background1"/>
            <w:vAlign w:val="center"/>
          </w:tcPr>
          <w:p w14:paraId="3E8AB638" w14:textId="77777777" w:rsidR="00AC03B5" w:rsidRDefault="00AC03B5" w:rsidP="008162C8">
            <w:pPr>
              <w:jc w:val="center"/>
            </w:pPr>
            <w:r>
              <w:t>0.5205</w:t>
            </w:r>
          </w:p>
        </w:tc>
        <w:tc>
          <w:tcPr>
            <w:tcW w:w="1582" w:type="dxa"/>
            <w:shd w:val="clear" w:color="auto" w:fill="FFFFFF" w:themeFill="background1"/>
            <w:vAlign w:val="center"/>
          </w:tcPr>
          <w:p w14:paraId="6A7D4960" w14:textId="77777777" w:rsidR="00AC03B5" w:rsidRDefault="00AC03B5" w:rsidP="008162C8">
            <w:pPr>
              <w:jc w:val="center"/>
            </w:pPr>
            <w:r>
              <w:t>79.37%</w:t>
            </w:r>
          </w:p>
        </w:tc>
        <w:tc>
          <w:tcPr>
            <w:tcW w:w="1454" w:type="dxa"/>
            <w:shd w:val="clear" w:color="auto" w:fill="FFFFFF" w:themeFill="background1"/>
            <w:vAlign w:val="center"/>
          </w:tcPr>
          <w:p w14:paraId="6374C934" w14:textId="77777777" w:rsidR="00AC03B5" w:rsidRDefault="00AC03B5" w:rsidP="008162C8">
            <w:pPr>
              <w:jc w:val="center"/>
            </w:pPr>
            <w:r>
              <w:t>4.85</w:t>
            </w:r>
          </w:p>
        </w:tc>
        <w:tc>
          <w:tcPr>
            <w:tcW w:w="1455" w:type="dxa"/>
            <w:shd w:val="clear" w:color="auto" w:fill="FFFFFF" w:themeFill="background1"/>
            <w:vAlign w:val="center"/>
          </w:tcPr>
          <w:p w14:paraId="1257CE39" w14:textId="77777777" w:rsidR="00AC03B5" w:rsidRDefault="00AC03B5" w:rsidP="008162C8">
            <w:pPr>
              <w:jc w:val="center"/>
            </w:pPr>
            <w:r>
              <w:t>Q(df = 15) = 78.1221, p-val &lt; .0001</w:t>
            </w:r>
          </w:p>
        </w:tc>
      </w:tr>
      <w:tr w:rsidR="00AC03B5" w14:paraId="48673B03" w14:textId="77777777" w:rsidTr="008162C8">
        <w:trPr>
          <w:trHeight w:val="416"/>
        </w:trPr>
        <w:tc>
          <w:tcPr>
            <w:tcW w:w="1563" w:type="dxa"/>
            <w:shd w:val="clear" w:color="auto" w:fill="DBDBDB" w:themeFill="accent3" w:themeFillTint="66"/>
            <w:vAlign w:val="center"/>
          </w:tcPr>
          <w:p w14:paraId="06705074" w14:textId="77777777" w:rsidR="00AC03B5" w:rsidRDefault="00AC03B5" w:rsidP="008162C8">
            <w:pPr>
              <w:jc w:val="center"/>
              <w:rPr>
                <w:b/>
              </w:rPr>
            </w:pPr>
          </w:p>
          <w:p w14:paraId="1DCB3701" w14:textId="77777777" w:rsidR="00AC03B5" w:rsidRDefault="00AC03B5" w:rsidP="008162C8">
            <w:pPr>
              <w:jc w:val="center"/>
              <w:rPr>
                <w:b/>
              </w:rPr>
            </w:pPr>
          </w:p>
          <w:p w14:paraId="1809D212" w14:textId="77777777" w:rsidR="00AC03B5" w:rsidRDefault="00AC03B5" w:rsidP="008162C8">
            <w:pPr>
              <w:jc w:val="center"/>
              <w:rPr>
                <w:b/>
              </w:rPr>
            </w:pPr>
            <w:r w:rsidRPr="00D30D35">
              <w:rPr>
                <w:b/>
              </w:rPr>
              <w:t>Treatment QOL</w:t>
            </w:r>
          </w:p>
          <w:p w14:paraId="4BCCB290" w14:textId="77777777" w:rsidR="00AC03B5" w:rsidRDefault="00AC03B5" w:rsidP="008162C8">
            <w:pPr>
              <w:jc w:val="center"/>
              <w:rPr>
                <w:b/>
              </w:rPr>
            </w:pPr>
          </w:p>
          <w:p w14:paraId="06EB16BB" w14:textId="77777777" w:rsidR="00AC03B5" w:rsidRPr="00D30D35" w:rsidRDefault="00AC03B5" w:rsidP="008162C8">
            <w:pPr>
              <w:jc w:val="center"/>
              <w:rPr>
                <w:b/>
              </w:rPr>
            </w:pPr>
          </w:p>
        </w:tc>
        <w:tc>
          <w:tcPr>
            <w:tcW w:w="1508" w:type="dxa"/>
            <w:shd w:val="clear" w:color="auto" w:fill="FFFFFF" w:themeFill="background1"/>
            <w:vAlign w:val="center"/>
          </w:tcPr>
          <w:p w14:paraId="03D3C44D" w14:textId="77777777" w:rsidR="00AC03B5" w:rsidRDefault="00AC03B5" w:rsidP="008162C8">
            <w:pPr>
              <w:jc w:val="center"/>
            </w:pPr>
            <w:r>
              <w:lastRenderedPageBreak/>
              <w:t>0.0028 (SE = 0.0221)</w:t>
            </w:r>
          </w:p>
        </w:tc>
        <w:tc>
          <w:tcPr>
            <w:tcW w:w="1343" w:type="dxa"/>
            <w:shd w:val="clear" w:color="auto" w:fill="FFFFFF" w:themeFill="background1"/>
            <w:vAlign w:val="center"/>
          </w:tcPr>
          <w:p w14:paraId="6E1E7292" w14:textId="77777777" w:rsidR="00AC03B5" w:rsidRDefault="00AC03B5" w:rsidP="008162C8">
            <w:pPr>
              <w:jc w:val="center"/>
            </w:pPr>
            <w:r>
              <w:t>0.0534</w:t>
            </w:r>
          </w:p>
        </w:tc>
        <w:tc>
          <w:tcPr>
            <w:tcW w:w="1582" w:type="dxa"/>
            <w:shd w:val="clear" w:color="auto" w:fill="FFFFFF" w:themeFill="background1"/>
            <w:vAlign w:val="center"/>
          </w:tcPr>
          <w:p w14:paraId="211E3883" w14:textId="77777777" w:rsidR="00AC03B5" w:rsidRDefault="00AC03B5" w:rsidP="008162C8">
            <w:pPr>
              <w:jc w:val="center"/>
            </w:pPr>
            <w:r>
              <w:t>6.14%</w:t>
            </w:r>
          </w:p>
        </w:tc>
        <w:tc>
          <w:tcPr>
            <w:tcW w:w="1454" w:type="dxa"/>
            <w:shd w:val="clear" w:color="auto" w:fill="FFFFFF" w:themeFill="background1"/>
            <w:vAlign w:val="center"/>
          </w:tcPr>
          <w:p w14:paraId="1F6ABB9B" w14:textId="77777777" w:rsidR="00AC03B5" w:rsidRDefault="00AC03B5" w:rsidP="008162C8">
            <w:pPr>
              <w:jc w:val="center"/>
            </w:pPr>
            <w:r>
              <w:t>1.07</w:t>
            </w:r>
          </w:p>
        </w:tc>
        <w:tc>
          <w:tcPr>
            <w:tcW w:w="1455" w:type="dxa"/>
            <w:shd w:val="clear" w:color="auto" w:fill="FFFFFF" w:themeFill="background1"/>
            <w:vAlign w:val="center"/>
          </w:tcPr>
          <w:p w14:paraId="5CABDDC2" w14:textId="77777777" w:rsidR="00AC03B5" w:rsidRDefault="00AC03B5" w:rsidP="008162C8">
            <w:pPr>
              <w:jc w:val="center"/>
            </w:pPr>
            <w:r>
              <w:t>Q(df = 7) = 12.3856, p-val = 0.0886</w:t>
            </w:r>
          </w:p>
        </w:tc>
      </w:tr>
      <w:tr w:rsidR="00AC03B5" w14:paraId="1FAFBCE0" w14:textId="77777777" w:rsidTr="008162C8">
        <w:trPr>
          <w:trHeight w:val="831"/>
        </w:trPr>
        <w:tc>
          <w:tcPr>
            <w:tcW w:w="1563" w:type="dxa"/>
            <w:shd w:val="clear" w:color="auto" w:fill="DBDBDB" w:themeFill="accent3" w:themeFillTint="66"/>
            <w:vAlign w:val="center"/>
          </w:tcPr>
          <w:p w14:paraId="3B4FAC45" w14:textId="77777777" w:rsidR="00AC03B5" w:rsidRPr="00D30D35" w:rsidRDefault="00AC03B5" w:rsidP="008162C8">
            <w:pPr>
              <w:jc w:val="center"/>
              <w:rPr>
                <w:b/>
              </w:rPr>
            </w:pPr>
            <w:r w:rsidRPr="00D30D35">
              <w:rPr>
                <w:b/>
              </w:rPr>
              <w:lastRenderedPageBreak/>
              <w:t>Treatment PGYBOCS</w:t>
            </w:r>
          </w:p>
        </w:tc>
        <w:tc>
          <w:tcPr>
            <w:tcW w:w="1508" w:type="dxa"/>
            <w:shd w:val="clear" w:color="auto" w:fill="FFFFFF" w:themeFill="background1"/>
            <w:vAlign w:val="center"/>
          </w:tcPr>
          <w:p w14:paraId="7A90A629" w14:textId="77777777" w:rsidR="00AC03B5" w:rsidRDefault="00AC03B5" w:rsidP="008162C8">
            <w:pPr>
              <w:jc w:val="center"/>
            </w:pPr>
            <w:r>
              <w:t>0.2859 (SE = 0.1718)</w:t>
            </w:r>
          </w:p>
          <w:p w14:paraId="1A435D98" w14:textId="77777777" w:rsidR="00AC03B5" w:rsidRDefault="00AC03B5" w:rsidP="008162C8">
            <w:pPr>
              <w:jc w:val="center"/>
            </w:pPr>
          </w:p>
        </w:tc>
        <w:tc>
          <w:tcPr>
            <w:tcW w:w="1343" w:type="dxa"/>
            <w:shd w:val="clear" w:color="auto" w:fill="FFFFFF" w:themeFill="background1"/>
            <w:vAlign w:val="center"/>
          </w:tcPr>
          <w:p w14:paraId="256A5CDF" w14:textId="77777777" w:rsidR="00AC03B5" w:rsidRDefault="00AC03B5" w:rsidP="008162C8">
            <w:pPr>
              <w:jc w:val="center"/>
            </w:pPr>
            <w:r>
              <w:t>0.5347</w:t>
            </w:r>
          </w:p>
        </w:tc>
        <w:tc>
          <w:tcPr>
            <w:tcW w:w="1582" w:type="dxa"/>
            <w:shd w:val="clear" w:color="auto" w:fill="FFFFFF" w:themeFill="background1"/>
            <w:vAlign w:val="center"/>
          </w:tcPr>
          <w:p w14:paraId="7C79A9E1" w14:textId="77777777" w:rsidR="00AC03B5" w:rsidRDefault="00AC03B5" w:rsidP="008162C8">
            <w:pPr>
              <w:jc w:val="center"/>
            </w:pPr>
            <w:r>
              <w:t>80.77%</w:t>
            </w:r>
          </w:p>
        </w:tc>
        <w:tc>
          <w:tcPr>
            <w:tcW w:w="1454" w:type="dxa"/>
            <w:shd w:val="clear" w:color="auto" w:fill="FFFFFF" w:themeFill="background1"/>
            <w:vAlign w:val="center"/>
          </w:tcPr>
          <w:p w14:paraId="627718E5" w14:textId="77777777" w:rsidR="00AC03B5" w:rsidRDefault="00AC03B5" w:rsidP="008162C8">
            <w:pPr>
              <w:jc w:val="center"/>
            </w:pPr>
            <w:r>
              <w:t>5.20</w:t>
            </w:r>
          </w:p>
        </w:tc>
        <w:tc>
          <w:tcPr>
            <w:tcW w:w="1455" w:type="dxa"/>
            <w:shd w:val="clear" w:color="auto" w:fill="FFFFFF" w:themeFill="background1"/>
            <w:vAlign w:val="center"/>
          </w:tcPr>
          <w:p w14:paraId="0E02E249" w14:textId="77777777" w:rsidR="00AC03B5" w:rsidRDefault="00AC03B5" w:rsidP="008162C8">
            <w:pPr>
              <w:jc w:val="center"/>
            </w:pPr>
            <w:r>
              <w:t>Q(df = 11) = 59.1895, p-val &lt; .0001</w:t>
            </w:r>
          </w:p>
        </w:tc>
      </w:tr>
      <w:tr w:rsidR="00AC03B5" w14:paraId="595DD742" w14:textId="77777777" w:rsidTr="008162C8">
        <w:trPr>
          <w:trHeight w:val="416"/>
        </w:trPr>
        <w:tc>
          <w:tcPr>
            <w:tcW w:w="1563" w:type="dxa"/>
            <w:shd w:val="clear" w:color="auto" w:fill="DBDBDB" w:themeFill="accent3" w:themeFillTint="66"/>
            <w:vAlign w:val="center"/>
          </w:tcPr>
          <w:p w14:paraId="33ED9340" w14:textId="77777777" w:rsidR="00AC03B5" w:rsidRDefault="00AC03B5" w:rsidP="008162C8">
            <w:pPr>
              <w:jc w:val="center"/>
              <w:rPr>
                <w:b/>
              </w:rPr>
            </w:pPr>
          </w:p>
          <w:p w14:paraId="3C36C8BB" w14:textId="77777777" w:rsidR="00AC03B5" w:rsidRDefault="00AC03B5" w:rsidP="008162C8">
            <w:pPr>
              <w:jc w:val="center"/>
              <w:rPr>
                <w:b/>
              </w:rPr>
            </w:pPr>
            <w:r w:rsidRPr="00D30D35">
              <w:rPr>
                <w:b/>
              </w:rPr>
              <w:t>Treatment GSAS</w:t>
            </w:r>
          </w:p>
          <w:p w14:paraId="1CBF768B" w14:textId="77777777" w:rsidR="00AC03B5" w:rsidRPr="00D30D35" w:rsidRDefault="00AC03B5" w:rsidP="008162C8">
            <w:pPr>
              <w:jc w:val="center"/>
              <w:rPr>
                <w:b/>
              </w:rPr>
            </w:pPr>
          </w:p>
        </w:tc>
        <w:tc>
          <w:tcPr>
            <w:tcW w:w="1508" w:type="dxa"/>
            <w:shd w:val="clear" w:color="auto" w:fill="FFFFFF" w:themeFill="background1"/>
            <w:vAlign w:val="center"/>
          </w:tcPr>
          <w:p w14:paraId="78336658" w14:textId="77777777" w:rsidR="00AC03B5" w:rsidRDefault="00AC03B5" w:rsidP="008162C8">
            <w:pPr>
              <w:jc w:val="center"/>
            </w:pPr>
            <w:r>
              <w:t>0.0839 (SE = 0.0837)</w:t>
            </w:r>
          </w:p>
        </w:tc>
        <w:tc>
          <w:tcPr>
            <w:tcW w:w="1343" w:type="dxa"/>
            <w:shd w:val="clear" w:color="auto" w:fill="FFFFFF" w:themeFill="background1"/>
            <w:vAlign w:val="center"/>
          </w:tcPr>
          <w:p w14:paraId="66EA327B" w14:textId="77777777" w:rsidR="00AC03B5" w:rsidRDefault="00AC03B5" w:rsidP="008162C8">
            <w:pPr>
              <w:jc w:val="center"/>
            </w:pPr>
            <w:r>
              <w:t>0.2896</w:t>
            </w:r>
          </w:p>
        </w:tc>
        <w:tc>
          <w:tcPr>
            <w:tcW w:w="1582" w:type="dxa"/>
            <w:shd w:val="clear" w:color="auto" w:fill="FFFFFF" w:themeFill="background1"/>
            <w:vAlign w:val="center"/>
          </w:tcPr>
          <w:p w14:paraId="419F83E8" w14:textId="77777777" w:rsidR="00AC03B5" w:rsidRDefault="00AC03B5" w:rsidP="008162C8">
            <w:pPr>
              <w:jc w:val="center"/>
            </w:pPr>
            <w:r>
              <w:t>52.83%</w:t>
            </w:r>
          </w:p>
        </w:tc>
        <w:tc>
          <w:tcPr>
            <w:tcW w:w="1454" w:type="dxa"/>
            <w:shd w:val="clear" w:color="auto" w:fill="FFFFFF" w:themeFill="background1"/>
            <w:vAlign w:val="center"/>
          </w:tcPr>
          <w:p w14:paraId="1F94325A" w14:textId="77777777" w:rsidR="00AC03B5" w:rsidRDefault="00AC03B5" w:rsidP="008162C8">
            <w:pPr>
              <w:jc w:val="center"/>
            </w:pPr>
            <w:r>
              <w:t>2.12</w:t>
            </w:r>
          </w:p>
        </w:tc>
        <w:tc>
          <w:tcPr>
            <w:tcW w:w="1455" w:type="dxa"/>
            <w:shd w:val="clear" w:color="auto" w:fill="FFFFFF" w:themeFill="background1"/>
            <w:vAlign w:val="center"/>
          </w:tcPr>
          <w:p w14:paraId="135C5CB9" w14:textId="77777777" w:rsidR="00AC03B5" w:rsidRDefault="00AC03B5" w:rsidP="008162C8">
            <w:pPr>
              <w:jc w:val="center"/>
            </w:pPr>
            <w:r>
              <w:t>Q(df = 8) = 19.4638, p-val = 0.0126</w:t>
            </w:r>
          </w:p>
        </w:tc>
      </w:tr>
      <w:tr w:rsidR="00AC03B5" w14:paraId="596C2921" w14:textId="77777777" w:rsidTr="008162C8">
        <w:trPr>
          <w:trHeight w:val="416"/>
        </w:trPr>
        <w:tc>
          <w:tcPr>
            <w:tcW w:w="1563" w:type="dxa"/>
            <w:shd w:val="clear" w:color="auto" w:fill="DBDBDB" w:themeFill="accent3" w:themeFillTint="66"/>
            <w:vAlign w:val="center"/>
          </w:tcPr>
          <w:p w14:paraId="0017E5B5" w14:textId="77777777" w:rsidR="00AC03B5" w:rsidRDefault="00AC03B5" w:rsidP="008162C8">
            <w:pPr>
              <w:jc w:val="center"/>
              <w:rPr>
                <w:b/>
              </w:rPr>
            </w:pPr>
          </w:p>
          <w:p w14:paraId="2FD4055B" w14:textId="77777777" w:rsidR="00AC03B5" w:rsidRDefault="00AC03B5" w:rsidP="008162C8">
            <w:pPr>
              <w:jc w:val="center"/>
              <w:rPr>
                <w:b/>
              </w:rPr>
            </w:pPr>
            <w:r w:rsidRPr="00D30D35">
              <w:rPr>
                <w:b/>
              </w:rPr>
              <w:t>Treatment CGI</w:t>
            </w:r>
          </w:p>
          <w:p w14:paraId="73DE3B2A" w14:textId="77777777" w:rsidR="00AC03B5" w:rsidRPr="00D30D35" w:rsidRDefault="00AC03B5" w:rsidP="008162C8">
            <w:pPr>
              <w:jc w:val="center"/>
              <w:rPr>
                <w:b/>
              </w:rPr>
            </w:pPr>
          </w:p>
        </w:tc>
        <w:tc>
          <w:tcPr>
            <w:tcW w:w="1508" w:type="dxa"/>
            <w:shd w:val="clear" w:color="auto" w:fill="FFFFFF" w:themeFill="background1"/>
            <w:vAlign w:val="center"/>
          </w:tcPr>
          <w:p w14:paraId="2F90B032" w14:textId="77777777" w:rsidR="00AC03B5" w:rsidRDefault="00AC03B5" w:rsidP="008162C8">
            <w:pPr>
              <w:jc w:val="center"/>
            </w:pPr>
            <w:r>
              <w:t>0</w:t>
            </w:r>
          </w:p>
          <w:p w14:paraId="5CC44468" w14:textId="77777777" w:rsidR="00AC03B5" w:rsidRDefault="00AC03B5" w:rsidP="008162C8">
            <w:pPr>
              <w:jc w:val="center"/>
            </w:pPr>
            <w:r>
              <w:t xml:space="preserve"> (SE = 0.0638)</w:t>
            </w:r>
          </w:p>
          <w:p w14:paraId="7081263D" w14:textId="77777777" w:rsidR="00AC03B5" w:rsidRDefault="00AC03B5" w:rsidP="008162C8">
            <w:pPr>
              <w:jc w:val="center"/>
            </w:pPr>
          </w:p>
        </w:tc>
        <w:tc>
          <w:tcPr>
            <w:tcW w:w="1343" w:type="dxa"/>
            <w:shd w:val="clear" w:color="auto" w:fill="FFFFFF" w:themeFill="background1"/>
            <w:vAlign w:val="center"/>
          </w:tcPr>
          <w:p w14:paraId="25A4F7E9" w14:textId="77777777" w:rsidR="00AC03B5" w:rsidRDefault="00AC03B5" w:rsidP="008162C8">
            <w:pPr>
              <w:jc w:val="center"/>
            </w:pPr>
            <w:r>
              <w:t>0</w:t>
            </w:r>
          </w:p>
        </w:tc>
        <w:tc>
          <w:tcPr>
            <w:tcW w:w="1582" w:type="dxa"/>
            <w:shd w:val="clear" w:color="auto" w:fill="FFFFFF" w:themeFill="background1"/>
            <w:vAlign w:val="center"/>
          </w:tcPr>
          <w:p w14:paraId="44C761F6" w14:textId="77777777" w:rsidR="00AC03B5" w:rsidRDefault="00AC03B5" w:rsidP="008162C8">
            <w:pPr>
              <w:jc w:val="center"/>
            </w:pPr>
            <w:r>
              <w:t>0.00%</w:t>
            </w:r>
          </w:p>
        </w:tc>
        <w:tc>
          <w:tcPr>
            <w:tcW w:w="1454" w:type="dxa"/>
            <w:shd w:val="clear" w:color="auto" w:fill="FFFFFF" w:themeFill="background1"/>
            <w:vAlign w:val="center"/>
          </w:tcPr>
          <w:p w14:paraId="3005FCAD" w14:textId="77777777" w:rsidR="00AC03B5" w:rsidRDefault="00AC03B5" w:rsidP="008162C8">
            <w:pPr>
              <w:jc w:val="center"/>
            </w:pPr>
            <w:r>
              <w:t>1.00</w:t>
            </w:r>
          </w:p>
        </w:tc>
        <w:tc>
          <w:tcPr>
            <w:tcW w:w="1455" w:type="dxa"/>
            <w:shd w:val="clear" w:color="auto" w:fill="FFFFFF" w:themeFill="background1"/>
            <w:vAlign w:val="center"/>
          </w:tcPr>
          <w:p w14:paraId="70BB384F" w14:textId="77777777" w:rsidR="00AC03B5" w:rsidRDefault="00AC03B5" w:rsidP="008162C8">
            <w:pPr>
              <w:jc w:val="center"/>
            </w:pPr>
            <w:r w:rsidRPr="00006521">
              <w:t>Q(df = 4) = 2.3691, p-val = 0.6682</w:t>
            </w:r>
          </w:p>
        </w:tc>
      </w:tr>
    </w:tbl>
    <w:p w14:paraId="2572CFB3" w14:textId="77777777" w:rsidR="00AC03B5" w:rsidRDefault="00AC03B5" w:rsidP="00AC03B5">
      <w:pPr>
        <w:jc w:val="center"/>
      </w:pPr>
    </w:p>
    <w:p w14:paraId="4096D168" w14:textId="77777777" w:rsidR="00AC03B5" w:rsidRDefault="00AC03B5" w:rsidP="00AC03B5">
      <w:r w:rsidRPr="00BE1862">
        <w:rPr>
          <w:b/>
        </w:rPr>
        <w:t>Legend</w:t>
      </w:r>
      <w:r>
        <w:t>: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SE = standard error; </w:t>
      </w:r>
      <w:proofErr w:type="gramStart"/>
      <w:r>
        <w:t>df</w:t>
      </w:r>
      <w:proofErr w:type="gramEnd"/>
      <w:r>
        <w:t xml:space="preserve"> = degrees of freedom</w:t>
      </w:r>
      <w:r w:rsidRPr="00BE1862">
        <w:t xml:space="preserve"> </w:t>
      </w:r>
    </w:p>
    <w:p w14:paraId="74EC5247" w14:textId="77777777" w:rsidR="00AC03B5" w:rsidRDefault="00AC03B5" w:rsidP="00AC03B5">
      <w:pPr>
        <w:jc w:val="center"/>
      </w:pPr>
    </w:p>
    <w:p w14:paraId="291D6348" w14:textId="77777777" w:rsidR="00AC03B5" w:rsidRDefault="00AC03B5" w:rsidP="00AC03B5">
      <w:pPr>
        <w:pStyle w:val="Heading2"/>
      </w:pPr>
      <w:r>
        <w:rPr>
          <w:rFonts w:cs="Times New Roman"/>
        </w:rPr>
        <w:lastRenderedPageBreak/>
        <w:t>§S3</w:t>
      </w:r>
      <w:r>
        <w:t xml:space="preserve"> Publication bias in the treatment arms</w:t>
      </w:r>
    </w:p>
    <w:p w14:paraId="677693CD" w14:textId="77777777" w:rsidR="00AC03B5" w:rsidRDefault="00AC03B5" w:rsidP="00AC03B5">
      <w:r w:rsidRPr="00CA510E">
        <w:rPr>
          <w:noProof/>
          <w:lang w:eastAsia="en-GB"/>
        </w:rPr>
        <w:drawing>
          <wp:inline distT="0" distB="0" distL="0" distR="0" wp14:anchorId="17B69270" wp14:editId="521C8E54">
            <wp:extent cx="5731510" cy="36302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630295"/>
                    </a:xfrm>
                    <a:prstGeom prst="rect">
                      <a:avLst/>
                    </a:prstGeom>
                  </pic:spPr>
                </pic:pic>
              </a:graphicData>
            </a:graphic>
          </wp:inline>
        </w:drawing>
      </w:r>
    </w:p>
    <w:p w14:paraId="4B1106B9" w14:textId="77777777" w:rsidR="00AC03B5" w:rsidRDefault="00AC03B5" w:rsidP="00AC03B5">
      <w:r w:rsidRPr="005649D9">
        <w:rPr>
          <w:b/>
        </w:rPr>
        <w:t>Legend</w:t>
      </w:r>
      <w:r>
        <w:t xml:space="preserve"> – Funnel plots with regression for funnel plot asymmetry p-values.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Publication bias identified in the Quality of life analysis and the trim and fill method was used to provide a new effect size estimate. </w:t>
      </w:r>
    </w:p>
    <w:p w14:paraId="673BCC95" w14:textId="77777777" w:rsidR="00AC03B5" w:rsidRDefault="00AC03B5" w:rsidP="00AC03B5">
      <w:r>
        <w:br w:type="page"/>
      </w:r>
    </w:p>
    <w:p w14:paraId="7C24671D" w14:textId="77777777" w:rsidR="00AC03B5" w:rsidRPr="00950238" w:rsidRDefault="00AC03B5" w:rsidP="00AC03B5">
      <w:pPr>
        <w:pStyle w:val="Heading2"/>
      </w:pPr>
      <w:r>
        <w:rPr>
          <w:rFonts w:cs="Times New Roman"/>
        </w:rPr>
        <w:lastRenderedPageBreak/>
        <w:t xml:space="preserve">§S4 </w:t>
      </w:r>
      <w:r>
        <w:t>Meta-regression</w:t>
      </w:r>
      <w:r w:rsidRPr="00950238">
        <w:t xml:space="preserve"> analyses (meta-regression)</w:t>
      </w:r>
      <w:r>
        <w:t xml:space="preserve"> – TREATMENT effects</w:t>
      </w:r>
    </w:p>
    <w:tbl>
      <w:tblPr>
        <w:tblStyle w:val="TableGrid"/>
        <w:tblW w:w="9973" w:type="dxa"/>
        <w:tblLayout w:type="fixed"/>
        <w:tblLook w:val="04A0" w:firstRow="1" w:lastRow="0" w:firstColumn="1" w:lastColumn="0" w:noHBand="0" w:noVBand="1"/>
      </w:tblPr>
      <w:tblGrid>
        <w:gridCol w:w="1063"/>
        <w:gridCol w:w="849"/>
        <w:gridCol w:w="952"/>
        <w:gridCol w:w="900"/>
        <w:gridCol w:w="952"/>
        <w:gridCol w:w="814"/>
        <w:gridCol w:w="806"/>
        <w:gridCol w:w="745"/>
        <w:gridCol w:w="745"/>
        <w:gridCol w:w="745"/>
        <w:gridCol w:w="684"/>
        <w:gridCol w:w="718"/>
      </w:tblGrid>
      <w:tr w:rsidR="00AC03B5" w:rsidRPr="009115C7" w14:paraId="3E3C52F5" w14:textId="77777777" w:rsidTr="008162C8">
        <w:trPr>
          <w:cantSplit/>
          <w:trHeight w:val="1169"/>
        </w:trPr>
        <w:tc>
          <w:tcPr>
            <w:tcW w:w="1063" w:type="dxa"/>
            <w:shd w:val="clear" w:color="auto" w:fill="F2F2F2" w:themeFill="background1" w:themeFillShade="F2"/>
          </w:tcPr>
          <w:p w14:paraId="1B94AE76" w14:textId="77777777" w:rsidR="00AC03B5" w:rsidRPr="009115C7" w:rsidRDefault="00AC03B5" w:rsidP="008162C8">
            <w:pPr>
              <w:jc w:val="center"/>
              <w:rPr>
                <w:rFonts w:cs="Times New Roman"/>
                <w:b/>
                <w:szCs w:val="16"/>
              </w:rPr>
            </w:pPr>
            <w:r w:rsidRPr="009115C7">
              <w:rPr>
                <w:rFonts w:cs="Times New Roman"/>
                <w:b/>
                <w:szCs w:val="16"/>
              </w:rPr>
              <w:t>Analysis</w:t>
            </w:r>
          </w:p>
        </w:tc>
        <w:tc>
          <w:tcPr>
            <w:tcW w:w="849" w:type="dxa"/>
            <w:shd w:val="clear" w:color="auto" w:fill="F2F2F2" w:themeFill="background1" w:themeFillShade="F2"/>
            <w:textDirection w:val="btLr"/>
            <w:vAlign w:val="center"/>
          </w:tcPr>
          <w:p w14:paraId="31F5A023" w14:textId="77777777" w:rsidR="00AC03B5" w:rsidRPr="009115C7" w:rsidRDefault="00AC03B5" w:rsidP="008162C8">
            <w:pPr>
              <w:ind w:left="113" w:right="113"/>
              <w:jc w:val="center"/>
              <w:rPr>
                <w:rFonts w:cs="Times New Roman"/>
                <w:b/>
                <w:szCs w:val="16"/>
              </w:rPr>
            </w:pPr>
            <w:r w:rsidRPr="009115C7">
              <w:rPr>
                <w:rFonts w:cs="Times New Roman"/>
                <w:b/>
                <w:szCs w:val="16"/>
              </w:rPr>
              <w:t>Publication Year</w:t>
            </w:r>
          </w:p>
        </w:tc>
        <w:tc>
          <w:tcPr>
            <w:tcW w:w="952" w:type="dxa"/>
            <w:shd w:val="clear" w:color="auto" w:fill="F2F2F2" w:themeFill="background1" w:themeFillShade="F2"/>
            <w:textDirection w:val="btLr"/>
            <w:vAlign w:val="center"/>
          </w:tcPr>
          <w:p w14:paraId="370D2C31" w14:textId="77777777" w:rsidR="00AC03B5" w:rsidRPr="009115C7" w:rsidRDefault="00AC03B5" w:rsidP="008162C8">
            <w:pPr>
              <w:ind w:left="113" w:right="113"/>
              <w:jc w:val="center"/>
              <w:rPr>
                <w:rFonts w:cs="Times New Roman"/>
                <w:b/>
                <w:szCs w:val="16"/>
              </w:rPr>
            </w:pPr>
            <w:r w:rsidRPr="009115C7">
              <w:rPr>
                <w:rFonts w:cs="Times New Roman"/>
                <w:b/>
                <w:szCs w:val="16"/>
              </w:rPr>
              <w:t>Medication type (class)</w:t>
            </w:r>
          </w:p>
        </w:tc>
        <w:tc>
          <w:tcPr>
            <w:tcW w:w="900" w:type="dxa"/>
            <w:shd w:val="clear" w:color="auto" w:fill="F2F2F2" w:themeFill="background1" w:themeFillShade="F2"/>
            <w:textDirection w:val="btLr"/>
            <w:vAlign w:val="center"/>
          </w:tcPr>
          <w:p w14:paraId="0F65269A" w14:textId="77777777" w:rsidR="00AC03B5" w:rsidRPr="009115C7" w:rsidRDefault="00AC03B5" w:rsidP="008162C8">
            <w:pPr>
              <w:ind w:left="113" w:right="113"/>
              <w:jc w:val="center"/>
              <w:rPr>
                <w:rFonts w:cs="Times New Roman"/>
                <w:b/>
                <w:szCs w:val="16"/>
              </w:rPr>
            </w:pPr>
            <w:r w:rsidRPr="009115C7">
              <w:rPr>
                <w:rFonts w:cs="Times New Roman"/>
                <w:b/>
                <w:szCs w:val="16"/>
              </w:rPr>
              <w:t>Sponsored study (Y/N)</w:t>
            </w:r>
          </w:p>
        </w:tc>
        <w:tc>
          <w:tcPr>
            <w:tcW w:w="952" w:type="dxa"/>
            <w:shd w:val="clear" w:color="auto" w:fill="F2F2F2" w:themeFill="background1" w:themeFillShade="F2"/>
            <w:textDirection w:val="btLr"/>
            <w:vAlign w:val="center"/>
          </w:tcPr>
          <w:p w14:paraId="36868A68" w14:textId="77777777" w:rsidR="00AC03B5" w:rsidRPr="009115C7" w:rsidRDefault="00AC03B5" w:rsidP="008162C8">
            <w:pPr>
              <w:ind w:left="113" w:right="113"/>
              <w:jc w:val="center"/>
              <w:rPr>
                <w:rFonts w:cs="Times New Roman"/>
                <w:b/>
                <w:szCs w:val="16"/>
              </w:rPr>
            </w:pPr>
            <w:r w:rsidRPr="009115C7">
              <w:rPr>
                <w:rFonts w:cs="Times New Roman"/>
                <w:b/>
                <w:szCs w:val="16"/>
              </w:rPr>
              <w:t>Participant age (mean)</w:t>
            </w:r>
          </w:p>
        </w:tc>
        <w:tc>
          <w:tcPr>
            <w:tcW w:w="814" w:type="dxa"/>
            <w:shd w:val="clear" w:color="auto" w:fill="F2F2F2" w:themeFill="background1" w:themeFillShade="F2"/>
            <w:textDirection w:val="btLr"/>
            <w:vAlign w:val="center"/>
          </w:tcPr>
          <w:p w14:paraId="627894EA" w14:textId="77777777" w:rsidR="00AC03B5" w:rsidRPr="009115C7" w:rsidRDefault="00AC03B5" w:rsidP="008162C8">
            <w:pPr>
              <w:ind w:left="113" w:right="113"/>
              <w:jc w:val="center"/>
              <w:rPr>
                <w:rFonts w:cs="Times New Roman"/>
                <w:b/>
                <w:szCs w:val="16"/>
              </w:rPr>
            </w:pPr>
            <w:r w:rsidRPr="009115C7">
              <w:rPr>
                <w:rFonts w:cs="Times New Roman"/>
                <w:b/>
                <w:szCs w:val="16"/>
              </w:rPr>
              <w:t>%gender</w:t>
            </w:r>
          </w:p>
        </w:tc>
        <w:tc>
          <w:tcPr>
            <w:tcW w:w="806" w:type="dxa"/>
            <w:shd w:val="clear" w:color="auto" w:fill="F2F2F2" w:themeFill="background1" w:themeFillShade="F2"/>
            <w:textDirection w:val="btLr"/>
            <w:vAlign w:val="center"/>
          </w:tcPr>
          <w:p w14:paraId="46F5CCBE" w14:textId="77777777" w:rsidR="00AC03B5" w:rsidRPr="009115C7" w:rsidRDefault="00AC03B5" w:rsidP="008162C8">
            <w:pPr>
              <w:ind w:left="113" w:right="113"/>
              <w:jc w:val="center"/>
              <w:rPr>
                <w:rFonts w:cs="Times New Roman"/>
                <w:b/>
                <w:szCs w:val="16"/>
              </w:rPr>
            </w:pPr>
            <w:r w:rsidRPr="009115C7">
              <w:rPr>
                <w:rFonts w:cs="Times New Roman"/>
                <w:b/>
                <w:szCs w:val="16"/>
              </w:rPr>
              <w:t>Duration of study</w:t>
            </w:r>
          </w:p>
        </w:tc>
        <w:tc>
          <w:tcPr>
            <w:tcW w:w="745" w:type="dxa"/>
            <w:shd w:val="clear" w:color="auto" w:fill="F2F2F2" w:themeFill="background1" w:themeFillShade="F2"/>
            <w:textDirection w:val="btLr"/>
            <w:vAlign w:val="center"/>
          </w:tcPr>
          <w:p w14:paraId="5EBC78E7" w14:textId="77777777" w:rsidR="00AC03B5" w:rsidRPr="009115C7" w:rsidRDefault="00AC03B5" w:rsidP="008162C8">
            <w:pPr>
              <w:ind w:left="113" w:right="113"/>
              <w:jc w:val="center"/>
              <w:rPr>
                <w:rFonts w:cs="Times New Roman"/>
                <w:b/>
                <w:szCs w:val="16"/>
              </w:rPr>
            </w:pPr>
            <w:r w:rsidRPr="009115C7">
              <w:rPr>
                <w:rFonts w:cs="Times New Roman"/>
                <w:b/>
                <w:szCs w:val="16"/>
              </w:rPr>
              <w:t>Unbalanced randomization</w:t>
            </w:r>
          </w:p>
        </w:tc>
        <w:tc>
          <w:tcPr>
            <w:tcW w:w="745" w:type="dxa"/>
            <w:shd w:val="clear" w:color="auto" w:fill="F2F2F2" w:themeFill="background1" w:themeFillShade="F2"/>
            <w:textDirection w:val="btLr"/>
            <w:vAlign w:val="center"/>
          </w:tcPr>
          <w:p w14:paraId="7F7714A0" w14:textId="77777777" w:rsidR="00AC03B5" w:rsidRPr="009115C7" w:rsidRDefault="00AC03B5" w:rsidP="008162C8">
            <w:pPr>
              <w:ind w:left="113" w:right="113"/>
              <w:jc w:val="center"/>
              <w:rPr>
                <w:rFonts w:cs="Times New Roman"/>
                <w:b/>
                <w:szCs w:val="16"/>
              </w:rPr>
            </w:pPr>
            <w:r w:rsidRPr="009115C7">
              <w:rPr>
                <w:rFonts w:cs="Times New Roman"/>
                <w:b/>
                <w:szCs w:val="16"/>
              </w:rPr>
              <w:t>Baseline severity</w:t>
            </w:r>
          </w:p>
        </w:tc>
        <w:tc>
          <w:tcPr>
            <w:tcW w:w="745" w:type="dxa"/>
            <w:shd w:val="clear" w:color="auto" w:fill="F2F2F2" w:themeFill="background1" w:themeFillShade="F2"/>
            <w:textDirection w:val="btLr"/>
            <w:vAlign w:val="center"/>
          </w:tcPr>
          <w:p w14:paraId="165F2EBF" w14:textId="77777777" w:rsidR="00AC03B5" w:rsidRPr="009115C7" w:rsidRDefault="00AC03B5" w:rsidP="008162C8">
            <w:pPr>
              <w:ind w:left="113" w:right="113"/>
              <w:jc w:val="center"/>
              <w:rPr>
                <w:rFonts w:cs="Times New Roman"/>
                <w:b/>
                <w:szCs w:val="16"/>
              </w:rPr>
            </w:pPr>
            <w:r w:rsidRPr="009115C7">
              <w:rPr>
                <w:rFonts w:cs="Times New Roman"/>
                <w:b/>
                <w:szCs w:val="16"/>
              </w:rPr>
              <w:t>Severity scale</w:t>
            </w:r>
          </w:p>
        </w:tc>
        <w:tc>
          <w:tcPr>
            <w:tcW w:w="684" w:type="dxa"/>
            <w:shd w:val="clear" w:color="auto" w:fill="F2F2F2" w:themeFill="background1" w:themeFillShade="F2"/>
            <w:textDirection w:val="btLr"/>
            <w:vAlign w:val="center"/>
          </w:tcPr>
          <w:p w14:paraId="5C910929" w14:textId="77777777" w:rsidR="00AC03B5" w:rsidRPr="009115C7" w:rsidRDefault="00AC03B5" w:rsidP="008162C8">
            <w:pPr>
              <w:ind w:left="113" w:right="113"/>
              <w:jc w:val="center"/>
              <w:rPr>
                <w:rFonts w:cs="Times New Roman"/>
                <w:b/>
                <w:szCs w:val="16"/>
              </w:rPr>
            </w:pPr>
            <w:r w:rsidRPr="009115C7">
              <w:rPr>
                <w:rFonts w:cs="Times New Roman"/>
                <w:b/>
                <w:szCs w:val="16"/>
              </w:rPr>
              <w:t>Author COI (Y/N)</w:t>
            </w:r>
          </w:p>
        </w:tc>
        <w:tc>
          <w:tcPr>
            <w:tcW w:w="718" w:type="dxa"/>
            <w:shd w:val="clear" w:color="auto" w:fill="F2F2F2" w:themeFill="background1" w:themeFillShade="F2"/>
          </w:tcPr>
          <w:p w14:paraId="43195771" w14:textId="77777777" w:rsidR="00AC03B5" w:rsidRPr="009115C7" w:rsidRDefault="00AC03B5" w:rsidP="008162C8">
            <w:pPr>
              <w:jc w:val="center"/>
              <w:rPr>
                <w:rFonts w:cs="Times New Roman"/>
                <w:b/>
                <w:szCs w:val="16"/>
              </w:rPr>
            </w:pPr>
            <w:r w:rsidRPr="009115C7">
              <w:rPr>
                <w:rFonts w:cs="Times New Roman"/>
                <w:b/>
                <w:szCs w:val="16"/>
              </w:rPr>
              <w:t>Placebo run in 1 week</w:t>
            </w:r>
          </w:p>
        </w:tc>
      </w:tr>
      <w:tr w:rsidR="00AC03B5" w:rsidRPr="009115C7" w14:paraId="6ECFB293" w14:textId="77777777" w:rsidTr="008162C8">
        <w:trPr>
          <w:trHeight w:val="1161"/>
        </w:trPr>
        <w:tc>
          <w:tcPr>
            <w:tcW w:w="1063" w:type="dxa"/>
          </w:tcPr>
          <w:p w14:paraId="2B4750BB" w14:textId="77777777" w:rsidR="00AC03B5" w:rsidRPr="009115C7" w:rsidRDefault="00AC03B5" w:rsidP="008162C8">
            <w:pPr>
              <w:jc w:val="center"/>
              <w:rPr>
                <w:rFonts w:cs="Times New Roman"/>
                <w:b/>
                <w:szCs w:val="16"/>
              </w:rPr>
            </w:pPr>
            <w:r w:rsidRPr="009115C7">
              <w:rPr>
                <w:rFonts w:cs="Times New Roman"/>
                <w:b/>
                <w:szCs w:val="16"/>
              </w:rPr>
              <w:t>Severity (all measures)</w:t>
            </w:r>
          </w:p>
        </w:tc>
        <w:tc>
          <w:tcPr>
            <w:tcW w:w="849" w:type="dxa"/>
          </w:tcPr>
          <w:p w14:paraId="69F0D399"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56F2813A" w14:textId="77777777" w:rsidR="00AC03B5" w:rsidRPr="009115C7" w:rsidRDefault="00AC03B5" w:rsidP="008162C8">
            <w:pPr>
              <w:jc w:val="center"/>
              <w:rPr>
                <w:rFonts w:cs="Times New Roman"/>
                <w:szCs w:val="16"/>
              </w:rPr>
            </w:pPr>
            <w:r w:rsidRPr="009115C7">
              <w:rPr>
                <w:rFonts w:cs="Times New Roman"/>
                <w:szCs w:val="16"/>
              </w:rPr>
              <w:t>* MS higher E.S.</w:t>
            </w:r>
          </w:p>
          <w:p w14:paraId="30547672" w14:textId="77777777" w:rsidR="00AC03B5" w:rsidRPr="009115C7" w:rsidRDefault="00AC03B5" w:rsidP="008162C8">
            <w:pPr>
              <w:jc w:val="center"/>
              <w:rPr>
                <w:rFonts w:cs="Times New Roman"/>
                <w:szCs w:val="16"/>
              </w:rPr>
            </w:pPr>
            <w:r w:rsidRPr="009115C7">
              <w:rPr>
                <w:rFonts w:cs="Times New Roman"/>
                <w:szCs w:val="16"/>
              </w:rPr>
              <w:t xml:space="preserve"> ·</w:t>
            </w:r>
          </w:p>
          <w:p w14:paraId="3350CE3A" w14:textId="77777777" w:rsidR="00AC03B5" w:rsidRPr="009115C7" w:rsidRDefault="00AC03B5" w:rsidP="008162C8">
            <w:pPr>
              <w:jc w:val="center"/>
              <w:rPr>
                <w:rFonts w:cs="Times New Roman"/>
                <w:szCs w:val="16"/>
              </w:rPr>
            </w:pPr>
            <w:r w:rsidRPr="009115C7">
              <w:rPr>
                <w:rFonts w:cs="Times New Roman"/>
                <w:szCs w:val="16"/>
              </w:rPr>
              <w:t>supplement higher E.S.</w:t>
            </w:r>
          </w:p>
        </w:tc>
        <w:tc>
          <w:tcPr>
            <w:tcW w:w="900" w:type="dxa"/>
          </w:tcPr>
          <w:p w14:paraId="3E04669B"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49E1127D"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5A8F1881"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3EABF790" w14:textId="77777777" w:rsidR="00AC03B5" w:rsidRPr="009115C7" w:rsidRDefault="00AC03B5" w:rsidP="008162C8">
            <w:pPr>
              <w:jc w:val="center"/>
              <w:rPr>
                <w:rFonts w:cs="Times New Roman"/>
                <w:szCs w:val="16"/>
              </w:rPr>
            </w:pPr>
            <w:r>
              <w:rPr>
                <w:rFonts w:cs="Times New Roman"/>
                <w:szCs w:val="16"/>
              </w:rPr>
              <w:t xml:space="preserve">** 16-weeks, lower E.S. </w:t>
            </w:r>
            <w:r w:rsidRPr="009115C7">
              <w:rPr>
                <w:rFonts w:cs="Times New Roman"/>
                <w:szCs w:val="16"/>
              </w:rPr>
              <w:t>* 17-weeks lower E.S.</w:t>
            </w:r>
          </w:p>
        </w:tc>
        <w:tc>
          <w:tcPr>
            <w:tcW w:w="745" w:type="dxa"/>
          </w:tcPr>
          <w:p w14:paraId="66451BF6"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044EA59B" w14:textId="77777777" w:rsidR="00AC03B5" w:rsidRPr="009115C7" w:rsidRDefault="00AC03B5" w:rsidP="008162C8">
            <w:pPr>
              <w:jc w:val="center"/>
              <w:rPr>
                <w:rFonts w:cs="Times New Roman"/>
                <w:szCs w:val="16"/>
              </w:rPr>
            </w:pPr>
            <w:r w:rsidRPr="009115C7">
              <w:rPr>
                <w:rFonts w:cs="Times New Roman"/>
                <w:szCs w:val="16"/>
              </w:rPr>
              <w:t>NA</w:t>
            </w:r>
          </w:p>
        </w:tc>
        <w:tc>
          <w:tcPr>
            <w:tcW w:w="745" w:type="dxa"/>
          </w:tcPr>
          <w:p w14:paraId="5833DABD" w14:textId="77777777" w:rsidR="00AC03B5" w:rsidRPr="009115C7" w:rsidRDefault="00AC03B5" w:rsidP="008162C8">
            <w:pPr>
              <w:jc w:val="center"/>
              <w:rPr>
                <w:rFonts w:cs="Times New Roman"/>
                <w:szCs w:val="16"/>
              </w:rPr>
            </w:pPr>
            <w:r w:rsidRPr="009115C7">
              <w:rPr>
                <w:rFonts w:cs="Times New Roman"/>
                <w:szCs w:val="16"/>
              </w:rPr>
              <w:t>n.s.</w:t>
            </w:r>
          </w:p>
        </w:tc>
        <w:tc>
          <w:tcPr>
            <w:tcW w:w="684" w:type="dxa"/>
          </w:tcPr>
          <w:p w14:paraId="585B5DAC" w14:textId="77777777" w:rsidR="00AC03B5" w:rsidRPr="009115C7" w:rsidRDefault="00AC03B5" w:rsidP="008162C8">
            <w:pPr>
              <w:jc w:val="center"/>
              <w:rPr>
                <w:rFonts w:cs="Times New Roman"/>
                <w:szCs w:val="16"/>
              </w:rPr>
            </w:pPr>
            <w:r w:rsidRPr="009115C7">
              <w:rPr>
                <w:rFonts w:cs="Times New Roman"/>
                <w:szCs w:val="16"/>
              </w:rPr>
              <w:t>n.s.</w:t>
            </w:r>
          </w:p>
        </w:tc>
        <w:tc>
          <w:tcPr>
            <w:tcW w:w="718" w:type="dxa"/>
          </w:tcPr>
          <w:p w14:paraId="44258798"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4D7BBC75" w14:textId="77777777" w:rsidTr="008162C8">
        <w:trPr>
          <w:trHeight w:val="1165"/>
        </w:trPr>
        <w:tc>
          <w:tcPr>
            <w:tcW w:w="1063" w:type="dxa"/>
          </w:tcPr>
          <w:p w14:paraId="3102A1DF" w14:textId="77777777" w:rsidR="00AC03B5" w:rsidRPr="009115C7" w:rsidRDefault="00AC03B5" w:rsidP="008162C8">
            <w:pPr>
              <w:jc w:val="center"/>
              <w:rPr>
                <w:rFonts w:cs="Times New Roman"/>
                <w:b/>
                <w:szCs w:val="16"/>
              </w:rPr>
            </w:pPr>
            <w:r w:rsidRPr="009115C7">
              <w:rPr>
                <w:rFonts w:cs="Times New Roman"/>
                <w:b/>
                <w:szCs w:val="16"/>
              </w:rPr>
              <w:t>PGYBOCS</w:t>
            </w:r>
          </w:p>
        </w:tc>
        <w:tc>
          <w:tcPr>
            <w:tcW w:w="849" w:type="dxa"/>
          </w:tcPr>
          <w:p w14:paraId="4D08B437" w14:textId="77777777" w:rsidR="00AC03B5" w:rsidRPr="009115C7" w:rsidRDefault="00AC03B5" w:rsidP="008162C8">
            <w:pPr>
              <w:jc w:val="center"/>
              <w:rPr>
                <w:rFonts w:cs="Times New Roman"/>
                <w:szCs w:val="16"/>
              </w:rPr>
            </w:pPr>
            <w:r>
              <w:rPr>
                <w:rFonts w:cs="Times New Roman"/>
                <w:szCs w:val="16"/>
              </w:rPr>
              <w:t>*</w:t>
            </w:r>
          </w:p>
          <w:p w14:paraId="61F67167" w14:textId="77777777" w:rsidR="00AC03B5" w:rsidRPr="009115C7" w:rsidRDefault="00AC03B5" w:rsidP="008162C8">
            <w:pPr>
              <w:jc w:val="center"/>
              <w:rPr>
                <w:rFonts w:cs="Times New Roman"/>
                <w:szCs w:val="16"/>
              </w:rPr>
            </w:pPr>
            <w:r w:rsidRPr="009115C7">
              <w:rPr>
                <w:rFonts w:cs="Times New Roman"/>
                <w:szCs w:val="16"/>
              </w:rPr>
              <w:t>Recent higher E.S.</w:t>
            </w:r>
          </w:p>
        </w:tc>
        <w:tc>
          <w:tcPr>
            <w:tcW w:w="952" w:type="dxa"/>
          </w:tcPr>
          <w:p w14:paraId="46696AF0" w14:textId="77777777" w:rsidR="00AC03B5" w:rsidRPr="009115C7" w:rsidRDefault="00AC03B5" w:rsidP="008162C8">
            <w:pPr>
              <w:jc w:val="center"/>
              <w:rPr>
                <w:rFonts w:cs="Times New Roman"/>
                <w:szCs w:val="16"/>
              </w:rPr>
            </w:pPr>
            <w:r w:rsidRPr="009115C7">
              <w:rPr>
                <w:rFonts w:cs="Times New Roman"/>
                <w:szCs w:val="16"/>
              </w:rPr>
              <w:t>* MS higher E.S.</w:t>
            </w:r>
          </w:p>
          <w:p w14:paraId="55384FF4" w14:textId="77777777" w:rsidR="00AC03B5" w:rsidRPr="009115C7" w:rsidRDefault="00AC03B5" w:rsidP="008162C8">
            <w:pPr>
              <w:jc w:val="center"/>
              <w:rPr>
                <w:rFonts w:cs="Times New Roman"/>
                <w:szCs w:val="16"/>
              </w:rPr>
            </w:pPr>
            <w:r w:rsidRPr="009115C7">
              <w:rPr>
                <w:rFonts w:cs="Times New Roman"/>
                <w:szCs w:val="16"/>
              </w:rPr>
              <w:t>* supplement higher E.S.</w:t>
            </w:r>
          </w:p>
        </w:tc>
        <w:tc>
          <w:tcPr>
            <w:tcW w:w="900" w:type="dxa"/>
          </w:tcPr>
          <w:p w14:paraId="6C602A84"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404BF2DA"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3CB07A6D"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59556A48" w14:textId="77777777" w:rsidR="00AC03B5" w:rsidRPr="009115C7" w:rsidRDefault="00AC03B5" w:rsidP="008162C8">
            <w:pPr>
              <w:jc w:val="center"/>
              <w:rPr>
                <w:rFonts w:cs="Times New Roman"/>
                <w:szCs w:val="16"/>
              </w:rPr>
            </w:pPr>
            <w:r w:rsidRPr="009115C7">
              <w:rPr>
                <w:rFonts w:cs="Times New Roman"/>
                <w:szCs w:val="16"/>
              </w:rPr>
              <w:t>** 16-weeks, lower E.S. * 17-weeks, lower E.S.</w:t>
            </w:r>
          </w:p>
        </w:tc>
        <w:tc>
          <w:tcPr>
            <w:tcW w:w="745" w:type="dxa"/>
          </w:tcPr>
          <w:p w14:paraId="3CDB3F52"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42190D99" w14:textId="77777777" w:rsidR="00AC03B5" w:rsidRPr="009115C7" w:rsidRDefault="00AC03B5" w:rsidP="008162C8">
            <w:pPr>
              <w:jc w:val="center"/>
              <w:rPr>
                <w:rFonts w:cs="Times New Roman"/>
                <w:szCs w:val="16"/>
              </w:rPr>
            </w:pPr>
            <w:r w:rsidRPr="009115C7">
              <w:rPr>
                <w:rFonts w:cs="Times New Roman"/>
                <w:szCs w:val="16"/>
              </w:rPr>
              <w:t>*** higher baseline higher E.S.</w:t>
            </w:r>
          </w:p>
        </w:tc>
        <w:tc>
          <w:tcPr>
            <w:tcW w:w="745" w:type="dxa"/>
          </w:tcPr>
          <w:p w14:paraId="562B7422" w14:textId="77777777" w:rsidR="00AC03B5" w:rsidRPr="009115C7" w:rsidRDefault="00AC03B5" w:rsidP="008162C8">
            <w:pPr>
              <w:jc w:val="center"/>
              <w:rPr>
                <w:rFonts w:cs="Times New Roman"/>
                <w:szCs w:val="16"/>
              </w:rPr>
            </w:pPr>
            <w:r w:rsidRPr="009115C7">
              <w:rPr>
                <w:rFonts w:cs="Times New Roman"/>
                <w:szCs w:val="16"/>
              </w:rPr>
              <w:t>NA</w:t>
            </w:r>
          </w:p>
        </w:tc>
        <w:tc>
          <w:tcPr>
            <w:tcW w:w="684" w:type="dxa"/>
          </w:tcPr>
          <w:p w14:paraId="5C13161D" w14:textId="77777777" w:rsidR="00AC03B5" w:rsidRPr="009115C7" w:rsidRDefault="00AC03B5" w:rsidP="008162C8">
            <w:pPr>
              <w:jc w:val="center"/>
              <w:rPr>
                <w:rFonts w:cs="Times New Roman"/>
                <w:szCs w:val="16"/>
              </w:rPr>
            </w:pPr>
            <w:r w:rsidRPr="009115C7">
              <w:rPr>
                <w:rFonts w:cs="Times New Roman"/>
                <w:szCs w:val="16"/>
              </w:rPr>
              <w:t>n.s.</w:t>
            </w:r>
          </w:p>
        </w:tc>
        <w:tc>
          <w:tcPr>
            <w:tcW w:w="718" w:type="dxa"/>
          </w:tcPr>
          <w:p w14:paraId="6344479A"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673D3A97" w14:textId="77777777" w:rsidTr="008162C8">
        <w:trPr>
          <w:trHeight w:val="1629"/>
        </w:trPr>
        <w:tc>
          <w:tcPr>
            <w:tcW w:w="1063" w:type="dxa"/>
          </w:tcPr>
          <w:p w14:paraId="1EF9A25B" w14:textId="77777777" w:rsidR="00AC03B5" w:rsidRPr="009115C7" w:rsidRDefault="00AC03B5" w:rsidP="008162C8">
            <w:pPr>
              <w:jc w:val="center"/>
              <w:rPr>
                <w:rFonts w:cs="Times New Roman"/>
                <w:b/>
                <w:szCs w:val="16"/>
              </w:rPr>
            </w:pPr>
            <w:r w:rsidRPr="009115C7">
              <w:rPr>
                <w:rFonts w:cs="Times New Roman"/>
                <w:b/>
                <w:szCs w:val="16"/>
              </w:rPr>
              <w:lastRenderedPageBreak/>
              <w:t>GSAS</w:t>
            </w:r>
          </w:p>
        </w:tc>
        <w:tc>
          <w:tcPr>
            <w:tcW w:w="849" w:type="dxa"/>
          </w:tcPr>
          <w:p w14:paraId="69D64C55" w14:textId="77777777" w:rsidR="00AC03B5" w:rsidRPr="009115C7" w:rsidRDefault="00AC03B5" w:rsidP="008162C8">
            <w:pPr>
              <w:jc w:val="center"/>
              <w:rPr>
                <w:rFonts w:cs="Times New Roman"/>
                <w:szCs w:val="16"/>
              </w:rPr>
            </w:pPr>
            <w:r>
              <w:rPr>
                <w:rFonts w:cs="Times New Roman"/>
                <w:szCs w:val="16"/>
              </w:rPr>
              <w:t>*</w:t>
            </w:r>
          </w:p>
          <w:p w14:paraId="5D3B3976" w14:textId="77777777" w:rsidR="00AC03B5" w:rsidRPr="009115C7" w:rsidRDefault="00AC03B5" w:rsidP="008162C8">
            <w:pPr>
              <w:jc w:val="center"/>
              <w:rPr>
                <w:rFonts w:cs="Times New Roman"/>
                <w:szCs w:val="16"/>
              </w:rPr>
            </w:pPr>
            <w:r w:rsidRPr="009115C7">
              <w:rPr>
                <w:rFonts w:cs="Times New Roman"/>
                <w:szCs w:val="16"/>
              </w:rPr>
              <w:t>Recent higher E.S.</w:t>
            </w:r>
          </w:p>
        </w:tc>
        <w:tc>
          <w:tcPr>
            <w:tcW w:w="952" w:type="dxa"/>
          </w:tcPr>
          <w:p w14:paraId="441842E0" w14:textId="77777777" w:rsidR="00AC03B5" w:rsidRPr="009115C7" w:rsidRDefault="00AC03B5" w:rsidP="008162C8">
            <w:pPr>
              <w:jc w:val="center"/>
              <w:rPr>
                <w:rFonts w:cs="Times New Roman"/>
                <w:szCs w:val="16"/>
              </w:rPr>
            </w:pPr>
            <w:r w:rsidRPr="009115C7">
              <w:rPr>
                <w:rFonts w:cs="Times New Roman"/>
                <w:szCs w:val="16"/>
              </w:rPr>
              <w:t>* supplement higher E.S.</w:t>
            </w:r>
          </w:p>
        </w:tc>
        <w:tc>
          <w:tcPr>
            <w:tcW w:w="900" w:type="dxa"/>
          </w:tcPr>
          <w:p w14:paraId="71CA7180"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7E712B70"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569C7646"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4B724EBE" w14:textId="77777777" w:rsidR="00AC03B5" w:rsidRPr="009115C7" w:rsidRDefault="00AC03B5" w:rsidP="008162C8">
            <w:pPr>
              <w:jc w:val="center"/>
              <w:rPr>
                <w:rFonts w:cs="Times New Roman"/>
                <w:szCs w:val="16"/>
              </w:rPr>
            </w:pPr>
            <w:r w:rsidRPr="009115C7">
              <w:rPr>
                <w:rFonts w:cs="Times New Roman"/>
                <w:szCs w:val="16"/>
              </w:rPr>
              <w:t>** 11-week (the shortest) duration higher E.S.</w:t>
            </w:r>
          </w:p>
        </w:tc>
        <w:tc>
          <w:tcPr>
            <w:tcW w:w="745" w:type="dxa"/>
          </w:tcPr>
          <w:p w14:paraId="7B43BDC4" w14:textId="77777777" w:rsidR="00AC03B5" w:rsidRPr="009115C7" w:rsidRDefault="00AC03B5" w:rsidP="008162C8">
            <w:pPr>
              <w:jc w:val="center"/>
              <w:rPr>
                <w:rFonts w:cs="Times New Roman"/>
                <w:szCs w:val="16"/>
              </w:rPr>
            </w:pPr>
            <w:r w:rsidRPr="009115C7">
              <w:rPr>
                <w:rFonts w:cs="Times New Roman"/>
                <w:szCs w:val="16"/>
              </w:rPr>
              <w:t>NA</w:t>
            </w:r>
          </w:p>
        </w:tc>
        <w:tc>
          <w:tcPr>
            <w:tcW w:w="745" w:type="dxa"/>
          </w:tcPr>
          <w:p w14:paraId="70D3F3DF" w14:textId="77777777" w:rsidR="00AC03B5" w:rsidRPr="009115C7" w:rsidRDefault="00AC03B5" w:rsidP="008162C8">
            <w:pPr>
              <w:jc w:val="center"/>
              <w:rPr>
                <w:rFonts w:cs="Times New Roman"/>
                <w:szCs w:val="16"/>
              </w:rPr>
            </w:pPr>
            <w:r w:rsidRPr="009115C7">
              <w:rPr>
                <w:rFonts w:cs="Times New Roman"/>
                <w:szCs w:val="16"/>
              </w:rPr>
              <w:t>* higher baseline higher E.S.</w:t>
            </w:r>
          </w:p>
        </w:tc>
        <w:tc>
          <w:tcPr>
            <w:tcW w:w="745" w:type="dxa"/>
          </w:tcPr>
          <w:p w14:paraId="0E3FB2F7" w14:textId="77777777" w:rsidR="00AC03B5" w:rsidRPr="009115C7" w:rsidRDefault="00AC03B5" w:rsidP="008162C8">
            <w:pPr>
              <w:jc w:val="center"/>
              <w:rPr>
                <w:rFonts w:cs="Times New Roman"/>
                <w:szCs w:val="16"/>
              </w:rPr>
            </w:pPr>
            <w:r w:rsidRPr="009115C7">
              <w:rPr>
                <w:rFonts w:cs="Times New Roman"/>
                <w:szCs w:val="16"/>
              </w:rPr>
              <w:t>NA</w:t>
            </w:r>
          </w:p>
        </w:tc>
        <w:tc>
          <w:tcPr>
            <w:tcW w:w="684" w:type="dxa"/>
          </w:tcPr>
          <w:p w14:paraId="3CC1786F" w14:textId="77777777" w:rsidR="00AC03B5" w:rsidRPr="009115C7" w:rsidRDefault="00AC03B5" w:rsidP="008162C8">
            <w:pPr>
              <w:jc w:val="center"/>
              <w:rPr>
                <w:rFonts w:cs="Times New Roman"/>
                <w:szCs w:val="16"/>
              </w:rPr>
            </w:pPr>
            <w:r w:rsidRPr="009115C7">
              <w:rPr>
                <w:rFonts w:cs="Times New Roman"/>
                <w:szCs w:val="16"/>
              </w:rPr>
              <w:t>n.s.</w:t>
            </w:r>
          </w:p>
        </w:tc>
        <w:tc>
          <w:tcPr>
            <w:tcW w:w="718" w:type="dxa"/>
          </w:tcPr>
          <w:p w14:paraId="653617D5"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4BFEC75E" w14:textId="77777777" w:rsidTr="008162C8">
        <w:trPr>
          <w:trHeight w:val="232"/>
        </w:trPr>
        <w:tc>
          <w:tcPr>
            <w:tcW w:w="1063" w:type="dxa"/>
          </w:tcPr>
          <w:p w14:paraId="32FDA87E" w14:textId="77777777" w:rsidR="00AC03B5" w:rsidRPr="009115C7" w:rsidRDefault="00AC03B5" w:rsidP="008162C8">
            <w:pPr>
              <w:jc w:val="center"/>
              <w:rPr>
                <w:rFonts w:cs="Times New Roman"/>
                <w:b/>
                <w:szCs w:val="16"/>
              </w:rPr>
            </w:pPr>
            <w:r w:rsidRPr="009115C7">
              <w:rPr>
                <w:rFonts w:cs="Times New Roman"/>
                <w:b/>
                <w:szCs w:val="16"/>
              </w:rPr>
              <w:t>CGI</w:t>
            </w:r>
          </w:p>
        </w:tc>
        <w:tc>
          <w:tcPr>
            <w:tcW w:w="849" w:type="dxa"/>
          </w:tcPr>
          <w:p w14:paraId="4835CA5B"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52A0E411" w14:textId="77777777" w:rsidR="00AC03B5" w:rsidRPr="009115C7" w:rsidRDefault="00AC03B5" w:rsidP="008162C8">
            <w:pPr>
              <w:jc w:val="center"/>
              <w:rPr>
                <w:rFonts w:cs="Times New Roman"/>
                <w:szCs w:val="16"/>
              </w:rPr>
            </w:pPr>
            <w:r w:rsidRPr="009115C7">
              <w:rPr>
                <w:rFonts w:cs="Times New Roman"/>
                <w:szCs w:val="16"/>
              </w:rPr>
              <w:t>n.s.</w:t>
            </w:r>
          </w:p>
        </w:tc>
        <w:tc>
          <w:tcPr>
            <w:tcW w:w="900" w:type="dxa"/>
          </w:tcPr>
          <w:p w14:paraId="015A464F"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7F47E7E9"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0498E417"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7872EA8B"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6B9CCC6E"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795B9490"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495F5B36" w14:textId="77777777" w:rsidR="00AC03B5" w:rsidRPr="009115C7" w:rsidRDefault="00AC03B5" w:rsidP="008162C8">
            <w:pPr>
              <w:jc w:val="center"/>
              <w:rPr>
                <w:rFonts w:cs="Times New Roman"/>
                <w:szCs w:val="16"/>
              </w:rPr>
            </w:pPr>
            <w:r w:rsidRPr="009115C7">
              <w:rPr>
                <w:rFonts w:cs="Times New Roman"/>
                <w:szCs w:val="16"/>
              </w:rPr>
              <w:t>NA</w:t>
            </w:r>
          </w:p>
        </w:tc>
        <w:tc>
          <w:tcPr>
            <w:tcW w:w="684" w:type="dxa"/>
          </w:tcPr>
          <w:p w14:paraId="6A3B0D0B" w14:textId="77777777" w:rsidR="00AC03B5" w:rsidRPr="009115C7" w:rsidRDefault="00AC03B5" w:rsidP="008162C8">
            <w:pPr>
              <w:jc w:val="center"/>
              <w:rPr>
                <w:rFonts w:cs="Times New Roman"/>
                <w:szCs w:val="16"/>
              </w:rPr>
            </w:pPr>
            <w:r w:rsidRPr="009115C7">
              <w:rPr>
                <w:rFonts w:cs="Times New Roman"/>
                <w:szCs w:val="16"/>
              </w:rPr>
              <w:t>n.s.</w:t>
            </w:r>
          </w:p>
        </w:tc>
        <w:tc>
          <w:tcPr>
            <w:tcW w:w="718" w:type="dxa"/>
          </w:tcPr>
          <w:p w14:paraId="76704472"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5A8A2DA9" w14:textId="77777777" w:rsidTr="008162C8">
        <w:trPr>
          <w:trHeight w:val="699"/>
        </w:trPr>
        <w:tc>
          <w:tcPr>
            <w:tcW w:w="1063" w:type="dxa"/>
          </w:tcPr>
          <w:p w14:paraId="08334807" w14:textId="77777777" w:rsidR="00AC03B5" w:rsidRPr="009115C7" w:rsidRDefault="00AC03B5" w:rsidP="008162C8">
            <w:pPr>
              <w:jc w:val="center"/>
              <w:rPr>
                <w:rFonts w:cs="Times New Roman"/>
                <w:b/>
                <w:szCs w:val="16"/>
              </w:rPr>
            </w:pPr>
            <w:r w:rsidRPr="009115C7">
              <w:rPr>
                <w:rFonts w:cs="Times New Roman"/>
                <w:b/>
                <w:szCs w:val="16"/>
              </w:rPr>
              <w:t>QoL</w:t>
            </w:r>
          </w:p>
        </w:tc>
        <w:tc>
          <w:tcPr>
            <w:tcW w:w="849" w:type="dxa"/>
          </w:tcPr>
          <w:p w14:paraId="325EF715"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00399F7F" w14:textId="77777777" w:rsidR="00AC03B5" w:rsidRPr="009115C7" w:rsidRDefault="00AC03B5" w:rsidP="008162C8">
            <w:pPr>
              <w:jc w:val="center"/>
              <w:rPr>
                <w:rFonts w:cs="Times New Roman"/>
                <w:szCs w:val="16"/>
              </w:rPr>
            </w:pPr>
            <w:r>
              <w:rPr>
                <w:rFonts w:cs="Times New Roman"/>
                <w:szCs w:val="16"/>
              </w:rPr>
              <w:t>n.s.</w:t>
            </w:r>
          </w:p>
        </w:tc>
        <w:tc>
          <w:tcPr>
            <w:tcW w:w="900" w:type="dxa"/>
          </w:tcPr>
          <w:p w14:paraId="3DA88DD3"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0655A476" w14:textId="77777777" w:rsidR="00AC03B5" w:rsidRPr="009115C7" w:rsidRDefault="00AC03B5" w:rsidP="008162C8">
            <w:pPr>
              <w:jc w:val="center"/>
              <w:rPr>
                <w:rFonts w:cs="Times New Roman"/>
                <w:szCs w:val="16"/>
              </w:rPr>
            </w:pPr>
            <w:r w:rsidRPr="009115C7">
              <w:rPr>
                <w:rFonts w:cs="Times New Roman"/>
                <w:szCs w:val="16"/>
              </w:rPr>
              <w:t>* higher age higher E.S.</w:t>
            </w:r>
          </w:p>
        </w:tc>
        <w:tc>
          <w:tcPr>
            <w:tcW w:w="814" w:type="dxa"/>
          </w:tcPr>
          <w:p w14:paraId="1E92E556"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0474DD00"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124F0ACA" w14:textId="77777777" w:rsidR="00AC03B5" w:rsidRPr="009115C7" w:rsidRDefault="00AC03B5" w:rsidP="008162C8">
            <w:pPr>
              <w:jc w:val="center"/>
              <w:rPr>
                <w:rFonts w:cs="Times New Roman"/>
                <w:szCs w:val="16"/>
              </w:rPr>
            </w:pPr>
            <w:r w:rsidRPr="009115C7">
              <w:rPr>
                <w:rFonts w:cs="Times New Roman"/>
                <w:szCs w:val="16"/>
              </w:rPr>
              <w:t>NA</w:t>
            </w:r>
          </w:p>
        </w:tc>
        <w:tc>
          <w:tcPr>
            <w:tcW w:w="745" w:type="dxa"/>
          </w:tcPr>
          <w:p w14:paraId="7D5DAD4A" w14:textId="77777777" w:rsidR="00AC03B5" w:rsidRPr="009115C7" w:rsidRDefault="00AC03B5" w:rsidP="008162C8">
            <w:pPr>
              <w:jc w:val="center"/>
              <w:rPr>
                <w:rFonts w:cs="Times New Roman"/>
                <w:szCs w:val="16"/>
              </w:rPr>
            </w:pPr>
            <w:r w:rsidRPr="009115C7">
              <w:rPr>
                <w:rFonts w:cs="Times New Roman"/>
                <w:szCs w:val="16"/>
              </w:rPr>
              <w:t>NA</w:t>
            </w:r>
          </w:p>
        </w:tc>
        <w:tc>
          <w:tcPr>
            <w:tcW w:w="745" w:type="dxa"/>
          </w:tcPr>
          <w:p w14:paraId="0DCDDBC8" w14:textId="77777777" w:rsidR="00AC03B5" w:rsidRPr="009115C7" w:rsidRDefault="00AC03B5" w:rsidP="008162C8">
            <w:pPr>
              <w:jc w:val="center"/>
              <w:rPr>
                <w:rFonts w:cs="Times New Roman"/>
                <w:szCs w:val="16"/>
              </w:rPr>
            </w:pPr>
            <w:r w:rsidRPr="009115C7">
              <w:rPr>
                <w:rFonts w:cs="Times New Roman"/>
                <w:szCs w:val="16"/>
              </w:rPr>
              <w:t>n.s.</w:t>
            </w:r>
          </w:p>
        </w:tc>
        <w:tc>
          <w:tcPr>
            <w:tcW w:w="684" w:type="dxa"/>
          </w:tcPr>
          <w:p w14:paraId="2D7550B6" w14:textId="77777777" w:rsidR="00AC03B5" w:rsidRPr="009115C7" w:rsidRDefault="00AC03B5" w:rsidP="008162C8">
            <w:pPr>
              <w:jc w:val="center"/>
              <w:rPr>
                <w:rFonts w:cs="Times New Roman"/>
                <w:szCs w:val="16"/>
              </w:rPr>
            </w:pPr>
            <w:r>
              <w:rPr>
                <w:rFonts w:cs="Times New Roman"/>
                <w:szCs w:val="16"/>
              </w:rPr>
              <w:t>*</w:t>
            </w:r>
          </w:p>
          <w:p w14:paraId="08A633C8" w14:textId="77777777" w:rsidR="00AC03B5" w:rsidRPr="009115C7" w:rsidRDefault="00AC03B5" w:rsidP="008162C8">
            <w:pPr>
              <w:jc w:val="center"/>
              <w:rPr>
                <w:rFonts w:cs="Times New Roman"/>
                <w:szCs w:val="16"/>
              </w:rPr>
            </w:pPr>
            <w:r w:rsidRPr="009115C7">
              <w:rPr>
                <w:rFonts w:cs="Times New Roman"/>
                <w:szCs w:val="16"/>
              </w:rPr>
              <w:t>Presence of COI lower E.S.</w:t>
            </w:r>
          </w:p>
        </w:tc>
        <w:tc>
          <w:tcPr>
            <w:tcW w:w="718" w:type="dxa"/>
          </w:tcPr>
          <w:p w14:paraId="6B1D3514" w14:textId="77777777" w:rsidR="00AC03B5" w:rsidRPr="009115C7" w:rsidRDefault="00AC03B5" w:rsidP="008162C8">
            <w:pPr>
              <w:jc w:val="center"/>
              <w:rPr>
                <w:rFonts w:cs="Times New Roman"/>
                <w:szCs w:val="16"/>
              </w:rPr>
            </w:pPr>
            <w:r w:rsidRPr="009115C7">
              <w:rPr>
                <w:rFonts w:cs="Times New Roman"/>
                <w:szCs w:val="16"/>
              </w:rPr>
              <w:t>n.s.</w:t>
            </w:r>
          </w:p>
        </w:tc>
      </w:tr>
    </w:tbl>
    <w:p w14:paraId="02068DBB" w14:textId="77777777" w:rsidR="00AC03B5" w:rsidRDefault="00AC03B5" w:rsidP="00AC03B5">
      <w:r w:rsidRPr="006126E4">
        <w:rPr>
          <w:b/>
        </w:rPr>
        <w:t>Legend</w:t>
      </w:r>
      <w:r>
        <w:t xml:space="preserve">: PGYBOCS=Problematic Gambling Yale-Brown Obsessive Compulsive Scale (clinician rated, structured); GSAS = Gambling Symptom Assessment Scale (self-reported); CGI = Clinical Global Improvement (clinician scored – unstructured); QoL = Quality of life; E.S = effect size; n.s.= non-significant statistically; ORAs = Opiate receptor antagonists; MS = mood stabilizers; AP = antipsychotics; AD = antidepressants; </w:t>
      </w:r>
      <w:r w:rsidRPr="009515E0">
        <w:t>statistical significance: n.s. = non-significant; ‘.’ &lt;.10 (trend); ‘*’ &lt;.05; ‘**’ &lt;0.01; ‘***’ &lt;0.001; NA = not available/not applicable</w:t>
      </w:r>
    </w:p>
    <w:p w14:paraId="5077F089" w14:textId="77777777" w:rsidR="00AC03B5" w:rsidRDefault="00AC03B5" w:rsidP="00AC03B5"/>
    <w:p w14:paraId="24539B0E" w14:textId="77777777" w:rsidR="00AC03B5" w:rsidRDefault="00AC03B5" w:rsidP="00AC03B5">
      <w:pPr>
        <w:rPr>
          <w:rFonts w:eastAsiaTheme="majorEastAsia" w:cs="Times New Roman"/>
          <w:b/>
          <w:sz w:val="26"/>
          <w:szCs w:val="26"/>
        </w:rPr>
      </w:pPr>
      <w:r>
        <w:rPr>
          <w:rFonts w:cs="Times New Roman"/>
        </w:rPr>
        <w:br w:type="page"/>
      </w:r>
    </w:p>
    <w:p w14:paraId="3670260D" w14:textId="77777777" w:rsidR="00AC03B5" w:rsidRDefault="00AC03B5" w:rsidP="00AC03B5">
      <w:pPr>
        <w:pStyle w:val="Heading2"/>
      </w:pPr>
      <w:r>
        <w:rPr>
          <w:rFonts w:cs="Times New Roman"/>
        </w:rPr>
        <w:lastRenderedPageBreak/>
        <w:t xml:space="preserve">§S5 </w:t>
      </w:r>
      <w:r>
        <w:t>Correlation between effect sizes (Pearson)</w:t>
      </w:r>
    </w:p>
    <w:tbl>
      <w:tblPr>
        <w:tblStyle w:val="TableGrid"/>
        <w:tblW w:w="0" w:type="auto"/>
        <w:tblLook w:val="04A0" w:firstRow="1" w:lastRow="0" w:firstColumn="1" w:lastColumn="0" w:noHBand="0" w:noVBand="1"/>
      </w:tblPr>
      <w:tblGrid>
        <w:gridCol w:w="1563"/>
        <w:gridCol w:w="1508"/>
        <w:gridCol w:w="1343"/>
        <w:gridCol w:w="1582"/>
        <w:gridCol w:w="1454"/>
        <w:gridCol w:w="1455"/>
      </w:tblGrid>
      <w:tr w:rsidR="00AC03B5" w14:paraId="4E367187" w14:textId="77777777" w:rsidTr="008162C8">
        <w:trPr>
          <w:trHeight w:val="1237"/>
        </w:trPr>
        <w:tc>
          <w:tcPr>
            <w:tcW w:w="1563" w:type="dxa"/>
            <w:shd w:val="clear" w:color="auto" w:fill="DBDBDB" w:themeFill="accent3" w:themeFillTint="66"/>
            <w:vAlign w:val="center"/>
          </w:tcPr>
          <w:p w14:paraId="0770A2E2" w14:textId="77777777" w:rsidR="00AC03B5" w:rsidRPr="00D30D35" w:rsidRDefault="00AC03B5" w:rsidP="008162C8">
            <w:pPr>
              <w:jc w:val="center"/>
              <w:rPr>
                <w:b/>
              </w:rPr>
            </w:pPr>
          </w:p>
        </w:tc>
        <w:tc>
          <w:tcPr>
            <w:tcW w:w="1508" w:type="dxa"/>
            <w:shd w:val="clear" w:color="auto" w:fill="DBDBDB" w:themeFill="accent3" w:themeFillTint="66"/>
            <w:vAlign w:val="center"/>
          </w:tcPr>
          <w:p w14:paraId="072569A2" w14:textId="77777777" w:rsidR="00AC03B5" w:rsidRPr="00D30D35" w:rsidRDefault="00AC03B5" w:rsidP="008162C8">
            <w:pPr>
              <w:jc w:val="center"/>
              <w:rPr>
                <w:b/>
              </w:rPr>
            </w:pPr>
            <w:r w:rsidRPr="00D30D35">
              <w:rPr>
                <w:b/>
              </w:rPr>
              <w:t>Placebo gambling severity</w:t>
            </w:r>
          </w:p>
        </w:tc>
        <w:tc>
          <w:tcPr>
            <w:tcW w:w="1343" w:type="dxa"/>
            <w:shd w:val="clear" w:color="auto" w:fill="DBDBDB" w:themeFill="accent3" w:themeFillTint="66"/>
            <w:vAlign w:val="center"/>
          </w:tcPr>
          <w:p w14:paraId="415221CD" w14:textId="77777777" w:rsidR="00AC03B5" w:rsidRPr="00D30D35" w:rsidRDefault="00AC03B5" w:rsidP="008162C8">
            <w:pPr>
              <w:jc w:val="center"/>
              <w:rPr>
                <w:b/>
              </w:rPr>
            </w:pPr>
            <w:r w:rsidRPr="00D30D35">
              <w:rPr>
                <w:b/>
              </w:rPr>
              <w:t>Placebo QOL</w:t>
            </w:r>
          </w:p>
        </w:tc>
        <w:tc>
          <w:tcPr>
            <w:tcW w:w="1582" w:type="dxa"/>
            <w:shd w:val="clear" w:color="auto" w:fill="DBDBDB" w:themeFill="accent3" w:themeFillTint="66"/>
            <w:vAlign w:val="center"/>
          </w:tcPr>
          <w:p w14:paraId="06E786EC" w14:textId="77777777" w:rsidR="00AC03B5" w:rsidRPr="00D30D35" w:rsidRDefault="00AC03B5" w:rsidP="008162C8">
            <w:pPr>
              <w:jc w:val="center"/>
              <w:rPr>
                <w:b/>
              </w:rPr>
            </w:pPr>
            <w:r w:rsidRPr="00D30D35">
              <w:rPr>
                <w:b/>
              </w:rPr>
              <w:t>Placebo PGYBOCS</w:t>
            </w:r>
          </w:p>
        </w:tc>
        <w:tc>
          <w:tcPr>
            <w:tcW w:w="1454" w:type="dxa"/>
            <w:shd w:val="clear" w:color="auto" w:fill="DBDBDB" w:themeFill="accent3" w:themeFillTint="66"/>
            <w:vAlign w:val="center"/>
          </w:tcPr>
          <w:p w14:paraId="7B2FD037" w14:textId="77777777" w:rsidR="00AC03B5" w:rsidRPr="00D30D35" w:rsidRDefault="00AC03B5" w:rsidP="008162C8">
            <w:pPr>
              <w:jc w:val="center"/>
              <w:rPr>
                <w:b/>
              </w:rPr>
            </w:pPr>
            <w:r w:rsidRPr="00D30D35">
              <w:rPr>
                <w:b/>
              </w:rPr>
              <w:t>Placebo GSAS</w:t>
            </w:r>
          </w:p>
        </w:tc>
        <w:tc>
          <w:tcPr>
            <w:tcW w:w="1455" w:type="dxa"/>
            <w:shd w:val="clear" w:color="auto" w:fill="DBDBDB" w:themeFill="accent3" w:themeFillTint="66"/>
            <w:vAlign w:val="center"/>
          </w:tcPr>
          <w:p w14:paraId="7453CEEE" w14:textId="77777777" w:rsidR="00AC03B5" w:rsidRPr="00D30D35" w:rsidRDefault="00AC03B5" w:rsidP="008162C8">
            <w:pPr>
              <w:jc w:val="center"/>
              <w:rPr>
                <w:b/>
              </w:rPr>
            </w:pPr>
            <w:r w:rsidRPr="00D30D35">
              <w:rPr>
                <w:b/>
              </w:rPr>
              <w:t>Placebo CGI</w:t>
            </w:r>
          </w:p>
        </w:tc>
      </w:tr>
      <w:tr w:rsidR="00AC03B5" w14:paraId="68DBA572" w14:textId="77777777" w:rsidTr="008162C8">
        <w:trPr>
          <w:trHeight w:val="1237"/>
        </w:trPr>
        <w:tc>
          <w:tcPr>
            <w:tcW w:w="1563" w:type="dxa"/>
            <w:shd w:val="clear" w:color="auto" w:fill="DBDBDB" w:themeFill="accent3" w:themeFillTint="66"/>
            <w:vAlign w:val="center"/>
          </w:tcPr>
          <w:p w14:paraId="19AE25A2" w14:textId="77777777" w:rsidR="00AC03B5" w:rsidRPr="00D30D35" w:rsidRDefault="00AC03B5" w:rsidP="008162C8">
            <w:pPr>
              <w:jc w:val="center"/>
              <w:rPr>
                <w:b/>
              </w:rPr>
            </w:pPr>
            <w:r w:rsidRPr="00D30D35">
              <w:rPr>
                <w:b/>
              </w:rPr>
              <w:t>Treatment gambling severity</w:t>
            </w:r>
          </w:p>
        </w:tc>
        <w:tc>
          <w:tcPr>
            <w:tcW w:w="1508" w:type="dxa"/>
            <w:vAlign w:val="center"/>
          </w:tcPr>
          <w:p w14:paraId="48E6664F" w14:textId="77777777" w:rsidR="00AC03B5" w:rsidRDefault="00AC03B5" w:rsidP="008162C8">
            <w:pPr>
              <w:jc w:val="center"/>
            </w:pPr>
            <w:r>
              <w:t>r=0.669</w:t>
            </w:r>
          </w:p>
          <w:p w14:paraId="49EFAFDA" w14:textId="77777777" w:rsidR="00AC03B5" w:rsidRDefault="00AC03B5" w:rsidP="008162C8">
            <w:pPr>
              <w:jc w:val="center"/>
            </w:pPr>
            <w:r>
              <w:t>**</w:t>
            </w:r>
          </w:p>
          <w:p w14:paraId="0B3A1F28" w14:textId="77777777" w:rsidR="00AC03B5" w:rsidRDefault="00AC03B5" w:rsidP="008162C8">
            <w:pPr>
              <w:jc w:val="center"/>
            </w:pPr>
          </w:p>
        </w:tc>
        <w:tc>
          <w:tcPr>
            <w:tcW w:w="1343" w:type="dxa"/>
            <w:shd w:val="clear" w:color="auto" w:fill="EDEDED" w:themeFill="accent3" w:themeFillTint="33"/>
            <w:vAlign w:val="center"/>
          </w:tcPr>
          <w:p w14:paraId="4FC9F6A8" w14:textId="77777777" w:rsidR="00AC03B5" w:rsidRDefault="00AC03B5" w:rsidP="008162C8">
            <w:pPr>
              <w:jc w:val="center"/>
            </w:pPr>
          </w:p>
        </w:tc>
        <w:tc>
          <w:tcPr>
            <w:tcW w:w="1582" w:type="dxa"/>
            <w:shd w:val="clear" w:color="auto" w:fill="EDEDED" w:themeFill="accent3" w:themeFillTint="33"/>
            <w:vAlign w:val="center"/>
          </w:tcPr>
          <w:p w14:paraId="12085C8E" w14:textId="77777777" w:rsidR="00AC03B5" w:rsidRDefault="00AC03B5" w:rsidP="008162C8">
            <w:pPr>
              <w:jc w:val="center"/>
            </w:pPr>
          </w:p>
        </w:tc>
        <w:tc>
          <w:tcPr>
            <w:tcW w:w="1454" w:type="dxa"/>
            <w:shd w:val="clear" w:color="auto" w:fill="EDEDED" w:themeFill="accent3" w:themeFillTint="33"/>
            <w:vAlign w:val="center"/>
          </w:tcPr>
          <w:p w14:paraId="65D37F09" w14:textId="77777777" w:rsidR="00AC03B5" w:rsidRDefault="00AC03B5" w:rsidP="008162C8">
            <w:pPr>
              <w:jc w:val="center"/>
            </w:pPr>
          </w:p>
        </w:tc>
        <w:tc>
          <w:tcPr>
            <w:tcW w:w="1455" w:type="dxa"/>
            <w:shd w:val="clear" w:color="auto" w:fill="EDEDED" w:themeFill="accent3" w:themeFillTint="33"/>
            <w:vAlign w:val="center"/>
          </w:tcPr>
          <w:p w14:paraId="7DBD7919" w14:textId="77777777" w:rsidR="00AC03B5" w:rsidRDefault="00AC03B5" w:rsidP="008162C8">
            <w:pPr>
              <w:jc w:val="center"/>
            </w:pPr>
          </w:p>
        </w:tc>
      </w:tr>
      <w:tr w:rsidR="00AC03B5" w14:paraId="628EA538" w14:textId="77777777" w:rsidTr="008162C8">
        <w:trPr>
          <w:trHeight w:val="416"/>
        </w:trPr>
        <w:tc>
          <w:tcPr>
            <w:tcW w:w="1563" w:type="dxa"/>
            <w:shd w:val="clear" w:color="auto" w:fill="DBDBDB" w:themeFill="accent3" w:themeFillTint="66"/>
            <w:vAlign w:val="center"/>
          </w:tcPr>
          <w:p w14:paraId="4D66FFDF" w14:textId="77777777" w:rsidR="00AC03B5" w:rsidRDefault="00AC03B5" w:rsidP="008162C8">
            <w:pPr>
              <w:jc w:val="center"/>
              <w:rPr>
                <w:b/>
              </w:rPr>
            </w:pPr>
          </w:p>
          <w:p w14:paraId="0372F8B7" w14:textId="77777777" w:rsidR="00AC03B5" w:rsidRDefault="00AC03B5" w:rsidP="008162C8">
            <w:pPr>
              <w:jc w:val="center"/>
              <w:rPr>
                <w:b/>
              </w:rPr>
            </w:pPr>
          </w:p>
          <w:p w14:paraId="6CBC2AC4" w14:textId="77777777" w:rsidR="00AC03B5" w:rsidRDefault="00AC03B5" w:rsidP="008162C8">
            <w:pPr>
              <w:jc w:val="center"/>
              <w:rPr>
                <w:b/>
              </w:rPr>
            </w:pPr>
            <w:r w:rsidRPr="00D30D35">
              <w:rPr>
                <w:b/>
              </w:rPr>
              <w:t>Treatment QOL</w:t>
            </w:r>
          </w:p>
          <w:p w14:paraId="09C19A71" w14:textId="77777777" w:rsidR="00AC03B5" w:rsidRDefault="00AC03B5" w:rsidP="008162C8">
            <w:pPr>
              <w:jc w:val="center"/>
              <w:rPr>
                <w:b/>
              </w:rPr>
            </w:pPr>
          </w:p>
          <w:p w14:paraId="634E90A1" w14:textId="77777777" w:rsidR="00AC03B5" w:rsidRPr="00D30D35" w:rsidRDefault="00AC03B5" w:rsidP="008162C8">
            <w:pPr>
              <w:jc w:val="center"/>
              <w:rPr>
                <w:b/>
              </w:rPr>
            </w:pPr>
          </w:p>
        </w:tc>
        <w:tc>
          <w:tcPr>
            <w:tcW w:w="1508" w:type="dxa"/>
            <w:shd w:val="clear" w:color="auto" w:fill="EDEDED" w:themeFill="accent3" w:themeFillTint="33"/>
            <w:vAlign w:val="center"/>
          </w:tcPr>
          <w:p w14:paraId="580F5770" w14:textId="77777777" w:rsidR="00AC03B5" w:rsidRDefault="00AC03B5" w:rsidP="008162C8">
            <w:pPr>
              <w:jc w:val="center"/>
            </w:pPr>
          </w:p>
        </w:tc>
        <w:tc>
          <w:tcPr>
            <w:tcW w:w="1343" w:type="dxa"/>
            <w:vAlign w:val="center"/>
          </w:tcPr>
          <w:p w14:paraId="5F9A538E" w14:textId="77777777" w:rsidR="00AC03B5" w:rsidRDefault="00AC03B5" w:rsidP="008162C8">
            <w:pPr>
              <w:jc w:val="center"/>
            </w:pPr>
            <w:r>
              <w:t>r=0.198</w:t>
            </w:r>
          </w:p>
          <w:p w14:paraId="3E844FB2" w14:textId="77777777" w:rsidR="00AC03B5" w:rsidRDefault="00AC03B5" w:rsidP="008162C8">
            <w:pPr>
              <w:jc w:val="center"/>
            </w:pPr>
            <w:r>
              <w:t>n.s.</w:t>
            </w:r>
          </w:p>
        </w:tc>
        <w:tc>
          <w:tcPr>
            <w:tcW w:w="1582" w:type="dxa"/>
            <w:shd w:val="clear" w:color="auto" w:fill="EDEDED" w:themeFill="accent3" w:themeFillTint="33"/>
            <w:vAlign w:val="center"/>
          </w:tcPr>
          <w:p w14:paraId="74F222B9" w14:textId="77777777" w:rsidR="00AC03B5" w:rsidRDefault="00AC03B5" w:rsidP="008162C8">
            <w:pPr>
              <w:jc w:val="center"/>
            </w:pPr>
          </w:p>
        </w:tc>
        <w:tc>
          <w:tcPr>
            <w:tcW w:w="1454" w:type="dxa"/>
            <w:shd w:val="clear" w:color="auto" w:fill="EDEDED" w:themeFill="accent3" w:themeFillTint="33"/>
            <w:vAlign w:val="center"/>
          </w:tcPr>
          <w:p w14:paraId="082B02DB" w14:textId="77777777" w:rsidR="00AC03B5" w:rsidRDefault="00AC03B5" w:rsidP="008162C8">
            <w:pPr>
              <w:jc w:val="center"/>
            </w:pPr>
          </w:p>
        </w:tc>
        <w:tc>
          <w:tcPr>
            <w:tcW w:w="1455" w:type="dxa"/>
            <w:shd w:val="clear" w:color="auto" w:fill="EDEDED" w:themeFill="accent3" w:themeFillTint="33"/>
            <w:vAlign w:val="center"/>
          </w:tcPr>
          <w:p w14:paraId="7519318B" w14:textId="77777777" w:rsidR="00AC03B5" w:rsidRDefault="00AC03B5" w:rsidP="008162C8">
            <w:pPr>
              <w:jc w:val="center"/>
            </w:pPr>
          </w:p>
        </w:tc>
      </w:tr>
      <w:tr w:rsidR="00AC03B5" w14:paraId="3596086B" w14:textId="77777777" w:rsidTr="008162C8">
        <w:trPr>
          <w:trHeight w:val="831"/>
        </w:trPr>
        <w:tc>
          <w:tcPr>
            <w:tcW w:w="1563" w:type="dxa"/>
            <w:shd w:val="clear" w:color="auto" w:fill="DBDBDB" w:themeFill="accent3" w:themeFillTint="66"/>
            <w:vAlign w:val="center"/>
          </w:tcPr>
          <w:p w14:paraId="15653BC6" w14:textId="77777777" w:rsidR="00AC03B5" w:rsidRPr="00D30D35" w:rsidRDefault="00AC03B5" w:rsidP="008162C8">
            <w:pPr>
              <w:jc w:val="center"/>
              <w:rPr>
                <w:b/>
              </w:rPr>
            </w:pPr>
            <w:r w:rsidRPr="00D30D35">
              <w:rPr>
                <w:b/>
              </w:rPr>
              <w:t>Treatment PGYBOCS</w:t>
            </w:r>
          </w:p>
        </w:tc>
        <w:tc>
          <w:tcPr>
            <w:tcW w:w="1508" w:type="dxa"/>
            <w:shd w:val="clear" w:color="auto" w:fill="EDEDED" w:themeFill="accent3" w:themeFillTint="33"/>
            <w:vAlign w:val="center"/>
          </w:tcPr>
          <w:p w14:paraId="67B2DA04" w14:textId="77777777" w:rsidR="00AC03B5" w:rsidRDefault="00AC03B5" w:rsidP="008162C8">
            <w:pPr>
              <w:jc w:val="center"/>
            </w:pPr>
          </w:p>
        </w:tc>
        <w:tc>
          <w:tcPr>
            <w:tcW w:w="1343" w:type="dxa"/>
            <w:shd w:val="clear" w:color="auto" w:fill="EDEDED" w:themeFill="accent3" w:themeFillTint="33"/>
            <w:vAlign w:val="center"/>
          </w:tcPr>
          <w:p w14:paraId="5362C968" w14:textId="77777777" w:rsidR="00AC03B5" w:rsidRDefault="00AC03B5" w:rsidP="008162C8">
            <w:pPr>
              <w:jc w:val="center"/>
            </w:pPr>
          </w:p>
        </w:tc>
        <w:tc>
          <w:tcPr>
            <w:tcW w:w="1582" w:type="dxa"/>
            <w:vAlign w:val="center"/>
          </w:tcPr>
          <w:p w14:paraId="0FD58196" w14:textId="77777777" w:rsidR="00AC03B5" w:rsidRDefault="00AC03B5" w:rsidP="008162C8">
            <w:pPr>
              <w:jc w:val="center"/>
            </w:pPr>
            <w:r>
              <w:t>r=0.735</w:t>
            </w:r>
          </w:p>
          <w:p w14:paraId="0CD91310" w14:textId="77777777" w:rsidR="00AC03B5" w:rsidRDefault="00AC03B5" w:rsidP="008162C8">
            <w:pPr>
              <w:jc w:val="center"/>
            </w:pPr>
            <w:r>
              <w:t>**</w:t>
            </w:r>
          </w:p>
        </w:tc>
        <w:tc>
          <w:tcPr>
            <w:tcW w:w="1454" w:type="dxa"/>
            <w:shd w:val="clear" w:color="auto" w:fill="EDEDED" w:themeFill="accent3" w:themeFillTint="33"/>
            <w:vAlign w:val="center"/>
          </w:tcPr>
          <w:p w14:paraId="7EBD0FCB" w14:textId="77777777" w:rsidR="00AC03B5" w:rsidRDefault="00AC03B5" w:rsidP="008162C8">
            <w:pPr>
              <w:jc w:val="center"/>
            </w:pPr>
          </w:p>
        </w:tc>
        <w:tc>
          <w:tcPr>
            <w:tcW w:w="1455" w:type="dxa"/>
            <w:shd w:val="clear" w:color="auto" w:fill="EDEDED" w:themeFill="accent3" w:themeFillTint="33"/>
            <w:vAlign w:val="center"/>
          </w:tcPr>
          <w:p w14:paraId="3613EDC9" w14:textId="77777777" w:rsidR="00AC03B5" w:rsidRDefault="00AC03B5" w:rsidP="008162C8">
            <w:pPr>
              <w:jc w:val="center"/>
            </w:pPr>
          </w:p>
        </w:tc>
      </w:tr>
      <w:tr w:rsidR="00AC03B5" w14:paraId="5D7EA34C" w14:textId="77777777" w:rsidTr="008162C8">
        <w:trPr>
          <w:trHeight w:val="416"/>
        </w:trPr>
        <w:tc>
          <w:tcPr>
            <w:tcW w:w="1563" w:type="dxa"/>
            <w:shd w:val="clear" w:color="auto" w:fill="DBDBDB" w:themeFill="accent3" w:themeFillTint="66"/>
            <w:vAlign w:val="center"/>
          </w:tcPr>
          <w:p w14:paraId="57CDC6E3" w14:textId="77777777" w:rsidR="00AC03B5" w:rsidRDefault="00AC03B5" w:rsidP="008162C8">
            <w:pPr>
              <w:jc w:val="center"/>
              <w:rPr>
                <w:b/>
              </w:rPr>
            </w:pPr>
          </w:p>
          <w:p w14:paraId="0C53E063" w14:textId="77777777" w:rsidR="00AC03B5" w:rsidRDefault="00AC03B5" w:rsidP="008162C8">
            <w:pPr>
              <w:jc w:val="center"/>
              <w:rPr>
                <w:b/>
              </w:rPr>
            </w:pPr>
            <w:r w:rsidRPr="00D30D35">
              <w:rPr>
                <w:b/>
              </w:rPr>
              <w:t>Treatment GSAS</w:t>
            </w:r>
          </w:p>
          <w:p w14:paraId="08D3FB5A" w14:textId="77777777" w:rsidR="00AC03B5" w:rsidRPr="00D30D35" w:rsidRDefault="00AC03B5" w:rsidP="008162C8">
            <w:pPr>
              <w:jc w:val="center"/>
              <w:rPr>
                <w:b/>
              </w:rPr>
            </w:pPr>
          </w:p>
        </w:tc>
        <w:tc>
          <w:tcPr>
            <w:tcW w:w="1508" w:type="dxa"/>
            <w:shd w:val="clear" w:color="auto" w:fill="EDEDED" w:themeFill="accent3" w:themeFillTint="33"/>
            <w:vAlign w:val="center"/>
          </w:tcPr>
          <w:p w14:paraId="475E66D0" w14:textId="77777777" w:rsidR="00AC03B5" w:rsidRDefault="00AC03B5" w:rsidP="008162C8">
            <w:pPr>
              <w:jc w:val="center"/>
            </w:pPr>
          </w:p>
        </w:tc>
        <w:tc>
          <w:tcPr>
            <w:tcW w:w="1343" w:type="dxa"/>
            <w:shd w:val="clear" w:color="auto" w:fill="EDEDED" w:themeFill="accent3" w:themeFillTint="33"/>
            <w:vAlign w:val="center"/>
          </w:tcPr>
          <w:p w14:paraId="0B9B1F78" w14:textId="77777777" w:rsidR="00AC03B5" w:rsidRDefault="00AC03B5" w:rsidP="008162C8">
            <w:pPr>
              <w:jc w:val="center"/>
            </w:pPr>
          </w:p>
        </w:tc>
        <w:tc>
          <w:tcPr>
            <w:tcW w:w="1582" w:type="dxa"/>
            <w:shd w:val="clear" w:color="auto" w:fill="EDEDED" w:themeFill="accent3" w:themeFillTint="33"/>
            <w:vAlign w:val="center"/>
          </w:tcPr>
          <w:p w14:paraId="5912F344" w14:textId="77777777" w:rsidR="00AC03B5" w:rsidRDefault="00AC03B5" w:rsidP="008162C8">
            <w:pPr>
              <w:jc w:val="center"/>
            </w:pPr>
          </w:p>
        </w:tc>
        <w:tc>
          <w:tcPr>
            <w:tcW w:w="1454" w:type="dxa"/>
            <w:vAlign w:val="center"/>
          </w:tcPr>
          <w:p w14:paraId="470B6C24" w14:textId="77777777" w:rsidR="00AC03B5" w:rsidRDefault="00AC03B5" w:rsidP="008162C8">
            <w:pPr>
              <w:jc w:val="center"/>
            </w:pPr>
            <w:r>
              <w:t>r=0.672</w:t>
            </w:r>
          </w:p>
          <w:p w14:paraId="1C408542" w14:textId="77777777" w:rsidR="00AC03B5" w:rsidRDefault="00AC03B5" w:rsidP="008162C8">
            <w:pPr>
              <w:jc w:val="center"/>
            </w:pPr>
            <w:r>
              <w:t>*</w:t>
            </w:r>
          </w:p>
        </w:tc>
        <w:tc>
          <w:tcPr>
            <w:tcW w:w="1455" w:type="dxa"/>
            <w:shd w:val="clear" w:color="auto" w:fill="EDEDED" w:themeFill="accent3" w:themeFillTint="33"/>
            <w:vAlign w:val="center"/>
          </w:tcPr>
          <w:p w14:paraId="72450931" w14:textId="77777777" w:rsidR="00AC03B5" w:rsidRDefault="00AC03B5" w:rsidP="008162C8">
            <w:pPr>
              <w:jc w:val="center"/>
            </w:pPr>
          </w:p>
        </w:tc>
      </w:tr>
      <w:tr w:rsidR="00AC03B5" w14:paraId="54E6A43D" w14:textId="77777777" w:rsidTr="008162C8">
        <w:trPr>
          <w:trHeight w:val="416"/>
        </w:trPr>
        <w:tc>
          <w:tcPr>
            <w:tcW w:w="1563" w:type="dxa"/>
            <w:shd w:val="clear" w:color="auto" w:fill="DBDBDB" w:themeFill="accent3" w:themeFillTint="66"/>
            <w:vAlign w:val="center"/>
          </w:tcPr>
          <w:p w14:paraId="5E4B763F" w14:textId="77777777" w:rsidR="00AC03B5" w:rsidRDefault="00AC03B5" w:rsidP="008162C8">
            <w:pPr>
              <w:jc w:val="center"/>
              <w:rPr>
                <w:b/>
              </w:rPr>
            </w:pPr>
          </w:p>
          <w:p w14:paraId="10042E59" w14:textId="77777777" w:rsidR="00AC03B5" w:rsidRDefault="00AC03B5" w:rsidP="008162C8">
            <w:pPr>
              <w:jc w:val="center"/>
              <w:rPr>
                <w:b/>
              </w:rPr>
            </w:pPr>
            <w:r w:rsidRPr="00D30D35">
              <w:rPr>
                <w:b/>
              </w:rPr>
              <w:t>Treatment CGI</w:t>
            </w:r>
          </w:p>
          <w:p w14:paraId="0B72CF8C" w14:textId="77777777" w:rsidR="00AC03B5" w:rsidRPr="00D30D35" w:rsidRDefault="00AC03B5" w:rsidP="008162C8">
            <w:pPr>
              <w:jc w:val="center"/>
              <w:rPr>
                <w:b/>
              </w:rPr>
            </w:pPr>
          </w:p>
        </w:tc>
        <w:tc>
          <w:tcPr>
            <w:tcW w:w="1508" w:type="dxa"/>
            <w:shd w:val="clear" w:color="auto" w:fill="EDEDED" w:themeFill="accent3" w:themeFillTint="33"/>
            <w:vAlign w:val="center"/>
          </w:tcPr>
          <w:p w14:paraId="4E90DEB6" w14:textId="77777777" w:rsidR="00AC03B5" w:rsidRDefault="00AC03B5" w:rsidP="008162C8">
            <w:pPr>
              <w:jc w:val="center"/>
            </w:pPr>
          </w:p>
        </w:tc>
        <w:tc>
          <w:tcPr>
            <w:tcW w:w="1343" w:type="dxa"/>
            <w:shd w:val="clear" w:color="auto" w:fill="EDEDED" w:themeFill="accent3" w:themeFillTint="33"/>
            <w:vAlign w:val="center"/>
          </w:tcPr>
          <w:p w14:paraId="26BCD671" w14:textId="77777777" w:rsidR="00AC03B5" w:rsidRDefault="00AC03B5" w:rsidP="008162C8">
            <w:pPr>
              <w:jc w:val="center"/>
            </w:pPr>
          </w:p>
        </w:tc>
        <w:tc>
          <w:tcPr>
            <w:tcW w:w="1582" w:type="dxa"/>
            <w:shd w:val="clear" w:color="auto" w:fill="EDEDED" w:themeFill="accent3" w:themeFillTint="33"/>
            <w:vAlign w:val="center"/>
          </w:tcPr>
          <w:p w14:paraId="357B7D3A" w14:textId="77777777" w:rsidR="00AC03B5" w:rsidRDefault="00AC03B5" w:rsidP="008162C8">
            <w:pPr>
              <w:jc w:val="center"/>
            </w:pPr>
          </w:p>
        </w:tc>
        <w:tc>
          <w:tcPr>
            <w:tcW w:w="1454" w:type="dxa"/>
            <w:shd w:val="clear" w:color="auto" w:fill="EDEDED" w:themeFill="accent3" w:themeFillTint="33"/>
            <w:vAlign w:val="center"/>
          </w:tcPr>
          <w:p w14:paraId="5D7FDB2E" w14:textId="77777777" w:rsidR="00AC03B5" w:rsidRDefault="00AC03B5" w:rsidP="008162C8">
            <w:pPr>
              <w:jc w:val="center"/>
            </w:pPr>
          </w:p>
        </w:tc>
        <w:tc>
          <w:tcPr>
            <w:tcW w:w="1455" w:type="dxa"/>
            <w:vAlign w:val="center"/>
          </w:tcPr>
          <w:p w14:paraId="0D086DFF" w14:textId="77777777" w:rsidR="00AC03B5" w:rsidRDefault="00AC03B5" w:rsidP="008162C8">
            <w:pPr>
              <w:jc w:val="center"/>
            </w:pPr>
            <w:r>
              <w:t>r=0.96</w:t>
            </w:r>
          </w:p>
          <w:p w14:paraId="177093E6" w14:textId="77777777" w:rsidR="00AC03B5" w:rsidRDefault="00AC03B5" w:rsidP="008162C8">
            <w:pPr>
              <w:jc w:val="center"/>
            </w:pPr>
            <w:r>
              <w:t>***</w:t>
            </w:r>
          </w:p>
        </w:tc>
      </w:tr>
    </w:tbl>
    <w:p w14:paraId="2F378F27" w14:textId="77777777" w:rsidR="00AC03B5" w:rsidRDefault="00AC03B5" w:rsidP="00AC03B5">
      <w:pPr>
        <w:jc w:val="center"/>
      </w:pPr>
    </w:p>
    <w:p w14:paraId="017BA097" w14:textId="77777777" w:rsidR="00AC03B5" w:rsidRDefault="00AC03B5" w:rsidP="00AC03B5">
      <w:pPr>
        <w:pStyle w:val="Heading2"/>
      </w:pPr>
      <w:r>
        <w:rPr>
          <w:rFonts w:cs="Times New Roman"/>
        </w:rPr>
        <w:lastRenderedPageBreak/>
        <w:t>§S</w:t>
      </w:r>
      <w:r>
        <w:t>6 Sensitivity analysis with correlation 0.25</w:t>
      </w:r>
    </w:p>
    <w:p w14:paraId="7ECC7706" w14:textId="77777777" w:rsidR="00AC03B5" w:rsidRDefault="00AC03B5" w:rsidP="00AC03B5">
      <w:pPr>
        <w:pStyle w:val="Heading3"/>
      </w:pPr>
      <w:r>
        <w:t>Forest plots</w:t>
      </w:r>
    </w:p>
    <w:p w14:paraId="04FF2DE6" w14:textId="77777777" w:rsidR="00AC03B5" w:rsidRDefault="00AC03B5" w:rsidP="00AC03B5">
      <w:pPr>
        <w:jc w:val="center"/>
      </w:pPr>
      <w:r w:rsidRPr="00B50D06">
        <w:rPr>
          <w:noProof/>
          <w:lang w:eastAsia="en-GB"/>
        </w:rPr>
        <w:drawing>
          <wp:inline distT="0" distB="0" distL="0" distR="0" wp14:anchorId="2C8D1CD6" wp14:editId="3C97FBEF">
            <wp:extent cx="5731510" cy="348424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484245"/>
                    </a:xfrm>
                    <a:prstGeom prst="rect">
                      <a:avLst/>
                    </a:prstGeom>
                  </pic:spPr>
                </pic:pic>
              </a:graphicData>
            </a:graphic>
          </wp:inline>
        </w:drawing>
      </w:r>
    </w:p>
    <w:p w14:paraId="4C909437" w14:textId="77777777" w:rsidR="00AC03B5" w:rsidRDefault="00AC03B5" w:rsidP="00AC03B5">
      <w:pPr>
        <w:pStyle w:val="Heading3"/>
      </w:pPr>
      <w:r>
        <w:t>Funnel plots</w:t>
      </w:r>
    </w:p>
    <w:p w14:paraId="6192DCA4" w14:textId="77777777" w:rsidR="00AC03B5" w:rsidRDefault="00AC03B5" w:rsidP="00AC03B5">
      <w:pPr>
        <w:jc w:val="center"/>
      </w:pPr>
      <w:r w:rsidRPr="00B50D06">
        <w:rPr>
          <w:noProof/>
          <w:lang w:eastAsia="en-GB"/>
        </w:rPr>
        <w:drawing>
          <wp:inline distT="0" distB="0" distL="0" distR="0" wp14:anchorId="2DA8D086" wp14:editId="40547035">
            <wp:extent cx="5731510" cy="35858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585845"/>
                    </a:xfrm>
                    <a:prstGeom prst="rect">
                      <a:avLst/>
                    </a:prstGeom>
                  </pic:spPr>
                </pic:pic>
              </a:graphicData>
            </a:graphic>
          </wp:inline>
        </w:drawing>
      </w:r>
    </w:p>
    <w:p w14:paraId="5A277789" w14:textId="77777777" w:rsidR="00AC03B5" w:rsidRDefault="00AC03B5" w:rsidP="00AC03B5">
      <w:r w:rsidRPr="005649D9">
        <w:rPr>
          <w:b/>
        </w:rPr>
        <w:lastRenderedPageBreak/>
        <w:t>Legend</w:t>
      </w:r>
      <w:r>
        <w:t xml:space="preserve"> – Funnel plots with regression for funnel plot asymmetry p-values.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Publication bias identified in the Quality of life analysis and the trim and fill method was used to provide a new effect size estimate. </w:t>
      </w:r>
    </w:p>
    <w:p w14:paraId="3721BB8E" w14:textId="77777777" w:rsidR="00AC03B5" w:rsidRDefault="00AC03B5" w:rsidP="00AC03B5">
      <w:pPr>
        <w:jc w:val="center"/>
      </w:pPr>
    </w:p>
    <w:p w14:paraId="242508EF" w14:textId="77777777" w:rsidR="00AC03B5" w:rsidRPr="0029344B" w:rsidRDefault="00AC03B5" w:rsidP="00AC03B5">
      <w:pPr>
        <w:pStyle w:val="Heading3"/>
      </w:pPr>
      <w:r>
        <w:t>Heterogeneity placebo with r=0.25</w:t>
      </w:r>
    </w:p>
    <w:tbl>
      <w:tblPr>
        <w:tblStyle w:val="TableGrid"/>
        <w:tblW w:w="0" w:type="auto"/>
        <w:tblLook w:val="04A0" w:firstRow="1" w:lastRow="0" w:firstColumn="1" w:lastColumn="0" w:noHBand="0" w:noVBand="1"/>
      </w:tblPr>
      <w:tblGrid>
        <w:gridCol w:w="1563"/>
        <w:gridCol w:w="1634"/>
        <w:gridCol w:w="1343"/>
        <w:gridCol w:w="1582"/>
        <w:gridCol w:w="1454"/>
        <w:gridCol w:w="1609"/>
      </w:tblGrid>
      <w:tr w:rsidR="00AC03B5" w14:paraId="305E20FA" w14:textId="77777777" w:rsidTr="008162C8">
        <w:trPr>
          <w:trHeight w:val="1237"/>
        </w:trPr>
        <w:tc>
          <w:tcPr>
            <w:tcW w:w="1563" w:type="dxa"/>
            <w:shd w:val="clear" w:color="auto" w:fill="DBDBDB" w:themeFill="accent3" w:themeFillTint="66"/>
            <w:vAlign w:val="center"/>
          </w:tcPr>
          <w:p w14:paraId="3BD48434" w14:textId="77777777" w:rsidR="00AC03B5" w:rsidRPr="00D30D35" w:rsidRDefault="00AC03B5" w:rsidP="008162C8">
            <w:pPr>
              <w:jc w:val="center"/>
              <w:rPr>
                <w:b/>
              </w:rPr>
            </w:pPr>
          </w:p>
        </w:tc>
        <w:tc>
          <w:tcPr>
            <w:tcW w:w="1508" w:type="dxa"/>
            <w:shd w:val="clear" w:color="auto" w:fill="DBDBDB" w:themeFill="accent3" w:themeFillTint="66"/>
            <w:vAlign w:val="center"/>
          </w:tcPr>
          <w:p w14:paraId="62E08E63" w14:textId="77777777" w:rsidR="00AC03B5" w:rsidRPr="00D30D35" w:rsidRDefault="00AC03B5" w:rsidP="008162C8">
            <w:pPr>
              <w:jc w:val="center"/>
              <w:rPr>
                <w:b/>
              </w:rPr>
            </w:pPr>
            <w:r w:rsidRPr="00B65020">
              <w:rPr>
                <w:b/>
              </w:rPr>
              <w:t>tau^2 (estimated amount of total heterogeneity):</w:t>
            </w:r>
          </w:p>
        </w:tc>
        <w:tc>
          <w:tcPr>
            <w:tcW w:w="1343" w:type="dxa"/>
            <w:shd w:val="clear" w:color="auto" w:fill="DBDBDB" w:themeFill="accent3" w:themeFillTint="66"/>
            <w:vAlign w:val="center"/>
          </w:tcPr>
          <w:p w14:paraId="5BC36173" w14:textId="77777777" w:rsidR="00AC03B5" w:rsidRPr="00D30D35" w:rsidRDefault="00AC03B5" w:rsidP="008162C8">
            <w:pPr>
              <w:jc w:val="center"/>
              <w:rPr>
                <w:b/>
              </w:rPr>
            </w:pPr>
            <w:r w:rsidRPr="00B65020">
              <w:rPr>
                <w:b/>
              </w:rPr>
              <w:t xml:space="preserve">tau (square root of estimated tau^2 value):      </w:t>
            </w:r>
          </w:p>
        </w:tc>
        <w:tc>
          <w:tcPr>
            <w:tcW w:w="1582" w:type="dxa"/>
            <w:shd w:val="clear" w:color="auto" w:fill="DBDBDB" w:themeFill="accent3" w:themeFillTint="66"/>
            <w:vAlign w:val="center"/>
          </w:tcPr>
          <w:p w14:paraId="717E71C9" w14:textId="77777777" w:rsidR="00AC03B5" w:rsidRPr="00D30D35" w:rsidRDefault="00AC03B5" w:rsidP="008162C8">
            <w:pPr>
              <w:jc w:val="center"/>
              <w:rPr>
                <w:b/>
              </w:rPr>
            </w:pPr>
            <w:r w:rsidRPr="00B65020">
              <w:rPr>
                <w:b/>
              </w:rPr>
              <w:t xml:space="preserve">I^2 (total heterogeneity / total variability):   </w:t>
            </w:r>
          </w:p>
        </w:tc>
        <w:tc>
          <w:tcPr>
            <w:tcW w:w="1454" w:type="dxa"/>
            <w:shd w:val="clear" w:color="auto" w:fill="DBDBDB" w:themeFill="accent3" w:themeFillTint="66"/>
            <w:vAlign w:val="center"/>
          </w:tcPr>
          <w:p w14:paraId="1AE01346" w14:textId="77777777" w:rsidR="00AC03B5" w:rsidRPr="00D30D35" w:rsidRDefault="00AC03B5" w:rsidP="008162C8">
            <w:pPr>
              <w:jc w:val="center"/>
              <w:rPr>
                <w:b/>
              </w:rPr>
            </w:pPr>
            <w:r w:rsidRPr="00B65020">
              <w:rPr>
                <w:b/>
              </w:rPr>
              <w:t xml:space="preserve">H^2 (total variability / sampling variability):  </w:t>
            </w:r>
          </w:p>
        </w:tc>
        <w:tc>
          <w:tcPr>
            <w:tcW w:w="1455" w:type="dxa"/>
            <w:shd w:val="clear" w:color="auto" w:fill="DBDBDB" w:themeFill="accent3" w:themeFillTint="66"/>
            <w:vAlign w:val="center"/>
          </w:tcPr>
          <w:p w14:paraId="21502399" w14:textId="77777777" w:rsidR="00AC03B5" w:rsidRPr="00B65020" w:rsidRDefault="00AC03B5" w:rsidP="008162C8">
            <w:pPr>
              <w:jc w:val="center"/>
              <w:rPr>
                <w:b/>
              </w:rPr>
            </w:pPr>
            <w:r w:rsidRPr="00B65020">
              <w:rPr>
                <w:b/>
              </w:rPr>
              <w:t>Test for Heterogeneity:</w:t>
            </w:r>
          </w:p>
          <w:p w14:paraId="1A725CC8" w14:textId="77777777" w:rsidR="00AC03B5" w:rsidRPr="00D30D35" w:rsidRDefault="00AC03B5" w:rsidP="008162C8">
            <w:pPr>
              <w:jc w:val="center"/>
              <w:rPr>
                <w:b/>
              </w:rPr>
            </w:pPr>
          </w:p>
        </w:tc>
      </w:tr>
      <w:tr w:rsidR="00AC03B5" w14:paraId="77545B1E" w14:textId="77777777" w:rsidTr="008162C8">
        <w:trPr>
          <w:trHeight w:val="842"/>
        </w:trPr>
        <w:tc>
          <w:tcPr>
            <w:tcW w:w="1563" w:type="dxa"/>
            <w:shd w:val="clear" w:color="auto" w:fill="DBDBDB" w:themeFill="accent3" w:themeFillTint="66"/>
            <w:vAlign w:val="center"/>
          </w:tcPr>
          <w:p w14:paraId="2623D2C4" w14:textId="77777777" w:rsidR="00AC03B5" w:rsidRPr="00865875" w:rsidRDefault="00AC03B5" w:rsidP="008162C8">
            <w:pPr>
              <w:jc w:val="center"/>
              <w:rPr>
                <w:b/>
                <w:szCs w:val="16"/>
              </w:rPr>
            </w:pPr>
            <w:r w:rsidRPr="00865875">
              <w:rPr>
                <w:b/>
                <w:szCs w:val="16"/>
              </w:rPr>
              <w:t>Placebo gambling severity</w:t>
            </w:r>
          </w:p>
        </w:tc>
        <w:tc>
          <w:tcPr>
            <w:tcW w:w="1508" w:type="dxa"/>
            <w:shd w:val="clear" w:color="auto" w:fill="FFFFFF" w:themeFill="background1"/>
            <w:vAlign w:val="center"/>
          </w:tcPr>
          <w:p w14:paraId="475968AB" w14:textId="77777777" w:rsidR="00AC03B5" w:rsidRDefault="00AC03B5" w:rsidP="008162C8">
            <w:pPr>
              <w:jc w:val="center"/>
            </w:pPr>
            <w:r>
              <w:t>0.1464 (SE = 0.0808)</w:t>
            </w:r>
          </w:p>
        </w:tc>
        <w:tc>
          <w:tcPr>
            <w:tcW w:w="1343" w:type="dxa"/>
            <w:shd w:val="clear" w:color="auto" w:fill="FFFFFF" w:themeFill="background1"/>
            <w:vAlign w:val="center"/>
          </w:tcPr>
          <w:p w14:paraId="4C113C31" w14:textId="77777777" w:rsidR="00AC03B5" w:rsidRDefault="00AC03B5" w:rsidP="008162C8">
            <w:pPr>
              <w:jc w:val="center"/>
            </w:pPr>
            <w:r>
              <w:t>0.3826</w:t>
            </w:r>
          </w:p>
        </w:tc>
        <w:tc>
          <w:tcPr>
            <w:tcW w:w="1582" w:type="dxa"/>
            <w:shd w:val="clear" w:color="auto" w:fill="FFFFFF" w:themeFill="background1"/>
            <w:vAlign w:val="center"/>
          </w:tcPr>
          <w:p w14:paraId="4C3EF5FF" w14:textId="77777777" w:rsidR="00AC03B5" w:rsidRDefault="00AC03B5" w:rsidP="008162C8">
            <w:pPr>
              <w:jc w:val="center"/>
            </w:pPr>
            <w:r>
              <w:t>69.19%</w:t>
            </w:r>
          </w:p>
        </w:tc>
        <w:tc>
          <w:tcPr>
            <w:tcW w:w="1454" w:type="dxa"/>
            <w:shd w:val="clear" w:color="auto" w:fill="FFFFFF" w:themeFill="background1"/>
            <w:vAlign w:val="center"/>
          </w:tcPr>
          <w:p w14:paraId="26701B71" w14:textId="77777777" w:rsidR="00AC03B5" w:rsidRDefault="00AC03B5" w:rsidP="008162C8">
            <w:pPr>
              <w:jc w:val="center"/>
            </w:pPr>
            <w:r>
              <w:t>3.25</w:t>
            </w:r>
          </w:p>
        </w:tc>
        <w:tc>
          <w:tcPr>
            <w:tcW w:w="1455" w:type="dxa"/>
            <w:shd w:val="clear" w:color="auto" w:fill="FFFFFF" w:themeFill="background1"/>
            <w:vAlign w:val="center"/>
          </w:tcPr>
          <w:p w14:paraId="35D995CB" w14:textId="77777777" w:rsidR="00AC03B5" w:rsidRDefault="00AC03B5" w:rsidP="008162C8">
            <w:pPr>
              <w:jc w:val="center"/>
            </w:pPr>
            <w:r>
              <w:t>Q(df = 15) = 51.0825, p-val &lt; .0001</w:t>
            </w:r>
          </w:p>
        </w:tc>
      </w:tr>
      <w:tr w:rsidR="00AC03B5" w14:paraId="732DA2C0" w14:textId="77777777" w:rsidTr="008162C8">
        <w:trPr>
          <w:trHeight w:val="416"/>
        </w:trPr>
        <w:tc>
          <w:tcPr>
            <w:tcW w:w="1563" w:type="dxa"/>
            <w:shd w:val="clear" w:color="auto" w:fill="DBDBDB" w:themeFill="accent3" w:themeFillTint="66"/>
            <w:vAlign w:val="center"/>
          </w:tcPr>
          <w:p w14:paraId="7A388DF3" w14:textId="77777777" w:rsidR="00AC03B5" w:rsidRPr="00865875" w:rsidRDefault="00AC03B5" w:rsidP="008162C8">
            <w:pPr>
              <w:jc w:val="center"/>
              <w:rPr>
                <w:b/>
                <w:szCs w:val="16"/>
              </w:rPr>
            </w:pPr>
            <w:r w:rsidRPr="00865875">
              <w:rPr>
                <w:b/>
                <w:szCs w:val="16"/>
              </w:rPr>
              <w:t>Placebo QOL</w:t>
            </w:r>
          </w:p>
        </w:tc>
        <w:tc>
          <w:tcPr>
            <w:tcW w:w="1508" w:type="dxa"/>
            <w:shd w:val="clear" w:color="auto" w:fill="FFFFFF" w:themeFill="background1"/>
            <w:vAlign w:val="center"/>
          </w:tcPr>
          <w:p w14:paraId="66AA8D73" w14:textId="77777777" w:rsidR="00AC03B5" w:rsidRDefault="00AC03B5" w:rsidP="008162C8">
            <w:pPr>
              <w:jc w:val="center"/>
            </w:pPr>
            <w:r>
              <w:t>0.0191 (SE = 0.0333)</w:t>
            </w:r>
          </w:p>
        </w:tc>
        <w:tc>
          <w:tcPr>
            <w:tcW w:w="1343" w:type="dxa"/>
            <w:shd w:val="clear" w:color="auto" w:fill="FFFFFF" w:themeFill="background1"/>
            <w:vAlign w:val="center"/>
          </w:tcPr>
          <w:p w14:paraId="38015D74" w14:textId="77777777" w:rsidR="00AC03B5" w:rsidRDefault="00AC03B5" w:rsidP="008162C8">
            <w:pPr>
              <w:jc w:val="center"/>
            </w:pPr>
            <w:r>
              <w:t>0.1383</w:t>
            </w:r>
          </w:p>
        </w:tc>
        <w:tc>
          <w:tcPr>
            <w:tcW w:w="1582" w:type="dxa"/>
            <w:shd w:val="clear" w:color="auto" w:fill="FFFFFF" w:themeFill="background1"/>
            <w:vAlign w:val="center"/>
          </w:tcPr>
          <w:p w14:paraId="276AFB77" w14:textId="77777777" w:rsidR="00AC03B5" w:rsidRDefault="00AC03B5" w:rsidP="008162C8">
            <w:pPr>
              <w:jc w:val="center"/>
            </w:pPr>
            <w:r>
              <w:t>30.57%</w:t>
            </w:r>
          </w:p>
        </w:tc>
        <w:tc>
          <w:tcPr>
            <w:tcW w:w="1454" w:type="dxa"/>
            <w:shd w:val="clear" w:color="auto" w:fill="FFFFFF" w:themeFill="background1"/>
            <w:vAlign w:val="center"/>
          </w:tcPr>
          <w:p w14:paraId="4E3DD347" w14:textId="77777777" w:rsidR="00AC03B5" w:rsidRDefault="00AC03B5" w:rsidP="008162C8">
            <w:pPr>
              <w:jc w:val="center"/>
            </w:pPr>
            <w:r>
              <w:t>1.44</w:t>
            </w:r>
          </w:p>
        </w:tc>
        <w:tc>
          <w:tcPr>
            <w:tcW w:w="1455" w:type="dxa"/>
            <w:shd w:val="clear" w:color="auto" w:fill="FFFFFF" w:themeFill="background1"/>
            <w:vAlign w:val="center"/>
          </w:tcPr>
          <w:p w14:paraId="34DF3CD6" w14:textId="77777777" w:rsidR="00AC03B5" w:rsidRDefault="00AC03B5" w:rsidP="008162C8">
            <w:pPr>
              <w:jc w:val="center"/>
            </w:pPr>
            <w:r>
              <w:t>Q(df = 7) = 9.7669, p-val = 0.2022</w:t>
            </w:r>
          </w:p>
        </w:tc>
      </w:tr>
      <w:tr w:rsidR="00AC03B5" w14:paraId="0CD16F02" w14:textId="77777777" w:rsidTr="008162C8">
        <w:trPr>
          <w:trHeight w:val="831"/>
        </w:trPr>
        <w:tc>
          <w:tcPr>
            <w:tcW w:w="1563" w:type="dxa"/>
            <w:shd w:val="clear" w:color="auto" w:fill="DBDBDB" w:themeFill="accent3" w:themeFillTint="66"/>
            <w:vAlign w:val="center"/>
          </w:tcPr>
          <w:p w14:paraId="38C984C1" w14:textId="77777777" w:rsidR="00AC03B5" w:rsidRPr="00865875" w:rsidRDefault="00AC03B5" w:rsidP="008162C8">
            <w:pPr>
              <w:jc w:val="center"/>
              <w:rPr>
                <w:b/>
                <w:szCs w:val="16"/>
              </w:rPr>
            </w:pPr>
            <w:r w:rsidRPr="00865875">
              <w:rPr>
                <w:b/>
                <w:szCs w:val="16"/>
              </w:rPr>
              <w:t>Placebo PGYBOCS</w:t>
            </w:r>
          </w:p>
        </w:tc>
        <w:tc>
          <w:tcPr>
            <w:tcW w:w="1508" w:type="dxa"/>
            <w:shd w:val="clear" w:color="auto" w:fill="FFFFFF" w:themeFill="background1"/>
            <w:vAlign w:val="center"/>
          </w:tcPr>
          <w:p w14:paraId="25F6B442" w14:textId="77777777" w:rsidR="00AC03B5" w:rsidRDefault="00AC03B5" w:rsidP="008162C8">
            <w:pPr>
              <w:jc w:val="center"/>
            </w:pPr>
            <w:r>
              <w:t>0.1565 (SE = 0.1010)</w:t>
            </w:r>
          </w:p>
        </w:tc>
        <w:tc>
          <w:tcPr>
            <w:tcW w:w="1343" w:type="dxa"/>
            <w:shd w:val="clear" w:color="auto" w:fill="FFFFFF" w:themeFill="background1"/>
            <w:vAlign w:val="center"/>
          </w:tcPr>
          <w:p w14:paraId="046E2125" w14:textId="77777777" w:rsidR="00AC03B5" w:rsidRDefault="00AC03B5" w:rsidP="008162C8">
            <w:pPr>
              <w:jc w:val="center"/>
            </w:pPr>
            <w:r>
              <w:t>0.3956</w:t>
            </w:r>
          </w:p>
        </w:tc>
        <w:tc>
          <w:tcPr>
            <w:tcW w:w="1582" w:type="dxa"/>
            <w:shd w:val="clear" w:color="auto" w:fill="FFFFFF" w:themeFill="background1"/>
            <w:vAlign w:val="center"/>
          </w:tcPr>
          <w:p w14:paraId="0FFA41C4" w14:textId="77777777" w:rsidR="00AC03B5" w:rsidRDefault="00AC03B5" w:rsidP="008162C8">
            <w:pPr>
              <w:jc w:val="center"/>
            </w:pPr>
            <w:r>
              <w:t>69.57%</w:t>
            </w:r>
          </w:p>
        </w:tc>
        <w:tc>
          <w:tcPr>
            <w:tcW w:w="1454" w:type="dxa"/>
            <w:shd w:val="clear" w:color="auto" w:fill="FFFFFF" w:themeFill="background1"/>
            <w:vAlign w:val="center"/>
          </w:tcPr>
          <w:p w14:paraId="0EB9ADF5" w14:textId="77777777" w:rsidR="00AC03B5" w:rsidRDefault="00AC03B5" w:rsidP="008162C8">
            <w:pPr>
              <w:jc w:val="center"/>
            </w:pPr>
            <w:r>
              <w:t>3.29</w:t>
            </w:r>
          </w:p>
        </w:tc>
        <w:tc>
          <w:tcPr>
            <w:tcW w:w="1455" w:type="dxa"/>
            <w:shd w:val="clear" w:color="auto" w:fill="FFFFFF" w:themeFill="background1"/>
            <w:vAlign w:val="center"/>
          </w:tcPr>
          <w:p w14:paraId="04535ADC" w14:textId="77777777" w:rsidR="00AC03B5" w:rsidRDefault="00AC03B5" w:rsidP="008162C8">
            <w:pPr>
              <w:jc w:val="center"/>
            </w:pPr>
            <w:r>
              <w:t>Q(df = 11) = 39.0654, p-val &lt; .0001</w:t>
            </w:r>
          </w:p>
        </w:tc>
      </w:tr>
      <w:tr w:rsidR="00AC03B5" w14:paraId="4FDFE17C" w14:textId="77777777" w:rsidTr="008162C8">
        <w:trPr>
          <w:trHeight w:val="416"/>
        </w:trPr>
        <w:tc>
          <w:tcPr>
            <w:tcW w:w="1563" w:type="dxa"/>
            <w:shd w:val="clear" w:color="auto" w:fill="DBDBDB" w:themeFill="accent3" w:themeFillTint="66"/>
            <w:vAlign w:val="center"/>
          </w:tcPr>
          <w:p w14:paraId="599C6555" w14:textId="77777777" w:rsidR="00AC03B5" w:rsidRPr="00865875" w:rsidRDefault="00AC03B5" w:rsidP="008162C8">
            <w:pPr>
              <w:jc w:val="center"/>
              <w:rPr>
                <w:b/>
                <w:szCs w:val="16"/>
              </w:rPr>
            </w:pPr>
            <w:r w:rsidRPr="00865875">
              <w:rPr>
                <w:b/>
                <w:szCs w:val="16"/>
              </w:rPr>
              <w:t>Placebo GSAS</w:t>
            </w:r>
          </w:p>
        </w:tc>
        <w:tc>
          <w:tcPr>
            <w:tcW w:w="1508" w:type="dxa"/>
            <w:shd w:val="clear" w:color="auto" w:fill="FFFFFF" w:themeFill="background1"/>
            <w:vAlign w:val="center"/>
          </w:tcPr>
          <w:p w14:paraId="5FE86444" w14:textId="77777777" w:rsidR="00AC03B5" w:rsidRDefault="00AC03B5" w:rsidP="008162C8">
            <w:pPr>
              <w:jc w:val="center"/>
            </w:pPr>
            <w:r>
              <w:t>0.0572 (SE = 0.0586)</w:t>
            </w:r>
          </w:p>
        </w:tc>
        <w:tc>
          <w:tcPr>
            <w:tcW w:w="1343" w:type="dxa"/>
            <w:shd w:val="clear" w:color="auto" w:fill="FFFFFF" w:themeFill="background1"/>
            <w:vAlign w:val="center"/>
          </w:tcPr>
          <w:p w14:paraId="715B5E3D" w14:textId="77777777" w:rsidR="00AC03B5" w:rsidRDefault="00AC03B5" w:rsidP="008162C8">
            <w:pPr>
              <w:jc w:val="center"/>
            </w:pPr>
            <w:r>
              <w:t>0.2391</w:t>
            </w:r>
          </w:p>
        </w:tc>
        <w:tc>
          <w:tcPr>
            <w:tcW w:w="1582" w:type="dxa"/>
            <w:shd w:val="clear" w:color="auto" w:fill="FFFFFF" w:themeFill="background1"/>
            <w:vAlign w:val="center"/>
          </w:tcPr>
          <w:p w14:paraId="593B4CAF" w14:textId="77777777" w:rsidR="00AC03B5" w:rsidRDefault="00AC03B5" w:rsidP="008162C8">
            <w:pPr>
              <w:jc w:val="center"/>
            </w:pPr>
            <w:r>
              <w:t>49.47%</w:t>
            </w:r>
          </w:p>
        </w:tc>
        <w:tc>
          <w:tcPr>
            <w:tcW w:w="1454" w:type="dxa"/>
            <w:shd w:val="clear" w:color="auto" w:fill="FFFFFF" w:themeFill="background1"/>
            <w:vAlign w:val="center"/>
          </w:tcPr>
          <w:p w14:paraId="52F9BF99" w14:textId="77777777" w:rsidR="00AC03B5" w:rsidRDefault="00AC03B5" w:rsidP="008162C8">
            <w:pPr>
              <w:jc w:val="center"/>
            </w:pPr>
            <w:r>
              <w:t>1.98</w:t>
            </w:r>
          </w:p>
        </w:tc>
        <w:tc>
          <w:tcPr>
            <w:tcW w:w="1455" w:type="dxa"/>
            <w:shd w:val="clear" w:color="auto" w:fill="FFFFFF" w:themeFill="background1"/>
            <w:vAlign w:val="center"/>
          </w:tcPr>
          <w:p w14:paraId="52382B3F" w14:textId="77777777" w:rsidR="00AC03B5" w:rsidRDefault="00AC03B5" w:rsidP="008162C8">
            <w:pPr>
              <w:jc w:val="center"/>
            </w:pPr>
            <w:r>
              <w:t>Q(df = 8) = 16.0486, p-val = 0.0417</w:t>
            </w:r>
          </w:p>
        </w:tc>
      </w:tr>
      <w:tr w:rsidR="00AC03B5" w14:paraId="6D4B1286" w14:textId="77777777" w:rsidTr="008162C8">
        <w:trPr>
          <w:trHeight w:val="416"/>
        </w:trPr>
        <w:tc>
          <w:tcPr>
            <w:tcW w:w="1563" w:type="dxa"/>
            <w:shd w:val="clear" w:color="auto" w:fill="DBDBDB" w:themeFill="accent3" w:themeFillTint="66"/>
            <w:vAlign w:val="center"/>
          </w:tcPr>
          <w:p w14:paraId="5ADA2477" w14:textId="77777777" w:rsidR="00AC03B5" w:rsidRPr="00865875" w:rsidRDefault="00AC03B5" w:rsidP="008162C8">
            <w:pPr>
              <w:jc w:val="center"/>
              <w:rPr>
                <w:b/>
                <w:szCs w:val="16"/>
              </w:rPr>
            </w:pPr>
            <w:r w:rsidRPr="00865875">
              <w:rPr>
                <w:b/>
                <w:szCs w:val="16"/>
              </w:rPr>
              <w:t>Placebo CGI</w:t>
            </w:r>
            <w:r>
              <w:rPr>
                <w:b/>
                <w:szCs w:val="16"/>
              </w:rPr>
              <w:t>-I</w:t>
            </w:r>
          </w:p>
        </w:tc>
        <w:tc>
          <w:tcPr>
            <w:tcW w:w="1508" w:type="dxa"/>
            <w:shd w:val="clear" w:color="auto" w:fill="FFFFFF" w:themeFill="background1"/>
            <w:vAlign w:val="center"/>
          </w:tcPr>
          <w:p w14:paraId="7DB5E1F0" w14:textId="77777777" w:rsidR="00AC03B5" w:rsidRDefault="00AC03B5" w:rsidP="008162C8">
            <w:pPr>
              <w:jc w:val="center"/>
            </w:pPr>
            <w:r>
              <w:t>0.0183 (SE = 0.0713)</w:t>
            </w:r>
          </w:p>
        </w:tc>
        <w:tc>
          <w:tcPr>
            <w:tcW w:w="1343" w:type="dxa"/>
            <w:shd w:val="clear" w:color="auto" w:fill="FFFFFF" w:themeFill="background1"/>
            <w:vAlign w:val="center"/>
          </w:tcPr>
          <w:p w14:paraId="45A9A5EE" w14:textId="77777777" w:rsidR="00AC03B5" w:rsidRDefault="00AC03B5" w:rsidP="008162C8">
            <w:pPr>
              <w:jc w:val="center"/>
            </w:pPr>
            <w:r>
              <w:t>0.1352</w:t>
            </w:r>
          </w:p>
        </w:tc>
        <w:tc>
          <w:tcPr>
            <w:tcW w:w="1582" w:type="dxa"/>
            <w:shd w:val="clear" w:color="auto" w:fill="FFFFFF" w:themeFill="background1"/>
            <w:vAlign w:val="center"/>
          </w:tcPr>
          <w:p w14:paraId="184F6B1D" w14:textId="77777777" w:rsidR="00AC03B5" w:rsidRDefault="00AC03B5" w:rsidP="008162C8">
            <w:pPr>
              <w:jc w:val="center"/>
            </w:pPr>
            <w:r>
              <w:t>17.54%</w:t>
            </w:r>
          </w:p>
        </w:tc>
        <w:tc>
          <w:tcPr>
            <w:tcW w:w="1454" w:type="dxa"/>
            <w:shd w:val="clear" w:color="auto" w:fill="FFFFFF" w:themeFill="background1"/>
            <w:vAlign w:val="center"/>
          </w:tcPr>
          <w:p w14:paraId="39CCEE3C" w14:textId="77777777" w:rsidR="00AC03B5" w:rsidRDefault="00AC03B5" w:rsidP="008162C8">
            <w:pPr>
              <w:jc w:val="center"/>
            </w:pPr>
            <w:r>
              <w:t>1.21</w:t>
            </w:r>
          </w:p>
        </w:tc>
        <w:tc>
          <w:tcPr>
            <w:tcW w:w="1455" w:type="dxa"/>
            <w:shd w:val="clear" w:color="auto" w:fill="FFFFFF" w:themeFill="background1"/>
            <w:vAlign w:val="center"/>
          </w:tcPr>
          <w:p w14:paraId="05DC3E34" w14:textId="77777777" w:rsidR="00AC03B5" w:rsidRDefault="00AC03B5" w:rsidP="008162C8">
            <w:pPr>
              <w:jc w:val="center"/>
            </w:pPr>
            <w:r>
              <w:t>Q(df = 4) = 4.9326, p-val = 0.2943</w:t>
            </w:r>
          </w:p>
        </w:tc>
      </w:tr>
    </w:tbl>
    <w:p w14:paraId="7412A360" w14:textId="77777777" w:rsidR="00AC03B5" w:rsidRDefault="00AC03B5" w:rsidP="00AC03B5">
      <w:pPr>
        <w:jc w:val="center"/>
      </w:pPr>
    </w:p>
    <w:p w14:paraId="0A128E18" w14:textId="77777777" w:rsidR="00AC03B5" w:rsidRDefault="00AC03B5" w:rsidP="00AC03B5">
      <w:r w:rsidRPr="00BE1862">
        <w:rPr>
          <w:b/>
        </w:rPr>
        <w:lastRenderedPageBreak/>
        <w:t>Legend</w:t>
      </w:r>
      <w:r>
        <w:t>: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SE = standard error; </w:t>
      </w:r>
      <w:proofErr w:type="gramStart"/>
      <w:r>
        <w:t>df</w:t>
      </w:r>
      <w:proofErr w:type="gramEnd"/>
      <w:r>
        <w:t xml:space="preserve"> = degrees of freedom</w:t>
      </w:r>
      <w:r w:rsidRPr="00BE1862">
        <w:t xml:space="preserve"> </w:t>
      </w:r>
    </w:p>
    <w:p w14:paraId="04E1D7B5" w14:textId="77777777" w:rsidR="00AC03B5" w:rsidRDefault="00AC03B5" w:rsidP="00AC03B5">
      <w:pPr>
        <w:rPr>
          <w:rFonts w:asciiTheme="majorHAnsi" w:eastAsiaTheme="majorEastAsia" w:hAnsiTheme="majorHAnsi" w:cstheme="majorBidi"/>
          <w:i/>
          <w:szCs w:val="24"/>
        </w:rPr>
      </w:pPr>
      <w:r>
        <w:br w:type="page"/>
      </w:r>
    </w:p>
    <w:p w14:paraId="671CFBF1" w14:textId="77777777" w:rsidR="00AC03B5" w:rsidRDefault="00AC03B5" w:rsidP="00AC03B5">
      <w:pPr>
        <w:pStyle w:val="Heading3"/>
      </w:pPr>
      <w:r>
        <w:lastRenderedPageBreak/>
        <w:t>Meta-regression, placebo with r=0.25</w:t>
      </w:r>
    </w:p>
    <w:tbl>
      <w:tblPr>
        <w:tblStyle w:val="TableGrid"/>
        <w:tblW w:w="9973" w:type="dxa"/>
        <w:tblLayout w:type="fixed"/>
        <w:tblLook w:val="04A0" w:firstRow="1" w:lastRow="0" w:firstColumn="1" w:lastColumn="0" w:noHBand="0" w:noVBand="1"/>
      </w:tblPr>
      <w:tblGrid>
        <w:gridCol w:w="1063"/>
        <w:gridCol w:w="849"/>
        <w:gridCol w:w="952"/>
        <w:gridCol w:w="900"/>
        <w:gridCol w:w="952"/>
        <w:gridCol w:w="814"/>
        <w:gridCol w:w="806"/>
        <w:gridCol w:w="745"/>
        <w:gridCol w:w="745"/>
        <w:gridCol w:w="745"/>
        <w:gridCol w:w="684"/>
        <w:gridCol w:w="718"/>
      </w:tblGrid>
      <w:tr w:rsidR="00AC03B5" w:rsidRPr="009115C7" w14:paraId="612DAADB" w14:textId="77777777" w:rsidTr="008162C8">
        <w:trPr>
          <w:cantSplit/>
          <w:trHeight w:val="1169"/>
        </w:trPr>
        <w:tc>
          <w:tcPr>
            <w:tcW w:w="1063" w:type="dxa"/>
            <w:shd w:val="clear" w:color="auto" w:fill="F2F2F2" w:themeFill="background1" w:themeFillShade="F2"/>
          </w:tcPr>
          <w:p w14:paraId="5DFA2770" w14:textId="77777777" w:rsidR="00AC03B5" w:rsidRPr="009115C7" w:rsidRDefault="00AC03B5" w:rsidP="008162C8">
            <w:pPr>
              <w:jc w:val="center"/>
              <w:rPr>
                <w:rFonts w:cs="Times New Roman"/>
                <w:b/>
                <w:szCs w:val="16"/>
              </w:rPr>
            </w:pPr>
            <w:r w:rsidRPr="009115C7">
              <w:rPr>
                <w:rFonts w:cs="Times New Roman"/>
                <w:b/>
                <w:szCs w:val="16"/>
              </w:rPr>
              <w:t>Analysis</w:t>
            </w:r>
          </w:p>
        </w:tc>
        <w:tc>
          <w:tcPr>
            <w:tcW w:w="849" w:type="dxa"/>
            <w:shd w:val="clear" w:color="auto" w:fill="F2F2F2" w:themeFill="background1" w:themeFillShade="F2"/>
            <w:textDirection w:val="btLr"/>
            <w:vAlign w:val="center"/>
          </w:tcPr>
          <w:p w14:paraId="60C7DA30" w14:textId="77777777" w:rsidR="00AC03B5" w:rsidRPr="009115C7" w:rsidRDefault="00AC03B5" w:rsidP="008162C8">
            <w:pPr>
              <w:ind w:left="113" w:right="113"/>
              <w:jc w:val="center"/>
              <w:rPr>
                <w:rFonts w:cs="Times New Roman"/>
                <w:b/>
                <w:szCs w:val="16"/>
              </w:rPr>
            </w:pPr>
            <w:r w:rsidRPr="009115C7">
              <w:rPr>
                <w:rFonts w:cs="Times New Roman"/>
                <w:b/>
                <w:szCs w:val="16"/>
              </w:rPr>
              <w:t>Publication Year</w:t>
            </w:r>
          </w:p>
        </w:tc>
        <w:tc>
          <w:tcPr>
            <w:tcW w:w="952" w:type="dxa"/>
            <w:shd w:val="clear" w:color="auto" w:fill="F2F2F2" w:themeFill="background1" w:themeFillShade="F2"/>
            <w:textDirection w:val="btLr"/>
            <w:vAlign w:val="center"/>
          </w:tcPr>
          <w:p w14:paraId="6E0A4FDB" w14:textId="77777777" w:rsidR="00AC03B5" w:rsidRPr="009115C7" w:rsidRDefault="00AC03B5" w:rsidP="008162C8">
            <w:pPr>
              <w:ind w:left="113" w:right="113"/>
              <w:jc w:val="center"/>
              <w:rPr>
                <w:rFonts w:cs="Times New Roman"/>
                <w:b/>
                <w:szCs w:val="16"/>
              </w:rPr>
            </w:pPr>
            <w:r w:rsidRPr="009115C7">
              <w:rPr>
                <w:rFonts w:cs="Times New Roman"/>
                <w:b/>
                <w:szCs w:val="16"/>
              </w:rPr>
              <w:t>Medication type (class)</w:t>
            </w:r>
          </w:p>
        </w:tc>
        <w:tc>
          <w:tcPr>
            <w:tcW w:w="900" w:type="dxa"/>
            <w:shd w:val="clear" w:color="auto" w:fill="F2F2F2" w:themeFill="background1" w:themeFillShade="F2"/>
            <w:textDirection w:val="btLr"/>
            <w:vAlign w:val="center"/>
          </w:tcPr>
          <w:p w14:paraId="1CA67E65" w14:textId="77777777" w:rsidR="00AC03B5" w:rsidRPr="009115C7" w:rsidRDefault="00AC03B5" w:rsidP="008162C8">
            <w:pPr>
              <w:ind w:left="113" w:right="113"/>
              <w:jc w:val="center"/>
              <w:rPr>
                <w:rFonts w:cs="Times New Roman"/>
                <w:b/>
                <w:szCs w:val="16"/>
              </w:rPr>
            </w:pPr>
            <w:r w:rsidRPr="009115C7">
              <w:rPr>
                <w:rFonts w:cs="Times New Roman"/>
                <w:b/>
                <w:szCs w:val="16"/>
              </w:rPr>
              <w:t>Sponsored study (Y/N)</w:t>
            </w:r>
          </w:p>
        </w:tc>
        <w:tc>
          <w:tcPr>
            <w:tcW w:w="952" w:type="dxa"/>
            <w:shd w:val="clear" w:color="auto" w:fill="F2F2F2" w:themeFill="background1" w:themeFillShade="F2"/>
            <w:textDirection w:val="btLr"/>
            <w:vAlign w:val="center"/>
          </w:tcPr>
          <w:p w14:paraId="3A4BA9A8" w14:textId="77777777" w:rsidR="00AC03B5" w:rsidRPr="009115C7" w:rsidRDefault="00AC03B5" w:rsidP="008162C8">
            <w:pPr>
              <w:ind w:left="113" w:right="113"/>
              <w:jc w:val="center"/>
              <w:rPr>
                <w:rFonts w:cs="Times New Roman"/>
                <w:b/>
                <w:szCs w:val="16"/>
              </w:rPr>
            </w:pPr>
            <w:r w:rsidRPr="009115C7">
              <w:rPr>
                <w:rFonts w:cs="Times New Roman"/>
                <w:b/>
                <w:szCs w:val="16"/>
              </w:rPr>
              <w:t>Participant age (mean)</w:t>
            </w:r>
          </w:p>
        </w:tc>
        <w:tc>
          <w:tcPr>
            <w:tcW w:w="814" w:type="dxa"/>
            <w:shd w:val="clear" w:color="auto" w:fill="F2F2F2" w:themeFill="background1" w:themeFillShade="F2"/>
            <w:textDirection w:val="btLr"/>
            <w:vAlign w:val="center"/>
          </w:tcPr>
          <w:p w14:paraId="03B85805" w14:textId="77777777" w:rsidR="00AC03B5" w:rsidRPr="009115C7" w:rsidRDefault="00AC03B5" w:rsidP="008162C8">
            <w:pPr>
              <w:ind w:left="113" w:right="113"/>
              <w:jc w:val="center"/>
              <w:rPr>
                <w:rFonts w:cs="Times New Roman"/>
                <w:b/>
                <w:szCs w:val="16"/>
              </w:rPr>
            </w:pPr>
            <w:r w:rsidRPr="009115C7">
              <w:rPr>
                <w:rFonts w:cs="Times New Roman"/>
                <w:b/>
                <w:szCs w:val="16"/>
              </w:rPr>
              <w:t>%gender</w:t>
            </w:r>
          </w:p>
        </w:tc>
        <w:tc>
          <w:tcPr>
            <w:tcW w:w="806" w:type="dxa"/>
            <w:shd w:val="clear" w:color="auto" w:fill="F2F2F2" w:themeFill="background1" w:themeFillShade="F2"/>
            <w:textDirection w:val="btLr"/>
            <w:vAlign w:val="center"/>
          </w:tcPr>
          <w:p w14:paraId="52155DF4" w14:textId="77777777" w:rsidR="00AC03B5" w:rsidRPr="009115C7" w:rsidRDefault="00AC03B5" w:rsidP="008162C8">
            <w:pPr>
              <w:ind w:left="113" w:right="113"/>
              <w:jc w:val="center"/>
              <w:rPr>
                <w:rFonts w:cs="Times New Roman"/>
                <w:b/>
                <w:szCs w:val="16"/>
              </w:rPr>
            </w:pPr>
            <w:r w:rsidRPr="009115C7">
              <w:rPr>
                <w:rFonts w:cs="Times New Roman"/>
                <w:b/>
                <w:szCs w:val="16"/>
              </w:rPr>
              <w:t>Duration of study</w:t>
            </w:r>
          </w:p>
        </w:tc>
        <w:tc>
          <w:tcPr>
            <w:tcW w:w="745" w:type="dxa"/>
            <w:shd w:val="clear" w:color="auto" w:fill="F2F2F2" w:themeFill="background1" w:themeFillShade="F2"/>
            <w:textDirection w:val="btLr"/>
            <w:vAlign w:val="center"/>
          </w:tcPr>
          <w:p w14:paraId="18C244F1" w14:textId="77777777" w:rsidR="00AC03B5" w:rsidRPr="009115C7" w:rsidRDefault="00AC03B5" w:rsidP="008162C8">
            <w:pPr>
              <w:ind w:left="113" w:right="113"/>
              <w:jc w:val="center"/>
              <w:rPr>
                <w:rFonts w:cs="Times New Roman"/>
                <w:b/>
                <w:szCs w:val="16"/>
              </w:rPr>
            </w:pPr>
            <w:r w:rsidRPr="009115C7">
              <w:rPr>
                <w:rFonts w:cs="Times New Roman"/>
                <w:b/>
                <w:szCs w:val="16"/>
              </w:rPr>
              <w:t>Unbalanced randomization</w:t>
            </w:r>
          </w:p>
        </w:tc>
        <w:tc>
          <w:tcPr>
            <w:tcW w:w="745" w:type="dxa"/>
            <w:shd w:val="clear" w:color="auto" w:fill="F2F2F2" w:themeFill="background1" w:themeFillShade="F2"/>
            <w:textDirection w:val="btLr"/>
            <w:vAlign w:val="center"/>
          </w:tcPr>
          <w:p w14:paraId="6FDB8938" w14:textId="77777777" w:rsidR="00AC03B5" w:rsidRPr="009115C7" w:rsidRDefault="00AC03B5" w:rsidP="008162C8">
            <w:pPr>
              <w:ind w:left="113" w:right="113"/>
              <w:jc w:val="center"/>
              <w:rPr>
                <w:rFonts w:cs="Times New Roman"/>
                <w:b/>
                <w:szCs w:val="16"/>
              </w:rPr>
            </w:pPr>
            <w:r w:rsidRPr="009115C7">
              <w:rPr>
                <w:rFonts w:cs="Times New Roman"/>
                <w:b/>
                <w:szCs w:val="16"/>
              </w:rPr>
              <w:t>Baseline severity</w:t>
            </w:r>
          </w:p>
        </w:tc>
        <w:tc>
          <w:tcPr>
            <w:tcW w:w="745" w:type="dxa"/>
            <w:shd w:val="clear" w:color="auto" w:fill="F2F2F2" w:themeFill="background1" w:themeFillShade="F2"/>
            <w:textDirection w:val="btLr"/>
            <w:vAlign w:val="center"/>
          </w:tcPr>
          <w:p w14:paraId="542C27F9" w14:textId="77777777" w:rsidR="00AC03B5" w:rsidRPr="009115C7" w:rsidRDefault="00AC03B5" w:rsidP="008162C8">
            <w:pPr>
              <w:ind w:left="113" w:right="113"/>
              <w:jc w:val="center"/>
              <w:rPr>
                <w:rFonts w:cs="Times New Roman"/>
                <w:b/>
                <w:szCs w:val="16"/>
              </w:rPr>
            </w:pPr>
            <w:r w:rsidRPr="009115C7">
              <w:rPr>
                <w:rFonts w:cs="Times New Roman"/>
                <w:b/>
                <w:szCs w:val="16"/>
              </w:rPr>
              <w:t>Severity scale</w:t>
            </w:r>
          </w:p>
        </w:tc>
        <w:tc>
          <w:tcPr>
            <w:tcW w:w="684" w:type="dxa"/>
            <w:shd w:val="clear" w:color="auto" w:fill="F2F2F2" w:themeFill="background1" w:themeFillShade="F2"/>
            <w:textDirection w:val="btLr"/>
            <w:vAlign w:val="center"/>
          </w:tcPr>
          <w:p w14:paraId="3D065466" w14:textId="77777777" w:rsidR="00AC03B5" w:rsidRPr="009115C7" w:rsidRDefault="00AC03B5" w:rsidP="008162C8">
            <w:pPr>
              <w:ind w:left="113" w:right="113"/>
              <w:jc w:val="center"/>
              <w:rPr>
                <w:rFonts w:cs="Times New Roman"/>
                <w:b/>
                <w:szCs w:val="16"/>
              </w:rPr>
            </w:pPr>
            <w:r w:rsidRPr="009115C7">
              <w:rPr>
                <w:rFonts w:cs="Times New Roman"/>
                <w:b/>
                <w:szCs w:val="16"/>
              </w:rPr>
              <w:t>Author COI (Y/N)</w:t>
            </w:r>
          </w:p>
        </w:tc>
        <w:tc>
          <w:tcPr>
            <w:tcW w:w="718" w:type="dxa"/>
            <w:shd w:val="clear" w:color="auto" w:fill="F2F2F2" w:themeFill="background1" w:themeFillShade="F2"/>
          </w:tcPr>
          <w:p w14:paraId="36E097D6" w14:textId="77777777" w:rsidR="00AC03B5" w:rsidRPr="009115C7" w:rsidRDefault="00AC03B5" w:rsidP="008162C8">
            <w:pPr>
              <w:jc w:val="center"/>
              <w:rPr>
                <w:rFonts w:cs="Times New Roman"/>
                <w:b/>
                <w:szCs w:val="16"/>
              </w:rPr>
            </w:pPr>
            <w:r w:rsidRPr="009115C7">
              <w:rPr>
                <w:rFonts w:cs="Times New Roman"/>
                <w:b/>
                <w:szCs w:val="16"/>
              </w:rPr>
              <w:t>Placebo run in 1 week</w:t>
            </w:r>
          </w:p>
        </w:tc>
      </w:tr>
      <w:tr w:rsidR="00AC03B5" w:rsidRPr="009115C7" w14:paraId="26575FA7" w14:textId="77777777" w:rsidTr="008162C8">
        <w:trPr>
          <w:trHeight w:val="1161"/>
        </w:trPr>
        <w:tc>
          <w:tcPr>
            <w:tcW w:w="1063" w:type="dxa"/>
          </w:tcPr>
          <w:p w14:paraId="300083A7" w14:textId="77777777" w:rsidR="00AC03B5" w:rsidRPr="009115C7" w:rsidRDefault="00AC03B5" w:rsidP="008162C8">
            <w:pPr>
              <w:jc w:val="center"/>
              <w:rPr>
                <w:rFonts w:cs="Times New Roman"/>
                <w:b/>
                <w:szCs w:val="16"/>
              </w:rPr>
            </w:pPr>
            <w:r w:rsidRPr="009115C7">
              <w:rPr>
                <w:rFonts w:cs="Times New Roman"/>
                <w:b/>
                <w:szCs w:val="16"/>
              </w:rPr>
              <w:t>Severity (all measures)</w:t>
            </w:r>
          </w:p>
        </w:tc>
        <w:tc>
          <w:tcPr>
            <w:tcW w:w="849" w:type="dxa"/>
          </w:tcPr>
          <w:p w14:paraId="1EC76D52" w14:textId="77777777" w:rsidR="00AC03B5" w:rsidRPr="009115C7" w:rsidRDefault="00AC03B5" w:rsidP="008162C8">
            <w:pPr>
              <w:jc w:val="center"/>
              <w:rPr>
                <w:rFonts w:cs="Times New Roman"/>
                <w:szCs w:val="16"/>
              </w:rPr>
            </w:pPr>
            <w:r>
              <w:rPr>
                <w:rFonts w:cs="Times New Roman"/>
                <w:szCs w:val="16"/>
              </w:rPr>
              <w:t>*</w:t>
            </w:r>
          </w:p>
          <w:p w14:paraId="63B9997C" w14:textId="77777777" w:rsidR="00AC03B5" w:rsidRPr="009115C7" w:rsidRDefault="00AC03B5" w:rsidP="008162C8">
            <w:pPr>
              <w:jc w:val="center"/>
              <w:rPr>
                <w:rFonts w:cs="Times New Roman"/>
                <w:szCs w:val="16"/>
              </w:rPr>
            </w:pPr>
            <w:r w:rsidRPr="009115C7">
              <w:rPr>
                <w:rFonts w:cs="Times New Roman"/>
                <w:szCs w:val="16"/>
              </w:rPr>
              <w:t>Recent higher E.S.</w:t>
            </w:r>
          </w:p>
        </w:tc>
        <w:tc>
          <w:tcPr>
            <w:tcW w:w="952" w:type="dxa"/>
          </w:tcPr>
          <w:p w14:paraId="62421AD0" w14:textId="77777777" w:rsidR="00AC03B5" w:rsidRPr="009115C7" w:rsidRDefault="00AC03B5" w:rsidP="008162C8">
            <w:pPr>
              <w:jc w:val="center"/>
              <w:rPr>
                <w:rFonts w:cs="Times New Roman"/>
                <w:szCs w:val="16"/>
              </w:rPr>
            </w:pPr>
            <w:r>
              <w:rPr>
                <w:rFonts w:cs="Times New Roman"/>
                <w:szCs w:val="16"/>
              </w:rPr>
              <w:t>*</w:t>
            </w:r>
          </w:p>
          <w:p w14:paraId="1D0B8591" w14:textId="77777777" w:rsidR="00AC03B5" w:rsidRPr="009115C7" w:rsidRDefault="00AC03B5" w:rsidP="008162C8">
            <w:pPr>
              <w:jc w:val="center"/>
              <w:rPr>
                <w:rFonts w:cs="Times New Roman"/>
                <w:szCs w:val="16"/>
              </w:rPr>
            </w:pPr>
            <w:r w:rsidRPr="009115C7">
              <w:rPr>
                <w:rFonts w:cs="Times New Roman"/>
                <w:szCs w:val="16"/>
              </w:rPr>
              <w:t>supplement higher E.S.</w:t>
            </w:r>
          </w:p>
        </w:tc>
        <w:tc>
          <w:tcPr>
            <w:tcW w:w="900" w:type="dxa"/>
          </w:tcPr>
          <w:p w14:paraId="5E0FC3A5"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1DD18515"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09EB3EF0"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20DA3B88" w14:textId="77777777" w:rsidR="00AC03B5" w:rsidRPr="009115C7" w:rsidRDefault="00AC03B5" w:rsidP="008162C8">
            <w:pPr>
              <w:jc w:val="center"/>
              <w:rPr>
                <w:rFonts w:cs="Times New Roman"/>
                <w:szCs w:val="16"/>
              </w:rPr>
            </w:pPr>
            <w:r>
              <w:rPr>
                <w:rFonts w:cs="Times New Roman"/>
                <w:szCs w:val="16"/>
              </w:rPr>
              <w:t>n.s.</w:t>
            </w:r>
          </w:p>
        </w:tc>
        <w:tc>
          <w:tcPr>
            <w:tcW w:w="745" w:type="dxa"/>
          </w:tcPr>
          <w:p w14:paraId="6F2A88AD"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4DCA3E7F" w14:textId="77777777" w:rsidR="00AC03B5" w:rsidRPr="009115C7" w:rsidRDefault="00AC03B5" w:rsidP="008162C8">
            <w:pPr>
              <w:jc w:val="center"/>
              <w:rPr>
                <w:rFonts w:cs="Times New Roman"/>
                <w:szCs w:val="16"/>
              </w:rPr>
            </w:pPr>
            <w:r w:rsidRPr="009115C7">
              <w:rPr>
                <w:rFonts w:cs="Times New Roman"/>
                <w:szCs w:val="16"/>
              </w:rPr>
              <w:t>NA</w:t>
            </w:r>
          </w:p>
        </w:tc>
        <w:tc>
          <w:tcPr>
            <w:tcW w:w="745" w:type="dxa"/>
          </w:tcPr>
          <w:p w14:paraId="62CC6C78" w14:textId="77777777" w:rsidR="00AC03B5" w:rsidRPr="009115C7" w:rsidRDefault="00AC03B5" w:rsidP="008162C8">
            <w:pPr>
              <w:jc w:val="center"/>
              <w:rPr>
                <w:rFonts w:cs="Times New Roman"/>
                <w:szCs w:val="16"/>
              </w:rPr>
            </w:pPr>
            <w:r w:rsidRPr="009115C7">
              <w:rPr>
                <w:rFonts w:cs="Times New Roman"/>
                <w:szCs w:val="16"/>
              </w:rPr>
              <w:t>n.s.</w:t>
            </w:r>
          </w:p>
        </w:tc>
        <w:tc>
          <w:tcPr>
            <w:tcW w:w="684" w:type="dxa"/>
          </w:tcPr>
          <w:p w14:paraId="576A2BBB" w14:textId="77777777" w:rsidR="00AC03B5" w:rsidRPr="009115C7" w:rsidRDefault="00AC03B5" w:rsidP="008162C8">
            <w:pPr>
              <w:jc w:val="center"/>
              <w:rPr>
                <w:rFonts w:cs="Times New Roman"/>
                <w:szCs w:val="16"/>
              </w:rPr>
            </w:pPr>
            <w:r w:rsidRPr="009115C7">
              <w:rPr>
                <w:rFonts w:cs="Times New Roman"/>
                <w:szCs w:val="16"/>
              </w:rPr>
              <w:t>n.s.</w:t>
            </w:r>
          </w:p>
        </w:tc>
        <w:tc>
          <w:tcPr>
            <w:tcW w:w="718" w:type="dxa"/>
          </w:tcPr>
          <w:p w14:paraId="1F1C939B"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1BE53D75" w14:textId="77777777" w:rsidTr="008162C8">
        <w:trPr>
          <w:trHeight w:val="1161"/>
        </w:trPr>
        <w:tc>
          <w:tcPr>
            <w:tcW w:w="1063" w:type="dxa"/>
          </w:tcPr>
          <w:p w14:paraId="00FD41F1" w14:textId="77777777" w:rsidR="00AC03B5" w:rsidRPr="009115C7" w:rsidRDefault="00AC03B5" w:rsidP="008162C8">
            <w:pPr>
              <w:jc w:val="center"/>
              <w:rPr>
                <w:rFonts w:cs="Times New Roman"/>
                <w:b/>
                <w:szCs w:val="16"/>
              </w:rPr>
            </w:pPr>
            <w:r w:rsidRPr="009115C7">
              <w:rPr>
                <w:rFonts w:cs="Times New Roman"/>
                <w:b/>
                <w:szCs w:val="16"/>
              </w:rPr>
              <w:t>QoL</w:t>
            </w:r>
          </w:p>
        </w:tc>
        <w:tc>
          <w:tcPr>
            <w:tcW w:w="849" w:type="dxa"/>
          </w:tcPr>
          <w:p w14:paraId="0ED77DD7"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7C0358ED" w14:textId="77777777" w:rsidR="00AC03B5" w:rsidRPr="009115C7" w:rsidRDefault="00AC03B5" w:rsidP="008162C8">
            <w:pPr>
              <w:jc w:val="center"/>
              <w:rPr>
                <w:rFonts w:cs="Times New Roman"/>
                <w:szCs w:val="16"/>
              </w:rPr>
            </w:pPr>
            <w:r>
              <w:rPr>
                <w:rFonts w:cs="Times New Roman"/>
                <w:szCs w:val="16"/>
              </w:rPr>
              <w:t>n.s.</w:t>
            </w:r>
          </w:p>
        </w:tc>
        <w:tc>
          <w:tcPr>
            <w:tcW w:w="900" w:type="dxa"/>
          </w:tcPr>
          <w:p w14:paraId="27776DCE"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2BBC30B5"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6DA5646C"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7D0A66D0"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131722D7" w14:textId="77777777" w:rsidR="00AC03B5" w:rsidRPr="009115C7" w:rsidRDefault="00AC03B5" w:rsidP="008162C8">
            <w:pPr>
              <w:jc w:val="center"/>
              <w:rPr>
                <w:rFonts w:cs="Times New Roman"/>
                <w:szCs w:val="16"/>
              </w:rPr>
            </w:pPr>
            <w:r w:rsidRPr="009115C7">
              <w:rPr>
                <w:rFonts w:cs="Times New Roman"/>
                <w:szCs w:val="16"/>
              </w:rPr>
              <w:t>NA</w:t>
            </w:r>
          </w:p>
        </w:tc>
        <w:tc>
          <w:tcPr>
            <w:tcW w:w="745" w:type="dxa"/>
          </w:tcPr>
          <w:p w14:paraId="79A04D85" w14:textId="77777777" w:rsidR="00AC03B5" w:rsidRPr="009115C7" w:rsidRDefault="00AC03B5" w:rsidP="008162C8">
            <w:pPr>
              <w:jc w:val="center"/>
              <w:rPr>
                <w:rFonts w:cs="Times New Roman"/>
                <w:szCs w:val="16"/>
              </w:rPr>
            </w:pPr>
            <w:r w:rsidRPr="009115C7">
              <w:rPr>
                <w:rFonts w:cs="Times New Roman"/>
                <w:szCs w:val="16"/>
              </w:rPr>
              <w:t>*</w:t>
            </w:r>
            <w:r>
              <w:rPr>
                <w:rFonts w:cs="Times New Roman"/>
                <w:szCs w:val="16"/>
              </w:rPr>
              <w:t>*</w:t>
            </w:r>
            <w:r w:rsidRPr="009115C7">
              <w:rPr>
                <w:rFonts w:cs="Times New Roman"/>
                <w:szCs w:val="16"/>
              </w:rPr>
              <w:t xml:space="preserve"> </w:t>
            </w:r>
            <w:r>
              <w:rPr>
                <w:rFonts w:cs="Times New Roman"/>
                <w:szCs w:val="16"/>
              </w:rPr>
              <w:t xml:space="preserve">lower </w:t>
            </w:r>
            <w:r w:rsidRPr="009115C7">
              <w:rPr>
                <w:rFonts w:cs="Times New Roman"/>
                <w:szCs w:val="16"/>
              </w:rPr>
              <w:t>baseline higher E.S.</w:t>
            </w:r>
          </w:p>
        </w:tc>
        <w:tc>
          <w:tcPr>
            <w:tcW w:w="745" w:type="dxa"/>
          </w:tcPr>
          <w:p w14:paraId="15CAE918" w14:textId="77777777" w:rsidR="00AC03B5" w:rsidRPr="009115C7" w:rsidRDefault="00AC03B5" w:rsidP="008162C8">
            <w:pPr>
              <w:jc w:val="center"/>
              <w:rPr>
                <w:rFonts w:cs="Times New Roman"/>
                <w:szCs w:val="16"/>
              </w:rPr>
            </w:pPr>
            <w:r w:rsidRPr="009115C7">
              <w:rPr>
                <w:rFonts w:cs="Times New Roman"/>
                <w:szCs w:val="16"/>
              </w:rPr>
              <w:t>n.s.</w:t>
            </w:r>
          </w:p>
        </w:tc>
        <w:tc>
          <w:tcPr>
            <w:tcW w:w="684" w:type="dxa"/>
          </w:tcPr>
          <w:p w14:paraId="245D0846" w14:textId="77777777" w:rsidR="00AC03B5" w:rsidRPr="009115C7" w:rsidRDefault="00AC03B5" w:rsidP="008162C8">
            <w:pPr>
              <w:jc w:val="center"/>
              <w:rPr>
                <w:rFonts w:cs="Times New Roman"/>
                <w:szCs w:val="16"/>
              </w:rPr>
            </w:pPr>
            <w:r>
              <w:rPr>
                <w:rFonts w:cs="Times New Roman"/>
                <w:szCs w:val="16"/>
              </w:rPr>
              <w:t>n.s.</w:t>
            </w:r>
          </w:p>
        </w:tc>
        <w:tc>
          <w:tcPr>
            <w:tcW w:w="718" w:type="dxa"/>
          </w:tcPr>
          <w:p w14:paraId="20133501"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0CE17B6F" w14:textId="77777777" w:rsidTr="008162C8">
        <w:trPr>
          <w:trHeight w:val="1165"/>
        </w:trPr>
        <w:tc>
          <w:tcPr>
            <w:tcW w:w="1063" w:type="dxa"/>
          </w:tcPr>
          <w:p w14:paraId="44738007" w14:textId="77777777" w:rsidR="00AC03B5" w:rsidRPr="009115C7" w:rsidRDefault="00AC03B5" w:rsidP="008162C8">
            <w:pPr>
              <w:jc w:val="center"/>
              <w:rPr>
                <w:rFonts w:cs="Times New Roman"/>
                <w:b/>
                <w:szCs w:val="16"/>
              </w:rPr>
            </w:pPr>
            <w:r w:rsidRPr="009115C7">
              <w:rPr>
                <w:rFonts w:cs="Times New Roman"/>
                <w:b/>
                <w:szCs w:val="16"/>
              </w:rPr>
              <w:t>PGYBOCS</w:t>
            </w:r>
          </w:p>
        </w:tc>
        <w:tc>
          <w:tcPr>
            <w:tcW w:w="849" w:type="dxa"/>
          </w:tcPr>
          <w:p w14:paraId="1E03742C" w14:textId="77777777" w:rsidR="00AC03B5" w:rsidRPr="009115C7" w:rsidRDefault="00AC03B5" w:rsidP="008162C8">
            <w:pPr>
              <w:jc w:val="center"/>
              <w:rPr>
                <w:rFonts w:cs="Times New Roman"/>
                <w:szCs w:val="16"/>
              </w:rPr>
            </w:pPr>
            <w:r>
              <w:rPr>
                <w:rFonts w:cs="Times New Roman"/>
                <w:szCs w:val="16"/>
              </w:rPr>
              <w:t>*</w:t>
            </w:r>
          </w:p>
          <w:p w14:paraId="058C777B" w14:textId="77777777" w:rsidR="00AC03B5" w:rsidRPr="009115C7" w:rsidRDefault="00AC03B5" w:rsidP="008162C8">
            <w:pPr>
              <w:jc w:val="center"/>
              <w:rPr>
                <w:rFonts w:cs="Times New Roman"/>
                <w:szCs w:val="16"/>
              </w:rPr>
            </w:pPr>
            <w:r w:rsidRPr="009115C7">
              <w:rPr>
                <w:rFonts w:cs="Times New Roman"/>
                <w:szCs w:val="16"/>
              </w:rPr>
              <w:t>Recent higher E.S.</w:t>
            </w:r>
          </w:p>
        </w:tc>
        <w:tc>
          <w:tcPr>
            <w:tcW w:w="952" w:type="dxa"/>
          </w:tcPr>
          <w:p w14:paraId="78D065B3" w14:textId="77777777" w:rsidR="00AC03B5" w:rsidRPr="009115C7" w:rsidRDefault="00AC03B5" w:rsidP="008162C8">
            <w:pPr>
              <w:jc w:val="center"/>
              <w:rPr>
                <w:rFonts w:cs="Times New Roman"/>
                <w:szCs w:val="16"/>
              </w:rPr>
            </w:pPr>
            <w:r w:rsidRPr="009115C7">
              <w:rPr>
                <w:rFonts w:cs="Times New Roman"/>
                <w:szCs w:val="16"/>
              </w:rPr>
              <w:t>* supplement higher E.S.</w:t>
            </w:r>
          </w:p>
        </w:tc>
        <w:tc>
          <w:tcPr>
            <w:tcW w:w="900" w:type="dxa"/>
          </w:tcPr>
          <w:p w14:paraId="6DDA70D2"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70271E99"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27CDCC98"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1D2EA42F" w14:textId="77777777" w:rsidR="00AC03B5" w:rsidRPr="009115C7" w:rsidRDefault="00AC03B5" w:rsidP="008162C8">
            <w:pPr>
              <w:jc w:val="center"/>
              <w:rPr>
                <w:rFonts w:cs="Times New Roman"/>
                <w:szCs w:val="16"/>
              </w:rPr>
            </w:pPr>
            <w:r>
              <w:rPr>
                <w:rFonts w:cs="Times New Roman"/>
                <w:szCs w:val="16"/>
              </w:rPr>
              <w:t>n.s.</w:t>
            </w:r>
          </w:p>
        </w:tc>
        <w:tc>
          <w:tcPr>
            <w:tcW w:w="745" w:type="dxa"/>
          </w:tcPr>
          <w:p w14:paraId="215D650F"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16FABCF4" w14:textId="77777777" w:rsidR="00AC03B5" w:rsidRPr="009115C7" w:rsidRDefault="00AC03B5" w:rsidP="008162C8">
            <w:pPr>
              <w:jc w:val="center"/>
              <w:rPr>
                <w:rFonts w:cs="Times New Roman"/>
                <w:szCs w:val="16"/>
              </w:rPr>
            </w:pPr>
            <w:r>
              <w:rPr>
                <w:rFonts w:cs="Times New Roman"/>
                <w:szCs w:val="16"/>
              </w:rPr>
              <w:t>**</w:t>
            </w:r>
            <w:r w:rsidRPr="009115C7">
              <w:rPr>
                <w:rFonts w:cs="Times New Roman"/>
                <w:szCs w:val="16"/>
              </w:rPr>
              <w:t xml:space="preserve"> higher baseline higher E.S.</w:t>
            </w:r>
          </w:p>
        </w:tc>
        <w:tc>
          <w:tcPr>
            <w:tcW w:w="745" w:type="dxa"/>
          </w:tcPr>
          <w:p w14:paraId="2C2FA194" w14:textId="77777777" w:rsidR="00AC03B5" w:rsidRPr="009115C7" w:rsidRDefault="00AC03B5" w:rsidP="008162C8">
            <w:pPr>
              <w:jc w:val="center"/>
              <w:rPr>
                <w:rFonts w:cs="Times New Roman"/>
                <w:szCs w:val="16"/>
              </w:rPr>
            </w:pPr>
            <w:r w:rsidRPr="009115C7">
              <w:rPr>
                <w:rFonts w:cs="Times New Roman"/>
                <w:szCs w:val="16"/>
              </w:rPr>
              <w:t>NA</w:t>
            </w:r>
          </w:p>
        </w:tc>
        <w:tc>
          <w:tcPr>
            <w:tcW w:w="684" w:type="dxa"/>
          </w:tcPr>
          <w:p w14:paraId="3A566270" w14:textId="77777777" w:rsidR="00AC03B5" w:rsidRPr="009115C7" w:rsidRDefault="00AC03B5" w:rsidP="008162C8">
            <w:pPr>
              <w:jc w:val="center"/>
              <w:rPr>
                <w:rFonts w:cs="Times New Roman"/>
                <w:szCs w:val="16"/>
              </w:rPr>
            </w:pPr>
            <w:r w:rsidRPr="009115C7">
              <w:rPr>
                <w:rFonts w:cs="Times New Roman"/>
                <w:szCs w:val="16"/>
              </w:rPr>
              <w:t>n.s.</w:t>
            </w:r>
          </w:p>
        </w:tc>
        <w:tc>
          <w:tcPr>
            <w:tcW w:w="718" w:type="dxa"/>
          </w:tcPr>
          <w:p w14:paraId="1F0B3AF5"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33E706B0" w14:textId="77777777" w:rsidTr="008162C8">
        <w:trPr>
          <w:trHeight w:val="1629"/>
        </w:trPr>
        <w:tc>
          <w:tcPr>
            <w:tcW w:w="1063" w:type="dxa"/>
          </w:tcPr>
          <w:p w14:paraId="41490E2B" w14:textId="77777777" w:rsidR="00AC03B5" w:rsidRPr="009115C7" w:rsidRDefault="00AC03B5" w:rsidP="008162C8">
            <w:pPr>
              <w:jc w:val="center"/>
              <w:rPr>
                <w:rFonts w:cs="Times New Roman"/>
                <w:b/>
                <w:szCs w:val="16"/>
              </w:rPr>
            </w:pPr>
            <w:r w:rsidRPr="009115C7">
              <w:rPr>
                <w:rFonts w:cs="Times New Roman"/>
                <w:b/>
                <w:szCs w:val="16"/>
              </w:rPr>
              <w:t>GSAS</w:t>
            </w:r>
          </w:p>
        </w:tc>
        <w:tc>
          <w:tcPr>
            <w:tcW w:w="849" w:type="dxa"/>
          </w:tcPr>
          <w:p w14:paraId="2AB14DFB" w14:textId="77777777" w:rsidR="00AC03B5" w:rsidRPr="009115C7" w:rsidRDefault="00AC03B5" w:rsidP="008162C8">
            <w:pPr>
              <w:jc w:val="center"/>
              <w:rPr>
                <w:rFonts w:cs="Times New Roman"/>
                <w:szCs w:val="16"/>
              </w:rPr>
            </w:pPr>
            <w:r>
              <w:rPr>
                <w:rFonts w:cs="Times New Roman"/>
                <w:szCs w:val="16"/>
              </w:rPr>
              <w:t>n.s.</w:t>
            </w:r>
          </w:p>
        </w:tc>
        <w:tc>
          <w:tcPr>
            <w:tcW w:w="952" w:type="dxa"/>
          </w:tcPr>
          <w:p w14:paraId="6F095F29" w14:textId="77777777" w:rsidR="00AC03B5" w:rsidRDefault="00AC03B5" w:rsidP="008162C8">
            <w:pPr>
              <w:jc w:val="center"/>
              <w:rPr>
                <w:rFonts w:cs="Times New Roman"/>
                <w:szCs w:val="16"/>
              </w:rPr>
            </w:pPr>
            <w:r w:rsidRPr="009115C7">
              <w:rPr>
                <w:rFonts w:cs="Times New Roman"/>
                <w:szCs w:val="16"/>
              </w:rPr>
              <w:t>*</w:t>
            </w:r>
            <w:r>
              <w:rPr>
                <w:rFonts w:cs="Times New Roman"/>
                <w:szCs w:val="16"/>
              </w:rPr>
              <w:t>*</w:t>
            </w:r>
          </w:p>
          <w:p w14:paraId="5594A4F3" w14:textId="77777777" w:rsidR="00AC03B5" w:rsidRPr="009115C7" w:rsidRDefault="00AC03B5" w:rsidP="008162C8">
            <w:pPr>
              <w:jc w:val="center"/>
              <w:rPr>
                <w:rFonts w:cs="Times New Roman"/>
                <w:szCs w:val="16"/>
              </w:rPr>
            </w:pPr>
            <w:r w:rsidRPr="009115C7">
              <w:rPr>
                <w:rFonts w:cs="Times New Roman"/>
                <w:szCs w:val="16"/>
              </w:rPr>
              <w:lastRenderedPageBreak/>
              <w:t xml:space="preserve"> </w:t>
            </w:r>
            <w:r>
              <w:rPr>
                <w:rFonts w:cs="Times New Roman"/>
                <w:szCs w:val="16"/>
              </w:rPr>
              <w:t>ORA</w:t>
            </w:r>
            <w:r w:rsidRPr="009115C7">
              <w:rPr>
                <w:rFonts w:cs="Times New Roman"/>
                <w:szCs w:val="16"/>
              </w:rPr>
              <w:t xml:space="preserve"> higher E.S.</w:t>
            </w:r>
          </w:p>
        </w:tc>
        <w:tc>
          <w:tcPr>
            <w:tcW w:w="900" w:type="dxa"/>
          </w:tcPr>
          <w:p w14:paraId="4288DE43" w14:textId="77777777" w:rsidR="00AC03B5" w:rsidRPr="009115C7" w:rsidRDefault="00AC03B5" w:rsidP="008162C8">
            <w:pPr>
              <w:jc w:val="center"/>
              <w:rPr>
                <w:rFonts w:cs="Times New Roman"/>
                <w:szCs w:val="16"/>
              </w:rPr>
            </w:pPr>
            <w:r>
              <w:rPr>
                <w:rFonts w:cs="Times New Roman"/>
                <w:szCs w:val="16"/>
              </w:rPr>
              <w:lastRenderedPageBreak/>
              <w:t xml:space="preserve">** no sponsor </w:t>
            </w:r>
            <w:r>
              <w:rPr>
                <w:rFonts w:cs="Times New Roman"/>
                <w:szCs w:val="16"/>
              </w:rPr>
              <w:lastRenderedPageBreak/>
              <w:t xml:space="preserve">higher E.S. </w:t>
            </w:r>
          </w:p>
        </w:tc>
        <w:tc>
          <w:tcPr>
            <w:tcW w:w="952" w:type="dxa"/>
          </w:tcPr>
          <w:p w14:paraId="17C37DF8" w14:textId="77777777" w:rsidR="00AC03B5" w:rsidRPr="009115C7" w:rsidRDefault="00AC03B5" w:rsidP="008162C8">
            <w:pPr>
              <w:jc w:val="center"/>
              <w:rPr>
                <w:rFonts w:cs="Times New Roman"/>
                <w:szCs w:val="16"/>
              </w:rPr>
            </w:pPr>
            <w:r w:rsidRPr="009115C7">
              <w:rPr>
                <w:rFonts w:cs="Times New Roman"/>
                <w:szCs w:val="16"/>
              </w:rPr>
              <w:lastRenderedPageBreak/>
              <w:t>n.s.</w:t>
            </w:r>
          </w:p>
        </w:tc>
        <w:tc>
          <w:tcPr>
            <w:tcW w:w="814" w:type="dxa"/>
          </w:tcPr>
          <w:p w14:paraId="41C44D77"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22DC94D1" w14:textId="77777777" w:rsidR="00AC03B5" w:rsidRPr="009115C7" w:rsidRDefault="00AC03B5" w:rsidP="008162C8">
            <w:pPr>
              <w:jc w:val="center"/>
              <w:rPr>
                <w:rFonts w:cs="Times New Roman"/>
                <w:szCs w:val="16"/>
              </w:rPr>
            </w:pPr>
            <w:r>
              <w:rPr>
                <w:rFonts w:cs="Times New Roman"/>
                <w:szCs w:val="16"/>
              </w:rPr>
              <w:t>n.s.</w:t>
            </w:r>
          </w:p>
        </w:tc>
        <w:tc>
          <w:tcPr>
            <w:tcW w:w="745" w:type="dxa"/>
          </w:tcPr>
          <w:p w14:paraId="0345CD74" w14:textId="77777777" w:rsidR="00AC03B5" w:rsidRPr="009115C7" w:rsidRDefault="00AC03B5" w:rsidP="008162C8">
            <w:pPr>
              <w:jc w:val="center"/>
              <w:rPr>
                <w:rFonts w:cs="Times New Roman"/>
                <w:szCs w:val="16"/>
              </w:rPr>
            </w:pPr>
            <w:r w:rsidRPr="009115C7">
              <w:rPr>
                <w:rFonts w:cs="Times New Roman"/>
                <w:szCs w:val="16"/>
              </w:rPr>
              <w:t>NA</w:t>
            </w:r>
          </w:p>
        </w:tc>
        <w:tc>
          <w:tcPr>
            <w:tcW w:w="745" w:type="dxa"/>
          </w:tcPr>
          <w:p w14:paraId="27E77F1C"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77040FD7" w14:textId="77777777" w:rsidR="00AC03B5" w:rsidRPr="009115C7" w:rsidRDefault="00AC03B5" w:rsidP="008162C8">
            <w:pPr>
              <w:jc w:val="center"/>
              <w:rPr>
                <w:rFonts w:cs="Times New Roman"/>
                <w:szCs w:val="16"/>
              </w:rPr>
            </w:pPr>
            <w:r w:rsidRPr="009115C7">
              <w:rPr>
                <w:rFonts w:cs="Times New Roman"/>
                <w:szCs w:val="16"/>
              </w:rPr>
              <w:t>NA</w:t>
            </w:r>
          </w:p>
        </w:tc>
        <w:tc>
          <w:tcPr>
            <w:tcW w:w="684" w:type="dxa"/>
          </w:tcPr>
          <w:p w14:paraId="71E0A490" w14:textId="77777777" w:rsidR="00AC03B5" w:rsidRPr="009115C7" w:rsidRDefault="00AC03B5" w:rsidP="008162C8">
            <w:pPr>
              <w:jc w:val="center"/>
              <w:rPr>
                <w:rFonts w:cs="Times New Roman"/>
                <w:szCs w:val="16"/>
              </w:rPr>
            </w:pPr>
            <w:r w:rsidRPr="009115C7">
              <w:rPr>
                <w:rFonts w:cs="Times New Roman"/>
                <w:szCs w:val="16"/>
              </w:rPr>
              <w:t>n.s.</w:t>
            </w:r>
          </w:p>
        </w:tc>
        <w:tc>
          <w:tcPr>
            <w:tcW w:w="718" w:type="dxa"/>
          </w:tcPr>
          <w:p w14:paraId="52161316"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5EC83ECD" w14:textId="77777777" w:rsidTr="008162C8">
        <w:trPr>
          <w:trHeight w:val="232"/>
        </w:trPr>
        <w:tc>
          <w:tcPr>
            <w:tcW w:w="1063" w:type="dxa"/>
          </w:tcPr>
          <w:p w14:paraId="40F863A8" w14:textId="77777777" w:rsidR="00AC03B5" w:rsidRPr="009115C7" w:rsidRDefault="00AC03B5" w:rsidP="008162C8">
            <w:pPr>
              <w:jc w:val="center"/>
              <w:rPr>
                <w:rFonts w:cs="Times New Roman"/>
                <w:b/>
                <w:szCs w:val="16"/>
              </w:rPr>
            </w:pPr>
            <w:r w:rsidRPr="009115C7">
              <w:rPr>
                <w:rFonts w:cs="Times New Roman"/>
                <w:b/>
                <w:szCs w:val="16"/>
              </w:rPr>
              <w:lastRenderedPageBreak/>
              <w:t>CGI</w:t>
            </w:r>
          </w:p>
        </w:tc>
        <w:tc>
          <w:tcPr>
            <w:tcW w:w="849" w:type="dxa"/>
          </w:tcPr>
          <w:p w14:paraId="1413F615"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5CD43322" w14:textId="77777777" w:rsidR="00AC03B5" w:rsidRPr="009115C7" w:rsidRDefault="00AC03B5" w:rsidP="008162C8">
            <w:pPr>
              <w:jc w:val="center"/>
              <w:rPr>
                <w:rFonts w:cs="Times New Roman"/>
                <w:szCs w:val="16"/>
              </w:rPr>
            </w:pPr>
            <w:r w:rsidRPr="009115C7">
              <w:rPr>
                <w:rFonts w:cs="Times New Roman"/>
                <w:szCs w:val="16"/>
              </w:rPr>
              <w:t>n.s.</w:t>
            </w:r>
          </w:p>
        </w:tc>
        <w:tc>
          <w:tcPr>
            <w:tcW w:w="900" w:type="dxa"/>
          </w:tcPr>
          <w:p w14:paraId="53BA7F55"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34B3D3DE"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71D3CC61"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6554922F"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7878F31B"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53135170"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27280EA1" w14:textId="77777777" w:rsidR="00AC03B5" w:rsidRPr="009115C7" w:rsidRDefault="00AC03B5" w:rsidP="008162C8">
            <w:pPr>
              <w:jc w:val="center"/>
              <w:rPr>
                <w:rFonts w:cs="Times New Roman"/>
                <w:szCs w:val="16"/>
              </w:rPr>
            </w:pPr>
            <w:r w:rsidRPr="009115C7">
              <w:rPr>
                <w:rFonts w:cs="Times New Roman"/>
                <w:szCs w:val="16"/>
              </w:rPr>
              <w:t>NA</w:t>
            </w:r>
          </w:p>
        </w:tc>
        <w:tc>
          <w:tcPr>
            <w:tcW w:w="684" w:type="dxa"/>
          </w:tcPr>
          <w:p w14:paraId="46C60144" w14:textId="77777777" w:rsidR="00AC03B5" w:rsidRPr="009115C7" w:rsidRDefault="00AC03B5" w:rsidP="008162C8">
            <w:pPr>
              <w:jc w:val="center"/>
              <w:rPr>
                <w:rFonts w:cs="Times New Roman"/>
                <w:szCs w:val="16"/>
              </w:rPr>
            </w:pPr>
            <w:r w:rsidRPr="009115C7">
              <w:rPr>
                <w:rFonts w:cs="Times New Roman"/>
                <w:szCs w:val="16"/>
              </w:rPr>
              <w:t>n.s.</w:t>
            </w:r>
          </w:p>
        </w:tc>
        <w:tc>
          <w:tcPr>
            <w:tcW w:w="718" w:type="dxa"/>
          </w:tcPr>
          <w:p w14:paraId="352B722F" w14:textId="77777777" w:rsidR="00AC03B5" w:rsidRPr="009115C7" w:rsidRDefault="00AC03B5" w:rsidP="008162C8">
            <w:pPr>
              <w:jc w:val="center"/>
              <w:rPr>
                <w:rFonts w:cs="Times New Roman"/>
                <w:szCs w:val="16"/>
              </w:rPr>
            </w:pPr>
            <w:r w:rsidRPr="009115C7">
              <w:rPr>
                <w:rFonts w:cs="Times New Roman"/>
                <w:szCs w:val="16"/>
              </w:rPr>
              <w:t>n.s.</w:t>
            </w:r>
          </w:p>
        </w:tc>
      </w:tr>
    </w:tbl>
    <w:p w14:paraId="431E347C" w14:textId="77777777" w:rsidR="00AC03B5" w:rsidRDefault="00AC03B5" w:rsidP="00AC03B5">
      <w:r w:rsidRPr="006126E4">
        <w:rPr>
          <w:b/>
        </w:rPr>
        <w:t>Legend</w:t>
      </w:r>
      <w:r>
        <w:t>: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w:t>
      </w:r>
      <w:r w:rsidRPr="00BE1862">
        <w:t xml:space="preserve"> </w:t>
      </w:r>
      <w:r>
        <w:t>QoL = Quality of life; E.S = effect size; n.s.= non-significant statistically; NA = not available/not appropriate; ORAs = Opiate receptor antagonists; MS = mood stabilizers; AP = antipsychotics; AD = antidepressants; COI = Conflict of Interest (defined as the presence of any declared industry related conflict of interest by the authors in any section of the published manuscript); statistical significance: n.s. = non-significant; ‘.’ &lt;.10 (trend); ‘*’ &lt;.05; ‘**’ &lt;0.01; ‘***’ &lt;0.001; NA = not available/not applicable;</w:t>
      </w:r>
    </w:p>
    <w:p w14:paraId="78D0561B" w14:textId="77777777" w:rsidR="00AC03B5" w:rsidRDefault="00AC03B5" w:rsidP="00AC03B5">
      <w:pPr>
        <w:pStyle w:val="Heading2"/>
      </w:pPr>
      <w:r>
        <w:rPr>
          <w:rFonts w:cs="Times New Roman"/>
        </w:rPr>
        <w:t>§S</w:t>
      </w:r>
      <w:r>
        <w:t>7 Sensitivity analysis with correlation 0.75</w:t>
      </w:r>
    </w:p>
    <w:p w14:paraId="6B843A93" w14:textId="77777777" w:rsidR="00AC03B5" w:rsidRDefault="00AC03B5" w:rsidP="00AC03B5">
      <w:pPr>
        <w:pStyle w:val="Heading3"/>
      </w:pPr>
      <w:r>
        <w:t>Forest plots</w:t>
      </w:r>
    </w:p>
    <w:p w14:paraId="4AC8017A" w14:textId="77777777" w:rsidR="00AC03B5" w:rsidRDefault="00AC03B5" w:rsidP="00AC03B5">
      <w:r w:rsidRPr="00B50D06">
        <w:rPr>
          <w:noProof/>
          <w:lang w:eastAsia="en-GB"/>
        </w:rPr>
        <w:drawing>
          <wp:inline distT="0" distB="0" distL="0" distR="0" wp14:anchorId="02617EB2" wp14:editId="7146132E">
            <wp:extent cx="5731510" cy="34378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37890"/>
                    </a:xfrm>
                    <a:prstGeom prst="rect">
                      <a:avLst/>
                    </a:prstGeom>
                  </pic:spPr>
                </pic:pic>
              </a:graphicData>
            </a:graphic>
          </wp:inline>
        </w:drawing>
      </w:r>
    </w:p>
    <w:p w14:paraId="75ED8AB2" w14:textId="77777777" w:rsidR="00AC03B5" w:rsidRDefault="00AC03B5" w:rsidP="00AC03B5">
      <w:pPr>
        <w:pStyle w:val="Heading3"/>
      </w:pPr>
      <w:r>
        <w:lastRenderedPageBreak/>
        <w:t>Funnel plots</w:t>
      </w:r>
    </w:p>
    <w:p w14:paraId="34EEC5A7" w14:textId="77777777" w:rsidR="00AC03B5" w:rsidRPr="00B50D06" w:rsidRDefault="00AC03B5" w:rsidP="00AC03B5">
      <w:r w:rsidRPr="008D5F65">
        <w:rPr>
          <w:noProof/>
          <w:lang w:eastAsia="en-GB"/>
        </w:rPr>
        <w:drawing>
          <wp:inline distT="0" distB="0" distL="0" distR="0" wp14:anchorId="285AC579" wp14:editId="3D5683CE">
            <wp:extent cx="5731510" cy="34118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411855"/>
                    </a:xfrm>
                    <a:prstGeom prst="rect">
                      <a:avLst/>
                    </a:prstGeom>
                  </pic:spPr>
                </pic:pic>
              </a:graphicData>
            </a:graphic>
          </wp:inline>
        </w:drawing>
      </w:r>
    </w:p>
    <w:p w14:paraId="47215C3A" w14:textId="77777777" w:rsidR="00AC03B5" w:rsidRDefault="00AC03B5" w:rsidP="00AC03B5">
      <w:r w:rsidRPr="005649D9">
        <w:rPr>
          <w:b/>
        </w:rPr>
        <w:t>Legend</w:t>
      </w:r>
      <w:r>
        <w:t xml:space="preserve"> – Funnel plots with regression for funnel plot asymmetry p-values.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Publication bias identified in the Quality of life analysis and the trim and fill method was used to provide a new effect size estimate. </w:t>
      </w:r>
    </w:p>
    <w:p w14:paraId="65DBFEA0" w14:textId="77777777" w:rsidR="00AC03B5" w:rsidRDefault="00AC03B5" w:rsidP="00AC03B5">
      <w:pPr>
        <w:jc w:val="center"/>
      </w:pPr>
    </w:p>
    <w:p w14:paraId="43C42CFF" w14:textId="77777777" w:rsidR="00AC03B5" w:rsidRPr="0029344B" w:rsidRDefault="00AC03B5" w:rsidP="00AC03B5">
      <w:pPr>
        <w:pStyle w:val="Heading3"/>
      </w:pPr>
      <w:r>
        <w:t>Heterogeneity placebo with r=0.75</w:t>
      </w:r>
    </w:p>
    <w:tbl>
      <w:tblPr>
        <w:tblStyle w:val="TableGrid"/>
        <w:tblW w:w="0" w:type="auto"/>
        <w:tblLook w:val="04A0" w:firstRow="1" w:lastRow="0" w:firstColumn="1" w:lastColumn="0" w:noHBand="0" w:noVBand="1"/>
      </w:tblPr>
      <w:tblGrid>
        <w:gridCol w:w="1563"/>
        <w:gridCol w:w="1634"/>
        <w:gridCol w:w="1343"/>
        <w:gridCol w:w="1582"/>
        <w:gridCol w:w="1454"/>
        <w:gridCol w:w="1609"/>
      </w:tblGrid>
      <w:tr w:rsidR="00AC03B5" w14:paraId="2B943027" w14:textId="77777777" w:rsidTr="008162C8">
        <w:trPr>
          <w:trHeight w:val="1237"/>
        </w:trPr>
        <w:tc>
          <w:tcPr>
            <w:tcW w:w="1563" w:type="dxa"/>
            <w:shd w:val="clear" w:color="auto" w:fill="DBDBDB" w:themeFill="accent3" w:themeFillTint="66"/>
            <w:vAlign w:val="center"/>
          </w:tcPr>
          <w:p w14:paraId="57FF098D" w14:textId="77777777" w:rsidR="00AC03B5" w:rsidRPr="00D30D35" w:rsidRDefault="00AC03B5" w:rsidP="008162C8">
            <w:pPr>
              <w:jc w:val="center"/>
              <w:rPr>
                <w:b/>
              </w:rPr>
            </w:pPr>
          </w:p>
        </w:tc>
        <w:tc>
          <w:tcPr>
            <w:tcW w:w="1508" w:type="dxa"/>
            <w:shd w:val="clear" w:color="auto" w:fill="DBDBDB" w:themeFill="accent3" w:themeFillTint="66"/>
            <w:vAlign w:val="center"/>
          </w:tcPr>
          <w:p w14:paraId="6E1E5B09" w14:textId="77777777" w:rsidR="00AC03B5" w:rsidRPr="00D30D35" w:rsidRDefault="00AC03B5" w:rsidP="008162C8">
            <w:pPr>
              <w:jc w:val="center"/>
              <w:rPr>
                <w:b/>
              </w:rPr>
            </w:pPr>
            <w:r w:rsidRPr="00B65020">
              <w:rPr>
                <w:b/>
              </w:rPr>
              <w:t>tau^2 (estimated amount of total heterogeneity):</w:t>
            </w:r>
          </w:p>
        </w:tc>
        <w:tc>
          <w:tcPr>
            <w:tcW w:w="1343" w:type="dxa"/>
            <w:shd w:val="clear" w:color="auto" w:fill="DBDBDB" w:themeFill="accent3" w:themeFillTint="66"/>
            <w:vAlign w:val="center"/>
          </w:tcPr>
          <w:p w14:paraId="1D9748EE" w14:textId="77777777" w:rsidR="00AC03B5" w:rsidRPr="00D30D35" w:rsidRDefault="00AC03B5" w:rsidP="008162C8">
            <w:pPr>
              <w:jc w:val="center"/>
              <w:rPr>
                <w:b/>
              </w:rPr>
            </w:pPr>
            <w:r w:rsidRPr="00B65020">
              <w:rPr>
                <w:b/>
              </w:rPr>
              <w:t xml:space="preserve">tau (square root of estimated tau^2 value):      </w:t>
            </w:r>
          </w:p>
        </w:tc>
        <w:tc>
          <w:tcPr>
            <w:tcW w:w="1582" w:type="dxa"/>
            <w:shd w:val="clear" w:color="auto" w:fill="DBDBDB" w:themeFill="accent3" w:themeFillTint="66"/>
            <w:vAlign w:val="center"/>
          </w:tcPr>
          <w:p w14:paraId="4FD59239" w14:textId="77777777" w:rsidR="00AC03B5" w:rsidRPr="00D30D35" w:rsidRDefault="00AC03B5" w:rsidP="008162C8">
            <w:pPr>
              <w:jc w:val="center"/>
              <w:rPr>
                <w:b/>
              </w:rPr>
            </w:pPr>
            <w:r w:rsidRPr="00B65020">
              <w:rPr>
                <w:b/>
              </w:rPr>
              <w:t xml:space="preserve">I^2 (total heterogeneity / total variability):   </w:t>
            </w:r>
          </w:p>
        </w:tc>
        <w:tc>
          <w:tcPr>
            <w:tcW w:w="1454" w:type="dxa"/>
            <w:shd w:val="clear" w:color="auto" w:fill="DBDBDB" w:themeFill="accent3" w:themeFillTint="66"/>
            <w:vAlign w:val="center"/>
          </w:tcPr>
          <w:p w14:paraId="4F5784A6" w14:textId="77777777" w:rsidR="00AC03B5" w:rsidRPr="00D30D35" w:rsidRDefault="00AC03B5" w:rsidP="008162C8">
            <w:pPr>
              <w:jc w:val="center"/>
              <w:rPr>
                <w:b/>
              </w:rPr>
            </w:pPr>
            <w:r w:rsidRPr="00B65020">
              <w:rPr>
                <w:b/>
              </w:rPr>
              <w:t xml:space="preserve">H^2 (total variability / sampling variability):  </w:t>
            </w:r>
          </w:p>
        </w:tc>
        <w:tc>
          <w:tcPr>
            <w:tcW w:w="1455" w:type="dxa"/>
            <w:shd w:val="clear" w:color="auto" w:fill="DBDBDB" w:themeFill="accent3" w:themeFillTint="66"/>
            <w:vAlign w:val="center"/>
          </w:tcPr>
          <w:p w14:paraId="6B88BC61" w14:textId="77777777" w:rsidR="00AC03B5" w:rsidRPr="00B65020" w:rsidRDefault="00AC03B5" w:rsidP="008162C8">
            <w:pPr>
              <w:jc w:val="center"/>
              <w:rPr>
                <w:b/>
              </w:rPr>
            </w:pPr>
            <w:r w:rsidRPr="00B65020">
              <w:rPr>
                <w:b/>
              </w:rPr>
              <w:t>Test for Heterogeneity:</w:t>
            </w:r>
          </w:p>
          <w:p w14:paraId="77AFBA8A" w14:textId="77777777" w:rsidR="00AC03B5" w:rsidRPr="00D30D35" w:rsidRDefault="00AC03B5" w:rsidP="008162C8">
            <w:pPr>
              <w:jc w:val="center"/>
              <w:rPr>
                <w:b/>
              </w:rPr>
            </w:pPr>
          </w:p>
        </w:tc>
      </w:tr>
      <w:tr w:rsidR="00AC03B5" w14:paraId="511085F6" w14:textId="77777777" w:rsidTr="008162C8">
        <w:trPr>
          <w:trHeight w:val="842"/>
        </w:trPr>
        <w:tc>
          <w:tcPr>
            <w:tcW w:w="1563" w:type="dxa"/>
            <w:shd w:val="clear" w:color="auto" w:fill="DBDBDB" w:themeFill="accent3" w:themeFillTint="66"/>
            <w:vAlign w:val="center"/>
          </w:tcPr>
          <w:p w14:paraId="6F0810EC" w14:textId="77777777" w:rsidR="00AC03B5" w:rsidRPr="00865875" w:rsidRDefault="00AC03B5" w:rsidP="008162C8">
            <w:pPr>
              <w:jc w:val="center"/>
              <w:rPr>
                <w:b/>
                <w:szCs w:val="16"/>
              </w:rPr>
            </w:pPr>
            <w:r w:rsidRPr="00865875">
              <w:rPr>
                <w:b/>
                <w:szCs w:val="16"/>
              </w:rPr>
              <w:t>Placebo gambling severity</w:t>
            </w:r>
          </w:p>
        </w:tc>
        <w:tc>
          <w:tcPr>
            <w:tcW w:w="1508" w:type="dxa"/>
            <w:shd w:val="clear" w:color="auto" w:fill="FFFFFF" w:themeFill="background1"/>
            <w:vAlign w:val="center"/>
          </w:tcPr>
          <w:p w14:paraId="237E15E3" w14:textId="77777777" w:rsidR="00AC03B5" w:rsidRDefault="00AC03B5" w:rsidP="008162C8">
            <w:pPr>
              <w:jc w:val="center"/>
            </w:pPr>
            <w:r>
              <w:t>0.4269 (SE = 0.1989)</w:t>
            </w:r>
          </w:p>
        </w:tc>
        <w:tc>
          <w:tcPr>
            <w:tcW w:w="1343" w:type="dxa"/>
            <w:shd w:val="clear" w:color="auto" w:fill="FFFFFF" w:themeFill="background1"/>
            <w:vAlign w:val="center"/>
          </w:tcPr>
          <w:p w14:paraId="371A6B86" w14:textId="77777777" w:rsidR="00AC03B5" w:rsidRDefault="00AC03B5" w:rsidP="008162C8">
            <w:pPr>
              <w:jc w:val="center"/>
            </w:pPr>
            <w:r>
              <w:t>0.6534</w:t>
            </w:r>
          </w:p>
        </w:tc>
        <w:tc>
          <w:tcPr>
            <w:tcW w:w="1582" w:type="dxa"/>
            <w:shd w:val="clear" w:color="auto" w:fill="FFFFFF" w:themeFill="background1"/>
            <w:vAlign w:val="center"/>
          </w:tcPr>
          <w:p w14:paraId="0B9BC727" w14:textId="77777777" w:rsidR="00AC03B5" w:rsidRDefault="00AC03B5" w:rsidP="008162C8">
            <w:pPr>
              <w:jc w:val="center"/>
            </w:pPr>
            <w:r>
              <w:t>82.64%</w:t>
            </w:r>
          </w:p>
        </w:tc>
        <w:tc>
          <w:tcPr>
            <w:tcW w:w="1454" w:type="dxa"/>
            <w:shd w:val="clear" w:color="auto" w:fill="FFFFFF" w:themeFill="background1"/>
            <w:vAlign w:val="center"/>
          </w:tcPr>
          <w:p w14:paraId="7233E3FA" w14:textId="77777777" w:rsidR="00AC03B5" w:rsidRDefault="00AC03B5" w:rsidP="008162C8">
            <w:pPr>
              <w:jc w:val="center"/>
            </w:pPr>
            <w:r>
              <w:t>5.76</w:t>
            </w:r>
          </w:p>
        </w:tc>
        <w:tc>
          <w:tcPr>
            <w:tcW w:w="1455" w:type="dxa"/>
            <w:shd w:val="clear" w:color="auto" w:fill="FFFFFF" w:themeFill="background1"/>
            <w:vAlign w:val="center"/>
          </w:tcPr>
          <w:p w14:paraId="4BBDF298" w14:textId="77777777" w:rsidR="00AC03B5" w:rsidRDefault="00AC03B5" w:rsidP="008162C8">
            <w:pPr>
              <w:jc w:val="center"/>
            </w:pPr>
            <w:r>
              <w:t>Q(df = 15) = 85.3534, p-val &lt; .0001</w:t>
            </w:r>
          </w:p>
        </w:tc>
      </w:tr>
      <w:tr w:rsidR="00AC03B5" w14:paraId="115BC652" w14:textId="77777777" w:rsidTr="008162C8">
        <w:trPr>
          <w:trHeight w:val="416"/>
        </w:trPr>
        <w:tc>
          <w:tcPr>
            <w:tcW w:w="1563" w:type="dxa"/>
            <w:shd w:val="clear" w:color="auto" w:fill="DBDBDB" w:themeFill="accent3" w:themeFillTint="66"/>
            <w:vAlign w:val="center"/>
          </w:tcPr>
          <w:p w14:paraId="01F018EB" w14:textId="77777777" w:rsidR="00AC03B5" w:rsidRPr="00865875" w:rsidRDefault="00AC03B5" w:rsidP="008162C8">
            <w:pPr>
              <w:jc w:val="center"/>
              <w:rPr>
                <w:b/>
                <w:szCs w:val="16"/>
              </w:rPr>
            </w:pPr>
            <w:r w:rsidRPr="00865875">
              <w:rPr>
                <w:b/>
                <w:szCs w:val="16"/>
              </w:rPr>
              <w:lastRenderedPageBreak/>
              <w:t>Placebo QOL</w:t>
            </w:r>
          </w:p>
        </w:tc>
        <w:tc>
          <w:tcPr>
            <w:tcW w:w="1508" w:type="dxa"/>
            <w:shd w:val="clear" w:color="auto" w:fill="FFFFFF" w:themeFill="background1"/>
            <w:vAlign w:val="center"/>
          </w:tcPr>
          <w:p w14:paraId="72F8AE15" w14:textId="77777777" w:rsidR="00AC03B5" w:rsidRDefault="00AC03B5" w:rsidP="008162C8">
            <w:pPr>
              <w:jc w:val="center"/>
            </w:pPr>
            <w:r>
              <w:t>0.0908 (SE = 0.0797)</w:t>
            </w:r>
          </w:p>
        </w:tc>
        <w:tc>
          <w:tcPr>
            <w:tcW w:w="1343" w:type="dxa"/>
            <w:shd w:val="clear" w:color="auto" w:fill="FFFFFF" w:themeFill="background1"/>
            <w:vAlign w:val="center"/>
          </w:tcPr>
          <w:p w14:paraId="493B5D1B" w14:textId="77777777" w:rsidR="00AC03B5" w:rsidRDefault="00AC03B5" w:rsidP="008162C8">
            <w:pPr>
              <w:jc w:val="center"/>
            </w:pPr>
            <w:r>
              <w:t>0.3014</w:t>
            </w:r>
          </w:p>
        </w:tc>
        <w:tc>
          <w:tcPr>
            <w:tcW w:w="1582" w:type="dxa"/>
            <w:shd w:val="clear" w:color="auto" w:fill="FFFFFF" w:themeFill="background1"/>
            <w:vAlign w:val="center"/>
          </w:tcPr>
          <w:p w14:paraId="056FC0EF" w14:textId="77777777" w:rsidR="00AC03B5" w:rsidRDefault="00AC03B5" w:rsidP="008162C8">
            <w:pPr>
              <w:jc w:val="center"/>
            </w:pPr>
            <w:r>
              <w:t>63.37%</w:t>
            </w:r>
          </w:p>
        </w:tc>
        <w:tc>
          <w:tcPr>
            <w:tcW w:w="1454" w:type="dxa"/>
            <w:shd w:val="clear" w:color="auto" w:fill="FFFFFF" w:themeFill="background1"/>
            <w:vAlign w:val="center"/>
          </w:tcPr>
          <w:p w14:paraId="2B49486C" w14:textId="77777777" w:rsidR="00AC03B5" w:rsidRDefault="00AC03B5" w:rsidP="008162C8">
            <w:pPr>
              <w:jc w:val="center"/>
            </w:pPr>
            <w:r>
              <w:t>2.73</w:t>
            </w:r>
          </w:p>
        </w:tc>
        <w:tc>
          <w:tcPr>
            <w:tcW w:w="1455" w:type="dxa"/>
            <w:shd w:val="clear" w:color="auto" w:fill="FFFFFF" w:themeFill="background1"/>
            <w:vAlign w:val="center"/>
          </w:tcPr>
          <w:p w14:paraId="356C2888" w14:textId="77777777" w:rsidR="00AC03B5" w:rsidRDefault="00AC03B5" w:rsidP="008162C8">
            <w:pPr>
              <w:jc w:val="center"/>
            </w:pPr>
            <w:r>
              <w:t>Q(df = 7) = 19.8945, p-val = 0.0058</w:t>
            </w:r>
          </w:p>
        </w:tc>
      </w:tr>
      <w:tr w:rsidR="00AC03B5" w14:paraId="53BA546C" w14:textId="77777777" w:rsidTr="008162C8">
        <w:trPr>
          <w:trHeight w:val="831"/>
        </w:trPr>
        <w:tc>
          <w:tcPr>
            <w:tcW w:w="1563" w:type="dxa"/>
            <w:shd w:val="clear" w:color="auto" w:fill="DBDBDB" w:themeFill="accent3" w:themeFillTint="66"/>
            <w:vAlign w:val="center"/>
          </w:tcPr>
          <w:p w14:paraId="08D3F443" w14:textId="77777777" w:rsidR="00AC03B5" w:rsidRPr="00865875" w:rsidRDefault="00AC03B5" w:rsidP="008162C8">
            <w:pPr>
              <w:jc w:val="center"/>
              <w:rPr>
                <w:b/>
                <w:szCs w:val="16"/>
              </w:rPr>
            </w:pPr>
            <w:r w:rsidRPr="00865875">
              <w:rPr>
                <w:b/>
                <w:szCs w:val="16"/>
              </w:rPr>
              <w:t>Placebo PGYBOCS</w:t>
            </w:r>
          </w:p>
        </w:tc>
        <w:tc>
          <w:tcPr>
            <w:tcW w:w="1508" w:type="dxa"/>
            <w:shd w:val="clear" w:color="auto" w:fill="FFFFFF" w:themeFill="background1"/>
            <w:vAlign w:val="center"/>
          </w:tcPr>
          <w:p w14:paraId="464E51DB" w14:textId="77777777" w:rsidR="00AC03B5" w:rsidRDefault="00AC03B5" w:rsidP="008162C8">
            <w:pPr>
              <w:jc w:val="center"/>
            </w:pPr>
            <w:r>
              <w:t>0.4976 (SE = 0.2690)</w:t>
            </w:r>
          </w:p>
        </w:tc>
        <w:tc>
          <w:tcPr>
            <w:tcW w:w="1343" w:type="dxa"/>
            <w:shd w:val="clear" w:color="auto" w:fill="FFFFFF" w:themeFill="background1"/>
            <w:vAlign w:val="center"/>
          </w:tcPr>
          <w:p w14:paraId="45A71C25" w14:textId="77777777" w:rsidR="00AC03B5" w:rsidRDefault="00AC03B5" w:rsidP="008162C8">
            <w:pPr>
              <w:jc w:val="center"/>
            </w:pPr>
            <w:r>
              <w:t>0.7054</w:t>
            </w:r>
          </w:p>
        </w:tc>
        <w:tc>
          <w:tcPr>
            <w:tcW w:w="1582" w:type="dxa"/>
            <w:shd w:val="clear" w:color="auto" w:fill="FFFFFF" w:themeFill="background1"/>
            <w:vAlign w:val="center"/>
          </w:tcPr>
          <w:p w14:paraId="36EF8C43" w14:textId="77777777" w:rsidR="00AC03B5" w:rsidRDefault="00AC03B5" w:rsidP="008162C8">
            <w:pPr>
              <w:jc w:val="center"/>
            </w:pPr>
            <w:r>
              <w:t>83.89%</w:t>
            </w:r>
          </w:p>
        </w:tc>
        <w:tc>
          <w:tcPr>
            <w:tcW w:w="1454" w:type="dxa"/>
            <w:shd w:val="clear" w:color="auto" w:fill="FFFFFF" w:themeFill="background1"/>
            <w:vAlign w:val="center"/>
          </w:tcPr>
          <w:p w14:paraId="1EE4B17F" w14:textId="77777777" w:rsidR="00AC03B5" w:rsidRDefault="00AC03B5" w:rsidP="008162C8">
            <w:pPr>
              <w:jc w:val="center"/>
            </w:pPr>
            <w:r>
              <w:t>6.21</w:t>
            </w:r>
          </w:p>
        </w:tc>
        <w:tc>
          <w:tcPr>
            <w:tcW w:w="1455" w:type="dxa"/>
            <w:shd w:val="clear" w:color="auto" w:fill="FFFFFF" w:themeFill="background1"/>
            <w:vAlign w:val="center"/>
          </w:tcPr>
          <w:p w14:paraId="467A0FBB" w14:textId="77777777" w:rsidR="00AC03B5" w:rsidRDefault="00AC03B5" w:rsidP="008162C8">
            <w:pPr>
              <w:jc w:val="center"/>
            </w:pPr>
            <w:r>
              <w:t>Q(df = 11) = 68.1753, p-val &lt; .0001</w:t>
            </w:r>
          </w:p>
        </w:tc>
      </w:tr>
      <w:tr w:rsidR="00AC03B5" w14:paraId="441CEE08" w14:textId="77777777" w:rsidTr="008162C8">
        <w:trPr>
          <w:trHeight w:val="416"/>
        </w:trPr>
        <w:tc>
          <w:tcPr>
            <w:tcW w:w="1563" w:type="dxa"/>
            <w:shd w:val="clear" w:color="auto" w:fill="DBDBDB" w:themeFill="accent3" w:themeFillTint="66"/>
            <w:vAlign w:val="center"/>
          </w:tcPr>
          <w:p w14:paraId="2E4584C2" w14:textId="77777777" w:rsidR="00AC03B5" w:rsidRPr="00865875" w:rsidRDefault="00AC03B5" w:rsidP="008162C8">
            <w:pPr>
              <w:jc w:val="center"/>
              <w:rPr>
                <w:b/>
                <w:szCs w:val="16"/>
              </w:rPr>
            </w:pPr>
            <w:r w:rsidRPr="00865875">
              <w:rPr>
                <w:b/>
                <w:szCs w:val="16"/>
              </w:rPr>
              <w:t>Placebo GSAS</w:t>
            </w:r>
          </w:p>
        </w:tc>
        <w:tc>
          <w:tcPr>
            <w:tcW w:w="1508" w:type="dxa"/>
            <w:shd w:val="clear" w:color="auto" w:fill="FFFFFF" w:themeFill="background1"/>
            <w:vAlign w:val="center"/>
          </w:tcPr>
          <w:p w14:paraId="3C02D1EE" w14:textId="77777777" w:rsidR="00AC03B5" w:rsidRDefault="00AC03B5" w:rsidP="008162C8">
            <w:pPr>
              <w:jc w:val="center"/>
            </w:pPr>
            <w:r>
              <w:t>0.1507 (SE = 0.1185)</w:t>
            </w:r>
          </w:p>
        </w:tc>
        <w:tc>
          <w:tcPr>
            <w:tcW w:w="1343" w:type="dxa"/>
            <w:shd w:val="clear" w:color="auto" w:fill="FFFFFF" w:themeFill="background1"/>
            <w:vAlign w:val="center"/>
          </w:tcPr>
          <w:p w14:paraId="533C6DED" w14:textId="77777777" w:rsidR="00AC03B5" w:rsidRDefault="00AC03B5" w:rsidP="008162C8">
            <w:pPr>
              <w:jc w:val="center"/>
            </w:pPr>
            <w:r>
              <w:t>0.3882</w:t>
            </w:r>
          </w:p>
        </w:tc>
        <w:tc>
          <w:tcPr>
            <w:tcW w:w="1582" w:type="dxa"/>
            <w:shd w:val="clear" w:color="auto" w:fill="FFFFFF" w:themeFill="background1"/>
            <w:vAlign w:val="center"/>
          </w:tcPr>
          <w:p w14:paraId="50520E77" w14:textId="77777777" w:rsidR="00AC03B5" w:rsidRDefault="00AC03B5" w:rsidP="008162C8">
            <w:pPr>
              <w:jc w:val="center"/>
            </w:pPr>
            <w:r>
              <w:t>65.07%</w:t>
            </w:r>
          </w:p>
        </w:tc>
        <w:tc>
          <w:tcPr>
            <w:tcW w:w="1454" w:type="dxa"/>
            <w:shd w:val="clear" w:color="auto" w:fill="FFFFFF" w:themeFill="background1"/>
            <w:vAlign w:val="center"/>
          </w:tcPr>
          <w:p w14:paraId="7701BE3F" w14:textId="77777777" w:rsidR="00AC03B5" w:rsidRDefault="00AC03B5" w:rsidP="008162C8">
            <w:pPr>
              <w:jc w:val="center"/>
            </w:pPr>
            <w:r>
              <w:t>2.86</w:t>
            </w:r>
          </w:p>
        </w:tc>
        <w:tc>
          <w:tcPr>
            <w:tcW w:w="1455" w:type="dxa"/>
            <w:shd w:val="clear" w:color="auto" w:fill="FFFFFF" w:themeFill="background1"/>
            <w:vAlign w:val="center"/>
          </w:tcPr>
          <w:p w14:paraId="18EC80FB" w14:textId="77777777" w:rsidR="00AC03B5" w:rsidRDefault="00AC03B5" w:rsidP="008162C8">
            <w:pPr>
              <w:jc w:val="center"/>
            </w:pPr>
            <w:r>
              <w:t>Q(df = 8) = 23.8891, p-val = 0.0024</w:t>
            </w:r>
          </w:p>
        </w:tc>
      </w:tr>
      <w:tr w:rsidR="00AC03B5" w14:paraId="2A323C21" w14:textId="77777777" w:rsidTr="008162C8">
        <w:trPr>
          <w:trHeight w:val="416"/>
        </w:trPr>
        <w:tc>
          <w:tcPr>
            <w:tcW w:w="1563" w:type="dxa"/>
            <w:shd w:val="clear" w:color="auto" w:fill="DBDBDB" w:themeFill="accent3" w:themeFillTint="66"/>
            <w:vAlign w:val="center"/>
          </w:tcPr>
          <w:p w14:paraId="24E4825F" w14:textId="77777777" w:rsidR="00AC03B5" w:rsidRPr="00865875" w:rsidRDefault="00AC03B5" w:rsidP="008162C8">
            <w:pPr>
              <w:jc w:val="center"/>
              <w:rPr>
                <w:b/>
                <w:szCs w:val="16"/>
              </w:rPr>
            </w:pPr>
            <w:r w:rsidRPr="00865875">
              <w:rPr>
                <w:b/>
                <w:szCs w:val="16"/>
              </w:rPr>
              <w:t>Placebo CGI</w:t>
            </w:r>
            <w:r>
              <w:rPr>
                <w:b/>
                <w:szCs w:val="16"/>
              </w:rPr>
              <w:t>-I</w:t>
            </w:r>
          </w:p>
        </w:tc>
        <w:tc>
          <w:tcPr>
            <w:tcW w:w="1508" w:type="dxa"/>
            <w:shd w:val="clear" w:color="auto" w:fill="FFFFFF" w:themeFill="background1"/>
            <w:vAlign w:val="center"/>
          </w:tcPr>
          <w:p w14:paraId="6D6A4BB4" w14:textId="77777777" w:rsidR="00AC03B5" w:rsidRDefault="00AC03B5" w:rsidP="008162C8">
            <w:pPr>
              <w:jc w:val="center"/>
            </w:pPr>
            <w:r>
              <w:t>0.1215 (SE = 0.1686)</w:t>
            </w:r>
          </w:p>
        </w:tc>
        <w:tc>
          <w:tcPr>
            <w:tcW w:w="1343" w:type="dxa"/>
            <w:shd w:val="clear" w:color="auto" w:fill="FFFFFF" w:themeFill="background1"/>
            <w:vAlign w:val="center"/>
          </w:tcPr>
          <w:p w14:paraId="21E72663" w14:textId="77777777" w:rsidR="00AC03B5" w:rsidRDefault="00AC03B5" w:rsidP="008162C8">
            <w:pPr>
              <w:jc w:val="center"/>
            </w:pPr>
            <w:r>
              <w:t>0.3486</w:t>
            </w:r>
          </w:p>
        </w:tc>
        <w:tc>
          <w:tcPr>
            <w:tcW w:w="1582" w:type="dxa"/>
            <w:shd w:val="clear" w:color="auto" w:fill="FFFFFF" w:themeFill="background1"/>
            <w:vAlign w:val="center"/>
          </w:tcPr>
          <w:p w14:paraId="3BB87051" w14:textId="77777777" w:rsidR="00AC03B5" w:rsidRDefault="00AC03B5" w:rsidP="008162C8">
            <w:pPr>
              <w:jc w:val="center"/>
            </w:pPr>
            <w:r>
              <w:t>52.30%</w:t>
            </w:r>
          </w:p>
        </w:tc>
        <w:tc>
          <w:tcPr>
            <w:tcW w:w="1454" w:type="dxa"/>
            <w:shd w:val="clear" w:color="auto" w:fill="FFFFFF" w:themeFill="background1"/>
            <w:vAlign w:val="center"/>
          </w:tcPr>
          <w:p w14:paraId="2DB9B0CA" w14:textId="77777777" w:rsidR="00AC03B5" w:rsidRDefault="00AC03B5" w:rsidP="008162C8">
            <w:pPr>
              <w:jc w:val="center"/>
            </w:pPr>
            <w:r>
              <w:t>2.10</w:t>
            </w:r>
          </w:p>
        </w:tc>
        <w:tc>
          <w:tcPr>
            <w:tcW w:w="1455" w:type="dxa"/>
            <w:shd w:val="clear" w:color="auto" w:fill="FFFFFF" w:themeFill="background1"/>
            <w:vAlign w:val="center"/>
          </w:tcPr>
          <w:p w14:paraId="47BFF54C" w14:textId="77777777" w:rsidR="00AC03B5" w:rsidRDefault="00AC03B5" w:rsidP="008162C8">
            <w:pPr>
              <w:jc w:val="center"/>
            </w:pPr>
            <w:r>
              <w:t>Q(df = 4) = 7.9725, p-val = 0.0926</w:t>
            </w:r>
          </w:p>
        </w:tc>
      </w:tr>
    </w:tbl>
    <w:p w14:paraId="64397775" w14:textId="77777777" w:rsidR="00AC03B5" w:rsidRDefault="00AC03B5" w:rsidP="00AC03B5">
      <w:r w:rsidRPr="00BE1862">
        <w:rPr>
          <w:b/>
        </w:rPr>
        <w:t>Legend</w:t>
      </w:r>
      <w:r>
        <w:t>: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 xml:space="preserve">; SE = standard error; </w:t>
      </w:r>
      <w:proofErr w:type="gramStart"/>
      <w:r>
        <w:t>df</w:t>
      </w:r>
      <w:proofErr w:type="gramEnd"/>
      <w:r>
        <w:t xml:space="preserve"> = degrees of freedom</w:t>
      </w:r>
      <w:r w:rsidRPr="00BE1862">
        <w:t xml:space="preserve"> </w:t>
      </w:r>
    </w:p>
    <w:p w14:paraId="0BA8A98F" w14:textId="77777777" w:rsidR="00AC03B5" w:rsidRDefault="00AC03B5" w:rsidP="00AC03B5">
      <w:pPr>
        <w:jc w:val="center"/>
      </w:pPr>
    </w:p>
    <w:p w14:paraId="607D958F" w14:textId="77777777" w:rsidR="00AC03B5" w:rsidRDefault="00AC03B5" w:rsidP="00AC03B5">
      <w:pPr>
        <w:pStyle w:val="Heading3"/>
      </w:pPr>
      <w:r>
        <w:t>Meta-regression, placebo with r=0.75</w:t>
      </w:r>
    </w:p>
    <w:tbl>
      <w:tblPr>
        <w:tblStyle w:val="TableGrid"/>
        <w:tblW w:w="9973" w:type="dxa"/>
        <w:tblLayout w:type="fixed"/>
        <w:tblLook w:val="04A0" w:firstRow="1" w:lastRow="0" w:firstColumn="1" w:lastColumn="0" w:noHBand="0" w:noVBand="1"/>
      </w:tblPr>
      <w:tblGrid>
        <w:gridCol w:w="1063"/>
        <w:gridCol w:w="849"/>
        <w:gridCol w:w="952"/>
        <w:gridCol w:w="900"/>
        <w:gridCol w:w="952"/>
        <w:gridCol w:w="814"/>
        <w:gridCol w:w="806"/>
        <w:gridCol w:w="745"/>
        <w:gridCol w:w="745"/>
        <w:gridCol w:w="745"/>
        <w:gridCol w:w="684"/>
        <w:gridCol w:w="718"/>
      </w:tblGrid>
      <w:tr w:rsidR="00AC03B5" w:rsidRPr="009115C7" w14:paraId="0B3D069B" w14:textId="77777777" w:rsidTr="008162C8">
        <w:trPr>
          <w:cantSplit/>
          <w:trHeight w:val="1169"/>
        </w:trPr>
        <w:tc>
          <w:tcPr>
            <w:tcW w:w="1063" w:type="dxa"/>
            <w:shd w:val="clear" w:color="auto" w:fill="F2F2F2" w:themeFill="background1" w:themeFillShade="F2"/>
          </w:tcPr>
          <w:p w14:paraId="4CDF7B25" w14:textId="77777777" w:rsidR="00AC03B5" w:rsidRPr="009115C7" w:rsidRDefault="00AC03B5" w:rsidP="008162C8">
            <w:pPr>
              <w:jc w:val="center"/>
              <w:rPr>
                <w:rFonts w:cs="Times New Roman"/>
                <w:b/>
                <w:szCs w:val="16"/>
              </w:rPr>
            </w:pPr>
            <w:r w:rsidRPr="009115C7">
              <w:rPr>
                <w:rFonts w:cs="Times New Roman"/>
                <w:b/>
                <w:szCs w:val="16"/>
              </w:rPr>
              <w:t>Analysis</w:t>
            </w:r>
          </w:p>
        </w:tc>
        <w:tc>
          <w:tcPr>
            <w:tcW w:w="849" w:type="dxa"/>
            <w:shd w:val="clear" w:color="auto" w:fill="F2F2F2" w:themeFill="background1" w:themeFillShade="F2"/>
            <w:textDirection w:val="btLr"/>
            <w:vAlign w:val="center"/>
          </w:tcPr>
          <w:p w14:paraId="34841F5F" w14:textId="77777777" w:rsidR="00AC03B5" w:rsidRPr="009115C7" w:rsidRDefault="00AC03B5" w:rsidP="008162C8">
            <w:pPr>
              <w:ind w:left="113" w:right="113"/>
              <w:jc w:val="center"/>
              <w:rPr>
                <w:rFonts w:cs="Times New Roman"/>
                <w:b/>
                <w:szCs w:val="16"/>
              </w:rPr>
            </w:pPr>
            <w:r w:rsidRPr="009115C7">
              <w:rPr>
                <w:rFonts w:cs="Times New Roman"/>
                <w:b/>
                <w:szCs w:val="16"/>
              </w:rPr>
              <w:t>Publication Year</w:t>
            </w:r>
          </w:p>
        </w:tc>
        <w:tc>
          <w:tcPr>
            <w:tcW w:w="952" w:type="dxa"/>
            <w:shd w:val="clear" w:color="auto" w:fill="F2F2F2" w:themeFill="background1" w:themeFillShade="F2"/>
            <w:textDirection w:val="btLr"/>
            <w:vAlign w:val="center"/>
          </w:tcPr>
          <w:p w14:paraId="4BB44CB0" w14:textId="77777777" w:rsidR="00AC03B5" w:rsidRPr="009115C7" w:rsidRDefault="00AC03B5" w:rsidP="008162C8">
            <w:pPr>
              <w:ind w:left="113" w:right="113"/>
              <w:jc w:val="center"/>
              <w:rPr>
                <w:rFonts w:cs="Times New Roman"/>
                <w:b/>
                <w:szCs w:val="16"/>
              </w:rPr>
            </w:pPr>
            <w:r w:rsidRPr="009115C7">
              <w:rPr>
                <w:rFonts w:cs="Times New Roman"/>
                <w:b/>
                <w:szCs w:val="16"/>
              </w:rPr>
              <w:t>Medication type (class)</w:t>
            </w:r>
          </w:p>
        </w:tc>
        <w:tc>
          <w:tcPr>
            <w:tcW w:w="900" w:type="dxa"/>
            <w:shd w:val="clear" w:color="auto" w:fill="F2F2F2" w:themeFill="background1" w:themeFillShade="F2"/>
            <w:textDirection w:val="btLr"/>
            <w:vAlign w:val="center"/>
          </w:tcPr>
          <w:p w14:paraId="5EEED939" w14:textId="77777777" w:rsidR="00AC03B5" w:rsidRPr="009115C7" w:rsidRDefault="00AC03B5" w:rsidP="008162C8">
            <w:pPr>
              <w:ind w:left="113" w:right="113"/>
              <w:jc w:val="center"/>
              <w:rPr>
                <w:rFonts w:cs="Times New Roman"/>
                <w:b/>
                <w:szCs w:val="16"/>
              </w:rPr>
            </w:pPr>
            <w:r w:rsidRPr="009115C7">
              <w:rPr>
                <w:rFonts w:cs="Times New Roman"/>
                <w:b/>
                <w:szCs w:val="16"/>
              </w:rPr>
              <w:t>Sponsored study (Y/N)</w:t>
            </w:r>
          </w:p>
        </w:tc>
        <w:tc>
          <w:tcPr>
            <w:tcW w:w="952" w:type="dxa"/>
            <w:shd w:val="clear" w:color="auto" w:fill="F2F2F2" w:themeFill="background1" w:themeFillShade="F2"/>
            <w:textDirection w:val="btLr"/>
            <w:vAlign w:val="center"/>
          </w:tcPr>
          <w:p w14:paraId="0C103F05" w14:textId="77777777" w:rsidR="00AC03B5" w:rsidRPr="009115C7" w:rsidRDefault="00AC03B5" w:rsidP="008162C8">
            <w:pPr>
              <w:ind w:left="113" w:right="113"/>
              <w:jc w:val="center"/>
              <w:rPr>
                <w:rFonts w:cs="Times New Roman"/>
                <w:b/>
                <w:szCs w:val="16"/>
              </w:rPr>
            </w:pPr>
            <w:r w:rsidRPr="009115C7">
              <w:rPr>
                <w:rFonts w:cs="Times New Roman"/>
                <w:b/>
                <w:szCs w:val="16"/>
              </w:rPr>
              <w:t>Participant age (mean)</w:t>
            </w:r>
          </w:p>
        </w:tc>
        <w:tc>
          <w:tcPr>
            <w:tcW w:w="814" w:type="dxa"/>
            <w:shd w:val="clear" w:color="auto" w:fill="F2F2F2" w:themeFill="background1" w:themeFillShade="F2"/>
            <w:textDirection w:val="btLr"/>
            <w:vAlign w:val="center"/>
          </w:tcPr>
          <w:p w14:paraId="664E5817" w14:textId="77777777" w:rsidR="00AC03B5" w:rsidRPr="009115C7" w:rsidRDefault="00AC03B5" w:rsidP="008162C8">
            <w:pPr>
              <w:ind w:left="113" w:right="113"/>
              <w:jc w:val="center"/>
              <w:rPr>
                <w:rFonts w:cs="Times New Roman"/>
                <w:b/>
                <w:szCs w:val="16"/>
              </w:rPr>
            </w:pPr>
            <w:r w:rsidRPr="009115C7">
              <w:rPr>
                <w:rFonts w:cs="Times New Roman"/>
                <w:b/>
                <w:szCs w:val="16"/>
              </w:rPr>
              <w:t>%gender</w:t>
            </w:r>
          </w:p>
        </w:tc>
        <w:tc>
          <w:tcPr>
            <w:tcW w:w="806" w:type="dxa"/>
            <w:shd w:val="clear" w:color="auto" w:fill="F2F2F2" w:themeFill="background1" w:themeFillShade="F2"/>
            <w:textDirection w:val="btLr"/>
            <w:vAlign w:val="center"/>
          </w:tcPr>
          <w:p w14:paraId="669649D0" w14:textId="77777777" w:rsidR="00AC03B5" w:rsidRPr="009115C7" w:rsidRDefault="00AC03B5" w:rsidP="008162C8">
            <w:pPr>
              <w:ind w:left="113" w:right="113"/>
              <w:jc w:val="center"/>
              <w:rPr>
                <w:rFonts w:cs="Times New Roman"/>
                <w:b/>
                <w:szCs w:val="16"/>
              </w:rPr>
            </w:pPr>
            <w:r w:rsidRPr="009115C7">
              <w:rPr>
                <w:rFonts w:cs="Times New Roman"/>
                <w:b/>
                <w:szCs w:val="16"/>
              </w:rPr>
              <w:t>Duration of study</w:t>
            </w:r>
          </w:p>
        </w:tc>
        <w:tc>
          <w:tcPr>
            <w:tcW w:w="745" w:type="dxa"/>
            <w:shd w:val="clear" w:color="auto" w:fill="F2F2F2" w:themeFill="background1" w:themeFillShade="F2"/>
            <w:textDirection w:val="btLr"/>
            <w:vAlign w:val="center"/>
          </w:tcPr>
          <w:p w14:paraId="2E9A9A23" w14:textId="77777777" w:rsidR="00AC03B5" w:rsidRPr="009115C7" w:rsidRDefault="00AC03B5" w:rsidP="008162C8">
            <w:pPr>
              <w:ind w:left="113" w:right="113"/>
              <w:jc w:val="center"/>
              <w:rPr>
                <w:rFonts w:cs="Times New Roman"/>
                <w:b/>
                <w:szCs w:val="16"/>
              </w:rPr>
            </w:pPr>
            <w:r w:rsidRPr="009115C7">
              <w:rPr>
                <w:rFonts w:cs="Times New Roman"/>
                <w:b/>
                <w:szCs w:val="16"/>
              </w:rPr>
              <w:t>Unbalanced randomization</w:t>
            </w:r>
          </w:p>
        </w:tc>
        <w:tc>
          <w:tcPr>
            <w:tcW w:w="745" w:type="dxa"/>
            <w:shd w:val="clear" w:color="auto" w:fill="F2F2F2" w:themeFill="background1" w:themeFillShade="F2"/>
            <w:textDirection w:val="btLr"/>
            <w:vAlign w:val="center"/>
          </w:tcPr>
          <w:p w14:paraId="7C1807EE" w14:textId="77777777" w:rsidR="00AC03B5" w:rsidRPr="009115C7" w:rsidRDefault="00AC03B5" w:rsidP="008162C8">
            <w:pPr>
              <w:ind w:left="113" w:right="113"/>
              <w:jc w:val="center"/>
              <w:rPr>
                <w:rFonts w:cs="Times New Roman"/>
                <w:b/>
                <w:szCs w:val="16"/>
              </w:rPr>
            </w:pPr>
            <w:r w:rsidRPr="009115C7">
              <w:rPr>
                <w:rFonts w:cs="Times New Roman"/>
                <w:b/>
                <w:szCs w:val="16"/>
              </w:rPr>
              <w:t>Baseline severity</w:t>
            </w:r>
          </w:p>
        </w:tc>
        <w:tc>
          <w:tcPr>
            <w:tcW w:w="745" w:type="dxa"/>
            <w:shd w:val="clear" w:color="auto" w:fill="F2F2F2" w:themeFill="background1" w:themeFillShade="F2"/>
            <w:textDirection w:val="btLr"/>
            <w:vAlign w:val="center"/>
          </w:tcPr>
          <w:p w14:paraId="40F51FC9" w14:textId="77777777" w:rsidR="00AC03B5" w:rsidRPr="009115C7" w:rsidRDefault="00AC03B5" w:rsidP="008162C8">
            <w:pPr>
              <w:ind w:left="113" w:right="113"/>
              <w:jc w:val="center"/>
              <w:rPr>
                <w:rFonts w:cs="Times New Roman"/>
                <w:b/>
                <w:szCs w:val="16"/>
              </w:rPr>
            </w:pPr>
            <w:r w:rsidRPr="009115C7">
              <w:rPr>
                <w:rFonts w:cs="Times New Roman"/>
                <w:b/>
                <w:szCs w:val="16"/>
              </w:rPr>
              <w:t>Severity scale</w:t>
            </w:r>
          </w:p>
        </w:tc>
        <w:tc>
          <w:tcPr>
            <w:tcW w:w="684" w:type="dxa"/>
            <w:shd w:val="clear" w:color="auto" w:fill="F2F2F2" w:themeFill="background1" w:themeFillShade="F2"/>
            <w:textDirection w:val="btLr"/>
            <w:vAlign w:val="center"/>
          </w:tcPr>
          <w:p w14:paraId="16D13245" w14:textId="77777777" w:rsidR="00AC03B5" w:rsidRPr="009115C7" w:rsidRDefault="00AC03B5" w:rsidP="008162C8">
            <w:pPr>
              <w:ind w:left="113" w:right="113"/>
              <w:jc w:val="center"/>
              <w:rPr>
                <w:rFonts w:cs="Times New Roman"/>
                <w:b/>
                <w:szCs w:val="16"/>
              </w:rPr>
            </w:pPr>
            <w:r w:rsidRPr="009115C7">
              <w:rPr>
                <w:rFonts w:cs="Times New Roman"/>
                <w:b/>
                <w:szCs w:val="16"/>
              </w:rPr>
              <w:t>Author COI (Y/N)</w:t>
            </w:r>
          </w:p>
        </w:tc>
        <w:tc>
          <w:tcPr>
            <w:tcW w:w="718" w:type="dxa"/>
            <w:shd w:val="clear" w:color="auto" w:fill="F2F2F2" w:themeFill="background1" w:themeFillShade="F2"/>
          </w:tcPr>
          <w:p w14:paraId="72824925" w14:textId="77777777" w:rsidR="00AC03B5" w:rsidRPr="009115C7" w:rsidRDefault="00AC03B5" w:rsidP="008162C8">
            <w:pPr>
              <w:jc w:val="center"/>
              <w:rPr>
                <w:rFonts w:cs="Times New Roman"/>
                <w:b/>
                <w:szCs w:val="16"/>
              </w:rPr>
            </w:pPr>
            <w:r w:rsidRPr="009115C7">
              <w:rPr>
                <w:rFonts w:cs="Times New Roman"/>
                <w:b/>
                <w:szCs w:val="16"/>
              </w:rPr>
              <w:t>Placebo run in 1 week</w:t>
            </w:r>
          </w:p>
        </w:tc>
      </w:tr>
      <w:tr w:rsidR="00AC03B5" w:rsidRPr="009115C7" w14:paraId="688DF4B2" w14:textId="77777777" w:rsidTr="008162C8">
        <w:trPr>
          <w:trHeight w:val="1161"/>
        </w:trPr>
        <w:tc>
          <w:tcPr>
            <w:tcW w:w="1063" w:type="dxa"/>
          </w:tcPr>
          <w:p w14:paraId="3F332D05" w14:textId="77777777" w:rsidR="00AC03B5" w:rsidRPr="009115C7" w:rsidRDefault="00AC03B5" w:rsidP="008162C8">
            <w:pPr>
              <w:jc w:val="center"/>
              <w:rPr>
                <w:rFonts w:cs="Times New Roman"/>
                <w:b/>
                <w:szCs w:val="16"/>
              </w:rPr>
            </w:pPr>
            <w:r w:rsidRPr="009115C7">
              <w:rPr>
                <w:rFonts w:cs="Times New Roman"/>
                <w:b/>
                <w:szCs w:val="16"/>
              </w:rPr>
              <w:t>Severity (all measures)</w:t>
            </w:r>
          </w:p>
        </w:tc>
        <w:tc>
          <w:tcPr>
            <w:tcW w:w="849" w:type="dxa"/>
          </w:tcPr>
          <w:p w14:paraId="2952E1F3" w14:textId="77777777" w:rsidR="00AC03B5" w:rsidRPr="009115C7" w:rsidRDefault="00AC03B5" w:rsidP="008162C8">
            <w:pPr>
              <w:jc w:val="center"/>
              <w:rPr>
                <w:rFonts w:cs="Times New Roman"/>
                <w:szCs w:val="16"/>
              </w:rPr>
            </w:pPr>
            <w:r>
              <w:rPr>
                <w:rFonts w:cs="Times New Roman"/>
                <w:szCs w:val="16"/>
              </w:rPr>
              <w:t>**</w:t>
            </w:r>
          </w:p>
          <w:p w14:paraId="6BB2E58A" w14:textId="77777777" w:rsidR="00AC03B5" w:rsidRPr="009115C7" w:rsidRDefault="00AC03B5" w:rsidP="008162C8">
            <w:pPr>
              <w:jc w:val="center"/>
              <w:rPr>
                <w:rFonts w:cs="Times New Roman"/>
                <w:szCs w:val="16"/>
              </w:rPr>
            </w:pPr>
            <w:r w:rsidRPr="009115C7">
              <w:rPr>
                <w:rFonts w:cs="Times New Roman"/>
                <w:szCs w:val="16"/>
              </w:rPr>
              <w:t>Recent higher E.S.</w:t>
            </w:r>
          </w:p>
        </w:tc>
        <w:tc>
          <w:tcPr>
            <w:tcW w:w="952" w:type="dxa"/>
          </w:tcPr>
          <w:p w14:paraId="491CDD29" w14:textId="77777777" w:rsidR="00AC03B5" w:rsidRPr="009115C7" w:rsidRDefault="00AC03B5" w:rsidP="008162C8">
            <w:pPr>
              <w:jc w:val="center"/>
              <w:rPr>
                <w:rFonts w:cs="Times New Roman"/>
                <w:szCs w:val="16"/>
              </w:rPr>
            </w:pPr>
            <w:r>
              <w:rPr>
                <w:rFonts w:cs="Times New Roman"/>
                <w:szCs w:val="16"/>
              </w:rPr>
              <w:t>*</w:t>
            </w:r>
          </w:p>
          <w:p w14:paraId="735D5BD0" w14:textId="77777777" w:rsidR="00AC03B5" w:rsidRPr="009115C7" w:rsidRDefault="00AC03B5" w:rsidP="008162C8">
            <w:pPr>
              <w:jc w:val="center"/>
              <w:rPr>
                <w:rFonts w:cs="Times New Roman"/>
                <w:szCs w:val="16"/>
              </w:rPr>
            </w:pPr>
            <w:r w:rsidRPr="009115C7">
              <w:rPr>
                <w:rFonts w:cs="Times New Roman"/>
                <w:szCs w:val="16"/>
              </w:rPr>
              <w:t xml:space="preserve">supplement </w:t>
            </w:r>
            <w:r w:rsidRPr="009115C7">
              <w:rPr>
                <w:rFonts w:cs="Times New Roman"/>
                <w:szCs w:val="16"/>
              </w:rPr>
              <w:lastRenderedPageBreak/>
              <w:t>higher E.S.</w:t>
            </w:r>
          </w:p>
        </w:tc>
        <w:tc>
          <w:tcPr>
            <w:tcW w:w="900" w:type="dxa"/>
          </w:tcPr>
          <w:p w14:paraId="5F98264F" w14:textId="77777777" w:rsidR="00AC03B5" w:rsidRPr="009115C7" w:rsidRDefault="00AC03B5" w:rsidP="008162C8">
            <w:pPr>
              <w:jc w:val="center"/>
              <w:rPr>
                <w:rFonts w:cs="Times New Roman"/>
                <w:szCs w:val="16"/>
              </w:rPr>
            </w:pPr>
            <w:r w:rsidRPr="009115C7">
              <w:rPr>
                <w:rFonts w:cs="Times New Roman"/>
                <w:szCs w:val="16"/>
              </w:rPr>
              <w:lastRenderedPageBreak/>
              <w:t>n.s.</w:t>
            </w:r>
          </w:p>
        </w:tc>
        <w:tc>
          <w:tcPr>
            <w:tcW w:w="952" w:type="dxa"/>
          </w:tcPr>
          <w:p w14:paraId="6B028654"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5AE8385A"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19C6CE02" w14:textId="77777777" w:rsidR="00AC03B5" w:rsidRPr="009115C7" w:rsidRDefault="00AC03B5" w:rsidP="008162C8">
            <w:pPr>
              <w:jc w:val="center"/>
              <w:rPr>
                <w:rFonts w:cs="Times New Roman"/>
                <w:szCs w:val="16"/>
              </w:rPr>
            </w:pPr>
            <w:r>
              <w:rPr>
                <w:rFonts w:cs="Times New Roman"/>
                <w:szCs w:val="16"/>
              </w:rPr>
              <w:t>n.s.</w:t>
            </w:r>
          </w:p>
        </w:tc>
        <w:tc>
          <w:tcPr>
            <w:tcW w:w="745" w:type="dxa"/>
          </w:tcPr>
          <w:p w14:paraId="7AD9D91F"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126B7586" w14:textId="77777777" w:rsidR="00AC03B5" w:rsidRPr="009115C7" w:rsidRDefault="00AC03B5" w:rsidP="008162C8">
            <w:pPr>
              <w:jc w:val="center"/>
              <w:rPr>
                <w:rFonts w:cs="Times New Roman"/>
                <w:szCs w:val="16"/>
              </w:rPr>
            </w:pPr>
            <w:r w:rsidRPr="009115C7">
              <w:rPr>
                <w:rFonts w:cs="Times New Roman"/>
                <w:szCs w:val="16"/>
              </w:rPr>
              <w:t>NA</w:t>
            </w:r>
          </w:p>
        </w:tc>
        <w:tc>
          <w:tcPr>
            <w:tcW w:w="745" w:type="dxa"/>
          </w:tcPr>
          <w:p w14:paraId="3F884183" w14:textId="77777777" w:rsidR="00AC03B5" w:rsidRPr="009115C7" w:rsidRDefault="00AC03B5" w:rsidP="008162C8">
            <w:pPr>
              <w:jc w:val="center"/>
              <w:rPr>
                <w:rFonts w:cs="Times New Roman"/>
                <w:szCs w:val="16"/>
              </w:rPr>
            </w:pPr>
            <w:r w:rsidRPr="009115C7">
              <w:rPr>
                <w:rFonts w:cs="Times New Roman"/>
                <w:szCs w:val="16"/>
              </w:rPr>
              <w:t>n.s.</w:t>
            </w:r>
          </w:p>
        </w:tc>
        <w:tc>
          <w:tcPr>
            <w:tcW w:w="684" w:type="dxa"/>
          </w:tcPr>
          <w:p w14:paraId="69462264" w14:textId="77777777" w:rsidR="00AC03B5" w:rsidRPr="009115C7" w:rsidRDefault="00AC03B5" w:rsidP="008162C8">
            <w:pPr>
              <w:jc w:val="center"/>
              <w:rPr>
                <w:rFonts w:cs="Times New Roman"/>
                <w:szCs w:val="16"/>
              </w:rPr>
            </w:pPr>
            <w:r w:rsidRPr="009115C7">
              <w:rPr>
                <w:rFonts w:cs="Times New Roman"/>
                <w:szCs w:val="16"/>
              </w:rPr>
              <w:t>n.s.</w:t>
            </w:r>
          </w:p>
        </w:tc>
        <w:tc>
          <w:tcPr>
            <w:tcW w:w="718" w:type="dxa"/>
          </w:tcPr>
          <w:p w14:paraId="42A2546F"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01FDBBFC" w14:textId="77777777" w:rsidTr="008162C8">
        <w:trPr>
          <w:trHeight w:val="1161"/>
        </w:trPr>
        <w:tc>
          <w:tcPr>
            <w:tcW w:w="1063" w:type="dxa"/>
          </w:tcPr>
          <w:p w14:paraId="28F150B8" w14:textId="77777777" w:rsidR="00AC03B5" w:rsidRPr="009115C7" w:rsidRDefault="00AC03B5" w:rsidP="008162C8">
            <w:pPr>
              <w:jc w:val="center"/>
              <w:rPr>
                <w:rFonts w:cs="Times New Roman"/>
                <w:b/>
                <w:szCs w:val="16"/>
              </w:rPr>
            </w:pPr>
            <w:r w:rsidRPr="009115C7">
              <w:rPr>
                <w:rFonts w:cs="Times New Roman"/>
                <w:b/>
                <w:szCs w:val="16"/>
              </w:rPr>
              <w:lastRenderedPageBreak/>
              <w:t>QoL</w:t>
            </w:r>
          </w:p>
        </w:tc>
        <w:tc>
          <w:tcPr>
            <w:tcW w:w="849" w:type="dxa"/>
          </w:tcPr>
          <w:p w14:paraId="4CB26694"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73161D65" w14:textId="77777777" w:rsidR="00AC03B5" w:rsidRPr="009115C7" w:rsidRDefault="00AC03B5" w:rsidP="008162C8">
            <w:pPr>
              <w:jc w:val="center"/>
              <w:rPr>
                <w:rFonts w:cs="Times New Roman"/>
                <w:szCs w:val="16"/>
              </w:rPr>
            </w:pPr>
            <w:r>
              <w:rPr>
                <w:rFonts w:cs="Times New Roman"/>
                <w:szCs w:val="16"/>
              </w:rPr>
              <w:t>n.s.</w:t>
            </w:r>
          </w:p>
        </w:tc>
        <w:tc>
          <w:tcPr>
            <w:tcW w:w="900" w:type="dxa"/>
          </w:tcPr>
          <w:p w14:paraId="32729F88"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725EF759"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40441475"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0ED1A18D" w14:textId="77777777" w:rsidR="00AC03B5" w:rsidRDefault="00AC03B5" w:rsidP="008162C8">
            <w:pPr>
              <w:jc w:val="center"/>
              <w:rPr>
                <w:rFonts w:cs="Times New Roman"/>
                <w:szCs w:val="16"/>
              </w:rPr>
            </w:pPr>
            <w:r>
              <w:rPr>
                <w:rFonts w:cs="Times New Roman"/>
                <w:szCs w:val="16"/>
              </w:rPr>
              <w:t>* 8 weeks higher E.S.</w:t>
            </w:r>
          </w:p>
          <w:p w14:paraId="1B2F57EC" w14:textId="77777777" w:rsidR="00AC03B5" w:rsidRPr="009115C7" w:rsidRDefault="00AC03B5" w:rsidP="008162C8">
            <w:pPr>
              <w:jc w:val="center"/>
              <w:rPr>
                <w:rFonts w:cs="Times New Roman"/>
                <w:szCs w:val="16"/>
              </w:rPr>
            </w:pPr>
            <w:r>
              <w:rPr>
                <w:rFonts w:cs="Times New Roman"/>
                <w:szCs w:val="16"/>
              </w:rPr>
              <w:t xml:space="preserve">** 20-weeks lower E.S. </w:t>
            </w:r>
          </w:p>
        </w:tc>
        <w:tc>
          <w:tcPr>
            <w:tcW w:w="745" w:type="dxa"/>
          </w:tcPr>
          <w:p w14:paraId="024CA6F8" w14:textId="77777777" w:rsidR="00AC03B5" w:rsidRPr="009115C7" w:rsidRDefault="00AC03B5" w:rsidP="008162C8">
            <w:pPr>
              <w:jc w:val="center"/>
              <w:rPr>
                <w:rFonts w:cs="Times New Roman"/>
                <w:szCs w:val="16"/>
              </w:rPr>
            </w:pPr>
            <w:r w:rsidRPr="009115C7">
              <w:rPr>
                <w:rFonts w:cs="Times New Roman"/>
                <w:szCs w:val="16"/>
              </w:rPr>
              <w:t>NA</w:t>
            </w:r>
          </w:p>
        </w:tc>
        <w:tc>
          <w:tcPr>
            <w:tcW w:w="745" w:type="dxa"/>
          </w:tcPr>
          <w:p w14:paraId="51AE2E57" w14:textId="77777777" w:rsidR="00AC03B5" w:rsidRPr="009115C7" w:rsidRDefault="00AC03B5" w:rsidP="008162C8">
            <w:pPr>
              <w:jc w:val="center"/>
              <w:rPr>
                <w:rFonts w:cs="Times New Roman"/>
                <w:szCs w:val="16"/>
              </w:rPr>
            </w:pPr>
            <w:r w:rsidRPr="009115C7">
              <w:rPr>
                <w:rFonts w:cs="Times New Roman"/>
                <w:szCs w:val="16"/>
              </w:rPr>
              <w:t>*</w:t>
            </w:r>
            <w:r>
              <w:rPr>
                <w:rFonts w:cs="Times New Roman"/>
                <w:szCs w:val="16"/>
              </w:rPr>
              <w:t>**</w:t>
            </w:r>
            <w:r w:rsidRPr="009115C7">
              <w:rPr>
                <w:rFonts w:cs="Times New Roman"/>
                <w:szCs w:val="16"/>
              </w:rPr>
              <w:t xml:space="preserve"> </w:t>
            </w:r>
            <w:r>
              <w:rPr>
                <w:rFonts w:cs="Times New Roman"/>
                <w:szCs w:val="16"/>
              </w:rPr>
              <w:t xml:space="preserve">lower </w:t>
            </w:r>
            <w:r w:rsidRPr="009115C7">
              <w:rPr>
                <w:rFonts w:cs="Times New Roman"/>
                <w:szCs w:val="16"/>
              </w:rPr>
              <w:t>baseline higher E.S.</w:t>
            </w:r>
          </w:p>
        </w:tc>
        <w:tc>
          <w:tcPr>
            <w:tcW w:w="745" w:type="dxa"/>
          </w:tcPr>
          <w:p w14:paraId="2234ACEE" w14:textId="77777777" w:rsidR="00AC03B5" w:rsidRPr="009115C7" w:rsidRDefault="00AC03B5" w:rsidP="008162C8">
            <w:pPr>
              <w:jc w:val="center"/>
              <w:rPr>
                <w:rFonts w:cs="Times New Roman"/>
                <w:szCs w:val="16"/>
              </w:rPr>
            </w:pPr>
            <w:r w:rsidRPr="009115C7">
              <w:rPr>
                <w:rFonts w:cs="Times New Roman"/>
                <w:szCs w:val="16"/>
              </w:rPr>
              <w:t>n.s.</w:t>
            </w:r>
          </w:p>
        </w:tc>
        <w:tc>
          <w:tcPr>
            <w:tcW w:w="684" w:type="dxa"/>
          </w:tcPr>
          <w:p w14:paraId="59DAF177" w14:textId="77777777" w:rsidR="00AC03B5" w:rsidRPr="009115C7" w:rsidRDefault="00AC03B5" w:rsidP="008162C8">
            <w:pPr>
              <w:jc w:val="center"/>
              <w:rPr>
                <w:rFonts w:cs="Times New Roman"/>
                <w:szCs w:val="16"/>
              </w:rPr>
            </w:pPr>
            <w:r>
              <w:rPr>
                <w:rFonts w:cs="Times New Roman"/>
                <w:szCs w:val="16"/>
              </w:rPr>
              <w:t>n.s.</w:t>
            </w:r>
          </w:p>
        </w:tc>
        <w:tc>
          <w:tcPr>
            <w:tcW w:w="718" w:type="dxa"/>
          </w:tcPr>
          <w:p w14:paraId="3F6E3540"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208A4E0D" w14:textId="77777777" w:rsidTr="008162C8">
        <w:trPr>
          <w:trHeight w:val="1165"/>
        </w:trPr>
        <w:tc>
          <w:tcPr>
            <w:tcW w:w="1063" w:type="dxa"/>
          </w:tcPr>
          <w:p w14:paraId="7E215CF4" w14:textId="77777777" w:rsidR="00AC03B5" w:rsidRPr="009115C7" w:rsidRDefault="00AC03B5" w:rsidP="008162C8">
            <w:pPr>
              <w:jc w:val="center"/>
              <w:rPr>
                <w:rFonts w:cs="Times New Roman"/>
                <w:b/>
                <w:szCs w:val="16"/>
              </w:rPr>
            </w:pPr>
            <w:r w:rsidRPr="009115C7">
              <w:rPr>
                <w:rFonts w:cs="Times New Roman"/>
                <w:b/>
                <w:szCs w:val="16"/>
              </w:rPr>
              <w:t>PGYBOCS</w:t>
            </w:r>
          </w:p>
        </w:tc>
        <w:tc>
          <w:tcPr>
            <w:tcW w:w="849" w:type="dxa"/>
          </w:tcPr>
          <w:p w14:paraId="60F7F580" w14:textId="77777777" w:rsidR="00AC03B5" w:rsidRPr="009115C7" w:rsidRDefault="00AC03B5" w:rsidP="008162C8">
            <w:pPr>
              <w:jc w:val="center"/>
              <w:rPr>
                <w:rFonts w:cs="Times New Roman"/>
                <w:szCs w:val="16"/>
              </w:rPr>
            </w:pPr>
            <w:r>
              <w:rPr>
                <w:rFonts w:cs="Times New Roman"/>
                <w:szCs w:val="16"/>
              </w:rPr>
              <w:t>**</w:t>
            </w:r>
          </w:p>
          <w:p w14:paraId="23921FD2" w14:textId="77777777" w:rsidR="00AC03B5" w:rsidRPr="009115C7" w:rsidRDefault="00AC03B5" w:rsidP="008162C8">
            <w:pPr>
              <w:jc w:val="center"/>
              <w:rPr>
                <w:rFonts w:cs="Times New Roman"/>
                <w:szCs w:val="16"/>
              </w:rPr>
            </w:pPr>
            <w:r w:rsidRPr="009115C7">
              <w:rPr>
                <w:rFonts w:cs="Times New Roman"/>
                <w:szCs w:val="16"/>
              </w:rPr>
              <w:t>Recent higher E.S.</w:t>
            </w:r>
          </w:p>
        </w:tc>
        <w:tc>
          <w:tcPr>
            <w:tcW w:w="952" w:type="dxa"/>
          </w:tcPr>
          <w:p w14:paraId="37DB797B" w14:textId="77777777" w:rsidR="00AC03B5" w:rsidRPr="009115C7" w:rsidRDefault="00AC03B5" w:rsidP="008162C8">
            <w:pPr>
              <w:jc w:val="center"/>
              <w:rPr>
                <w:rFonts w:cs="Times New Roman"/>
                <w:szCs w:val="16"/>
              </w:rPr>
            </w:pPr>
            <w:r w:rsidRPr="009115C7">
              <w:rPr>
                <w:rFonts w:cs="Times New Roman"/>
                <w:szCs w:val="16"/>
              </w:rPr>
              <w:t>* supplement higher E.S.</w:t>
            </w:r>
          </w:p>
        </w:tc>
        <w:tc>
          <w:tcPr>
            <w:tcW w:w="900" w:type="dxa"/>
          </w:tcPr>
          <w:p w14:paraId="79D03461"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43765F21"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2F2C526D"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5262E67B" w14:textId="77777777" w:rsidR="00AC03B5" w:rsidRPr="009115C7" w:rsidRDefault="00AC03B5" w:rsidP="008162C8">
            <w:pPr>
              <w:jc w:val="center"/>
              <w:rPr>
                <w:rFonts w:cs="Times New Roman"/>
                <w:szCs w:val="16"/>
              </w:rPr>
            </w:pPr>
            <w:r>
              <w:rPr>
                <w:rFonts w:cs="Times New Roman"/>
                <w:szCs w:val="16"/>
              </w:rPr>
              <w:t>n.s.</w:t>
            </w:r>
          </w:p>
        </w:tc>
        <w:tc>
          <w:tcPr>
            <w:tcW w:w="745" w:type="dxa"/>
          </w:tcPr>
          <w:p w14:paraId="3730D014"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66AB6F79" w14:textId="77777777" w:rsidR="00AC03B5" w:rsidRDefault="00AC03B5" w:rsidP="008162C8">
            <w:pPr>
              <w:jc w:val="center"/>
              <w:rPr>
                <w:rFonts w:cs="Times New Roman"/>
                <w:szCs w:val="16"/>
              </w:rPr>
            </w:pPr>
            <w:r>
              <w:rPr>
                <w:rFonts w:cs="Times New Roman"/>
                <w:szCs w:val="16"/>
              </w:rPr>
              <w:t>*</w:t>
            </w:r>
          </w:p>
          <w:p w14:paraId="59E0577D" w14:textId="77777777" w:rsidR="00AC03B5" w:rsidRPr="009115C7" w:rsidRDefault="00AC03B5" w:rsidP="008162C8">
            <w:pPr>
              <w:jc w:val="center"/>
              <w:rPr>
                <w:rFonts w:cs="Times New Roman"/>
                <w:szCs w:val="16"/>
              </w:rPr>
            </w:pPr>
            <w:r w:rsidRPr="009115C7">
              <w:rPr>
                <w:rFonts w:cs="Times New Roman"/>
                <w:szCs w:val="16"/>
              </w:rPr>
              <w:t xml:space="preserve"> higher baseline higher E.S.</w:t>
            </w:r>
          </w:p>
        </w:tc>
        <w:tc>
          <w:tcPr>
            <w:tcW w:w="745" w:type="dxa"/>
          </w:tcPr>
          <w:p w14:paraId="0E892AC8" w14:textId="77777777" w:rsidR="00AC03B5" w:rsidRPr="009115C7" w:rsidRDefault="00AC03B5" w:rsidP="008162C8">
            <w:pPr>
              <w:jc w:val="center"/>
              <w:rPr>
                <w:rFonts w:cs="Times New Roman"/>
                <w:szCs w:val="16"/>
              </w:rPr>
            </w:pPr>
            <w:r w:rsidRPr="009115C7">
              <w:rPr>
                <w:rFonts w:cs="Times New Roman"/>
                <w:szCs w:val="16"/>
              </w:rPr>
              <w:t>NA</w:t>
            </w:r>
          </w:p>
        </w:tc>
        <w:tc>
          <w:tcPr>
            <w:tcW w:w="684" w:type="dxa"/>
          </w:tcPr>
          <w:p w14:paraId="3F3B025D" w14:textId="77777777" w:rsidR="00AC03B5" w:rsidRPr="009115C7" w:rsidRDefault="00AC03B5" w:rsidP="008162C8">
            <w:pPr>
              <w:jc w:val="center"/>
              <w:rPr>
                <w:rFonts w:cs="Times New Roman"/>
                <w:szCs w:val="16"/>
              </w:rPr>
            </w:pPr>
            <w:r w:rsidRPr="009115C7">
              <w:rPr>
                <w:rFonts w:cs="Times New Roman"/>
                <w:szCs w:val="16"/>
              </w:rPr>
              <w:t>n.s.</w:t>
            </w:r>
          </w:p>
        </w:tc>
        <w:tc>
          <w:tcPr>
            <w:tcW w:w="718" w:type="dxa"/>
          </w:tcPr>
          <w:p w14:paraId="55D67D1B"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2CBC08F4" w14:textId="77777777" w:rsidTr="008162C8">
        <w:trPr>
          <w:trHeight w:val="1629"/>
        </w:trPr>
        <w:tc>
          <w:tcPr>
            <w:tcW w:w="1063" w:type="dxa"/>
          </w:tcPr>
          <w:p w14:paraId="74E10902" w14:textId="77777777" w:rsidR="00AC03B5" w:rsidRPr="009115C7" w:rsidRDefault="00AC03B5" w:rsidP="008162C8">
            <w:pPr>
              <w:jc w:val="center"/>
              <w:rPr>
                <w:rFonts w:cs="Times New Roman"/>
                <w:b/>
                <w:szCs w:val="16"/>
              </w:rPr>
            </w:pPr>
            <w:r w:rsidRPr="009115C7">
              <w:rPr>
                <w:rFonts w:cs="Times New Roman"/>
                <w:b/>
                <w:szCs w:val="16"/>
              </w:rPr>
              <w:t>GSAS</w:t>
            </w:r>
          </w:p>
        </w:tc>
        <w:tc>
          <w:tcPr>
            <w:tcW w:w="849" w:type="dxa"/>
          </w:tcPr>
          <w:p w14:paraId="78238C15" w14:textId="77777777" w:rsidR="00AC03B5" w:rsidRPr="009115C7" w:rsidRDefault="00AC03B5" w:rsidP="008162C8">
            <w:pPr>
              <w:jc w:val="center"/>
              <w:rPr>
                <w:rFonts w:cs="Times New Roman"/>
                <w:szCs w:val="16"/>
              </w:rPr>
            </w:pPr>
            <w:r>
              <w:rPr>
                <w:rFonts w:cs="Times New Roman"/>
                <w:szCs w:val="16"/>
              </w:rPr>
              <w:t>*</w:t>
            </w:r>
          </w:p>
          <w:p w14:paraId="06C1F34D" w14:textId="77777777" w:rsidR="00AC03B5" w:rsidRPr="009115C7" w:rsidRDefault="00AC03B5" w:rsidP="008162C8">
            <w:pPr>
              <w:jc w:val="center"/>
              <w:rPr>
                <w:rFonts w:cs="Times New Roman"/>
                <w:szCs w:val="16"/>
              </w:rPr>
            </w:pPr>
            <w:r w:rsidRPr="009115C7">
              <w:rPr>
                <w:rFonts w:cs="Times New Roman"/>
                <w:szCs w:val="16"/>
              </w:rPr>
              <w:t>Recent higher E.S.</w:t>
            </w:r>
          </w:p>
        </w:tc>
        <w:tc>
          <w:tcPr>
            <w:tcW w:w="952" w:type="dxa"/>
          </w:tcPr>
          <w:p w14:paraId="599F7337" w14:textId="77777777" w:rsidR="00AC03B5" w:rsidRDefault="00AC03B5" w:rsidP="008162C8">
            <w:pPr>
              <w:jc w:val="center"/>
              <w:rPr>
                <w:rFonts w:cs="Times New Roman"/>
                <w:szCs w:val="16"/>
              </w:rPr>
            </w:pPr>
            <w:r w:rsidRPr="009115C7">
              <w:rPr>
                <w:rFonts w:cs="Times New Roman"/>
                <w:szCs w:val="16"/>
              </w:rPr>
              <w:t>*</w:t>
            </w:r>
          </w:p>
          <w:p w14:paraId="5513DF31" w14:textId="77777777" w:rsidR="00AC03B5" w:rsidRDefault="00AC03B5" w:rsidP="008162C8">
            <w:pPr>
              <w:jc w:val="center"/>
              <w:rPr>
                <w:rFonts w:cs="Times New Roman"/>
                <w:szCs w:val="16"/>
              </w:rPr>
            </w:pPr>
            <w:r w:rsidRPr="009115C7">
              <w:rPr>
                <w:rFonts w:cs="Times New Roman"/>
                <w:szCs w:val="16"/>
              </w:rPr>
              <w:t xml:space="preserve"> </w:t>
            </w:r>
            <w:r>
              <w:rPr>
                <w:rFonts w:cs="Times New Roman"/>
                <w:szCs w:val="16"/>
              </w:rPr>
              <w:t>ORA</w:t>
            </w:r>
            <w:r w:rsidRPr="009115C7">
              <w:rPr>
                <w:rFonts w:cs="Times New Roman"/>
                <w:szCs w:val="16"/>
              </w:rPr>
              <w:t xml:space="preserve"> higher E.S.</w:t>
            </w:r>
          </w:p>
          <w:p w14:paraId="76664F50" w14:textId="77777777" w:rsidR="00AC03B5" w:rsidRPr="009115C7" w:rsidRDefault="00AC03B5" w:rsidP="008162C8">
            <w:pPr>
              <w:jc w:val="center"/>
              <w:rPr>
                <w:rFonts w:cs="Times New Roman"/>
                <w:szCs w:val="16"/>
              </w:rPr>
            </w:pPr>
            <w:r w:rsidRPr="009115C7">
              <w:rPr>
                <w:rFonts w:cs="Times New Roman"/>
                <w:szCs w:val="16"/>
              </w:rPr>
              <w:t>* supplement higher E.S.</w:t>
            </w:r>
          </w:p>
        </w:tc>
        <w:tc>
          <w:tcPr>
            <w:tcW w:w="900" w:type="dxa"/>
          </w:tcPr>
          <w:p w14:paraId="4DFD9B36" w14:textId="77777777" w:rsidR="00AC03B5" w:rsidRDefault="00AC03B5" w:rsidP="008162C8">
            <w:pPr>
              <w:jc w:val="center"/>
              <w:rPr>
                <w:rFonts w:cs="Times New Roman"/>
                <w:szCs w:val="16"/>
              </w:rPr>
            </w:pPr>
            <w:r>
              <w:rPr>
                <w:rFonts w:cs="Times New Roman"/>
                <w:szCs w:val="16"/>
              </w:rPr>
              <w:t xml:space="preserve">** </w:t>
            </w:r>
          </w:p>
          <w:p w14:paraId="153836DE" w14:textId="77777777" w:rsidR="00AC03B5" w:rsidRPr="009115C7" w:rsidRDefault="00AC03B5" w:rsidP="008162C8">
            <w:pPr>
              <w:jc w:val="center"/>
              <w:rPr>
                <w:rFonts w:cs="Times New Roman"/>
                <w:szCs w:val="16"/>
              </w:rPr>
            </w:pPr>
            <w:r>
              <w:rPr>
                <w:rFonts w:cs="Times New Roman"/>
                <w:szCs w:val="16"/>
              </w:rPr>
              <w:t xml:space="preserve">no sponsor higher E.S. </w:t>
            </w:r>
          </w:p>
        </w:tc>
        <w:tc>
          <w:tcPr>
            <w:tcW w:w="952" w:type="dxa"/>
          </w:tcPr>
          <w:p w14:paraId="289DAABB"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43AB97BB"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28E8CBEF" w14:textId="77777777" w:rsidR="00AC03B5" w:rsidRPr="009115C7" w:rsidRDefault="00AC03B5" w:rsidP="008162C8">
            <w:pPr>
              <w:jc w:val="center"/>
              <w:rPr>
                <w:rFonts w:cs="Times New Roman"/>
                <w:szCs w:val="16"/>
              </w:rPr>
            </w:pPr>
            <w:r>
              <w:rPr>
                <w:rFonts w:cs="Times New Roman"/>
                <w:szCs w:val="16"/>
              </w:rPr>
              <w:t>n.s.</w:t>
            </w:r>
          </w:p>
        </w:tc>
        <w:tc>
          <w:tcPr>
            <w:tcW w:w="745" w:type="dxa"/>
          </w:tcPr>
          <w:p w14:paraId="05E451FD" w14:textId="77777777" w:rsidR="00AC03B5" w:rsidRPr="009115C7" w:rsidRDefault="00AC03B5" w:rsidP="008162C8">
            <w:pPr>
              <w:jc w:val="center"/>
              <w:rPr>
                <w:rFonts w:cs="Times New Roman"/>
                <w:szCs w:val="16"/>
              </w:rPr>
            </w:pPr>
            <w:r w:rsidRPr="009115C7">
              <w:rPr>
                <w:rFonts w:cs="Times New Roman"/>
                <w:szCs w:val="16"/>
              </w:rPr>
              <w:t>NA</w:t>
            </w:r>
          </w:p>
        </w:tc>
        <w:tc>
          <w:tcPr>
            <w:tcW w:w="745" w:type="dxa"/>
          </w:tcPr>
          <w:p w14:paraId="232A194C"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21194FE7" w14:textId="77777777" w:rsidR="00AC03B5" w:rsidRPr="009115C7" w:rsidRDefault="00AC03B5" w:rsidP="008162C8">
            <w:pPr>
              <w:jc w:val="center"/>
              <w:rPr>
                <w:rFonts w:cs="Times New Roman"/>
                <w:szCs w:val="16"/>
              </w:rPr>
            </w:pPr>
            <w:r w:rsidRPr="009115C7">
              <w:rPr>
                <w:rFonts w:cs="Times New Roman"/>
                <w:szCs w:val="16"/>
              </w:rPr>
              <w:t>NA</w:t>
            </w:r>
          </w:p>
        </w:tc>
        <w:tc>
          <w:tcPr>
            <w:tcW w:w="684" w:type="dxa"/>
          </w:tcPr>
          <w:p w14:paraId="631B1BD8" w14:textId="77777777" w:rsidR="00AC03B5" w:rsidRPr="009115C7" w:rsidRDefault="00AC03B5" w:rsidP="008162C8">
            <w:pPr>
              <w:jc w:val="center"/>
              <w:rPr>
                <w:rFonts w:cs="Times New Roman"/>
                <w:szCs w:val="16"/>
              </w:rPr>
            </w:pPr>
            <w:r>
              <w:rPr>
                <w:rFonts w:cs="Times New Roman"/>
                <w:szCs w:val="16"/>
              </w:rPr>
              <w:t>* absence of COI higher E.S.</w:t>
            </w:r>
          </w:p>
        </w:tc>
        <w:tc>
          <w:tcPr>
            <w:tcW w:w="718" w:type="dxa"/>
          </w:tcPr>
          <w:p w14:paraId="22081FE3" w14:textId="77777777" w:rsidR="00AC03B5" w:rsidRPr="009115C7" w:rsidRDefault="00AC03B5" w:rsidP="008162C8">
            <w:pPr>
              <w:jc w:val="center"/>
              <w:rPr>
                <w:rFonts w:cs="Times New Roman"/>
                <w:szCs w:val="16"/>
              </w:rPr>
            </w:pPr>
            <w:r w:rsidRPr="009115C7">
              <w:rPr>
                <w:rFonts w:cs="Times New Roman"/>
                <w:szCs w:val="16"/>
              </w:rPr>
              <w:t>n.s.</w:t>
            </w:r>
          </w:p>
        </w:tc>
      </w:tr>
      <w:tr w:rsidR="00AC03B5" w:rsidRPr="009115C7" w14:paraId="09B4D976" w14:textId="77777777" w:rsidTr="008162C8">
        <w:trPr>
          <w:trHeight w:val="232"/>
        </w:trPr>
        <w:tc>
          <w:tcPr>
            <w:tcW w:w="1063" w:type="dxa"/>
          </w:tcPr>
          <w:p w14:paraId="44B0490A" w14:textId="77777777" w:rsidR="00AC03B5" w:rsidRPr="009115C7" w:rsidRDefault="00AC03B5" w:rsidP="008162C8">
            <w:pPr>
              <w:jc w:val="center"/>
              <w:rPr>
                <w:rFonts w:cs="Times New Roman"/>
                <w:b/>
                <w:szCs w:val="16"/>
              </w:rPr>
            </w:pPr>
            <w:r w:rsidRPr="009115C7">
              <w:rPr>
                <w:rFonts w:cs="Times New Roman"/>
                <w:b/>
                <w:szCs w:val="16"/>
              </w:rPr>
              <w:lastRenderedPageBreak/>
              <w:t>CGI</w:t>
            </w:r>
          </w:p>
        </w:tc>
        <w:tc>
          <w:tcPr>
            <w:tcW w:w="849" w:type="dxa"/>
          </w:tcPr>
          <w:p w14:paraId="39EEDAA7"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1B47003A" w14:textId="77777777" w:rsidR="00AC03B5" w:rsidRDefault="00AC03B5" w:rsidP="008162C8">
            <w:pPr>
              <w:jc w:val="center"/>
              <w:rPr>
                <w:rFonts w:cs="Times New Roman"/>
                <w:szCs w:val="16"/>
              </w:rPr>
            </w:pPr>
            <w:r w:rsidRPr="009115C7">
              <w:rPr>
                <w:rFonts w:cs="Times New Roman"/>
                <w:szCs w:val="16"/>
              </w:rPr>
              <w:t>*</w:t>
            </w:r>
          </w:p>
          <w:p w14:paraId="0DE07675" w14:textId="77777777" w:rsidR="00AC03B5" w:rsidRDefault="00AC03B5" w:rsidP="008162C8">
            <w:pPr>
              <w:jc w:val="center"/>
              <w:rPr>
                <w:rFonts w:cs="Times New Roman"/>
                <w:szCs w:val="16"/>
              </w:rPr>
            </w:pPr>
            <w:r w:rsidRPr="009115C7">
              <w:rPr>
                <w:rFonts w:cs="Times New Roman"/>
                <w:szCs w:val="16"/>
              </w:rPr>
              <w:t xml:space="preserve"> </w:t>
            </w:r>
            <w:r>
              <w:rPr>
                <w:rFonts w:cs="Times New Roman"/>
                <w:szCs w:val="16"/>
              </w:rPr>
              <w:t>AP</w:t>
            </w:r>
            <w:r w:rsidRPr="009115C7">
              <w:rPr>
                <w:rFonts w:cs="Times New Roman"/>
                <w:szCs w:val="16"/>
              </w:rPr>
              <w:t xml:space="preserve"> </w:t>
            </w:r>
            <w:r>
              <w:rPr>
                <w:rFonts w:cs="Times New Roman"/>
                <w:szCs w:val="16"/>
              </w:rPr>
              <w:t>lower</w:t>
            </w:r>
            <w:r w:rsidRPr="009115C7">
              <w:rPr>
                <w:rFonts w:cs="Times New Roman"/>
                <w:szCs w:val="16"/>
              </w:rPr>
              <w:t xml:space="preserve"> E.S.</w:t>
            </w:r>
          </w:p>
          <w:p w14:paraId="772D219F" w14:textId="77777777" w:rsidR="00AC03B5" w:rsidRPr="009115C7" w:rsidRDefault="00AC03B5" w:rsidP="008162C8">
            <w:pPr>
              <w:jc w:val="center"/>
              <w:rPr>
                <w:rFonts w:cs="Times New Roman"/>
                <w:szCs w:val="16"/>
              </w:rPr>
            </w:pPr>
            <w:r w:rsidRPr="009115C7">
              <w:rPr>
                <w:rFonts w:cs="Times New Roman"/>
                <w:szCs w:val="16"/>
              </w:rPr>
              <w:t xml:space="preserve">* supplement </w:t>
            </w:r>
            <w:r>
              <w:rPr>
                <w:rFonts w:cs="Times New Roman"/>
                <w:szCs w:val="16"/>
              </w:rPr>
              <w:t xml:space="preserve">lower </w:t>
            </w:r>
            <w:r w:rsidRPr="009115C7">
              <w:rPr>
                <w:rFonts w:cs="Times New Roman"/>
                <w:szCs w:val="16"/>
              </w:rPr>
              <w:t>E.S.</w:t>
            </w:r>
          </w:p>
        </w:tc>
        <w:tc>
          <w:tcPr>
            <w:tcW w:w="900" w:type="dxa"/>
          </w:tcPr>
          <w:p w14:paraId="196FB6AB" w14:textId="77777777" w:rsidR="00AC03B5" w:rsidRPr="009115C7" w:rsidRDefault="00AC03B5" w:rsidP="008162C8">
            <w:pPr>
              <w:jc w:val="center"/>
              <w:rPr>
                <w:rFonts w:cs="Times New Roman"/>
                <w:szCs w:val="16"/>
              </w:rPr>
            </w:pPr>
            <w:r w:rsidRPr="009115C7">
              <w:rPr>
                <w:rFonts w:cs="Times New Roman"/>
                <w:szCs w:val="16"/>
              </w:rPr>
              <w:t>n.s</w:t>
            </w:r>
          </w:p>
        </w:tc>
        <w:tc>
          <w:tcPr>
            <w:tcW w:w="952" w:type="dxa"/>
          </w:tcPr>
          <w:p w14:paraId="6DBF72CB" w14:textId="77777777" w:rsidR="00AC03B5" w:rsidRPr="009115C7" w:rsidRDefault="00AC03B5" w:rsidP="008162C8">
            <w:pPr>
              <w:jc w:val="center"/>
              <w:rPr>
                <w:rFonts w:cs="Times New Roman"/>
                <w:szCs w:val="16"/>
              </w:rPr>
            </w:pPr>
            <w:r w:rsidRPr="009115C7">
              <w:rPr>
                <w:rFonts w:cs="Times New Roman"/>
                <w:szCs w:val="16"/>
              </w:rPr>
              <w:t>n.s.</w:t>
            </w:r>
          </w:p>
        </w:tc>
        <w:tc>
          <w:tcPr>
            <w:tcW w:w="814" w:type="dxa"/>
          </w:tcPr>
          <w:p w14:paraId="64A3CA2F" w14:textId="77777777" w:rsidR="00AC03B5" w:rsidRPr="009115C7" w:rsidRDefault="00AC03B5" w:rsidP="008162C8">
            <w:pPr>
              <w:jc w:val="center"/>
              <w:rPr>
                <w:rFonts w:cs="Times New Roman"/>
                <w:szCs w:val="16"/>
              </w:rPr>
            </w:pPr>
            <w:r w:rsidRPr="009115C7">
              <w:rPr>
                <w:rFonts w:cs="Times New Roman"/>
                <w:szCs w:val="16"/>
              </w:rPr>
              <w:t>n.s.</w:t>
            </w:r>
          </w:p>
        </w:tc>
        <w:tc>
          <w:tcPr>
            <w:tcW w:w="806" w:type="dxa"/>
          </w:tcPr>
          <w:p w14:paraId="7A905166" w14:textId="77777777" w:rsidR="00AC03B5" w:rsidRPr="009115C7" w:rsidRDefault="00AC03B5" w:rsidP="008162C8">
            <w:pPr>
              <w:jc w:val="center"/>
              <w:rPr>
                <w:rFonts w:cs="Times New Roman"/>
                <w:szCs w:val="16"/>
              </w:rPr>
            </w:pPr>
            <w:r>
              <w:rPr>
                <w:rFonts w:cs="Times New Roman"/>
                <w:szCs w:val="16"/>
              </w:rPr>
              <w:t>** 6-weeks, *8-weeks lower E.S.</w:t>
            </w:r>
          </w:p>
        </w:tc>
        <w:tc>
          <w:tcPr>
            <w:tcW w:w="745" w:type="dxa"/>
          </w:tcPr>
          <w:p w14:paraId="0D8FBE94"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5E8EE571" w14:textId="77777777" w:rsidR="00AC03B5" w:rsidRPr="009115C7" w:rsidRDefault="00AC03B5" w:rsidP="008162C8">
            <w:pPr>
              <w:jc w:val="center"/>
              <w:rPr>
                <w:rFonts w:cs="Times New Roman"/>
                <w:szCs w:val="16"/>
              </w:rPr>
            </w:pPr>
            <w:r w:rsidRPr="009115C7">
              <w:rPr>
                <w:rFonts w:cs="Times New Roman"/>
                <w:szCs w:val="16"/>
              </w:rPr>
              <w:t>n.s.</w:t>
            </w:r>
          </w:p>
        </w:tc>
        <w:tc>
          <w:tcPr>
            <w:tcW w:w="745" w:type="dxa"/>
          </w:tcPr>
          <w:p w14:paraId="2B050A4D" w14:textId="77777777" w:rsidR="00AC03B5" w:rsidRPr="009115C7" w:rsidRDefault="00AC03B5" w:rsidP="008162C8">
            <w:pPr>
              <w:jc w:val="center"/>
              <w:rPr>
                <w:rFonts w:cs="Times New Roman"/>
                <w:szCs w:val="16"/>
              </w:rPr>
            </w:pPr>
            <w:r w:rsidRPr="009115C7">
              <w:rPr>
                <w:rFonts w:cs="Times New Roman"/>
                <w:szCs w:val="16"/>
              </w:rPr>
              <w:t>NA</w:t>
            </w:r>
          </w:p>
        </w:tc>
        <w:tc>
          <w:tcPr>
            <w:tcW w:w="684" w:type="dxa"/>
          </w:tcPr>
          <w:p w14:paraId="7B68F52D" w14:textId="77777777" w:rsidR="00AC03B5" w:rsidRPr="009115C7" w:rsidRDefault="00AC03B5" w:rsidP="008162C8">
            <w:pPr>
              <w:jc w:val="center"/>
              <w:rPr>
                <w:rFonts w:cs="Times New Roman"/>
                <w:szCs w:val="16"/>
              </w:rPr>
            </w:pPr>
            <w:r>
              <w:rPr>
                <w:rFonts w:cs="Times New Roman"/>
                <w:szCs w:val="16"/>
              </w:rPr>
              <w:t>* absence of COI higher E.S.</w:t>
            </w:r>
          </w:p>
        </w:tc>
        <w:tc>
          <w:tcPr>
            <w:tcW w:w="718" w:type="dxa"/>
          </w:tcPr>
          <w:p w14:paraId="0492AAF3" w14:textId="77777777" w:rsidR="00AC03B5" w:rsidRPr="009115C7" w:rsidRDefault="00AC03B5" w:rsidP="008162C8">
            <w:pPr>
              <w:jc w:val="center"/>
              <w:rPr>
                <w:rFonts w:cs="Times New Roman"/>
                <w:szCs w:val="16"/>
              </w:rPr>
            </w:pPr>
            <w:r w:rsidRPr="009115C7">
              <w:rPr>
                <w:rFonts w:cs="Times New Roman"/>
                <w:szCs w:val="16"/>
              </w:rPr>
              <w:t>n.s.</w:t>
            </w:r>
          </w:p>
        </w:tc>
      </w:tr>
    </w:tbl>
    <w:p w14:paraId="7A074BA5" w14:textId="77777777" w:rsidR="00AC03B5" w:rsidRDefault="00AC03B5" w:rsidP="00AC03B5">
      <w:r w:rsidRPr="006126E4">
        <w:rPr>
          <w:b/>
        </w:rPr>
        <w:t>Legend</w:t>
      </w:r>
      <w:r>
        <w:t>: PG-YBOCS</w:t>
      </w:r>
      <w:r w:rsidRPr="00BE1862">
        <w:t xml:space="preserve"> </w:t>
      </w:r>
      <w:r>
        <w:t xml:space="preserve">= </w:t>
      </w:r>
      <w:r w:rsidRPr="00BE1862">
        <w:t>Yale-Brown Obsessive Compulsive Scale adapted for Patholo</w:t>
      </w:r>
      <w:r>
        <w:t>gical Gambling, GSAS =</w:t>
      </w:r>
      <w:r w:rsidRPr="00BE1862">
        <w:t xml:space="preserve"> Gambling Sympto</w:t>
      </w:r>
      <w:r>
        <w:t>m Assessment Scale,</w:t>
      </w:r>
      <w:r w:rsidRPr="00BE1862">
        <w:t xml:space="preserve"> CGI-I </w:t>
      </w:r>
      <w:r>
        <w:t xml:space="preserve">= </w:t>
      </w:r>
      <w:r w:rsidRPr="00BE1862">
        <w:t>Clinical Global Impression-Improvement scale</w:t>
      </w:r>
      <w:r>
        <w:t>;</w:t>
      </w:r>
      <w:r w:rsidRPr="00BE1862">
        <w:t xml:space="preserve"> </w:t>
      </w:r>
      <w:r>
        <w:t>QoL = Quality of life; E.S = effect size; n.s.= non-significant statistically; NA = not available/not appropriate; ORAs = Opiate receptor antagonists; MS = mood stabilizers; AP = antipsychotics; AD = antidepressants; COI = Conflict of Interest (defined as the presence of any declared industry related conflict of interest by the authors in any section of the published manuscript); statistical significance: n.s. = non-significant; ‘.’ &lt;.10 (trend); ‘*’ &lt;.05; ‘**’ &lt;0.01; ‘***’ &lt;0.001; NA = not available/not applicable;</w:t>
      </w:r>
    </w:p>
    <w:p w14:paraId="04EDF999" w14:textId="77777777" w:rsidR="00AC03B5" w:rsidRDefault="00AC03B5" w:rsidP="00AC03B5"/>
    <w:p w14:paraId="388D116A" w14:textId="77777777" w:rsidR="00AC03B5" w:rsidRDefault="00AC03B5" w:rsidP="00AC03B5"/>
    <w:p w14:paraId="16E1D724" w14:textId="77777777" w:rsidR="00AC03B5" w:rsidRDefault="00AC03B5" w:rsidP="00AC03B5">
      <w:pPr>
        <w:pStyle w:val="Heading2"/>
      </w:pPr>
      <w:r>
        <w:rPr>
          <w:rFonts w:cs="Times New Roman"/>
        </w:rPr>
        <w:t>§S8</w:t>
      </w:r>
      <w:r>
        <w:t xml:space="preserve"> Nocebo effects</w:t>
      </w:r>
    </w:p>
    <w:tbl>
      <w:tblPr>
        <w:tblStyle w:val="PlainTable3"/>
        <w:tblW w:w="6233" w:type="dxa"/>
        <w:tblLook w:val="04A0" w:firstRow="1" w:lastRow="0" w:firstColumn="1" w:lastColumn="0" w:noHBand="0" w:noVBand="1"/>
      </w:tblPr>
      <w:tblGrid>
        <w:gridCol w:w="326"/>
        <w:gridCol w:w="2290"/>
        <w:gridCol w:w="546"/>
        <w:gridCol w:w="1842"/>
        <w:gridCol w:w="1500"/>
      </w:tblGrid>
      <w:tr w:rsidR="00AC03B5" w:rsidRPr="00F53F1B" w14:paraId="4E9E5CCF" w14:textId="77777777" w:rsidTr="008162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2" w:type="dxa"/>
            <w:hideMark/>
          </w:tcPr>
          <w:p w14:paraId="71074C6D" w14:textId="77777777" w:rsidR="00AC03B5" w:rsidRPr="00F53F1B" w:rsidRDefault="00AC03B5" w:rsidP="008162C8">
            <w:pPr>
              <w:jc w:val="center"/>
            </w:pPr>
          </w:p>
        </w:tc>
        <w:tc>
          <w:tcPr>
            <w:tcW w:w="2290" w:type="dxa"/>
            <w:hideMark/>
          </w:tcPr>
          <w:p w14:paraId="400BF552" w14:textId="77777777" w:rsidR="00AC03B5" w:rsidRPr="00F53F1B" w:rsidRDefault="00AC03B5" w:rsidP="008162C8">
            <w:pPr>
              <w:jc w:val="center"/>
              <w:cnfStyle w:val="100000000000" w:firstRow="1" w:lastRow="0" w:firstColumn="0" w:lastColumn="0" w:oddVBand="0" w:evenVBand="0" w:oddHBand="0" w:evenHBand="0" w:firstRowFirstColumn="0" w:firstRowLastColumn="0" w:lastRowFirstColumn="0" w:lastRowLastColumn="0"/>
              <w:rPr>
                <w:b w:val="0"/>
                <w:bCs w:val="0"/>
              </w:rPr>
            </w:pPr>
            <w:r w:rsidRPr="00F53F1B">
              <w:br/>
              <w:t>type</w:t>
            </w:r>
          </w:p>
        </w:tc>
        <w:tc>
          <w:tcPr>
            <w:tcW w:w="500" w:type="dxa"/>
            <w:hideMark/>
          </w:tcPr>
          <w:p w14:paraId="25CF3138" w14:textId="77777777" w:rsidR="00AC03B5" w:rsidRPr="00F53F1B" w:rsidRDefault="00AC03B5" w:rsidP="008162C8">
            <w:pPr>
              <w:jc w:val="center"/>
              <w:cnfStyle w:val="100000000000" w:firstRow="1" w:lastRow="0" w:firstColumn="0" w:lastColumn="0" w:oddVBand="0" w:evenVBand="0" w:oddHBand="0" w:evenHBand="0" w:firstRowFirstColumn="0" w:firstRowLastColumn="0" w:lastRowFirstColumn="0" w:lastRowLastColumn="0"/>
              <w:rPr>
                <w:b w:val="0"/>
                <w:bCs w:val="0"/>
              </w:rPr>
            </w:pPr>
            <w:r>
              <w:t>n</w:t>
            </w:r>
          </w:p>
        </w:tc>
        <w:tc>
          <w:tcPr>
            <w:tcW w:w="1678" w:type="dxa"/>
            <w:hideMark/>
          </w:tcPr>
          <w:p w14:paraId="189FF070" w14:textId="77777777" w:rsidR="00AC03B5" w:rsidRPr="00F53F1B" w:rsidRDefault="00AC03B5" w:rsidP="008162C8">
            <w:pPr>
              <w:jc w:val="center"/>
              <w:cnfStyle w:val="100000000000" w:firstRow="1" w:lastRow="0" w:firstColumn="0" w:lastColumn="0" w:oddVBand="0" w:evenVBand="0" w:oddHBand="0" w:evenHBand="0" w:firstRowFirstColumn="0" w:firstRowLastColumn="0" w:lastRowFirstColumn="0" w:lastRowLastColumn="0"/>
              <w:rPr>
                <w:b w:val="0"/>
                <w:bCs w:val="0"/>
              </w:rPr>
            </w:pPr>
            <w:r>
              <w:t>drop outs from ‘medication’ attributed side effects</w:t>
            </w:r>
          </w:p>
        </w:tc>
        <w:tc>
          <w:tcPr>
            <w:tcW w:w="1223" w:type="dxa"/>
            <w:hideMark/>
          </w:tcPr>
          <w:p w14:paraId="4AD7A9EA" w14:textId="77777777" w:rsidR="00AC03B5" w:rsidRPr="00F53F1B" w:rsidRDefault="00AC03B5" w:rsidP="008162C8">
            <w:pPr>
              <w:jc w:val="center"/>
              <w:cnfStyle w:val="100000000000" w:firstRow="1" w:lastRow="0" w:firstColumn="0" w:lastColumn="0" w:oddVBand="0" w:evenVBand="0" w:oddHBand="0" w:evenHBand="0" w:firstRowFirstColumn="0" w:firstRowLastColumn="0" w:lastRowFirstColumn="0" w:lastRowLastColumn="0"/>
              <w:rPr>
                <w:b w:val="0"/>
                <w:bCs w:val="0"/>
              </w:rPr>
            </w:pPr>
            <w:r>
              <w:t xml:space="preserve">% </w:t>
            </w:r>
            <w:r w:rsidRPr="00F53F1B">
              <w:t>nocebo</w:t>
            </w:r>
            <w:r>
              <w:t xml:space="preserve"> for drop out outcomes</w:t>
            </w:r>
          </w:p>
        </w:tc>
      </w:tr>
      <w:tr w:rsidR="00AC03B5" w:rsidRPr="00F53F1B" w14:paraId="0EEBFF29" w14:textId="77777777" w:rsidTr="008162C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2C5B5322" w14:textId="77777777" w:rsidR="00AC03B5" w:rsidRPr="00F53F1B" w:rsidRDefault="00AC03B5" w:rsidP="008162C8">
            <w:pPr>
              <w:jc w:val="center"/>
              <w:rPr>
                <w:b w:val="0"/>
                <w:bCs w:val="0"/>
              </w:rPr>
            </w:pPr>
            <w:r w:rsidRPr="00F53F1B">
              <w:t>1</w:t>
            </w:r>
          </w:p>
        </w:tc>
        <w:tc>
          <w:tcPr>
            <w:tcW w:w="2290" w:type="dxa"/>
            <w:noWrap/>
            <w:hideMark/>
          </w:tcPr>
          <w:p w14:paraId="46910256"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AD</w:t>
            </w:r>
          </w:p>
        </w:tc>
        <w:tc>
          <w:tcPr>
            <w:tcW w:w="500" w:type="dxa"/>
            <w:noWrap/>
            <w:hideMark/>
          </w:tcPr>
          <w:p w14:paraId="441385EB"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83</w:t>
            </w:r>
          </w:p>
        </w:tc>
        <w:tc>
          <w:tcPr>
            <w:tcW w:w="0" w:type="auto"/>
            <w:noWrap/>
            <w:hideMark/>
          </w:tcPr>
          <w:p w14:paraId="3C0558B2"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2</w:t>
            </w:r>
          </w:p>
        </w:tc>
        <w:tc>
          <w:tcPr>
            <w:tcW w:w="0" w:type="auto"/>
            <w:noWrap/>
            <w:hideMark/>
          </w:tcPr>
          <w:p w14:paraId="342873B7"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0.02409639</w:t>
            </w:r>
          </w:p>
        </w:tc>
      </w:tr>
      <w:tr w:rsidR="00AC03B5" w:rsidRPr="00F53F1B" w14:paraId="3F4461D3" w14:textId="77777777" w:rsidTr="008162C8">
        <w:trPr>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0EA88CE8" w14:textId="77777777" w:rsidR="00AC03B5" w:rsidRPr="00F53F1B" w:rsidRDefault="00AC03B5" w:rsidP="008162C8">
            <w:pPr>
              <w:jc w:val="center"/>
              <w:rPr>
                <w:b w:val="0"/>
                <w:bCs w:val="0"/>
              </w:rPr>
            </w:pPr>
            <w:r w:rsidRPr="00F53F1B">
              <w:t>2</w:t>
            </w:r>
          </w:p>
        </w:tc>
        <w:tc>
          <w:tcPr>
            <w:tcW w:w="2290" w:type="dxa"/>
            <w:noWrap/>
            <w:hideMark/>
          </w:tcPr>
          <w:p w14:paraId="73325EEB" w14:textId="77777777" w:rsidR="00AC03B5" w:rsidRPr="00F53F1B" w:rsidRDefault="00AC03B5" w:rsidP="008162C8">
            <w:pPr>
              <w:jc w:val="center"/>
              <w:cnfStyle w:val="000000000000" w:firstRow="0" w:lastRow="0" w:firstColumn="0" w:lastColumn="0" w:oddVBand="0" w:evenVBand="0" w:oddHBand="0" w:evenHBand="0" w:firstRowFirstColumn="0" w:firstRowLastColumn="0" w:lastRowFirstColumn="0" w:lastRowLastColumn="0"/>
            </w:pPr>
            <w:r w:rsidRPr="00F53F1B">
              <w:t>AP</w:t>
            </w:r>
          </w:p>
        </w:tc>
        <w:tc>
          <w:tcPr>
            <w:tcW w:w="500" w:type="dxa"/>
            <w:noWrap/>
            <w:hideMark/>
          </w:tcPr>
          <w:p w14:paraId="6E7057E0" w14:textId="77777777" w:rsidR="00AC03B5" w:rsidRPr="00F53F1B" w:rsidRDefault="00AC03B5" w:rsidP="008162C8">
            <w:pPr>
              <w:jc w:val="center"/>
              <w:cnfStyle w:val="000000000000" w:firstRow="0" w:lastRow="0" w:firstColumn="0" w:lastColumn="0" w:oddVBand="0" w:evenVBand="0" w:oddHBand="0" w:evenHBand="0" w:firstRowFirstColumn="0" w:firstRowLastColumn="0" w:lastRowFirstColumn="0" w:lastRowLastColumn="0"/>
            </w:pPr>
            <w:r w:rsidRPr="00F53F1B">
              <w:t>33</w:t>
            </w:r>
          </w:p>
        </w:tc>
        <w:tc>
          <w:tcPr>
            <w:tcW w:w="0" w:type="auto"/>
            <w:noWrap/>
            <w:hideMark/>
          </w:tcPr>
          <w:p w14:paraId="66E82BFA" w14:textId="77777777" w:rsidR="00AC03B5" w:rsidRPr="00F53F1B" w:rsidRDefault="00AC03B5" w:rsidP="008162C8">
            <w:pPr>
              <w:jc w:val="center"/>
              <w:cnfStyle w:val="000000000000" w:firstRow="0" w:lastRow="0" w:firstColumn="0" w:lastColumn="0" w:oddVBand="0" w:evenVBand="0" w:oddHBand="0" w:evenHBand="0" w:firstRowFirstColumn="0" w:firstRowLastColumn="0" w:lastRowFirstColumn="0" w:lastRowLastColumn="0"/>
            </w:pPr>
            <w:r w:rsidRPr="00F53F1B">
              <w:t>2</w:t>
            </w:r>
          </w:p>
        </w:tc>
        <w:tc>
          <w:tcPr>
            <w:tcW w:w="0" w:type="auto"/>
            <w:noWrap/>
            <w:hideMark/>
          </w:tcPr>
          <w:p w14:paraId="73EBFC8B" w14:textId="77777777" w:rsidR="00AC03B5" w:rsidRPr="00F53F1B" w:rsidRDefault="00AC03B5" w:rsidP="008162C8">
            <w:pPr>
              <w:jc w:val="center"/>
              <w:cnfStyle w:val="000000000000" w:firstRow="0" w:lastRow="0" w:firstColumn="0" w:lastColumn="0" w:oddVBand="0" w:evenVBand="0" w:oddHBand="0" w:evenHBand="0" w:firstRowFirstColumn="0" w:firstRowLastColumn="0" w:lastRowFirstColumn="0" w:lastRowLastColumn="0"/>
            </w:pPr>
            <w:r w:rsidRPr="00F53F1B">
              <w:t>0.06060606</w:t>
            </w:r>
          </w:p>
        </w:tc>
      </w:tr>
      <w:tr w:rsidR="00AC03B5" w:rsidRPr="00F53F1B" w14:paraId="1014B1EF" w14:textId="77777777" w:rsidTr="008162C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3D69A2E9" w14:textId="77777777" w:rsidR="00AC03B5" w:rsidRPr="00F53F1B" w:rsidRDefault="00AC03B5" w:rsidP="008162C8">
            <w:pPr>
              <w:jc w:val="center"/>
              <w:rPr>
                <w:b w:val="0"/>
                <w:bCs w:val="0"/>
              </w:rPr>
            </w:pPr>
            <w:r w:rsidRPr="00F53F1B">
              <w:lastRenderedPageBreak/>
              <w:t>3</w:t>
            </w:r>
          </w:p>
        </w:tc>
        <w:tc>
          <w:tcPr>
            <w:tcW w:w="2290" w:type="dxa"/>
            <w:noWrap/>
            <w:hideMark/>
          </w:tcPr>
          <w:p w14:paraId="189B9485"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MS</w:t>
            </w:r>
          </w:p>
        </w:tc>
        <w:tc>
          <w:tcPr>
            <w:tcW w:w="500" w:type="dxa"/>
            <w:noWrap/>
            <w:hideMark/>
          </w:tcPr>
          <w:p w14:paraId="239D7DEC"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59</w:t>
            </w:r>
          </w:p>
        </w:tc>
        <w:tc>
          <w:tcPr>
            <w:tcW w:w="0" w:type="auto"/>
            <w:noWrap/>
            <w:hideMark/>
          </w:tcPr>
          <w:p w14:paraId="6BF484C6"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1</w:t>
            </w:r>
          </w:p>
        </w:tc>
        <w:tc>
          <w:tcPr>
            <w:tcW w:w="0" w:type="auto"/>
            <w:noWrap/>
            <w:hideMark/>
          </w:tcPr>
          <w:p w14:paraId="1E96890E"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0.01694915</w:t>
            </w:r>
          </w:p>
        </w:tc>
      </w:tr>
      <w:tr w:rsidR="00AC03B5" w:rsidRPr="00F53F1B" w14:paraId="06EE990A" w14:textId="77777777" w:rsidTr="008162C8">
        <w:trPr>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04FADB1F" w14:textId="77777777" w:rsidR="00AC03B5" w:rsidRPr="00F53F1B" w:rsidRDefault="00AC03B5" w:rsidP="008162C8">
            <w:pPr>
              <w:jc w:val="center"/>
              <w:rPr>
                <w:b w:val="0"/>
                <w:bCs w:val="0"/>
              </w:rPr>
            </w:pPr>
            <w:r w:rsidRPr="00F53F1B">
              <w:t>4</w:t>
            </w:r>
          </w:p>
        </w:tc>
        <w:tc>
          <w:tcPr>
            <w:tcW w:w="2290" w:type="dxa"/>
            <w:noWrap/>
            <w:hideMark/>
          </w:tcPr>
          <w:p w14:paraId="26B4D7B4" w14:textId="77777777" w:rsidR="00AC03B5" w:rsidRPr="00F53F1B" w:rsidRDefault="00AC03B5" w:rsidP="008162C8">
            <w:pPr>
              <w:jc w:val="center"/>
              <w:cnfStyle w:val="000000000000" w:firstRow="0" w:lastRow="0" w:firstColumn="0" w:lastColumn="0" w:oddVBand="0" w:evenVBand="0" w:oddHBand="0" w:evenHBand="0" w:firstRowFirstColumn="0" w:firstRowLastColumn="0" w:lastRowFirstColumn="0" w:lastRowLastColumn="0"/>
            </w:pPr>
            <w:r w:rsidRPr="00F53F1B">
              <w:t>ORA</w:t>
            </w:r>
          </w:p>
        </w:tc>
        <w:tc>
          <w:tcPr>
            <w:tcW w:w="500" w:type="dxa"/>
            <w:noWrap/>
            <w:hideMark/>
          </w:tcPr>
          <w:p w14:paraId="02C3EB03" w14:textId="77777777" w:rsidR="00AC03B5" w:rsidRPr="00F53F1B" w:rsidRDefault="00AC03B5" w:rsidP="008162C8">
            <w:pPr>
              <w:jc w:val="center"/>
              <w:cnfStyle w:val="000000000000" w:firstRow="0" w:lastRow="0" w:firstColumn="0" w:lastColumn="0" w:oddVBand="0" w:evenVBand="0" w:oddHBand="0" w:evenHBand="0" w:firstRowFirstColumn="0" w:firstRowLastColumn="0" w:lastRowFirstColumn="0" w:lastRowLastColumn="0"/>
            </w:pPr>
            <w:r w:rsidRPr="00F53F1B">
              <w:t>152</w:t>
            </w:r>
          </w:p>
        </w:tc>
        <w:tc>
          <w:tcPr>
            <w:tcW w:w="0" w:type="auto"/>
            <w:noWrap/>
            <w:hideMark/>
          </w:tcPr>
          <w:p w14:paraId="311B84AB" w14:textId="77777777" w:rsidR="00AC03B5" w:rsidRPr="00F53F1B" w:rsidRDefault="00AC03B5" w:rsidP="008162C8">
            <w:pPr>
              <w:jc w:val="center"/>
              <w:cnfStyle w:val="000000000000" w:firstRow="0" w:lastRow="0" w:firstColumn="0" w:lastColumn="0" w:oddVBand="0" w:evenVBand="0" w:oddHBand="0" w:evenHBand="0" w:firstRowFirstColumn="0" w:firstRowLastColumn="0" w:lastRowFirstColumn="0" w:lastRowLastColumn="0"/>
            </w:pPr>
            <w:r w:rsidRPr="00F53F1B">
              <w:t>3</w:t>
            </w:r>
          </w:p>
        </w:tc>
        <w:tc>
          <w:tcPr>
            <w:tcW w:w="0" w:type="auto"/>
            <w:noWrap/>
            <w:hideMark/>
          </w:tcPr>
          <w:p w14:paraId="07BD5EE8" w14:textId="77777777" w:rsidR="00AC03B5" w:rsidRPr="00F53F1B" w:rsidRDefault="00AC03B5" w:rsidP="008162C8">
            <w:pPr>
              <w:jc w:val="center"/>
              <w:cnfStyle w:val="000000000000" w:firstRow="0" w:lastRow="0" w:firstColumn="0" w:lastColumn="0" w:oddVBand="0" w:evenVBand="0" w:oddHBand="0" w:evenHBand="0" w:firstRowFirstColumn="0" w:firstRowLastColumn="0" w:lastRowFirstColumn="0" w:lastRowLastColumn="0"/>
            </w:pPr>
            <w:r w:rsidRPr="00F53F1B">
              <w:t>0.01973684</w:t>
            </w:r>
          </w:p>
        </w:tc>
      </w:tr>
      <w:tr w:rsidR="00AC03B5" w:rsidRPr="00F53F1B" w14:paraId="7CFCC688" w14:textId="77777777" w:rsidTr="008162C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noWrap/>
            <w:hideMark/>
          </w:tcPr>
          <w:p w14:paraId="0A71D54D" w14:textId="77777777" w:rsidR="00AC03B5" w:rsidRPr="00F53F1B" w:rsidRDefault="00AC03B5" w:rsidP="008162C8">
            <w:pPr>
              <w:jc w:val="center"/>
              <w:rPr>
                <w:b w:val="0"/>
                <w:bCs w:val="0"/>
              </w:rPr>
            </w:pPr>
            <w:r w:rsidRPr="00F53F1B">
              <w:t>5</w:t>
            </w:r>
          </w:p>
        </w:tc>
        <w:tc>
          <w:tcPr>
            <w:tcW w:w="2290" w:type="dxa"/>
            <w:noWrap/>
            <w:hideMark/>
          </w:tcPr>
          <w:p w14:paraId="4C109515"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Supplement</w:t>
            </w:r>
          </w:p>
        </w:tc>
        <w:tc>
          <w:tcPr>
            <w:tcW w:w="500" w:type="dxa"/>
            <w:noWrap/>
            <w:hideMark/>
          </w:tcPr>
          <w:p w14:paraId="3334239E"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21</w:t>
            </w:r>
          </w:p>
        </w:tc>
        <w:tc>
          <w:tcPr>
            <w:tcW w:w="0" w:type="auto"/>
            <w:noWrap/>
            <w:hideMark/>
          </w:tcPr>
          <w:p w14:paraId="724727D5"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0</w:t>
            </w:r>
          </w:p>
        </w:tc>
        <w:tc>
          <w:tcPr>
            <w:tcW w:w="0" w:type="auto"/>
            <w:noWrap/>
            <w:hideMark/>
          </w:tcPr>
          <w:p w14:paraId="2ED00280" w14:textId="77777777" w:rsidR="00AC03B5" w:rsidRPr="00F53F1B" w:rsidRDefault="00AC03B5" w:rsidP="008162C8">
            <w:pPr>
              <w:jc w:val="center"/>
              <w:cnfStyle w:val="000000100000" w:firstRow="0" w:lastRow="0" w:firstColumn="0" w:lastColumn="0" w:oddVBand="0" w:evenVBand="0" w:oddHBand="1" w:evenHBand="0" w:firstRowFirstColumn="0" w:firstRowLastColumn="0" w:lastRowFirstColumn="0" w:lastRowLastColumn="0"/>
            </w:pPr>
            <w:r w:rsidRPr="00F53F1B">
              <w:t>0.00000000</w:t>
            </w:r>
          </w:p>
        </w:tc>
      </w:tr>
    </w:tbl>
    <w:p w14:paraId="08594E0A" w14:textId="77777777" w:rsidR="00AC03B5" w:rsidRDefault="00AC03B5" w:rsidP="00AC03B5">
      <w:pPr>
        <w:jc w:val="center"/>
      </w:pPr>
    </w:p>
    <w:p w14:paraId="65138835" w14:textId="77777777" w:rsidR="00AC03B5" w:rsidRDefault="00AC03B5" w:rsidP="00AC03B5">
      <w:pPr>
        <w:jc w:val="center"/>
      </w:pPr>
    </w:p>
    <w:p w14:paraId="395D4A65" w14:textId="77777777" w:rsidR="00AC03B5" w:rsidRDefault="00AC03B5" w:rsidP="00AC03B5">
      <w:pPr>
        <w:pStyle w:val="Heading2"/>
      </w:pPr>
      <w:r>
        <w:rPr>
          <w:rFonts w:cs="Times New Roman"/>
        </w:rPr>
        <w:t>§</w:t>
      </w:r>
      <w:r>
        <w:t>S9 Quality assessment (Risk of bias)</w:t>
      </w:r>
    </w:p>
    <w:p w14:paraId="4AFBE92B" w14:textId="77777777" w:rsidR="00AC03B5" w:rsidRDefault="00AC03B5" w:rsidP="00AC03B5">
      <w:pPr>
        <w:rPr>
          <w:rFonts w:cs="Times New Roman"/>
        </w:rPr>
      </w:pPr>
      <w:r>
        <w:rPr>
          <w:rFonts w:cs="Times New Roman"/>
          <w:noProof/>
          <w:lang w:eastAsia="en-GB"/>
        </w:rPr>
        <w:drawing>
          <wp:inline distT="0" distB="0" distL="0" distR="0" wp14:anchorId="3B0B4F4D" wp14:editId="3BEE122B">
            <wp:extent cx="5731510" cy="17265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2_summar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726565"/>
                    </a:xfrm>
                    <a:prstGeom prst="rect">
                      <a:avLst/>
                    </a:prstGeom>
                  </pic:spPr>
                </pic:pic>
              </a:graphicData>
            </a:graphic>
          </wp:inline>
        </w:drawing>
      </w:r>
    </w:p>
    <w:p w14:paraId="3D2D06B7" w14:textId="77777777" w:rsidR="00AC03B5" w:rsidRDefault="00AC03B5" w:rsidP="00AC03B5">
      <w:pPr>
        <w:rPr>
          <w:rFonts w:cs="Times New Roman"/>
        </w:rPr>
      </w:pPr>
    </w:p>
    <w:p w14:paraId="03676A22" w14:textId="77777777" w:rsidR="00AC03B5" w:rsidRDefault="00AC03B5" w:rsidP="00AC03B5">
      <w:pPr>
        <w:rPr>
          <w:rFonts w:cs="Times New Roman"/>
        </w:rPr>
      </w:pPr>
      <w:r>
        <w:rPr>
          <w:rFonts w:cs="Times New Roman"/>
        </w:rPr>
        <w:br w:type="page"/>
      </w:r>
    </w:p>
    <w:p w14:paraId="315F510D" w14:textId="77777777" w:rsidR="00AC03B5" w:rsidRDefault="00AC03B5" w:rsidP="00AC03B5">
      <w:pPr>
        <w:rPr>
          <w:rFonts w:cs="Times New Roman"/>
        </w:rPr>
      </w:pPr>
      <w:r>
        <w:rPr>
          <w:rFonts w:cs="Times New Roman"/>
          <w:noProof/>
          <w:lang w:eastAsia="en-GB"/>
        </w:rPr>
        <w:lastRenderedPageBreak/>
        <w:drawing>
          <wp:inline distT="0" distB="0" distL="0" distR="0" wp14:anchorId="373BC341" wp14:editId="0ABE60F8">
            <wp:extent cx="5731510" cy="78695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2_overal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7869555"/>
                    </a:xfrm>
                    <a:prstGeom prst="rect">
                      <a:avLst/>
                    </a:prstGeom>
                  </pic:spPr>
                </pic:pic>
              </a:graphicData>
            </a:graphic>
          </wp:inline>
        </w:drawing>
      </w:r>
      <w:r>
        <w:rPr>
          <w:rFonts w:cs="Times New Roman"/>
        </w:rPr>
        <w:br w:type="page"/>
      </w:r>
    </w:p>
    <w:p w14:paraId="30B52A21" w14:textId="77777777" w:rsidR="00AC03B5" w:rsidRDefault="00AC03B5" w:rsidP="00AC03B5">
      <w:pPr>
        <w:pStyle w:val="Heading2"/>
      </w:pPr>
      <w:r>
        <w:rPr>
          <w:rFonts w:cs="Times New Roman"/>
        </w:rPr>
        <w:lastRenderedPageBreak/>
        <w:t>§</w:t>
      </w:r>
      <w:r>
        <w:t>S10 R code</w:t>
      </w:r>
    </w:p>
    <w:p w14:paraId="311DF5A0" w14:textId="77777777" w:rsidR="00AC03B5" w:rsidRPr="00FD03CC" w:rsidRDefault="00AC03B5" w:rsidP="00AC03B5">
      <w:pPr>
        <w:rPr>
          <w:bdr w:val="none" w:sz="0" w:space="0" w:color="auto" w:frame="1"/>
          <w:lang w:eastAsia="en-GB"/>
        </w:rPr>
      </w:pPr>
      <w:r w:rsidRPr="00FD03CC">
        <w:rPr>
          <w:bdr w:val="none" w:sz="0" w:space="0" w:color="auto" w:frame="1"/>
          <w:lang w:eastAsia="en-GB"/>
        </w:rPr>
        <w:t>R version 4.2.1 (2022-06-23 ucrt)</w:t>
      </w:r>
      <w:r>
        <w:rPr>
          <w:bdr w:val="none" w:sz="0" w:space="0" w:color="auto" w:frame="1"/>
          <w:lang w:eastAsia="en-GB"/>
        </w:rPr>
        <w:t xml:space="preserve"> </w:t>
      </w:r>
      <w:r w:rsidRPr="00FD03CC">
        <w:rPr>
          <w:bdr w:val="none" w:sz="0" w:space="0" w:color="auto" w:frame="1"/>
          <w:lang w:eastAsia="en-GB"/>
        </w:rPr>
        <w:t xml:space="preserve">Platform: </w:t>
      </w:r>
      <w:r>
        <w:rPr>
          <w:bdr w:val="none" w:sz="0" w:space="0" w:color="auto" w:frame="1"/>
          <w:lang w:eastAsia="en-GB"/>
        </w:rPr>
        <w:t xml:space="preserve">x86_64-w64-mingw32/x64 (64-bit) </w:t>
      </w:r>
      <w:r w:rsidRPr="00FD03CC">
        <w:rPr>
          <w:bdr w:val="none" w:sz="0" w:space="0" w:color="auto" w:frame="1"/>
          <w:lang w:eastAsia="en-GB"/>
        </w:rPr>
        <w:t>Running under: Windows 10 x64 (build 22631)</w:t>
      </w:r>
    </w:p>
    <w:p w14:paraId="6564D975" w14:textId="77777777" w:rsidR="00AC03B5" w:rsidRDefault="00AC03B5" w:rsidP="00AC03B5">
      <w:proofErr w:type="gramStart"/>
      <w:r>
        <w:t>library(</w:t>
      </w:r>
      <w:proofErr w:type="gramEnd"/>
      <w:r>
        <w:t>data.table)</w:t>
      </w:r>
    </w:p>
    <w:p w14:paraId="68F751A4" w14:textId="77777777" w:rsidR="00AC03B5" w:rsidRDefault="00AC03B5" w:rsidP="00AC03B5">
      <w:proofErr w:type="gramStart"/>
      <w:r>
        <w:t>library(</w:t>
      </w:r>
      <w:proofErr w:type="gramEnd"/>
      <w:r>
        <w:t>metafor)</w:t>
      </w:r>
    </w:p>
    <w:p w14:paraId="7303EF3F" w14:textId="77777777" w:rsidR="00AC03B5" w:rsidRDefault="00AC03B5" w:rsidP="00AC03B5">
      <w:proofErr w:type="gramStart"/>
      <w:r>
        <w:t>library(</w:t>
      </w:r>
      <w:proofErr w:type="gramEnd"/>
      <w:r>
        <w:t>readxl)</w:t>
      </w:r>
    </w:p>
    <w:p w14:paraId="78FE2896" w14:textId="77777777" w:rsidR="00AC03B5" w:rsidRDefault="00AC03B5" w:rsidP="00AC03B5">
      <w:proofErr w:type="gramStart"/>
      <w:r>
        <w:t>library(</w:t>
      </w:r>
      <w:proofErr w:type="gramEnd"/>
      <w:r>
        <w:t xml:space="preserve">meta) </w:t>
      </w:r>
    </w:p>
    <w:p w14:paraId="4968077D" w14:textId="77777777" w:rsidR="00AC03B5" w:rsidRDefault="00AC03B5" w:rsidP="00AC03B5">
      <w:proofErr w:type="gramStart"/>
      <w:r>
        <w:t>library(</w:t>
      </w:r>
      <w:proofErr w:type="gramEnd"/>
      <w:r>
        <w:t>robumeta)</w:t>
      </w:r>
    </w:p>
    <w:p w14:paraId="36F43023" w14:textId="77777777" w:rsidR="00AC03B5" w:rsidRDefault="00AC03B5" w:rsidP="00AC03B5">
      <w:proofErr w:type="gramStart"/>
      <w:r>
        <w:t>library(</w:t>
      </w:r>
      <w:proofErr w:type="gramEnd"/>
      <w:r>
        <w:t>dplyr)</w:t>
      </w:r>
    </w:p>
    <w:p w14:paraId="50E76D81" w14:textId="77777777" w:rsidR="00AC03B5" w:rsidRDefault="00AC03B5" w:rsidP="00AC03B5">
      <w:proofErr w:type="gramStart"/>
      <w:r>
        <w:t>df</w:t>
      </w:r>
      <w:proofErr w:type="gramEnd"/>
      <w:r>
        <w:t>&lt;- read.csv("~/Dataset.csv", head = TRUE, stringsAsFactors = FALSE)</w:t>
      </w:r>
    </w:p>
    <w:p w14:paraId="5960CFF1" w14:textId="77777777" w:rsidR="00AC03B5" w:rsidRDefault="00AC03B5" w:rsidP="00AC03B5">
      <w:proofErr w:type="gramStart"/>
      <w:r>
        <w:t>df</w:t>
      </w:r>
      <w:proofErr w:type="gramEnd"/>
      <w:r>
        <w:t xml:space="preserve"> &lt;- as.data.table(df); df &lt;- df %&gt;% filter(to.be.included == "1")</w:t>
      </w:r>
    </w:p>
    <w:p w14:paraId="721647D5" w14:textId="77777777" w:rsidR="00AC03B5" w:rsidRDefault="00AC03B5" w:rsidP="00AC03B5">
      <w:r>
        <w:t>#placebo response of mixed severity of gambling results; follow similar for other domains/analyses.</w:t>
      </w:r>
    </w:p>
    <w:p w14:paraId="5BCEBD2C" w14:textId="77777777" w:rsidR="00AC03B5" w:rsidRDefault="00AC03B5" w:rsidP="00AC03B5">
      <w:r>
        <w:t>placebo_meta &lt;- df %</w:t>
      </w:r>
      <w:proofErr w:type="gramStart"/>
      <w:r>
        <w:t>&gt;%</w:t>
      </w:r>
      <w:proofErr w:type="gramEnd"/>
      <w:r>
        <w:t xml:space="preserve"> filter(arm=="Placebo") %&gt;% filter(symptom_sd_t0 != 0) %&gt;%</w:t>
      </w:r>
    </w:p>
    <w:p w14:paraId="253C387F" w14:textId="77777777" w:rsidR="00AC03B5" w:rsidRDefault="00AC03B5" w:rsidP="00AC03B5">
      <w:r>
        <w:t xml:space="preserve">  dplyr::</w:t>
      </w:r>
      <w:proofErr w:type="gramStart"/>
      <w:r>
        <w:t>select(</w:t>
      </w:r>
      <w:proofErr w:type="gramEnd"/>
      <w:r>
        <w:t>study_id, RCT_design_1, Publication.Year, type, sponsor, age_mean, perc_male, duration, scale, authors_COI, run_in, first_author, n_itt, symptom_mean_t0:sd_change..t1.t0.)</w:t>
      </w:r>
    </w:p>
    <w:p w14:paraId="12502F1D" w14:textId="77777777" w:rsidR="00AC03B5" w:rsidRDefault="00AC03B5" w:rsidP="00AC03B5">
      <w:proofErr w:type="gramStart"/>
      <w:r>
        <w:t>dat</w:t>
      </w:r>
      <w:proofErr w:type="gramEnd"/>
      <w:r>
        <w:t xml:space="preserve"> &lt;- escalc(measure="SMCC", m1i=symptom_mean_t0, sd1i=symptom_sd_t0, m2i=symptom_mean_t1, sd2i=symptom_sd_t1, ni=n, ri=c(rep(0.50, 16)), data=placebo_meta, slab=paste(first_author, Publication.Year, sep=",    ")) #impute correlation for sensitivity analyses</w:t>
      </w:r>
    </w:p>
    <w:p w14:paraId="292C303F" w14:textId="77777777" w:rsidR="00AC03B5" w:rsidRDefault="00AC03B5" w:rsidP="00AC03B5">
      <w:proofErr w:type="gramStart"/>
      <w:r>
        <w:t>res</w:t>
      </w:r>
      <w:proofErr w:type="gramEnd"/>
      <w:r>
        <w:t xml:space="preserve"> &lt;- rma(yi, vi, data=dat) ; predict(res, digits=3); confint(res)</w:t>
      </w:r>
    </w:p>
    <w:p w14:paraId="1F43AA05" w14:textId="77777777" w:rsidR="00AC03B5" w:rsidRDefault="00AC03B5" w:rsidP="00AC03B5">
      <w:proofErr w:type="gramStart"/>
      <w:r>
        <w:t>forest(</w:t>
      </w:r>
      <w:proofErr w:type="gramEnd"/>
      <w:r>
        <w:t xml:space="preserve">res, xlim=c(-2.6,4.6), </w:t>
      </w:r>
    </w:p>
    <w:p w14:paraId="01DE4016" w14:textId="77777777" w:rsidR="00AC03B5" w:rsidRDefault="00AC03B5" w:rsidP="00AC03B5">
      <w:r>
        <w:t xml:space="preserve">       </w:t>
      </w:r>
      <w:proofErr w:type="gramStart"/>
      <w:r>
        <w:t>at</w:t>
      </w:r>
      <w:proofErr w:type="gramEnd"/>
      <w:r>
        <w:t>=(c(-.4,-.2,0,.2,.6,.9, 1.5, 3)), digits=c(2,1), cex=.8)</w:t>
      </w:r>
    </w:p>
    <w:p w14:paraId="464D3D4C" w14:textId="77777777" w:rsidR="00AC03B5" w:rsidRDefault="00AC03B5" w:rsidP="00AC03B5">
      <w:proofErr w:type="gramStart"/>
      <w:r>
        <w:t>text(</w:t>
      </w:r>
      <w:proofErr w:type="gramEnd"/>
      <w:r>
        <w:t>-2.6, 17.5, "Author(s), Year", pos=4, cex=.9)</w:t>
      </w:r>
    </w:p>
    <w:p w14:paraId="1C355405" w14:textId="77777777" w:rsidR="00AC03B5" w:rsidRDefault="00AC03B5" w:rsidP="00AC03B5">
      <w:proofErr w:type="gramStart"/>
      <w:r>
        <w:lastRenderedPageBreak/>
        <w:t>text(</w:t>
      </w:r>
      <w:proofErr w:type="gramEnd"/>
      <w:r>
        <w:t>-0.6, 17.5, "Placebo response", pos=4, cex=.9)</w:t>
      </w:r>
    </w:p>
    <w:p w14:paraId="44E51244" w14:textId="77777777" w:rsidR="00AC03B5" w:rsidRDefault="00AC03B5" w:rsidP="00AC03B5">
      <w:proofErr w:type="gramStart"/>
      <w:r>
        <w:t>text(</w:t>
      </w:r>
      <w:proofErr w:type="gramEnd"/>
      <w:r>
        <w:t xml:space="preserve"> 4.6, 17.5, "Effect size [95% CI]", pos=2, cex=.9)</w:t>
      </w:r>
    </w:p>
    <w:p w14:paraId="22FA9B5D" w14:textId="77777777" w:rsidR="00AC03B5" w:rsidRDefault="00AC03B5" w:rsidP="00AC03B5">
      <w:r>
        <w:t xml:space="preserve">plb1.yi &lt;- res$yi; plb1.slab &lt;- res$slab; b_res &lt;- </w:t>
      </w:r>
      <w:proofErr w:type="gramStart"/>
      <w:r>
        <w:t>rma(</w:t>
      </w:r>
      <w:proofErr w:type="gramEnd"/>
      <w:r>
        <w:t>yi, vi,data=dat, slab=study_id) #save results for further comparisons</w:t>
      </w:r>
    </w:p>
    <w:p w14:paraId="0326FE67" w14:textId="77777777" w:rsidR="00AC03B5" w:rsidRDefault="00AC03B5" w:rsidP="00AC03B5">
      <w:r>
        <w:t>#</w:t>
      </w:r>
      <w:proofErr w:type="gramStart"/>
      <w:r>
        <w:t>baujat(</w:t>
      </w:r>
      <w:proofErr w:type="gramEnd"/>
      <w:r>
        <w:t>b_res); inf &lt;- influence(res); print(inf); plot(inf) # influence diagnostics</w:t>
      </w:r>
    </w:p>
    <w:p w14:paraId="09FA7111" w14:textId="77777777" w:rsidR="00AC03B5" w:rsidRDefault="00AC03B5" w:rsidP="00AC03B5">
      <w:r>
        <w:t>### funnel plot</w:t>
      </w:r>
    </w:p>
    <w:p w14:paraId="67D03CC4" w14:textId="77777777" w:rsidR="00AC03B5" w:rsidRDefault="00AC03B5" w:rsidP="00AC03B5">
      <w:proofErr w:type="gramStart"/>
      <w:r>
        <w:t>funnel(</w:t>
      </w:r>
      <w:proofErr w:type="gramEnd"/>
      <w:r>
        <w:t>res, xlab = "Severity Placebo SMCC \nRank Test for Funnel Plot Asymmetry, p=XXX") #Tests for bias</w:t>
      </w:r>
    </w:p>
    <w:p w14:paraId="3AB826C0" w14:textId="77777777" w:rsidR="00AC03B5" w:rsidRDefault="00AC03B5" w:rsidP="00AC03B5">
      <w:proofErr w:type="gramStart"/>
      <w:r>
        <w:t>regtest(</w:t>
      </w:r>
      <w:proofErr w:type="gramEnd"/>
      <w:r>
        <w:t>res); ranktest(res); #for trim and fill if necessary</w:t>
      </w:r>
    </w:p>
    <w:p w14:paraId="45B37276" w14:textId="77777777" w:rsidR="00AC03B5" w:rsidRDefault="00AC03B5" w:rsidP="00AC03B5">
      <w:r>
        <w:t xml:space="preserve">res.tf &lt;- </w:t>
      </w:r>
      <w:proofErr w:type="gramStart"/>
      <w:r>
        <w:t>trimfill(</w:t>
      </w:r>
      <w:proofErr w:type="gramEnd"/>
      <w:r>
        <w:t>res); res.tf</w:t>
      </w:r>
    </w:p>
    <w:p w14:paraId="103AE320" w14:textId="77777777" w:rsidR="00AC03B5" w:rsidRDefault="00AC03B5" w:rsidP="00AC03B5">
      <w:proofErr w:type="gramStart"/>
      <w:r>
        <w:t>funnel(</w:t>
      </w:r>
      <w:proofErr w:type="gramEnd"/>
      <w:r>
        <w:t xml:space="preserve">res.tf, xlab = "Severity Placebo SMCC \nRank Test for Funnel Plot Asymmetry, p=.XXX") </w:t>
      </w:r>
    </w:p>
    <w:p w14:paraId="3E27F653" w14:textId="77777777" w:rsidR="00AC03B5" w:rsidRDefault="00AC03B5" w:rsidP="00AC03B5">
      <w:proofErr w:type="gramStart"/>
      <w:r>
        <w:t>abline(</w:t>
      </w:r>
      <w:proofErr w:type="gramEnd"/>
      <w:r>
        <w:t xml:space="preserve">v=1.54, col="blue", lwd=1, lty = 2) </w:t>
      </w:r>
    </w:p>
    <w:p w14:paraId="1E21B4BB" w14:textId="77777777" w:rsidR="00AC03B5" w:rsidRDefault="00AC03B5" w:rsidP="00AC03B5">
      <w:r>
        <w:t xml:space="preserve">#Meta-regression analysis for publication year, type, sponsor, age_mean, perc_male, duration, scale, authors_COI </w:t>
      </w:r>
    </w:p>
    <w:p w14:paraId="0E1F36F7" w14:textId="77777777" w:rsidR="00AC03B5" w:rsidRDefault="00AC03B5" w:rsidP="00AC03B5">
      <w:r>
        <w:t xml:space="preserve">res.modage &lt;- </w:t>
      </w:r>
      <w:proofErr w:type="gramStart"/>
      <w:r>
        <w:t>rma(</w:t>
      </w:r>
      <w:proofErr w:type="gramEnd"/>
      <w:r>
        <w:t xml:space="preserve">yi, vi, mods = ~ Publication.Year, data=dat) </w:t>
      </w:r>
    </w:p>
    <w:p w14:paraId="5E8C4AB7" w14:textId="77777777" w:rsidR="00AC03B5" w:rsidRDefault="00AC03B5" w:rsidP="00AC03B5">
      <w:r>
        <w:t>res.modage</w:t>
      </w:r>
    </w:p>
    <w:p w14:paraId="471B3608" w14:textId="77777777" w:rsidR="00AC03B5" w:rsidRDefault="00AC03B5" w:rsidP="00AC03B5"/>
    <w:p w14:paraId="79F4ABCB" w14:textId="77777777" w:rsidR="00AC03B5" w:rsidRDefault="00AC03B5" w:rsidP="00AC03B5"/>
    <w:p w14:paraId="3A6F7140" w14:textId="77777777" w:rsidR="00AC03B5" w:rsidRDefault="00AC03B5" w:rsidP="00AC03B5">
      <w:pPr>
        <w:rPr>
          <w:rFonts w:eastAsiaTheme="majorEastAsia" w:cstheme="majorBidi"/>
          <w:b/>
          <w:sz w:val="26"/>
          <w:szCs w:val="26"/>
        </w:rPr>
      </w:pPr>
      <w:r>
        <w:br w:type="page"/>
      </w:r>
    </w:p>
    <w:p w14:paraId="60586A4E" w14:textId="77777777" w:rsidR="00AC03B5" w:rsidRDefault="00AC03B5" w:rsidP="00AC03B5">
      <w:pPr>
        <w:pStyle w:val="Heading2"/>
      </w:pPr>
      <w:r>
        <w:lastRenderedPageBreak/>
        <w:t>List of papers included in the meta-analysis</w:t>
      </w:r>
    </w:p>
    <w:tbl>
      <w:tblPr>
        <w:tblStyle w:val="TableGrid"/>
        <w:tblW w:w="9492" w:type="dxa"/>
        <w:tblLayout w:type="fixed"/>
        <w:tblLook w:val="04A0" w:firstRow="1" w:lastRow="0" w:firstColumn="1" w:lastColumn="0" w:noHBand="0" w:noVBand="1"/>
      </w:tblPr>
      <w:tblGrid>
        <w:gridCol w:w="421"/>
        <w:gridCol w:w="853"/>
        <w:gridCol w:w="503"/>
        <w:gridCol w:w="692"/>
        <w:gridCol w:w="1088"/>
        <w:gridCol w:w="989"/>
        <w:gridCol w:w="593"/>
        <w:gridCol w:w="594"/>
        <w:gridCol w:w="594"/>
        <w:gridCol w:w="594"/>
        <w:gridCol w:w="593"/>
        <w:gridCol w:w="593"/>
        <w:gridCol w:w="792"/>
        <w:gridCol w:w="593"/>
      </w:tblGrid>
      <w:tr w:rsidR="00AC03B5" w:rsidRPr="00A97BAE" w14:paraId="4EC17829" w14:textId="77777777" w:rsidTr="008162C8">
        <w:trPr>
          <w:trHeight w:val="592"/>
        </w:trPr>
        <w:tc>
          <w:tcPr>
            <w:tcW w:w="421" w:type="dxa"/>
            <w:shd w:val="clear" w:color="auto" w:fill="E7E6E6" w:themeFill="background2"/>
            <w:vAlign w:val="center"/>
          </w:tcPr>
          <w:p w14:paraId="3AF32C2C" w14:textId="77777777" w:rsidR="00AC03B5" w:rsidRPr="00A97BAE" w:rsidRDefault="00AC03B5" w:rsidP="008162C8">
            <w:pPr>
              <w:jc w:val="center"/>
              <w:rPr>
                <w:rFonts w:cs="Times New Roman"/>
                <w:b/>
                <w:szCs w:val="16"/>
              </w:rPr>
            </w:pPr>
            <w:r w:rsidRPr="00A97BAE">
              <w:rPr>
                <w:rFonts w:cs="Times New Roman"/>
                <w:b/>
                <w:szCs w:val="16"/>
              </w:rPr>
              <w:t>#</w:t>
            </w:r>
          </w:p>
        </w:tc>
        <w:tc>
          <w:tcPr>
            <w:tcW w:w="853" w:type="dxa"/>
            <w:shd w:val="clear" w:color="auto" w:fill="E7E6E6" w:themeFill="background2"/>
            <w:vAlign w:val="center"/>
          </w:tcPr>
          <w:p w14:paraId="1DF254CD" w14:textId="77777777" w:rsidR="00AC03B5" w:rsidRPr="00A97BAE" w:rsidRDefault="00AC03B5" w:rsidP="008162C8">
            <w:pPr>
              <w:jc w:val="center"/>
              <w:rPr>
                <w:rFonts w:cs="Times New Roman"/>
                <w:b/>
                <w:szCs w:val="16"/>
              </w:rPr>
            </w:pPr>
            <w:r w:rsidRPr="00A97BAE">
              <w:rPr>
                <w:rFonts w:cs="Times New Roman"/>
                <w:b/>
                <w:szCs w:val="16"/>
              </w:rPr>
              <w:t>First Author</w:t>
            </w:r>
          </w:p>
        </w:tc>
        <w:tc>
          <w:tcPr>
            <w:tcW w:w="503" w:type="dxa"/>
            <w:shd w:val="clear" w:color="auto" w:fill="E7E6E6" w:themeFill="background2"/>
            <w:vAlign w:val="center"/>
          </w:tcPr>
          <w:p w14:paraId="74ABF484" w14:textId="77777777" w:rsidR="00AC03B5" w:rsidRPr="00A97BAE" w:rsidRDefault="00AC03B5" w:rsidP="008162C8">
            <w:pPr>
              <w:jc w:val="center"/>
              <w:rPr>
                <w:rFonts w:cs="Times New Roman"/>
                <w:b/>
                <w:szCs w:val="16"/>
              </w:rPr>
            </w:pPr>
            <w:r w:rsidRPr="00A97BAE">
              <w:rPr>
                <w:rFonts w:cs="Times New Roman"/>
                <w:b/>
                <w:szCs w:val="16"/>
              </w:rPr>
              <w:t>Year</w:t>
            </w:r>
          </w:p>
        </w:tc>
        <w:tc>
          <w:tcPr>
            <w:tcW w:w="692" w:type="dxa"/>
            <w:shd w:val="clear" w:color="auto" w:fill="E7E6E6" w:themeFill="background2"/>
            <w:vAlign w:val="center"/>
          </w:tcPr>
          <w:p w14:paraId="03D06710" w14:textId="77777777" w:rsidR="00AC03B5" w:rsidRPr="00A97BAE" w:rsidRDefault="00AC03B5" w:rsidP="008162C8">
            <w:pPr>
              <w:jc w:val="center"/>
              <w:rPr>
                <w:rFonts w:cs="Times New Roman"/>
                <w:b/>
                <w:szCs w:val="16"/>
              </w:rPr>
            </w:pPr>
            <w:r w:rsidRPr="00A97BAE">
              <w:rPr>
                <w:rFonts w:cs="Times New Roman"/>
                <w:b/>
                <w:szCs w:val="16"/>
              </w:rPr>
              <w:t>Journal</w:t>
            </w:r>
          </w:p>
        </w:tc>
        <w:tc>
          <w:tcPr>
            <w:tcW w:w="1088" w:type="dxa"/>
            <w:shd w:val="clear" w:color="auto" w:fill="E7E6E6" w:themeFill="background2"/>
            <w:vAlign w:val="center"/>
          </w:tcPr>
          <w:p w14:paraId="6D0E9512" w14:textId="77777777" w:rsidR="00AC03B5" w:rsidRPr="00A97BAE" w:rsidRDefault="00AC03B5" w:rsidP="008162C8">
            <w:pPr>
              <w:jc w:val="center"/>
              <w:rPr>
                <w:rFonts w:cs="Times New Roman"/>
                <w:b/>
                <w:szCs w:val="16"/>
              </w:rPr>
            </w:pPr>
            <w:r w:rsidRPr="00A97BAE">
              <w:rPr>
                <w:rFonts w:cs="Times New Roman"/>
                <w:b/>
                <w:szCs w:val="16"/>
              </w:rPr>
              <w:t>Study Type and Design</w:t>
            </w:r>
          </w:p>
        </w:tc>
        <w:tc>
          <w:tcPr>
            <w:tcW w:w="989" w:type="dxa"/>
            <w:shd w:val="clear" w:color="auto" w:fill="E7E6E6" w:themeFill="background2"/>
            <w:vAlign w:val="center"/>
          </w:tcPr>
          <w:p w14:paraId="6379BF95" w14:textId="77777777" w:rsidR="00AC03B5" w:rsidRPr="00A97BAE" w:rsidRDefault="00AC03B5" w:rsidP="008162C8">
            <w:pPr>
              <w:jc w:val="center"/>
              <w:rPr>
                <w:rFonts w:cs="Times New Roman"/>
                <w:b/>
                <w:szCs w:val="16"/>
              </w:rPr>
            </w:pPr>
            <w:r w:rsidRPr="00A97BAE">
              <w:rPr>
                <w:rFonts w:cs="Times New Roman"/>
                <w:b/>
                <w:szCs w:val="16"/>
              </w:rPr>
              <w:t>Arms</w:t>
            </w:r>
          </w:p>
        </w:tc>
        <w:tc>
          <w:tcPr>
            <w:tcW w:w="593" w:type="dxa"/>
            <w:shd w:val="clear" w:color="auto" w:fill="E7E6E6" w:themeFill="background2"/>
            <w:vAlign w:val="center"/>
          </w:tcPr>
          <w:p w14:paraId="50B7B4A2" w14:textId="77777777" w:rsidR="00AC03B5" w:rsidRPr="00A97BAE" w:rsidRDefault="00AC03B5" w:rsidP="008162C8">
            <w:pPr>
              <w:jc w:val="center"/>
              <w:rPr>
                <w:rFonts w:cs="Times New Roman"/>
                <w:b/>
                <w:szCs w:val="16"/>
              </w:rPr>
            </w:pPr>
            <w:r w:rsidRPr="00A97BAE">
              <w:rPr>
                <w:rFonts w:cs="Times New Roman"/>
                <w:b/>
                <w:szCs w:val="16"/>
              </w:rPr>
              <w:t>N randomized</w:t>
            </w:r>
          </w:p>
        </w:tc>
        <w:tc>
          <w:tcPr>
            <w:tcW w:w="594" w:type="dxa"/>
            <w:shd w:val="clear" w:color="auto" w:fill="E7E6E6" w:themeFill="background2"/>
            <w:vAlign w:val="center"/>
          </w:tcPr>
          <w:p w14:paraId="32998E35" w14:textId="77777777" w:rsidR="00AC03B5" w:rsidRPr="00A97BAE" w:rsidRDefault="00AC03B5" w:rsidP="008162C8">
            <w:pPr>
              <w:jc w:val="center"/>
              <w:rPr>
                <w:rFonts w:cs="Times New Roman"/>
                <w:b/>
                <w:szCs w:val="16"/>
              </w:rPr>
            </w:pPr>
            <w:r w:rsidRPr="00A97BAE">
              <w:rPr>
                <w:rFonts w:cs="Times New Roman"/>
                <w:b/>
                <w:szCs w:val="16"/>
              </w:rPr>
              <w:t>Age (mean) /arm</w:t>
            </w:r>
          </w:p>
        </w:tc>
        <w:tc>
          <w:tcPr>
            <w:tcW w:w="594" w:type="dxa"/>
            <w:shd w:val="clear" w:color="auto" w:fill="E7E6E6" w:themeFill="background2"/>
            <w:vAlign w:val="center"/>
          </w:tcPr>
          <w:p w14:paraId="47F15B8C" w14:textId="77777777" w:rsidR="00AC03B5" w:rsidRPr="00A97BAE" w:rsidRDefault="00AC03B5" w:rsidP="008162C8">
            <w:pPr>
              <w:jc w:val="center"/>
              <w:rPr>
                <w:rFonts w:cs="Times New Roman"/>
                <w:b/>
                <w:szCs w:val="16"/>
              </w:rPr>
            </w:pPr>
            <w:r w:rsidRPr="00A97BAE">
              <w:rPr>
                <w:rFonts w:cs="Times New Roman"/>
                <w:b/>
                <w:szCs w:val="16"/>
              </w:rPr>
              <w:t>%Male /arm</w:t>
            </w:r>
          </w:p>
        </w:tc>
        <w:tc>
          <w:tcPr>
            <w:tcW w:w="594" w:type="dxa"/>
            <w:shd w:val="clear" w:color="auto" w:fill="E7E6E6" w:themeFill="background2"/>
            <w:vAlign w:val="center"/>
          </w:tcPr>
          <w:p w14:paraId="1151F0F7" w14:textId="77777777" w:rsidR="00AC03B5" w:rsidRPr="00A97BAE" w:rsidRDefault="00AC03B5" w:rsidP="008162C8">
            <w:pPr>
              <w:jc w:val="center"/>
              <w:rPr>
                <w:rFonts w:cs="Times New Roman"/>
                <w:b/>
                <w:szCs w:val="16"/>
              </w:rPr>
            </w:pPr>
            <w:r w:rsidRPr="00A97BAE">
              <w:rPr>
                <w:rFonts w:cs="Times New Roman"/>
                <w:b/>
                <w:szCs w:val="16"/>
              </w:rPr>
              <w:t>Route/ dosing scheme</w:t>
            </w:r>
          </w:p>
        </w:tc>
        <w:tc>
          <w:tcPr>
            <w:tcW w:w="593" w:type="dxa"/>
            <w:shd w:val="clear" w:color="auto" w:fill="E7E6E6" w:themeFill="background2"/>
            <w:vAlign w:val="center"/>
          </w:tcPr>
          <w:p w14:paraId="0F95E4D0" w14:textId="77777777" w:rsidR="00AC03B5" w:rsidRPr="00A97BAE" w:rsidRDefault="00AC03B5" w:rsidP="008162C8">
            <w:pPr>
              <w:jc w:val="center"/>
              <w:rPr>
                <w:rFonts w:cs="Times New Roman"/>
                <w:b/>
                <w:szCs w:val="16"/>
              </w:rPr>
            </w:pPr>
            <w:r w:rsidRPr="00A97BAE">
              <w:rPr>
                <w:rFonts w:cs="Times New Roman"/>
                <w:b/>
                <w:szCs w:val="16"/>
              </w:rPr>
              <w:t>Min. dose†</w:t>
            </w:r>
          </w:p>
        </w:tc>
        <w:tc>
          <w:tcPr>
            <w:tcW w:w="593" w:type="dxa"/>
            <w:shd w:val="clear" w:color="auto" w:fill="E7E6E6" w:themeFill="background2"/>
            <w:vAlign w:val="center"/>
          </w:tcPr>
          <w:p w14:paraId="0477B211" w14:textId="77777777" w:rsidR="00AC03B5" w:rsidRPr="00A97BAE" w:rsidRDefault="00AC03B5" w:rsidP="008162C8">
            <w:pPr>
              <w:jc w:val="center"/>
              <w:rPr>
                <w:rFonts w:cs="Times New Roman"/>
                <w:b/>
                <w:szCs w:val="16"/>
              </w:rPr>
            </w:pPr>
            <w:r w:rsidRPr="00A97BAE">
              <w:rPr>
                <w:rFonts w:cs="Times New Roman"/>
                <w:b/>
                <w:szCs w:val="16"/>
              </w:rPr>
              <w:t>Max. dose†</w:t>
            </w:r>
          </w:p>
        </w:tc>
        <w:tc>
          <w:tcPr>
            <w:tcW w:w="792" w:type="dxa"/>
            <w:shd w:val="clear" w:color="auto" w:fill="E7E6E6" w:themeFill="background2"/>
            <w:vAlign w:val="center"/>
          </w:tcPr>
          <w:p w14:paraId="7EF6F9FB" w14:textId="77777777" w:rsidR="00AC03B5" w:rsidRPr="00A97BAE" w:rsidRDefault="00AC03B5" w:rsidP="008162C8">
            <w:pPr>
              <w:jc w:val="center"/>
              <w:rPr>
                <w:rFonts w:cs="Times New Roman"/>
                <w:b/>
                <w:szCs w:val="16"/>
              </w:rPr>
            </w:pPr>
            <w:r w:rsidRPr="00A97BAE">
              <w:rPr>
                <w:rFonts w:cs="Times New Roman"/>
                <w:b/>
                <w:szCs w:val="16"/>
              </w:rPr>
              <w:t>Duration</w:t>
            </w:r>
          </w:p>
        </w:tc>
        <w:tc>
          <w:tcPr>
            <w:tcW w:w="593" w:type="dxa"/>
            <w:shd w:val="clear" w:color="auto" w:fill="E7E6E6" w:themeFill="background2"/>
            <w:vAlign w:val="center"/>
          </w:tcPr>
          <w:p w14:paraId="63E12125" w14:textId="77777777" w:rsidR="00AC03B5" w:rsidRPr="00A97BAE" w:rsidRDefault="00AC03B5" w:rsidP="008162C8">
            <w:pPr>
              <w:jc w:val="center"/>
              <w:rPr>
                <w:rFonts w:cs="Times New Roman"/>
                <w:b/>
                <w:szCs w:val="16"/>
              </w:rPr>
            </w:pPr>
            <w:r w:rsidRPr="00A97BAE">
              <w:rPr>
                <w:rFonts w:cs="Times New Roman"/>
                <w:b/>
                <w:szCs w:val="16"/>
              </w:rPr>
              <w:t>Sponsorship</w:t>
            </w:r>
          </w:p>
        </w:tc>
      </w:tr>
      <w:tr w:rsidR="00AC03B5" w:rsidRPr="00A97BAE" w14:paraId="323F2823" w14:textId="77777777" w:rsidTr="008162C8">
        <w:trPr>
          <w:trHeight w:val="586"/>
        </w:trPr>
        <w:tc>
          <w:tcPr>
            <w:tcW w:w="421" w:type="dxa"/>
            <w:vAlign w:val="center"/>
          </w:tcPr>
          <w:p w14:paraId="6F2B9010" w14:textId="77777777" w:rsidR="00AC03B5" w:rsidRPr="00A97BAE" w:rsidRDefault="00AC03B5" w:rsidP="008162C8">
            <w:pPr>
              <w:jc w:val="center"/>
              <w:rPr>
                <w:rFonts w:cs="Times New Roman"/>
                <w:b/>
                <w:szCs w:val="16"/>
              </w:rPr>
            </w:pPr>
            <w:r w:rsidRPr="00A97BAE">
              <w:rPr>
                <w:rFonts w:cs="Times New Roman"/>
                <w:b/>
                <w:szCs w:val="16"/>
              </w:rPr>
              <w:t>1</w:t>
            </w:r>
          </w:p>
        </w:tc>
        <w:tc>
          <w:tcPr>
            <w:tcW w:w="853" w:type="dxa"/>
            <w:vAlign w:val="center"/>
          </w:tcPr>
          <w:p w14:paraId="7542A77A" w14:textId="77777777" w:rsidR="00AC03B5" w:rsidRPr="00A97BAE" w:rsidRDefault="00AC03B5" w:rsidP="008162C8">
            <w:pPr>
              <w:jc w:val="center"/>
              <w:rPr>
                <w:rFonts w:cs="Times New Roman"/>
                <w:szCs w:val="16"/>
              </w:rPr>
            </w:pPr>
            <w:r w:rsidRPr="00A97BAE">
              <w:rPr>
                <w:rFonts w:cs="Times New Roman"/>
                <w:szCs w:val="16"/>
              </w:rPr>
              <w:t>Alho et al.</w:t>
            </w:r>
            <w:r w:rsidRPr="00A97BAE">
              <w:rPr>
                <w:rFonts w:cs="Times New Roman"/>
                <w:szCs w:val="16"/>
              </w:rPr>
              <w:fldChar w:fldCharType="begin" w:fldLock="1"/>
            </w:r>
            <w:r>
              <w:rPr>
                <w:rFonts w:cs="Times New Roman"/>
                <w:szCs w:val="16"/>
              </w:rPr>
              <w:instrText>ADDIN CSL_CITATION {"citationItems":[{"id":"ITEM-1","itemData":{"DOI":"10.1016/J.ADDBEH.2021.107127","ISSN":"1873-6327","PMID":"34634640","abstract":"Background: Gambling disorder (GD) is a global phenomenon affecting millions of people. GD can result in severe social and financial difficulties and efficacious treatments are warranted. Psychosocial treatments form the basis of treatment. Opioid antagonists (OAs) have however shown promise in previous studies. In a recent imaging study intranasal naloxone was found to rapidly and fully occupy brain μ-opioid receptors. This trial investigates the effect and safety of as needed naloxone in the treatment of gambling disorder. Methods: This was a 12-week double blind, randomised control trial comparing intranasal naloxone to placebo. The primary endpoint was gambling urge measured by the Gambling symptom Assessment Scale (G-SAS). Secondary outcome measures were gambling severity measures (PGSI) as well as quality of life (WHO:EUROHIS-8), alcohol consumption (AUDIT), depression (MARDS) and internet use (IDS-9SF). In addition, safety of treatment was assessed. Both treatment groups received psychosocial support. Results: 126 participants were randomised to treatment groups in a 1:1 ratio. 106 patients completed the study. Gambling urge (GSAS) and other gambling related measured improved in both groups, but no statistically significant difference could be found. Intranasal naloxone was well tolerated, no subjects discontinued the study due to adverse events. No serious adverse drug reactions were observed. Conclusions: This study found no difference between the as-needed administration of intranasal naloxone and placebo in reducing gambling urge in persons with GD. Intranasal naloxone was safe and well tolerated.","author":[{"dropping-particle":"","family":"Alho","given":"Hannu","non-dropping-particle":"","parse-names":false,"suffix":""},{"dropping-particle":"","family":"Mäkelä","given":"Niklas","non-dropping-particle":"","parse-names":false,"suffix":""},{"dropping-particle":"","family":"Isotalo","given":"Jarkko","non-dropping-particle":"","parse-names":false,"suffix":""},{"dropping-particle":"","family":"Toivonen","given":"Lilianne","non-dropping-particle":"","parse-names":false,"suffix":""},{"dropping-particle":"","family":"Ollikainen","given":"Jyrki","non-dropping-particle":"","parse-names":false,"suffix":""},{"dropping-particle":"","family":"Castrén","given":"Sari","non-dropping-particle":"","parse-names":false,"suffix":""}],"container-title":"Addictive behaviors","id":"ITEM-1","issued":{"date-parts":[["2022","2","1"]]},"publisher":"Addict Behav","title":"Intranasal as needed naloxone in the treatment of gambling disorder: A randomised controlled trial","type":"article-journal","volume":"125"},"uris":["http://www.mendeley.com/documents/?uuid=458ea919-9dcc-3ad6-952c-420173f31662"]}],"mendeley":{"formattedCitation":"(Alho et al., 2022)","plainTextFormattedCitation":"(Alho et al., 2022)","previouslyFormattedCitation":"(Alho et al. 2022)"},"properties":{"noteIndex":0},"schema":"https://github.com/citation-style-language/schema/raw/master/csl-citation.json"}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(Alho et al., 2022)</w:t>
            </w:r>
            <w:r w:rsidRPr="00A97BAE">
              <w:rPr>
                <w:rFonts w:cs="Times New Roman"/>
                <w:szCs w:val="16"/>
              </w:rPr>
              <w:fldChar w:fldCharType="end"/>
            </w:r>
          </w:p>
        </w:tc>
        <w:tc>
          <w:tcPr>
            <w:tcW w:w="503" w:type="dxa"/>
            <w:vAlign w:val="center"/>
          </w:tcPr>
          <w:p w14:paraId="191FE24B" w14:textId="77777777" w:rsidR="00AC03B5" w:rsidRPr="00A97BAE" w:rsidRDefault="00AC03B5" w:rsidP="008162C8">
            <w:pPr>
              <w:jc w:val="center"/>
              <w:rPr>
                <w:rFonts w:cs="Times New Roman"/>
                <w:szCs w:val="16"/>
              </w:rPr>
            </w:pPr>
            <w:r w:rsidRPr="00A97BAE">
              <w:rPr>
                <w:rFonts w:cs="Times New Roman"/>
                <w:szCs w:val="16"/>
              </w:rPr>
              <w:t>2022</w:t>
            </w:r>
          </w:p>
        </w:tc>
        <w:tc>
          <w:tcPr>
            <w:tcW w:w="692" w:type="dxa"/>
            <w:vAlign w:val="center"/>
          </w:tcPr>
          <w:p w14:paraId="77390B2B" w14:textId="77777777" w:rsidR="00AC03B5" w:rsidRPr="00A97BAE" w:rsidRDefault="00AC03B5" w:rsidP="008162C8">
            <w:pPr>
              <w:jc w:val="center"/>
              <w:rPr>
                <w:rFonts w:cs="Times New Roman"/>
                <w:szCs w:val="16"/>
              </w:rPr>
            </w:pPr>
            <w:r w:rsidRPr="00A97BAE">
              <w:rPr>
                <w:rFonts w:cs="Times New Roman"/>
                <w:szCs w:val="16"/>
              </w:rPr>
              <w:t>Add Behav</w:t>
            </w:r>
          </w:p>
        </w:tc>
        <w:tc>
          <w:tcPr>
            <w:tcW w:w="1088" w:type="dxa"/>
            <w:vAlign w:val="center"/>
          </w:tcPr>
          <w:p w14:paraId="626E6C1A"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41360879" w14:textId="77777777" w:rsidR="00AC03B5" w:rsidRPr="00A97BAE" w:rsidRDefault="00AC03B5" w:rsidP="008162C8">
            <w:pPr>
              <w:jc w:val="center"/>
              <w:rPr>
                <w:rFonts w:cs="Times New Roman"/>
                <w:szCs w:val="16"/>
              </w:rPr>
            </w:pPr>
            <w:r w:rsidRPr="00A97BAE">
              <w:rPr>
                <w:rFonts w:cs="Times New Roman"/>
                <w:szCs w:val="16"/>
              </w:rPr>
              <w:t>naloxone vs. placebo</w:t>
            </w:r>
          </w:p>
        </w:tc>
        <w:tc>
          <w:tcPr>
            <w:tcW w:w="593" w:type="dxa"/>
            <w:vAlign w:val="center"/>
          </w:tcPr>
          <w:p w14:paraId="50EFDA6E" w14:textId="77777777" w:rsidR="00AC03B5" w:rsidRPr="00A97BAE" w:rsidRDefault="00AC03B5" w:rsidP="008162C8">
            <w:pPr>
              <w:jc w:val="center"/>
              <w:rPr>
                <w:rFonts w:cs="Times New Roman"/>
                <w:szCs w:val="16"/>
              </w:rPr>
            </w:pPr>
            <w:r w:rsidRPr="00A97BAE">
              <w:rPr>
                <w:rFonts w:cs="Times New Roman"/>
                <w:szCs w:val="16"/>
              </w:rPr>
              <w:t>62/64</w:t>
            </w:r>
          </w:p>
        </w:tc>
        <w:tc>
          <w:tcPr>
            <w:tcW w:w="594" w:type="dxa"/>
            <w:vAlign w:val="center"/>
          </w:tcPr>
          <w:p w14:paraId="1C9B8AF3" w14:textId="77777777" w:rsidR="00AC03B5" w:rsidRPr="00A97BAE" w:rsidRDefault="00AC03B5" w:rsidP="008162C8">
            <w:pPr>
              <w:jc w:val="center"/>
              <w:rPr>
                <w:rFonts w:cs="Times New Roman"/>
                <w:szCs w:val="16"/>
              </w:rPr>
            </w:pPr>
            <w:r w:rsidRPr="00A97BAE">
              <w:rPr>
                <w:rFonts w:cs="Times New Roman"/>
                <w:szCs w:val="16"/>
              </w:rPr>
              <w:t>44</w:t>
            </w:r>
            <w:r>
              <w:rPr>
                <w:rFonts w:cs="Times New Roman"/>
                <w:szCs w:val="16"/>
              </w:rPr>
              <w:t>.</w:t>
            </w:r>
            <w:r w:rsidRPr="00A97BAE">
              <w:rPr>
                <w:rFonts w:cs="Times New Roman"/>
                <w:szCs w:val="16"/>
              </w:rPr>
              <w:t>0 /</w:t>
            </w:r>
          </w:p>
          <w:p w14:paraId="162E4FB7" w14:textId="77777777" w:rsidR="00AC03B5" w:rsidRPr="00A97BAE" w:rsidRDefault="00AC03B5" w:rsidP="008162C8">
            <w:pPr>
              <w:jc w:val="center"/>
              <w:rPr>
                <w:rFonts w:cs="Times New Roman"/>
                <w:szCs w:val="16"/>
              </w:rPr>
            </w:pPr>
            <w:r w:rsidRPr="00A97BAE">
              <w:rPr>
                <w:rFonts w:cs="Times New Roman"/>
                <w:szCs w:val="16"/>
              </w:rPr>
              <w:t>45</w:t>
            </w:r>
            <w:r>
              <w:rPr>
                <w:rFonts w:cs="Times New Roman"/>
                <w:szCs w:val="16"/>
              </w:rPr>
              <w:t>.</w:t>
            </w:r>
            <w:r w:rsidRPr="00A97BAE">
              <w:rPr>
                <w:rFonts w:cs="Times New Roman"/>
                <w:szCs w:val="16"/>
              </w:rPr>
              <w:t>2</w:t>
            </w:r>
          </w:p>
        </w:tc>
        <w:tc>
          <w:tcPr>
            <w:tcW w:w="594" w:type="dxa"/>
            <w:vAlign w:val="center"/>
          </w:tcPr>
          <w:p w14:paraId="09B4E53E" w14:textId="77777777" w:rsidR="00AC03B5" w:rsidRPr="00A97BAE" w:rsidRDefault="00AC03B5" w:rsidP="008162C8">
            <w:pPr>
              <w:jc w:val="center"/>
              <w:rPr>
                <w:rFonts w:cs="Times New Roman"/>
                <w:szCs w:val="16"/>
              </w:rPr>
            </w:pPr>
            <w:r w:rsidRPr="00A97BAE">
              <w:rPr>
                <w:rFonts w:cs="Times New Roman"/>
                <w:szCs w:val="16"/>
              </w:rPr>
              <w:t>72% / 67%</w:t>
            </w:r>
          </w:p>
        </w:tc>
        <w:tc>
          <w:tcPr>
            <w:tcW w:w="594" w:type="dxa"/>
            <w:vAlign w:val="center"/>
          </w:tcPr>
          <w:p w14:paraId="7BCB331E" w14:textId="77777777" w:rsidR="00AC03B5" w:rsidRPr="00A97BAE" w:rsidRDefault="00AC03B5" w:rsidP="008162C8">
            <w:pPr>
              <w:jc w:val="center"/>
              <w:rPr>
                <w:rFonts w:cs="Times New Roman"/>
                <w:szCs w:val="16"/>
              </w:rPr>
            </w:pPr>
            <w:r w:rsidRPr="00A97BAE">
              <w:rPr>
                <w:rFonts w:cs="Times New Roman"/>
                <w:szCs w:val="16"/>
              </w:rPr>
              <w:t>Intranasal QDS/PRN</w:t>
            </w:r>
          </w:p>
        </w:tc>
        <w:tc>
          <w:tcPr>
            <w:tcW w:w="593" w:type="dxa"/>
            <w:vAlign w:val="center"/>
          </w:tcPr>
          <w:p w14:paraId="3D74FD8F" w14:textId="77777777" w:rsidR="00AC03B5" w:rsidRPr="00A97BAE" w:rsidRDefault="00AC03B5" w:rsidP="008162C8">
            <w:pPr>
              <w:jc w:val="center"/>
              <w:rPr>
                <w:rFonts w:cs="Times New Roman"/>
                <w:szCs w:val="16"/>
              </w:rPr>
            </w:pPr>
            <w:r w:rsidRPr="00A97BAE">
              <w:rPr>
                <w:rFonts w:cs="Times New Roman"/>
                <w:szCs w:val="16"/>
              </w:rPr>
              <w:t>4mg</w:t>
            </w:r>
          </w:p>
        </w:tc>
        <w:tc>
          <w:tcPr>
            <w:tcW w:w="593" w:type="dxa"/>
            <w:vAlign w:val="center"/>
          </w:tcPr>
          <w:p w14:paraId="4C3033EF" w14:textId="77777777" w:rsidR="00AC03B5" w:rsidRPr="00A97BAE" w:rsidRDefault="00AC03B5" w:rsidP="008162C8">
            <w:pPr>
              <w:jc w:val="center"/>
              <w:rPr>
                <w:rFonts w:cs="Times New Roman"/>
                <w:szCs w:val="16"/>
              </w:rPr>
            </w:pPr>
            <w:r w:rsidRPr="00A97BAE">
              <w:rPr>
                <w:rFonts w:cs="Times New Roman"/>
                <w:szCs w:val="16"/>
              </w:rPr>
              <w:t>16mg</w:t>
            </w:r>
          </w:p>
        </w:tc>
        <w:tc>
          <w:tcPr>
            <w:tcW w:w="792" w:type="dxa"/>
            <w:vAlign w:val="center"/>
          </w:tcPr>
          <w:p w14:paraId="7045419F" w14:textId="77777777" w:rsidR="00AC03B5" w:rsidRPr="00A97BAE" w:rsidRDefault="00AC03B5" w:rsidP="008162C8">
            <w:pPr>
              <w:jc w:val="center"/>
              <w:rPr>
                <w:rFonts w:cs="Times New Roman"/>
                <w:szCs w:val="16"/>
              </w:rPr>
            </w:pPr>
            <w:r w:rsidRPr="00A97BAE">
              <w:rPr>
                <w:rFonts w:cs="Times New Roman"/>
                <w:szCs w:val="16"/>
              </w:rPr>
              <w:t>12-weeks</w:t>
            </w:r>
          </w:p>
        </w:tc>
        <w:tc>
          <w:tcPr>
            <w:tcW w:w="593" w:type="dxa"/>
            <w:vAlign w:val="center"/>
          </w:tcPr>
          <w:p w14:paraId="2BF35CE3" w14:textId="77777777" w:rsidR="00AC03B5" w:rsidRPr="00A97BAE" w:rsidRDefault="00AC03B5" w:rsidP="008162C8">
            <w:pPr>
              <w:jc w:val="center"/>
              <w:rPr>
                <w:rFonts w:cs="Times New Roman"/>
                <w:szCs w:val="16"/>
              </w:rPr>
            </w:pPr>
            <w:r w:rsidRPr="00A97BAE">
              <w:rPr>
                <w:rFonts w:cs="Times New Roman"/>
                <w:szCs w:val="16"/>
              </w:rPr>
              <w:t>No</w:t>
            </w:r>
          </w:p>
        </w:tc>
      </w:tr>
      <w:tr w:rsidR="00AC03B5" w:rsidRPr="00A97BAE" w14:paraId="0E1EEC35" w14:textId="77777777" w:rsidTr="008162C8">
        <w:trPr>
          <w:trHeight w:val="586"/>
        </w:trPr>
        <w:tc>
          <w:tcPr>
            <w:tcW w:w="421" w:type="dxa"/>
            <w:vAlign w:val="center"/>
          </w:tcPr>
          <w:p w14:paraId="3BF39EFB" w14:textId="77777777" w:rsidR="00AC03B5" w:rsidRPr="00A97BAE" w:rsidRDefault="00AC03B5" w:rsidP="008162C8">
            <w:pPr>
              <w:jc w:val="center"/>
              <w:rPr>
                <w:rFonts w:cs="Times New Roman"/>
                <w:b/>
                <w:szCs w:val="16"/>
              </w:rPr>
            </w:pPr>
            <w:r w:rsidRPr="00A97BAE">
              <w:rPr>
                <w:rFonts w:cs="Times New Roman"/>
                <w:b/>
                <w:szCs w:val="16"/>
              </w:rPr>
              <w:t>2</w:t>
            </w:r>
          </w:p>
        </w:tc>
        <w:tc>
          <w:tcPr>
            <w:tcW w:w="853" w:type="dxa"/>
            <w:vAlign w:val="center"/>
          </w:tcPr>
          <w:p w14:paraId="0C26DBFA" w14:textId="77777777" w:rsidR="00AC03B5" w:rsidRPr="00A97BAE" w:rsidRDefault="00AC03B5" w:rsidP="008162C8">
            <w:pPr>
              <w:jc w:val="center"/>
              <w:rPr>
                <w:rFonts w:cs="Times New Roman"/>
                <w:szCs w:val="16"/>
              </w:rPr>
            </w:pPr>
            <w:r w:rsidRPr="00A97BAE">
              <w:rPr>
                <w:rFonts w:cs="Times New Roman"/>
                <w:szCs w:val="16"/>
              </w:rPr>
              <w:t>De Brito et al.</w:t>
            </w:r>
            <w:r w:rsidRPr="00A97BAE">
              <w:rPr>
                <w:rFonts w:cs="Times New Roman"/>
                <w:szCs w:val="16"/>
              </w:rPr>
              <w:fldChar w:fldCharType="begin" w:fldLock="1"/>
            </w:r>
            <w:r>
              <w:rPr>
                <w:rFonts w:cs="Times New Roman"/>
                <w:szCs w:val="16"/>
              </w:rPr>
              <w:instrText>ADDIN CSL_CITATION {"citationItems":[{"id":"ITEM-1","itemData":{"DOI":"10.1007/S10899-016-9620-Z/METRICS","ISSN":"10505350","PMID":"27256372","abstract":"Gambling disorder (GD) is a prevalent condition for which no pharmacological treatment has yet been approved, although there is evidence that topiramate can reduce impulsivity in GD and craving in various addictive behaviors. The goal of this study was to investigate the effectiveness of topiramate combined with cognitive restructuring for GD in a two-center, randomized, double-blind clinical trial. Participants were individuals seeking outpatient treatment for GD (n = 30), treated with either topiramate or placebo combined with a brief cognitive intervention, over a 12-week period, the dose of topiramate being tapered up during the first 8 weeks. The main outcome measures were gambling craving, behavior, and cognitive distortions; impulsivity; depression and social adjustment. Topiramate proved superior to placebo in reducing gambling craving (P = 0.017); time and money spent gambling (P = 0.007 and P = 0.047, respectively); cognitive distortions related to gambling (P = 0.003); and social adjustment (P = 0.040). We found no significant effects on impulsivity or depression. These findings are in contrast with data from a previous clinical trial with topiramate for GD. In the current study, we found that topiramate affects features specifically related to gambling addiction and had no significant effect on associated phenomena such as impulsiveness and depression. We believe that this response could be due to synergistic interaction between topiramate and the cognitive intervention.","author":[{"dropping-particle":"","family":"Brito","given":"Antonio Marcelo Cabrita","non-dropping-particle":"de","parse-names":false,"suffix":""},{"dropping-particle":"","family":"Almeida Pinto","given":"Moema Galindo","non-dropping-particle":"de","parse-names":false,"suffix":""},{"dropping-particle":"","family":"Bronstein","given":"Gabriel","non-dropping-particle":"","parse-names":false,"suffix":""},{"dropping-particle":"","family":"Carneiro","given":"Elizabeth","non-dropping-particle":"","parse-names":false,"suffix":""},{"dropping-particle":"","family":"Faertes","given":"Daniela","non-dropping-particle":"","parse-names":false,"suffix":""},{"dropping-particle":"","family":"Fukugawa","given":"Viviane","non-dropping-particle":"","parse-names":false,"suffix":""},{"dropping-particle":"","family":"Duque","given":"Angela","non-dropping-particle":"","parse-names":false,"suffix":""},{"dropping-particle":"","family":"Vasconcellos","given":"Fatima","non-dropping-particle":"","parse-names":false,"suffix":""},{"dropping-particle":"","family":"Tavares","given":"Hermano","non-dropping-particle":"","parse-names":false,"suffix":""}],"container-title":"Journal of Gambling Studies","id":"ITEM-1","issue":"1","issued":{"date-parts":[["2017","3","1"]]},"page":"249-263","publisher":"Springer New York LLC","title":"Topiramate Combined with Cognitive Restructuring for the Treatment of Gambling Disorder: A Two-Center, Randomized, Double-Blind Clinical Trial","type":"article-journal","volume":"33"},"uris":["http://www.mendeley.com/documents/?uuid=f82ad110-3fee-34b9-aaa8-f14e0d5e475b"]}],"mendeley":{"formattedCitation":"(de Brito et al., 2017)","plainTextFormattedCitation":"(de Brito et al., 2017)","previouslyFormattedCitation":"(de Brito et al. 2017)"},"properties":{"noteIndex":0},"schema":"https://github.com/citation-style-language/schema/raw/master/csl-citation.json"}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(de Brito et al., 2017)</w:t>
            </w:r>
            <w:r w:rsidRPr="00A97BAE">
              <w:rPr>
                <w:rFonts w:cs="Times New Roman"/>
                <w:szCs w:val="16"/>
              </w:rPr>
              <w:fldChar w:fldCharType="end"/>
            </w:r>
          </w:p>
        </w:tc>
        <w:tc>
          <w:tcPr>
            <w:tcW w:w="503" w:type="dxa"/>
            <w:vAlign w:val="center"/>
          </w:tcPr>
          <w:p w14:paraId="49D1C2A9" w14:textId="77777777" w:rsidR="00AC03B5" w:rsidRPr="00A97BAE" w:rsidRDefault="00AC03B5" w:rsidP="008162C8">
            <w:pPr>
              <w:jc w:val="center"/>
              <w:rPr>
                <w:rFonts w:cs="Times New Roman"/>
                <w:szCs w:val="16"/>
              </w:rPr>
            </w:pPr>
            <w:r w:rsidRPr="00A97BAE">
              <w:rPr>
                <w:rFonts w:cs="Times New Roman"/>
                <w:szCs w:val="16"/>
              </w:rPr>
              <w:t>2017</w:t>
            </w:r>
          </w:p>
        </w:tc>
        <w:tc>
          <w:tcPr>
            <w:tcW w:w="692" w:type="dxa"/>
            <w:vAlign w:val="center"/>
          </w:tcPr>
          <w:p w14:paraId="0F25BA1E" w14:textId="77777777" w:rsidR="00AC03B5" w:rsidRPr="00A97BAE" w:rsidRDefault="00AC03B5" w:rsidP="008162C8">
            <w:pPr>
              <w:jc w:val="center"/>
              <w:rPr>
                <w:rFonts w:cs="Times New Roman"/>
                <w:szCs w:val="16"/>
              </w:rPr>
            </w:pPr>
            <w:r w:rsidRPr="00A97BAE">
              <w:rPr>
                <w:rFonts w:cs="Times New Roman"/>
                <w:szCs w:val="16"/>
              </w:rPr>
              <w:t>J Gambl Studies</w:t>
            </w:r>
          </w:p>
        </w:tc>
        <w:tc>
          <w:tcPr>
            <w:tcW w:w="1088" w:type="dxa"/>
            <w:vAlign w:val="center"/>
          </w:tcPr>
          <w:p w14:paraId="3561D9E1"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05F0636F" w14:textId="77777777" w:rsidR="00AC03B5" w:rsidRPr="00A97BAE" w:rsidRDefault="00AC03B5" w:rsidP="008162C8">
            <w:pPr>
              <w:jc w:val="center"/>
              <w:rPr>
                <w:rFonts w:cs="Times New Roman"/>
                <w:szCs w:val="16"/>
              </w:rPr>
            </w:pPr>
            <w:r w:rsidRPr="00A97BAE">
              <w:rPr>
                <w:rFonts w:cs="Times New Roman"/>
                <w:szCs w:val="16"/>
              </w:rPr>
              <w:t>topiramate vs. placebo</w:t>
            </w:r>
          </w:p>
        </w:tc>
        <w:tc>
          <w:tcPr>
            <w:tcW w:w="593" w:type="dxa"/>
            <w:vAlign w:val="center"/>
          </w:tcPr>
          <w:p w14:paraId="722352DE" w14:textId="77777777" w:rsidR="00AC03B5" w:rsidRPr="00A97BAE" w:rsidRDefault="00AC03B5" w:rsidP="008162C8">
            <w:pPr>
              <w:jc w:val="center"/>
              <w:rPr>
                <w:rFonts w:cs="Times New Roman"/>
                <w:szCs w:val="16"/>
              </w:rPr>
            </w:pPr>
            <w:r w:rsidRPr="00A97BAE">
              <w:rPr>
                <w:rFonts w:cs="Times New Roman"/>
                <w:szCs w:val="16"/>
              </w:rPr>
              <w:t>18/20</w:t>
            </w:r>
          </w:p>
        </w:tc>
        <w:tc>
          <w:tcPr>
            <w:tcW w:w="594" w:type="dxa"/>
            <w:vAlign w:val="center"/>
          </w:tcPr>
          <w:p w14:paraId="502EFBAB" w14:textId="77777777" w:rsidR="00AC03B5" w:rsidRPr="00A97BAE" w:rsidRDefault="00AC03B5" w:rsidP="008162C8">
            <w:pPr>
              <w:jc w:val="center"/>
              <w:rPr>
                <w:rFonts w:cs="Times New Roman"/>
                <w:szCs w:val="16"/>
              </w:rPr>
            </w:pPr>
            <w:r w:rsidRPr="00A97BAE">
              <w:rPr>
                <w:rFonts w:cs="Times New Roman"/>
                <w:szCs w:val="16"/>
              </w:rPr>
              <w:t>50</w:t>
            </w:r>
            <w:r>
              <w:rPr>
                <w:rFonts w:cs="Times New Roman"/>
                <w:szCs w:val="16"/>
              </w:rPr>
              <w:t>.</w:t>
            </w:r>
            <w:r w:rsidRPr="00A97BAE">
              <w:rPr>
                <w:rFonts w:cs="Times New Roman"/>
                <w:szCs w:val="16"/>
              </w:rPr>
              <w:t>6 /</w:t>
            </w:r>
          </w:p>
          <w:p w14:paraId="3579B40D" w14:textId="77777777" w:rsidR="00AC03B5" w:rsidRPr="00A97BAE" w:rsidRDefault="00AC03B5" w:rsidP="008162C8">
            <w:pPr>
              <w:jc w:val="center"/>
              <w:rPr>
                <w:rFonts w:cs="Times New Roman"/>
                <w:szCs w:val="16"/>
              </w:rPr>
            </w:pPr>
            <w:r w:rsidRPr="00A97BAE">
              <w:rPr>
                <w:rFonts w:cs="Times New Roman"/>
                <w:szCs w:val="16"/>
              </w:rPr>
              <w:t>45</w:t>
            </w:r>
            <w:r>
              <w:rPr>
                <w:rFonts w:cs="Times New Roman"/>
                <w:szCs w:val="16"/>
              </w:rPr>
              <w:t>.</w:t>
            </w:r>
            <w:r w:rsidRPr="00A97BAE">
              <w:rPr>
                <w:rFonts w:cs="Times New Roman"/>
                <w:szCs w:val="16"/>
              </w:rPr>
              <w:t>8</w:t>
            </w:r>
          </w:p>
        </w:tc>
        <w:tc>
          <w:tcPr>
            <w:tcW w:w="594" w:type="dxa"/>
            <w:vAlign w:val="center"/>
          </w:tcPr>
          <w:p w14:paraId="18FD23E7" w14:textId="77777777" w:rsidR="00AC03B5" w:rsidRPr="00A97BAE" w:rsidRDefault="00AC03B5" w:rsidP="008162C8">
            <w:pPr>
              <w:jc w:val="center"/>
              <w:rPr>
                <w:rFonts w:cs="Times New Roman"/>
                <w:szCs w:val="16"/>
              </w:rPr>
            </w:pPr>
            <w:r w:rsidRPr="00A97BAE">
              <w:rPr>
                <w:rFonts w:cs="Times New Roman"/>
                <w:szCs w:val="16"/>
              </w:rPr>
              <w:t>53% / 53%</w:t>
            </w:r>
          </w:p>
        </w:tc>
        <w:tc>
          <w:tcPr>
            <w:tcW w:w="594" w:type="dxa"/>
            <w:vAlign w:val="center"/>
          </w:tcPr>
          <w:p w14:paraId="42570BD7" w14:textId="77777777" w:rsidR="00AC03B5" w:rsidRPr="00A97BAE" w:rsidRDefault="00AC03B5" w:rsidP="008162C8">
            <w:pPr>
              <w:jc w:val="center"/>
              <w:rPr>
                <w:rFonts w:cs="Times New Roman"/>
                <w:szCs w:val="16"/>
              </w:rPr>
            </w:pPr>
            <w:r w:rsidRPr="00A97BAE">
              <w:rPr>
                <w:rFonts w:cs="Times New Roman"/>
                <w:szCs w:val="16"/>
              </w:rPr>
              <w:t>Oral BD</w:t>
            </w:r>
          </w:p>
        </w:tc>
        <w:tc>
          <w:tcPr>
            <w:tcW w:w="593" w:type="dxa"/>
            <w:vAlign w:val="center"/>
          </w:tcPr>
          <w:p w14:paraId="206E166B" w14:textId="77777777" w:rsidR="00AC03B5" w:rsidRPr="00A97BAE" w:rsidRDefault="00AC03B5" w:rsidP="008162C8">
            <w:pPr>
              <w:jc w:val="center"/>
              <w:rPr>
                <w:rFonts w:cs="Times New Roman"/>
                <w:szCs w:val="16"/>
              </w:rPr>
            </w:pPr>
            <w:r w:rsidRPr="00A97BAE">
              <w:rPr>
                <w:rFonts w:cs="Times New Roman"/>
                <w:szCs w:val="16"/>
              </w:rPr>
              <w:t>25mg</w:t>
            </w:r>
          </w:p>
        </w:tc>
        <w:tc>
          <w:tcPr>
            <w:tcW w:w="593" w:type="dxa"/>
            <w:vAlign w:val="center"/>
          </w:tcPr>
          <w:p w14:paraId="3A5EBC25" w14:textId="77777777" w:rsidR="00AC03B5" w:rsidRPr="00A97BAE" w:rsidRDefault="00AC03B5" w:rsidP="008162C8">
            <w:pPr>
              <w:jc w:val="center"/>
              <w:rPr>
                <w:rFonts w:cs="Times New Roman"/>
                <w:szCs w:val="16"/>
              </w:rPr>
            </w:pPr>
            <w:r w:rsidRPr="00A97BAE">
              <w:rPr>
                <w:rFonts w:cs="Times New Roman"/>
                <w:szCs w:val="16"/>
              </w:rPr>
              <w:t>300mg</w:t>
            </w:r>
          </w:p>
        </w:tc>
        <w:tc>
          <w:tcPr>
            <w:tcW w:w="792" w:type="dxa"/>
            <w:vAlign w:val="center"/>
          </w:tcPr>
          <w:p w14:paraId="5F64B6E6" w14:textId="77777777" w:rsidR="00AC03B5" w:rsidRPr="00A97BAE" w:rsidRDefault="00AC03B5" w:rsidP="008162C8">
            <w:pPr>
              <w:jc w:val="center"/>
              <w:rPr>
                <w:rFonts w:cs="Times New Roman"/>
                <w:szCs w:val="16"/>
              </w:rPr>
            </w:pPr>
            <w:r w:rsidRPr="00A97BAE">
              <w:rPr>
                <w:rFonts w:cs="Times New Roman"/>
                <w:szCs w:val="16"/>
              </w:rPr>
              <w:t>12-weeks</w:t>
            </w:r>
          </w:p>
        </w:tc>
        <w:tc>
          <w:tcPr>
            <w:tcW w:w="593" w:type="dxa"/>
            <w:vAlign w:val="center"/>
          </w:tcPr>
          <w:p w14:paraId="35C97F21" w14:textId="77777777" w:rsidR="00AC03B5" w:rsidRPr="00A97BAE" w:rsidRDefault="00AC03B5" w:rsidP="008162C8">
            <w:pPr>
              <w:jc w:val="center"/>
              <w:rPr>
                <w:rFonts w:cs="Times New Roman"/>
                <w:szCs w:val="16"/>
              </w:rPr>
            </w:pPr>
            <w:r w:rsidRPr="00A97BAE">
              <w:rPr>
                <w:rFonts w:cs="Times New Roman"/>
                <w:szCs w:val="16"/>
              </w:rPr>
              <w:t>Yes</w:t>
            </w:r>
          </w:p>
        </w:tc>
      </w:tr>
      <w:tr w:rsidR="00AC03B5" w:rsidRPr="00A97BAE" w14:paraId="26AE4C01" w14:textId="77777777" w:rsidTr="008162C8">
        <w:trPr>
          <w:trHeight w:val="580"/>
        </w:trPr>
        <w:tc>
          <w:tcPr>
            <w:tcW w:w="421" w:type="dxa"/>
            <w:vAlign w:val="center"/>
          </w:tcPr>
          <w:p w14:paraId="53587137" w14:textId="77777777" w:rsidR="00AC03B5" w:rsidRPr="00A97BAE" w:rsidRDefault="00AC03B5" w:rsidP="008162C8">
            <w:pPr>
              <w:jc w:val="center"/>
              <w:rPr>
                <w:rFonts w:cs="Times New Roman"/>
                <w:b/>
                <w:szCs w:val="16"/>
              </w:rPr>
            </w:pPr>
            <w:r w:rsidRPr="00A97BAE">
              <w:rPr>
                <w:rFonts w:cs="Times New Roman"/>
                <w:b/>
                <w:szCs w:val="16"/>
              </w:rPr>
              <w:t>3</w:t>
            </w:r>
          </w:p>
        </w:tc>
        <w:tc>
          <w:tcPr>
            <w:tcW w:w="853" w:type="dxa"/>
            <w:vAlign w:val="center"/>
          </w:tcPr>
          <w:p w14:paraId="02FC1B28" w14:textId="77777777" w:rsidR="00AC03B5" w:rsidRPr="00A97BAE" w:rsidRDefault="00AC03B5" w:rsidP="008162C8">
            <w:pPr>
              <w:jc w:val="center"/>
              <w:rPr>
                <w:rFonts w:cs="Times New Roman"/>
                <w:szCs w:val="16"/>
              </w:rPr>
            </w:pPr>
            <w:r w:rsidRPr="00A97BAE">
              <w:rPr>
                <w:rFonts w:cs="Times New Roman"/>
                <w:szCs w:val="16"/>
              </w:rPr>
              <w:t>Kovanen et al.</w:t>
            </w:r>
            <w:r w:rsidRPr="00A97BAE">
              <w:rPr>
                <w:rFonts w:cs="Times New Roman"/>
                <w:szCs w:val="16"/>
              </w:rPr>
              <w:fldChar w:fldCharType="begin" w:fldLock="1"/>
            </w:r>
            <w:r>
              <w:rPr>
                <w:rFonts w:cs="Times New Roman"/>
                <w:szCs w:val="16"/>
              </w:rPr>
              <w:instrText>ADDIN CSL_CITATION {"citationItems":[{"id":"ITEM-1","itemData":{"DOI":"10.1159/000435876","ISSN":"1421-9891","PMID":"26339899","abstract":"Background/Aims: Effective treatment strategies are needed for the treatment of pathological gambling (PG). The efficacy of as-needed naltrexone was assessed in a single-centre, randomised, double-blind, placebo-controlled trial. Methods: The participants (n = 101) received either as-needed placebo or naltrexone (50 mg) and psychosocial support for 20 weeks. The primary outcome measure was the severity of PG assessed by the Yale-Brown Obsessive Compulsive Scale adapted for PG (PG-YBOCS). Secondary gambling-related outcome measures included thoughts/urges and behaviour subscales of PG-YBOCS as well as the highest daily expenditure and gambling frequency. In addition, RAND-36 scales of emotional well-being and social functioning were used as outcomes. The results were analysed using the intention-to-treat principle and linear random effects modelling. Results: No significant treatment group differences were found. In an exploratory analysis, emotional well-being increased in a subgroup of participants with AA genotype of opioid receptor, mu 1 (OPRM1) A118G polymorphism (p = 0.02). Conclusion: Overall, the as-needed naltrexone may not provide substantial additional benefit for PG patients receiving psychosocial support. Replication by larger scale studies is warranted to further evaluate naltrexone administration schedules for the treatment of PG and the role of OPRM1.","author":[{"dropping-particle":"","family":"Kovanen","given":"Leena","non-dropping-particle":"","parse-names":false,"suffix":""},{"dropping-particle":"","family":"Basnet","given":"Syaron","non-dropping-particle":"","parse-names":false,"suffix":""},{"dropping-particle":"","family":"Castrén","given":"Sari","non-dropping-particle":"","parse-names":false,"suffix":""},{"dropping-particle":"","family":"Pankakoski","given":"Maiju","non-dropping-particle":"","parse-names":false,"suffix":""},{"dropping-particle":"","family":"Saarikoski","given":"Sirkku T.","non-dropping-particle":"","parse-names":false,"suffix":""},{"dropping-particle":"","family":"Partonen","given":"Timo","non-dropping-particle":"","parse-names":false,"suffix":""},{"dropping-particle":"","family":"Alho","given":"Hannu","non-dropping-particle":"","parse-names":false,"suffix":""},{"dropping-particle":"","family":"Lahti","given":"Tuuli","non-dropping-particle":"","parse-names":false,"suffix":""}],"container-title":"European addiction research","id":"ITEM-1","issue":"2","issued":{"date-parts":[["2016","1","1"]]},"page":"70-79","publisher":"Eur Addict Res","title":"A Randomised, Double-Blind, Placebo-Controlled Trial of As-Needed Naltrexone in the Treatment of Pathological Gambling","type":"article-journal","volume":"22"},"uris":["http://www.mendeley.com/documents/?uuid=76d9aaa4-b74b-3192-815f-74206e8534a0"]}],"mendeley":{"formattedCitation":"(Kovanen et al., 2016)","plainTextFormattedCitation":"(Kovanen et al., 2016)","previouslyFormattedCitation":"(Kovanen et al. 2016)"},"properties":{"noteIndex":0},"schema":"https://github.com/citation-style-language/schema/raw/master/csl-citation.json"}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(Kovanen et al., 2016)</w:t>
            </w:r>
            <w:r w:rsidRPr="00A97BAE">
              <w:rPr>
                <w:rFonts w:cs="Times New Roman"/>
                <w:szCs w:val="16"/>
              </w:rPr>
              <w:fldChar w:fldCharType="end"/>
            </w:r>
          </w:p>
        </w:tc>
        <w:tc>
          <w:tcPr>
            <w:tcW w:w="503" w:type="dxa"/>
            <w:vAlign w:val="center"/>
          </w:tcPr>
          <w:p w14:paraId="1CAA8EA5" w14:textId="77777777" w:rsidR="00AC03B5" w:rsidRPr="00A97BAE" w:rsidRDefault="00AC03B5" w:rsidP="008162C8">
            <w:pPr>
              <w:jc w:val="center"/>
              <w:rPr>
                <w:rFonts w:cs="Times New Roman"/>
                <w:szCs w:val="16"/>
              </w:rPr>
            </w:pPr>
            <w:r w:rsidRPr="00A97BAE">
              <w:rPr>
                <w:rFonts w:cs="Times New Roman"/>
                <w:szCs w:val="16"/>
              </w:rPr>
              <w:t>2016</w:t>
            </w:r>
          </w:p>
        </w:tc>
        <w:tc>
          <w:tcPr>
            <w:tcW w:w="692" w:type="dxa"/>
            <w:vAlign w:val="center"/>
          </w:tcPr>
          <w:p w14:paraId="562F23DD" w14:textId="77777777" w:rsidR="00AC03B5" w:rsidRPr="00A97BAE" w:rsidRDefault="00AC03B5" w:rsidP="008162C8">
            <w:pPr>
              <w:jc w:val="center"/>
              <w:rPr>
                <w:rFonts w:cs="Times New Roman"/>
                <w:szCs w:val="16"/>
              </w:rPr>
            </w:pPr>
            <w:r w:rsidRPr="00A97BAE">
              <w:rPr>
                <w:rFonts w:cs="Times New Roman"/>
                <w:szCs w:val="16"/>
              </w:rPr>
              <w:t>Eur Addict Res</w:t>
            </w:r>
          </w:p>
        </w:tc>
        <w:tc>
          <w:tcPr>
            <w:tcW w:w="1088" w:type="dxa"/>
            <w:vAlign w:val="center"/>
          </w:tcPr>
          <w:p w14:paraId="697FB08C"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62A4CDD6" w14:textId="77777777" w:rsidR="00AC03B5" w:rsidRPr="00A97BAE" w:rsidRDefault="00AC03B5" w:rsidP="008162C8">
            <w:pPr>
              <w:jc w:val="center"/>
              <w:rPr>
                <w:rFonts w:cs="Times New Roman"/>
                <w:szCs w:val="16"/>
              </w:rPr>
            </w:pPr>
            <w:r w:rsidRPr="00A97BAE">
              <w:rPr>
                <w:rFonts w:cs="Times New Roman"/>
                <w:szCs w:val="16"/>
              </w:rPr>
              <w:t>naltrexone vs. placebo</w:t>
            </w:r>
          </w:p>
        </w:tc>
        <w:tc>
          <w:tcPr>
            <w:tcW w:w="593" w:type="dxa"/>
            <w:vAlign w:val="center"/>
          </w:tcPr>
          <w:p w14:paraId="677988EB" w14:textId="77777777" w:rsidR="00AC03B5" w:rsidRPr="00A97BAE" w:rsidRDefault="00AC03B5" w:rsidP="008162C8">
            <w:pPr>
              <w:jc w:val="center"/>
              <w:rPr>
                <w:rFonts w:cs="Times New Roman"/>
                <w:szCs w:val="16"/>
              </w:rPr>
            </w:pPr>
            <w:r w:rsidRPr="00A97BAE">
              <w:rPr>
                <w:rFonts w:cs="Times New Roman"/>
                <w:szCs w:val="16"/>
              </w:rPr>
              <w:t>50/51</w:t>
            </w:r>
          </w:p>
        </w:tc>
        <w:tc>
          <w:tcPr>
            <w:tcW w:w="594" w:type="dxa"/>
            <w:vAlign w:val="center"/>
          </w:tcPr>
          <w:p w14:paraId="3C869B14" w14:textId="77777777" w:rsidR="00AC03B5" w:rsidRPr="00A97BAE" w:rsidRDefault="00AC03B5" w:rsidP="008162C8">
            <w:pPr>
              <w:jc w:val="center"/>
              <w:rPr>
                <w:rFonts w:cs="Times New Roman"/>
                <w:szCs w:val="16"/>
              </w:rPr>
            </w:pPr>
            <w:r w:rsidRPr="00A97BAE">
              <w:rPr>
                <w:rFonts w:cs="Times New Roman"/>
                <w:szCs w:val="16"/>
              </w:rPr>
              <w:t>47</w:t>
            </w:r>
            <w:r>
              <w:rPr>
                <w:rFonts w:cs="Times New Roman"/>
                <w:szCs w:val="16"/>
              </w:rPr>
              <w:t>.</w:t>
            </w:r>
            <w:r w:rsidRPr="00A97BAE">
              <w:rPr>
                <w:rFonts w:cs="Times New Roman"/>
                <w:szCs w:val="16"/>
              </w:rPr>
              <w:t>4 /</w:t>
            </w:r>
          </w:p>
          <w:p w14:paraId="12F823D6" w14:textId="77777777" w:rsidR="00AC03B5" w:rsidRPr="00A97BAE" w:rsidRDefault="00AC03B5" w:rsidP="008162C8">
            <w:pPr>
              <w:jc w:val="center"/>
              <w:rPr>
                <w:rFonts w:cs="Times New Roman"/>
                <w:szCs w:val="16"/>
              </w:rPr>
            </w:pPr>
            <w:r w:rsidRPr="00A97BAE">
              <w:rPr>
                <w:rFonts w:cs="Times New Roman"/>
                <w:szCs w:val="16"/>
              </w:rPr>
              <w:t>44</w:t>
            </w:r>
            <w:r>
              <w:rPr>
                <w:rFonts w:cs="Times New Roman"/>
                <w:szCs w:val="16"/>
              </w:rPr>
              <w:t>.</w:t>
            </w:r>
            <w:r w:rsidRPr="00A97BAE">
              <w:rPr>
                <w:rFonts w:cs="Times New Roman"/>
                <w:szCs w:val="16"/>
              </w:rPr>
              <w:t>5</w:t>
            </w:r>
          </w:p>
        </w:tc>
        <w:tc>
          <w:tcPr>
            <w:tcW w:w="594" w:type="dxa"/>
            <w:vAlign w:val="center"/>
          </w:tcPr>
          <w:p w14:paraId="54838CDA" w14:textId="77777777" w:rsidR="00AC03B5" w:rsidRPr="00A97BAE" w:rsidRDefault="00AC03B5" w:rsidP="008162C8">
            <w:pPr>
              <w:jc w:val="center"/>
              <w:rPr>
                <w:rFonts w:cs="Times New Roman"/>
                <w:szCs w:val="16"/>
              </w:rPr>
            </w:pPr>
            <w:r w:rsidRPr="00A97BAE">
              <w:rPr>
                <w:rFonts w:cs="Times New Roman"/>
                <w:szCs w:val="16"/>
              </w:rPr>
              <w:t>66% / 71%</w:t>
            </w:r>
          </w:p>
        </w:tc>
        <w:tc>
          <w:tcPr>
            <w:tcW w:w="594" w:type="dxa"/>
            <w:vAlign w:val="center"/>
          </w:tcPr>
          <w:p w14:paraId="55BF654E" w14:textId="77777777" w:rsidR="00AC03B5" w:rsidRPr="00A97BAE" w:rsidRDefault="00AC03B5" w:rsidP="008162C8">
            <w:pPr>
              <w:jc w:val="center"/>
              <w:rPr>
                <w:rFonts w:cs="Times New Roman"/>
                <w:szCs w:val="16"/>
              </w:rPr>
            </w:pPr>
            <w:r w:rsidRPr="00A97BAE">
              <w:rPr>
                <w:rFonts w:cs="Times New Roman"/>
                <w:szCs w:val="16"/>
              </w:rPr>
              <w:t>Oral OD/PRN</w:t>
            </w:r>
          </w:p>
        </w:tc>
        <w:tc>
          <w:tcPr>
            <w:tcW w:w="593" w:type="dxa"/>
            <w:vAlign w:val="center"/>
          </w:tcPr>
          <w:p w14:paraId="2A9E4092" w14:textId="77777777" w:rsidR="00AC03B5" w:rsidRPr="00A97BAE" w:rsidRDefault="00AC03B5" w:rsidP="008162C8">
            <w:pPr>
              <w:jc w:val="center"/>
              <w:rPr>
                <w:rFonts w:cs="Times New Roman"/>
                <w:szCs w:val="16"/>
              </w:rPr>
            </w:pPr>
            <w:r w:rsidRPr="00A97BAE">
              <w:rPr>
                <w:rFonts w:cs="Times New Roman"/>
                <w:szCs w:val="16"/>
              </w:rPr>
              <w:t>50mg</w:t>
            </w:r>
          </w:p>
        </w:tc>
        <w:tc>
          <w:tcPr>
            <w:tcW w:w="593" w:type="dxa"/>
            <w:vAlign w:val="center"/>
          </w:tcPr>
          <w:p w14:paraId="141FF5B6" w14:textId="77777777" w:rsidR="00AC03B5" w:rsidRPr="00A97BAE" w:rsidRDefault="00AC03B5" w:rsidP="008162C8">
            <w:pPr>
              <w:jc w:val="center"/>
              <w:rPr>
                <w:rFonts w:cs="Times New Roman"/>
                <w:szCs w:val="16"/>
              </w:rPr>
            </w:pPr>
            <w:r w:rsidRPr="00A97BAE">
              <w:rPr>
                <w:rFonts w:cs="Times New Roman"/>
                <w:szCs w:val="16"/>
              </w:rPr>
              <w:t>50mg</w:t>
            </w:r>
          </w:p>
        </w:tc>
        <w:tc>
          <w:tcPr>
            <w:tcW w:w="792" w:type="dxa"/>
            <w:vAlign w:val="center"/>
          </w:tcPr>
          <w:p w14:paraId="29220456" w14:textId="77777777" w:rsidR="00AC03B5" w:rsidRPr="00A97BAE" w:rsidRDefault="00AC03B5" w:rsidP="008162C8">
            <w:pPr>
              <w:jc w:val="center"/>
              <w:rPr>
                <w:rFonts w:cs="Times New Roman"/>
                <w:szCs w:val="16"/>
              </w:rPr>
            </w:pPr>
            <w:r w:rsidRPr="00A97BAE">
              <w:rPr>
                <w:rFonts w:cs="Times New Roman"/>
                <w:szCs w:val="16"/>
              </w:rPr>
              <w:t>20-weeks</w:t>
            </w:r>
          </w:p>
        </w:tc>
        <w:tc>
          <w:tcPr>
            <w:tcW w:w="593" w:type="dxa"/>
            <w:vAlign w:val="center"/>
          </w:tcPr>
          <w:p w14:paraId="190D1A15" w14:textId="77777777" w:rsidR="00AC03B5" w:rsidRPr="00A97BAE" w:rsidRDefault="00AC03B5" w:rsidP="008162C8">
            <w:pPr>
              <w:jc w:val="center"/>
              <w:rPr>
                <w:rFonts w:cs="Times New Roman"/>
                <w:szCs w:val="16"/>
              </w:rPr>
            </w:pPr>
            <w:r w:rsidRPr="00A97BAE">
              <w:rPr>
                <w:rFonts w:cs="Times New Roman"/>
                <w:szCs w:val="16"/>
              </w:rPr>
              <w:t>Yes</w:t>
            </w:r>
          </w:p>
        </w:tc>
      </w:tr>
      <w:tr w:rsidR="00AC03B5" w:rsidRPr="00A97BAE" w14:paraId="63226C72" w14:textId="77777777" w:rsidTr="008162C8">
        <w:trPr>
          <w:trHeight w:val="586"/>
        </w:trPr>
        <w:tc>
          <w:tcPr>
            <w:tcW w:w="421" w:type="dxa"/>
            <w:vAlign w:val="center"/>
          </w:tcPr>
          <w:p w14:paraId="07A69AEF" w14:textId="77777777" w:rsidR="00AC03B5" w:rsidRPr="00A97BAE" w:rsidRDefault="00AC03B5" w:rsidP="008162C8">
            <w:pPr>
              <w:jc w:val="center"/>
              <w:rPr>
                <w:rFonts w:cs="Times New Roman"/>
                <w:b/>
                <w:szCs w:val="16"/>
              </w:rPr>
            </w:pPr>
            <w:r w:rsidRPr="00A97BAE">
              <w:rPr>
                <w:rFonts w:cs="Times New Roman"/>
                <w:b/>
                <w:szCs w:val="16"/>
              </w:rPr>
              <w:lastRenderedPageBreak/>
              <w:t>4</w:t>
            </w:r>
          </w:p>
        </w:tc>
        <w:tc>
          <w:tcPr>
            <w:tcW w:w="853" w:type="dxa"/>
            <w:vAlign w:val="center"/>
          </w:tcPr>
          <w:p w14:paraId="1D926AC3" w14:textId="77777777" w:rsidR="00AC03B5" w:rsidRPr="00A97BAE" w:rsidRDefault="00AC03B5" w:rsidP="008162C8">
            <w:pPr>
              <w:jc w:val="center"/>
              <w:rPr>
                <w:rFonts w:cs="Times New Roman"/>
                <w:szCs w:val="16"/>
              </w:rPr>
            </w:pPr>
            <w:r w:rsidRPr="00A97BAE">
              <w:rPr>
                <w:rFonts w:cs="Times New Roman"/>
                <w:szCs w:val="16"/>
              </w:rPr>
              <w:t>McElroy et al.</w:t>
            </w:r>
            <w:r w:rsidRPr="00A97BAE">
              <w:rPr>
                <w:rFonts w:cs="Times New Roman"/>
                <w:szCs w:val="16"/>
              </w:rPr>
              <w:fldChar w:fldCharType="begin" w:fldLock="1"/>
            </w:r>
            <w:r>
              <w:rPr>
                <w:rFonts w:cs="Times New Roman"/>
                <w:szCs w:val="16"/>
              </w:rPr>
              <w:instrText>ADDIN CSL_CITATION {"citationItems":[{"id":"ITEM-1","itemData":{"DOI":"10.4088/JCP.V69N0314","ISSN":"1555-2101","PMID":"18251624","abstract":"Objective: Pathological gambling is associated with bipolar disorder and dopamine dysfunction. Olanzapine is a second-generation antipsychotic with mood-stabilizing properties and antagonistic activity at several dopamine receptors. The purpose of this study was to evaluate olanzapine in the treatment of pathological gambling. Method: In this 12-week, single-center, randomized, double-blind, placebo-controlled, flexible-dose (2.5-15 mg/day) trial, 42 outpatients with pathological gambling by DSM-IV-TR criteria received olanzapine (N = 21) or placebo (N = 21). The primary outcome measure was the Pathological Gambling Adaptation of the Yale-Brown Obsessive Compulsive Scale (PG-YBOCS). The primary analysis of efficacy was a longitudinal analysis of the intent-to-treat sample, with treatment-by-time interaction as the effect measure. Subjects were enrolled from June 2, 2000, through November 28, 2005. Results: Compared with placebo, olanzapine was associated with a similar rate of reduction in total scores on the PG-YBOCS scale, as well as in gambling episodes/week, hours gambled/week, and Clinical Global Impressions-Severity of Illness scale scores. The mean (SD) olanzapine daily dose at endpoint evaluation was 8.9 (5.2) mg/day. Eleven subjects (52%) receiving olanzapine and 6 (29%) receiving placebo discontinued prematurely; 3 subjects receiving olanzapine and 2 receiving placebo discontinued because of adverse events. Events causing olanzapine discontinuation were pneumonia, sedation, and hypomania. Conclusion: Olanzapine was not superior to placebo in the short-term treatment of pathological gambling. It was also associated with a high discontinuation rate. Trial Registration: ClinicalTrials.gov identifier NCT00438776 (http://www. clinicaltrials.gov).","author":[{"dropping-particle":"","family":"McElroy","given":"Susan L.","non-dropping-particle":"","parse-names":false,"suffix":""},{"dropping-particle":"","family":"Nelson","given":"Erik B.","non-dropping-particle":"","parse-names":false,"suffix":""},{"dropping-particle":"","family":"Welge","given":"Jeffrey A.","non-dropping-particle":"","parse-names":false,"suffix":""},{"dropping-particle":"","family":"Kaehler","given":"Laura","non-dropping-particle":"","parse-names":false,"suffix":""},{"dropping-particle":"","family":"Keck","given":"Paul E.","non-dropping-particle":"","parse-names":false,"suffix":""}],"container-title":"The Journal of clinical psychiatry","id":"ITEM-1","issue":"3","issued":{"date-parts":[["2008"]]},"page":"433-440","publisher":"J Clin Psychiatry","title":"Olanzapine in the treatment of pathological gambling: a negative randomized placebo-controlled trial","type":"article-journal","volume":"69"},"uris":["http://www.mendeley.com/documents/?uuid=bbd74f52-fb34-3f6a-8a80-9db29e154be0"]}],"mendeley":{"formattedCitation":"(McElroy, Nelson, Welge, Kaehler, &amp; Keck, 2008)","plainTextFormattedCitation":"(McElroy, Nelson, Welge, Kaehler, &amp; Keck, 2008)","previouslyFormattedCitation":"(McElroy et al. 2008)"},"properties":{"noteIndex":0},"schema":"https://github.com/citation-style-language/schema/raw/master/csl-citation.json"}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(McElroy, Nelson, Welge, Kaehler, &amp; Keck, 2008)</w:t>
            </w:r>
            <w:r w:rsidRPr="00A97BAE">
              <w:rPr>
                <w:rFonts w:cs="Times New Roman"/>
                <w:szCs w:val="16"/>
              </w:rPr>
              <w:fldChar w:fldCharType="end"/>
            </w:r>
          </w:p>
        </w:tc>
        <w:tc>
          <w:tcPr>
            <w:tcW w:w="503" w:type="dxa"/>
            <w:vAlign w:val="center"/>
          </w:tcPr>
          <w:p w14:paraId="15168D90" w14:textId="77777777" w:rsidR="00AC03B5" w:rsidRPr="00A97BAE" w:rsidRDefault="00AC03B5" w:rsidP="008162C8">
            <w:pPr>
              <w:jc w:val="center"/>
              <w:rPr>
                <w:rFonts w:cs="Times New Roman"/>
                <w:szCs w:val="16"/>
              </w:rPr>
            </w:pPr>
            <w:r w:rsidRPr="00A97BAE">
              <w:rPr>
                <w:rFonts w:cs="Times New Roman"/>
                <w:szCs w:val="16"/>
              </w:rPr>
              <w:t>2008</w:t>
            </w:r>
          </w:p>
        </w:tc>
        <w:tc>
          <w:tcPr>
            <w:tcW w:w="692" w:type="dxa"/>
            <w:vAlign w:val="center"/>
          </w:tcPr>
          <w:p w14:paraId="1D41952C" w14:textId="77777777" w:rsidR="00AC03B5" w:rsidRPr="00A97BAE" w:rsidRDefault="00AC03B5" w:rsidP="008162C8">
            <w:pPr>
              <w:jc w:val="center"/>
              <w:rPr>
                <w:rFonts w:cs="Times New Roman"/>
                <w:szCs w:val="16"/>
              </w:rPr>
            </w:pPr>
            <w:r w:rsidRPr="00A97BAE">
              <w:rPr>
                <w:rFonts w:cs="Times New Roman"/>
                <w:szCs w:val="16"/>
              </w:rPr>
              <w:t>J Clin Psychiatry</w:t>
            </w:r>
          </w:p>
        </w:tc>
        <w:tc>
          <w:tcPr>
            <w:tcW w:w="1088" w:type="dxa"/>
            <w:vAlign w:val="center"/>
          </w:tcPr>
          <w:p w14:paraId="780473E0"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5DDE4FBC" w14:textId="77777777" w:rsidR="00AC03B5" w:rsidRPr="00A97BAE" w:rsidRDefault="00AC03B5" w:rsidP="008162C8">
            <w:pPr>
              <w:jc w:val="center"/>
              <w:rPr>
                <w:rFonts w:cs="Times New Roman"/>
                <w:szCs w:val="16"/>
              </w:rPr>
            </w:pPr>
            <w:r w:rsidRPr="00A97BAE">
              <w:rPr>
                <w:rFonts w:cs="Times New Roman"/>
                <w:szCs w:val="16"/>
              </w:rPr>
              <w:t>olanzapine vs. placebo</w:t>
            </w:r>
          </w:p>
        </w:tc>
        <w:tc>
          <w:tcPr>
            <w:tcW w:w="593" w:type="dxa"/>
            <w:vAlign w:val="center"/>
          </w:tcPr>
          <w:p w14:paraId="34A5C6C6" w14:textId="77777777" w:rsidR="00AC03B5" w:rsidRPr="00A97BAE" w:rsidRDefault="00AC03B5" w:rsidP="008162C8">
            <w:pPr>
              <w:jc w:val="center"/>
              <w:rPr>
                <w:rFonts w:cs="Times New Roman"/>
                <w:szCs w:val="16"/>
              </w:rPr>
            </w:pPr>
            <w:r w:rsidRPr="00A97BAE">
              <w:rPr>
                <w:rFonts w:cs="Times New Roman"/>
                <w:szCs w:val="16"/>
              </w:rPr>
              <w:t>21/21</w:t>
            </w:r>
          </w:p>
        </w:tc>
        <w:tc>
          <w:tcPr>
            <w:tcW w:w="594" w:type="dxa"/>
            <w:vAlign w:val="center"/>
          </w:tcPr>
          <w:p w14:paraId="56C76DD9" w14:textId="77777777" w:rsidR="00AC03B5" w:rsidRPr="00A97BAE" w:rsidRDefault="00AC03B5" w:rsidP="008162C8">
            <w:pPr>
              <w:jc w:val="center"/>
              <w:rPr>
                <w:rFonts w:cs="Times New Roman"/>
                <w:szCs w:val="16"/>
              </w:rPr>
            </w:pPr>
            <w:r w:rsidRPr="00A97BAE">
              <w:rPr>
                <w:rFonts w:cs="Times New Roman"/>
                <w:szCs w:val="16"/>
              </w:rPr>
              <w:t>51</w:t>
            </w:r>
            <w:r>
              <w:rPr>
                <w:rFonts w:cs="Times New Roman"/>
                <w:szCs w:val="16"/>
              </w:rPr>
              <w:t>.</w:t>
            </w:r>
            <w:r w:rsidRPr="00A97BAE">
              <w:rPr>
                <w:rFonts w:cs="Times New Roman"/>
                <w:szCs w:val="16"/>
              </w:rPr>
              <w:t>5 /</w:t>
            </w:r>
          </w:p>
          <w:p w14:paraId="3BCE0875" w14:textId="77777777" w:rsidR="00AC03B5" w:rsidRPr="00A97BAE" w:rsidRDefault="00AC03B5" w:rsidP="008162C8">
            <w:pPr>
              <w:jc w:val="center"/>
              <w:rPr>
                <w:rFonts w:cs="Times New Roman"/>
                <w:szCs w:val="16"/>
              </w:rPr>
            </w:pPr>
            <w:r w:rsidRPr="00A97BAE">
              <w:rPr>
                <w:rFonts w:cs="Times New Roman"/>
                <w:szCs w:val="16"/>
              </w:rPr>
              <w:t>46</w:t>
            </w:r>
            <w:r>
              <w:rPr>
                <w:rFonts w:cs="Times New Roman"/>
                <w:szCs w:val="16"/>
              </w:rPr>
              <w:t>.</w:t>
            </w:r>
            <w:r w:rsidRPr="00A97BAE">
              <w:rPr>
                <w:rFonts w:cs="Times New Roman"/>
                <w:szCs w:val="16"/>
              </w:rPr>
              <w:t>8</w:t>
            </w:r>
          </w:p>
        </w:tc>
        <w:tc>
          <w:tcPr>
            <w:tcW w:w="594" w:type="dxa"/>
            <w:vAlign w:val="center"/>
          </w:tcPr>
          <w:p w14:paraId="6A27362F" w14:textId="77777777" w:rsidR="00AC03B5" w:rsidRPr="00A97BAE" w:rsidRDefault="00AC03B5" w:rsidP="008162C8">
            <w:pPr>
              <w:jc w:val="center"/>
              <w:rPr>
                <w:rFonts w:cs="Times New Roman"/>
                <w:szCs w:val="16"/>
              </w:rPr>
            </w:pPr>
            <w:r w:rsidRPr="00A97BAE">
              <w:rPr>
                <w:rFonts w:cs="Times New Roman"/>
                <w:szCs w:val="16"/>
              </w:rPr>
              <w:t>38% / 48%</w:t>
            </w:r>
          </w:p>
        </w:tc>
        <w:tc>
          <w:tcPr>
            <w:tcW w:w="594" w:type="dxa"/>
            <w:vAlign w:val="center"/>
          </w:tcPr>
          <w:p w14:paraId="7D56A66D" w14:textId="77777777" w:rsidR="00AC03B5" w:rsidRPr="00A97BAE" w:rsidRDefault="00AC03B5" w:rsidP="008162C8">
            <w:pPr>
              <w:jc w:val="center"/>
              <w:rPr>
                <w:rFonts w:cs="Times New Roman"/>
                <w:szCs w:val="16"/>
              </w:rPr>
            </w:pPr>
            <w:r w:rsidRPr="00A97BAE">
              <w:rPr>
                <w:rFonts w:cs="Times New Roman"/>
                <w:szCs w:val="16"/>
              </w:rPr>
              <w:t>Oral, flexible</w:t>
            </w:r>
          </w:p>
        </w:tc>
        <w:tc>
          <w:tcPr>
            <w:tcW w:w="593" w:type="dxa"/>
            <w:vAlign w:val="center"/>
          </w:tcPr>
          <w:p w14:paraId="003B9F62" w14:textId="77777777" w:rsidR="00AC03B5" w:rsidRPr="00A97BAE" w:rsidRDefault="00AC03B5" w:rsidP="008162C8">
            <w:pPr>
              <w:jc w:val="center"/>
              <w:rPr>
                <w:rFonts w:cs="Times New Roman"/>
                <w:szCs w:val="16"/>
              </w:rPr>
            </w:pPr>
            <w:r w:rsidRPr="00A97BAE">
              <w:rPr>
                <w:rFonts w:cs="Times New Roman"/>
                <w:szCs w:val="16"/>
              </w:rPr>
              <w:t>2.5mg</w:t>
            </w:r>
          </w:p>
        </w:tc>
        <w:tc>
          <w:tcPr>
            <w:tcW w:w="593" w:type="dxa"/>
            <w:vAlign w:val="center"/>
          </w:tcPr>
          <w:p w14:paraId="0A5E28C7" w14:textId="77777777" w:rsidR="00AC03B5" w:rsidRPr="00A97BAE" w:rsidRDefault="00AC03B5" w:rsidP="008162C8">
            <w:pPr>
              <w:jc w:val="center"/>
              <w:rPr>
                <w:rFonts w:cs="Times New Roman"/>
                <w:szCs w:val="16"/>
              </w:rPr>
            </w:pPr>
            <w:r w:rsidRPr="00A97BAE">
              <w:rPr>
                <w:rFonts w:cs="Times New Roman"/>
                <w:szCs w:val="16"/>
              </w:rPr>
              <w:t>15mg</w:t>
            </w:r>
          </w:p>
        </w:tc>
        <w:tc>
          <w:tcPr>
            <w:tcW w:w="792" w:type="dxa"/>
            <w:vAlign w:val="center"/>
          </w:tcPr>
          <w:p w14:paraId="594F1A48" w14:textId="77777777" w:rsidR="00AC03B5" w:rsidRPr="00A97BAE" w:rsidRDefault="00AC03B5" w:rsidP="008162C8">
            <w:pPr>
              <w:jc w:val="center"/>
              <w:rPr>
                <w:rFonts w:cs="Times New Roman"/>
                <w:szCs w:val="16"/>
              </w:rPr>
            </w:pPr>
            <w:r w:rsidRPr="00A97BAE">
              <w:rPr>
                <w:rFonts w:cs="Times New Roman"/>
                <w:szCs w:val="16"/>
              </w:rPr>
              <w:t>12-weeks</w:t>
            </w:r>
          </w:p>
        </w:tc>
        <w:tc>
          <w:tcPr>
            <w:tcW w:w="593" w:type="dxa"/>
            <w:vAlign w:val="center"/>
          </w:tcPr>
          <w:p w14:paraId="4AB02904" w14:textId="77777777" w:rsidR="00AC03B5" w:rsidRPr="00A97BAE" w:rsidRDefault="00AC03B5" w:rsidP="008162C8">
            <w:pPr>
              <w:jc w:val="center"/>
              <w:rPr>
                <w:rFonts w:cs="Times New Roman"/>
                <w:szCs w:val="16"/>
              </w:rPr>
            </w:pPr>
            <w:r w:rsidRPr="00A97BAE">
              <w:rPr>
                <w:rFonts w:cs="Times New Roman"/>
                <w:szCs w:val="16"/>
              </w:rPr>
              <w:t>Yes</w:t>
            </w:r>
          </w:p>
        </w:tc>
      </w:tr>
      <w:tr w:rsidR="00AC03B5" w:rsidRPr="00A97BAE" w14:paraId="10BBBAF3" w14:textId="77777777" w:rsidTr="008162C8">
        <w:trPr>
          <w:trHeight w:val="586"/>
        </w:trPr>
        <w:tc>
          <w:tcPr>
            <w:tcW w:w="421" w:type="dxa"/>
            <w:vAlign w:val="center"/>
          </w:tcPr>
          <w:p w14:paraId="3AA74421" w14:textId="77777777" w:rsidR="00AC03B5" w:rsidRPr="00A97BAE" w:rsidRDefault="00AC03B5" w:rsidP="008162C8">
            <w:pPr>
              <w:jc w:val="center"/>
              <w:rPr>
                <w:rFonts w:cs="Times New Roman"/>
                <w:b/>
                <w:szCs w:val="16"/>
              </w:rPr>
            </w:pPr>
            <w:r w:rsidRPr="00A97BAE">
              <w:rPr>
                <w:rFonts w:cs="Times New Roman"/>
                <w:b/>
                <w:szCs w:val="16"/>
              </w:rPr>
              <w:t>5</w:t>
            </w:r>
          </w:p>
        </w:tc>
        <w:tc>
          <w:tcPr>
            <w:tcW w:w="853" w:type="dxa"/>
            <w:vAlign w:val="center"/>
          </w:tcPr>
          <w:p w14:paraId="3DED8359" w14:textId="77777777" w:rsidR="00AC03B5" w:rsidRPr="00A97BAE" w:rsidRDefault="00AC03B5" w:rsidP="008162C8">
            <w:pPr>
              <w:jc w:val="center"/>
              <w:rPr>
                <w:rFonts w:cs="Times New Roman"/>
                <w:szCs w:val="16"/>
              </w:rPr>
            </w:pPr>
            <w:r w:rsidRPr="00A97BAE">
              <w:rPr>
                <w:rFonts w:cs="Times New Roman"/>
                <w:szCs w:val="16"/>
              </w:rPr>
              <w:t>Berlin et al.</w:t>
            </w:r>
            <w:r w:rsidRPr="00A97BAE">
              <w:rPr>
                <w:rFonts w:cs="Times New Roman"/>
                <w:szCs w:val="16"/>
              </w:rPr>
              <w:fldChar w:fldCharType="begin" w:fldLock="1"/>
            </w:r>
            <w:r>
              <w:rPr>
                <w:rFonts w:cs="Times New Roman"/>
                <w:szCs w:val="16"/>
              </w:rPr>
              <w:instrText>ADDIN CSL_CITATION {"citationItems":[{"id":"ITEM-1","itemData":{"DOI":"10.3109/15622975.2011.560964","ISSN":"1814-1412","PMID":"21486110","abstract":"Objectives. Pathological gambling (PG) is an impulse control disorder characterized by recurrent gambling thoughts and behaviours that impair social functioning. Earlier studies suggested that topiramate may be effective in treating some impulse control disorders. We conducted the first randomized, controlled trial of topiramate in PG. Methods. PG patients were randomized to topiramate (N = 20) or placebo (N = 22) in this 14-week, double-blind, placebo-controlled, parallel-group trial. The primary outcome measure was change in the obsessions subscale of the Yale-Brown Obsessive-Compulsive Scale Modified for Pathological Gambling. Results. Mixed regression models (time [weeks] × treatment) revealed no significant treatment effect of topiramate on the primary or secondary outcome measures. The most statistically robust findings involved reducing the Barratt Impulsiveness Scale (BIS) total score and Motor and Non-Planning subscale scores, for which topiramate outperformed placebo at merely a trend level (P &lt; 0.1). Conclusions. The observed trend in BIS score reductions may warrant further investigation to study whether topiramate reduces clinically important impulsivity in PG. Treatment studies with larger samples and less stringent exclusion criteria are needed to produce results that can be generalized to pathological gamblers in the community. © 2013 Informa Healthcare.","author":[{"dropping-particle":"","family":"Berlin","given":"Heather A.","non-dropping-particle":"","parse-names":false,"suffix":""},{"dropping-particle":"","family":"Braun","given":"Ashley","non-dropping-particle":"","parse-names":false,"suffix":""},{"dropping-particle":"","family":"Simeon","given":"Daphne","non-dropping-particle":"","parse-names":false,"suffix":""},{"dropping-particle":"","family":"Koran","given":"Lorrin M.","non-dropping-particle":"","parse-names":false,"suffix":""},{"dropping-particle":"","family":"Potenza","given":"Marc N.","non-dropping-particle":"","parse-names":false,"suffix":""},{"dropping-particle":"","family":"McElroy","given":"Susan L.","non-dropping-particle":"","parse-names":false,"suffix":""},{"dropping-particle":"","family":"Fong","given":"Timothy","non-dropping-particle":"","parse-names":false,"suffix":""},{"dropping-particle":"","family":"Pallanti","given":"Stefano","non-dropping-particle":"","parse-names":false,"suffix":""},{"dropping-particle":"","family":"Hollander","given":"Eric","non-dropping-particle":"","parse-names":false,"suffix":""}],"container-title":"The world journal of biological psychiatry : the official journal of the World Federation of Societies of Biological Psychiatry","id":"ITEM-1","issue":"2","issued":{"date-parts":[["2013","3"]]},"page":"121-128","publisher":"World J Biol Psychiatry","title":"A double-blind, placebo-controlled trial of topiramate for pathological gambling","type":"article-journal","volume":"14"},"uris":["http://www.mendeley.com/documents/?uuid=fe8e65e4-0fee-31dc-ac80-e22f287b282f"]}],"mendeley":{"formattedCitation":"(Berlin et al., 2013)","plainTextFormattedCitation":"(Berlin et al., 2013)","previouslyFormattedCitation":"(Berlin et al. 2013)"},"properties":{"noteIndex":0},"schema":"https://github.com/citation-style-language/schema/raw/master/csl-citation.json"}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(Berlin et al., 2013)</w:t>
            </w:r>
            <w:r w:rsidRPr="00A97BAE">
              <w:rPr>
                <w:rFonts w:cs="Times New Roman"/>
                <w:szCs w:val="16"/>
              </w:rPr>
              <w:fldChar w:fldCharType="end"/>
            </w:r>
          </w:p>
        </w:tc>
        <w:tc>
          <w:tcPr>
            <w:tcW w:w="503" w:type="dxa"/>
            <w:vAlign w:val="center"/>
          </w:tcPr>
          <w:p w14:paraId="5BD4D39C" w14:textId="77777777" w:rsidR="00AC03B5" w:rsidRPr="00A97BAE" w:rsidRDefault="00AC03B5" w:rsidP="008162C8">
            <w:pPr>
              <w:jc w:val="center"/>
              <w:rPr>
                <w:rFonts w:cs="Times New Roman"/>
                <w:szCs w:val="16"/>
              </w:rPr>
            </w:pPr>
            <w:r w:rsidRPr="00A97BAE">
              <w:rPr>
                <w:rFonts w:cs="Times New Roman"/>
                <w:szCs w:val="16"/>
              </w:rPr>
              <w:t>2013</w:t>
            </w:r>
          </w:p>
        </w:tc>
        <w:tc>
          <w:tcPr>
            <w:tcW w:w="692" w:type="dxa"/>
            <w:vAlign w:val="center"/>
          </w:tcPr>
          <w:p w14:paraId="0EC6DF31" w14:textId="77777777" w:rsidR="00AC03B5" w:rsidRPr="00A97BAE" w:rsidRDefault="00AC03B5" w:rsidP="008162C8">
            <w:pPr>
              <w:jc w:val="center"/>
              <w:rPr>
                <w:rFonts w:cs="Times New Roman"/>
                <w:szCs w:val="16"/>
              </w:rPr>
            </w:pPr>
            <w:r w:rsidRPr="00A97BAE">
              <w:rPr>
                <w:rFonts w:cs="Times New Roman"/>
                <w:szCs w:val="16"/>
              </w:rPr>
              <w:t>WJBP</w:t>
            </w:r>
          </w:p>
        </w:tc>
        <w:tc>
          <w:tcPr>
            <w:tcW w:w="1088" w:type="dxa"/>
            <w:vAlign w:val="center"/>
          </w:tcPr>
          <w:p w14:paraId="7E6D1444"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39AF811F" w14:textId="77777777" w:rsidR="00AC03B5" w:rsidRPr="00A97BAE" w:rsidRDefault="00AC03B5" w:rsidP="008162C8">
            <w:pPr>
              <w:jc w:val="center"/>
              <w:rPr>
                <w:rFonts w:cs="Times New Roman"/>
                <w:szCs w:val="16"/>
              </w:rPr>
            </w:pPr>
            <w:r w:rsidRPr="00A97BAE">
              <w:rPr>
                <w:rFonts w:cs="Times New Roman"/>
                <w:szCs w:val="16"/>
              </w:rPr>
              <w:t>topiramate vs. placebo</w:t>
            </w:r>
          </w:p>
        </w:tc>
        <w:tc>
          <w:tcPr>
            <w:tcW w:w="593" w:type="dxa"/>
            <w:vAlign w:val="center"/>
          </w:tcPr>
          <w:p w14:paraId="1CF94506" w14:textId="77777777" w:rsidR="00AC03B5" w:rsidRPr="00A97BAE" w:rsidRDefault="00AC03B5" w:rsidP="008162C8">
            <w:pPr>
              <w:jc w:val="center"/>
              <w:rPr>
                <w:rFonts w:cs="Times New Roman"/>
                <w:szCs w:val="16"/>
              </w:rPr>
            </w:pPr>
            <w:r w:rsidRPr="00A97BAE">
              <w:rPr>
                <w:rFonts w:cs="Times New Roman"/>
                <w:szCs w:val="16"/>
              </w:rPr>
              <w:t>20/22</w:t>
            </w:r>
          </w:p>
        </w:tc>
        <w:tc>
          <w:tcPr>
            <w:tcW w:w="594" w:type="dxa"/>
            <w:vAlign w:val="center"/>
          </w:tcPr>
          <w:p w14:paraId="21D9CAF4" w14:textId="77777777" w:rsidR="00AC03B5" w:rsidRPr="00A97BAE" w:rsidRDefault="00AC03B5" w:rsidP="008162C8">
            <w:pPr>
              <w:jc w:val="center"/>
              <w:rPr>
                <w:rFonts w:cs="Times New Roman"/>
                <w:szCs w:val="16"/>
              </w:rPr>
            </w:pPr>
            <w:r w:rsidRPr="00A97BAE">
              <w:rPr>
                <w:rFonts w:cs="Times New Roman"/>
                <w:szCs w:val="16"/>
              </w:rPr>
              <w:t>50</w:t>
            </w:r>
            <w:r>
              <w:rPr>
                <w:rFonts w:cs="Times New Roman"/>
                <w:szCs w:val="16"/>
              </w:rPr>
              <w:t>.</w:t>
            </w:r>
            <w:r w:rsidRPr="00A97BAE">
              <w:rPr>
                <w:rFonts w:cs="Times New Roman"/>
                <w:szCs w:val="16"/>
              </w:rPr>
              <w:t>5 /</w:t>
            </w:r>
          </w:p>
          <w:p w14:paraId="3B4BA8F7" w14:textId="77777777" w:rsidR="00AC03B5" w:rsidRPr="00A97BAE" w:rsidRDefault="00AC03B5" w:rsidP="008162C8">
            <w:pPr>
              <w:jc w:val="center"/>
              <w:rPr>
                <w:rFonts w:cs="Times New Roman"/>
                <w:szCs w:val="16"/>
              </w:rPr>
            </w:pPr>
            <w:r w:rsidRPr="00A97BAE">
              <w:rPr>
                <w:rFonts w:cs="Times New Roman"/>
                <w:szCs w:val="16"/>
              </w:rPr>
              <w:t>44</w:t>
            </w:r>
            <w:r>
              <w:rPr>
                <w:rFonts w:cs="Times New Roman"/>
                <w:szCs w:val="16"/>
              </w:rPr>
              <w:t>.</w:t>
            </w:r>
            <w:r w:rsidRPr="00A97BAE">
              <w:rPr>
                <w:rFonts w:cs="Times New Roman"/>
                <w:szCs w:val="16"/>
              </w:rPr>
              <w:t>9</w:t>
            </w:r>
          </w:p>
        </w:tc>
        <w:tc>
          <w:tcPr>
            <w:tcW w:w="594" w:type="dxa"/>
            <w:vAlign w:val="center"/>
          </w:tcPr>
          <w:p w14:paraId="609DD9A7" w14:textId="77777777" w:rsidR="00AC03B5" w:rsidRPr="00A97BAE" w:rsidRDefault="00AC03B5" w:rsidP="008162C8">
            <w:pPr>
              <w:jc w:val="center"/>
              <w:rPr>
                <w:rFonts w:cs="Times New Roman"/>
                <w:szCs w:val="16"/>
              </w:rPr>
            </w:pPr>
            <w:r w:rsidRPr="00A97BAE">
              <w:rPr>
                <w:rFonts w:cs="Times New Roman"/>
                <w:szCs w:val="16"/>
              </w:rPr>
              <w:t>50% / 45%</w:t>
            </w:r>
          </w:p>
        </w:tc>
        <w:tc>
          <w:tcPr>
            <w:tcW w:w="594" w:type="dxa"/>
            <w:vAlign w:val="center"/>
          </w:tcPr>
          <w:p w14:paraId="22B3D847" w14:textId="77777777" w:rsidR="00AC03B5" w:rsidRPr="00A97BAE" w:rsidRDefault="00AC03B5" w:rsidP="008162C8">
            <w:pPr>
              <w:jc w:val="center"/>
              <w:rPr>
                <w:rFonts w:cs="Times New Roman"/>
                <w:szCs w:val="16"/>
              </w:rPr>
            </w:pPr>
            <w:r w:rsidRPr="00A97BAE">
              <w:rPr>
                <w:rFonts w:cs="Times New Roman"/>
                <w:szCs w:val="16"/>
              </w:rPr>
              <w:t>Oral, flexible</w:t>
            </w:r>
          </w:p>
        </w:tc>
        <w:tc>
          <w:tcPr>
            <w:tcW w:w="593" w:type="dxa"/>
            <w:vAlign w:val="center"/>
          </w:tcPr>
          <w:p w14:paraId="687CD1E4" w14:textId="77777777" w:rsidR="00AC03B5" w:rsidRPr="00A97BAE" w:rsidRDefault="00AC03B5" w:rsidP="008162C8">
            <w:pPr>
              <w:jc w:val="center"/>
              <w:rPr>
                <w:rFonts w:cs="Times New Roman"/>
                <w:szCs w:val="16"/>
              </w:rPr>
            </w:pPr>
            <w:r w:rsidRPr="00A97BAE">
              <w:rPr>
                <w:rFonts w:cs="Times New Roman"/>
                <w:szCs w:val="16"/>
              </w:rPr>
              <w:t>25mg</w:t>
            </w:r>
          </w:p>
        </w:tc>
        <w:tc>
          <w:tcPr>
            <w:tcW w:w="593" w:type="dxa"/>
            <w:vAlign w:val="center"/>
          </w:tcPr>
          <w:p w14:paraId="178CF737" w14:textId="77777777" w:rsidR="00AC03B5" w:rsidRPr="00A97BAE" w:rsidRDefault="00AC03B5" w:rsidP="008162C8">
            <w:pPr>
              <w:jc w:val="center"/>
              <w:rPr>
                <w:rFonts w:cs="Times New Roman"/>
                <w:szCs w:val="16"/>
              </w:rPr>
            </w:pPr>
            <w:r w:rsidRPr="00A97BAE">
              <w:rPr>
                <w:rFonts w:cs="Times New Roman"/>
                <w:szCs w:val="16"/>
              </w:rPr>
              <w:t>300mg</w:t>
            </w:r>
          </w:p>
        </w:tc>
        <w:tc>
          <w:tcPr>
            <w:tcW w:w="792" w:type="dxa"/>
            <w:vAlign w:val="center"/>
          </w:tcPr>
          <w:p w14:paraId="15F4B53A" w14:textId="77777777" w:rsidR="00AC03B5" w:rsidRPr="00A97BAE" w:rsidRDefault="00AC03B5" w:rsidP="008162C8">
            <w:pPr>
              <w:jc w:val="center"/>
              <w:rPr>
                <w:rFonts w:cs="Times New Roman"/>
                <w:szCs w:val="16"/>
              </w:rPr>
            </w:pPr>
            <w:r w:rsidRPr="00A97BAE">
              <w:rPr>
                <w:rFonts w:cs="Times New Roman"/>
                <w:szCs w:val="16"/>
              </w:rPr>
              <w:t>14-weeks</w:t>
            </w:r>
          </w:p>
        </w:tc>
        <w:tc>
          <w:tcPr>
            <w:tcW w:w="593" w:type="dxa"/>
            <w:vAlign w:val="center"/>
          </w:tcPr>
          <w:p w14:paraId="67D9270B" w14:textId="77777777" w:rsidR="00AC03B5" w:rsidRPr="00A97BAE" w:rsidRDefault="00AC03B5" w:rsidP="008162C8">
            <w:pPr>
              <w:jc w:val="center"/>
              <w:rPr>
                <w:rFonts w:cs="Times New Roman"/>
                <w:szCs w:val="16"/>
              </w:rPr>
            </w:pPr>
            <w:r w:rsidRPr="00A97BAE">
              <w:rPr>
                <w:rFonts w:cs="Times New Roman"/>
                <w:szCs w:val="16"/>
              </w:rPr>
              <w:t>Yes</w:t>
            </w:r>
          </w:p>
        </w:tc>
      </w:tr>
      <w:tr w:rsidR="00AC03B5" w:rsidRPr="00A97BAE" w14:paraId="2EB04D64" w14:textId="77777777" w:rsidTr="008162C8">
        <w:trPr>
          <w:trHeight w:val="580"/>
        </w:trPr>
        <w:tc>
          <w:tcPr>
            <w:tcW w:w="421" w:type="dxa"/>
            <w:vAlign w:val="center"/>
          </w:tcPr>
          <w:p w14:paraId="0CFFA99D" w14:textId="77777777" w:rsidR="00AC03B5" w:rsidRPr="00A97BAE" w:rsidRDefault="00AC03B5" w:rsidP="008162C8">
            <w:pPr>
              <w:jc w:val="center"/>
              <w:rPr>
                <w:rFonts w:cs="Times New Roman"/>
                <w:b/>
                <w:szCs w:val="16"/>
              </w:rPr>
            </w:pPr>
            <w:r>
              <w:rPr>
                <w:rFonts w:cs="Times New Roman"/>
                <w:b/>
                <w:szCs w:val="16"/>
              </w:rPr>
              <w:t>6</w:t>
            </w:r>
          </w:p>
        </w:tc>
        <w:tc>
          <w:tcPr>
            <w:tcW w:w="853" w:type="dxa"/>
            <w:vAlign w:val="center"/>
          </w:tcPr>
          <w:p w14:paraId="471A9B64" w14:textId="77777777" w:rsidR="00AC03B5" w:rsidRPr="00A97BAE" w:rsidRDefault="00AC03B5" w:rsidP="008162C8">
            <w:pPr>
              <w:jc w:val="center"/>
              <w:rPr>
                <w:rFonts w:cs="Times New Roman"/>
                <w:szCs w:val="16"/>
              </w:rPr>
            </w:pPr>
            <w:r w:rsidRPr="00A97BAE">
              <w:rPr>
                <w:rFonts w:cs="Times New Roman"/>
                <w:szCs w:val="16"/>
              </w:rPr>
              <w:t>Grant et al.</w:t>
            </w:r>
            <w:r w:rsidRPr="00A97BAE">
              <w:rPr>
                <w:rFonts w:cs="Times New Roman"/>
                <w:szCs w:val="16"/>
              </w:rPr>
              <w:fldChar w:fldCharType="begin" w:fldLock="1"/>
            </w:r>
            <w:r>
              <w:rPr>
                <w:rFonts w:cs="Times New Roman"/>
                <w:szCs w:val="16"/>
              </w:rPr>
              <w:instrText>ADDIN CSL_CITATION {"citationItems":[{"id":"ITEM-1","itemData":{"DOI":"10.1007/s00213-008-1235-3","ISSN":"00333158","PMID":"18581096","abstract":"Rationale: Although opiate antagonists have shown promise in the treatment of pathological gambling (PG), individual responses vary. No studies have systematically examined predictors of medication treatment outcome in PG. Understanding clinical variables related to treatment outcome should help generate treatment algorithms for PG. Objective: We sought to identify clinical variables associated with treatment outcome in PG subjects receiving opiate antagonists. Materials and methods: Two hundred eighty-four subjects [137 (48.2%) women] with DSM-IV PG were treated in one of two double-blind placebo-controlled trials (16 weeks of nalmefene or 18 weeks of naltrexone). Gambling severity was assessed with the Yale Brown Obsessive Compulsive Scale Modified for Pathological Gambling (PG-YBOCS) with positive response defined as ≥35% reduction in PG-YBOCS score for at least 1 month by study endpoint. Depression, anxiety, and psychosocial functioning were included in stepwise logistic regression analyses designed to identify clinical factors independently associated with treatment response. Results: The clinical variable most strongly associated with a positive response to an opiate antagonist was a positive family history of alcoholism (p=0.006). Among individuals receiving higher doses of opiate antagonists (i.e., nalmefene 50 or 100 mg/day or naltrexone 100 or 150 mg/day), intensity of gambling urges (PG-YBOCS urge subscale) was associated with a positive response on a trend level (p=0.036). Among individuals receiving placebo, younger age was associated, on a trend level, with positive treatment outcome (p=0.012). Conclusions: A family history of alcoholism appears to predict response to an opiate antagonist in PG. Future research is needed to identify specific factors (e.g., genetic) mediating favorable responses. © 2008 Springer-Verlag.","author":[{"dropping-particle":"","family":"Grant","given":"Jon E.","non-dropping-particle":"","parse-names":false,"suffix":""},{"dropping-particle":"","family":"Kim","given":"Suck Won","non-dropping-particle":"","parse-names":false,"suffix":""},{"dropping-particle":"","family":"Hollander","given":"Eric","non-dropping-particle":"","parse-names":false,"suffix":""},{"dropping-particle":"","family":"Potenza","given":"Marc N.","non-dropping-particle":"","parse-names":false,"suffix":""}],"container-title":"Psychopharmacology","id":"ITEM-1","issue":"4","issued":{"date-parts":[["2008","11"]]},"page":"521-527","title":"Predicting response to opiate antagonists and placebo in the treatment of pathological gambling","type":"article-journal","volume":"200"},"uris":["http://www.mendeley.com/documents/?uuid=09545033-03df-3352-9e9d-721d82d3f3b8"]}],"mendeley":{"formattedCitation":"(Grant, Kim, Hollander, &amp; Potenza, 2008)","plainTextFormattedCitation":"(Grant, Kim, Hollander, &amp; Potenza, 2008)","previouslyFormattedCitation":"(Grant et al. 2008)"},"properties":{"noteIndex":0},"schema":"https://github.com/citation-style-language/schema/raw/master/csl-citation.json"}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(Grant, Kim, Hollander, &amp; Potenza, 2008)</w:t>
            </w:r>
            <w:r w:rsidRPr="00A97BAE">
              <w:rPr>
                <w:rFonts w:cs="Times New Roman"/>
                <w:szCs w:val="16"/>
              </w:rPr>
              <w:fldChar w:fldCharType="end"/>
            </w:r>
          </w:p>
        </w:tc>
        <w:tc>
          <w:tcPr>
            <w:tcW w:w="503" w:type="dxa"/>
            <w:vAlign w:val="center"/>
          </w:tcPr>
          <w:p w14:paraId="62C81D5F" w14:textId="77777777" w:rsidR="00AC03B5" w:rsidRPr="00A97BAE" w:rsidRDefault="00AC03B5" w:rsidP="008162C8">
            <w:pPr>
              <w:jc w:val="center"/>
              <w:rPr>
                <w:rFonts w:cs="Times New Roman"/>
                <w:szCs w:val="16"/>
              </w:rPr>
            </w:pPr>
            <w:r w:rsidRPr="00A97BAE">
              <w:rPr>
                <w:rFonts w:cs="Times New Roman"/>
                <w:szCs w:val="16"/>
              </w:rPr>
              <w:t>2008</w:t>
            </w:r>
          </w:p>
        </w:tc>
        <w:tc>
          <w:tcPr>
            <w:tcW w:w="692" w:type="dxa"/>
            <w:vAlign w:val="center"/>
          </w:tcPr>
          <w:p w14:paraId="321BC1BE" w14:textId="77777777" w:rsidR="00AC03B5" w:rsidRPr="00A97BAE" w:rsidRDefault="00AC03B5" w:rsidP="008162C8">
            <w:pPr>
              <w:jc w:val="center"/>
              <w:rPr>
                <w:rFonts w:cs="Times New Roman"/>
                <w:szCs w:val="16"/>
              </w:rPr>
            </w:pPr>
            <w:r w:rsidRPr="00A97BAE">
              <w:rPr>
                <w:rFonts w:cs="Times New Roman"/>
                <w:szCs w:val="16"/>
              </w:rPr>
              <w:t>J Clin Psychiatry</w:t>
            </w:r>
          </w:p>
        </w:tc>
        <w:tc>
          <w:tcPr>
            <w:tcW w:w="1088" w:type="dxa"/>
            <w:vAlign w:val="center"/>
          </w:tcPr>
          <w:p w14:paraId="6DE47601"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708FF85A" w14:textId="77777777" w:rsidR="00AC03B5" w:rsidRPr="00A97BAE" w:rsidRDefault="00AC03B5" w:rsidP="008162C8">
            <w:pPr>
              <w:jc w:val="center"/>
              <w:rPr>
                <w:rFonts w:cs="Times New Roman"/>
                <w:szCs w:val="16"/>
              </w:rPr>
            </w:pPr>
            <w:r w:rsidRPr="00A97BAE">
              <w:rPr>
                <w:rFonts w:cs="Times New Roman"/>
                <w:szCs w:val="16"/>
              </w:rPr>
              <w:t>naltrexone vs. placebo</w:t>
            </w:r>
          </w:p>
        </w:tc>
        <w:tc>
          <w:tcPr>
            <w:tcW w:w="593" w:type="dxa"/>
            <w:vAlign w:val="center"/>
          </w:tcPr>
          <w:p w14:paraId="5E37756D" w14:textId="77777777" w:rsidR="00AC03B5" w:rsidRPr="00A97BAE" w:rsidRDefault="00AC03B5" w:rsidP="008162C8">
            <w:pPr>
              <w:jc w:val="center"/>
              <w:rPr>
                <w:rFonts w:cs="Times New Roman"/>
                <w:szCs w:val="16"/>
              </w:rPr>
            </w:pPr>
            <w:r w:rsidRPr="00A97BAE">
              <w:rPr>
                <w:rFonts w:cs="Times New Roman"/>
                <w:szCs w:val="16"/>
              </w:rPr>
              <w:t>58/19</w:t>
            </w:r>
          </w:p>
        </w:tc>
        <w:tc>
          <w:tcPr>
            <w:tcW w:w="594" w:type="dxa"/>
            <w:vAlign w:val="center"/>
          </w:tcPr>
          <w:p w14:paraId="10A0C39F" w14:textId="77777777" w:rsidR="00AC03B5" w:rsidRPr="00A97BAE" w:rsidRDefault="00AC03B5" w:rsidP="008162C8">
            <w:pPr>
              <w:jc w:val="center"/>
              <w:rPr>
                <w:rFonts w:cs="Times New Roman"/>
                <w:szCs w:val="16"/>
              </w:rPr>
            </w:pPr>
            <w:r w:rsidRPr="00A97BAE">
              <w:rPr>
                <w:rFonts w:cs="Times New Roman"/>
                <w:szCs w:val="16"/>
              </w:rPr>
              <w:t>47</w:t>
            </w:r>
            <w:r>
              <w:rPr>
                <w:rFonts w:cs="Times New Roman"/>
                <w:szCs w:val="16"/>
              </w:rPr>
              <w:t>.</w:t>
            </w:r>
            <w:r w:rsidRPr="00A97BAE">
              <w:rPr>
                <w:rFonts w:cs="Times New Roman"/>
                <w:szCs w:val="16"/>
              </w:rPr>
              <w:t>8 /</w:t>
            </w:r>
          </w:p>
          <w:p w14:paraId="027D6942" w14:textId="77777777" w:rsidR="00AC03B5" w:rsidRPr="00A97BAE" w:rsidRDefault="00AC03B5" w:rsidP="008162C8">
            <w:pPr>
              <w:jc w:val="center"/>
              <w:rPr>
                <w:rFonts w:cs="Times New Roman"/>
                <w:szCs w:val="16"/>
              </w:rPr>
            </w:pPr>
            <w:r w:rsidRPr="00A97BAE">
              <w:rPr>
                <w:rFonts w:cs="Times New Roman"/>
                <w:szCs w:val="16"/>
              </w:rPr>
              <w:t>44</w:t>
            </w:r>
            <w:r>
              <w:rPr>
                <w:rFonts w:cs="Times New Roman"/>
                <w:szCs w:val="16"/>
              </w:rPr>
              <w:t>.</w:t>
            </w:r>
            <w:r w:rsidRPr="00A97BAE">
              <w:rPr>
                <w:rFonts w:cs="Times New Roman"/>
                <w:szCs w:val="16"/>
              </w:rPr>
              <w:t>7</w:t>
            </w:r>
          </w:p>
        </w:tc>
        <w:tc>
          <w:tcPr>
            <w:tcW w:w="594" w:type="dxa"/>
            <w:vAlign w:val="center"/>
          </w:tcPr>
          <w:p w14:paraId="203BA8D3" w14:textId="77777777" w:rsidR="00AC03B5" w:rsidRPr="00A97BAE" w:rsidRDefault="00AC03B5" w:rsidP="008162C8">
            <w:pPr>
              <w:jc w:val="center"/>
              <w:rPr>
                <w:rFonts w:cs="Times New Roman"/>
                <w:szCs w:val="16"/>
              </w:rPr>
            </w:pPr>
            <w:r w:rsidRPr="00A97BAE">
              <w:rPr>
                <w:rFonts w:cs="Times New Roman"/>
                <w:szCs w:val="16"/>
              </w:rPr>
              <w:t>36% / 47%</w:t>
            </w:r>
          </w:p>
        </w:tc>
        <w:tc>
          <w:tcPr>
            <w:tcW w:w="594" w:type="dxa"/>
            <w:vAlign w:val="center"/>
          </w:tcPr>
          <w:p w14:paraId="2BC861B3" w14:textId="77777777" w:rsidR="00AC03B5" w:rsidRPr="00A97BAE" w:rsidRDefault="00AC03B5" w:rsidP="008162C8">
            <w:pPr>
              <w:jc w:val="center"/>
              <w:rPr>
                <w:rFonts w:cs="Times New Roman"/>
                <w:szCs w:val="16"/>
              </w:rPr>
            </w:pPr>
            <w:r w:rsidRPr="00A97BAE">
              <w:rPr>
                <w:rFonts w:cs="Times New Roman"/>
                <w:szCs w:val="16"/>
              </w:rPr>
              <w:t>Oral, titration</w:t>
            </w:r>
          </w:p>
        </w:tc>
        <w:tc>
          <w:tcPr>
            <w:tcW w:w="593" w:type="dxa"/>
            <w:vAlign w:val="center"/>
          </w:tcPr>
          <w:p w14:paraId="4158DF9A" w14:textId="77777777" w:rsidR="00AC03B5" w:rsidRPr="00A97BAE" w:rsidRDefault="00AC03B5" w:rsidP="008162C8">
            <w:pPr>
              <w:jc w:val="center"/>
              <w:rPr>
                <w:rFonts w:cs="Times New Roman"/>
                <w:szCs w:val="16"/>
              </w:rPr>
            </w:pPr>
            <w:r w:rsidRPr="00A97BAE">
              <w:rPr>
                <w:rFonts w:cs="Times New Roman"/>
                <w:szCs w:val="16"/>
              </w:rPr>
              <w:t>25mg</w:t>
            </w:r>
          </w:p>
        </w:tc>
        <w:tc>
          <w:tcPr>
            <w:tcW w:w="593" w:type="dxa"/>
            <w:vAlign w:val="center"/>
          </w:tcPr>
          <w:p w14:paraId="0986ED0B" w14:textId="77777777" w:rsidR="00AC03B5" w:rsidRPr="00A97BAE" w:rsidRDefault="00AC03B5" w:rsidP="008162C8">
            <w:pPr>
              <w:jc w:val="center"/>
              <w:rPr>
                <w:rFonts w:cs="Times New Roman"/>
                <w:szCs w:val="16"/>
              </w:rPr>
            </w:pPr>
            <w:r w:rsidRPr="00A97BAE">
              <w:rPr>
                <w:rFonts w:cs="Times New Roman"/>
                <w:szCs w:val="16"/>
              </w:rPr>
              <w:t>150mg</w:t>
            </w:r>
          </w:p>
        </w:tc>
        <w:tc>
          <w:tcPr>
            <w:tcW w:w="792" w:type="dxa"/>
            <w:vAlign w:val="center"/>
          </w:tcPr>
          <w:p w14:paraId="18406729" w14:textId="77777777" w:rsidR="00AC03B5" w:rsidRPr="00A97BAE" w:rsidRDefault="00AC03B5" w:rsidP="008162C8">
            <w:pPr>
              <w:jc w:val="center"/>
              <w:rPr>
                <w:rFonts w:cs="Times New Roman"/>
                <w:szCs w:val="16"/>
              </w:rPr>
            </w:pPr>
            <w:r w:rsidRPr="00A97BAE">
              <w:rPr>
                <w:rFonts w:cs="Times New Roman"/>
                <w:szCs w:val="16"/>
              </w:rPr>
              <w:t>17-weeks</w:t>
            </w:r>
          </w:p>
        </w:tc>
        <w:tc>
          <w:tcPr>
            <w:tcW w:w="593" w:type="dxa"/>
            <w:vAlign w:val="center"/>
          </w:tcPr>
          <w:p w14:paraId="79C25127" w14:textId="77777777" w:rsidR="00AC03B5" w:rsidRPr="00A97BAE" w:rsidRDefault="00AC03B5" w:rsidP="008162C8">
            <w:pPr>
              <w:jc w:val="center"/>
              <w:rPr>
                <w:rFonts w:cs="Times New Roman"/>
                <w:szCs w:val="16"/>
              </w:rPr>
            </w:pPr>
            <w:r w:rsidRPr="00A97BAE">
              <w:rPr>
                <w:rFonts w:cs="Times New Roman"/>
                <w:szCs w:val="16"/>
              </w:rPr>
              <w:t>No</w:t>
            </w:r>
          </w:p>
        </w:tc>
      </w:tr>
      <w:tr w:rsidR="00AC03B5" w:rsidRPr="00A97BAE" w14:paraId="6774A908" w14:textId="77777777" w:rsidTr="008162C8">
        <w:trPr>
          <w:trHeight w:val="586"/>
        </w:trPr>
        <w:tc>
          <w:tcPr>
            <w:tcW w:w="421" w:type="dxa"/>
            <w:vAlign w:val="center"/>
          </w:tcPr>
          <w:p w14:paraId="3C95B17F" w14:textId="77777777" w:rsidR="00AC03B5" w:rsidRPr="00A97BAE" w:rsidRDefault="00AC03B5" w:rsidP="008162C8">
            <w:pPr>
              <w:jc w:val="center"/>
              <w:rPr>
                <w:rFonts w:cs="Times New Roman"/>
                <w:b/>
                <w:szCs w:val="16"/>
              </w:rPr>
            </w:pPr>
            <w:r w:rsidRPr="00A97BAE">
              <w:rPr>
                <w:rFonts w:cs="Times New Roman"/>
                <w:b/>
                <w:szCs w:val="16"/>
              </w:rPr>
              <w:lastRenderedPageBreak/>
              <w:t>7</w:t>
            </w:r>
          </w:p>
        </w:tc>
        <w:tc>
          <w:tcPr>
            <w:tcW w:w="853" w:type="dxa"/>
            <w:vAlign w:val="center"/>
          </w:tcPr>
          <w:p w14:paraId="55C72981" w14:textId="77777777" w:rsidR="00AC03B5" w:rsidRPr="00A97BAE" w:rsidRDefault="00AC03B5" w:rsidP="008162C8">
            <w:pPr>
              <w:jc w:val="center"/>
              <w:rPr>
                <w:rFonts w:cs="Times New Roman"/>
                <w:szCs w:val="16"/>
              </w:rPr>
            </w:pPr>
            <w:r w:rsidRPr="00A97BAE">
              <w:rPr>
                <w:rFonts w:cs="Times New Roman"/>
                <w:szCs w:val="16"/>
              </w:rPr>
              <w:t>Fong et al.</w:t>
            </w:r>
            <w:r w:rsidRPr="00A97BAE">
              <w:rPr>
                <w:rFonts w:cs="Times New Roman"/>
                <w:szCs w:val="16"/>
              </w:rPr>
              <w:fldChar w:fldCharType="begin" w:fldLock="1"/>
            </w:r>
            <w:r>
              <w:rPr>
                <w:rFonts w:cs="Times New Roman"/>
                <w:szCs w:val="16"/>
              </w:rPr>
              <w:instrText>ADDIN CSL_CITATION {"citationItems":[{"id":"ITEM-1","itemData":{"DOI":"10.1016/J.PBB.2007.12.025","ISSN":"0091-3057","PMID":"18261787","abstract":"Emerging evidence suggests that dopaminergic and serotonergic functioning are altered in pathological gamblers; yet, there are no FDA-approved medications for pathological gambling and there have only been a limited number of clinical trials that have been conducted. Olanzapine was identified as a candidate medication for pathological gamblers because it modifies both dopaminergic and serotonergic function. Moreover, preliminary studies have shown that olanzapine effectively reduces impulsivity in other psychiatric disorders, a pharmacological target of interest for pathological gamblers. In this study, 21 pathological gamblers, whose primary gambling activity was video poker, were enrolled in a seven-week, double-blind, placebo-controlled trial. Outcome measures included self-reported urges for gambling, frequency of gambling behavior, and self-reported mood and anxiety levels. The results revealed that all study participants reported reduced levels of gambling urges, gambling behavior, and mood and anxiety symptoms. Olanzapine administration was not associated with an incremental effect versus placebo. While these findings suggest that olanzapine is not an efficacious treatment for video poker pathological gamblers, olanzapine may still be an effective treatment for a specific subset of pathological gamblers, including those with a co-occurring psychiatric disorder.","author":[{"dropping-particle":"","family":"Fong","given":"Timothy","non-dropping-particle":"","parse-names":false,"suffix":""},{"dropping-particle":"","family":"Kalechstein","given":"Ari","non-dropping-particle":"","parse-names":false,"suffix":""},{"dropping-particle":"","family":"Bernhard","given":"Bo","non-dropping-particle":"","parse-names":false,"suffix":""},{"dropping-particle":"","family":"Rosenthal","given":"Richard","non-dropping-particle":"","parse-names":false,"suffix":""},{"dropping-particle":"","family":"Rugle","given":"Lori","non-dropping-particle":"","parse-names":false,"suffix":""}],"container-title":"Pharmacology, biochemistry, and behavior","id":"ITEM-1","issue":"3","issued":{"date-parts":[["2008","5"]]},"page":"298-303","publisher":"Pharmacol Biochem Behav","title":"A double-blind, placebo-controlled trial of olanzapine for the treatment of video poker pathological gamblers","type":"article-journal","volume":"89"},"uris":["http://www.mendeley.com/documents/?uuid=a278ee97-8c12-3773-95a0-667697d78046"]}],"mendeley":{"formattedCitation":"(Fong, Kalechstein, Bernhard, Rosenthal, &amp; Rugle, 2008)","plainTextFormattedCitation":"(Fong, Kalechstein, Bernhard, Rosenthal, &amp; Rugle, 2008)","previouslyFormattedCitation":"(Fong et al. 2008)"},"properties":{"noteIndex":0},"schema":"https://github.com/citation-style-language/schema/raw/master/csl-citation.json"}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(Fong, Kalechstein, Bernhard, Rosenthal, &amp; Rugle, 2008)</w:t>
            </w:r>
            <w:r w:rsidRPr="00A97BAE">
              <w:rPr>
                <w:rFonts w:cs="Times New Roman"/>
                <w:szCs w:val="16"/>
              </w:rPr>
              <w:fldChar w:fldCharType="end"/>
            </w:r>
          </w:p>
        </w:tc>
        <w:tc>
          <w:tcPr>
            <w:tcW w:w="503" w:type="dxa"/>
            <w:vAlign w:val="center"/>
          </w:tcPr>
          <w:p w14:paraId="549027EF" w14:textId="77777777" w:rsidR="00AC03B5" w:rsidRPr="00A97BAE" w:rsidRDefault="00AC03B5" w:rsidP="008162C8">
            <w:pPr>
              <w:jc w:val="center"/>
              <w:rPr>
                <w:rFonts w:cs="Times New Roman"/>
                <w:szCs w:val="16"/>
              </w:rPr>
            </w:pPr>
            <w:r w:rsidRPr="00A97BAE">
              <w:rPr>
                <w:rFonts w:cs="Times New Roman"/>
                <w:szCs w:val="16"/>
              </w:rPr>
              <w:t>2008</w:t>
            </w:r>
          </w:p>
        </w:tc>
        <w:tc>
          <w:tcPr>
            <w:tcW w:w="692" w:type="dxa"/>
            <w:vAlign w:val="center"/>
          </w:tcPr>
          <w:p w14:paraId="3958CF25" w14:textId="77777777" w:rsidR="00AC03B5" w:rsidRPr="00A97BAE" w:rsidRDefault="00AC03B5" w:rsidP="008162C8">
            <w:pPr>
              <w:jc w:val="center"/>
              <w:rPr>
                <w:rFonts w:cs="Times New Roman"/>
                <w:szCs w:val="16"/>
              </w:rPr>
            </w:pPr>
            <w:r w:rsidRPr="00A97BAE">
              <w:rPr>
                <w:rFonts w:cs="Times New Roman"/>
                <w:szCs w:val="16"/>
              </w:rPr>
              <w:t>Pharm Bio Beh</w:t>
            </w:r>
          </w:p>
        </w:tc>
        <w:tc>
          <w:tcPr>
            <w:tcW w:w="1088" w:type="dxa"/>
            <w:vAlign w:val="center"/>
          </w:tcPr>
          <w:p w14:paraId="1F0F97AF"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343AD4DD" w14:textId="77777777" w:rsidR="00AC03B5" w:rsidRPr="00A97BAE" w:rsidRDefault="00AC03B5" w:rsidP="008162C8">
            <w:pPr>
              <w:jc w:val="center"/>
              <w:rPr>
                <w:rFonts w:cs="Times New Roman"/>
                <w:szCs w:val="16"/>
              </w:rPr>
            </w:pPr>
            <w:r w:rsidRPr="00A97BAE">
              <w:rPr>
                <w:rFonts w:cs="Times New Roman"/>
                <w:szCs w:val="16"/>
              </w:rPr>
              <w:t>olanzapine vs. placebo</w:t>
            </w:r>
          </w:p>
        </w:tc>
        <w:tc>
          <w:tcPr>
            <w:tcW w:w="593" w:type="dxa"/>
            <w:vAlign w:val="center"/>
          </w:tcPr>
          <w:p w14:paraId="5004F647" w14:textId="77777777" w:rsidR="00AC03B5" w:rsidRPr="00A97BAE" w:rsidRDefault="00AC03B5" w:rsidP="008162C8">
            <w:pPr>
              <w:jc w:val="center"/>
              <w:rPr>
                <w:rFonts w:cs="Times New Roman"/>
                <w:szCs w:val="16"/>
              </w:rPr>
            </w:pPr>
            <w:r w:rsidRPr="00A97BAE">
              <w:rPr>
                <w:rFonts w:cs="Times New Roman"/>
                <w:szCs w:val="16"/>
              </w:rPr>
              <w:t>11/12</w:t>
            </w:r>
          </w:p>
        </w:tc>
        <w:tc>
          <w:tcPr>
            <w:tcW w:w="594" w:type="dxa"/>
            <w:vAlign w:val="center"/>
          </w:tcPr>
          <w:p w14:paraId="6968F362" w14:textId="77777777" w:rsidR="00AC03B5" w:rsidRPr="00A97BAE" w:rsidRDefault="00AC03B5" w:rsidP="008162C8">
            <w:pPr>
              <w:jc w:val="center"/>
              <w:rPr>
                <w:rFonts w:cs="Times New Roman"/>
                <w:szCs w:val="16"/>
              </w:rPr>
            </w:pPr>
            <w:r w:rsidRPr="00A97BAE">
              <w:rPr>
                <w:rFonts w:cs="Times New Roman"/>
                <w:szCs w:val="16"/>
              </w:rPr>
              <w:t>46</w:t>
            </w:r>
            <w:r>
              <w:rPr>
                <w:rFonts w:cs="Times New Roman"/>
                <w:szCs w:val="16"/>
              </w:rPr>
              <w:t>.</w:t>
            </w:r>
            <w:r w:rsidRPr="00A97BAE">
              <w:rPr>
                <w:rFonts w:cs="Times New Roman"/>
                <w:szCs w:val="16"/>
              </w:rPr>
              <w:t>6</w:t>
            </w:r>
          </w:p>
          <w:p w14:paraId="7A4DDE86" w14:textId="77777777" w:rsidR="00AC03B5" w:rsidRPr="00A97BAE" w:rsidRDefault="00AC03B5" w:rsidP="008162C8">
            <w:pPr>
              <w:jc w:val="center"/>
              <w:rPr>
                <w:rFonts w:cs="Times New Roman"/>
                <w:szCs w:val="16"/>
              </w:rPr>
            </w:pPr>
            <w:r w:rsidRPr="00A97BAE">
              <w:rPr>
                <w:rFonts w:cs="Times New Roman"/>
                <w:szCs w:val="16"/>
              </w:rPr>
              <w:t>43</w:t>
            </w:r>
            <w:r>
              <w:rPr>
                <w:rFonts w:cs="Times New Roman"/>
                <w:szCs w:val="16"/>
              </w:rPr>
              <w:t>.</w:t>
            </w:r>
            <w:r w:rsidRPr="00A97BAE">
              <w:rPr>
                <w:rFonts w:cs="Times New Roman"/>
                <w:szCs w:val="16"/>
              </w:rPr>
              <w:t>6</w:t>
            </w:r>
          </w:p>
        </w:tc>
        <w:tc>
          <w:tcPr>
            <w:tcW w:w="594" w:type="dxa"/>
            <w:vAlign w:val="center"/>
          </w:tcPr>
          <w:p w14:paraId="185EB86A" w14:textId="77777777" w:rsidR="00AC03B5" w:rsidRPr="00A97BAE" w:rsidRDefault="00AC03B5" w:rsidP="008162C8">
            <w:pPr>
              <w:jc w:val="center"/>
              <w:rPr>
                <w:rFonts w:cs="Times New Roman"/>
                <w:szCs w:val="16"/>
              </w:rPr>
            </w:pPr>
            <w:r w:rsidRPr="00A97BAE">
              <w:rPr>
                <w:rFonts w:cs="Times New Roman"/>
                <w:szCs w:val="16"/>
              </w:rPr>
              <w:t>55% / 50%</w:t>
            </w:r>
          </w:p>
        </w:tc>
        <w:tc>
          <w:tcPr>
            <w:tcW w:w="594" w:type="dxa"/>
            <w:vAlign w:val="center"/>
          </w:tcPr>
          <w:p w14:paraId="04D56632" w14:textId="77777777" w:rsidR="00AC03B5" w:rsidRPr="00A97BAE" w:rsidRDefault="00AC03B5" w:rsidP="008162C8">
            <w:pPr>
              <w:jc w:val="center"/>
              <w:rPr>
                <w:rFonts w:cs="Times New Roman"/>
                <w:szCs w:val="16"/>
              </w:rPr>
            </w:pPr>
            <w:r w:rsidRPr="00A97BAE">
              <w:rPr>
                <w:rFonts w:cs="Times New Roman"/>
                <w:szCs w:val="16"/>
              </w:rPr>
              <w:t>Oral, titration</w:t>
            </w:r>
          </w:p>
        </w:tc>
        <w:tc>
          <w:tcPr>
            <w:tcW w:w="593" w:type="dxa"/>
            <w:vAlign w:val="center"/>
          </w:tcPr>
          <w:p w14:paraId="09BE3BAC" w14:textId="77777777" w:rsidR="00AC03B5" w:rsidRPr="00A97BAE" w:rsidRDefault="00AC03B5" w:rsidP="008162C8">
            <w:pPr>
              <w:jc w:val="center"/>
              <w:rPr>
                <w:rFonts w:cs="Times New Roman"/>
                <w:szCs w:val="16"/>
              </w:rPr>
            </w:pPr>
            <w:r w:rsidRPr="00A97BAE">
              <w:rPr>
                <w:rFonts w:cs="Times New Roman"/>
                <w:szCs w:val="16"/>
              </w:rPr>
              <w:t>2.5mg</w:t>
            </w:r>
          </w:p>
        </w:tc>
        <w:tc>
          <w:tcPr>
            <w:tcW w:w="593" w:type="dxa"/>
            <w:vAlign w:val="center"/>
          </w:tcPr>
          <w:p w14:paraId="6203EF1A" w14:textId="77777777" w:rsidR="00AC03B5" w:rsidRPr="00A97BAE" w:rsidRDefault="00AC03B5" w:rsidP="008162C8">
            <w:pPr>
              <w:jc w:val="center"/>
              <w:rPr>
                <w:rFonts w:cs="Times New Roman"/>
                <w:szCs w:val="16"/>
              </w:rPr>
            </w:pPr>
            <w:r w:rsidRPr="00A97BAE">
              <w:rPr>
                <w:rFonts w:cs="Times New Roman"/>
                <w:szCs w:val="16"/>
              </w:rPr>
              <w:t>10mg</w:t>
            </w:r>
          </w:p>
        </w:tc>
        <w:tc>
          <w:tcPr>
            <w:tcW w:w="792" w:type="dxa"/>
            <w:vAlign w:val="center"/>
          </w:tcPr>
          <w:p w14:paraId="4BF8AC6F" w14:textId="77777777" w:rsidR="00AC03B5" w:rsidRPr="00A97BAE" w:rsidRDefault="00AC03B5" w:rsidP="008162C8">
            <w:pPr>
              <w:jc w:val="center"/>
              <w:rPr>
                <w:rFonts w:cs="Times New Roman"/>
                <w:szCs w:val="16"/>
              </w:rPr>
            </w:pPr>
            <w:r w:rsidRPr="00A97BAE">
              <w:rPr>
                <w:rFonts w:cs="Times New Roman"/>
                <w:szCs w:val="16"/>
              </w:rPr>
              <w:t>6-weeks</w:t>
            </w:r>
          </w:p>
        </w:tc>
        <w:tc>
          <w:tcPr>
            <w:tcW w:w="593" w:type="dxa"/>
            <w:vAlign w:val="center"/>
          </w:tcPr>
          <w:p w14:paraId="1DFBFF0F" w14:textId="77777777" w:rsidR="00AC03B5" w:rsidRPr="00A97BAE" w:rsidRDefault="00AC03B5" w:rsidP="008162C8">
            <w:pPr>
              <w:jc w:val="center"/>
              <w:rPr>
                <w:rFonts w:cs="Times New Roman"/>
                <w:szCs w:val="16"/>
              </w:rPr>
            </w:pPr>
            <w:r w:rsidRPr="00A97BAE">
              <w:rPr>
                <w:rFonts w:cs="Times New Roman"/>
                <w:szCs w:val="16"/>
              </w:rPr>
              <w:t>Yes</w:t>
            </w:r>
          </w:p>
        </w:tc>
      </w:tr>
      <w:tr w:rsidR="00AC03B5" w:rsidRPr="00A97BAE" w14:paraId="0E5CD47B" w14:textId="77777777" w:rsidTr="008162C8">
        <w:trPr>
          <w:trHeight w:val="586"/>
        </w:trPr>
        <w:tc>
          <w:tcPr>
            <w:tcW w:w="421" w:type="dxa"/>
            <w:vAlign w:val="center"/>
          </w:tcPr>
          <w:p w14:paraId="018575CC" w14:textId="77777777" w:rsidR="00AC03B5" w:rsidRPr="00A97BAE" w:rsidRDefault="00AC03B5" w:rsidP="008162C8">
            <w:pPr>
              <w:jc w:val="center"/>
              <w:rPr>
                <w:rFonts w:cs="Times New Roman"/>
                <w:b/>
                <w:szCs w:val="16"/>
              </w:rPr>
            </w:pPr>
            <w:r w:rsidRPr="00A97BAE">
              <w:rPr>
                <w:rFonts w:cs="Times New Roman"/>
                <w:b/>
                <w:szCs w:val="16"/>
              </w:rPr>
              <w:t>8</w:t>
            </w:r>
          </w:p>
        </w:tc>
        <w:tc>
          <w:tcPr>
            <w:tcW w:w="853" w:type="dxa"/>
            <w:vAlign w:val="center"/>
          </w:tcPr>
          <w:p w14:paraId="7804B712" w14:textId="77777777" w:rsidR="00AC03B5" w:rsidRPr="00A97BAE" w:rsidRDefault="00AC03B5" w:rsidP="008162C8">
            <w:pPr>
              <w:jc w:val="center"/>
              <w:rPr>
                <w:rFonts w:cs="Times New Roman"/>
                <w:szCs w:val="16"/>
              </w:rPr>
            </w:pPr>
            <w:r w:rsidRPr="00A97BAE">
              <w:rPr>
                <w:rFonts w:cs="Times New Roman"/>
                <w:szCs w:val="16"/>
              </w:rPr>
              <w:t xml:space="preserve">Black et al. </w:t>
            </w:r>
            <w:r w:rsidRPr="00A97BAE">
              <w:rPr>
                <w:rFonts w:cs="Times New Roman"/>
                <w:szCs w:val="16"/>
              </w:rPr>
              <w:fldChar w:fldCharType="begin" w:fldLock="1"/>
            </w:r>
            <w:r>
              <w:rPr>
                <w:rFonts w:cs="Times New Roman"/>
                <w:szCs w:val="16"/>
              </w:rPr>
              <w:instrText>ADDIN CSL_CITATION {"citationItems":[{"id":"ITEM-1","itemData":{"DOI":"10.1097/01.JCP.0000264985.25109.25","ISSN":"0271-0749","PMID":"17414236","abstract":"We tested the efficacy of bupropion in the treatment of persons with pathological gambling (PG). Nondepressed, healthy subjects with Diagnostic and Statistical Manual of Mental Disorders, Fourth Edition PG were randomly assigned to placebo or flexibly dosed bupropion in a 12-week double-blind trial. Outcome measures included the Yale-Brown Obsessive-Compulsive Scale modified for PG, the Gambling Severity Assessment Scale, the Clinical Global Impression Improvement and Severity Scales, the Global Assessment Scale, the Timeline Follow Back, the Attention-Deficit/Hyperactivity Disorder Rating Scale, and the Sheehan Disability Scale. Thirty-nine subjects (28 men, 11 women) were randomized to bupropion (n = 18) or placebo (n = 21). The 2 groups were similar on demographic and clinical measures. There were few differences between the treatment groups on any primary or secondary outcome measure, although subjects in each cell experienced significant improvement. Of subjects with at least 1 postrandomization visit, 35.7% of bupropion and 47.1% of placebo recipients experienced \"much\" or \"very much\" improvement on the Clinical Global Impression Improvement Scale. The trial was complicated by a high noncompletion rate (43.6%). Bupropion was well tolerated. Bupropion and placebo recipients did equally well in a short-term trial, with improvement seen as early as the first week of treatment. The high placebo response rate and the high noncompletion rate each reflect the challenge inherent in treating persons with PG. © 2007 Lippincott Williams &amp; Wilkins, Inc.","author":[{"dropping-particle":"","family":"Black","given":"Donald W.","non-dropping-particle":"","parse-names":false,"suffix":""},{"dropping-particle":"","family":"Arndt","given":"Stephan","non-dropping-particle":"","parse-names":false,"suffix":""},{"dropping-particle":"","family":"Coryell","given":"William H.","non-dropping-particle":"","parse-names":false,"suffix":""},{"dropping-particle":"","family":"Argo","given":"Tami","non-dropping-particle":"","parse-names":false,"suffix":""},{"dropping-particle":"","family":"Forbush","given":"Kelsie T.","non-dropping-particle":"","parse-names":false,"suffix":""},{"dropping-particle":"","family":"Shaw","given":"Martha C.","non-dropping-particle":"","parse-names":false,"suffix":""},{"dropping-particle":"","family":"Perry","given":"Paul","non-dropping-particle":"","parse-names":false,"suffix":""},{"dropping-particle":"","family":"Allen","given":"Jeff","non-dropping-particle":"","parse-names":false,"suffix":""}],"container-title":"Journal of clinical psychopharmacology","id":"ITEM-1","issue":"2","issued":{"date-parts":[["2007","4"]]},"page":"143-150","publisher":"J Clin Psychopharmacol","title":"Bupropion in the treatment of pathological gambling: a randomized, double-blind, placebo-controlled, flexible-dose study","type":"article-journal","volume":"27"},"uris":["http://www.mendeley.com/documents/?uuid=058c66b7-c758-342d-98bb-f7fc9f86b55c"]}],"mendeley":{"formattedCitation":"(Black et al., 2007)","plainTextFormattedCitation":"(Black et al., 2007)","previouslyFormattedCitation":"(Black et al. 2007)"},"properties":{"noteIndex":0},"schema":"https://github.com/citation-style-language/schema/raw/master/csl-citation.json"}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(Black et al., 2007)</w:t>
            </w:r>
            <w:r w:rsidRPr="00A97BAE">
              <w:rPr>
                <w:rFonts w:cs="Times New Roman"/>
                <w:szCs w:val="16"/>
              </w:rPr>
              <w:fldChar w:fldCharType="end"/>
            </w:r>
          </w:p>
        </w:tc>
        <w:tc>
          <w:tcPr>
            <w:tcW w:w="503" w:type="dxa"/>
            <w:vAlign w:val="center"/>
          </w:tcPr>
          <w:p w14:paraId="67F034EF" w14:textId="77777777" w:rsidR="00AC03B5" w:rsidRPr="00A97BAE" w:rsidRDefault="00AC03B5" w:rsidP="008162C8">
            <w:pPr>
              <w:jc w:val="center"/>
              <w:rPr>
                <w:rFonts w:cs="Times New Roman"/>
                <w:szCs w:val="16"/>
              </w:rPr>
            </w:pPr>
            <w:r w:rsidRPr="00A97BAE">
              <w:rPr>
                <w:rFonts w:cs="Times New Roman"/>
                <w:szCs w:val="16"/>
              </w:rPr>
              <w:t>2007</w:t>
            </w:r>
          </w:p>
        </w:tc>
        <w:tc>
          <w:tcPr>
            <w:tcW w:w="692" w:type="dxa"/>
            <w:vAlign w:val="center"/>
          </w:tcPr>
          <w:p w14:paraId="052BA2E6" w14:textId="77777777" w:rsidR="00AC03B5" w:rsidRPr="00A97BAE" w:rsidRDefault="00AC03B5" w:rsidP="008162C8">
            <w:pPr>
              <w:jc w:val="center"/>
              <w:rPr>
                <w:rFonts w:cs="Times New Roman"/>
                <w:szCs w:val="16"/>
              </w:rPr>
            </w:pPr>
            <w:r w:rsidRPr="00A97BAE">
              <w:rPr>
                <w:rFonts w:cs="Times New Roman"/>
                <w:szCs w:val="16"/>
              </w:rPr>
              <w:t>J Clin Pharmacol</w:t>
            </w:r>
          </w:p>
        </w:tc>
        <w:tc>
          <w:tcPr>
            <w:tcW w:w="1088" w:type="dxa"/>
            <w:vAlign w:val="center"/>
          </w:tcPr>
          <w:p w14:paraId="7614FE82"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1E74C0D5" w14:textId="77777777" w:rsidR="00AC03B5" w:rsidRPr="00A97BAE" w:rsidRDefault="00AC03B5" w:rsidP="008162C8">
            <w:pPr>
              <w:jc w:val="center"/>
              <w:rPr>
                <w:rFonts w:cs="Times New Roman"/>
                <w:szCs w:val="16"/>
              </w:rPr>
            </w:pPr>
            <w:r w:rsidRPr="00A97BAE">
              <w:rPr>
                <w:rFonts w:cs="Times New Roman"/>
                <w:szCs w:val="16"/>
              </w:rPr>
              <w:t>bupropion vs. placebo</w:t>
            </w:r>
          </w:p>
        </w:tc>
        <w:tc>
          <w:tcPr>
            <w:tcW w:w="593" w:type="dxa"/>
            <w:vAlign w:val="center"/>
          </w:tcPr>
          <w:p w14:paraId="00166BBF" w14:textId="77777777" w:rsidR="00AC03B5" w:rsidRPr="00A97BAE" w:rsidRDefault="00AC03B5" w:rsidP="008162C8">
            <w:pPr>
              <w:jc w:val="center"/>
              <w:rPr>
                <w:rFonts w:cs="Times New Roman"/>
                <w:szCs w:val="16"/>
              </w:rPr>
            </w:pPr>
            <w:r w:rsidRPr="00A97BAE">
              <w:rPr>
                <w:rFonts w:cs="Times New Roman"/>
                <w:szCs w:val="16"/>
              </w:rPr>
              <w:t>18/21</w:t>
            </w:r>
          </w:p>
        </w:tc>
        <w:tc>
          <w:tcPr>
            <w:tcW w:w="594" w:type="dxa"/>
            <w:vAlign w:val="center"/>
          </w:tcPr>
          <w:p w14:paraId="773032FC" w14:textId="77777777" w:rsidR="00AC03B5" w:rsidRPr="00A97BAE" w:rsidRDefault="00AC03B5" w:rsidP="008162C8">
            <w:pPr>
              <w:jc w:val="center"/>
              <w:rPr>
                <w:rFonts w:cs="Times New Roman"/>
                <w:szCs w:val="16"/>
              </w:rPr>
            </w:pPr>
            <w:r w:rsidRPr="00A97BAE">
              <w:rPr>
                <w:rFonts w:cs="Times New Roman"/>
                <w:szCs w:val="16"/>
              </w:rPr>
              <w:t>42</w:t>
            </w:r>
            <w:r>
              <w:rPr>
                <w:rFonts w:cs="Times New Roman"/>
                <w:szCs w:val="16"/>
              </w:rPr>
              <w:t>.</w:t>
            </w:r>
            <w:r w:rsidRPr="00A97BAE">
              <w:rPr>
                <w:rFonts w:cs="Times New Roman"/>
                <w:szCs w:val="16"/>
              </w:rPr>
              <w:t>8</w:t>
            </w:r>
          </w:p>
          <w:p w14:paraId="0F20DB06" w14:textId="77777777" w:rsidR="00AC03B5" w:rsidRPr="00A97BAE" w:rsidRDefault="00AC03B5" w:rsidP="008162C8">
            <w:pPr>
              <w:jc w:val="center"/>
              <w:rPr>
                <w:rFonts w:cs="Times New Roman"/>
                <w:szCs w:val="16"/>
              </w:rPr>
            </w:pPr>
            <w:r w:rsidRPr="00A97BAE">
              <w:rPr>
                <w:rFonts w:cs="Times New Roman"/>
                <w:szCs w:val="16"/>
              </w:rPr>
              <w:t>43</w:t>
            </w:r>
            <w:r>
              <w:rPr>
                <w:rFonts w:cs="Times New Roman"/>
                <w:szCs w:val="16"/>
              </w:rPr>
              <w:t>.</w:t>
            </w:r>
            <w:r w:rsidRPr="00A97BAE">
              <w:rPr>
                <w:rFonts w:cs="Times New Roman"/>
                <w:szCs w:val="16"/>
              </w:rPr>
              <w:t>5</w:t>
            </w:r>
          </w:p>
        </w:tc>
        <w:tc>
          <w:tcPr>
            <w:tcW w:w="594" w:type="dxa"/>
            <w:vAlign w:val="center"/>
          </w:tcPr>
          <w:p w14:paraId="7A7F1E76" w14:textId="77777777" w:rsidR="00AC03B5" w:rsidRPr="00A97BAE" w:rsidRDefault="00AC03B5" w:rsidP="008162C8">
            <w:pPr>
              <w:jc w:val="center"/>
              <w:rPr>
                <w:rFonts w:cs="Times New Roman"/>
                <w:szCs w:val="16"/>
              </w:rPr>
            </w:pPr>
            <w:r w:rsidRPr="00A97BAE">
              <w:rPr>
                <w:rFonts w:cs="Times New Roman"/>
                <w:szCs w:val="16"/>
              </w:rPr>
              <w:t>61% / 81%</w:t>
            </w:r>
          </w:p>
        </w:tc>
        <w:tc>
          <w:tcPr>
            <w:tcW w:w="594" w:type="dxa"/>
            <w:vAlign w:val="center"/>
          </w:tcPr>
          <w:p w14:paraId="79C0984A" w14:textId="77777777" w:rsidR="00AC03B5" w:rsidRPr="00A97BAE" w:rsidRDefault="00AC03B5" w:rsidP="008162C8">
            <w:pPr>
              <w:jc w:val="center"/>
              <w:rPr>
                <w:rFonts w:cs="Times New Roman"/>
                <w:szCs w:val="16"/>
              </w:rPr>
            </w:pPr>
            <w:r w:rsidRPr="00A97BAE">
              <w:rPr>
                <w:rFonts w:cs="Times New Roman"/>
                <w:szCs w:val="16"/>
              </w:rPr>
              <w:t>Oral, flexible</w:t>
            </w:r>
          </w:p>
        </w:tc>
        <w:tc>
          <w:tcPr>
            <w:tcW w:w="593" w:type="dxa"/>
            <w:vAlign w:val="center"/>
          </w:tcPr>
          <w:p w14:paraId="6C9F3FCC" w14:textId="77777777" w:rsidR="00AC03B5" w:rsidRPr="00A97BAE" w:rsidRDefault="00AC03B5" w:rsidP="008162C8">
            <w:pPr>
              <w:jc w:val="center"/>
              <w:rPr>
                <w:rFonts w:cs="Times New Roman"/>
                <w:szCs w:val="16"/>
              </w:rPr>
            </w:pPr>
            <w:r w:rsidRPr="00A97BAE">
              <w:rPr>
                <w:rFonts w:cs="Times New Roman"/>
                <w:szCs w:val="16"/>
              </w:rPr>
              <w:t>150mg</w:t>
            </w:r>
          </w:p>
        </w:tc>
        <w:tc>
          <w:tcPr>
            <w:tcW w:w="593" w:type="dxa"/>
            <w:vAlign w:val="center"/>
          </w:tcPr>
          <w:p w14:paraId="345F6B1F" w14:textId="77777777" w:rsidR="00AC03B5" w:rsidRPr="00A97BAE" w:rsidRDefault="00AC03B5" w:rsidP="008162C8">
            <w:pPr>
              <w:jc w:val="center"/>
              <w:rPr>
                <w:rFonts w:cs="Times New Roman"/>
                <w:szCs w:val="16"/>
              </w:rPr>
            </w:pPr>
            <w:r w:rsidRPr="00A97BAE">
              <w:rPr>
                <w:rFonts w:cs="Times New Roman"/>
                <w:szCs w:val="16"/>
              </w:rPr>
              <w:t>375mg</w:t>
            </w:r>
          </w:p>
        </w:tc>
        <w:tc>
          <w:tcPr>
            <w:tcW w:w="792" w:type="dxa"/>
            <w:vAlign w:val="center"/>
          </w:tcPr>
          <w:p w14:paraId="4B9D6166" w14:textId="77777777" w:rsidR="00AC03B5" w:rsidRPr="00A97BAE" w:rsidRDefault="00AC03B5" w:rsidP="008162C8">
            <w:pPr>
              <w:jc w:val="center"/>
              <w:rPr>
                <w:rFonts w:cs="Times New Roman"/>
                <w:szCs w:val="16"/>
              </w:rPr>
            </w:pPr>
            <w:r w:rsidRPr="00A97BAE">
              <w:rPr>
                <w:rFonts w:cs="Times New Roman"/>
                <w:szCs w:val="16"/>
              </w:rPr>
              <w:t>12-weeks</w:t>
            </w:r>
          </w:p>
        </w:tc>
        <w:tc>
          <w:tcPr>
            <w:tcW w:w="593" w:type="dxa"/>
            <w:vAlign w:val="center"/>
          </w:tcPr>
          <w:p w14:paraId="6FAE576D" w14:textId="77777777" w:rsidR="00AC03B5" w:rsidRPr="00A97BAE" w:rsidRDefault="00AC03B5" w:rsidP="008162C8">
            <w:pPr>
              <w:jc w:val="center"/>
              <w:rPr>
                <w:rFonts w:cs="Times New Roman"/>
                <w:szCs w:val="16"/>
              </w:rPr>
            </w:pPr>
            <w:r w:rsidRPr="00A97BAE">
              <w:rPr>
                <w:rFonts w:cs="Times New Roman"/>
                <w:szCs w:val="16"/>
              </w:rPr>
              <w:t>No</w:t>
            </w:r>
          </w:p>
        </w:tc>
      </w:tr>
      <w:tr w:rsidR="00AC03B5" w:rsidRPr="00A97BAE" w14:paraId="1AF293A2" w14:textId="77777777" w:rsidTr="008162C8">
        <w:trPr>
          <w:trHeight w:val="972"/>
        </w:trPr>
        <w:tc>
          <w:tcPr>
            <w:tcW w:w="421" w:type="dxa"/>
            <w:vAlign w:val="center"/>
          </w:tcPr>
          <w:p w14:paraId="1A502B1B" w14:textId="77777777" w:rsidR="00AC03B5" w:rsidRPr="00A97BAE" w:rsidRDefault="00AC03B5" w:rsidP="008162C8">
            <w:pPr>
              <w:jc w:val="center"/>
              <w:rPr>
                <w:rFonts w:cs="Times New Roman"/>
                <w:b/>
                <w:szCs w:val="16"/>
              </w:rPr>
            </w:pPr>
            <w:r w:rsidRPr="00A97BAE">
              <w:rPr>
                <w:rFonts w:cs="Times New Roman"/>
                <w:b/>
                <w:szCs w:val="16"/>
              </w:rPr>
              <w:t>9</w:t>
            </w:r>
          </w:p>
        </w:tc>
        <w:tc>
          <w:tcPr>
            <w:tcW w:w="853" w:type="dxa"/>
            <w:vAlign w:val="center"/>
          </w:tcPr>
          <w:p w14:paraId="10927C09" w14:textId="77777777" w:rsidR="00AC03B5" w:rsidRPr="00A97BAE" w:rsidRDefault="00AC03B5" w:rsidP="008162C8">
            <w:pPr>
              <w:jc w:val="center"/>
              <w:rPr>
                <w:rFonts w:cs="Times New Roman"/>
                <w:szCs w:val="16"/>
              </w:rPr>
            </w:pPr>
            <w:r w:rsidRPr="00A97BAE">
              <w:rPr>
                <w:rFonts w:cs="Times New Roman"/>
                <w:szCs w:val="16"/>
              </w:rPr>
              <w:t>Grant et al.</w:t>
            </w:r>
            <w:r w:rsidRPr="00A97BAE">
              <w:rPr>
                <w:rFonts w:cs="Times New Roman"/>
                <w:szCs w:val="16"/>
              </w:rPr>
              <w:fldChar w:fldCharType="begin" w:fldLock="1"/>
            </w:r>
            <w:r>
              <w:rPr>
                <w:rFonts w:cs="Times New Roman"/>
                <w:szCs w:val="16"/>
              </w:rPr>
              <w:instrText>ADDIN CSL_CITATION {"citationItems":[{"id":"ITEM-1","itemData":{"DOI":"10.1176/APPI.AJP.163.2.303","ISSN":"0002-953X","PMID":"16449486","abstract":"Objective: Pathological gambling is a disabling disorder experienced by approximately 1%-2% of adults and for which there are few empirically validated treatments. The authors examined the efficacy and tolerability of the opioid antagonist nalmefene in the treatment of adults with pathological gambling. Method: A 16-week, randomized, dose-ranging, double-blind, placebo-controlled trial was conducted at 15 outpatient treatment centers across the United States between March 2002 and April 2003. Two hundred seven persons with DSM-IV pathological gambling were randomly assigned to receive nalmefene (25 mg/day, 50 mg/day, or 100 mg/day) or placebo. Scores on the primary outcome measure (Yale-Brown Obsessive Compulsive Scale Modified for Pathological Gambling) were analyzed by using a linear mixed-effects model. Results: Estimated regression coefficients showed that the 25 mg/day and 50 mg/day nalmefene groups had significantly different scores on the Yale-Brown Obsessive Compulsive Scale Modified for Pathological Gambling, compared to the placebo group. A total of 59.2% of the subjects who received 25 mg/day of nalmefene were rated as \"much improved\" or \"very much improved\" at the last evaluation, compared to 34.0% of those who received placebo. Adverse experiences included nausea, dizziness, and insomnia. Conclusions: Subjects who received nalmefene had a statistically significant reduction in seventy of pathological gambling. Low-dose nalmefene (25 mg/day) appeared efficacious and was associated with few adverse events. Higher doses (50 mg/day and 100 mg/day) resulted in intolerable side effects.","author":[{"dropping-particle":"","family":"Grant","given":"Jon E.","non-dropping-particle":"","parse-names":false,"suffix":""},{"dropping-particle":"","family":"Potenza","given":"Marc N.","non-dropping-particle":"","parse-names":false,"suffix":""},{"dropping-particle":"","family":"Hollander","given":"Eric","non-dropping-particle":"","parse-names":false,"suffix":""},{"dropping-particle":"","family":"Cynningham-Williams","given":"Renee","non-dropping-particle":"","parse-names":false,"suffix":""},{"dropping-particle":"","family":"Nurminen","given":"Tommi","non-dropping-particle":"","parse-names":false,"suffix":""},{"dropping-particle":"","family":"Smits","given":"Gerard","non-dropping-particle":"","parse-names":false,"suffix":""},{"dropping-particle":"","family":"Kallio","given":"Antero","non-dropping-particle":"","parse-names":false,"suffix":""}],"container-title":"The American journal of psychiatry","id":"ITEM-1","issue":"2","issued":{"date-parts":[["2006","2"]]},"page":"303-312","publisher":"Am J Psychiatry","title":"Multicenter investigation of the opioid antagonist nalmefene in the treatment of pathological gambling","type":"article-journal","volume":"163"},"uris":["http://www.mendeley.com/documents/?uuid=c8d41872-6556-39e4-a277-cecd5de3aca2"]}],"mendeley":{"formattedCitation":"(Grant et al., 2006)","plainTextFormattedCitation":"(Grant et al., 2006)","previouslyFormattedCitation":"(Grant et al. 2006)"},"properties":{"noteIndex":0},"schema":"https://github.com/citation-style-language/schema/raw/master/csl-citation.json"}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(Grant et al., 2006)</w:t>
            </w:r>
            <w:r w:rsidRPr="00A97BAE">
              <w:rPr>
                <w:rFonts w:cs="Times New Roman"/>
                <w:szCs w:val="16"/>
              </w:rPr>
              <w:fldChar w:fldCharType="end"/>
            </w:r>
          </w:p>
        </w:tc>
        <w:tc>
          <w:tcPr>
            <w:tcW w:w="503" w:type="dxa"/>
            <w:vAlign w:val="center"/>
          </w:tcPr>
          <w:p w14:paraId="5EAD14D9" w14:textId="77777777" w:rsidR="00AC03B5" w:rsidRPr="00A97BAE" w:rsidRDefault="00AC03B5" w:rsidP="008162C8">
            <w:pPr>
              <w:jc w:val="center"/>
              <w:rPr>
                <w:rFonts w:cs="Times New Roman"/>
                <w:szCs w:val="16"/>
              </w:rPr>
            </w:pPr>
            <w:r w:rsidRPr="00A97BAE">
              <w:rPr>
                <w:rFonts w:cs="Times New Roman"/>
                <w:szCs w:val="16"/>
              </w:rPr>
              <w:t>2006</w:t>
            </w:r>
          </w:p>
        </w:tc>
        <w:tc>
          <w:tcPr>
            <w:tcW w:w="692" w:type="dxa"/>
            <w:vAlign w:val="center"/>
          </w:tcPr>
          <w:p w14:paraId="3105AFC9" w14:textId="77777777" w:rsidR="00AC03B5" w:rsidRPr="00A97BAE" w:rsidRDefault="00AC03B5" w:rsidP="008162C8">
            <w:pPr>
              <w:jc w:val="center"/>
              <w:rPr>
                <w:rFonts w:cs="Times New Roman"/>
                <w:szCs w:val="16"/>
              </w:rPr>
            </w:pPr>
            <w:r w:rsidRPr="00A97BAE">
              <w:rPr>
                <w:rFonts w:cs="Times New Roman"/>
                <w:szCs w:val="16"/>
              </w:rPr>
              <w:t>Am J Psychiatry</w:t>
            </w:r>
          </w:p>
        </w:tc>
        <w:tc>
          <w:tcPr>
            <w:tcW w:w="1088" w:type="dxa"/>
            <w:vAlign w:val="center"/>
          </w:tcPr>
          <w:p w14:paraId="42357B86" w14:textId="77777777" w:rsidR="00AC03B5" w:rsidRPr="00A97BAE" w:rsidRDefault="00AC03B5" w:rsidP="008162C8">
            <w:pPr>
              <w:jc w:val="center"/>
              <w:rPr>
                <w:rFonts w:cs="Times New Roman"/>
                <w:szCs w:val="16"/>
              </w:rPr>
            </w:pPr>
            <w:r w:rsidRPr="00A97BAE">
              <w:rPr>
                <w:rFonts w:cs="Times New Roman"/>
                <w:szCs w:val="16"/>
              </w:rPr>
              <w:t>Double Blind RCT Parallel design, 4 arms</w:t>
            </w:r>
          </w:p>
        </w:tc>
        <w:tc>
          <w:tcPr>
            <w:tcW w:w="989" w:type="dxa"/>
            <w:vAlign w:val="center"/>
          </w:tcPr>
          <w:p w14:paraId="18D0A4CA" w14:textId="77777777" w:rsidR="00AC03B5" w:rsidRPr="00A97BAE" w:rsidRDefault="00AC03B5" w:rsidP="008162C8">
            <w:pPr>
              <w:jc w:val="center"/>
              <w:rPr>
                <w:rFonts w:cs="Times New Roman"/>
                <w:szCs w:val="16"/>
              </w:rPr>
            </w:pPr>
            <w:r w:rsidRPr="00A97BAE">
              <w:rPr>
                <w:rFonts w:cs="Times New Roman"/>
                <w:szCs w:val="16"/>
              </w:rPr>
              <w:t>nalmefene vs. placebo</w:t>
            </w:r>
          </w:p>
        </w:tc>
        <w:tc>
          <w:tcPr>
            <w:tcW w:w="593" w:type="dxa"/>
            <w:vAlign w:val="center"/>
          </w:tcPr>
          <w:p w14:paraId="174E9C72" w14:textId="77777777" w:rsidR="00AC03B5" w:rsidRPr="00A97BAE" w:rsidRDefault="00AC03B5" w:rsidP="008162C8">
            <w:pPr>
              <w:jc w:val="center"/>
              <w:rPr>
                <w:rFonts w:cs="Times New Roman"/>
                <w:szCs w:val="16"/>
              </w:rPr>
            </w:pPr>
            <w:r w:rsidRPr="00A97BAE">
              <w:rPr>
                <w:rFonts w:cs="Times New Roman"/>
                <w:szCs w:val="16"/>
              </w:rPr>
              <w:t>156/51</w:t>
            </w:r>
          </w:p>
        </w:tc>
        <w:tc>
          <w:tcPr>
            <w:tcW w:w="594" w:type="dxa"/>
            <w:vAlign w:val="center"/>
          </w:tcPr>
          <w:p w14:paraId="3DD48AB2" w14:textId="77777777" w:rsidR="00AC03B5" w:rsidRPr="00A97BAE" w:rsidRDefault="00AC03B5" w:rsidP="008162C8">
            <w:pPr>
              <w:jc w:val="center"/>
              <w:rPr>
                <w:rFonts w:cs="Times New Roman"/>
                <w:szCs w:val="16"/>
              </w:rPr>
            </w:pPr>
            <w:r w:rsidRPr="00A97BAE">
              <w:rPr>
                <w:rFonts w:cs="Times New Roman"/>
                <w:szCs w:val="16"/>
              </w:rPr>
              <w:t>47</w:t>
            </w:r>
            <w:r>
              <w:rPr>
                <w:rFonts w:cs="Times New Roman"/>
                <w:szCs w:val="16"/>
              </w:rPr>
              <w:t>.</w:t>
            </w:r>
            <w:r w:rsidRPr="00A97BAE">
              <w:rPr>
                <w:rFonts w:cs="Times New Roman"/>
                <w:szCs w:val="16"/>
              </w:rPr>
              <w:t>0 /</w:t>
            </w:r>
          </w:p>
          <w:p w14:paraId="1DD99ADE" w14:textId="77777777" w:rsidR="00AC03B5" w:rsidRPr="00A97BAE" w:rsidRDefault="00AC03B5" w:rsidP="008162C8">
            <w:pPr>
              <w:jc w:val="center"/>
              <w:rPr>
                <w:rFonts w:cs="Times New Roman"/>
                <w:szCs w:val="16"/>
              </w:rPr>
            </w:pPr>
            <w:r w:rsidRPr="00A97BAE">
              <w:rPr>
                <w:rFonts w:cs="Times New Roman"/>
                <w:szCs w:val="16"/>
              </w:rPr>
              <w:t>45</w:t>
            </w:r>
            <w:r>
              <w:rPr>
                <w:rFonts w:cs="Times New Roman"/>
                <w:szCs w:val="16"/>
              </w:rPr>
              <w:t>.</w:t>
            </w:r>
            <w:r w:rsidRPr="00A97BAE">
              <w:rPr>
                <w:rFonts w:cs="Times New Roman"/>
                <w:szCs w:val="16"/>
              </w:rPr>
              <w:t>3 /</w:t>
            </w:r>
          </w:p>
          <w:p w14:paraId="40170613" w14:textId="77777777" w:rsidR="00AC03B5" w:rsidRPr="00A97BAE" w:rsidRDefault="00AC03B5" w:rsidP="008162C8">
            <w:pPr>
              <w:jc w:val="center"/>
              <w:rPr>
                <w:rFonts w:cs="Times New Roman"/>
                <w:szCs w:val="16"/>
              </w:rPr>
            </w:pPr>
            <w:r w:rsidRPr="00A97BAE">
              <w:rPr>
                <w:rFonts w:cs="Times New Roman"/>
                <w:szCs w:val="16"/>
              </w:rPr>
              <w:t>44</w:t>
            </w:r>
            <w:r>
              <w:rPr>
                <w:rFonts w:cs="Times New Roman"/>
                <w:szCs w:val="16"/>
              </w:rPr>
              <w:t>.</w:t>
            </w:r>
            <w:r w:rsidRPr="00A97BAE">
              <w:rPr>
                <w:rFonts w:cs="Times New Roman"/>
                <w:szCs w:val="16"/>
              </w:rPr>
              <w:t>9 /</w:t>
            </w:r>
          </w:p>
          <w:p w14:paraId="4E50CF0F" w14:textId="77777777" w:rsidR="00AC03B5" w:rsidRPr="00A97BAE" w:rsidRDefault="00AC03B5" w:rsidP="008162C8">
            <w:pPr>
              <w:jc w:val="center"/>
              <w:rPr>
                <w:rFonts w:cs="Times New Roman"/>
                <w:szCs w:val="16"/>
              </w:rPr>
            </w:pPr>
            <w:r w:rsidRPr="00A97BAE">
              <w:rPr>
                <w:rFonts w:cs="Times New Roman"/>
                <w:szCs w:val="16"/>
              </w:rPr>
              <w:t>45</w:t>
            </w:r>
            <w:r>
              <w:rPr>
                <w:rFonts w:cs="Times New Roman"/>
                <w:szCs w:val="16"/>
              </w:rPr>
              <w:t>.</w:t>
            </w:r>
            <w:r w:rsidRPr="00A97BAE">
              <w:rPr>
                <w:rFonts w:cs="Times New Roman"/>
                <w:szCs w:val="16"/>
              </w:rPr>
              <w:t>7/</w:t>
            </w:r>
          </w:p>
          <w:p w14:paraId="0D244938" w14:textId="77777777" w:rsidR="00AC03B5" w:rsidRPr="00A97BAE" w:rsidRDefault="00AC03B5" w:rsidP="008162C8">
            <w:pPr>
              <w:jc w:val="center"/>
              <w:rPr>
                <w:rFonts w:cs="Times New Roman"/>
                <w:szCs w:val="16"/>
              </w:rPr>
            </w:pPr>
            <w:r w:rsidRPr="00A97BAE">
              <w:rPr>
                <w:rFonts w:cs="Times New Roman"/>
                <w:szCs w:val="16"/>
              </w:rPr>
              <w:lastRenderedPageBreak/>
              <w:t>46</w:t>
            </w:r>
            <w:r>
              <w:rPr>
                <w:rFonts w:cs="Times New Roman"/>
                <w:szCs w:val="16"/>
              </w:rPr>
              <w:t>.</w:t>
            </w:r>
            <w:r w:rsidRPr="00A97BAE">
              <w:rPr>
                <w:rFonts w:cs="Times New Roman"/>
                <w:szCs w:val="16"/>
              </w:rPr>
              <w:t>3</w:t>
            </w:r>
          </w:p>
        </w:tc>
        <w:tc>
          <w:tcPr>
            <w:tcW w:w="594" w:type="dxa"/>
            <w:vAlign w:val="center"/>
          </w:tcPr>
          <w:p w14:paraId="4419A9DB" w14:textId="77777777" w:rsidR="00AC03B5" w:rsidRPr="00A97BAE" w:rsidRDefault="00AC03B5" w:rsidP="008162C8">
            <w:pPr>
              <w:jc w:val="center"/>
              <w:rPr>
                <w:rFonts w:cs="Times New Roman"/>
                <w:szCs w:val="16"/>
              </w:rPr>
            </w:pPr>
            <w:r w:rsidRPr="00A97BAE">
              <w:rPr>
                <w:rFonts w:cs="Times New Roman"/>
                <w:szCs w:val="16"/>
              </w:rPr>
              <w:lastRenderedPageBreak/>
              <w:t>54% / 56% / 50% / 67%</w:t>
            </w:r>
          </w:p>
        </w:tc>
        <w:tc>
          <w:tcPr>
            <w:tcW w:w="594" w:type="dxa"/>
            <w:vAlign w:val="center"/>
          </w:tcPr>
          <w:p w14:paraId="27961F76" w14:textId="77777777" w:rsidR="00AC03B5" w:rsidRPr="00A97BAE" w:rsidRDefault="00AC03B5" w:rsidP="008162C8">
            <w:pPr>
              <w:jc w:val="center"/>
              <w:rPr>
                <w:rFonts w:cs="Times New Roman"/>
                <w:szCs w:val="16"/>
              </w:rPr>
            </w:pPr>
            <w:r w:rsidRPr="00A97BAE">
              <w:rPr>
                <w:rFonts w:cs="Times New Roman"/>
                <w:szCs w:val="16"/>
              </w:rPr>
              <w:t>Oral, OD</w:t>
            </w:r>
          </w:p>
        </w:tc>
        <w:tc>
          <w:tcPr>
            <w:tcW w:w="593" w:type="dxa"/>
            <w:vAlign w:val="center"/>
          </w:tcPr>
          <w:p w14:paraId="4541B0BB" w14:textId="77777777" w:rsidR="00AC03B5" w:rsidRPr="00A97BAE" w:rsidRDefault="00AC03B5" w:rsidP="008162C8">
            <w:pPr>
              <w:jc w:val="center"/>
              <w:rPr>
                <w:rFonts w:cs="Times New Roman"/>
                <w:szCs w:val="16"/>
              </w:rPr>
            </w:pPr>
            <w:r w:rsidRPr="00A97BAE">
              <w:rPr>
                <w:rFonts w:cs="Times New Roman"/>
                <w:szCs w:val="16"/>
              </w:rPr>
              <w:t>25mg</w:t>
            </w:r>
          </w:p>
        </w:tc>
        <w:tc>
          <w:tcPr>
            <w:tcW w:w="593" w:type="dxa"/>
            <w:vAlign w:val="center"/>
          </w:tcPr>
          <w:p w14:paraId="0425DEFD" w14:textId="77777777" w:rsidR="00AC03B5" w:rsidRPr="00A97BAE" w:rsidRDefault="00AC03B5" w:rsidP="008162C8">
            <w:pPr>
              <w:jc w:val="center"/>
              <w:rPr>
                <w:rFonts w:cs="Times New Roman"/>
                <w:szCs w:val="16"/>
              </w:rPr>
            </w:pPr>
            <w:r w:rsidRPr="00A97BAE">
              <w:rPr>
                <w:rFonts w:cs="Times New Roman"/>
                <w:szCs w:val="16"/>
              </w:rPr>
              <w:t>100mg</w:t>
            </w:r>
          </w:p>
        </w:tc>
        <w:tc>
          <w:tcPr>
            <w:tcW w:w="792" w:type="dxa"/>
            <w:vAlign w:val="center"/>
          </w:tcPr>
          <w:p w14:paraId="3BE83659" w14:textId="77777777" w:rsidR="00AC03B5" w:rsidRPr="00A97BAE" w:rsidRDefault="00AC03B5" w:rsidP="008162C8">
            <w:pPr>
              <w:jc w:val="center"/>
              <w:rPr>
                <w:rFonts w:cs="Times New Roman"/>
                <w:szCs w:val="16"/>
              </w:rPr>
            </w:pPr>
            <w:r w:rsidRPr="00A97BAE">
              <w:rPr>
                <w:rFonts w:cs="Times New Roman"/>
                <w:szCs w:val="16"/>
              </w:rPr>
              <w:t>16-weeks</w:t>
            </w:r>
          </w:p>
        </w:tc>
        <w:tc>
          <w:tcPr>
            <w:tcW w:w="593" w:type="dxa"/>
            <w:vAlign w:val="center"/>
          </w:tcPr>
          <w:p w14:paraId="5679D523" w14:textId="77777777" w:rsidR="00AC03B5" w:rsidRPr="00A97BAE" w:rsidRDefault="00AC03B5" w:rsidP="008162C8">
            <w:pPr>
              <w:jc w:val="center"/>
              <w:rPr>
                <w:rFonts w:cs="Times New Roman"/>
                <w:szCs w:val="16"/>
              </w:rPr>
            </w:pPr>
            <w:r w:rsidRPr="00A97BAE">
              <w:rPr>
                <w:rFonts w:cs="Times New Roman"/>
                <w:szCs w:val="16"/>
              </w:rPr>
              <w:t>Yes</w:t>
            </w:r>
          </w:p>
        </w:tc>
      </w:tr>
      <w:tr w:rsidR="00AC03B5" w:rsidRPr="00A97BAE" w14:paraId="23EE8651" w14:textId="77777777" w:rsidTr="008162C8">
        <w:trPr>
          <w:trHeight w:val="586"/>
        </w:trPr>
        <w:tc>
          <w:tcPr>
            <w:tcW w:w="421" w:type="dxa"/>
            <w:vAlign w:val="center"/>
          </w:tcPr>
          <w:p w14:paraId="67166140" w14:textId="77777777" w:rsidR="00AC03B5" w:rsidRPr="00A97BAE" w:rsidRDefault="00AC03B5" w:rsidP="008162C8">
            <w:pPr>
              <w:jc w:val="center"/>
              <w:rPr>
                <w:rFonts w:cs="Times New Roman"/>
                <w:b/>
                <w:szCs w:val="16"/>
              </w:rPr>
            </w:pPr>
            <w:r w:rsidRPr="00A97BAE">
              <w:rPr>
                <w:rFonts w:cs="Times New Roman"/>
                <w:b/>
                <w:szCs w:val="16"/>
              </w:rPr>
              <w:lastRenderedPageBreak/>
              <w:t>10</w:t>
            </w:r>
          </w:p>
        </w:tc>
        <w:tc>
          <w:tcPr>
            <w:tcW w:w="853" w:type="dxa"/>
            <w:vAlign w:val="center"/>
          </w:tcPr>
          <w:p w14:paraId="609DC551" w14:textId="77777777" w:rsidR="00AC03B5" w:rsidRPr="00A97BAE" w:rsidRDefault="00AC03B5" w:rsidP="008162C8">
            <w:pPr>
              <w:jc w:val="center"/>
              <w:rPr>
                <w:rFonts w:cs="Times New Roman"/>
                <w:szCs w:val="16"/>
              </w:rPr>
            </w:pPr>
            <w:r w:rsidRPr="00A97BAE">
              <w:rPr>
                <w:rFonts w:cs="Times New Roman"/>
                <w:szCs w:val="16"/>
              </w:rPr>
              <w:t>Kim et al.</w:t>
            </w:r>
            <w:r w:rsidRPr="00A97BAE">
              <w:rPr>
                <w:rFonts w:cs="Times New Roman"/>
                <w:szCs w:val="16"/>
              </w:rPr>
              <w:fldChar w:fldCharType="begin" w:fldLock="1"/>
            </w:r>
            <w:r>
              <w:rPr>
                <w:rFonts w:cs="Times New Roman"/>
                <w:szCs w:val="16"/>
              </w:rPr>
              <w:instrText>ADDIN CSL_CITATION {"citationItems":[{"id":"ITEM-1","itemData":{"ISSN":"0160-6689","author":[{"dropping-particle":"","family":"Kim","given":"Suck Won","non-dropping-particle":"","parse-names":false,"suffix":""},{"dropping-particle":"","family":"Grant","given":"Jon E.","non-dropping-particle":"","parse-names":false,"suffix":""},{"dropping-particle":"","family":"Adson","given":"David E.","non-dropping-particle":"","parse-names":false,"suffix":""},{"dropping-particle":"","family":"Zaninelli","given":"Rocco","non-dropping-particle":"","parse-names":false,"suffix":""}],"container-title":"The Journal of Clinical Psychiatry","id":"ITEM-1","issue":"6","issued":{"date-parts":[["2002","6","18"]]},"page":"4776","publisher":"Physicians Postgraduate Press, Inc.","title":"A Double-Blind Placebo-Controlled Study of the Efficacy and Safety of Paroxetine in the Treatment of Pathological Gambling","type":"article-journal","volume":"63"},"uris":["http://www.mendeley.com/documents/?uuid=9ffa0283-8731-35dc-961e-2fa1d6b22057"]}],"mendeley":{"formattedCitation":"(Kim, Grant, Adson, &amp; Zaninelli, 2002)","plainTextFormattedCitation":"(Kim, Grant, Adson, &amp; Zaninelli, 2002)","previouslyFormattedCitation":"(Kim et al. 2002)"},"properties":{"noteIndex":0},"schema":"https://github.com/citation-style-language/schema/raw/master/csl-citation.json"}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(Kim, Grant, Adson, &amp; Zaninelli, 2002)</w:t>
            </w:r>
            <w:r w:rsidRPr="00A97BAE">
              <w:rPr>
                <w:rFonts w:cs="Times New Roman"/>
                <w:szCs w:val="16"/>
              </w:rPr>
              <w:fldChar w:fldCharType="end"/>
            </w:r>
          </w:p>
        </w:tc>
        <w:tc>
          <w:tcPr>
            <w:tcW w:w="503" w:type="dxa"/>
            <w:vAlign w:val="center"/>
          </w:tcPr>
          <w:p w14:paraId="1FA791F0" w14:textId="77777777" w:rsidR="00AC03B5" w:rsidRPr="00A97BAE" w:rsidRDefault="00AC03B5" w:rsidP="008162C8">
            <w:pPr>
              <w:jc w:val="center"/>
              <w:rPr>
                <w:rFonts w:cs="Times New Roman"/>
                <w:szCs w:val="16"/>
              </w:rPr>
            </w:pPr>
            <w:r w:rsidRPr="00A97BAE">
              <w:rPr>
                <w:rFonts w:cs="Times New Roman"/>
                <w:szCs w:val="16"/>
              </w:rPr>
              <w:t>2002</w:t>
            </w:r>
          </w:p>
        </w:tc>
        <w:tc>
          <w:tcPr>
            <w:tcW w:w="692" w:type="dxa"/>
            <w:vAlign w:val="center"/>
          </w:tcPr>
          <w:p w14:paraId="7A967209" w14:textId="77777777" w:rsidR="00AC03B5" w:rsidRPr="00A97BAE" w:rsidRDefault="00AC03B5" w:rsidP="008162C8">
            <w:pPr>
              <w:jc w:val="center"/>
              <w:rPr>
                <w:rFonts w:cs="Times New Roman"/>
                <w:szCs w:val="16"/>
              </w:rPr>
            </w:pPr>
            <w:r w:rsidRPr="00A97BAE">
              <w:rPr>
                <w:rFonts w:cs="Times New Roman"/>
                <w:szCs w:val="16"/>
              </w:rPr>
              <w:t>J Clin Psychiatry</w:t>
            </w:r>
          </w:p>
        </w:tc>
        <w:tc>
          <w:tcPr>
            <w:tcW w:w="1088" w:type="dxa"/>
            <w:vAlign w:val="center"/>
          </w:tcPr>
          <w:p w14:paraId="78A1B8E7"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6F3F7D03" w14:textId="77777777" w:rsidR="00AC03B5" w:rsidRPr="00A97BAE" w:rsidRDefault="00AC03B5" w:rsidP="008162C8">
            <w:pPr>
              <w:jc w:val="center"/>
              <w:rPr>
                <w:rFonts w:cs="Times New Roman"/>
                <w:szCs w:val="16"/>
              </w:rPr>
            </w:pPr>
            <w:r w:rsidRPr="00A97BAE">
              <w:rPr>
                <w:rFonts w:cs="Times New Roman"/>
                <w:szCs w:val="16"/>
              </w:rPr>
              <w:t>paroxetine vs. placebo</w:t>
            </w:r>
          </w:p>
        </w:tc>
        <w:tc>
          <w:tcPr>
            <w:tcW w:w="593" w:type="dxa"/>
            <w:vAlign w:val="center"/>
          </w:tcPr>
          <w:p w14:paraId="71ABC91C" w14:textId="77777777" w:rsidR="00AC03B5" w:rsidRPr="00A97BAE" w:rsidRDefault="00AC03B5" w:rsidP="008162C8">
            <w:pPr>
              <w:jc w:val="center"/>
              <w:rPr>
                <w:rFonts w:cs="Times New Roman"/>
                <w:szCs w:val="16"/>
              </w:rPr>
            </w:pPr>
            <w:r w:rsidRPr="00A97BAE">
              <w:rPr>
                <w:rFonts w:cs="Times New Roman"/>
                <w:szCs w:val="16"/>
              </w:rPr>
              <w:t>23/22</w:t>
            </w:r>
          </w:p>
        </w:tc>
        <w:tc>
          <w:tcPr>
            <w:tcW w:w="594" w:type="dxa"/>
            <w:vAlign w:val="center"/>
          </w:tcPr>
          <w:p w14:paraId="664F1C19" w14:textId="77777777" w:rsidR="00AC03B5" w:rsidRPr="00A97BAE" w:rsidRDefault="00AC03B5" w:rsidP="008162C8">
            <w:pPr>
              <w:jc w:val="center"/>
              <w:rPr>
                <w:rFonts w:cs="Times New Roman"/>
                <w:szCs w:val="16"/>
              </w:rPr>
            </w:pPr>
            <w:r w:rsidRPr="00A97BAE">
              <w:rPr>
                <w:rFonts w:cs="Times New Roman"/>
                <w:szCs w:val="16"/>
              </w:rPr>
              <w:t>49</w:t>
            </w:r>
            <w:r>
              <w:rPr>
                <w:rFonts w:cs="Times New Roman"/>
                <w:szCs w:val="16"/>
              </w:rPr>
              <w:t>.</w:t>
            </w:r>
            <w:r w:rsidRPr="00A97BAE">
              <w:rPr>
                <w:rFonts w:cs="Times New Roman"/>
                <w:szCs w:val="16"/>
              </w:rPr>
              <w:t>3 /</w:t>
            </w:r>
          </w:p>
          <w:p w14:paraId="03F5DEB3" w14:textId="77777777" w:rsidR="00AC03B5" w:rsidRPr="00A97BAE" w:rsidRDefault="00AC03B5" w:rsidP="008162C8">
            <w:pPr>
              <w:jc w:val="center"/>
              <w:rPr>
                <w:rFonts w:cs="Times New Roman"/>
                <w:szCs w:val="16"/>
              </w:rPr>
            </w:pPr>
            <w:r w:rsidRPr="00A97BAE">
              <w:rPr>
                <w:rFonts w:cs="Times New Roman"/>
                <w:szCs w:val="16"/>
              </w:rPr>
              <w:t>49</w:t>
            </w:r>
            <w:r>
              <w:rPr>
                <w:rFonts w:cs="Times New Roman"/>
                <w:szCs w:val="16"/>
              </w:rPr>
              <w:t>.</w:t>
            </w:r>
            <w:r w:rsidRPr="00A97BAE">
              <w:rPr>
                <w:rFonts w:cs="Times New Roman"/>
                <w:szCs w:val="16"/>
              </w:rPr>
              <w:t>3</w:t>
            </w:r>
          </w:p>
        </w:tc>
        <w:tc>
          <w:tcPr>
            <w:tcW w:w="594" w:type="dxa"/>
            <w:vAlign w:val="center"/>
          </w:tcPr>
          <w:p w14:paraId="0A6D36EC" w14:textId="77777777" w:rsidR="00AC03B5" w:rsidRPr="00A97BAE" w:rsidRDefault="00AC03B5" w:rsidP="008162C8">
            <w:pPr>
              <w:jc w:val="center"/>
              <w:rPr>
                <w:rFonts w:cs="Times New Roman"/>
                <w:szCs w:val="16"/>
              </w:rPr>
            </w:pPr>
            <w:r w:rsidRPr="00A97BAE">
              <w:rPr>
                <w:rFonts w:cs="Times New Roman"/>
                <w:szCs w:val="16"/>
              </w:rPr>
              <w:t>43% / 28%</w:t>
            </w:r>
          </w:p>
        </w:tc>
        <w:tc>
          <w:tcPr>
            <w:tcW w:w="594" w:type="dxa"/>
            <w:vAlign w:val="center"/>
          </w:tcPr>
          <w:p w14:paraId="1AE0B090" w14:textId="77777777" w:rsidR="00AC03B5" w:rsidRPr="00A97BAE" w:rsidRDefault="00AC03B5" w:rsidP="008162C8">
            <w:pPr>
              <w:jc w:val="center"/>
              <w:rPr>
                <w:rFonts w:cs="Times New Roman"/>
                <w:szCs w:val="16"/>
              </w:rPr>
            </w:pPr>
            <w:r w:rsidRPr="00A97BAE">
              <w:rPr>
                <w:rFonts w:cs="Times New Roman"/>
                <w:szCs w:val="16"/>
              </w:rPr>
              <w:t>Oral, flexible</w:t>
            </w:r>
          </w:p>
        </w:tc>
        <w:tc>
          <w:tcPr>
            <w:tcW w:w="593" w:type="dxa"/>
            <w:vAlign w:val="center"/>
          </w:tcPr>
          <w:p w14:paraId="38E239F6" w14:textId="77777777" w:rsidR="00AC03B5" w:rsidRPr="00A97BAE" w:rsidRDefault="00AC03B5" w:rsidP="008162C8">
            <w:pPr>
              <w:jc w:val="center"/>
              <w:rPr>
                <w:rFonts w:cs="Times New Roman"/>
                <w:szCs w:val="16"/>
              </w:rPr>
            </w:pPr>
            <w:r w:rsidRPr="00A97BAE">
              <w:rPr>
                <w:rFonts w:cs="Times New Roman"/>
                <w:szCs w:val="16"/>
              </w:rPr>
              <w:t>20mg</w:t>
            </w:r>
          </w:p>
        </w:tc>
        <w:tc>
          <w:tcPr>
            <w:tcW w:w="593" w:type="dxa"/>
            <w:vAlign w:val="center"/>
          </w:tcPr>
          <w:p w14:paraId="59D66E4E" w14:textId="77777777" w:rsidR="00AC03B5" w:rsidRPr="00A97BAE" w:rsidRDefault="00AC03B5" w:rsidP="008162C8">
            <w:pPr>
              <w:jc w:val="center"/>
              <w:rPr>
                <w:rFonts w:cs="Times New Roman"/>
                <w:szCs w:val="16"/>
              </w:rPr>
            </w:pPr>
            <w:r w:rsidRPr="00A97BAE">
              <w:rPr>
                <w:rFonts w:cs="Times New Roman"/>
                <w:szCs w:val="16"/>
              </w:rPr>
              <w:t>60mg</w:t>
            </w:r>
          </w:p>
        </w:tc>
        <w:tc>
          <w:tcPr>
            <w:tcW w:w="792" w:type="dxa"/>
            <w:vAlign w:val="center"/>
          </w:tcPr>
          <w:p w14:paraId="12527B4F" w14:textId="77777777" w:rsidR="00AC03B5" w:rsidRPr="00A97BAE" w:rsidRDefault="00AC03B5" w:rsidP="008162C8">
            <w:pPr>
              <w:jc w:val="center"/>
              <w:rPr>
                <w:rFonts w:cs="Times New Roman"/>
                <w:szCs w:val="16"/>
              </w:rPr>
            </w:pPr>
            <w:r w:rsidRPr="00A97BAE">
              <w:rPr>
                <w:rFonts w:cs="Times New Roman"/>
                <w:szCs w:val="16"/>
              </w:rPr>
              <w:t>8-weeks</w:t>
            </w:r>
          </w:p>
        </w:tc>
        <w:tc>
          <w:tcPr>
            <w:tcW w:w="593" w:type="dxa"/>
            <w:vAlign w:val="center"/>
          </w:tcPr>
          <w:p w14:paraId="0151386E" w14:textId="77777777" w:rsidR="00AC03B5" w:rsidRPr="00A97BAE" w:rsidRDefault="00AC03B5" w:rsidP="008162C8">
            <w:pPr>
              <w:jc w:val="center"/>
              <w:rPr>
                <w:rFonts w:cs="Times New Roman"/>
                <w:szCs w:val="16"/>
              </w:rPr>
            </w:pPr>
            <w:r w:rsidRPr="00A97BAE">
              <w:rPr>
                <w:rFonts w:cs="Times New Roman"/>
                <w:szCs w:val="16"/>
              </w:rPr>
              <w:t>Yes</w:t>
            </w:r>
          </w:p>
        </w:tc>
      </w:tr>
      <w:tr w:rsidR="00AC03B5" w:rsidRPr="00A97BAE" w14:paraId="01A6CC60" w14:textId="77777777" w:rsidTr="008162C8">
        <w:trPr>
          <w:trHeight w:val="586"/>
        </w:trPr>
        <w:tc>
          <w:tcPr>
            <w:tcW w:w="421" w:type="dxa"/>
            <w:vAlign w:val="center"/>
          </w:tcPr>
          <w:p w14:paraId="10A3874E" w14:textId="77777777" w:rsidR="00AC03B5" w:rsidRPr="00A97BAE" w:rsidRDefault="00AC03B5" w:rsidP="008162C8">
            <w:pPr>
              <w:jc w:val="center"/>
              <w:rPr>
                <w:rFonts w:cs="Times New Roman"/>
                <w:b/>
                <w:szCs w:val="16"/>
              </w:rPr>
            </w:pPr>
            <w:r>
              <w:rPr>
                <w:rFonts w:cs="Times New Roman"/>
                <w:b/>
                <w:szCs w:val="16"/>
              </w:rPr>
              <w:t>11</w:t>
            </w:r>
          </w:p>
        </w:tc>
        <w:tc>
          <w:tcPr>
            <w:tcW w:w="853" w:type="dxa"/>
            <w:vAlign w:val="center"/>
          </w:tcPr>
          <w:p w14:paraId="6C8A6AF3" w14:textId="77777777" w:rsidR="00AC03B5" w:rsidRPr="00A97BAE" w:rsidRDefault="00AC03B5" w:rsidP="008162C8">
            <w:pPr>
              <w:jc w:val="center"/>
              <w:rPr>
                <w:rFonts w:cs="Times New Roman"/>
                <w:szCs w:val="16"/>
              </w:rPr>
            </w:pPr>
            <w:r w:rsidRPr="00A97BAE">
              <w:rPr>
                <w:rFonts w:cs="Times New Roman"/>
                <w:szCs w:val="16"/>
              </w:rPr>
              <w:t xml:space="preserve">Grant et al. </w:t>
            </w:r>
            <w:r w:rsidRPr="00A97BAE">
              <w:rPr>
                <w:rFonts w:cs="Times New Roman"/>
                <w:szCs w:val="16"/>
              </w:rPr>
              <w:fldChar w:fldCharType="begin" w:fldLock="1"/>
            </w:r>
            <w:r>
              <w:rPr>
                <w:rFonts w:cs="Times New Roman"/>
                <w:szCs w:val="16"/>
              </w:rPr>
              <w:instrText>ADDIN CSL_CITATION {"citationItems":[{"id":"ITEM-1","itemData":{"DOI":"10.1097/00004850-200307000-00007","ISSN":"0268-1315","PMID":"12817159","abstract":"Previous studies have suggested the efficacy of serotonergic agents in the treatment of pathological gambling. The aim of the present study was to determine whether treatment with paroxetine in a large sample of subjects with pathological gambling would effectively diminish the severity of gambling symptoms. A 16-week, double-blind, placebo-controlled trial was conducted at five outpatient academic research centres in two countries (USA and Spain). Seventy-six outpatients (mean age 45.4 ± 10.6 years; 30 women, 46 men) with pathological gambling were randomized to acute treatment with paroxetine in flexible daily dosages of 10-60 mg/day (n=36) or placebo (n=40). The primary outcome measure was the Clinical Global Impressions scale. Both the paroxetine- and the placebo-treated groups demonstrated comparable improvement at 16 weeks (59% response rate in the paroxetine group, 49% rate in the placebo group; chi squared=0.737; d.f.=1; P=0.390). Paroxetine consistently resulted in a greater percentage of responders at each study visit compared to placebo but failed to demonstrate statistical superiority to placebo on scores on the Clinical Global Impressions scale, the Yale-Brown Obsessive-Compulsive Scale Modified for Pathological Gambling, or the Gambling Symptom Assessment Scale. High rates of symptom improvement were observed in pathological gamblers receiving either paroxetine or placebo after 16 weeks. Paroxetine consistently demonstrated an advantage over placebo on the Clinical Global Impressions scale; however, a larger sample size may have registered significant differences. © 2003 Lippincott Williams &amp; Wilkins.","author":[{"dropping-particle":"","family":"Grant","given":"Jon E.","non-dropping-particle":"","parse-names":false,"suffix":""},{"dropping-particle":"","family":"Kim","given":"Suck Won","non-dropping-particle":"","parse-names":false,"suffix":""},{"dropping-particle":"","family":"Potenza","given":"Marc N.","non-dropping-particle":"","parse-names":false,"suffix":""},{"dropping-particle":"","family":"Blanco","given":"Carlos","non-dropping-particle":"","parse-names":false,"suffix":""},{"dropping-particle":"","family":"Ibanez","given":"Angela","non-dropping-particle":"","parse-names":false,"suffix":""},{"dropping-particle":"","family":"Stevens","given":"Lee","non-dropping-particle":"","parse-names":false,"suffix":""},{"dropping-particle":"","family":"Hektner","given":"Joel M.","non-dropping-particle":"","parse-names":false,"suffix":""},{"dropping-particle":"","family":"Zaninelli","given":"Rocco","non-dropping-particle":"","parse-names":false,"suffix":""}],"container-title":"International clinical psychopharmacology","id":"ITEM-1","issue":"4","issued":{"date-parts":[["2003"]]},"page":"243-249","publisher":"Int Clin Psychopharmacol","title":"Paroxetine treatment of pathological gambling: a multi-centre randomized controlled trial","type":"article-journal","volume":"18"},"uris":["http://www.mendeley.com/documents/?uuid=e7b9eb78-94fd-350f-a2d4-559807855d42"]}],"mendeley":{"formattedCitation":"(Grant et al., 2003)","plainTextFormattedCitation":"(Grant et al., 2003)","previouslyFormattedCitation":"(Grant et al. 2003)"},"properties":{"noteIndex":0},"schema":"https://github.com/citation-style-language/schema/raw/master/csl-citation.json"}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(Grant et al., 2003)</w:t>
            </w:r>
            <w:r w:rsidRPr="00A97BAE">
              <w:rPr>
                <w:rFonts w:cs="Times New Roman"/>
                <w:szCs w:val="16"/>
              </w:rPr>
              <w:fldChar w:fldCharType="end"/>
            </w:r>
          </w:p>
        </w:tc>
        <w:tc>
          <w:tcPr>
            <w:tcW w:w="503" w:type="dxa"/>
            <w:vAlign w:val="center"/>
          </w:tcPr>
          <w:p w14:paraId="1535E9E6" w14:textId="77777777" w:rsidR="00AC03B5" w:rsidRPr="00A97BAE" w:rsidRDefault="00AC03B5" w:rsidP="008162C8">
            <w:pPr>
              <w:jc w:val="center"/>
              <w:rPr>
                <w:rFonts w:cs="Times New Roman"/>
                <w:szCs w:val="16"/>
              </w:rPr>
            </w:pPr>
            <w:r w:rsidRPr="00A97BAE">
              <w:rPr>
                <w:rFonts w:cs="Times New Roman"/>
                <w:szCs w:val="16"/>
              </w:rPr>
              <w:t>2003</w:t>
            </w:r>
          </w:p>
        </w:tc>
        <w:tc>
          <w:tcPr>
            <w:tcW w:w="692" w:type="dxa"/>
            <w:vAlign w:val="center"/>
          </w:tcPr>
          <w:p w14:paraId="505AD0EE" w14:textId="77777777" w:rsidR="00AC03B5" w:rsidRPr="00A97BAE" w:rsidRDefault="00AC03B5" w:rsidP="008162C8">
            <w:pPr>
              <w:jc w:val="center"/>
              <w:rPr>
                <w:rFonts w:cs="Times New Roman"/>
                <w:szCs w:val="16"/>
              </w:rPr>
            </w:pPr>
            <w:r w:rsidRPr="00A97BAE">
              <w:rPr>
                <w:rFonts w:cs="Times New Roman"/>
                <w:szCs w:val="16"/>
              </w:rPr>
              <w:t>Int Clin Psychopharmacol</w:t>
            </w:r>
          </w:p>
        </w:tc>
        <w:tc>
          <w:tcPr>
            <w:tcW w:w="1088" w:type="dxa"/>
            <w:vAlign w:val="center"/>
          </w:tcPr>
          <w:p w14:paraId="470E1307"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01FCC1D9" w14:textId="77777777" w:rsidR="00AC03B5" w:rsidRPr="00A97BAE" w:rsidRDefault="00AC03B5" w:rsidP="008162C8">
            <w:pPr>
              <w:jc w:val="center"/>
              <w:rPr>
                <w:rFonts w:cs="Times New Roman"/>
                <w:szCs w:val="16"/>
              </w:rPr>
            </w:pPr>
            <w:r w:rsidRPr="00A97BAE">
              <w:rPr>
                <w:rFonts w:cs="Times New Roman"/>
                <w:szCs w:val="16"/>
              </w:rPr>
              <w:t>paroxetine vs. placebo</w:t>
            </w:r>
          </w:p>
        </w:tc>
        <w:tc>
          <w:tcPr>
            <w:tcW w:w="593" w:type="dxa"/>
            <w:vAlign w:val="center"/>
          </w:tcPr>
          <w:p w14:paraId="58A54E30" w14:textId="77777777" w:rsidR="00AC03B5" w:rsidRPr="00A97BAE" w:rsidRDefault="00AC03B5" w:rsidP="008162C8">
            <w:pPr>
              <w:jc w:val="center"/>
              <w:rPr>
                <w:rFonts w:cs="Times New Roman"/>
                <w:szCs w:val="16"/>
              </w:rPr>
            </w:pPr>
            <w:r w:rsidRPr="00A97BAE">
              <w:rPr>
                <w:rFonts w:cs="Times New Roman"/>
                <w:szCs w:val="16"/>
              </w:rPr>
              <w:t>36/40</w:t>
            </w:r>
          </w:p>
        </w:tc>
        <w:tc>
          <w:tcPr>
            <w:tcW w:w="594" w:type="dxa"/>
            <w:vAlign w:val="center"/>
          </w:tcPr>
          <w:p w14:paraId="58B575A8" w14:textId="77777777" w:rsidR="00AC03B5" w:rsidRPr="00A97BAE" w:rsidRDefault="00AC03B5" w:rsidP="008162C8">
            <w:pPr>
              <w:jc w:val="center"/>
              <w:rPr>
                <w:rFonts w:cs="Times New Roman"/>
                <w:szCs w:val="16"/>
              </w:rPr>
            </w:pPr>
            <w:r w:rsidRPr="00A97BAE">
              <w:rPr>
                <w:rFonts w:cs="Times New Roman"/>
                <w:szCs w:val="16"/>
              </w:rPr>
              <w:t>47</w:t>
            </w:r>
            <w:r>
              <w:rPr>
                <w:rFonts w:cs="Times New Roman"/>
                <w:szCs w:val="16"/>
              </w:rPr>
              <w:t>.</w:t>
            </w:r>
            <w:r w:rsidRPr="00A97BAE">
              <w:rPr>
                <w:rFonts w:cs="Times New Roman"/>
                <w:szCs w:val="16"/>
              </w:rPr>
              <w:t>0 /</w:t>
            </w:r>
          </w:p>
          <w:p w14:paraId="446FA64B" w14:textId="77777777" w:rsidR="00AC03B5" w:rsidRPr="00A97BAE" w:rsidRDefault="00AC03B5" w:rsidP="008162C8">
            <w:pPr>
              <w:jc w:val="center"/>
              <w:rPr>
                <w:rFonts w:cs="Times New Roman"/>
                <w:szCs w:val="16"/>
              </w:rPr>
            </w:pPr>
            <w:r w:rsidRPr="00A97BAE">
              <w:rPr>
                <w:rFonts w:cs="Times New Roman"/>
                <w:szCs w:val="16"/>
              </w:rPr>
              <w:t>42</w:t>
            </w:r>
            <w:r>
              <w:rPr>
                <w:rFonts w:cs="Times New Roman"/>
                <w:szCs w:val="16"/>
              </w:rPr>
              <w:t>.</w:t>
            </w:r>
            <w:r w:rsidRPr="00A97BAE">
              <w:rPr>
                <w:rFonts w:cs="Times New Roman"/>
                <w:szCs w:val="16"/>
              </w:rPr>
              <w:t>0</w:t>
            </w:r>
          </w:p>
        </w:tc>
        <w:tc>
          <w:tcPr>
            <w:tcW w:w="594" w:type="dxa"/>
            <w:vAlign w:val="center"/>
          </w:tcPr>
          <w:p w14:paraId="0A4B532E" w14:textId="77777777" w:rsidR="00AC03B5" w:rsidRPr="00A97BAE" w:rsidRDefault="00AC03B5" w:rsidP="008162C8">
            <w:pPr>
              <w:jc w:val="center"/>
              <w:rPr>
                <w:rFonts w:cs="Times New Roman"/>
                <w:szCs w:val="16"/>
              </w:rPr>
            </w:pPr>
            <w:r w:rsidRPr="00A97BAE">
              <w:rPr>
                <w:rFonts w:cs="Times New Roman"/>
                <w:szCs w:val="16"/>
              </w:rPr>
              <w:t>44% / 75%</w:t>
            </w:r>
          </w:p>
        </w:tc>
        <w:tc>
          <w:tcPr>
            <w:tcW w:w="594" w:type="dxa"/>
            <w:vAlign w:val="center"/>
          </w:tcPr>
          <w:p w14:paraId="06C2CD94" w14:textId="77777777" w:rsidR="00AC03B5" w:rsidRPr="00A97BAE" w:rsidRDefault="00AC03B5" w:rsidP="008162C8">
            <w:pPr>
              <w:jc w:val="center"/>
              <w:rPr>
                <w:rFonts w:cs="Times New Roman"/>
                <w:szCs w:val="16"/>
              </w:rPr>
            </w:pPr>
            <w:r w:rsidRPr="00A97BAE">
              <w:rPr>
                <w:rFonts w:cs="Times New Roman"/>
                <w:szCs w:val="16"/>
              </w:rPr>
              <w:t>Oral, flexible</w:t>
            </w:r>
          </w:p>
        </w:tc>
        <w:tc>
          <w:tcPr>
            <w:tcW w:w="593" w:type="dxa"/>
            <w:vAlign w:val="center"/>
          </w:tcPr>
          <w:p w14:paraId="7A554D47" w14:textId="77777777" w:rsidR="00AC03B5" w:rsidRPr="00A97BAE" w:rsidRDefault="00AC03B5" w:rsidP="008162C8">
            <w:pPr>
              <w:jc w:val="center"/>
              <w:rPr>
                <w:rFonts w:cs="Times New Roman"/>
                <w:szCs w:val="16"/>
              </w:rPr>
            </w:pPr>
            <w:r w:rsidRPr="00A97BAE">
              <w:rPr>
                <w:rFonts w:cs="Times New Roman"/>
                <w:szCs w:val="16"/>
              </w:rPr>
              <w:t>10mg</w:t>
            </w:r>
          </w:p>
        </w:tc>
        <w:tc>
          <w:tcPr>
            <w:tcW w:w="593" w:type="dxa"/>
            <w:vAlign w:val="center"/>
          </w:tcPr>
          <w:p w14:paraId="35828492" w14:textId="77777777" w:rsidR="00AC03B5" w:rsidRPr="00A97BAE" w:rsidRDefault="00AC03B5" w:rsidP="008162C8">
            <w:pPr>
              <w:jc w:val="center"/>
              <w:rPr>
                <w:rFonts w:cs="Times New Roman"/>
                <w:szCs w:val="16"/>
              </w:rPr>
            </w:pPr>
            <w:r w:rsidRPr="00A97BAE">
              <w:rPr>
                <w:rFonts w:cs="Times New Roman"/>
                <w:szCs w:val="16"/>
              </w:rPr>
              <w:t>60mg</w:t>
            </w:r>
          </w:p>
        </w:tc>
        <w:tc>
          <w:tcPr>
            <w:tcW w:w="792" w:type="dxa"/>
            <w:vAlign w:val="center"/>
          </w:tcPr>
          <w:p w14:paraId="6B249E8B" w14:textId="77777777" w:rsidR="00AC03B5" w:rsidRPr="00A97BAE" w:rsidRDefault="00AC03B5" w:rsidP="008162C8">
            <w:pPr>
              <w:jc w:val="center"/>
              <w:rPr>
                <w:rFonts w:cs="Times New Roman"/>
                <w:szCs w:val="16"/>
              </w:rPr>
            </w:pPr>
            <w:r w:rsidRPr="00A97BAE">
              <w:rPr>
                <w:rFonts w:cs="Times New Roman"/>
                <w:szCs w:val="16"/>
              </w:rPr>
              <w:t>16-weeks</w:t>
            </w:r>
          </w:p>
        </w:tc>
        <w:tc>
          <w:tcPr>
            <w:tcW w:w="593" w:type="dxa"/>
            <w:vAlign w:val="center"/>
          </w:tcPr>
          <w:p w14:paraId="76E31B9A" w14:textId="77777777" w:rsidR="00AC03B5" w:rsidRPr="00A97BAE" w:rsidRDefault="00AC03B5" w:rsidP="008162C8">
            <w:pPr>
              <w:jc w:val="center"/>
              <w:rPr>
                <w:rFonts w:cs="Times New Roman"/>
                <w:szCs w:val="16"/>
              </w:rPr>
            </w:pPr>
            <w:r w:rsidRPr="00A97BAE">
              <w:rPr>
                <w:rFonts w:cs="Times New Roman"/>
                <w:szCs w:val="16"/>
              </w:rPr>
              <w:t>Yes</w:t>
            </w:r>
          </w:p>
        </w:tc>
      </w:tr>
      <w:tr w:rsidR="00AC03B5" w:rsidRPr="00A97BAE" w14:paraId="27691C9D" w14:textId="77777777" w:rsidTr="008162C8">
        <w:trPr>
          <w:trHeight w:val="586"/>
        </w:trPr>
        <w:tc>
          <w:tcPr>
            <w:tcW w:w="421" w:type="dxa"/>
            <w:vAlign w:val="center"/>
          </w:tcPr>
          <w:p w14:paraId="76FB21DD" w14:textId="77777777" w:rsidR="00AC03B5" w:rsidRPr="00A97BAE" w:rsidRDefault="00AC03B5" w:rsidP="008162C8">
            <w:pPr>
              <w:jc w:val="center"/>
              <w:rPr>
                <w:rFonts w:cs="Times New Roman"/>
                <w:b/>
                <w:szCs w:val="16"/>
              </w:rPr>
            </w:pPr>
            <w:r>
              <w:rPr>
                <w:rFonts w:cs="Times New Roman"/>
                <w:b/>
                <w:szCs w:val="16"/>
              </w:rPr>
              <w:t>12</w:t>
            </w:r>
          </w:p>
        </w:tc>
        <w:tc>
          <w:tcPr>
            <w:tcW w:w="853" w:type="dxa"/>
            <w:vAlign w:val="center"/>
          </w:tcPr>
          <w:p w14:paraId="1B4F14D3" w14:textId="77777777" w:rsidR="00AC03B5" w:rsidRPr="00A97BAE" w:rsidRDefault="00AC03B5" w:rsidP="008162C8">
            <w:pPr>
              <w:jc w:val="center"/>
              <w:rPr>
                <w:rFonts w:cs="Times New Roman"/>
                <w:szCs w:val="16"/>
              </w:rPr>
            </w:pPr>
            <w:r w:rsidRPr="00A97BAE">
              <w:rPr>
                <w:rFonts w:cs="Times New Roman"/>
                <w:szCs w:val="16"/>
              </w:rPr>
              <w:t>Kim et al.</w:t>
            </w:r>
            <w:r w:rsidRPr="00A97BAE">
              <w:rPr>
                <w:rFonts w:cs="Times New Roman"/>
                <w:szCs w:val="16"/>
              </w:rPr>
              <w:fldChar w:fldCharType="begin" w:fldLock="1"/>
            </w:r>
            <w:r>
              <w:rPr>
                <w:rFonts w:cs="Times New Roman"/>
                <w:szCs w:val="16"/>
              </w:rPr>
              <w:instrText>ADDIN CSL_CITATION {"citationItems":[{"id":"ITEM-1","itemData":{"DOI":"10.1016/S0006-3223(01)01079-4","ISSN":"0006-3223","PMID":"11377409","abstract":"Background: The authors' goal was to assess the efficacy and tolerability of naltrexone in the treatment of pathologic gambling disorder. Methods: Eighty-three subjects who met criteria for DSM-IV pathologic gambling disorder were enrolled in a 1-week single-blind placebo lead-in followed by an 11-week double-blind naltrexone or placebo trial. Naltrexone was started at 25 mg/day and titrated upward until maximum symptom improvement or 250 mg/day was achieved. Gambling symptom change was assessed with the patient-rated Clinical Global Impression (PG-CGI-PT), clinician-rated CGI (PG-CGI-MD), and the Gambling Symptom Rating Scale (G-SAS). Side effects were monitored weekly and liver function tests biweekly. Results: Data from 45 patients were analyzed. Using random regression analysis, significant improvement was noted in all three gambling symptom measures: patient-rated Clinical Global Impression, p &lt; .001; clinician-rated CGI, p &lt; .001; Gambling Symptom Rating Scale, p &lt; .019. At study end, 75% of subjects taking naltrexone were much or very much improved on both the PE-CEI PT and the PG-CGI-MD, compared with only 24% of those on placebo. Elevated liver enzymes occurred in four subjects who were taking analgesics concurrently. Nausea was common during the first week of treatment. Conclusions: Results suggest that naltrexone is effective in reducing the symptoms of pathologic gambling. Until further studies corroborate the present findings, our report should be interpreted cautiously. © 2001 Society of Biological Psychiatry.","author":[{"dropping-particle":"","family":"Kim","given":"Suck Won","non-dropping-particle":"","parse-names":false,"suffix":""},{"dropping-particle":"","family":"Grant","given":"Jon E.","non-dropping-particle":"","parse-names":false,"suffix":""},{"dropping-particle":"","family":"Adson","given":"David E.","non-dropping-particle":"","parse-names":false,"suffix":""},{"dropping-particle":"","family":"Shin","given":"Young Chul","non-dropping-particle":"","parse-names":false,"suffix":""}],"container-title":"Biological psychiatry","id":"ITEM-1","issue":"11","issued":{"date-parts":[["2001","6","1"]]},"page":"914-921","publisher":"Biol Psychiatry","title":"Double-blind naltrexone and placebo comparison study in the treatment of pathological gambling","type":"article-journal","volume":"49"},"uris":["http://www.mendeley.com/documents/?uuid=13b2f173-5486-302e-b394-79c228750fa4"]}],"mendeley":{"formattedCitation":"(Kim, Grant, Adson, &amp; Shin, 2001)","plainTextFormattedCitation":"(Kim, Grant, Adson, &amp; Shin, 2001)","previouslyFormattedCitation":"(Kim et al. 2001)"},"properties":{"noteIndex":0},"schema":"https://github.com/citation-style-language/schema/raw/master/csl-citation.json"}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(Kim, Grant, Adson, &amp; Shin, 2001)</w:t>
            </w:r>
            <w:r w:rsidRPr="00A97BAE">
              <w:rPr>
                <w:rFonts w:cs="Times New Roman"/>
                <w:szCs w:val="16"/>
              </w:rPr>
              <w:fldChar w:fldCharType="end"/>
            </w:r>
          </w:p>
        </w:tc>
        <w:tc>
          <w:tcPr>
            <w:tcW w:w="503" w:type="dxa"/>
            <w:vAlign w:val="center"/>
          </w:tcPr>
          <w:p w14:paraId="43DE9322" w14:textId="77777777" w:rsidR="00AC03B5" w:rsidRPr="00A97BAE" w:rsidRDefault="00AC03B5" w:rsidP="008162C8">
            <w:pPr>
              <w:jc w:val="center"/>
              <w:rPr>
                <w:rFonts w:cs="Times New Roman"/>
                <w:szCs w:val="16"/>
              </w:rPr>
            </w:pPr>
            <w:r w:rsidRPr="00A97BAE">
              <w:rPr>
                <w:rFonts w:cs="Times New Roman"/>
                <w:szCs w:val="16"/>
              </w:rPr>
              <w:t>2001</w:t>
            </w:r>
          </w:p>
        </w:tc>
        <w:tc>
          <w:tcPr>
            <w:tcW w:w="692" w:type="dxa"/>
            <w:vAlign w:val="center"/>
          </w:tcPr>
          <w:p w14:paraId="4CBF46D5" w14:textId="77777777" w:rsidR="00AC03B5" w:rsidRPr="00A97BAE" w:rsidRDefault="00AC03B5" w:rsidP="008162C8">
            <w:pPr>
              <w:jc w:val="center"/>
              <w:rPr>
                <w:rFonts w:cs="Times New Roman"/>
                <w:szCs w:val="16"/>
              </w:rPr>
            </w:pPr>
            <w:r w:rsidRPr="00A97BAE">
              <w:rPr>
                <w:rFonts w:cs="Times New Roman"/>
                <w:szCs w:val="16"/>
              </w:rPr>
              <w:t>Biol Psychiatry</w:t>
            </w:r>
          </w:p>
        </w:tc>
        <w:tc>
          <w:tcPr>
            <w:tcW w:w="1088" w:type="dxa"/>
            <w:vAlign w:val="center"/>
          </w:tcPr>
          <w:p w14:paraId="610D3E28"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54166A22" w14:textId="77777777" w:rsidR="00AC03B5" w:rsidRPr="00A97BAE" w:rsidRDefault="00AC03B5" w:rsidP="008162C8">
            <w:pPr>
              <w:jc w:val="center"/>
              <w:rPr>
                <w:rFonts w:cs="Times New Roman"/>
                <w:szCs w:val="16"/>
              </w:rPr>
            </w:pPr>
            <w:r w:rsidRPr="00A97BAE">
              <w:rPr>
                <w:rFonts w:cs="Times New Roman"/>
                <w:szCs w:val="16"/>
              </w:rPr>
              <w:t>naltrexone vs. placebo</w:t>
            </w:r>
          </w:p>
        </w:tc>
        <w:tc>
          <w:tcPr>
            <w:tcW w:w="593" w:type="dxa"/>
            <w:vAlign w:val="center"/>
          </w:tcPr>
          <w:p w14:paraId="7AF27FE0" w14:textId="77777777" w:rsidR="00AC03B5" w:rsidRPr="00A97BAE" w:rsidRDefault="00AC03B5" w:rsidP="008162C8">
            <w:pPr>
              <w:jc w:val="center"/>
              <w:rPr>
                <w:rFonts w:cs="Times New Roman"/>
                <w:szCs w:val="16"/>
              </w:rPr>
            </w:pPr>
            <w:r w:rsidRPr="00A97BAE">
              <w:rPr>
                <w:rFonts w:cs="Times New Roman"/>
                <w:szCs w:val="16"/>
              </w:rPr>
              <w:t>20/25</w:t>
            </w:r>
          </w:p>
        </w:tc>
        <w:tc>
          <w:tcPr>
            <w:tcW w:w="594" w:type="dxa"/>
            <w:vAlign w:val="center"/>
          </w:tcPr>
          <w:p w14:paraId="4420B94C" w14:textId="77777777" w:rsidR="00AC03B5" w:rsidRPr="00A97BAE" w:rsidRDefault="00AC03B5" w:rsidP="008162C8">
            <w:pPr>
              <w:jc w:val="center"/>
              <w:rPr>
                <w:rFonts w:cs="Times New Roman"/>
                <w:szCs w:val="16"/>
              </w:rPr>
            </w:pPr>
            <w:r w:rsidRPr="00A97BAE">
              <w:rPr>
                <w:rFonts w:cs="Times New Roman"/>
                <w:szCs w:val="16"/>
              </w:rPr>
              <w:t>48</w:t>
            </w:r>
            <w:r>
              <w:rPr>
                <w:rFonts w:cs="Times New Roman"/>
                <w:szCs w:val="16"/>
              </w:rPr>
              <w:t>.</w:t>
            </w:r>
            <w:r w:rsidRPr="00A97BAE">
              <w:rPr>
                <w:rFonts w:cs="Times New Roman"/>
                <w:szCs w:val="16"/>
              </w:rPr>
              <w:t>0 /</w:t>
            </w:r>
          </w:p>
          <w:p w14:paraId="36717B71" w14:textId="77777777" w:rsidR="00AC03B5" w:rsidRPr="00A97BAE" w:rsidRDefault="00AC03B5" w:rsidP="008162C8">
            <w:pPr>
              <w:jc w:val="center"/>
              <w:rPr>
                <w:rFonts w:cs="Times New Roman"/>
                <w:szCs w:val="16"/>
              </w:rPr>
            </w:pPr>
            <w:r w:rsidRPr="00A97BAE">
              <w:rPr>
                <w:rFonts w:cs="Times New Roman"/>
                <w:szCs w:val="16"/>
              </w:rPr>
              <w:t>49</w:t>
            </w:r>
            <w:r>
              <w:rPr>
                <w:rFonts w:cs="Times New Roman"/>
                <w:szCs w:val="16"/>
              </w:rPr>
              <w:t>.</w:t>
            </w:r>
            <w:r w:rsidRPr="00A97BAE">
              <w:rPr>
                <w:rFonts w:cs="Times New Roman"/>
                <w:szCs w:val="16"/>
              </w:rPr>
              <w:t>0</w:t>
            </w:r>
          </w:p>
        </w:tc>
        <w:tc>
          <w:tcPr>
            <w:tcW w:w="594" w:type="dxa"/>
            <w:vAlign w:val="center"/>
          </w:tcPr>
          <w:p w14:paraId="3A9967EE" w14:textId="77777777" w:rsidR="00AC03B5" w:rsidRPr="00A97BAE" w:rsidRDefault="00AC03B5" w:rsidP="008162C8">
            <w:pPr>
              <w:jc w:val="center"/>
              <w:rPr>
                <w:rFonts w:cs="Times New Roman"/>
                <w:szCs w:val="16"/>
              </w:rPr>
            </w:pPr>
            <w:r w:rsidRPr="00A97BAE">
              <w:rPr>
                <w:rFonts w:cs="Times New Roman"/>
                <w:szCs w:val="16"/>
              </w:rPr>
              <w:t>30% / 40%</w:t>
            </w:r>
          </w:p>
        </w:tc>
        <w:tc>
          <w:tcPr>
            <w:tcW w:w="594" w:type="dxa"/>
            <w:vAlign w:val="center"/>
          </w:tcPr>
          <w:p w14:paraId="2A34F30C" w14:textId="77777777" w:rsidR="00AC03B5" w:rsidRPr="00A97BAE" w:rsidRDefault="00AC03B5" w:rsidP="008162C8">
            <w:pPr>
              <w:jc w:val="center"/>
              <w:rPr>
                <w:rFonts w:cs="Times New Roman"/>
                <w:szCs w:val="16"/>
              </w:rPr>
            </w:pPr>
            <w:r w:rsidRPr="00A97BAE">
              <w:rPr>
                <w:rFonts w:cs="Times New Roman"/>
                <w:szCs w:val="16"/>
              </w:rPr>
              <w:t>Oral, flexible</w:t>
            </w:r>
          </w:p>
        </w:tc>
        <w:tc>
          <w:tcPr>
            <w:tcW w:w="593" w:type="dxa"/>
            <w:vAlign w:val="center"/>
          </w:tcPr>
          <w:p w14:paraId="4C5CE82E" w14:textId="77777777" w:rsidR="00AC03B5" w:rsidRPr="00A97BAE" w:rsidRDefault="00AC03B5" w:rsidP="008162C8">
            <w:pPr>
              <w:jc w:val="center"/>
              <w:rPr>
                <w:rFonts w:cs="Times New Roman"/>
                <w:szCs w:val="16"/>
              </w:rPr>
            </w:pPr>
            <w:r w:rsidRPr="00A97BAE">
              <w:rPr>
                <w:rFonts w:cs="Times New Roman"/>
                <w:szCs w:val="16"/>
              </w:rPr>
              <w:t>25mg</w:t>
            </w:r>
          </w:p>
        </w:tc>
        <w:tc>
          <w:tcPr>
            <w:tcW w:w="593" w:type="dxa"/>
            <w:vAlign w:val="center"/>
          </w:tcPr>
          <w:p w14:paraId="2343F7DE" w14:textId="77777777" w:rsidR="00AC03B5" w:rsidRPr="00A97BAE" w:rsidRDefault="00AC03B5" w:rsidP="008162C8">
            <w:pPr>
              <w:jc w:val="center"/>
              <w:rPr>
                <w:rFonts w:cs="Times New Roman"/>
                <w:szCs w:val="16"/>
              </w:rPr>
            </w:pPr>
            <w:r w:rsidRPr="00A97BAE">
              <w:rPr>
                <w:rFonts w:cs="Times New Roman"/>
                <w:szCs w:val="16"/>
              </w:rPr>
              <w:t>250mg</w:t>
            </w:r>
          </w:p>
        </w:tc>
        <w:tc>
          <w:tcPr>
            <w:tcW w:w="792" w:type="dxa"/>
            <w:vAlign w:val="center"/>
          </w:tcPr>
          <w:p w14:paraId="0188BA3F" w14:textId="77777777" w:rsidR="00AC03B5" w:rsidRPr="00A97BAE" w:rsidRDefault="00AC03B5" w:rsidP="008162C8">
            <w:pPr>
              <w:jc w:val="center"/>
              <w:rPr>
                <w:rFonts w:cs="Times New Roman"/>
                <w:szCs w:val="16"/>
              </w:rPr>
            </w:pPr>
            <w:r w:rsidRPr="00A97BAE">
              <w:rPr>
                <w:rFonts w:cs="Times New Roman"/>
                <w:szCs w:val="16"/>
              </w:rPr>
              <w:t>11-weeks</w:t>
            </w:r>
          </w:p>
        </w:tc>
        <w:tc>
          <w:tcPr>
            <w:tcW w:w="593" w:type="dxa"/>
            <w:vAlign w:val="center"/>
          </w:tcPr>
          <w:p w14:paraId="755DB802" w14:textId="77777777" w:rsidR="00AC03B5" w:rsidRPr="00A97BAE" w:rsidRDefault="00AC03B5" w:rsidP="008162C8">
            <w:pPr>
              <w:jc w:val="center"/>
              <w:rPr>
                <w:rFonts w:cs="Times New Roman"/>
                <w:szCs w:val="16"/>
              </w:rPr>
            </w:pPr>
            <w:r w:rsidRPr="00A97BAE">
              <w:rPr>
                <w:rFonts w:cs="Times New Roman"/>
                <w:szCs w:val="16"/>
              </w:rPr>
              <w:t>No</w:t>
            </w:r>
          </w:p>
        </w:tc>
      </w:tr>
      <w:tr w:rsidR="00AC03B5" w:rsidRPr="00A97BAE" w14:paraId="65408859" w14:textId="77777777" w:rsidTr="008162C8">
        <w:trPr>
          <w:trHeight w:val="780"/>
        </w:trPr>
        <w:tc>
          <w:tcPr>
            <w:tcW w:w="421" w:type="dxa"/>
            <w:vAlign w:val="center"/>
          </w:tcPr>
          <w:p w14:paraId="067B8A08" w14:textId="77777777" w:rsidR="00AC03B5" w:rsidRPr="00A97BAE" w:rsidRDefault="00AC03B5" w:rsidP="008162C8">
            <w:pPr>
              <w:jc w:val="center"/>
              <w:rPr>
                <w:rFonts w:cs="Times New Roman"/>
                <w:b/>
                <w:szCs w:val="16"/>
              </w:rPr>
            </w:pPr>
            <w:r>
              <w:rPr>
                <w:rFonts w:cs="Times New Roman"/>
                <w:b/>
                <w:szCs w:val="16"/>
              </w:rPr>
              <w:lastRenderedPageBreak/>
              <w:t>13</w:t>
            </w:r>
          </w:p>
        </w:tc>
        <w:tc>
          <w:tcPr>
            <w:tcW w:w="853" w:type="dxa"/>
            <w:vAlign w:val="center"/>
          </w:tcPr>
          <w:p w14:paraId="4C6B03F6" w14:textId="77777777" w:rsidR="00AC03B5" w:rsidRPr="00A97BAE" w:rsidRDefault="00AC03B5" w:rsidP="008162C8">
            <w:pPr>
              <w:jc w:val="center"/>
              <w:rPr>
                <w:rFonts w:cs="Times New Roman"/>
                <w:szCs w:val="16"/>
              </w:rPr>
            </w:pPr>
            <w:r w:rsidRPr="00A97BAE">
              <w:rPr>
                <w:rFonts w:cs="Times New Roman"/>
                <w:szCs w:val="16"/>
              </w:rPr>
              <w:t xml:space="preserve">Hollander et al. </w:t>
            </w:r>
            <w:r w:rsidRPr="00A97BAE">
              <w:rPr>
                <w:rFonts w:cs="Times New Roman"/>
                <w:szCs w:val="16"/>
              </w:rPr>
              <w:fldChar w:fldCharType="begin" w:fldLock="1"/>
            </w:r>
            <w:r>
              <w:rPr>
                <w:rFonts w:cs="Times New Roman"/>
                <w:szCs w:val="16"/>
              </w:rPr>
              <w:instrText>ADDIN CSL_CITATION {"citationItems":[{"id":"ITEM-1","itemData":{"DOI":"10.1016/S0006-3223(00)00241-9","ISSN":"0006-3223","PMID":"10812040","abstract":"Background: The study assessed the efficacy and tolerability of the selective serotonin reuptake inhibitor (SSRI) fluvoxamine in the treatment of pathologic gambling (PG). Methods: A 16-week randomized double-blind crossover design insured that each subject received 8 weeks of fluvoxamine and 8 weeks of a placebo. Fifteen patients entered and 10 subjects, all male, completed the study. Results: Fluvoxamine resulted in a significantly greater percent improvement in overall gambling severity on the PG Clinical Global Impression (PG-CGI) scale. There was a significant drug effect on gambling urge and behavior as measured by the PG modification of the Yale-Brown Obsessive Compulsive Scale and PG-CGI scale improvement scores; however, there was a significant interaction of drug effect with the order of administration of drug and placebo. Post hoc analysis, treating each phase as a separate trial, demonstrated a significant difference between fluvoxamine and the placebo in the second phase of the trial but not in the first. Fluvoxamine side effects were of only mild intensity and consistent with SSRI treatment and were not associated with early withdrawal from the study. Conclusions: These findings suggest that fluvoxamine is well tolerated and may be effective in the treatment of PG in an acute trial, and that an early placebo effect in PG treatment appears to diminish over time. To confirm this finding and to determine whether improvement persists over an extended period of time, a longer duration parallel-design trial with long-term maintenance follow-up should be conducted in a larger and more diverse PG population. (C) 2000 Society of Biological Psychiatry.","author":[{"dropping-particle":"","family":"Hollander","given":"Eric","non-dropping-particle":"","parse-names":false,"suffix":""},{"dropping-particle":"","family":"Decaria","given":"Concetta M.","non-dropping-particle":"","parse-names":false,"suffix":""},{"dropping-particle":"","family":"Finkell","given":"Jared N.","non-dropping-particle":"","parse-names":false,"suffix":""},{"dropping-particle":"","family":"Begaz","given":"Tomer","non-dropping-particle":"","parse-names":false,"suffix":""},{"dropping-particle":"","family":"Wong","given":"Cheryl M.","non-dropping-particle":"","parse-names":false,"suffix":""},{"dropping-particle":"","family":"Cartwright","given":"Charles","non-dropping-particle":"","parse-names":false,"suffix":""}],"container-title":"Biological psychiatry","id":"ITEM-1","issue":"9","issued":{"date-parts":[["2000","5","1"]]},"page":"813-817","publisher":"Biol Psychiatry","title":"A randomized double-blind fluvoxamine/placebo crossover trial in pathologic gambling","type":"article-journal","volume":"47"},"uris":["http://www.mendeley.com/documents/?uuid=21f63e36-301a-3218-9986-0bf840a03743"]}],"mendeley":{"formattedCitation":"(Eric Hollander et al., 2000)","plainTextFormattedCitation":"(Eric Hollander et al., 2000)","previouslyFormattedCitation":"(Eric Hollander et al. 2000)"},"properties":{"noteIndex":0},"schema":"https://github.com/citation-style-language/schema/raw/master/csl-citation.json"}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(Eric Hollander et al., 2000)</w:t>
            </w:r>
            <w:r w:rsidRPr="00A97BAE">
              <w:rPr>
                <w:rFonts w:cs="Times New Roman"/>
                <w:szCs w:val="16"/>
              </w:rPr>
              <w:fldChar w:fldCharType="end"/>
            </w:r>
          </w:p>
        </w:tc>
        <w:tc>
          <w:tcPr>
            <w:tcW w:w="503" w:type="dxa"/>
            <w:vAlign w:val="center"/>
          </w:tcPr>
          <w:p w14:paraId="4083D0E7" w14:textId="77777777" w:rsidR="00AC03B5" w:rsidRPr="00A97BAE" w:rsidRDefault="00AC03B5" w:rsidP="008162C8">
            <w:pPr>
              <w:jc w:val="center"/>
              <w:rPr>
                <w:rFonts w:cs="Times New Roman"/>
                <w:szCs w:val="16"/>
              </w:rPr>
            </w:pPr>
            <w:r w:rsidRPr="00A97BAE">
              <w:rPr>
                <w:rFonts w:cs="Times New Roman"/>
                <w:szCs w:val="16"/>
              </w:rPr>
              <w:t>2000</w:t>
            </w:r>
          </w:p>
        </w:tc>
        <w:tc>
          <w:tcPr>
            <w:tcW w:w="692" w:type="dxa"/>
            <w:vAlign w:val="center"/>
          </w:tcPr>
          <w:p w14:paraId="1BF21446" w14:textId="77777777" w:rsidR="00AC03B5" w:rsidRPr="00A97BAE" w:rsidRDefault="00AC03B5" w:rsidP="008162C8">
            <w:pPr>
              <w:jc w:val="center"/>
              <w:rPr>
                <w:rFonts w:cs="Times New Roman"/>
                <w:szCs w:val="16"/>
              </w:rPr>
            </w:pPr>
            <w:r w:rsidRPr="00A97BAE">
              <w:rPr>
                <w:rFonts w:cs="Times New Roman"/>
                <w:szCs w:val="16"/>
              </w:rPr>
              <w:t>Biol Psychiatry</w:t>
            </w:r>
          </w:p>
        </w:tc>
        <w:tc>
          <w:tcPr>
            <w:tcW w:w="1088" w:type="dxa"/>
            <w:vAlign w:val="center"/>
          </w:tcPr>
          <w:p w14:paraId="3100798D" w14:textId="77777777" w:rsidR="00AC03B5" w:rsidRPr="00A97BAE" w:rsidRDefault="00AC03B5" w:rsidP="008162C8">
            <w:pPr>
              <w:jc w:val="center"/>
              <w:rPr>
                <w:rFonts w:cs="Times New Roman"/>
                <w:szCs w:val="16"/>
              </w:rPr>
            </w:pPr>
            <w:r w:rsidRPr="00A97BAE">
              <w:rPr>
                <w:rFonts w:cs="Times New Roman"/>
                <w:szCs w:val="16"/>
              </w:rPr>
              <w:t>Double Blind RCT Cross-over design, 2 arms</w:t>
            </w:r>
          </w:p>
        </w:tc>
        <w:tc>
          <w:tcPr>
            <w:tcW w:w="989" w:type="dxa"/>
            <w:vAlign w:val="center"/>
          </w:tcPr>
          <w:p w14:paraId="7A43F1EF" w14:textId="77777777" w:rsidR="00AC03B5" w:rsidRPr="00A97BAE" w:rsidRDefault="00AC03B5" w:rsidP="008162C8">
            <w:pPr>
              <w:jc w:val="center"/>
              <w:rPr>
                <w:rFonts w:cs="Times New Roman"/>
                <w:szCs w:val="16"/>
              </w:rPr>
            </w:pPr>
            <w:r w:rsidRPr="00A97BAE">
              <w:rPr>
                <w:rFonts w:cs="Times New Roman"/>
                <w:szCs w:val="16"/>
              </w:rPr>
              <w:t>fluvoxamine vs. placebo</w:t>
            </w:r>
          </w:p>
        </w:tc>
        <w:tc>
          <w:tcPr>
            <w:tcW w:w="593" w:type="dxa"/>
            <w:vAlign w:val="center"/>
          </w:tcPr>
          <w:p w14:paraId="1BA54441" w14:textId="77777777" w:rsidR="00AC03B5" w:rsidRPr="00A97BAE" w:rsidRDefault="00AC03B5" w:rsidP="008162C8">
            <w:pPr>
              <w:jc w:val="center"/>
              <w:rPr>
                <w:rFonts w:cs="Times New Roman"/>
                <w:szCs w:val="16"/>
              </w:rPr>
            </w:pPr>
            <w:r w:rsidRPr="00A97BAE">
              <w:rPr>
                <w:rFonts w:cs="Times New Roman"/>
                <w:szCs w:val="16"/>
              </w:rPr>
              <w:t>6/7</w:t>
            </w:r>
          </w:p>
        </w:tc>
        <w:tc>
          <w:tcPr>
            <w:tcW w:w="594" w:type="dxa"/>
            <w:vAlign w:val="center"/>
          </w:tcPr>
          <w:p w14:paraId="2E3830C7" w14:textId="77777777" w:rsidR="00AC03B5" w:rsidRPr="00A97BAE" w:rsidRDefault="00AC03B5" w:rsidP="008162C8">
            <w:pPr>
              <w:jc w:val="center"/>
              <w:rPr>
                <w:rFonts w:cs="Times New Roman"/>
                <w:szCs w:val="16"/>
              </w:rPr>
            </w:pPr>
            <w:r w:rsidRPr="00A97BAE">
              <w:rPr>
                <w:rFonts w:cs="Times New Roman"/>
                <w:szCs w:val="16"/>
              </w:rPr>
              <w:t>43</w:t>
            </w:r>
            <w:r>
              <w:rPr>
                <w:rFonts w:cs="Times New Roman"/>
                <w:szCs w:val="16"/>
              </w:rPr>
              <w:t>.</w:t>
            </w:r>
            <w:r w:rsidRPr="00A97BAE">
              <w:rPr>
                <w:rFonts w:cs="Times New Roman"/>
                <w:szCs w:val="16"/>
              </w:rPr>
              <w:t>0 /</w:t>
            </w:r>
          </w:p>
          <w:p w14:paraId="3CB420DA" w14:textId="77777777" w:rsidR="00AC03B5" w:rsidRPr="00A97BAE" w:rsidRDefault="00AC03B5" w:rsidP="008162C8">
            <w:pPr>
              <w:jc w:val="center"/>
              <w:rPr>
                <w:rFonts w:cs="Times New Roman"/>
                <w:szCs w:val="16"/>
              </w:rPr>
            </w:pPr>
            <w:r w:rsidRPr="00A97BAE">
              <w:rPr>
                <w:rFonts w:cs="Times New Roman"/>
                <w:szCs w:val="16"/>
              </w:rPr>
              <w:t>36</w:t>
            </w:r>
            <w:r>
              <w:rPr>
                <w:rFonts w:cs="Times New Roman"/>
                <w:szCs w:val="16"/>
              </w:rPr>
              <w:t>.2</w:t>
            </w:r>
          </w:p>
        </w:tc>
        <w:tc>
          <w:tcPr>
            <w:tcW w:w="594" w:type="dxa"/>
            <w:vAlign w:val="center"/>
          </w:tcPr>
          <w:p w14:paraId="655D2DE0" w14:textId="77777777" w:rsidR="00AC03B5" w:rsidRPr="00A97BAE" w:rsidRDefault="00AC03B5" w:rsidP="008162C8">
            <w:pPr>
              <w:jc w:val="center"/>
              <w:rPr>
                <w:rFonts w:cs="Times New Roman"/>
                <w:szCs w:val="16"/>
              </w:rPr>
            </w:pPr>
            <w:r w:rsidRPr="00A97BAE">
              <w:rPr>
                <w:rFonts w:cs="Times New Roman"/>
                <w:szCs w:val="16"/>
              </w:rPr>
              <w:t>100% / 100%</w:t>
            </w:r>
          </w:p>
        </w:tc>
        <w:tc>
          <w:tcPr>
            <w:tcW w:w="594" w:type="dxa"/>
            <w:vAlign w:val="center"/>
          </w:tcPr>
          <w:p w14:paraId="42B5CCAE" w14:textId="77777777" w:rsidR="00AC03B5" w:rsidRPr="00A97BAE" w:rsidRDefault="00AC03B5" w:rsidP="008162C8">
            <w:pPr>
              <w:jc w:val="center"/>
              <w:rPr>
                <w:rFonts w:cs="Times New Roman"/>
                <w:szCs w:val="16"/>
              </w:rPr>
            </w:pPr>
            <w:r w:rsidRPr="00A97BAE">
              <w:rPr>
                <w:rFonts w:cs="Times New Roman"/>
                <w:szCs w:val="16"/>
              </w:rPr>
              <w:t>Oral, fixed &amp; cross-over</w:t>
            </w:r>
          </w:p>
        </w:tc>
        <w:tc>
          <w:tcPr>
            <w:tcW w:w="593" w:type="dxa"/>
            <w:vAlign w:val="center"/>
          </w:tcPr>
          <w:p w14:paraId="537A150A" w14:textId="77777777" w:rsidR="00AC03B5" w:rsidRPr="00A97BAE" w:rsidRDefault="00AC03B5" w:rsidP="008162C8">
            <w:pPr>
              <w:jc w:val="center"/>
              <w:rPr>
                <w:rFonts w:cs="Times New Roman"/>
                <w:szCs w:val="16"/>
              </w:rPr>
            </w:pPr>
            <w:r w:rsidRPr="00A97BAE">
              <w:rPr>
                <w:rFonts w:cs="Times New Roman"/>
                <w:szCs w:val="16"/>
              </w:rPr>
              <w:t>50mg</w:t>
            </w:r>
          </w:p>
        </w:tc>
        <w:tc>
          <w:tcPr>
            <w:tcW w:w="593" w:type="dxa"/>
            <w:vAlign w:val="center"/>
          </w:tcPr>
          <w:p w14:paraId="0D85F4B5" w14:textId="77777777" w:rsidR="00AC03B5" w:rsidRPr="00A97BAE" w:rsidRDefault="00AC03B5" w:rsidP="008162C8">
            <w:pPr>
              <w:jc w:val="center"/>
              <w:rPr>
                <w:rFonts w:cs="Times New Roman"/>
                <w:szCs w:val="16"/>
              </w:rPr>
            </w:pPr>
            <w:r w:rsidRPr="00A97BAE">
              <w:rPr>
                <w:rFonts w:cs="Times New Roman"/>
                <w:szCs w:val="16"/>
              </w:rPr>
              <w:t>250mg</w:t>
            </w:r>
          </w:p>
        </w:tc>
        <w:tc>
          <w:tcPr>
            <w:tcW w:w="792" w:type="dxa"/>
            <w:vAlign w:val="center"/>
          </w:tcPr>
          <w:p w14:paraId="67096F96" w14:textId="77777777" w:rsidR="00AC03B5" w:rsidRPr="00A97BAE" w:rsidRDefault="00AC03B5" w:rsidP="008162C8">
            <w:pPr>
              <w:jc w:val="center"/>
              <w:rPr>
                <w:rFonts w:cs="Times New Roman"/>
                <w:szCs w:val="16"/>
              </w:rPr>
            </w:pPr>
            <w:r w:rsidRPr="00A97BAE">
              <w:rPr>
                <w:rFonts w:cs="Times New Roman"/>
                <w:szCs w:val="16"/>
              </w:rPr>
              <w:t>8-weeks</w:t>
            </w:r>
          </w:p>
        </w:tc>
        <w:tc>
          <w:tcPr>
            <w:tcW w:w="593" w:type="dxa"/>
            <w:vAlign w:val="center"/>
          </w:tcPr>
          <w:p w14:paraId="700AB14B" w14:textId="77777777" w:rsidR="00AC03B5" w:rsidRPr="00A97BAE" w:rsidRDefault="00AC03B5" w:rsidP="008162C8">
            <w:pPr>
              <w:jc w:val="center"/>
              <w:rPr>
                <w:rFonts w:cs="Times New Roman"/>
                <w:szCs w:val="16"/>
              </w:rPr>
            </w:pPr>
            <w:r w:rsidRPr="00A97BAE">
              <w:rPr>
                <w:rFonts w:cs="Times New Roman"/>
                <w:szCs w:val="16"/>
              </w:rPr>
              <w:t>Yes</w:t>
            </w:r>
          </w:p>
        </w:tc>
      </w:tr>
      <w:tr w:rsidR="00AC03B5" w:rsidRPr="00A97BAE" w14:paraId="7BDB919E" w14:textId="77777777" w:rsidTr="008162C8">
        <w:trPr>
          <w:trHeight w:val="780"/>
        </w:trPr>
        <w:tc>
          <w:tcPr>
            <w:tcW w:w="421" w:type="dxa"/>
            <w:vAlign w:val="center"/>
          </w:tcPr>
          <w:p w14:paraId="77BBB324" w14:textId="77777777" w:rsidR="00AC03B5" w:rsidRPr="00A97BAE" w:rsidRDefault="00AC03B5" w:rsidP="008162C8">
            <w:pPr>
              <w:jc w:val="center"/>
              <w:rPr>
                <w:rFonts w:cs="Times New Roman"/>
                <w:b/>
                <w:szCs w:val="16"/>
              </w:rPr>
            </w:pPr>
            <w:r>
              <w:rPr>
                <w:rFonts w:cs="Times New Roman"/>
                <w:b/>
                <w:szCs w:val="16"/>
              </w:rPr>
              <w:t>14</w:t>
            </w:r>
          </w:p>
        </w:tc>
        <w:tc>
          <w:tcPr>
            <w:tcW w:w="853" w:type="dxa"/>
            <w:vAlign w:val="center"/>
          </w:tcPr>
          <w:p w14:paraId="76D47319" w14:textId="77777777" w:rsidR="00AC03B5" w:rsidRPr="00A97BAE" w:rsidRDefault="00AC03B5" w:rsidP="008162C8">
            <w:pPr>
              <w:jc w:val="center"/>
              <w:rPr>
                <w:rFonts w:cs="Times New Roman"/>
                <w:szCs w:val="16"/>
              </w:rPr>
            </w:pPr>
            <w:r w:rsidRPr="00A97BAE">
              <w:rPr>
                <w:rFonts w:cs="Times New Roman"/>
                <w:szCs w:val="16"/>
              </w:rPr>
              <w:t>Grant et al.</w:t>
            </w:r>
            <w:r w:rsidRPr="00A97BAE">
              <w:rPr>
                <w:rFonts w:cs="Times New Roman"/>
                <w:szCs w:val="16"/>
              </w:rPr>
              <w:fldChar w:fldCharType="begin" w:fldLock="1"/>
            </w:r>
            <w:r>
              <w:rPr>
                <w:rFonts w:cs="Times New Roman"/>
                <w:szCs w:val="16"/>
              </w:rPr>
              <w:instrText>ADDIN CSL_CITATION {"citationItems":[{"id":"ITEM-1","itemData":{"DOI":"10.4088/JCP.13M08411","ISSN":"1555-2101","PMID":"24345329","abstract":"Objective: Pathological gambling is associated with elevated proportions of nicotine dependence, and tobacco smoking in pathological gamblers has been associated with increased problem-gambling severity. This study examined the addition of N-acetylcysteine to imaginal desensitization in adults with co-occurring nicotine dependence and pathological gambling. Method: Twenty-eight individuals with cooccurring DSM-IV nicotine dependence and pathological gambling who were receiving behavioral therapy were recruited from December 2009 to February 2012 and randomized to augmentation with N-acetylcysteine or placebo in an 12-week, double-blind trial. Subjects were assessed with measures of nicotine and gambling severity and followed for 3 months after treatment. The primary outcomes were the Fagerström Test for Nicotine Dependence and the pathological gambling adaptation of the Yale- Brown Obsessive-Compulsive Scale. Results: During the first 6 weeks, there was a significant benefit of N-acetylcysteine treatment versus placebo on Fagerström Test for Nicotine Dependence total scores (t = -2.224; P = .031). After the initial 6 weeks, all subjects significantly (P &lt; .001) benefited from imaginal desensitization. During the 3-month follow-up, there was a significant additional benefit for N-acetylcysteine versus placebo on measures of problem-gambling severity (t = 2.069; P = .043). Conclusions: N-acetylcysteine treatment during therapy facilitates long-term application of behavioral therapy techniques once patients are in the community after therapy has been completed. © Copyright 2013 Physicians Postgraduate Press, Inc.","author":[{"dropping-particle":"","family":"Grant","given":"Jon E.","non-dropping-particle":"","parse-names":false,"suffix":""},{"dropping-particle":"","family":"Odlaug","given":"Brian L.","non-dropping-particle":"","parse-names":false,"suffix":""},{"dropping-particle":"","family":"Chamberlain","given":"Samuel R.","non-dropping-particle":"","parse-names":false,"suffix":""},{"dropping-particle":"","family":"Potenza","given":"Marc N.","non-dropping-particle":"","parse-names":false,"suffix":""},{"dropping-particle":"","family":"Schreiber","given":"Liana R.N.","non-dropping-particle":"","parse-names":false,"suffix":""},{"dropping-particle":"","family":"Donahue","given":"Christopher B.","non-dropping-particle":"","parse-names":false,"suffix":""},{"dropping-particle":"","family":"Kim","given":"Suck Won","non-dropping-particle":"","parse-names":false,"suffix":""}],"container-title":"The Journal of clinical psychiatry","id":"ITEM-1","issue":"1","issued":{"date-parts":[["2014"]]},"page":"39-45","publisher":"J Clin Psychiatry","title":"A randomized, placebo-controlled trial of N-acetylcysteine plus imaginal desensitization for nicotine-dependent pathological gamblers","type":"article-journal","volume":"75"},"uris":["http://www.mendeley.com/documents/?uuid=9d032611-5940-3ea6-a695-6958e07d89b0"]}],"mendeley":{"formattedCitation":"(Grant et al., 2014)","plainTextFormattedCitation":"(Grant et al., 2014)","previouslyFormattedCitation":"(Grant et al. 2014)"},"properties":{"noteIndex":0},"schema":"https://github.com/citation-style-language/schema/raw/master/csl-citation.json"}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(Grant et al., 2014)</w:t>
            </w:r>
            <w:r w:rsidRPr="00A97BAE">
              <w:rPr>
                <w:rFonts w:cs="Times New Roman"/>
                <w:szCs w:val="16"/>
              </w:rPr>
              <w:fldChar w:fldCharType="end"/>
            </w:r>
          </w:p>
        </w:tc>
        <w:tc>
          <w:tcPr>
            <w:tcW w:w="503" w:type="dxa"/>
            <w:vAlign w:val="center"/>
          </w:tcPr>
          <w:p w14:paraId="4F506C35" w14:textId="77777777" w:rsidR="00AC03B5" w:rsidRPr="00A97BAE" w:rsidRDefault="00AC03B5" w:rsidP="008162C8">
            <w:pPr>
              <w:jc w:val="center"/>
              <w:rPr>
                <w:rFonts w:cs="Times New Roman"/>
                <w:szCs w:val="16"/>
              </w:rPr>
            </w:pPr>
            <w:r w:rsidRPr="00A97BAE">
              <w:rPr>
                <w:rFonts w:cs="Times New Roman"/>
                <w:szCs w:val="16"/>
              </w:rPr>
              <w:t>2014</w:t>
            </w:r>
          </w:p>
        </w:tc>
        <w:tc>
          <w:tcPr>
            <w:tcW w:w="692" w:type="dxa"/>
            <w:vAlign w:val="center"/>
          </w:tcPr>
          <w:p w14:paraId="5B541D45" w14:textId="77777777" w:rsidR="00AC03B5" w:rsidRPr="00A97BAE" w:rsidRDefault="00AC03B5" w:rsidP="008162C8">
            <w:pPr>
              <w:jc w:val="center"/>
              <w:rPr>
                <w:rFonts w:cs="Times New Roman"/>
                <w:szCs w:val="16"/>
              </w:rPr>
            </w:pPr>
            <w:r w:rsidRPr="00A97BAE">
              <w:rPr>
                <w:rFonts w:cs="Times New Roman"/>
                <w:szCs w:val="16"/>
              </w:rPr>
              <w:t>J Clin Psychiatry</w:t>
            </w:r>
          </w:p>
        </w:tc>
        <w:tc>
          <w:tcPr>
            <w:tcW w:w="1088" w:type="dxa"/>
            <w:vAlign w:val="center"/>
          </w:tcPr>
          <w:p w14:paraId="44F3CF1C"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585D465A" w14:textId="77777777" w:rsidR="00AC03B5" w:rsidRPr="00A97BAE" w:rsidRDefault="00AC03B5" w:rsidP="008162C8">
            <w:pPr>
              <w:jc w:val="center"/>
              <w:rPr>
                <w:rFonts w:cs="Times New Roman"/>
                <w:szCs w:val="16"/>
              </w:rPr>
            </w:pPr>
            <w:r w:rsidRPr="00A97BAE">
              <w:rPr>
                <w:rFonts w:cs="Times New Roman"/>
                <w:szCs w:val="16"/>
              </w:rPr>
              <w:t>NAC vs. placebo</w:t>
            </w:r>
          </w:p>
        </w:tc>
        <w:tc>
          <w:tcPr>
            <w:tcW w:w="593" w:type="dxa"/>
            <w:vAlign w:val="center"/>
          </w:tcPr>
          <w:p w14:paraId="0D60DB17" w14:textId="77777777" w:rsidR="00AC03B5" w:rsidRPr="00A97BAE" w:rsidRDefault="00AC03B5" w:rsidP="008162C8">
            <w:pPr>
              <w:jc w:val="center"/>
              <w:rPr>
                <w:rFonts w:cs="Times New Roman"/>
                <w:szCs w:val="16"/>
              </w:rPr>
            </w:pPr>
            <w:r w:rsidRPr="00A97BAE">
              <w:rPr>
                <w:rFonts w:cs="Times New Roman"/>
                <w:szCs w:val="16"/>
              </w:rPr>
              <w:t>13/15</w:t>
            </w:r>
          </w:p>
        </w:tc>
        <w:tc>
          <w:tcPr>
            <w:tcW w:w="594" w:type="dxa"/>
            <w:vAlign w:val="center"/>
          </w:tcPr>
          <w:p w14:paraId="57C1C683" w14:textId="77777777" w:rsidR="00AC03B5" w:rsidRPr="00A97BAE" w:rsidRDefault="00AC03B5" w:rsidP="008162C8">
            <w:pPr>
              <w:jc w:val="center"/>
              <w:rPr>
                <w:rFonts w:cs="Times New Roman"/>
                <w:szCs w:val="16"/>
              </w:rPr>
            </w:pPr>
            <w:r w:rsidRPr="00A97BAE">
              <w:rPr>
                <w:rFonts w:cs="Times New Roman"/>
                <w:szCs w:val="16"/>
              </w:rPr>
              <w:t>N/A</w:t>
            </w:r>
          </w:p>
        </w:tc>
        <w:tc>
          <w:tcPr>
            <w:tcW w:w="594" w:type="dxa"/>
            <w:vAlign w:val="center"/>
          </w:tcPr>
          <w:p w14:paraId="3FE98288" w14:textId="77777777" w:rsidR="00AC03B5" w:rsidRPr="00A97BAE" w:rsidRDefault="00AC03B5" w:rsidP="008162C8">
            <w:pPr>
              <w:jc w:val="center"/>
              <w:rPr>
                <w:rFonts w:cs="Times New Roman"/>
                <w:szCs w:val="16"/>
              </w:rPr>
            </w:pPr>
            <w:r w:rsidRPr="00A97BAE">
              <w:rPr>
                <w:rFonts w:cs="Times New Roman"/>
                <w:szCs w:val="16"/>
              </w:rPr>
              <w:t>N/A</w:t>
            </w:r>
          </w:p>
        </w:tc>
        <w:tc>
          <w:tcPr>
            <w:tcW w:w="594" w:type="dxa"/>
            <w:vAlign w:val="center"/>
          </w:tcPr>
          <w:p w14:paraId="7C41674E" w14:textId="77777777" w:rsidR="00AC03B5" w:rsidRPr="00A97BAE" w:rsidRDefault="00AC03B5" w:rsidP="008162C8">
            <w:pPr>
              <w:jc w:val="center"/>
              <w:rPr>
                <w:rFonts w:cs="Times New Roman"/>
                <w:szCs w:val="16"/>
              </w:rPr>
            </w:pPr>
            <w:r w:rsidRPr="00A97BAE">
              <w:rPr>
                <w:rFonts w:cs="Times New Roman"/>
                <w:szCs w:val="16"/>
              </w:rPr>
              <w:t>Oral, clinical judgement</w:t>
            </w:r>
          </w:p>
        </w:tc>
        <w:tc>
          <w:tcPr>
            <w:tcW w:w="593" w:type="dxa"/>
            <w:vAlign w:val="center"/>
          </w:tcPr>
          <w:p w14:paraId="74251B9C" w14:textId="77777777" w:rsidR="00AC03B5" w:rsidRPr="00A97BAE" w:rsidRDefault="00AC03B5" w:rsidP="008162C8">
            <w:pPr>
              <w:jc w:val="center"/>
              <w:rPr>
                <w:rFonts w:cs="Times New Roman"/>
                <w:szCs w:val="16"/>
              </w:rPr>
            </w:pPr>
            <w:r w:rsidRPr="00A97BAE">
              <w:rPr>
                <w:rFonts w:cs="Times New Roman"/>
                <w:szCs w:val="16"/>
              </w:rPr>
              <w:t>1200mg</w:t>
            </w:r>
          </w:p>
        </w:tc>
        <w:tc>
          <w:tcPr>
            <w:tcW w:w="593" w:type="dxa"/>
            <w:vAlign w:val="center"/>
          </w:tcPr>
          <w:p w14:paraId="4EA12EAD" w14:textId="77777777" w:rsidR="00AC03B5" w:rsidRPr="00A97BAE" w:rsidRDefault="00AC03B5" w:rsidP="008162C8">
            <w:pPr>
              <w:jc w:val="center"/>
              <w:rPr>
                <w:rFonts w:cs="Times New Roman"/>
                <w:szCs w:val="16"/>
              </w:rPr>
            </w:pPr>
            <w:r w:rsidRPr="00A97BAE">
              <w:rPr>
                <w:rFonts w:cs="Times New Roman"/>
                <w:szCs w:val="16"/>
              </w:rPr>
              <w:t>3gr</w:t>
            </w:r>
          </w:p>
        </w:tc>
        <w:tc>
          <w:tcPr>
            <w:tcW w:w="792" w:type="dxa"/>
            <w:vAlign w:val="center"/>
          </w:tcPr>
          <w:p w14:paraId="18887832" w14:textId="77777777" w:rsidR="00AC03B5" w:rsidRPr="00A97BAE" w:rsidRDefault="00AC03B5" w:rsidP="008162C8">
            <w:pPr>
              <w:jc w:val="center"/>
              <w:rPr>
                <w:rFonts w:cs="Times New Roman"/>
                <w:szCs w:val="16"/>
              </w:rPr>
            </w:pPr>
            <w:r w:rsidRPr="00A97BAE">
              <w:rPr>
                <w:rFonts w:cs="Times New Roman"/>
                <w:szCs w:val="16"/>
              </w:rPr>
              <w:t>12-weeks</w:t>
            </w:r>
          </w:p>
        </w:tc>
        <w:tc>
          <w:tcPr>
            <w:tcW w:w="593" w:type="dxa"/>
            <w:vAlign w:val="center"/>
          </w:tcPr>
          <w:p w14:paraId="4677C55E" w14:textId="77777777" w:rsidR="00AC03B5" w:rsidRPr="00A97BAE" w:rsidRDefault="00AC03B5" w:rsidP="008162C8">
            <w:pPr>
              <w:jc w:val="center"/>
              <w:rPr>
                <w:rFonts w:cs="Times New Roman"/>
                <w:szCs w:val="16"/>
              </w:rPr>
            </w:pPr>
            <w:r w:rsidRPr="00A97BAE">
              <w:rPr>
                <w:rFonts w:cs="Times New Roman"/>
                <w:szCs w:val="16"/>
              </w:rPr>
              <w:t>No</w:t>
            </w:r>
          </w:p>
        </w:tc>
      </w:tr>
      <w:tr w:rsidR="00AC03B5" w:rsidRPr="00A97BAE" w14:paraId="2AFE9AA3" w14:textId="77777777" w:rsidTr="008162C8">
        <w:trPr>
          <w:trHeight w:val="586"/>
        </w:trPr>
        <w:tc>
          <w:tcPr>
            <w:tcW w:w="421" w:type="dxa"/>
            <w:vAlign w:val="center"/>
          </w:tcPr>
          <w:p w14:paraId="316E5EDF" w14:textId="77777777" w:rsidR="00AC03B5" w:rsidRPr="00A97BAE" w:rsidRDefault="00AC03B5" w:rsidP="008162C8">
            <w:pPr>
              <w:jc w:val="center"/>
              <w:rPr>
                <w:rFonts w:cs="Times New Roman"/>
                <w:b/>
                <w:szCs w:val="16"/>
              </w:rPr>
            </w:pPr>
            <w:r>
              <w:rPr>
                <w:rFonts w:cs="Times New Roman"/>
                <w:b/>
                <w:szCs w:val="16"/>
              </w:rPr>
              <w:t>15</w:t>
            </w:r>
          </w:p>
        </w:tc>
        <w:tc>
          <w:tcPr>
            <w:tcW w:w="853" w:type="dxa"/>
            <w:vAlign w:val="center"/>
          </w:tcPr>
          <w:p w14:paraId="723A703E" w14:textId="77777777" w:rsidR="00AC03B5" w:rsidRPr="00A97BAE" w:rsidRDefault="00AC03B5" w:rsidP="008162C8">
            <w:pPr>
              <w:jc w:val="center"/>
              <w:rPr>
                <w:rFonts w:cs="Times New Roman"/>
                <w:szCs w:val="16"/>
              </w:rPr>
            </w:pPr>
            <w:r w:rsidRPr="00A97BAE">
              <w:rPr>
                <w:rFonts w:cs="Times New Roman"/>
                <w:szCs w:val="16"/>
              </w:rPr>
              <w:t xml:space="preserve">Hollander et al. </w:t>
            </w:r>
            <w:r w:rsidRPr="00A97BAE">
              <w:rPr>
                <w:rFonts w:cs="Times New Roman"/>
                <w:szCs w:val="16"/>
              </w:rPr>
              <w:fldChar w:fldCharType="begin" w:fldLock="1"/>
            </w:r>
            <w:r>
              <w:rPr>
                <w:rFonts w:cs="Times New Roman"/>
                <w:szCs w:val="16"/>
              </w:rPr>
              <w:instrText>ADDIN CSL_CITATION {"citationItems":[{"id":"ITEM-1","itemData":{"DOI":"10.1176/APPI.AJP.162.1.137","ISSN":"0002-953X","PMID":"15625212","abstract":"Objective: Selective serotonin reuptake inhibitors may be effective for some patients with pathological gambling, but those with comorbid conditions, such as bipolar spectrum disorders, may relapse during treatment. To the authors' knowledge, this is the first placebo-controlled treatment study in pathological gamblers with bipolar spectrum disorders; it compares sustained-release lithium carbonate to placebo. Method: Forty pathological gambling patients with bipolar spectrum disorders entered a 10-week randomized, double-blind, placebo-controlled treatment study of sustained-release lithium carbonate. Outcome measures included gambling severity, mood, anxiety, and impulsivity scales. Results: Pathological gambling patients with bipolar spectrum disorders significantly improved while taking sustained-release lithium carbonate compared to placebo on total pathological gambling scores on the Yale-Brown Obsessive Compulsive Scale, including both thoughts/ urges and behavior, as well as on the Clinical Global Impression severity of pathological gambling scale. Affective instability (the Clinician-Administered Rating Scale for Mania score) was also lower in the group treated with sustained-release lithium carbonate compared to placebo. Ten (83%) of 12 completers were rated as responders in the sustained-release lithium group versus five (29%) of 17 in the placebo group. Of note, improvement in gambling severity was significantly correlated with improvement in mania ratings. Conclusions: Sustained-released lithium may be an effective treatment in reducing both gambling behavior and affective instability in pathological gamblers with bipolar spectrum disorder. This study high-lights the need to identify subgroups of pathological gambling patients with bipolar spectrum conditions because this may have important treatment implications.","author":[{"dropping-particle":"","family":"Hollander","given":"E","non-dropping-particle":"","parse-names":false,"suffix":""},{"dropping-particle":"","family":"Pallanti","given":"S","non-dropping-particle":"","parse-names":false,"suffix":""},{"dropping-particle":"","family":"Allen","given":"A","non-dropping-particle":"","parse-names":false,"suffix":""},{"dropping-particle":"","family":"Sood","given":"E","non-dropping-particle":"","parse-names":false,"suffix":""},{"dropping-particle":"","family":"Rossi","given":"NB","non-dropping-particle":"","parse-names":false,"suffix":""}],"container-title":"The American journal of psychiatry","id":"ITEM-1","issue":"1","issued":{"date-parts":[["2005","1"]]},"page":"137-145","publisher":"Am J Psychiatry","title":"Does sustained-release lithium reduce impulsive gambling and affective instability versus placebo in pathological gamblers with bipolar spectrum disorders?","type":"article-journal","volume":"162"},"uris":["http://www.mendeley.com/documents/?uuid=208007b9-2e24-3850-a3a7-2c7660a82048"]}],"mendeley":{"formattedCitation":"(E Hollander, Pallanti, Allen, Sood, &amp; Rossi, 2005)","plainTextFormattedCitation":"(E Hollander, Pallanti, Allen, Sood, &amp; Rossi, 2005)","previouslyFormattedCitation":"(E Hollander et al. 2005)"},"properties":{"noteIndex":0},"schema":"https://github.com/citation-style-language/schema/raw/master/csl-citation.json"}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 xml:space="preserve">(E Hollander, Pallanti, Allen, Sood, &amp; </w:t>
            </w:r>
            <w:r w:rsidRPr="007626CA">
              <w:rPr>
                <w:rFonts w:cs="Times New Roman"/>
                <w:noProof/>
                <w:szCs w:val="16"/>
              </w:rPr>
              <w:lastRenderedPageBreak/>
              <w:t>Rossi, 2005)</w:t>
            </w:r>
            <w:r w:rsidRPr="00A97BAE">
              <w:rPr>
                <w:rFonts w:cs="Times New Roman"/>
                <w:szCs w:val="16"/>
              </w:rPr>
              <w:fldChar w:fldCharType="end"/>
            </w:r>
          </w:p>
        </w:tc>
        <w:tc>
          <w:tcPr>
            <w:tcW w:w="503" w:type="dxa"/>
            <w:vAlign w:val="center"/>
          </w:tcPr>
          <w:p w14:paraId="46F0F58E" w14:textId="77777777" w:rsidR="00AC03B5" w:rsidRPr="00A97BAE" w:rsidRDefault="00AC03B5" w:rsidP="008162C8">
            <w:pPr>
              <w:jc w:val="center"/>
              <w:rPr>
                <w:rFonts w:cs="Times New Roman"/>
                <w:szCs w:val="16"/>
              </w:rPr>
            </w:pPr>
            <w:r w:rsidRPr="00A97BAE">
              <w:rPr>
                <w:rFonts w:cs="Times New Roman"/>
                <w:szCs w:val="16"/>
              </w:rPr>
              <w:lastRenderedPageBreak/>
              <w:t>2005</w:t>
            </w:r>
          </w:p>
        </w:tc>
        <w:tc>
          <w:tcPr>
            <w:tcW w:w="692" w:type="dxa"/>
            <w:vAlign w:val="center"/>
          </w:tcPr>
          <w:p w14:paraId="25092C51" w14:textId="77777777" w:rsidR="00AC03B5" w:rsidRPr="00A97BAE" w:rsidRDefault="00AC03B5" w:rsidP="008162C8">
            <w:pPr>
              <w:jc w:val="center"/>
              <w:rPr>
                <w:rFonts w:cs="Times New Roman"/>
                <w:szCs w:val="16"/>
              </w:rPr>
            </w:pPr>
            <w:r w:rsidRPr="00A97BAE">
              <w:rPr>
                <w:rFonts w:cs="Times New Roman"/>
                <w:szCs w:val="16"/>
              </w:rPr>
              <w:t>Am J Psychiatry</w:t>
            </w:r>
          </w:p>
        </w:tc>
        <w:tc>
          <w:tcPr>
            <w:tcW w:w="1088" w:type="dxa"/>
            <w:vAlign w:val="center"/>
          </w:tcPr>
          <w:p w14:paraId="6BF5F032"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550CA706" w14:textId="77777777" w:rsidR="00AC03B5" w:rsidRPr="00A97BAE" w:rsidRDefault="00AC03B5" w:rsidP="008162C8">
            <w:pPr>
              <w:jc w:val="center"/>
              <w:rPr>
                <w:rFonts w:cs="Times New Roman"/>
                <w:szCs w:val="16"/>
              </w:rPr>
            </w:pPr>
            <w:r w:rsidRPr="00A97BAE">
              <w:rPr>
                <w:rFonts w:cs="Times New Roman"/>
                <w:szCs w:val="16"/>
              </w:rPr>
              <w:t>lithium vs placebo</w:t>
            </w:r>
          </w:p>
        </w:tc>
        <w:tc>
          <w:tcPr>
            <w:tcW w:w="593" w:type="dxa"/>
            <w:vAlign w:val="center"/>
          </w:tcPr>
          <w:p w14:paraId="61706A91" w14:textId="77777777" w:rsidR="00AC03B5" w:rsidRPr="00A97BAE" w:rsidRDefault="00AC03B5" w:rsidP="008162C8">
            <w:pPr>
              <w:jc w:val="center"/>
              <w:rPr>
                <w:rFonts w:cs="Times New Roman"/>
                <w:szCs w:val="16"/>
              </w:rPr>
            </w:pPr>
            <w:r w:rsidRPr="00A97BAE">
              <w:rPr>
                <w:rFonts w:cs="Times New Roman"/>
                <w:szCs w:val="16"/>
              </w:rPr>
              <w:t>18/22</w:t>
            </w:r>
          </w:p>
        </w:tc>
        <w:tc>
          <w:tcPr>
            <w:tcW w:w="594" w:type="dxa"/>
            <w:vAlign w:val="center"/>
          </w:tcPr>
          <w:p w14:paraId="30B53144" w14:textId="77777777" w:rsidR="00AC03B5" w:rsidRPr="00A97BAE" w:rsidRDefault="00AC03B5" w:rsidP="008162C8">
            <w:pPr>
              <w:jc w:val="center"/>
              <w:rPr>
                <w:rFonts w:cs="Times New Roman"/>
                <w:szCs w:val="16"/>
              </w:rPr>
            </w:pPr>
            <w:r w:rsidRPr="00A97BAE">
              <w:rPr>
                <w:rFonts w:cs="Times New Roman"/>
                <w:szCs w:val="16"/>
              </w:rPr>
              <w:t>40</w:t>
            </w:r>
            <w:r>
              <w:rPr>
                <w:rFonts w:cs="Times New Roman"/>
                <w:szCs w:val="16"/>
              </w:rPr>
              <w:t>.</w:t>
            </w:r>
            <w:r w:rsidRPr="00A97BAE">
              <w:rPr>
                <w:rFonts w:cs="Times New Roman"/>
                <w:szCs w:val="16"/>
              </w:rPr>
              <w:t>0 /</w:t>
            </w:r>
          </w:p>
          <w:p w14:paraId="322FC975" w14:textId="77777777" w:rsidR="00AC03B5" w:rsidRPr="00A97BAE" w:rsidRDefault="00AC03B5" w:rsidP="008162C8">
            <w:pPr>
              <w:jc w:val="center"/>
              <w:rPr>
                <w:rFonts w:cs="Times New Roman"/>
                <w:szCs w:val="16"/>
              </w:rPr>
            </w:pPr>
            <w:r w:rsidRPr="00A97BAE">
              <w:rPr>
                <w:rFonts w:cs="Times New Roman"/>
                <w:szCs w:val="16"/>
              </w:rPr>
              <w:t>47</w:t>
            </w:r>
            <w:r>
              <w:rPr>
                <w:rFonts w:cs="Times New Roman"/>
                <w:szCs w:val="16"/>
              </w:rPr>
              <w:t>.</w:t>
            </w:r>
            <w:r w:rsidRPr="00A97BAE">
              <w:rPr>
                <w:rFonts w:cs="Times New Roman"/>
                <w:szCs w:val="16"/>
              </w:rPr>
              <w:t>7</w:t>
            </w:r>
          </w:p>
        </w:tc>
        <w:tc>
          <w:tcPr>
            <w:tcW w:w="594" w:type="dxa"/>
            <w:vAlign w:val="center"/>
          </w:tcPr>
          <w:p w14:paraId="6E50597B" w14:textId="77777777" w:rsidR="00AC03B5" w:rsidRPr="00A97BAE" w:rsidRDefault="00AC03B5" w:rsidP="008162C8">
            <w:pPr>
              <w:jc w:val="center"/>
              <w:rPr>
                <w:rFonts w:cs="Times New Roman"/>
                <w:szCs w:val="16"/>
              </w:rPr>
            </w:pPr>
            <w:r w:rsidRPr="00A97BAE">
              <w:rPr>
                <w:rFonts w:cs="Times New Roman"/>
                <w:szCs w:val="16"/>
              </w:rPr>
              <w:t>50% / 64.7%</w:t>
            </w:r>
          </w:p>
        </w:tc>
        <w:tc>
          <w:tcPr>
            <w:tcW w:w="594" w:type="dxa"/>
            <w:vAlign w:val="center"/>
          </w:tcPr>
          <w:p w14:paraId="1B85A492" w14:textId="77777777" w:rsidR="00AC03B5" w:rsidRPr="00A97BAE" w:rsidRDefault="00AC03B5" w:rsidP="008162C8">
            <w:pPr>
              <w:jc w:val="center"/>
              <w:rPr>
                <w:rFonts w:cs="Times New Roman"/>
                <w:szCs w:val="16"/>
              </w:rPr>
            </w:pPr>
            <w:r w:rsidRPr="00A97BAE">
              <w:rPr>
                <w:rFonts w:cs="Times New Roman"/>
                <w:szCs w:val="16"/>
              </w:rPr>
              <w:t>Oral, flexible</w:t>
            </w:r>
          </w:p>
        </w:tc>
        <w:tc>
          <w:tcPr>
            <w:tcW w:w="593" w:type="dxa"/>
            <w:vAlign w:val="center"/>
          </w:tcPr>
          <w:p w14:paraId="71072344" w14:textId="77777777" w:rsidR="00AC03B5" w:rsidRPr="00A97BAE" w:rsidRDefault="00AC03B5" w:rsidP="008162C8">
            <w:pPr>
              <w:jc w:val="center"/>
              <w:rPr>
                <w:rFonts w:cs="Times New Roman"/>
                <w:szCs w:val="16"/>
              </w:rPr>
            </w:pPr>
            <w:r w:rsidRPr="00A97BAE">
              <w:rPr>
                <w:rFonts w:cs="Times New Roman"/>
                <w:szCs w:val="16"/>
              </w:rPr>
              <w:t>300mg sust. release</w:t>
            </w:r>
          </w:p>
        </w:tc>
        <w:tc>
          <w:tcPr>
            <w:tcW w:w="593" w:type="dxa"/>
            <w:vAlign w:val="center"/>
          </w:tcPr>
          <w:p w14:paraId="39E0EAAE" w14:textId="77777777" w:rsidR="00AC03B5" w:rsidRPr="00A97BAE" w:rsidRDefault="00AC03B5" w:rsidP="008162C8">
            <w:pPr>
              <w:jc w:val="center"/>
              <w:rPr>
                <w:rFonts w:cs="Times New Roman"/>
                <w:szCs w:val="16"/>
              </w:rPr>
            </w:pPr>
            <w:r w:rsidRPr="00A97BAE">
              <w:rPr>
                <w:rFonts w:cs="Times New Roman"/>
                <w:szCs w:val="16"/>
              </w:rPr>
              <w:t>1200mg sust. release</w:t>
            </w:r>
          </w:p>
        </w:tc>
        <w:tc>
          <w:tcPr>
            <w:tcW w:w="792" w:type="dxa"/>
            <w:vAlign w:val="center"/>
          </w:tcPr>
          <w:p w14:paraId="0497DC2C" w14:textId="77777777" w:rsidR="00AC03B5" w:rsidRPr="00A97BAE" w:rsidRDefault="00AC03B5" w:rsidP="008162C8">
            <w:pPr>
              <w:jc w:val="center"/>
              <w:rPr>
                <w:rFonts w:cs="Times New Roman"/>
                <w:szCs w:val="16"/>
              </w:rPr>
            </w:pPr>
            <w:r w:rsidRPr="00A97BAE">
              <w:rPr>
                <w:rFonts w:cs="Times New Roman"/>
                <w:szCs w:val="16"/>
              </w:rPr>
              <w:t>10-weeks</w:t>
            </w:r>
          </w:p>
        </w:tc>
        <w:tc>
          <w:tcPr>
            <w:tcW w:w="593" w:type="dxa"/>
            <w:vAlign w:val="center"/>
          </w:tcPr>
          <w:p w14:paraId="50E637FC" w14:textId="77777777" w:rsidR="00AC03B5" w:rsidRPr="00A97BAE" w:rsidRDefault="00AC03B5" w:rsidP="008162C8">
            <w:pPr>
              <w:jc w:val="center"/>
              <w:rPr>
                <w:rFonts w:cs="Times New Roman"/>
                <w:szCs w:val="16"/>
              </w:rPr>
            </w:pPr>
            <w:r w:rsidRPr="00A97BAE">
              <w:rPr>
                <w:rFonts w:cs="Times New Roman"/>
                <w:szCs w:val="16"/>
              </w:rPr>
              <w:t>Yes</w:t>
            </w:r>
          </w:p>
        </w:tc>
      </w:tr>
      <w:tr w:rsidR="00AC03B5" w:rsidRPr="00A97BAE" w14:paraId="50B3B207" w14:textId="77777777" w:rsidTr="008162C8">
        <w:trPr>
          <w:trHeight w:val="580"/>
        </w:trPr>
        <w:tc>
          <w:tcPr>
            <w:tcW w:w="421" w:type="dxa"/>
            <w:vAlign w:val="center"/>
          </w:tcPr>
          <w:p w14:paraId="047F1BC3" w14:textId="77777777" w:rsidR="00AC03B5" w:rsidRPr="00A97BAE" w:rsidRDefault="00AC03B5" w:rsidP="008162C8">
            <w:pPr>
              <w:jc w:val="center"/>
              <w:rPr>
                <w:rFonts w:cs="Times New Roman"/>
                <w:b/>
                <w:szCs w:val="16"/>
              </w:rPr>
            </w:pPr>
            <w:r>
              <w:rPr>
                <w:rFonts w:cs="Times New Roman"/>
                <w:b/>
                <w:szCs w:val="16"/>
              </w:rPr>
              <w:lastRenderedPageBreak/>
              <w:t>16</w:t>
            </w:r>
          </w:p>
        </w:tc>
        <w:tc>
          <w:tcPr>
            <w:tcW w:w="853" w:type="dxa"/>
            <w:vAlign w:val="center"/>
          </w:tcPr>
          <w:p w14:paraId="1B58B254" w14:textId="77777777" w:rsidR="00AC03B5" w:rsidRPr="00A97BAE" w:rsidRDefault="00AC03B5" w:rsidP="008162C8">
            <w:pPr>
              <w:jc w:val="center"/>
              <w:rPr>
                <w:rFonts w:cs="Times New Roman"/>
                <w:szCs w:val="16"/>
              </w:rPr>
            </w:pPr>
            <w:r w:rsidRPr="00A97BAE">
              <w:rPr>
                <w:rFonts w:cs="Times New Roman"/>
                <w:szCs w:val="16"/>
              </w:rPr>
              <w:t xml:space="preserve">Grant et al. </w:t>
            </w:r>
            <w:r w:rsidRPr="00A97BAE">
              <w:rPr>
                <w:rFonts w:cs="Times New Roman"/>
                <w:szCs w:val="16"/>
              </w:rPr>
              <w:fldChar w:fldCharType="begin" w:fldLock="1"/>
            </w:r>
            <w:r>
              <w:rPr>
                <w:rFonts w:cs="Times New Roman"/>
                <w:szCs w:val="16"/>
              </w:rPr>
              <w:instrText>ADDIN CSL_CITATION {"citationItems":[{"id":"ITEM-1","itemData":{"author":[{"dropping-particle":"","family":"Grant","given":"Jon E.","non-dropping-particle":"","parse-names":false,"suffix":""},{"dropping-particle":"","family":"Driessens","given":"Corine","non-dropping-particle":"","parse-names":false,"suffix":""},{"dropping-particle":"","family":"Chamberlain","given":"Samuel R.","non-dropping-particle":"","parse-names":false,"suffix":""}],"container-title":"Clinical Neuropharmacology","id":"ITEM-1","issued":{"date-parts":[["2024"]]},"title":"Milk Thistle (Silymarin) Treatment of Adults with Gambling Disorder: A Double-Blind, Placebo-Controlled Trial","type":"article-journal","volume":"in press"},"uris":["http://www.mendeley.com/documents/?uuid=9e1b6a93-a370-4446-a8de-f934649cb9a4"]}],"mendeley":{"formattedCitation":"(Grant, Driessens, &amp; Chamberlain, 2024)","plainTextFormattedCitation":"(Grant, Driessens, &amp; Chamberlain, 2024)","previouslyFormattedCitation":"(Grant, Driessens, and Chamberlain 2024)"},"properties":{"noteIndex":0},"schema":"https://github.com/citation-style-language/schema/raw/master/csl-citation.json"}</w:instrText>
            </w:r>
            <w:r w:rsidRPr="00A97BAE">
              <w:rPr>
                <w:rFonts w:cs="Times New Roman"/>
                <w:szCs w:val="16"/>
              </w:rPr>
              <w:fldChar w:fldCharType="separate"/>
            </w:r>
            <w:r w:rsidRPr="007626CA">
              <w:rPr>
                <w:rFonts w:cs="Times New Roman"/>
                <w:noProof/>
                <w:szCs w:val="16"/>
              </w:rPr>
              <w:t>(Grant, Driessens, &amp; Chamberlain, 2024)</w:t>
            </w:r>
            <w:r w:rsidRPr="00A97BAE">
              <w:rPr>
                <w:rFonts w:cs="Times New Roman"/>
                <w:szCs w:val="16"/>
              </w:rPr>
              <w:fldChar w:fldCharType="end"/>
            </w:r>
          </w:p>
        </w:tc>
        <w:tc>
          <w:tcPr>
            <w:tcW w:w="503" w:type="dxa"/>
            <w:vAlign w:val="center"/>
          </w:tcPr>
          <w:p w14:paraId="34BDF39E" w14:textId="77777777" w:rsidR="00AC03B5" w:rsidRPr="00A97BAE" w:rsidRDefault="00AC03B5" w:rsidP="008162C8">
            <w:pPr>
              <w:jc w:val="center"/>
              <w:rPr>
                <w:rFonts w:cs="Times New Roman"/>
                <w:szCs w:val="16"/>
              </w:rPr>
            </w:pPr>
            <w:r w:rsidRPr="00A97BAE">
              <w:rPr>
                <w:rFonts w:cs="Times New Roman"/>
                <w:szCs w:val="16"/>
              </w:rPr>
              <w:t>2024</w:t>
            </w:r>
          </w:p>
        </w:tc>
        <w:tc>
          <w:tcPr>
            <w:tcW w:w="692" w:type="dxa"/>
            <w:vAlign w:val="center"/>
          </w:tcPr>
          <w:p w14:paraId="7637C997" w14:textId="77777777" w:rsidR="00AC03B5" w:rsidRPr="00A97BAE" w:rsidRDefault="00AC03B5" w:rsidP="008162C8">
            <w:pPr>
              <w:jc w:val="center"/>
              <w:rPr>
                <w:rFonts w:cs="Times New Roman"/>
                <w:szCs w:val="16"/>
              </w:rPr>
            </w:pPr>
            <w:r w:rsidRPr="00A97BAE">
              <w:rPr>
                <w:rFonts w:cs="Times New Roman"/>
                <w:szCs w:val="16"/>
              </w:rPr>
              <w:t>Clinical Neuropharm</w:t>
            </w:r>
          </w:p>
        </w:tc>
        <w:tc>
          <w:tcPr>
            <w:tcW w:w="1088" w:type="dxa"/>
            <w:vAlign w:val="center"/>
          </w:tcPr>
          <w:p w14:paraId="553D93D9" w14:textId="77777777" w:rsidR="00AC03B5" w:rsidRPr="00A97BAE" w:rsidRDefault="00AC03B5" w:rsidP="008162C8">
            <w:pPr>
              <w:jc w:val="center"/>
              <w:rPr>
                <w:rFonts w:cs="Times New Roman"/>
                <w:szCs w:val="16"/>
              </w:rPr>
            </w:pPr>
            <w:r w:rsidRPr="00A97BAE">
              <w:rPr>
                <w:rFonts w:cs="Times New Roman"/>
                <w:szCs w:val="16"/>
              </w:rPr>
              <w:t>Double Blind RCT Parallel design, 2 arms</w:t>
            </w:r>
          </w:p>
        </w:tc>
        <w:tc>
          <w:tcPr>
            <w:tcW w:w="989" w:type="dxa"/>
            <w:vAlign w:val="center"/>
          </w:tcPr>
          <w:p w14:paraId="365DDE8C" w14:textId="77777777" w:rsidR="00AC03B5" w:rsidRPr="00A97BAE" w:rsidRDefault="00AC03B5" w:rsidP="008162C8">
            <w:pPr>
              <w:jc w:val="center"/>
              <w:rPr>
                <w:rFonts w:cs="Times New Roman"/>
                <w:szCs w:val="16"/>
              </w:rPr>
            </w:pPr>
            <w:r w:rsidRPr="00A97BAE">
              <w:rPr>
                <w:rFonts w:cs="Times New Roman"/>
                <w:szCs w:val="16"/>
              </w:rPr>
              <w:t>silymarin vs placebo</w:t>
            </w:r>
          </w:p>
        </w:tc>
        <w:tc>
          <w:tcPr>
            <w:tcW w:w="593" w:type="dxa"/>
            <w:vAlign w:val="center"/>
          </w:tcPr>
          <w:p w14:paraId="4A2F7E38" w14:textId="77777777" w:rsidR="00AC03B5" w:rsidRPr="00A97BAE" w:rsidRDefault="00AC03B5" w:rsidP="008162C8">
            <w:pPr>
              <w:jc w:val="center"/>
              <w:rPr>
                <w:rFonts w:cs="Times New Roman"/>
                <w:szCs w:val="16"/>
              </w:rPr>
            </w:pPr>
            <w:r w:rsidRPr="00A97BAE">
              <w:rPr>
                <w:rFonts w:cs="Times New Roman"/>
                <w:szCs w:val="16"/>
              </w:rPr>
              <w:t>17/26</w:t>
            </w:r>
          </w:p>
        </w:tc>
        <w:tc>
          <w:tcPr>
            <w:tcW w:w="594" w:type="dxa"/>
            <w:vAlign w:val="center"/>
          </w:tcPr>
          <w:p w14:paraId="1B0A10A0" w14:textId="77777777" w:rsidR="00AC03B5" w:rsidRPr="00A97BAE" w:rsidRDefault="00AC03B5" w:rsidP="008162C8">
            <w:pPr>
              <w:jc w:val="center"/>
              <w:rPr>
                <w:rFonts w:cs="Times New Roman"/>
                <w:szCs w:val="16"/>
              </w:rPr>
            </w:pPr>
            <w:r w:rsidRPr="00A97BAE">
              <w:rPr>
                <w:rFonts w:cs="Times New Roman"/>
                <w:szCs w:val="16"/>
              </w:rPr>
              <w:t>48</w:t>
            </w:r>
            <w:r>
              <w:rPr>
                <w:rFonts w:cs="Times New Roman"/>
                <w:szCs w:val="16"/>
              </w:rPr>
              <w:t>.</w:t>
            </w:r>
            <w:r w:rsidRPr="00A97BAE">
              <w:rPr>
                <w:rFonts w:cs="Times New Roman"/>
                <w:szCs w:val="16"/>
              </w:rPr>
              <w:t>2/ 50</w:t>
            </w:r>
            <w:r>
              <w:rPr>
                <w:rFonts w:cs="Times New Roman"/>
                <w:szCs w:val="16"/>
              </w:rPr>
              <w:t>.</w:t>
            </w:r>
            <w:r w:rsidRPr="00A97BAE">
              <w:rPr>
                <w:rFonts w:cs="Times New Roman"/>
                <w:szCs w:val="16"/>
              </w:rPr>
              <w:t>5</w:t>
            </w:r>
          </w:p>
        </w:tc>
        <w:tc>
          <w:tcPr>
            <w:tcW w:w="594" w:type="dxa"/>
            <w:vAlign w:val="center"/>
          </w:tcPr>
          <w:p w14:paraId="6C2C7B47" w14:textId="77777777" w:rsidR="00AC03B5" w:rsidRPr="00A97BAE" w:rsidRDefault="00AC03B5" w:rsidP="008162C8">
            <w:pPr>
              <w:jc w:val="center"/>
              <w:rPr>
                <w:rFonts w:cs="Times New Roman"/>
                <w:szCs w:val="16"/>
              </w:rPr>
            </w:pPr>
            <w:r w:rsidRPr="00A97BAE">
              <w:rPr>
                <w:rFonts w:cs="Times New Roman"/>
                <w:szCs w:val="16"/>
              </w:rPr>
              <w:t>41.2% / 72%</w:t>
            </w:r>
          </w:p>
        </w:tc>
        <w:tc>
          <w:tcPr>
            <w:tcW w:w="594" w:type="dxa"/>
            <w:vAlign w:val="center"/>
          </w:tcPr>
          <w:p w14:paraId="018232A1" w14:textId="77777777" w:rsidR="00AC03B5" w:rsidRPr="00A97BAE" w:rsidRDefault="00AC03B5" w:rsidP="008162C8">
            <w:pPr>
              <w:jc w:val="center"/>
              <w:rPr>
                <w:rFonts w:cs="Times New Roman"/>
                <w:szCs w:val="16"/>
              </w:rPr>
            </w:pPr>
            <w:r w:rsidRPr="00A97BAE">
              <w:rPr>
                <w:rFonts w:cs="Times New Roman"/>
                <w:szCs w:val="16"/>
              </w:rPr>
              <w:t>Oral, titration</w:t>
            </w:r>
          </w:p>
        </w:tc>
        <w:tc>
          <w:tcPr>
            <w:tcW w:w="593" w:type="dxa"/>
            <w:vAlign w:val="center"/>
          </w:tcPr>
          <w:p w14:paraId="7ADD0A40" w14:textId="77777777" w:rsidR="00AC03B5" w:rsidRPr="00A97BAE" w:rsidRDefault="00AC03B5" w:rsidP="008162C8">
            <w:pPr>
              <w:jc w:val="center"/>
              <w:rPr>
                <w:rFonts w:cs="Times New Roman"/>
                <w:szCs w:val="16"/>
              </w:rPr>
            </w:pPr>
            <w:r w:rsidRPr="00A97BAE">
              <w:rPr>
                <w:rFonts w:cs="Times New Roman"/>
                <w:szCs w:val="16"/>
              </w:rPr>
              <w:t>300mg</w:t>
            </w:r>
          </w:p>
        </w:tc>
        <w:tc>
          <w:tcPr>
            <w:tcW w:w="593" w:type="dxa"/>
            <w:vAlign w:val="center"/>
          </w:tcPr>
          <w:p w14:paraId="0CDF2933" w14:textId="77777777" w:rsidR="00AC03B5" w:rsidRPr="00A97BAE" w:rsidRDefault="00AC03B5" w:rsidP="008162C8">
            <w:pPr>
              <w:jc w:val="center"/>
              <w:rPr>
                <w:rFonts w:cs="Times New Roman"/>
                <w:szCs w:val="16"/>
              </w:rPr>
            </w:pPr>
            <w:r w:rsidRPr="00A97BAE">
              <w:rPr>
                <w:rFonts w:cs="Times New Roman"/>
                <w:szCs w:val="16"/>
              </w:rPr>
              <w:t>600mg</w:t>
            </w:r>
          </w:p>
        </w:tc>
        <w:tc>
          <w:tcPr>
            <w:tcW w:w="792" w:type="dxa"/>
            <w:vAlign w:val="center"/>
          </w:tcPr>
          <w:p w14:paraId="683C306A" w14:textId="77777777" w:rsidR="00AC03B5" w:rsidRPr="00A97BAE" w:rsidRDefault="00AC03B5" w:rsidP="008162C8">
            <w:pPr>
              <w:jc w:val="center"/>
              <w:rPr>
                <w:rFonts w:cs="Times New Roman"/>
                <w:szCs w:val="16"/>
              </w:rPr>
            </w:pPr>
            <w:r w:rsidRPr="00A97BAE">
              <w:rPr>
                <w:rFonts w:cs="Times New Roman"/>
                <w:szCs w:val="16"/>
              </w:rPr>
              <w:t>8-weeks</w:t>
            </w:r>
          </w:p>
        </w:tc>
        <w:tc>
          <w:tcPr>
            <w:tcW w:w="593" w:type="dxa"/>
            <w:vAlign w:val="center"/>
          </w:tcPr>
          <w:p w14:paraId="681A36C2" w14:textId="77777777" w:rsidR="00AC03B5" w:rsidRPr="00A97BAE" w:rsidRDefault="00AC03B5" w:rsidP="008162C8">
            <w:pPr>
              <w:jc w:val="center"/>
              <w:rPr>
                <w:rFonts w:cs="Times New Roman"/>
                <w:szCs w:val="16"/>
              </w:rPr>
            </w:pPr>
            <w:r w:rsidRPr="00A97BAE">
              <w:rPr>
                <w:rFonts w:cs="Times New Roman"/>
                <w:szCs w:val="16"/>
              </w:rPr>
              <w:t>No</w:t>
            </w:r>
          </w:p>
        </w:tc>
      </w:tr>
    </w:tbl>
    <w:p w14:paraId="18C1928F" w14:textId="77777777" w:rsidR="00AC03B5" w:rsidRDefault="00AC03B5" w:rsidP="00AC03B5"/>
    <w:p w14:paraId="55202D86" w14:textId="77777777" w:rsidR="00AC03B5" w:rsidRDefault="00AC03B5" w:rsidP="00AC03B5"/>
    <w:p w14:paraId="4E7F42A6" w14:textId="77777777" w:rsidR="00AC03B5" w:rsidRDefault="00AC03B5" w:rsidP="00AC03B5">
      <w:pPr>
        <w:pStyle w:val="Heading2"/>
      </w:pPr>
      <w:r>
        <w:t>References</w:t>
      </w:r>
    </w:p>
    <w:p w14:paraId="032CB366"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Pr="007626CA">
        <w:rPr>
          <w:rFonts w:cs="Times New Roman"/>
          <w:b/>
          <w:noProof/>
          <w:szCs w:val="24"/>
        </w:rPr>
        <w:t>Alho, H., Mäkelä, N., Isotalo, J., Toivonen, L., Ollikainen, J., &amp; Castrén, S</w:t>
      </w:r>
      <w:r w:rsidRPr="007626CA">
        <w:rPr>
          <w:rFonts w:cs="Times New Roman"/>
          <w:noProof/>
          <w:szCs w:val="24"/>
        </w:rPr>
        <w:t xml:space="preserve">. (2022). Intranasal as needed naloxone in the treatment of gambling disorder: A randomised controlled trial. </w:t>
      </w:r>
      <w:r w:rsidRPr="007626CA">
        <w:rPr>
          <w:rFonts w:cs="Times New Roman"/>
          <w:i/>
          <w:iCs/>
          <w:noProof/>
          <w:szCs w:val="24"/>
        </w:rPr>
        <w:t>Addictive Behaviors</w:t>
      </w:r>
      <w:r w:rsidRPr="007626CA">
        <w:rPr>
          <w:rFonts w:cs="Times New Roman"/>
          <w:noProof/>
          <w:szCs w:val="24"/>
        </w:rPr>
        <w:t xml:space="preserve">, </w:t>
      </w:r>
      <w:r w:rsidRPr="007626CA">
        <w:rPr>
          <w:rFonts w:cs="Times New Roman"/>
          <w:i/>
          <w:iCs/>
          <w:noProof/>
          <w:szCs w:val="24"/>
        </w:rPr>
        <w:t>125</w:t>
      </w:r>
      <w:r w:rsidRPr="007626CA">
        <w:rPr>
          <w:rFonts w:cs="Times New Roman"/>
          <w:noProof/>
          <w:szCs w:val="24"/>
        </w:rPr>
        <w:t>. https://doi.org/10.1016/J.ADDBEH.2021.107127</w:t>
      </w:r>
    </w:p>
    <w:p w14:paraId="64EB0268"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Berlin, H. A., Braun, A., Simeon, D., Koran, L. M., Potenza, M. N., McElroy, S. L., … Hollander, E.</w:t>
      </w:r>
      <w:r w:rsidRPr="007626CA">
        <w:rPr>
          <w:rFonts w:cs="Times New Roman"/>
          <w:noProof/>
          <w:szCs w:val="24"/>
        </w:rPr>
        <w:t xml:space="preserve"> (2013). A double-blind, placebo-controlled trial of topiramate for pathological gambling. </w:t>
      </w:r>
      <w:r w:rsidRPr="007626CA">
        <w:rPr>
          <w:rFonts w:cs="Times New Roman"/>
          <w:i/>
          <w:iCs/>
          <w:noProof/>
          <w:szCs w:val="24"/>
        </w:rPr>
        <w:t>The World Journal of Biological Psychiatry : The Official Journal of the World Federation of Societies of Biological Psychiatry</w:t>
      </w:r>
      <w:r w:rsidRPr="007626CA">
        <w:rPr>
          <w:rFonts w:cs="Times New Roman"/>
          <w:noProof/>
          <w:szCs w:val="24"/>
        </w:rPr>
        <w:t xml:space="preserve">, </w:t>
      </w:r>
      <w:r w:rsidRPr="007626CA">
        <w:rPr>
          <w:rFonts w:cs="Times New Roman"/>
          <w:i/>
          <w:iCs/>
          <w:noProof/>
          <w:szCs w:val="24"/>
        </w:rPr>
        <w:t>14</w:t>
      </w:r>
      <w:r w:rsidRPr="007626CA">
        <w:rPr>
          <w:rFonts w:cs="Times New Roman"/>
          <w:noProof/>
          <w:szCs w:val="24"/>
        </w:rPr>
        <w:t>(2), 121–128. https://doi.org/10.3109/15622975.2011.560964</w:t>
      </w:r>
    </w:p>
    <w:p w14:paraId="26C82C06"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Black, D. W., Arndt, S., Coryell, W. H., Argo, T., Forbush, K. T., Shaw, M. C., … Allen, J</w:t>
      </w:r>
      <w:r w:rsidRPr="007626CA">
        <w:rPr>
          <w:rFonts w:cs="Times New Roman"/>
          <w:noProof/>
          <w:szCs w:val="24"/>
        </w:rPr>
        <w:t xml:space="preserve">. (2007). Bupropion in the treatment of pathological gambling: a randomized, double-blind, placebo-controlled, flexible-dose study. </w:t>
      </w:r>
      <w:r w:rsidRPr="007626CA">
        <w:rPr>
          <w:rFonts w:cs="Times New Roman"/>
          <w:i/>
          <w:iCs/>
          <w:noProof/>
          <w:szCs w:val="24"/>
        </w:rPr>
        <w:t>Journal of Clinical Psychopharmacology</w:t>
      </w:r>
      <w:r w:rsidRPr="007626CA">
        <w:rPr>
          <w:rFonts w:cs="Times New Roman"/>
          <w:noProof/>
          <w:szCs w:val="24"/>
        </w:rPr>
        <w:t xml:space="preserve">, </w:t>
      </w:r>
      <w:r w:rsidRPr="007626CA">
        <w:rPr>
          <w:rFonts w:cs="Times New Roman"/>
          <w:i/>
          <w:iCs/>
          <w:noProof/>
          <w:szCs w:val="24"/>
        </w:rPr>
        <w:t>27</w:t>
      </w:r>
      <w:r w:rsidRPr="007626CA">
        <w:rPr>
          <w:rFonts w:cs="Times New Roman"/>
          <w:noProof/>
          <w:szCs w:val="24"/>
        </w:rPr>
        <w:t>(2), 143–150. https://doi.org/10.1097/01.JCP.0000264985.25109.25</w:t>
      </w:r>
    </w:p>
    <w:p w14:paraId="684D9D4C"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de Brito, A. M. C., de Almeida Pinto, M. G., Bronstein, G., Carneiro, E., Faertes, D., Fukugawa, V., … Tavares, H</w:t>
      </w:r>
      <w:r w:rsidRPr="007626CA">
        <w:rPr>
          <w:rFonts w:cs="Times New Roman"/>
          <w:noProof/>
          <w:szCs w:val="24"/>
        </w:rPr>
        <w:t xml:space="preserve">. (2017). Topiramate Combined with Cognitive Restructuring for the Treatment of Gambling Disorder: A Two-Center, Randomized, Double-Blind Clinical Trial. </w:t>
      </w:r>
      <w:r w:rsidRPr="007626CA">
        <w:rPr>
          <w:rFonts w:cs="Times New Roman"/>
          <w:i/>
          <w:iCs/>
          <w:noProof/>
          <w:szCs w:val="24"/>
        </w:rPr>
        <w:t>Journal of Gambling Studies</w:t>
      </w:r>
      <w:r w:rsidRPr="007626CA">
        <w:rPr>
          <w:rFonts w:cs="Times New Roman"/>
          <w:noProof/>
          <w:szCs w:val="24"/>
        </w:rPr>
        <w:t xml:space="preserve">, </w:t>
      </w:r>
      <w:r w:rsidRPr="007626CA">
        <w:rPr>
          <w:rFonts w:cs="Times New Roman"/>
          <w:i/>
          <w:iCs/>
          <w:noProof/>
          <w:szCs w:val="24"/>
        </w:rPr>
        <w:t>33</w:t>
      </w:r>
      <w:r w:rsidRPr="007626CA">
        <w:rPr>
          <w:rFonts w:cs="Times New Roman"/>
          <w:noProof/>
          <w:szCs w:val="24"/>
        </w:rPr>
        <w:t>(1), 249–263. https://doi.org/10.1007/S10899-016-9620-Z/METRICS</w:t>
      </w:r>
    </w:p>
    <w:p w14:paraId="04985284"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Fong, T., Kalechstein, A., Bernhard, B., Rosenthal, R., &amp; Rugle, L.</w:t>
      </w:r>
      <w:r w:rsidRPr="007626CA">
        <w:rPr>
          <w:rFonts w:cs="Times New Roman"/>
          <w:noProof/>
          <w:szCs w:val="24"/>
        </w:rPr>
        <w:t xml:space="preserve"> (2008). A double-blind, placebo-controlled trial of olanzapine for the treatment of video poker pathological gamblers. </w:t>
      </w:r>
      <w:r w:rsidRPr="007626CA">
        <w:rPr>
          <w:rFonts w:cs="Times New Roman"/>
          <w:i/>
          <w:iCs/>
          <w:noProof/>
          <w:szCs w:val="24"/>
        </w:rPr>
        <w:t>Pharmacology, Biochemistry, and Behavior</w:t>
      </w:r>
      <w:r w:rsidRPr="007626CA">
        <w:rPr>
          <w:rFonts w:cs="Times New Roman"/>
          <w:noProof/>
          <w:szCs w:val="24"/>
        </w:rPr>
        <w:t xml:space="preserve">, </w:t>
      </w:r>
      <w:r w:rsidRPr="007626CA">
        <w:rPr>
          <w:rFonts w:cs="Times New Roman"/>
          <w:i/>
          <w:iCs/>
          <w:noProof/>
          <w:szCs w:val="24"/>
        </w:rPr>
        <w:t>89</w:t>
      </w:r>
      <w:r w:rsidRPr="007626CA">
        <w:rPr>
          <w:rFonts w:cs="Times New Roman"/>
          <w:noProof/>
          <w:szCs w:val="24"/>
        </w:rPr>
        <w:t>(3), 298–303. https://doi.org/10.1016/J.PBB.2007.12.025</w:t>
      </w:r>
    </w:p>
    <w:p w14:paraId="62A246A0"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Grant, J. E., Driessens, C., &amp; Chamberlain, S. R.</w:t>
      </w:r>
      <w:r w:rsidRPr="007626CA">
        <w:rPr>
          <w:rFonts w:cs="Times New Roman"/>
          <w:noProof/>
          <w:szCs w:val="24"/>
        </w:rPr>
        <w:t xml:space="preserve"> (2024). Milk Thistle (Silymarin) Treatment of Adults with Gambling Disorder: A Double-Blind, Placebo-Controlled Trial. </w:t>
      </w:r>
      <w:r w:rsidRPr="007626CA">
        <w:rPr>
          <w:rFonts w:cs="Times New Roman"/>
          <w:i/>
          <w:iCs/>
          <w:noProof/>
          <w:szCs w:val="24"/>
        </w:rPr>
        <w:t>Clinical Neuropharmacology</w:t>
      </w:r>
      <w:r w:rsidRPr="007626CA">
        <w:rPr>
          <w:rFonts w:cs="Times New Roman"/>
          <w:noProof/>
          <w:szCs w:val="24"/>
        </w:rPr>
        <w:t xml:space="preserve">, </w:t>
      </w:r>
      <w:r w:rsidRPr="007626CA">
        <w:rPr>
          <w:rFonts w:cs="Times New Roman"/>
          <w:i/>
          <w:iCs/>
          <w:noProof/>
          <w:szCs w:val="24"/>
        </w:rPr>
        <w:t>in press</w:t>
      </w:r>
      <w:r w:rsidRPr="007626CA">
        <w:rPr>
          <w:rFonts w:cs="Times New Roman"/>
          <w:noProof/>
          <w:szCs w:val="24"/>
        </w:rPr>
        <w:t>. Retrieved from https://ichgcp.net/clinical-trials-registry/NCT02337634</w:t>
      </w:r>
    </w:p>
    <w:p w14:paraId="067C5C91"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Grant, J. E., Kim, S. W., Hollander, E., &amp; Potenza, M. N.</w:t>
      </w:r>
      <w:r w:rsidRPr="007626CA">
        <w:rPr>
          <w:rFonts w:cs="Times New Roman"/>
          <w:noProof/>
          <w:szCs w:val="24"/>
        </w:rPr>
        <w:t xml:space="preserve"> (2008). Predicting response to opiate antagonists and placebo in the treatment of pathological gambling. </w:t>
      </w:r>
      <w:r w:rsidRPr="007626CA">
        <w:rPr>
          <w:rFonts w:cs="Times New Roman"/>
          <w:i/>
          <w:iCs/>
          <w:noProof/>
          <w:szCs w:val="24"/>
        </w:rPr>
        <w:t>Psychopharmacology</w:t>
      </w:r>
      <w:r w:rsidRPr="007626CA">
        <w:rPr>
          <w:rFonts w:cs="Times New Roman"/>
          <w:noProof/>
          <w:szCs w:val="24"/>
        </w:rPr>
        <w:t xml:space="preserve">, </w:t>
      </w:r>
      <w:r w:rsidRPr="007626CA">
        <w:rPr>
          <w:rFonts w:cs="Times New Roman"/>
          <w:i/>
          <w:iCs/>
          <w:noProof/>
          <w:szCs w:val="24"/>
        </w:rPr>
        <w:t>200</w:t>
      </w:r>
      <w:r w:rsidRPr="007626CA">
        <w:rPr>
          <w:rFonts w:cs="Times New Roman"/>
          <w:noProof/>
          <w:szCs w:val="24"/>
        </w:rPr>
        <w:t xml:space="preserve">(4), 521–527. </w:t>
      </w:r>
      <w:r w:rsidRPr="007626CA">
        <w:rPr>
          <w:rFonts w:cs="Times New Roman"/>
          <w:noProof/>
          <w:szCs w:val="24"/>
        </w:rPr>
        <w:lastRenderedPageBreak/>
        <w:t>https://doi.org/10.1007/s00213-008-1235-3</w:t>
      </w:r>
    </w:p>
    <w:p w14:paraId="6BF7E47D"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Grant, J. E., Kim, S. W., Potenza, M. N., Blanco, C., Ibanez, A., Stevens, L., … Zaninelli, R</w:t>
      </w:r>
      <w:r w:rsidRPr="007626CA">
        <w:rPr>
          <w:rFonts w:cs="Times New Roman"/>
          <w:noProof/>
          <w:szCs w:val="24"/>
        </w:rPr>
        <w:t xml:space="preserve">. (2003). Paroxetine treatment of pathological gambling: a multi-centre randomized controlled trial. </w:t>
      </w:r>
      <w:r w:rsidRPr="007626CA">
        <w:rPr>
          <w:rFonts w:cs="Times New Roman"/>
          <w:i/>
          <w:iCs/>
          <w:noProof/>
          <w:szCs w:val="24"/>
        </w:rPr>
        <w:t>International Clinical Psychopharmacology</w:t>
      </w:r>
      <w:r w:rsidRPr="007626CA">
        <w:rPr>
          <w:rFonts w:cs="Times New Roman"/>
          <w:noProof/>
          <w:szCs w:val="24"/>
        </w:rPr>
        <w:t xml:space="preserve">, </w:t>
      </w:r>
      <w:r w:rsidRPr="007626CA">
        <w:rPr>
          <w:rFonts w:cs="Times New Roman"/>
          <w:i/>
          <w:iCs/>
          <w:noProof/>
          <w:szCs w:val="24"/>
        </w:rPr>
        <w:t>18</w:t>
      </w:r>
      <w:r w:rsidRPr="007626CA">
        <w:rPr>
          <w:rFonts w:cs="Times New Roman"/>
          <w:noProof/>
          <w:szCs w:val="24"/>
        </w:rPr>
        <w:t>(4), 243–249. https://doi.org/10.1097/00004850-200307000-00007</w:t>
      </w:r>
    </w:p>
    <w:p w14:paraId="200589FF"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 xml:space="preserve">Grant, J. E., Odlaug, B. L., Chamberlain, S. R., Potenza, M. N., Schreiber, L. R. N., Donahue, C. B., &amp; Kim, S. W. </w:t>
      </w:r>
      <w:r w:rsidRPr="007626CA">
        <w:rPr>
          <w:rFonts w:cs="Times New Roman"/>
          <w:noProof/>
          <w:szCs w:val="24"/>
        </w:rPr>
        <w:t xml:space="preserve">(2014). A randomized, placebo-controlled trial of N-acetylcysteine plus imaginal desensitization for nicotine-dependent pathological gamblers. </w:t>
      </w:r>
      <w:r w:rsidRPr="007626CA">
        <w:rPr>
          <w:rFonts w:cs="Times New Roman"/>
          <w:i/>
          <w:iCs/>
          <w:noProof/>
          <w:szCs w:val="24"/>
        </w:rPr>
        <w:t>The Journal of Clinical Psychiatry</w:t>
      </w:r>
      <w:r w:rsidRPr="007626CA">
        <w:rPr>
          <w:rFonts w:cs="Times New Roman"/>
          <w:noProof/>
          <w:szCs w:val="24"/>
        </w:rPr>
        <w:t xml:space="preserve">, </w:t>
      </w:r>
      <w:r w:rsidRPr="007626CA">
        <w:rPr>
          <w:rFonts w:cs="Times New Roman"/>
          <w:i/>
          <w:iCs/>
          <w:noProof/>
          <w:szCs w:val="24"/>
        </w:rPr>
        <w:t>75</w:t>
      </w:r>
      <w:r w:rsidRPr="007626CA">
        <w:rPr>
          <w:rFonts w:cs="Times New Roman"/>
          <w:noProof/>
          <w:szCs w:val="24"/>
        </w:rPr>
        <w:t>(1), 39–45. https://doi.org/10.4088/JCP.13M08411</w:t>
      </w:r>
    </w:p>
    <w:p w14:paraId="0F8BB569"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Grant, J. E., Potenza, M. N., Hollander, E., Cynningham-Williams, R., Nurminen, T., Smits, G., &amp; Kallio, A</w:t>
      </w:r>
      <w:r w:rsidRPr="007626CA">
        <w:rPr>
          <w:rFonts w:cs="Times New Roman"/>
          <w:noProof/>
          <w:szCs w:val="24"/>
        </w:rPr>
        <w:t xml:space="preserve">. (2006). Multicenter investigation of the opioid antagonist nalmefene in the treatment of pathological gambling. </w:t>
      </w:r>
      <w:r w:rsidRPr="007626CA">
        <w:rPr>
          <w:rFonts w:cs="Times New Roman"/>
          <w:i/>
          <w:iCs/>
          <w:noProof/>
          <w:szCs w:val="24"/>
        </w:rPr>
        <w:t>The American Journal of Psychiatry</w:t>
      </w:r>
      <w:r w:rsidRPr="007626CA">
        <w:rPr>
          <w:rFonts w:cs="Times New Roman"/>
          <w:noProof/>
          <w:szCs w:val="24"/>
        </w:rPr>
        <w:t xml:space="preserve">, </w:t>
      </w:r>
      <w:r w:rsidRPr="007626CA">
        <w:rPr>
          <w:rFonts w:cs="Times New Roman"/>
          <w:i/>
          <w:iCs/>
          <w:noProof/>
          <w:szCs w:val="24"/>
        </w:rPr>
        <w:t>163</w:t>
      </w:r>
      <w:r w:rsidRPr="007626CA">
        <w:rPr>
          <w:rFonts w:cs="Times New Roman"/>
          <w:noProof/>
          <w:szCs w:val="24"/>
        </w:rPr>
        <w:t>(2), 303–312. https://doi.org/10.1176/APPI.AJP.163.2.303</w:t>
      </w:r>
    </w:p>
    <w:p w14:paraId="7DBB3257"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Hollander, E, Pallanti, S., Allen, A., Sood, E., &amp; Rossi, N.</w:t>
      </w:r>
      <w:r w:rsidRPr="007626CA">
        <w:rPr>
          <w:rFonts w:cs="Times New Roman"/>
          <w:noProof/>
          <w:szCs w:val="24"/>
        </w:rPr>
        <w:t xml:space="preserve"> (2005). Does sustained-release lithium reduce impulsive gambling and affective instability versus placebo in pathological gamblers with bipolar spectrum disorders? </w:t>
      </w:r>
      <w:r w:rsidRPr="007626CA">
        <w:rPr>
          <w:rFonts w:cs="Times New Roman"/>
          <w:i/>
          <w:iCs/>
          <w:noProof/>
          <w:szCs w:val="24"/>
        </w:rPr>
        <w:t>The American Journal of Psychiatry</w:t>
      </w:r>
      <w:r w:rsidRPr="007626CA">
        <w:rPr>
          <w:rFonts w:cs="Times New Roman"/>
          <w:noProof/>
          <w:szCs w:val="24"/>
        </w:rPr>
        <w:t xml:space="preserve">, </w:t>
      </w:r>
      <w:r w:rsidRPr="007626CA">
        <w:rPr>
          <w:rFonts w:cs="Times New Roman"/>
          <w:i/>
          <w:iCs/>
          <w:noProof/>
          <w:szCs w:val="24"/>
        </w:rPr>
        <w:t>162</w:t>
      </w:r>
      <w:r w:rsidRPr="007626CA">
        <w:rPr>
          <w:rFonts w:cs="Times New Roman"/>
          <w:noProof/>
          <w:szCs w:val="24"/>
        </w:rPr>
        <w:t>(1), 137–145. https://doi.org/10.1176/APPI.AJP.162.1.137</w:t>
      </w:r>
    </w:p>
    <w:p w14:paraId="11873276"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 xml:space="preserve">Hollander, Eric, Decaria, C. M., Finkell, J. N., Begaz, T., Wong, C. M., &amp; Cartwright, C. </w:t>
      </w:r>
      <w:r w:rsidRPr="007626CA">
        <w:rPr>
          <w:rFonts w:cs="Times New Roman"/>
          <w:noProof/>
          <w:szCs w:val="24"/>
        </w:rPr>
        <w:t xml:space="preserve">(2000). A randomized double-blind fluvoxamine/placebo crossover trial in pathologic gambling. </w:t>
      </w:r>
      <w:r w:rsidRPr="007626CA">
        <w:rPr>
          <w:rFonts w:cs="Times New Roman"/>
          <w:i/>
          <w:iCs/>
          <w:noProof/>
          <w:szCs w:val="24"/>
        </w:rPr>
        <w:t>Biological Psychiatry</w:t>
      </w:r>
      <w:r w:rsidRPr="007626CA">
        <w:rPr>
          <w:rFonts w:cs="Times New Roman"/>
          <w:noProof/>
          <w:szCs w:val="24"/>
        </w:rPr>
        <w:t xml:space="preserve">, </w:t>
      </w:r>
      <w:r w:rsidRPr="007626CA">
        <w:rPr>
          <w:rFonts w:cs="Times New Roman"/>
          <w:i/>
          <w:iCs/>
          <w:noProof/>
          <w:szCs w:val="24"/>
        </w:rPr>
        <w:t>47</w:t>
      </w:r>
      <w:r w:rsidRPr="007626CA">
        <w:rPr>
          <w:rFonts w:cs="Times New Roman"/>
          <w:noProof/>
          <w:szCs w:val="24"/>
        </w:rPr>
        <w:t>(9), 813–817. https://doi.org/10.1016/S0006-3223(00)00241-9</w:t>
      </w:r>
    </w:p>
    <w:p w14:paraId="0AA7A047"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Kim, S. W., Grant, J. E., Adson, D. E., &amp; Shin, Y. C.</w:t>
      </w:r>
      <w:r w:rsidRPr="007626CA">
        <w:rPr>
          <w:rFonts w:cs="Times New Roman"/>
          <w:noProof/>
          <w:szCs w:val="24"/>
        </w:rPr>
        <w:t xml:space="preserve"> (2001). Double-blind naltrexone and placebo comparison study in the treatment of pathological gambling. </w:t>
      </w:r>
      <w:r w:rsidRPr="007626CA">
        <w:rPr>
          <w:rFonts w:cs="Times New Roman"/>
          <w:i/>
          <w:iCs/>
          <w:noProof/>
          <w:szCs w:val="24"/>
        </w:rPr>
        <w:t>Biological Psychiatry</w:t>
      </w:r>
      <w:r w:rsidRPr="007626CA">
        <w:rPr>
          <w:rFonts w:cs="Times New Roman"/>
          <w:noProof/>
          <w:szCs w:val="24"/>
        </w:rPr>
        <w:t xml:space="preserve">, </w:t>
      </w:r>
      <w:r w:rsidRPr="007626CA">
        <w:rPr>
          <w:rFonts w:cs="Times New Roman"/>
          <w:i/>
          <w:iCs/>
          <w:noProof/>
          <w:szCs w:val="24"/>
        </w:rPr>
        <w:t>49</w:t>
      </w:r>
      <w:r w:rsidRPr="007626CA">
        <w:rPr>
          <w:rFonts w:cs="Times New Roman"/>
          <w:noProof/>
          <w:szCs w:val="24"/>
        </w:rPr>
        <w:t>(11), 914–921. https://doi.org/10.1016/S0006-3223(01)01079-4</w:t>
      </w:r>
    </w:p>
    <w:p w14:paraId="5BBC7B3D"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Kim, S. W., Grant, J. E., Adson, D. E., &amp; Zaninelli, R.</w:t>
      </w:r>
      <w:r w:rsidRPr="007626CA">
        <w:rPr>
          <w:rFonts w:cs="Times New Roman"/>
          <w:noProof/>
          <w:szCs w:val="24"/>
        </w:rPr>
        <w:t xml:space="preserve"> (2002). A Double-Blind Placebo-Controlled Study of the Efficacy and Safety of Paroxetine in the Treatment of Pathological Gambling. </w:t>
      </w:r>
      <w:r w:rsidRPr="007626CA">
        <w:rPr>
          <w:rFonts w:cs="Times New Roman"/>
          <w:i/>
          <w:iCs/>
          <w:noProof/>
          <w:szCs w:val="24"/>
        </w:rPr>
        <w:t>The Journal of Clinical Psychiatry</w:t>
      </w:r>
      <w:r w:rsidRPr="007626CA">
        <w:rPr>
          <w:rFonts w:cs="Times New Roman"/>
          <w:noProof/>
          <w:szCs w:val="24"/>
        </w:rPr>
        <w:t xml:space="preserve">, </w:t>
      </w:r>
      <w:r w:rsidRPr="007626CA">
        <w:rPr>
          <w:rFonts w:cs="Times New Roman"/>
          <w:i/>
          <w:iCs/>
          <w:noProof/>
          <w:szCs w:val="24"/>
        </w:rPr>
        <w:t>63</w:t>
      </w:r>
      <w:r w:rsidRPr="007626CA">
        <w:rPr>
          <w:rFonts w:cs="Times New Roman"/>
          <w:noProof/>
          <w:szCs w:val="24"/>
        </w:rPr>
        <w:t>(6), 4776. Retrieved from https://www.psychiatrist.com/jcp/ocd/pathological-gambling/double-blind-placebo-controlled-study-efficacy-safety-paroxetine-pathological-gambling</w:t>
      </w:r>
    </w:p>
    <w:p w14:paraId="68D0BCE2" w14:textId="77777777" w:rsidR="00AC03B5" w:rsidRPr="007626CA" w:rsidRDefault="00AC03B5" w:rsidP="00AC03B5">
      <w:pPr>
        <w:widowControl w:val="0"/>
        <w:autoSpaceDE w:val="0"/>
        <w:autoSpaceDN w:val="0"/>
        <w:adjustRightInd w:val="0"/>
        <w:spacing w:line="240" w:lineRule="auto"/>
        <w:ind w:left="480" w:hanging="480"/>
        <w:rPr>
          <w:rFonts w:cs="Times New Roman"/>
          <w:noProof/>
          <w:szCs w:val="24"/>
        </w:rPr>
      </w:pPr>
      <w:r w:rsidRPr="007626CA">
        <w:rPr>
          <w:rFonts w:cs="Times New Roman"/>
          <w:b/>
          <w:noProof/>
          <w:szCs w:val="24"/>
        </w:rPr>
        <w:t>Kovanen, L., Basnet, S., Castrén, S., Pankakoski, M., Saarikoski, S. T., Partonen, T., … Lahti, T.</w:t>
      </w:r>
      <w:r w:rsidRPr="007626CA">
        <w:rPr>
          <w:rFonts w:cs="Times New Roman"/>
          <w:noProof/>
          <w:szCs w:val="24"/>
        </w:rPr>
        <w:t xml:space="preserve"> (2016). A Randomised, Double-Blind, Placebo-Controlled Trial of As-Needed Naltrexone in the Treatment of Pathological Gambling. </w:t>
      </w:r>
      <w:r w:rsidRPr="007626CA">
        <w:rPr>
          <w:rFonts w:cs="Times New Roman"/>
          <w:i/>
          <w:iCs/>
          <w:noProof/>
          <w:szCs w:val="24"/>
        </w:rPr>
        <w:t>European Addiction Research</w:t>
      </w:r>
      <w:r w:rsidRPr="007626CA">
        <w:rPr>
          <w:rFonts w:cs="Times New Roman"/>
          <w:noProof/>
          <w:szCs w:val="24"/>
        </w:rPr>
        <w:t xml:space="preserve">, </w:t>
      </w:r>
      <w:r w:rsidRPr="007626CA">
        <w:rPr>
          <w:rFonts w:cs="Times New Roman"/>
          <w:i/>
          <w:iCs/>
          <w:noProof/>
          <w:szCs w:val="24"/>
        </w:rPr>
        <w:t>22</w:t>
      </w:r>
      <w:r w:rsidRPr="007626CA">
        <w:rPr>
          <w:rFonts w:cs="Times New Roman"/>
          <w:noProof/>
          <w:szCs w:val="24"/>
        </w:rPr>
        <w:t>(2), 70–79. https://doi.org/10.1159/000435876</w:t>
      </w:r>
    </w:p>
    <w:p w14:paraId="2AEB0F42" w14:textId="77777777" w:rsidR="00AC03B5" w:rsidRPr="007626CA" w:rsidRDefault="00AC03B5" w:rsidP="00AC03B5">
      <w:pPr>
        <w:widowControl w:val="0"/>
        <w:autoSpaceDE w:val="0"/>
        <w:autoSpaceDN w:val="0"/>
        <w:adjustRightInd w:val="0"/>
        <w:spacing w:line="240" w:lineRule="auto"/>
        <w:ind w:left="480" w:hanging="480"/>
        <w:rPr>
          <w:rFonts w:cs="Times New Roman"/>
          <w:noProof/>
        </w:rPr>
      </w:pPr>
      <w:r w:rsidRPr="007626CA">
        <w:rPr>
          <w:rFonts w:cs="Times New Roman"/>
          <w:b/>
          <w:noProof/>
          <w:szCs w:val="24"/>
        </w:rPr>
        <w:t>McElroy, S. L., Nelson, E. B., Welge, J. A., Kaehler, L., &amp; Keck, P. E</w:t>
      </w:r>
      <w:r w:rsidRPr="007626CA">
        <w:rPr>
          <w:rFonts w:cs="Times New Roman"/>
          <w:noProof/>
          <w:szCs w:val="24"/>
        </w:rPr>
        <w:t xml:space="preserve">. (2008). Olanzapine in the treatment of pathological gambling: a negative randomized placebo-controlled trial. </w:t>
      </w:r>
      <w:r w:rsidRPr="007626CA">
        <w:rPr>
          <w:rFonts w:cs="Times New Roman"/>
          <w:i/>
          <w:iCs/>
          <w:noProof/>
          <w:szCs w:val="24"/>
        </w:rPr>
        <w:t>The Journal of Clinical Psychiatry</w:t>
      </w:r>
      <w:r w:rsidRPr="007626CA">
        <w:rPr>
          <w:rFonts w:cs="Times New Roman"/>
          <w:noProof/>
          <w:szCs w:val="24"/>
        </w:rPr>
        <w:t xml:space="preserve">, </w:t>
      </w:r>
      <w:r w:rsidRPr="007626CA">
        <w:rPr>
          <w:rFonts w:cs="Times New Roman"/>
          <w:i/>
          <w:iCs/>
          <w:noProof/>
          <w:szCs w:val="24"/>
        </w:rPr>
        <w:t>69</w:t>
      </w:r>
      <w:r w:rsidRPr="007626CA">
        <w:rPr>
          <w:rFonts w:cs="Times New Roman"/>
          <w:noProof/>
          <w:szCs w:val="24"/>
        </w:rPr>
        <w:t>(3), 433–440. https://doi.org/10.4088/JCP.V69N0314</w:t>
      </w:r>
    </w:p>
    <w:p w14:paraId="16B512B2" w14:textId="77777777" w:rsidR="00AC03B5" w:rsidRDefault="00AC03B5" w:rsidP="00AC03B5">
      <w:r>
        <w:fldChar w:fldCharType="end"/>
      </w:r>
    </w:p>
    <w:p w14:paraId="3B9B0796" w14:textId="77777777" w:rsidR="00AC03B5" w:rsidRDefault="00AC03B5" w:rsidP="00AC03B5">
      <w:pPr>
        <w:rPr>
          <w:rFonts w:eastAsiaTheme="majorEastAsia" w:cstheme="majorBidi"/>
          <w:b/>
          <w:sz w:val="26"/>
          <w:szCs w:val="26"/>
        </w:rPr>
      </w:pPr>
      <w:r>
        <w:br w:type="page"/>
      </w:r>
    </w:p>
    <w:p w14:paraId="457EE5ED" w14:textId="77777777" w:rsidR="00AC03B5" w:rsidRDefault="00AC03B5" w:rsidP="00AC03B5">
      <w:pPr>
        <w:pStyle w:val="Heading2"/>
      </w:pPr>
      <w:r>
        <w:lastRenderedPageBreak/>
        <w:t xml:space="preserve">PRISMA-P </w:t>
      </w:r>
    </w:p>
    <w:p w14:paraId="3047862C" w14:textId="77777777" w:rsidR="00AC03B5" w:rsidRPr="00586A4A" w:rsidRDefault="00AC03B5" w:rsidP="00AC03B5">
      <w:pPr>
        <w:rPr>
          <w:sz w:val="12"/>
        </w:rPr>
      </w:pPr>
      <w:r w:rsidRPr="00586A4A">
        <w:rPr>
          <w:color w:val="000000"/>
          <w:szCs w:val="27"/>
        </w:rPr>
        <w:t>Preferred reporting items for systematic review and meta-analysis protocols) 2015 checklist: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8"/>
        <w:gridCol w:w="546"/>
        <w:gridCol w:w="7522"/>
      </w:tblGrid>
      <w:tr w:rsidR="00AC03B5" w:rsidRPr="00586A4A" w14:paraId="23C02277" w14:textId="77777777" w:rsidTr="008162C8">
        <w:trPr>
          <w:tblHeader/>
          <w:tblCellSpacing w:w="15" w:type="dxa"/>
        </w:trPr>
        <w:tc>
          <w:tcPr>
            <w:tcW w:w="0" w:type="auto"/>
            <w:hideMark/>
          </w:tcPr>
          <w:p w14:paraId="42F30DFE" w14:textId="77777777" w:rsidR="00AC03B5" w:rsidRPr="009429CD" w:rsidRDefault="00AC03B5" w:rsidP="008162C8">
            <w:pPr>
              <w:spacing w:after="0" w:line="240" w:lineRule="auto"/>
              <w:rPr>
                <w:rFonts w:eastAsia="Times New Roman" w:cs="Times New Roman"/>
                <w:b/>
                <w:bCs/>
                <w:sz w:val="20"/>
                <w:szCs w:val="24"/>
                <w:lang w:eastAsia="en-GB"/>
              </w:rPr>
            </w:pPr>
            <w:r w:rsidRPr="009429CD">
              <w:rPr>
                <w:rFonts w:eastAsia="Times New Roman" w:cs="Times New Roman"/>
                <w:b/>
                <w:bCs/>
                <w:sz w:val="20"/>
                <w:szCs w:val="24"/>
                <w:lang w:eastAsia="en-GB"/>
              </w:rPr>
              <w:t>Section and topic</w:t>
            </w:r>
          </w:p>
        </w:tc>
        <w:tc>
          <w:tcPr>
            <w:tcW w:w="0" w:type="auto"/>
            <w:hideMark/>
          </w:tcPr>
          <w:p w14:paraId="016C921C" w14:textId="77777777" w:rsidR="00AC03B5" w:rsidRPr="009429CD" w:rsidRDefault="00AC03B5" w:rsidP="008162C8">
            <w:pPr>
              <w:spacing w:after="0" w:line="240" w:lineRule="auto"/>
              <w:jc w:val="center"/>
              <w:rPr>
                <w:rFonts w:eastAsia="Times New Roman" w:cs="Times New Roman"/>
                <w:b/>
                <w:bCs/>
                <w:sz w:val="20"/>
                <w:szCs w:val="24"/>
                <w:lang w:eastAsia="en-GB"/>
              </w:rPr>
            </w:pPr>
            <w:r w:rsidRPr="009429CD">
              <w:rPr>
                <w:rFonts w:eastAsia="Times New Roman" w:cs="Times New Roman"/>
                <w:b/>
                <w:bCs/>
                <w:sz w:val="20"/>
                <w:szCs w:val="24"/>
                <w:lang w:eastAsia="en-GB"/>
              </w:rPr>
              <w:t>Item No</w:t>
            </w:r>
          </w:p>
        </w:tc>
        <w:tc>
          <w:tcPr>
            <w:tcW w:w="0" w:type="auto"/>
            <w:hideMark/>
          </w:tcPr>
          <w:p w14:paraId="3D2DDE91" w14:textId="77777777" w:rsidR="00AC03B5" w:rsidRPr="009429CD" w:rsidRDefault="00AC03B5" w:rsidP="008162C8">
            <w:pPr>
              <w:spacing w:after="0" w:line="240" w:lineRule="auto"/>
              <w:jc w:val="center"/>
              <w:rPr>
                <w:rFonts w:eastAsia="Times New Roman" w:cs="Times New Roman"/>
                <w:b/>
                <w:bCs/>
                <w:sz w:val="20"/>
                <w:szCs w:val="24"/>
                <w:lang w:eastAsia="en-GB"/>
              </w:rPr>
            </w:pPr>
            <w:r w:rsidRPr="009429CD">
              <w:rPr>
                <w:rFonts w:eastAsia="Times New Roman" w:cs="Times New Roman"/>
                <w:b/>
                <w:bCs/>
                <w:sz w:val="20"/>
                <w:szCs w:val="24"/>
                <w:lang w:eastAsia="en-GB"/>
              </w:rPr>
              <w:t>Checklist item</w:t>
            </w:r>
          </w:p>
        </w:tc>
      </w:tr>
      <w:tr w:rsidR="00AC03B5" w:rsidRPr="009429CD" w14:paraId="4ADEF7D3" w14:textId="77777777" w:rsidTr="008162C8">
        <w:trPr>
          <w:tblCellSpacing w:w="15" w:type="dxa"/>
        </w:trPr>
        <w:tc>
          <w:tcPr>
            <w:tcW w:w="0" w:type="auto"/>
            <w:gridSpan w:val="3"/>
            <w:hideMark/>
          </w:tcPr>
          <w:p w14:paraId="1CF7009B" w14:textId="77777777" w:rsidR="00AC03B5" w:rsidRPr="009429CD" w:rsidRDefault="00AC03B5" w:rsidP="008162C8">
            <w:pPr>
              <w:spacing w:after="0" w:line="240" w:lineRule="auto"/>
              <w:rPr>
                <w:rFonts w:eastAsia="Times New Roman" w:cs="Times New Roman"/>
                <w:sz w:val="20"/>
                <w:szCs w:val="24"/>
                <w:lang w:eastAsia="en-GB"/>
              </w:rPr>
            </w:pPr>
            <w:r w:rsidRPr="00586A4A">
              <w:rPr>
                <w:rFonts w:eastAsia="Times New Roman" w:cs="Times New Roman"/>
                <w:b/>
                <w:bCs/>
                <w:sz w:val="20"/>
                <w:szCs w:val="24"/>
                <w:lang w:eastAsia="en-GB"/>
              </w:rPr>
              <w:t>Administrative information</w:t>
            </w:r>
          </w:p>
        </w:tc>
      </w:tr>
      <w:tr w:rsidR="00AC03B5" w:rsidRPr="00586A4A" w14:paraId="5FD10A3D" w14:textId="77777777" w:rsidTr="008162C8">
        <w:trPr>
          <w:tblCellSpacing w:w="15" w:type="dxa"/>
        </w:trPr>
        <w:tc>
          <w:tcPr>
            <w:tcW w:w="0" w:type="auto"/>
            <w:hideMark/>
          </w:tcPr>
          <w:p w14:paraId="66D6385C"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Title:</w:t>
            </w:r>
          </w:p>
        </w:tc>
        <w:tc>
          <w:tcPr>
            <w:tcW w:w="0" w:type="auto"/>
            <w:hideMark/>
          </w:tcPr>
          <w:p w14:paraId="433D120A" w14:textId="77777777" w:rsidR="00AC03B5" w:rsidRPr="009429CD" w:rsidRDefault="00AC03B5" w:rsidP="008162C8">
            <w:pPr>
              <w:spacing w:after="0" w:line="240" w:lineRule="auto"/>
              <w:rPr>
                <w:rFonts w:eastAsia="Times New Roman" w:cs="Times New Roman"/>
                <w:sz w:val="20"/>
                <w:szCs w:val="24"/>
                <w:lang w:eastAsia="en-GB"/>
              </w:rPr>
            </w:pPr>
          </w:p>
        </w:tc>
        <w:tc>
          <w:tcPr>
            <w:tcW w:w="0" w:type="auto"/>
            <w:hideMark/>
          </w:tcPr>
          <w:p w14:paraId="18E9E3B3" w14:textId="77777777" w:rsidR="00AC03B5" w:rsidRPr="009429CD" w:rsidRDefault="00AC03B5" w:rsidP="008162C8">
            <w:pPr>
              <w:spacing w:after="0" w:line="240" w:lineRule="auto"/>
              <w:jc w:val="center"/>
              <w:rPr>
                <w:rFonts w:eastAsia="Times New Roman" w:cs="Times New Roman"/>
                <w:szCs w:val="20"/>
                <w:lang w:eastAsia="en-GB"/>
              </w:rPr>
            </w:pPr>
          </w:p>
        </w:tc>
      </w:tr>
      <w:tr w:rsidR="00AC03B5" w:rsidRPr="00586A4A" w14:paraId="5F64109D" w14:textId="77777777" w:rsidTr="008162C8">
        <w:trPr>
          <w:tblCellSpacing w:w="15" w:type="dxa"/>
        </w:trPr>
        <w:tc>
          <w:tcPr>
            <w:tcW w:w="0" w:type="auto"/>
            <w:hideMark/>
          </w:tcPr>
          <w:p w14:paraId="7182B98C"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Identification</w:t>
            </w:r>
          </w:p>
        </w:tc>
        <w:tc>
          <w:tcPr>
            <w:tcW w:w="0" w:type="auto"/>
            <w:hideMark/>
          </w:tcPr>
          <w:p w14:paraId="3F152592"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1a</w:t>
            </w:r>
          </w:p>
        </w:tc>
        <w:tc>
          <w:tcPr>
            <w:tcW w:w="0" w:type="auto"/>
            <w:hideMark/>
          </w:tcPr>
          <w:p w14:paraId="294F39AB"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Identify the report as a protocol of a systematic review</w:t>
            </w:r>
            <w:r w:rsidRPr="00586A4A">
              <w:rPr>
                <w:rFonts w:eastAsia="Times New Roman" w:cs="Times New Roman"/>
                <w:i/>
                <w:color w:val="5B9BD5" w:themeColor="accent1"/>
                <w:sz w:val="20"/>
                <w:szCs w:val="24"/>
                <w:lang w:eastAsia="en-GB"/>
              </w:rPr>
              <w:t xml:space="preserve"> (identified as meta-analysis)</w:t>
            </w:r>
          </w:p>
        </w:tc>
      </w:tr>
      <w:tr w:rsidR="00AC03B5" w:rsidRPr="00586A4A" w14:paraId="3D4EE717" w14:textId="77777777" w:rsidTr="008162C8">
        <w:trPr>
          <w:tblCellSpacing w:w="15" w:type="dxa"/>
        </w:trPr>
        <w:tc>
          <w:tcPr>
            <w:tcW w:w="0" w:type="auto"/>
            <w:hideMark/>
          </w:tcPr>
          <w:p w14:paraId="1CDE396B"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Update</w:t>
            </w:r>
          </w:p>
        </w:tc>
        <w:tc>
          <w:tcPr>
            <w:tcW w:w="0" w:type="auto"/>
            <w:hideMark/>
          </w:tcPr>
          <w:p w14:paraId="144D844F"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1b</w:t>
            </w:r>
          </w:p>
        </w:tc>
        <w:tc>
          <w:tcPr>
            <w:tcW w:w="0" w:type="auto"/>
            <w:hideMark/>
          </w:tcPr>
          <w:p w14:paraId="7CD97448"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If the protocol is for an update of a previous systematic review, identify as such</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(not applicable)</w:t>
            </w:r>
          </w:p>
        </w:tc>
      </w:tr>
      <w:tr w:rsidR="00AC03B5" w:rsidRPr="00586A4A" w14:paraId="0CD2F16C" w14:textId="77777777" w:rsidTr="008162C8">
        <w:trPr>
          <w:tblCellSpacing w:w="15" w:type="dxa"/>
        </w:trPr>
        <w:tc>
          <w:tcPr>
            <w:tcW w:w="0" w:type="auto"/>
            <w:hideMark/>
          </w:tcPr>
          <w:p w14:paraId="17043DCA"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Registration</w:t>
            </w:r>
          </w:p>
        </w:tc>
        <w:tc>
          <w:tcPr>
            <w:tcW w:w="0" w:type="auto"/>
            <w:hideMark/>
          </w:tcPr>
          <w:p w14:paraId="18C33F75"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2</w:t>
            </w:r>
          </w:p>
        </w:tc>
        <w:tc>
          <w:tcPr>
            <w:tcW w:w="0" w:type="auto"/>
            <w:hideMark/>
          </w:tcPr>
          <w:p w14:paraId="15663383"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If registered, provide the name of the registry (such as PROSPERO) and registration number</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(PROSPERO registration provided)</w:t>
            </w:r>
          </w:p>
        </w:tc>
      </w:tr>
      <w:tr w:rsidR="00AC03B5" w:rsidRPr="00586A4A" w14:paraId="72B493BD" w14:textId="77777777" w:rsidTr="008162C8">
        <w:trPr>
          <w:tblCellSpacing w:w="15" w:type="dxa"/>
        </w:trPr>
        <w:tc>
          <w:tcPr>
            <w:tcW w:w="0" w:type="auto"/>
            <w:hideMark/>
          </w:tcPr>
          <w:p w14:paraId="138484FE"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Authors:</w:t>
            </w:r>
          </w:p>
        </w:tc>
        <w:tc>
          <w:tcPr>
            <w:tcW w:w="0" w:type="auto"/>
            <w:hideMark/>
          </w:tcPr>
          <w:p w14:paraId="5DEEC60F" w14:textId="77777777" w:rsidR="00AC03B5" w:rsidRPr="009429CD" w:rsidRDefault="00AC03B5" w:rsidP="008162C8">
            <w:pPr>
              <w:spacing w:after="0" w:line="240" w:lineRule="auto"/>
              <w:rPr>
                <w:rFonts w:eastAsia="Times New Roman" w:cs="Times New Roman"/>
                <w:sz w:val="20"/>
                <w:szCs w:val="24"/>
                <w:lang w:eastAsia="en-GB"/>
              </w:rPr>
            </w:pPr>
          </w:p>
        </w:tc>
        <w:tc>
          <w:tcPr>
            <w:tcW w:w="0" w:type="auto"/>
            <w:hideMark/>
          </w:tcPr>
          <w:p w14:paraId="2C3119B9" w14:textId="77777777" w:rsidR="00AC03B5" w:rsidRPr="009429CD" w:rsidRDefault="00AC03B5" w:rsidP="008162C8">
            <w:pPr>
              <w:spacing w:after="0" w:line="240" w:lineRule="auto"/>
              <w:jc w:val="center"/>
              <w:rPr>
                <w:rFonts w:eastAsia="Times New Roman" w:cs="Times New Roman"/>
                <w:szCs w:val="20"/>
                <w:lang w:eastAsia="en-GB"/>
              </w:rPr>
            </w:pPr>
          </w:p>
        </w:tc>
      </w:tr>
      <w:tr w:rsidR="00AC03B5" w:rsidRPr="00586A4A" w14:paraId="06F0C164" w14:textId="77777777" w:rsidTr="008162C8">
        <w:trPr>
          <w:tblCellSpacing w:w="15" w:type="dxa"/>
        </w:trPr>
        <w:tc>
          <w:tcPr>
            <w:tcW w:w="0" w:type="auto"/>
            <w:hideMark/>
          </w:tcPr>
          <w:p w14:paraId="1494A915"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Contact</w:t>
            </w:r>
          </w:p>
        </w:tc>
        <w:tc>
          <w:tcPr>
            <w:tcW w:w="0" w:type="auto"/>
            <w:hideMark/>
          </w:tcPr>
          <w:p w14:paraId="26274201"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3a</w:t>
            </w:r>
          </w:p>
        </w:tc>
        <w:tc>
          <w:tcPr>
            <w:tcW w:w="0" w:type="auto"/>
            <w:hideMark/>
          </w:tcPr>
          <w:p w14:paraId="4B1BDCC1"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Provide name, institutional affiliation, e-mail address of all protocol authors; provide physical mailing address of corresponding author</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(in title page)</w:t>
            </w:r>
          </w:p>
        </w:tc>
      </w:tr>
      <w:tr w:rsidR="00AC03B5" w:rsidRPr="00586A4A" w14:paraId="105C10EB" w14:textId="77777777" w:rsidTr="008162C8">
        <w:trPr>
          <w:tblCellSpacing w:w="15" w:type="dxa"/>
        </w:trPr>
        <w:tc>
          <w:tcPr>
            <w:tcW w:w="0" w:type="auto"/>
            <w:hideMark/>
          </w:tcPr>
          <w:p w14:paraId="5D37D4AB"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Contributions</w:t>
            </w:r>
          </w:p>
        </w:tc>
        <w:tc>
          <w:tcPr>
            <w:tcW w:w="0" w:type="auto"/>
            <w:hideMark/>
          </w:tcPr>
          <w:p w14:paraId="41E69EEE"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3b</w:t>
            </w:r>
          </w:p>
        </w:tc>
        <w:tc>
          <w:tcPr>
            <w:tcW w:w="0" w:type="auto"/>
            <w:hideMark/>
          </w:tcPr>
          <w:p w14:paraId="476BDF23"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contributions of protocol authors and identify the guarantor of the review</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author contributions p20 line 434)</w:t>
            </w:r>
          </w:p>
        </w:tc>
      </w:tr>
      <w:tr w:rsidR="00AC03B5" w:rsidRPr="00586A4A" w14:paraId="6625793A" w14:textId="77777777" w:rsidTr="008162C8">
        <w:trPr>
          <w:tblCellSpacing w:w="15" w:type="dxa"/>
        </w:trPr>
        <w:tc>
          <w:tcPr>
            <w:tcW w:w="0" w:type="auto"/>
            <w:hideMark/>
          </w:tcPr>
          <w:p w14:paraId="3701BA9F"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Amendments</w:t>
            </w:r>
          </w:p>
        </w:tc>
        <w:tc>
          <w:tcPr>
            <w:tcW w:w="0" w:type="auto"/>
            <w:hideMark/>
          </w:tcPr>
          <w:p w14:paraId="586148E4"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4</w:t>
            </w:r>
          </w:p>
        </w:tc>
        <w:tc>
          <w:tcPr>
            <w:tcW w:w="0" w:type="auto"/>
            <w:hideMark/>
          </w:tcPr>
          <w:p w14:paraId="27363895"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If the protocol represents an amendment of a previously completed or published protocol, identify as such and list changes; otherwise, state plan for documenting important protocol amendments</w:t>
            </w:r>
            <w:r w:rsidRPr="00586A4A">
              <w:rPr>
                <w:rFonts w:eastAsia="Times New Roman" w:cs="Times New Roman"/>
                <w:i/>
                <w:color w:val="5B9BD5" w:themeColor="accent1"/>
                <w:sz w:val="20"/>
                <w:szCs w:val="24"/>
                <w:lang w:eastAsia="en-GB"/>
              </w:rPr>
              <w:t xml:space="preserve"> (not applicable)</w:t>
            </w:r>
          </w:p>
        </w:tc>
      </w:tr>
      <w:tr w:rsidR="00AC03B5" w:rsidRPr="00586A4A" w14:paraId="320E7170" w14:textId="77777777" w:rsidTr="008162C8">
        <w:trPr>
          <w:tblCellSpacing w:w="15" w:type="dxa"/>
        </w:trPr>
        <w:tc>
          <w:tcPr>
            <w:tcW w:w="0" w:type="auto"/>
            <w:hideMark/>
          </w:tcPr>
          <w:p w14:paraId="46A8A2C0"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Support:</w:t>
            </w:r>
          </w:p>
        </w:tc>
        <w:tc>
          <w:tcPr>
            <w:tcW w:w="0" w:type="auto"/>
            <w:hideMark/>
          </w:tcPr>
          <w:p w14:paraId="4E78832E" w14:textId="77777777" w:rsidR="00AC03B5" w:rsidRPr="009429CD" w:rsidRDefault="00AC03B5" w:rsidP="008162C8">
            <w:pPr>
              <w:spacing w:after="0" w:line="240" w:lineRule="auto"/>
              <w:rPr>
                <w:rFonts w:eastAsia="Times New Roman" w:cs="Times New Roman"/>
                <w:sz w:val="20"/>
                <w:szCs w:val="24"/>
                <w:lang w:eastAsia="en-GB"/>
              </w:rPr>
            </w:pPr>
          </w:p>
        </w:tc>
        <w:tc>
          <w:tcPr>
            <w:tcW w:w="0" w:type="auto"/>
            <w:hideMark/>
          </w:tcPr>
          <w:p w14:paraId="004D56FA" w14:textId="77777777" w:rsidR="00AC03B5" w:rsidRPr="009429CD" w:rsidRDefault="00AC03B5" w:rsidP="008162C8">
            <w:pPr>
              <w:spacing w:after="0" w:line="240" w:lineRule="auto"/>
              <w:jc w:val="center"/>
              <w:rPr>
                <w:rFonts w:eastAsia="Times New Roman" w:cs="Times New Roman"/>
                <w:szCs w:val="20"/>
                <w:lang w:eastAsia="en-GB"/>
              </w:rPr>
            </w:pPr>
          </w:p>
        </w:tc>
      </w:tr>
      <w:tr w:rsidR="00AC03B5" w:rsidRPr="00586A4A" w14:paraId="7706F6A3" w14:textId="77777777" w:rsidTr="008162C8">
        <w:trPr>
          <w:tblCellSpacing w:w="15" w:type="dxa"/>
        </w:trPr>
        <w:tc>
          <w:tcPr>
            <w:tcW w:w="0" w:type="auto"/>
            <w:hideMark/>
          </w:tcPr>
          <w:p w14:paraId="6F22AD81"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Sources</w:t>
            </w:r>
          </w:p>
        </w:tc>
        <w:tc>
          <w:tcPr>
            <w:tcW w:w="0" w:type="auto"/>
            <w:hideMark/>
          </w:tcPr>
          <w:p w14:paraId="20671198"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5a</w:t>
            </w:r>
          </w:p>
        </w:tc>
        <w:tc>
          <w:tcPr>
            <w:tcW w:w="0" w:type="auto"/>
            <w:hideMark/>
          </w:tcPr>
          <w:p w14:paraId="2D1AC511"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Indicate sources of financial or other support for the review</w:t>
            </w:r>
            <w:r w:rsidRPr="00586A4A">
              <w:rPr>
                <w:rFonts w:eastAsia="Times New Roman" w:cs="Times New Roman"/>
                <w:i/>
                <w:color w:val="5B9BD5" w:themeColor="accent1"/>
                <w:sz w:val="20"/>
                <w:szCs w:val="24"/>
                <w:lang w:eastAsia="en-GB"/>
              </w:rPr>
              <w:t xml:space="preserve"> (see p18 line 407)</w:t>
            </w:r>
          </w:p>
        </w:tc>
      </w:tr>
      <w:tr w:rsidR="00AC03B5" w:rsidRPr="00586A4A" w14:paraId="2A08CA03" w14:textId="77777777" w:rsidTr="008162C8">
        <w:trPr>
          <w:tblCellSpacing w:w="15" w:type="dxa"/>
        </w:trPr>
        <w:tc>
          <w:tcPr>
            <w:tcW w:w="0" w:type="auto"/>
            <w:hideMark/>
          </w:tcPr>
          <w:p w14:paraId="6130C6C5"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Sponsor</w:t>
            </w:r>
          </w:p>
        </w:tc>
        <w:tc>
          <w:tcPr>
            <w:tcW w:w="0" w:type="auto"/>
            <w:hideMark/>
          </w:tcPr>
          <w:p w14:paraId="274661A3"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5b</w:t>
            </w:r>
          </w:p>
        </w:tc>
        <w:tc>
          <w:tcPr>
            <w:tcW w:w="0" w:type="auto"/>
            <w:hideMark/>
          </w:tcPr>
          <w:p w14:paraId="521C7D89"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Provide name for the review funder and/or sponsor</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 xml:space="preserve"> (see p18 line 407)</w:t>
            </w:r>
          </w:p>
        </w:tc>
      </w:tr>
      <w:tr w:rsidR="00AC03B5" w:rsidRPr="00586A4A" w14:paraId="077FC11C" w14:textId="77777777" w:rsidTr="008162C8">
        <w:trPr>
          <w:tblCellSpacing w:w="15" w:type="dxa"/>
        </w:trPr>
        <w:tc>
          <w:tcPr>
            <w:tcW w:w="0" w:type="auto"/>
            <w:hideMark/>
          </w:tcPr>
          <w:p w14:paraId="2E3A9561"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Role of sponsor or funder</w:t>
            </w:r>
          </w:p>
        </w:tc>
        <w:tc>
          <w:tcPr>
            <w:tcW w:w="0" w:type="auto"/>
            <w:hideMark/>
          </w:tcPr>
          <w:p w14:paraId="18817E3C"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5c</w:t>
            </w:r>
          </w:p>
        </w:tc>
        <w:tc>
          <w:tcPr>
            <w:tcW w:w="0" w:type="auto"/>
            <w:hideMark/>
          </w:tcPr>
          <w:p w14:paraId="3AD48F07"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roles of funder(s), sponsor(s), and/or institution(s), if any, in developing the protocol</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 xml:space="preserve"> (not applicable)</w:t>
            </w:r>
          </w:p>
        </w:tc>
      </w:tr>
      <w:tr w:rsidR="00AC03B5" w:rsidRPr="009429CD" w14:paraId="25B3903F" w14:textId="77777777" w:rsidTr="008162C8">
        <w:trPr>
          <w:tblCellSpacing w:w="15" w:type="dxa"/>
        </w:trPr>
        <w:tc>
          <w:tcPr>
            <w:tcW w:w="0" w:type="auto"/>
            <w:gridSpan w:val="3"/>
            <w:hideMark/>
          </w:tcPr>
          <w:p w14:paraId="4B20002D" w14:textId="77777777" w:rsidR="00AC03B5" w:rsidRPr="009429CD" w:rsidRDefault="00AC03B5" w:rsidP="008162C8">
            <w:pPr>
              <w:spacing w:after="0" w:line="240" w:lineRule="auto"/>
              <w:rPr>
                <w:rFonts w:eastAsia="Times New Roman" w:cs="Times New Roman"/>
                <w:sz w:val="20"/>
                <w:szCs w:val="24"/>
                <w:lang w:eastAsia="en-GB"/>
              </w:rPr>
            </w:pPr>
            <w:r w:rsidRPr="00586A4A">
              <w:rPr>
                <w:rFonts w:eastAsia="Times New Roman" w:cs="Times New Roman"/>
                <w:b/>
                <w:bCs/>
                <w:sz w:val="20"/>
                <w:szCs w:val="24"/>
                <w:lang w:eastAsia="en-GB"/>
              </w:rPr>
              <w:t>Introduction</w:t>
            </w:r>
          </w:p>
        </w:tc>
      </w:tr>
      <w:tr w:rsidR="00AC03B5" w:rsidRPr="00586A4A" w14:paraId="099890A5" w14:textId="77777777" w:rsidTr="008162C8">
        <w:trPr>
          <w:tblCellSpacing w:w="15" w:type="dxa"/>
        </w:trPr>
        <w:tc>
          <w:tcPr>
            <w:tcW w:w="0" w:type="auto"/>
            <w:hideMark/>
          </w:tcPr>
          <w:p w14:paraId="74B188D1"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Rationale</w:t>
            </w:r>
          </w:p>
        </w:tc>
        <w:tc>
          <w:tcPr>
            <w:tcW w:w="0" w:type="auto"/>
            <w:hideMark/>
          </w:tcPr>
          <w:p w14:paraId="59DAA226"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6</w:t>
            </w:r>
          </w:p>
        </w:tc>
        <w:tc>
          <w:tcPr>
            <w:tcW w:w="0" w:type="auto"/>
            <w:hideMark/>
          </w:tcPr>
          <w:p w14:paraId="338B7F1F"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the rationale for the review in the context of what is already known</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p5-6)</w:t>
            </w:r>
          </w:p>
        </w:tc>
      </w:tr>
      <w:tr w:rsidR="00AC03B5" w:rsidRPr="00586A4A" w14:paraId="170516F4" w14:textId="77777777" w:rsidTr="008162C8">
        <w:trPr>
          <w:tblCellSpacing w:w="15" w:type="dxa"/>
        </w:trPr>
        <w:tc>
          <w:tcPr>
            <w:tcW w:w="0" w:type="auto"/>
            <w:hideMark/>
          </w:tcPr>
          <w:p w14:paraId="3CF1CF40"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Objectives</w:t>
            </w:r>
          </w:p>
        </w:tc>
        <w:tc>
          <w:tcPr>
            <w:tcW w:w="0" w:type="auto"/>
            <w:hideMark/>
          </w:tcPr>
          <w:p w14:paraId="23A8A4C4"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7</w:t>
            </w:r>
          </w:p>
        </w:tc>
        <w:tc>
          <w:tcPr>
            <w:tcW w:w="0" w:type="auto"/>
            <w:hideMark/>
          </w:tcPr>
          <w:p w14:paraId="17C5B6DE"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Provide an explicit statement of the question(s) the review will address with reference to participants, interventions, comparators, and outcomes (PICO)</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p6-7)</w:t>
            </w:r>
          </w:p>
        </w:tc>
      </w:tr>
      <w:tr w:rsidR="00AC03B5" w:rsidRPr="009429CD" w14:paraId="090F18CD" w14:textId="77777777" w:rsidTr="008162C8">
        <w:trPr>
          <w:tblCellSpacing w:w="15" w:type="dxa"/>
        </w:trPr>
        <w:tc>
          <w:tcPr>
            <w:tcW w:w="0" w:type="auto"/>
            <w:gridSpan w:val="3"/>
            <w:hideMark/>
          </w:tcPr>
          <w:p w14:paraId="394E39E0" w14:textId="77777777" w:rsidR="00AC03B5" w:rsidRPr="009429CD" w:rsidRDefault="00AC03B5" w:rsidP="008162C8">
            <w:pPr>
              <w:spacing w:after="0" w:line="240" w:lineRule="auto"/>
              <w:rPr>
                <w:rFonts w:eastAsia="Times New Roman" w:cs="Times New Roman"/>
                <w:sz w:val="20"/>
                <w:szCs w:val="24"/>
                <w:lang w:eastAsia="en-GB"/>
              </w:rPr>
            </w:pPr>
            <w:r w:rsidRPr="00586A4A">
              <w:rPr>
                <w:rFonts w:eastAsia="Times New Roman" w:cs="Times New Roman"/>
                <w:b/>
                <w:bCs/>
                <w:sz w:val="20"/>
                <w:szCs w:val="24"/>
                <w:lang w:eastAsia="en-GB"/>
              </w:rPr>
              <w:t>Methods</w:t>
            </w:r>
          </w:p>
        </w:tc>
      </w:tr>
      <w:tr w:rsidR="00AC03B5" w:rsidRPr="00586A4A" w14:paraId="55D07312" w14:textId="77777777" w:rsidTr="008162C8">
        <w:trPr>
          <w:tblCellSpacing w:w="15" w:type="dxa"/>
        </w:trPr>
        <w:tc>
          <w:tcPr>
            <w:tcW w:w="0" w:type="auto"/>
            <w:hideMark/>
          </w:tcPr>
          <w:p w14:paraId="23371C75"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Eligibility criteria</w:t>
            </w:r>
          </w:p>
        </w:tc>
        <w:tc>
          <w:tcPr>
            <w:tcW w:w="0" w:type="auto"/>
            <w:hideMark/>
          </w:tcPr>
          <w:p w14:paraId="144B7FE2"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8</w:t>
            </w:r>
          </w:p>
        </w:tc>
        <w:tc>
          <w:tcPr>
            <w:tcW w:w="0" w:type="auto"/>
            <w:hideMark/>
          </w:tcPr>
          <w:p w14:paraId="2F75D09A"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Specify the study characteristics (such as PICO, study design, setting, time frame) and report characteristics (such as years considered, language, publication status) to be used as criteria for eligibility for the review</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lines 126-140)</w:t>
            </w:r>
          </w:p>
        </w:tc>
      </w:tr>
      <w:tr w:rsidR="00AC03B5" w:rsidRPr="00586A4A" w14:paraId="53EE9107" w14:textId="77777777" w:rsidTr="008162C8">
        <w:trPr>
          <w:tblCellSpacing w:w="15" w:type="dxa"/>
        </w:trPr>
        <w:tc>
          <w:tcPr>
            <w:tcW w:w="0" w:type="auto"/>
            <w:hideMark/>
          </w:tcPr>
          <w:p w14:paraId="38DB4C30"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Information sources</w:t>
            </w:r>
          </w:p>
        </w:tc>
        <w:tc>
          <w:tcPr>
            <w:tcW w:w="0" w:type="auto"/>
            <w:hideMark/>
          </w:tcPr>
          <w:p w14:paraId="50068E53"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9</w:t>
            </w:r>
          </w:p>
        </w:tc>
        <w:tc>
          <w:tcPr>
            <w:tcW w:w="0" w:type="auto"/>
            <w:hideMark/>
          </w:tcPr>
          <w:p w14:paraId="268EEB88"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all intended information sources (such as electronic databases, contact with study authors, trial registers or other grey literature sources) with planned dates of coverage</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lines 118-125)</w:t>
            </w:r>
          </w:p>
        </w:tc>
      </w:tr>
      <w:tr w:rsidR="00AC03B5" w:rsidRPr="00586A4A" w14:paraId="464831BF" w14:textId="77777777" w:rsidTr="008162C8">
        <w:trPr>
          <w:tblCellSpacing w:w="15" w:type="dxa"/>
        </w:trPr>
        <w:tc>
          <w:tcPr>
            <w:tcW w:w="0" w:type="auto"/>
            <w:hideMark/>
          </w:tcPr>
          <w:p w14:paraId="023EA478"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Search strategy</w:t>
            </w:r>
          </w:p>
        </w:tc>
        <w:tc>
          <w:tcPr>
            <w:tcW w:w="0" w:type="auto"/>
            <w:hideMark/>
          </w:tcPr>
          <w:p w14:paraId="38384ACA"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10</w:t>
            </w:r>
          </w:p>
        </w:tc>
        <w:tc>
          <w:tcPr>
            <w:tcW w:w="0" w:type="auto"/>
            <w:hideMark/>
          </w:tcPr>
          <w:p w14:paraId="6299EDE4"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Present draft of search strategy to be used for at least one electronic database, including planned limits, such that it could be repeated</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lines 118-125)</w:t>
            </w:r>
          </w:p>
        </w:tc>
      </w:tr>
      <w:tr w:rsidR="00AC03B5" w:rsidRPr="00586A4A" w14:paraId="0865CB33" w14:textId="77777777" w:rsidTr="008162C8">
        <w:trPr>
          <w:tblCellSpacing w:w="15" w:type="dxa"/>
        </w:trPr>
        <w:tc>
          <w:tcPr>
            <w:tcW w:w="0" w:type="auto"/>
            <w:hideMark/>
          </w:tcPr>
          <w:p w14:paraId="5AA95822"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Study records:</w:t>
            </w:r>
          </w:p>
        </w:tc>
        <w:tc>
          <w:tcPr>
            <w:tcW w:w="0" w:type="auto"/>
            <w:hideMark/>
          </w:tcPr>
          <w:p w14:paraId="2DA6F1D6" w14:textId="77777777" w:rsidR="00AC03B5" w:rsidRPr="009429CD" w:rsidRDefault="00AC03B5" w:rsidP="008162C8">
            <w:pPr>
              <w:spacing w:after="0" w:line="240" w:lineRule="auto"/>
              <w:rPr>
                <w:rFonts w:eastAsia="Times New Roman" w:cs="Times New Roman"/>
                <w:sz w:val="20"/>
                <w:szCs w:val="24"/>
                <w:lang w:eastAsia="en-GB"/>
              </w:rPr>
            </w:pPr>
          </w:p>
        </w:tc>
        <w:tc>
          <w:tcPr>
            <w:tcW w:w="0" w:type="auto"/>
            <w:hideMark/>
          </w:tcPr>
          <w:p w14:paraId="78985E47" w14:textId="77777777" w:rsidR="00AC03B5" w:rsidRPr="009429CD" w:rsidRDefault="00AC03B5" w:rsidP="008162C8">
            <w:pPr>
              <w:spacing w:after="0" w:line="240" w:lineRule="auto"/>
              <w:jc w:val="center"/>
              <w:rPr>
                <w:rFonts w:eastAsia="Times New Roman" w:cs="Times New Roman"/>
                <w:szCs w:val="20"/>
                <w:lang w:eastAsia="en-GB"/>
              </w:rPr>
            </w:pPr>
          </w:p>
        </w:tc>
      </w:tr>
      <w:tr w:rsidR="00AC03B5" w:rsidRPr="00586A4A" w14:paraId="046D96FE" w14:textId="77777777" w:rsidTr="008162C8">
        <w:trPr>
          <w:tblCellSpacing w:w="15" w:type="dxa"/>
        </w:trPr>
        <w:tc>
          <w:tcPr>
            <w:tcW w:w="0" w:type="auto"/>
            <w:hideMark/>
          </w:tcPr>
          <w:p w14:paraId="44310B50"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Data management</w:t>
            </w:r>
          </w:p>
        </w:tc>
        <w:tc>
          <w:tcPr>
            <w:tcW w:w="0" w:type="auto"/>
            <w:hideMark/>
          </w:tcPr>
          <w:p w14:paraId="288BE736"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11a</w:t>
            </w:r>
          </w:p>
        </w:tc>
        <w:tc>
          <w:tcPr>
            <w:tcW w:w="0" w:type="auto"/>
            <w:hideMark/>
          </w:tcPr>
          <w:p w14:paraId="1A31D2B8"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the mechanism(s) that will be used to manage records and data throughout the review</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lines 132-154)</w:t>
            </w:r>
          </w:p>
        </w:tc>
      </w:tr>
      <w:tr w:rsidR="00AC03B5" w:rsidRPr="00586A4A" w14:paraId="0408BF3B" w14:textId="77777777" w:rsidTr="008162C8">
        <w:trPr>
          <w:tblCellSpacing w:w="15" w:type="dxa"/>
        </w:trPr>
        <w:tc>
          <w:tcPr>
            <w:tcW w:w="0" w:type="auto"/>
            <w:hideMark/>
          </w:tcPr>
          <w:p w14:paraId="7B463FF3"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Selection process</w:t>
            </w:r>
          </w:p>
        </w:tc>
        <w:tc>
          <w:tcPr>
            <w:tcW w:w="0" w:type="auto"/>
            <w:hideMark/>
          </w:tcPr>
          <w:p w14:paraId="51103786"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11b</w:t>
            </w:r>
          </w:p>
        </w:tc>
        <w:tc>
          <w:tcPr>
            <w:tcW w:w="0" w:type="auto"/>
            <w:hideMark/>
          </w:tcPr>
          <w:p w14:paraId="762EFF65"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State the process that will be used for selecting studies (such as two independent reviewers) through each phase of the review (that is, screening, eligibility and inclusion in meta-analysis)</w:t>
            </w:r>
            <w:r w:rsidRPr="00586A4A">
              <w:rPr>
                <w:rFonts w:eastAsia="Times New Roman" w:cs="Times New Roman"/>
                <w:i/>
                <w:color w:val="5B9BD5" w:themeColor="accent1"/>
                <w:sz w:val="20"/>
                <w:szCs w:val="24"/>
                <w:lang w:eastAsia="en-GB"/>
              </w:rPr>
              <w:t xml:space="preserve"> (see materials and methods line 132)</w:t>
            </w:r>
          </w:p>
        </w:tc>
      </w:tr>
      <w:tr w:rsidR="00AC03B5" w:rsidRPr="00586A4A" w14:paraId="52EAC238" w14:textId="77777777" w:rsidTr="008162C8">
        <w:trPr>
          <w:tblCellSpacing w:w="15" w:type="dxa"/>
        </w:trPr>
        <w:tc>
          <w:tcPr>
            <w:tcW w:w="0" w:type="auto"/>
            <w:hideMark/>
          </w:tcPr>
          <w:p w14:paraId="5E9CDF86"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 </w:t>
            </w:r>
            <w:r w:rsidRPr="009429CD">
              <w:rPr>
                <w:rFonts w:eastAsia="Times New Roman" w:cs="Times New Roman"/>
                <w:sz w:val="20"/>
                <w:szCs w:val="24"/>
                <w:lang w:eastAsia="en-GB"/>
              </w:rPr>
              <w:t>Data collection process</w:t>
            </w:r>
          </w:p>
        </w:tc>
        <w:tc>
          <w:tcPr>
            <w:tcW w:w="0" w:type="auto"/>
            <w:hideMark/>
          </w:tcPr>
          <w:p w14:paraId="4337EE26"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11c</w:t>
            </w:r>
          </w:p>
        </w:tc>
        <w:tc>
          <w:tcPr>
            <w:tcW w:w="0" w:type="auto"/>
            <w:hideMark/>
          </w:tcPr>
          <w:p w14:paraId="53B7F2CF"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planned method of extracting data from reports (such as piloting forms, done independently, in duplicate), any processes for obtaining and confirming data from investigators</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w:t>
            </w:r>
          </w:p>
        </w:tc>
      </w:tr>
      <w:tr w:rsidR="00AC03B5" w:rsidRPr="00586A4A" w14:paraId="03F8E74A" w14:textId="77777777" w:rsidTr="008162C8">
        <w:trPr>
          <w:tblCellSpacing w:w="15" w:type="dxa"/>
        </w:trPr>
        <w:tc>
          <w:tcPr>
            <w:tcW w:w="0" w:type="auto"/>
            <w:hideMark/>
          </w:tcPr>
          <w:p w14:paraId="1329C214"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Data items</w:t>
            </w:r>
          </w:p>
        </w:tc>
        <w:tc>
          <w:tcPr>
            <w:tcW w:w="0" w:type="auto"/>
            <w:hideMark/>
          </w:tcPr>
          <w:p w14:paraId="440723AD"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12</w:t>
            </w:r>
          </w:p>
        </w:tc>
        <w:tc>
          <w:tcPr>
            <w:tcW w:w="0" w:type="auto"/>
            <w:hideMark/>
          </w:tcPr>
          <w:p w14:paraId="60F07658"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List and define all variables for which data will be sought (such as PICO items, funding sources), any pre-planned data assumptions and simplifications</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133-154)</w:t>
            </w:r>
          </w:p>
        </w:tc>
      </w:tr>
      <w:tr w:rsidR="00AC03B5" w:rsidRPr="00586A4A" w14:paraId="1ECDB3DB" w14:textId="77777777" w:rsidTr="008162C8">
        <w:trPr>
          <w:tblCellSpacing w:w="15" w:type="dxa"/>
        </w:trPr>
        <w:tc>
          <w:tcPr>
            <w:tcW w:w="0" w:type="auto"/>
            <w:hideMark/>
          </w:tcPr>
          <w:p w14:paraId="7ECDA2C6"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lastRenderedPageBreak/>
              <w:t>Outcomes and prioritization</w:t>
            </w:r>
          </w:p>
        </w:tc>
        <w:tc>
          <w:tcPr>
            <w:tcW w:w="0" w:type="auto"/>
            <w:hideMark/>
          </w:tcPr>
          <w:p w14:paraId="31EA7C2B"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13</w:t>
            </w:r>
          </w:p>
        </w:tc>
        <w:tc>
          <w:tcPr>
            <w:tcW w:w="0" w:type="auto"/>
            <w:hideMark/>
          </w:tcPr>
          <w:p w14:paraId="0BAA4961"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List and define all outcomes for which data will be sought, including prioritization of main and additional outcomes, with rationale</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133-154</w:t>
            </w:r>
          </w:p>
        </w:tc>
      </w:tr>
      <w:tr w:rsidR="00AC03B5" w:rsidRPr="00586A4A" w14:paraId="7F6472D5" w14:textId="77777777" w:rsidTr="008162C8">
        <w:trPr>
          <w:tblCellSpacing w:w="15" w:type="dxa"/>
        </w:trPr>
        <w:tc>
          <w:tcPr>
            <w:tcW w:w="0" w:type="auto"/>
            <w:hideMark/>
          </w:tcPr>
          <w:p w14:paraId="54799314"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Risk of bias in individual studies</w:t>
            </w:r>
          </w:p>
        </w:tc>
        <w:tc>
          <w:tcPr>
            <w:tcW w:w="0" w:type="auto"/>
            <w:hideMark/>
          </w:tcPr>
          <w:p w14:paraId="570C3AC9"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14</w:t>
            </w:r>
          </w:p>
        </w:tc>
        <w:tc>
          <w:tcPr>
            <w:tcW w:w="0" w:type="auto"/>
            <w:hideMark/>
          </w:tcPr>
          <w:p w14:paraId="0B3806AB"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anticipated methods for assessing risk of bias of individual studies, including whether this will be done at the outcome or study level, or both; state how this information will be used in data synthesis</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133-140)</w:t>
            </w:r>
          </w:p>
        </w:tc>
      </w:tr>
      <w:tr w:rsidR="00AC03B5" w:rsidRPr="00586A4A" w14:paraId="3DA759CF" w14:textId="77777777" w:rsidTr="008162C8">
        <w:trPr>
          <w:tblCellSpacing w:w="15" w:type="dxa"/>
        </w:trPr>
        <w:tc>
          <w:tcPr>
            <w:tcW w:w="0" w:type="auto"/>
            <w:vMerge w:val="restart"/>
            <w:hideMark/>
          </w:tcPr>
          <w:p w14:paraId="4B9655BB"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Data synthesis</w:t>
            </w:r>
          </w:p>
        </w:tc>
        <w:tc>
          <w:tcPr>
            <w:tcW w:w="0" w:type="auto"/>
            <w:hideMark/>
          </w:tcPr>
          <w:p w14:paraId="6163C69E"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15a</w:t>
            </w:r>
          </w:p>
        </w:tc>
        <w:tc>
          <w:tcPr>
            <w:tcW w:w="0" w:type="auto"/>
            <w:hideMark/>
          </w:tcPr>
          <w:p w14:paraId="4BC77384"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criteria under which study data will be quantitatively synthesised</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156-180)</w:t>
            </w:r>
          </w:p>
        </w:tc>
      </w:tr>
      <w:tr w:rsidR="00AC03B5" w:rsidRPr="00586A4A" w14:paraId="2A6247A1" w14:textId="77777777" w:rsidTr="008162C8">
        <w:trPr>
          <w:tblCellSpacing w:w="15" w:type="dxa"/>
        </w:trPr>
        <w:tc>
          <w:tcPr>
            <w:tcW w:w="0" w:type="auto"/>
            <w:vMerge/>
            <w:vAlign w:val="center"/>
            <w:hideMark/>
          </w:tcPr>
          <w:p w14:paraId="582D1F48" w14:textId="77777777" w:rsidR="00AC03B5" w:rsidRPr="009429CD" w:rsidRDefault="00AC03B5" w:rsidP="008162C8">
            <w:pPr>
              <w:spacing w:after="0" w:line="240" w:lineRule="auto"/>
              <w:rPr>
                <w:rFonts w:eastAsia="Times New Roman" w:cs="Times New Roman"/>
                <w:sz w:val="20"/>
                <w:szCs w:val="24"/>
                <w:lang w:eastAsia="en-GB"/>
              </w:rPr>
            </w:pPr>
          </w:p>
        </w:tc>
        <w:tc>
          <w:tcPr>
            <w:tcW w:w="0" w:type="auto"/>
            <w:hideMark/>
          </w:tcPr>
          <w:p w14:paraId="5615F920"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15b</w:t>
            </w:r>
          </w:p>
        </w:tc>
        <w:tc>
          <w:tcPr>
            <w:tcW w:w="0" w:type="auto"/>
            <w:hideMark/>
          </w:tcPr>
          <w:p w14:paraId="24033704"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If data are appropriate for quantitative synthesis, describe planned summary measures, methods of handling data and methods of combining data from studies, including any planned exploration of consistency (such as I</w:t>
            </w:r>
            <w:r w:rsidRPr="009429CD">
              <w:rPr>
                <w:rFonts w:eastAsia="Times New Roman" w:cs="Times New Roman"/>
                <w:sz w:val="20"/>
                <w:szCs w:val="24"/>
                <w:vertAlign w:val="superscript"/>
                <w:lang w:eastAsia="en-GB"/>
              </w:rPr>
              <w:t>2</w:t>
            </w:r>
            <w:r w:rsidRPr="009429CD">
              <w:rPr>
                <w:rFonts w:eastAsia="Times New Roman" w:cs="Times New Roman"/>
                <w:sz w:val="20"/>
                <w:szCs w:val="24"/>
                <w:lang w:eastAsia="en-GB"/>
              </w:rPr>
              <w:t>, Kendall’s τ)</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156-180)</w:t>
            </w:r>
          </w:p>
        </w:tc>
      </w:tr>
      <w:tr w:rsidR="00AC03B5" w:rsidRPr="00586A4A" w14:paraId="6FBE6C86" w14:textId="77777777" w:rsidTr="008162C8">
        <w:trPr>
          <w:tblCellSpacing w:w="15" w:type="dxa"/>
        </w:trPr>
        <w:tc>
          <w:tcPr>
            <w:tcW w:w="0" w:type="auto"/>
            <w:vMerge/>
            <w:vAlign w:val="center"/>
            <w:hideMark/>
          </w:tcPr>
          <w:p w14:paraId="1762C7A7" w14:textId="77777777" w:rsidR="00AC03B5" w:rsidRPr="009429CD" w:rsidRDefault="00AC03B5" w:rsidP="008162C8">
            <w:pPr>
              <w:spacing w:after="0" w:line="240" w:lineRule="auto"/>
              <w:rPr>
                <w:rFonts w:eastAsia="Times New Roman" w:cs="Times New Roman"/>
                <w:sz w:val="20"/>
                <w:szCs w:val="24"/>
                <w:lang w:eastAsia="en-GB"/>
              </w:rPr>
            </w:pPr>
          </w:p>
        </w:tc>
        <w:tc>
          <w:tcPr>
            <w:tcW w:w="0" w:type="auto"/>
            <w:hideMark/>
          </w:tcPr>
          <w:p w14:paraId="4392152E"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15c</w:t>
            </w:r>
          </w:p>
        </w:tc>
        <w:tc>
          <w:tcPr>
            <w:tcW w:w="0" w:type="auto"/>
            <w:hideMark/>
          </w:tcPr>
          <w:p w14:paraId="56435270"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any proposed additional analyses (such as sensitivity or subgroup analyses, meta-regression)</w:t>
            </w:r>
            <w:r w:rsidRPr="00586A4A">
              <w:rPr>
                <w:rFonts w:eastAsia="Times New Roman" w:cs="Times New Roman"/>
                <w:i/>
                <w:color w:val="5B9BD5" w:themeColor="accent1"/>
                <w:sz w:val="20"/>
                <w:szCs w:val="24"/>
                <w:lang w:eastAsia="en-GB"/>
              </w:rPr>
              <w:t xml:space="preserve"> (see materials and methods line 132 and 156-180)</w:t>
            </w:r>
          </w:p>
        </w:tc>
      </w:tr>
      <w:tr w:rsidR="00AC03B5" w:rsidRPr="00586A4A" w14:paraId="5164ED90" w14:textId="77777777" w:rsidTr="008162C8">
        <w:trPr>
          <w:tblCellSpacing w:w="15" w:type="dxa"/>
        </w:trPr>
        <w:tc>
          <w:tcPr>
            <w:tcW w:w="0" w:type="auto"/>
            <w:vMerge/>
            <w:vAlign w:val="center"/>
            <w:hideMark/>
          </w:tcPr>
          <w:p w14:paraId="775648B6" w14:textId="77777777" w:rsidR="00AC03B5" w:rsidRPr="009429CD" w:rsidRDefault="00AC03B5" w:rsidP="008162C8">
            <w:pPr>
              <w:spacing w:after="0" w:line="240" w:lineRule="auto"/>
              <w:rPr>
                <w:rFonts w:eastAsia="Times New Roman" w:cs="Times New Roman"/>
                <w:sz w:val="20"/>
                <w:szCs w:val="24"/>
                <w:lang w:eastAsia="en-GB"/>
              </w:rPr>
            </w:pPr>
          </w:p>
        </w:tc>
        <w:tc>
          <w:tcPr>
            <w:tcW w:w="0" w:type="auto"/>
            <w:hideMark/>
          </w:tcPr>
          <w:p w14:paraId="44306E05"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15d</w:t>
            </w:r>
          </w:p>
        </w:tc>
        <w:tc>
          <w:tcPr>
            <w:tcW w:w="0" w:type="auto"/>
            <w:hideMark/>
          </w:tcPr>
          <w:p w14:paraId="10F9920E"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If quantitative synthesis is not appropriate, describe the type of summary planned</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(not applicable)</w:t>
            </w:r>
          </w:p>
        </w:tc>
      </w:tr>
      <w:tr w:rsidR="00AC03B5" w:rsidRPr="00586A4A" w14:paraId="32DDB08B" w14:textId="77777777" w:rsidTr="008162C8">
        <w:trPr>
          <w:tblCellSpacing w:w="15" w:type="dxa"/>
        </w:trPr>
        <w:tc>
          <w:tcPr>
            <w:tcW w:w="0" w:type="auto"/>
            <w:hideMark/>
          </w:tcPr>
          <w:p w14:paraId="27FA9C48"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Meta-bias(es)</w:t>
            </w:r>
          </w:p>
        </w:tc>
        <w:tc>
          <w:tcPr>
            <w:tcW w:w="0" w:type="auto"/>
            <w:hideMark/>
          </w:tcPr>
          <w:p w14:paraId="544A505E"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16</w:t>
            </w:r>
          </w:p>
        </w:tc>
        <w:tc>
          <w:tcPr>
            <w:tcW w:w="0" w:type="auto"/>
            <w:hideMark/>
          </w:tcPr>
          <w:p w14:paraId="41FA1AAA"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Specify any planned assessment of meta-bias(es) (such as publication bias across studies, selective reporting within studies)</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181-184)</w:t>
            </w:r>
          </w:p>
        </w:tc>
      </w:tr>
      <w:tr w:rsidR="00AC03B5" w:rsidRPr="00586A4A" w14:paraId="72F6C8EB" w14:textId="77777777" w:rsidTr="008162C8">
        <w:trPr>
          <w:tblCellSpacing w:w="15" w:type="dxa"/>
        </w:trPr>
        <w:tc>
          <w:tcPr>
            <w:tcW w:w="0" w:type="auto"/>
            <w:hideMark/>
          </w:tcPr>
          <w:p w14:paraId="7DCA9497"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Confidence in cumulative evidence</w:t>
            </w:r>
          </w:p>
        </w:tc>
        <w:tc>
          <w:tcPr>
            <w:tcW w:w="0" w:type="auto"/>
            <w:hideMark/>
          </w:tcPr>
          <w:p w14:paraId="5FB36BBA" w14:textId="77777777" w:rsidR="00AC03B5" w:rsidRPr="009429CD" w:rsidRDefault="00AC03B5" w:rsidP="008162C8">
            <w:pPr>
              <w:spacing w:after="0" w:line="240" w:lineRule="auto"/>
              <w:jc w:val="center"/>
              <w:rPr>
                <w:rFonts w:eastAsia="Times New Roman" w:cs="Times New Roman"/>
                <w:sz w:val="20"/>
                <w:szCs w:val="24"/>
                <w:lang w:eastAsia="en-GB"/>
              </w:rPr>
            </w:pPr>
            <w:r w:rsidRPr="009429CD">
              <w:rPr>
                <w:rFonts w:eastAsia="Times New Roman" w:cs="Times New Roman"/>
                <w:sz w:val="20"/>
                <w:szCs w:val="24"/>
                <w:lang w:eastAsia="en-GB"/>
              </w:rPr>
              <w:t>17</w:t>
            </w:r>
          </w:p>
        </w:tc>
        <w:tc>
          <w:tcPr>
            <w:tcW w:w="0" w:type="auto"/>
            <w:hideMark/>
          </w:tcPr>
          <w:p w14:paraId="0138969D" w14:textId="77777777" w:rsidR="00AC03B5" w:rsidRPr="009429CD" w:rsidRDefault="00AC03B5" w:rsidP="008162C8">
            <w:pPr>
              <w:spacing w:after="0" w:line="240" w:lineRule="auto"/>
              <w:rPr>
                <w:rFonts w:eastAsia="Times New Roman" w:cs="Times New Roman"/>
                <w:sz w:val="20"/>
                <w:szCs w:val="24"/>
                <w:lang w:eastAsia="en-GB"/>
              </w:rPr>
            </w:pPr>
            <w:r w:rsidRPr="009429CD">
              <w:rPr>
                <w:rFonts w:eastAsia="Times New Roman" w:cs="Times New Roman"/>
                <w:sz w:val="20"/>
                <w:szCs w:val="24"/>
                <w:lang w:eastAsia="en-GB"/>
              </w:rPr>
              <w:t>Describe how the strength of the body of evidence will be assessed (such as GRADE)</w:t>
            </w:r>
            <w:r w:rsidRPr="00586A4A">
              <w:rPr>
                <w:rFonts w:eastAsia="Times New Roman" w:cs="Times New Roman"/>
                <w:sz w:val="20"/>
                <w:szCs w:val="24"/>
                <w:lang w:eastAsia="en-GB"/>
              </w:rPr>
              <w:t xml:space="preserve"> (</w:t>
            </w:r>
            <w:r w:rsidRPr="00586A4A">
              <w:rPr>
                <w:rFonts w:eastAsia="Times New Roman" w:cs="Times New Roman"/>
                <w:i/>
                <w:color w:val="5B9BD5" w:themeColor="accent1"/>
                <w:sz w:val="20"/>
                <w:szCs w:val="24"/>
                <w:lang w:eastAsia="en-GB"/>
              </w:rPr>
              <w:t>(see materials and methods line 132 and 181-184, also see limitations)</w:t>
            </w:r>
          </w:p>
        </w:tc>
      </w:tr>
    </w:tbl>
    <w:p w14:paraId="0086CEF2" w14:textId="77777777" w:rsidR="00AC03B5" w:rsidRDefault="00AC03B5" w:rsidP="00AC03B5"/>
    <w:p w14:paraId="4EBDC466" w14:textId="77777777" w:rsidR="00AC03B5" w:rsidRDefault="00AC03B5" w:rsidP="00AC03B5"/>
    <w:p w14:paraId="374955A9" w14:textId="77777777" w:rsidR="00AC03B5" w:rsidRPr="00E252D8" w:rsidRDefault="00AC03B5" w:rsidP="00E252D8">
      <w:bookmarkStart w:id="1" w:name="_GoBack"/>
      <w:bookmarkEnd w:id="1"/>
    </w:p>
    <w:sectPr w:rsidR="00AC03B5" w:rsidRPr="00E252D8" w:rsidSect="006D067C">
      <w:headerReference w:type="even" r:id="rId22"/>
      <w:headerReference w:type="default" r:id="rId23"/>
      <w:footerReference w:type="even" r:id="rId24"/>
      <w:footerReference w:type="default" r:id="rId25"/>
      <w:headerReference w:type="first" r:id="rId26"/>
      <w:footerReference w:type="first" r:id="rId27"/>
      <w:pgSz w:w="11906" w:h="16838"/>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677EA" w14:textId="77777777" w:rsidR="002F0660" w:rsidRDefault="002F0660" w:rsidP="00BE018B">
      <w:pPr>
        <w:spacing w:after="0" w:line="240" w:lineRule="auto"/>
      </w:pPr>
      <w:r>
        <w:separator/>
      </w:r>
    </w:p>
  </w:endnote>
  <w:endnote w:type="continuationSeparator" w:id="0">
    <w:p w14:paraId="432D490E" w14:textId="77777777" w:rsidR="002F0660" w:rsidRDefault="002F0660" w:rsidP="00BE018B">
      <w:pPr>
        <w:spacing w:after="0" w:line="240" w:lineRule="auto"/>
      </w:pPr>
      <w:r>
        <w:continuationSeparator/>
      </w:r>
    </w:p>
  </w:endnote>
  <w:endnote w:type="continuationNotice" w:id="1">
    <w:p w14:paraId="4D9B7E25" w14:textId="77777777" w:rsidR="002F0660" w:rsidRDefault="002F06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21F7D" w14:textId="77777777" w:rsidR="00AC03B5" w:rsidRDefault="00AC03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0020387"/>
      <w:docPartObj>
        <w:docPartGallery w:val="Page Numbers (Bottom of Page)"/>
        <w:docPartUnique/>
      </w:docPartObj>
    </w:sdtPr>
    <w:sdtEndPr>
      <w:rPr>
        <w:noProof/>
      </w:rPr>
    </w:sdtEndPr>
    <w:sdtContent>
      <w:p w14:paraId="00C2E2EF" w14:textId="0F02BDFF" w:rsidR="00E91374" w:rsidRDefault="00E91374">
        <w:pPr>
          <w:pStyle w:val="Footer"/>
          <w:jc w:val="right"/>
        </w:pPr>
        <w:r>
          <w:fldChar w:fldCharType="begin"/>
        </w:r>
        <w:r>
          <w:instrText xml:space="preserve"> PAGE   \* MERGEFORMAT </w:instrText>
        </w:r>
        <w:r>
          <w:fldChar w:fldCharType="separate"/>
        </w:r>
        <w:r w:rsidR="00AC03B5">
          <w:rPr>
            <w:noProof/>
          </w:rPr>
          <w:t>57</w:t>
        </w:r>
        <w:r>
          <w:rPr>
            <w:noProof/>
          </w:rPr>
          <w:fldChar w:fldCharType="end"/>
        </w:r>
      </w:p>
    </w:sdtContent>
  </w:sdt>
  <w:p w14:paraId="0A4185F1" w14:textId="77777777" w:rsidR="00E91374" w:rsidRDefault="00E913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CA631" w14:textId="77777777" w:rsidR="00AC03B5" w:rsidRDefault="00AC03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87C8A" w14:textId="77777777" w:rsidR="002F0660" w:rsidRDefault="002F0660" w:rsidP="00BE018B">
      <w:pPr>
        <w:spacing w:after="0" w:line="240" w:lineRule="auto"/>
      </w:pPr>
      <w:r>
        <w:separator/>
      </w:r>
    </w:p>
  </w:footnote>
  <w:footnote w:type="continuationSeparator" w:id="0">
    <w:p w14:paraId="2730E976" w14:textId="77777777" w:rsidR="002F0660" w:rsidRDefault="002F0660" w:rsidP="00BE018B">
      <w:pPr>
        <w:spacing w:after="0" w:line="240" w:lineRule="auto"/>
      </w:pPr>
      <w:r>
        <w:continuationSeparator/>
      </w:r>
    </w:p>
  </w:footnote>
  <w:footnote w:type="continuationNotice" w:id="1">
    <w:p w14:paraId="34F554C6" w14:textId="77777777" w:rsidR="002F0660" w:rsidRDefault="002F066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1EF15" w14:textId="6D640100" w:rsidR="00AC03B5" w:rsidRDefault="00AC03B5">
    <w:pPr>
      <w:pStyle w:val="Header"/>
    </w:pPr>
    <w:r>
      <w:rPr>
        <w:noProof/>
      </w:rPr>
      <w:pict w14:anchorId="64676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33422" o:spid="_x0000_s2050" type="#_x0000_t136" style="position:absolute;left:0;text-align:left;margin-left:0;margin-top:0;width:656.3pt;height:30.55pt;rotation:315;z-index:-251655168;mso-position-horizontal:center;mso-position-horizontal-relative:margin;mso-position-vertical:center;mso-position-vertical-relative:margin" o:allowincell="f" fillcolor="silver" stroked="f">
          <v:fill opacity=".5"/>
          <v:textpath style="font-family:&quot;Tw Cen MT Condensed&quot;;font-size:1pt" string="Author Accepted Manuscript - FOR ARCHIVE - Do not disseminat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F9841" w14:textId="3580C534" w:rsidR="00E91374" w:rsidRPr="00BE018B" w:rsidRDefault="00AC03B5" w:rsidP="00BE018B">
    <w:pPr>
      <w:pStyle w:val="Heading2"/>
      <w:jc w:val="center"/>
      <w:rPr>
        <w:sz w:val="20"/>
      </w:rPr>
    </w:pPr>
    <w:r>
      <w:rPr>
        <w:noProof/>
      </w:rPr>
      <w:pict w14:anchorId="709F97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33423" o:spid="_x0000_s2051" type="#_x0000_t136" style="position:absolute;left:0;text-align:left;margin-left:0;margin-top:0;width:656.3pt;height:30.55pt;rotation:315;z-index:-251653120;mso-position-horizontal:center;mso-position-horizontal-relative:margin;mso-position-vertical:center;mso-position-vertical-relative:margin" o:allowincell="f" fillcolor="silver" stroked="f">
          <v:fill opacity=".5"/>
          <v:textpath style="font-family:&quot;Tw Cen MT Condensed&quot;;font-size:1pt" string="Author Accepted Manuscript - FOR ARCHIVE - Do not disseminate"/>
        </v:shape>
      </w:pict>
    </w:r>
    <w:r w:rsidR="00E91374">
      <w:rPr>
        <w:sz w:val="20"/>
      </w:rPr>
      <w:t>PLACEBO AND NOCEBO EFFECTS IN GAMBLING DISORDER: A META-ANALYSIS</w:t>
    </w:r>
  </w:p>
  <w:p w14:paraId="4050C88F" w14:textId="77777777" w:rsidR="00E91374" w:rsidRDefault="00E913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2A8E3" w14:textId="2DD6B7E7" w:rsidR="00AC03B5" w:rsidRDefault="00AC03B5">
    <w:pPr>
      <w:pStyle w:val="Header"/>
    </w:pPr>
    <w:r>
      <w:rPr>
        <w:noProof/>
      </w:rPr>
      <w:pict w14:anchorId="58B4D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33421" o:spid="_x0000_s2049" type="#_x0000_t136" style="position:absolute;left:0;text-align:left;margin-left:0;margin-top:0;width:656.3pt;height:30.55pt;rotation:315;z-index:-251657216;mso-position-horizontal:center;mso-position-horizontal-relative:margin;mso-position-vertical:center;mso-position-vertical-relative:margin" o:allowincell="f" fillcolor="silver" stroked="f">
          <v:fill opacity=".5"/>
          <v:textpath style="font-family:&quot;Tw Cen MT Condensed&quot;;font-size:1pt" string="Author Accepted Manuscript - FOR ARCHIVE - Do not disseminat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B4CAC"/>
    <w:multiLevelType w:val="hybridMultilevel"/>
    <w:tmpl w:val="231A0D32"/>
    <w:lvl w:ilvl="0" w:tplc="2B8AC8FC">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DC21AC"/>
    <w:multiLevelType w:val="hybridMultilevel"/>
    <w:tmpl w:val="DBB8A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03214"/>
    <w:multiLevelType w:val="hybridMultilevel"/>
    <w:tmpl w:val="8572DB18"/>
    <w:lvl w:ilvl="0" w:tplc="7996DC50">
      <w:start w:val="1"/>
      <w:numFmt w:val="decimal"/>
      <w:lvlText w:val="%1)"/>
      <w:lvlJc w:val="left"/>
      <w:pPr>
        <w:ind w:left="720" w:hanging="360"/>
      </w:pPr>
      <w:rPr>
        <w:rFonts w:ascii="Arial" w:hAnsi="Arial" w:cs="Arial" w:hint="default"/>
        <w:color w:val="222222"/>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0B6BD8"/>
    <w:multiLevelType w:val="multilevel"/>
    <w:tmpl w:val="F76A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2320DB"/>
    <w:multiLevelType w:val="multilevel"/>
    <w:tmpl w:val="5368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9153B1"/>
    <w:multiLevelType w:val="multilevel"/>
    <w:tmpl w:val="0C78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28598C"/>
    <w:multiLevelType w:val="multilevel"/>
    <w:tmpl w:val="554C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C42DDD"/>
    <w:multiLevelType w:val="multilevel"/>
    <w:tmpl w:val="784C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582222"/>
    <w:multiLevelType w:val="hybridMultilevel"/>
    <w:tmpl w:val="2592BF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7"/>
  </w:num>
  <w:num w:numId="5">
    <w:abstractNumId w:val="1"/>
  </w:num>
  <w:num w:numId="6">
    <w:abstractNumId w:val="5"/>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C0A"/>
    <w:rsid w:val="00000184"/>
    <w:rsid w:val="00001EDE"/>
    <w:rsid w:val="00002072"/>
    <w:rsid w:val="00002699"/>
    <w:rsid w:val="000028DB"/>
    <w:rsid w:val="000029F3"/>
    <w:rsid w:val="00005C86"/>
    <w:rsid w:val="0000629C"/>
    <w:rsid w:val="000123CE"/>
    <w:rsid w:val="000129CB"/>
    <w:rsid w:val="00014273"/>
    <w:rsid w:val="00017B01"/>
    <w:rsid w:val="000239DE"/>
    <w:rsid w:val="00023EA1"/>
    <w:rsid w:val="000255BF"/>
    <w:rsid w:val="00026748"/>
    <w:rsid w:val="0002682C"/>
    <w:rsid w:val="000278AA"/>
    <w:rsid w:val="000319F8"/>
    <w:rsid w:val="00031B42"/>
    <w:rsid w:val="0003262F"/>
    <w:rsid w:val="00035319"/>
    <w:rsid w:val="000374BF"/>
    <w:rsid w:val="00037D95"/>
    <w:rsid w:val="00040939"/>
    <w:rsid w:val="00042B90"/>
    <w:rsid w:val="00043691"/>
    <w:rsid w:val="00044C2D"/>
    <w:rsid w:val="00044FC8"/>
    <w:rsid w:val="0004525E"/>
    <w:rsid w:val="000457FF"/>
    <w:rsid w:val="00046B46"/>
    <w:rsid w:val="00047068"/>
    <w:rsid w:val="00050A24"/>
    <w:rsid w:val="00051A03"/>
    <w:rsid w:val="000523AF"/>
    <w:rsid w:val="00054F1D"/>
    <w:rsid w:val="00054FAF"/>
    <w:rsid w:val="0006095A"/>
    <w:rsid w:val="000646F3"/>
    <w:rsid w:val="00064B40"/>
    <w:rsid w:val="00064D78"/>
    <w:rsid w:val="00065F34"/>
    <w:rsid w:val="00066F78"/>
    <w:rsid w:val="00073078"/>
    <w:rsid w:val="000752CC"/>
    <w:rsid w:val="00075717"/>
    <w:rsid w:val="00075A98"/>
    <w:rsid w:val="000810CB"/>
    <w:rsid w:val="00084005"/>
    <w:rsid w:val="000846B7"/>
    <w:rsid w:val="0008605B"/>
    <w:rsid w:val="00086B30"/>
    <w:rsid w:val="00086BA4"/>
    <w:rsid w:val="00087789"/>
    <w:rsid w:val="000906B2"/>
    <w:rsid w:val="000935D5"/>
    <w:rsid w:val="00093815"/>
    <w:rsid w:val="0009518E"/>
    <w:rsid w:val="000965CB"/>
    <w:rsid w:val="00096D07"/>
    <w:rsid w:val="00097FF6"/>
    <w:rsid w:val="000A0696"/>
    <w:rsid w:val="000A0C93"/>
    <w:rsid w:val="000A0DEF"/>
    <w:rsid w:val="000A0E12"/>
    <w:rsid w:val="000A308B"/>
    <w:rsid w:val="000A4E9F"/>
    <w:rsid w:val="000A5B35"/>
    <w:rsid w:val="000A77FC"/>
    <w:rsid w:val="000A7A56"/>
    <w:rsid w:val="000B3880"/>
    <w:rsid w:val="000B3CCA"/>
    <w:rsid w:val="000B47CD"/>
    <w:rsid w:val="000B4AE7"/>
    <w:rsid w:val="000B4F77"/>
    <w:rsid w:val="000B6BC3"/>
    <w:rsid w:val="000B72E2"/>
    <w:rsid w:val="000C1F96"/>
    <w:rsid w:val="000C2C4F"/>
    <w:rsid w:val="000D03FC"/>
    <w:rsid w:val="000D0770"/>
    <w:rsid w:val="000D2132"/>
    <w:rsid w:val="000D2334"/>
    <w:rsid w:val="000D238E"/>
    <w:rsid w:val="000D25D2"/>
    <w:rsid w:val="000D5EEF"/>
    <w:rsid w:val="000D6241"/>
    <w:rsid w:val="000E098B"/>
    <w:rsid w:val="000E1908"/>
    <w:rsid w:val="000E4AF8"/>
    <w:rsid w:val="000E4EAB"/>
    <w:rsid w:val="000E5214"/>
    <w:rsid w:val="000E693F"/>
    <w:rsid w:val="000E69D4"/>
    <w:rsid w:val="000E7E00"/>
    <w:rsid w:val="000F04CD"/>
    <w:rsid w:val="000F36DE"/>
    <w:rsid w:val="000F41D5"/>
    <w:rsid w:val="000F44FF"/>
    <w:rsid w:val="000F4D50"/>
    <w:rsid w:val="000F4DD8"/>
    <w:rsid w:val="000F6226"/>
    <w:rsid w:val="000F6A57"/>
    <w:rsid w:val="000F6B1D"/>
    <w:rsid w:val="000F6E5B"/>
    <w:rsid w:val="001002F8"/>
    <w:rsid w:val="001034D2"/>
    <w:rsid w:val="001037B4"/>
    <w:rsid w:val="00104B69"/>
    <w:rsid w:val="00105C32"/>
    <w:rsid w:val="00111DCE"/>
    <w:rsid w:val="001123AA"/>
    <w:rsid w:val="001125E6"/>
    <w:rsid w:val="00115395"/>
    <w:rsid w:val="001155B1"/>
    <w:rsid w:val="001200FB"/>
    <w:rsid w:val="00120177"/>
    <w:rsid w:val="001215EA"/>
    <w:rsid w:val="001231FE"/>
    <w:rsid w:val="0012345F"/>
    <w:rsid w:val="001244E0"/>
    <w:rsid w:val="001250B6"/>
    <w:rsid w:val="00126B9F"/>
    <w:rsid w:val="001270CC"/>
    <w:rsid w:val="00127291"/>
    <w:rsid w:val="001277AB"/>
    <w:rsid w:val="00130466"/>
    <w:rsid w:val="00130C2B"/>
    <w:rsid w:val="00131B7C"/>
    <w:rsid w:val="00133015"/>
    <w:rsid w:val="00134917"/>
    <w:rsid w:val="00136BBF"/>
    <w:rsid w:val="00136C8D"/>
    <w:rsid w:val="00136D85"/>
    <w:rsid w:val="0014248E"/>
    <w:rsid w:val="0014440C"/>
    <w:rsid w:val="0014724E"/>
    <w:rsid w:val="00147F73"/>
    <w:rsid w:val="0015127E"/>
    <w:rsid w:val="001533B1"/>
    <w:rsid w:val="00153F12"/>
    <w:rsid w:val="00154532"/>
    <w:rsid w:val="00155A62"/>
    <w:rsid w:val="00156080"/>
    <w:rsid w:val="00157B1F"/>
    <w:rsid w:val="001605E5"/>
    <w:rsid w:val="0016164A"/>
    <w:rsid w:val="0016185F"/>
    <w:rsid w:val="00164A5F"/>
    <w:rsid w:val="00164CF6"/>
    <w:rsid w:val="001664B7"/>
    <w:rsid w:val="00167371"/>
    <w:rsid w:val="0017065B"/>
    <w:rsid w:val="0017090C"/>
    <w:rsid w:val="001713D1"/>
    <w:rsid w:val="001718F9"/>
    <w:rsid w:val="00172C10"/>
    <w:rsid w:val="00173694"/>
    <w:rsid w:val="00173C0C"/>
    <w:rsid w:val="00173E1B"/>
    <w:rsid w:val="00175239"/>
    <w:rsid w:val="00176117"/>
    <w:rsid w:val="0017618D"/>
    <w:rsid w:val="001804FD"/>
    <w:rsid w:val="00180631"/>
    <w:rsid w:val="00182F5A"/>
    <w:rsid w:val="00183DF3"/>
    <w:rsid w:val="001843AB"/>
    <w:rsid w:val="001864CA"/>
    <w:rsid w:val="001865EA"/>
    <w:rsid w:val="001865F3"/>
    <w:rsid w:val="0018690B"/>
    <w:rsid w:val="00190D3D"/>
    <w:rsid w:val="00193181"/>
    <w:rsid w:val="001943F8"/>
    <w:rsid w:val="001A0CB2"/>
    <w:rsid w:val="001A1D66"/>
    <w:rsid w:val="001A1DAE"/>
    <w:rsid w:val="001A23C1"/>
    <w:rsid w:val="001A2DC7"/>
    <w:rsid w:val="001A31CA"/>
    <w:rsid w:val="001A38C9"/>
    <w:rsid w:val="001A3CA2"/>
    <w:rsid w:val="001A453F"/>
    <w:rsid w:val="001A52A6"/>
    <w:rsid w:val="001A59C7"/>
    <w:rsid w:val="001A749B"/>
    <w:rsid w:val="001B2883"/>
    <w:rsid w:val="001B2BA2"/>
    <w:rsid w:val="001B63BD"/>
    <w:rsid w:val="001B689C"/>
    <w:rsid w:val="001C03EE"/>
    <w:rsid w:val="001C5355"/>
    <w:rsid w:val="001C61AE"/>
    <w:rsid w:val="001C6246"/>
    <w:rsid w:val="001C739D"/>
    <w:rsid w:val="001D16CD"/>
    <w:rsid w:val="001D19C5"/>
    <w:rsid w:val="001D1E76"/>
    <w:rsid w:val="001D22E0"/>
    <w:rsid w:val="001D2554"/>
    <w:rsid w:val="001D2F82"/>
    <w:rsid w:val="001D614C"/>
    <w:rsid w:val="001D6536"/>
    <w:rsid w:val="001D6801"/>
    <w:rsid w:val="001E0855"/>
    <w:rsid w:val="001E1E02"/>
    <w:rsid w:val="001E1FA6"/>
    <w:rsid w:val="001E3702"/>
    <w:rsid w:val="001E5999"/>
    <w:rsid w:val="001E6E59"/>
    <w:rsid w:val="001E777B"/>
    <w:rsid w:val="001E7BBF"/>
    <w:rsid w:val="001F01B1"/>
    <w:rsid w:val="001F0CE9"/>
    <w:rsid w:val="001F1603"/>
    <w:rsid w:val="001F3791"/>
    <w:rsid w:val="001F4962"/>
    <w:rsid w:val="001F5D8C"/>
    <w:rsid w:val="001F7B34"/>
    <w:rsid w:val="00200B7A"/>
    <w:rsid w:val="002044A0"/>
    <w:rsid w:val="00204628"/>
    <w:rsid w:val="0020579C"/>
    <w:rsid w:val="00205987"/>
    <w:rsid w:val="002102FF"/>
    <w:rsid w:val="00210FF1"/>
    <w:rsid w:val="00211264"/>
    <w:rsid w:val="00215A41"/>
    <w:rsid w:val="0021685B"/>
    <w:rsid w:val="00216E38"/>
    <w:rsid w:val="00220E43"/>
    <w:rsid w:val="0022162F"/>
    <w:rsid w:val="0022280B"/>
    <w:rsid w:val="00222CF8"/>
    <w:rsid w:val="00222F45"/>
    <w:rsid w:val="002233E1"/>
    <w:rsid w:val="002237AD"/>
    <w:rsid w:val="00224D10"/>
    <w:rsid w:val="00227224"/>
    <w:rsid w:val="002278B4"/>
    <w:rsid w:val="00230278"/>
    <w:rsid w:val="00231922"/>
    <w:rsid w:val="00232EA8"/>
    <w:rsid w:val="00234659"/>
    <w:rsid w:val="00237AA7"/>
    <w:rsid w:val="00240FF2"/>
    <w:rsid w:val="002424A7"/>
    <w:rsid w:val="002429E6"/>
    <w:rsid w:val="00243142"/>
    <w:rsid w:val="00244994"/>
    <w:rsid w:val="00244DAC"/>
    <w:rsid w:val="00245D43"/>
    <w:rsid w:val="002461FE"/>
    <w:rsid w:val="00251F64"/>
    <w:rsid w:val="00254516"/>
    <w:rsid w:val="00254979"/>
    <w:rsid w:val="002551BE"/>
    <w:rsid w:val="00260688"/>
    <w:rsid w:val="002607A6"/>
    <w:rsid w:val="00260867"/>
    <w:rsid w:val="00260C28"/>
    <w:rsid w:val="002624CA"/>
    <w:rsid w:val="00263F89"/>
    <w:rsid w:val="00265605"/>
    <w:rsid w:val="00266C48"/>
    <w:rsid w:val="002672EC"/>
    <w:rsid w:val="00270A7C"/>
    <w:rsid w:val="00272633"/>
    <w:rsid w:val="00275FE0"/>
    <w:rsid w:val="00276A6E"/>
    <w:rsid w:val="002777C3"/>
    <w:rsid w:val="0028020E"/>
    <w:rsid w:val="0028046A"/>
    <w:rsid w:val="00282330"/>
    <w:rsid w:val="00282592"/>
    <w:rsid w:val="00283F3D"/>
    <w:rsid w:val="002849E8"/>
    <w:rsid w:val="0028602D"/>
    <w:rsid w:val="0028685B"/>
    <w:rsid w:val="002876E1"/>
    <w:rsid w:val="00290C03"/>
    <w:rsid w:val="002910AB"/>
    <w:rsid w:val="002925C1"/>
    <w:rsid w:val="002927E3"/>
    <w:rsid w:val="0029529A"/>
    <w:rsid w:val="002957C0"/>
    <w:rsid w:val="002A3EC0"/>
    <w:rsid w:val="002A46F3"/>
    <w:rsid w:val="002B0594"/>
    <w:rsid w:val="002B191D"/>
    <w:rsid w:val="002B1E12"/>
    <w:rsid w:val="002B1FF9"/>
    <w:rsid w:val="002B2BF9"/>
    <w:rsid w:val="002B47E1"/>
    <w:rsid w:val="002B7FF8"/>
    <w:rsid w:val="002C0C6C"/>
    <w:rsid w:val="002C3246"/>
    <w:rsid w:val="002C5116"/>
    <w:rsid w:val="002C5FA1"/>
    <w:rsid w:val="002C6AF7"/>
    <w:rsid w:val="002D0D2F"/>
    <w:rsid w:val="002D1DE0"/>
    <w:rsid w:val="002D44B5"/>
    <w:rsid w:val="002D6927"/>
    <w:rsid w:val="002D7C94"/>
    <w:rsid w:val="002E037F"/>
    <w:rsid w:val="002E12BA"/>
    <w:rsid w:val="002E43DB"/>
    <w:rsid w:val="002E496A"/>
    <w:rsid w:val="002E4A84"/>
    <w:rsid w:val="002E5F35"/>
    <w:rsid w:val="002E6BA0"/>
    <w:rsid w:val="002E7D0B"/>
    <w:rsid w:val="002F0660"/>
    <w:rsid w:val="002F09AA"/>
    <w:rsid w:val="002F0BD6"/>
    <w:rsid w:val="002F19DE"/>
    <w:rsid w:val="002F33DD"/>
    <w:rsid w:val="002F356B"/>
    <w:rsid w:val="002F4379"/>
    <w:rsid w:val="002F5263"/>
    <w:rsid w:val="002F7088"/>
    <w:rsid w:val="002F775D"/>
    <w:rsid w:val="00300B4E"/>
    <w:rsid w:val="00302035"/>
    <w:rsid w:val="00304334"/>
    <w:rsid w:val="00304DE9"/>
    <w:rsid w:val="00306F91"/>
    <w:rsid w:val="00311509"/>
    <w:rsid w:val="00311EDE"/>
    <w:rsid w:val="00312ED7"/>
    <w:rsid w:val="003139DD"/>
    <w:rsid w:val="00314526"/>
    <w:rsid w:val="0031469C"/>
    <w:rsid w:val="00316966"/>
    <w:rsid w:val="00317269"/>
    <w:rsid w:val="00317353"/>
    <w:rsid w:val="003175A7"/>
    <w:rsid w:val="00320620"/>
    <w:rsid w:val="00320A7E"/>
    <w:rsid w:val="00320DB4"/>
    <w:rsid w:val="0032144B"/>
    <w:rsid w:val="003226FD"/>
    <w:rsid w:val="003274FE"/>
    <w:rsid w:val="00327DF6"/>
    <w:rsid w:val="00332D6B"/>
    <w:rsid w:val="00335EFA"/>
    <w:rsid w:val="0033623E"/>
    <w:rsid w:val="00336506"/>
    <w:rsid w:val="003409BD"/>
    <w:rsid w:val="003418FF"/>
    <w:rsid w:val="00341AD7"/>
    <w:rsid w:val="003434F4"/>
    <w:rsid w:val="00344F48"/>
    <w:rsid w:val="00345C32"/>
    <w:rsid w:val="0034697C"/>
    <w:rsid w:val="003470B7"/>
    <w:rsid w:val="0035013B"/>
    <w:rsid w:val="00351CE5"/>
    <w:rsid w:val="0035227C"/>
    <w:rsid w:val="00354325"/>
    <w:rsid w:val="0035487D"/>
    <w:rsid w:val="0035500A"/>
    <w:rsid w:val="003566B2"/>
    <w:rsid w:val="00362370"/>
    <w:rsid w:val="0036288C"/>
    <w:rsid w:val="00362C4F"/>
    <w:rsid w:val="003637C2"/>
    <w:rsid w:val="0036455A"/>
    <w:rsid w:val="0036498F"/>
    <w:rsid w:val="0036649E"/>
    <w:rsid w:val="00366EFE"/>
    <w:rsid w:val="00367268"/>
    <w:rsid w:val="00367C37"/>
    <w:rsid w:val="00373367"/>
    <w:rsid w:val="003741FB"/>
    <w:rsid w:val="00375209"/>
    <w:rsid w:val="00381DCD"/>
    <w:rsid w:val="00382855"/>
    <w:rsid w:val="00382929"/>
    <w:rsid w:val="003829A9"/>
    <w:rsid w:val="00383F9B"/>
    <w:rsid w:val="0038494D"/>
    <w:rsid w:val="0038571A"/>
    <w:rsid w:val="00392C11"/>
    <w:rsid w:val="00394CCE"/>
    <w:rsid w:val="0039541F"/>
    <w:rsid w:val="003A00EE"/>
    <w:rsid w:val="003A0CF6"/>
    <w:rsid w:val="003A14BD"/>
    <w:rsid w:val="003A43A4"/>
    <w:rsid w:val="003A4D22"/>
    <w:rsid w:val="003A4F6F"/>
    <w:rsid w:val="003B0D3E"/>
    <w:rsid w:val="003B2842"/>
    <w:rsid w:val="003B4AD6"/>
    <w:rsid w:val="003B674F"/>
    <w:rsid w:val="003C2E31"/>
    <w:rsid w:val="003C2E6D"/>
    <w:rsid w:val="003C78F2"/>
    <w:rsid w:val="003D0602"/>
    <w:rsid w:val="003D10CA"/>
    <w:rsid w:val="003D2411"/>
    <w:rsid w:val="003D24EB"/>
    <w:rsid w:val="003D349B"/>
    <w:rsid w:val="003D3583"/>
    <w:rsid w:val="003D3F37"/>
    <w:rsid w:val="003D49A7"/>
    <w:rsid w:val="003D63B2"/>
    <w:rsid w:val="003D7C8A"/>
    <w:rsid w:val="003E0659"/>
    <w:rsid w:val="003E105C"/>
    <w:rsid w:val="003E1AFA"/>
    <w:rsid w:val="003E1CEA"/>
    <w:rsid w:val="003E25DB"/>
    <w:rsid w:val="003E300E"/>
    <w:rsid w:val="003E5303"/>
    <w:rsid w:val="003E5F98"/>
    <w:rsid w:val="003E63C8"/>
    <w:rsid w:val="003E6D9B"/>
    <w:rsid w:val="003E77C6"/>
    <w:rsid w:val="003F1387"/>
    <w:rsid w:val="003F18E4"/>
    <w:rsid w:val="003F39FF"/>
    <w:rsid w:val="003F3FCF"/>
    <w:rsid w:val="003F5CCA"/>
    <w:rsid w:val="003F673B"/>
    <w:rsid w:val="003F781F"/>
    <w:rsid w:val="003F7A6F"/>
    <w:rsid w:val="00405433"/>
    <w:rsid w:val="00413CCD"/>
    <w:rsid w:val="00414B6A"/>
    <w:rsid w:val="00416182"/>
    <w:rsid w:val="00416C1A"/>
    <w:rsid w:val="004204E5"/>
    <w:rsid w:val="00422720"/>
    <w:rsid w:val="004241E5"/>
    <w:rsid w:val="00424B04"/>
    <w:rsid w:val="004261DE"/>
    <w:rsid w:val="00426A22"/>
    <w:rsid w:val="00427163"/>
    <w:rsid w:val="00427F2B"/>
    <w:rsid w:val="00430BAE"/>
    <w:rsid w:val="00431ADC"/>
    <w:rsid w:val="0043266C"/>
    <w:rsid w:val="00432EF1"/>
    <w:rsid w:val="00436EAE"/>
    <w:rsid w:val="00437068"/>
    <w:rsid w:val="00437B3C"/>
    <w:rsid w:val="00437EAE"/>
    <w:rsid w:val="00440EE7"/>
    <w:rsid w:val="00441DF8"/>
    <w:rsid w:val="00442056"/>
    <w:rsid w:val="0044220C"/>
    <w:rsid w:val="00442A75"/>
    <w:rsid w:val="00443BE5"/>
    <w:rsid w:val="00444B75"/>
    <w:rsid w:val="00447B22"/>
    <w:rsid w:val="00447CD7"/>
    <w:rsid w:val="004504E6"/>
    <w:rsid w:val="0045066D"/>
    <w:rsid w:val="00454716"/>
    <w:rsid w:val="00454753"/>
    <w:rsid w:val="00455AE9"/>
    <w:rsid w:val="00456FEB"/>
    <w:rsid w:val="00460A5A"/>
    <w:rsid w:val="00460AD6"/>
    <w:rsid w:val="00460D86"/>
    <w:rsid w:val="00461F12"/>
    <w:rsid w:val="004648AD"/>
    <w:rsid w:val="00465392"/>
    <w:rsid w:val="00465E2A"/>
    <w:rsid w:val="00465EA4"/>
    <w:rsid w:val="0046678B"/>
    <w:rsid w:val="0046710D"/>
    <w:rsid w:val="00467E32"/>
    <w:rsid w:val="00470053"/>
    <w:rsid w:val="00470CA8"/>
    <w:rsid w:val="0047226B"/>
    <w:rsid w:val="0047305D"/>
    <w:rsid w:val="004735CE"/>
    <w:rsid w:val="00475040"/>
    <w:rsid w:val="0047598D"/>
    <w:rsid w:val="00475DFD"/>
    <w:rsid w:val="00476BF2"/>
    <w:rsid w:val="00476FE8"/>
    <w:rsid w:val="0048089C"/>
    <w:rsid w:val="00481EFB"/>
    <w:rsid w:val="0048235F"/>
    <w:rsid w:val="00483DFE"/>
    <w:rsid w:val="0048631B"/>
    <w:rsid w:val="00487BA3"/>
    <w:rsid w:val="00487C31"/>
    <w:rsid w:val="00490BAD"/>
    <w:rsid w:val="00490F87"/>
    <w:rsid w:val="004913FE"/>
    <w:rsid w:val="004914AF"/>
    <w:rsid w:val="00496514"/>
    <w:rsid w:val="0049660F"/>
    <w:rsid w:val="00496C41"/>
    <w:rsid w:val="00497A83"/>
    <w:rsid w:val="004A0D0B"/>
    <w:rsid w:val="004A1250"/>
    <w:rsid w:val="004A28D7"/>
    <w:rsid w:val="004A36B5"/>
    <w:rsid w:val="004A3E47"/>
    <w:rsid w:val="004A4720"/>
    <w:rsid w:val="004B05EB"/>
    <w:rsid w:val="004B0E70"/>
    <w:rsid w:val="004B3A99"/>
    <w:rsid w:val="004B5D3E"/>
    <w:rsid w:val="004B6388"/>
    <w:rsid w:val="004C05DA"/>
    <w:rsid w:val="004C0F7C"/>
    <w:rsid w:val="004C13B2"/>
    <w:rsid w:val="004C1576"/>
    <w:rsid w:val="004C2C43"/>
    <w:rsid w:val="004C36A6"/>
    <w:rsid w:val="004C3AF9"/>
    <w:rsid w:val="004C6DBB"/>
    <w:rsid w:val="004C7E14"/>
    <w:rsid w:val="004D5AD8"/>
    <w:rsid w:val="004D6E8C"/>
    <w:rsid w:val="004D7D11"/>
    <w:rsid w:val="004E0996"/>
    <w:rsid w:val="004E14A3"/>
    <w:rsid w:val="004E1A4E"/>
    <w:rsid w:val="004E1B89"/>
    <w:rsid w:val="004E268A"/>
    <w:rsid w:val="004E36A4"/>
    <w:rsid w:val="004E3A84"/>
    <w:rsid w:val="004E4DC8"/>
    <w:rsid w:val="004E61D2"/>
    <w:rsid w:val="004F00C8"/>
    <w:rsid w:val="004F0B71"/>
    <w:rsid w:val="004F2D35"/>
    <w:rsid w:val="004F3BF2"/>
    <w:rsid w:val="004F41BC"/>
    <w:rsid w:val="004F6550"/>
    <w:rsid w:val="004F6686"/>
    <w:rsid w:val="004F6EB1"/>
    <w:rsid w:val="004F767A"/>
    <w:rsid w:val="00500D50"/>
    <w:rsid w:val="005019A2"/>
    <w:rsid w:val="00501ED3"/>
    <w:rsid w:val="00502BD9"/>
    <w:rsid w:val="0050378A"/>
    <w:rsid w:val="00505239"/>
    <w:rsid w:val="0050597F"/>
    <w:rsid w:val="00507117"/>
    <w:rsid w:val="005076B5"/>
    <w:rsid w:val="00510087"/>
    <w:rsid w:val="00510ABA"/>
    <w:rsid w:val="00510D23"/>
    <w:rsid w:val="005127C4"/>
    <w:rsid w:val="005132F2"/>
    <w:rsid w:val="0051609C"/>
    <w:rsid w:val="00520BB8"/>
    <w:rsid w:val="005216A9"/>
    <w:rsid w:val="0052350E"/>
    <w:rsid w:val="00523D4D"/>
    <w:rsid w:val="00523D87"/>
    <w:rsid w:val="0052746D"/>
    <w:rsid w:val="00527649"/>
    <w:rsid w:val="00531FCD"/>
    <w:rsid w:val="00540AA6"/>
    <w:rsid w:val="00541055"/>
    <w:rsid w:val="00542A25"/>
    <w:rsid w:val="005431D9"/>
    <w:rsid w:val="00550646"/>
    <w:rsid w:val="00551B2A"/>
    <w:rsid w:val="00555C98"/>
    <w:rsid w:val="005566AA"/>
    <w:rsid w:val="005566EE"/>
    <w:rsid w:val="00560236"/>
    <w:rsid w:val="00561566"/>
    <w:rsid w:val="00561738"/>
    <w:rsid w:val="005617D0"/>
    <w:rsid w:val="00561F43"/>
    <w:rsid w:val="005625AE"/>
    <w:rsid w:val="00562B38"/>
    <w:rsid w:val="00564249"/>
    <w:rsid w:val="005649D9"/>
    <w:rsid w:val="005667F8"/>
    <w:rsid w:val="00566E9C"/>
    <w:rsid w:val="005707AF"/>
    <w:rsid w:val="00572A61"/>
    <w:rsid w:val="0057430F"/>
    <w:rsid w:val="005745C1"/>
    <w:rsid w:val="00581B11"/>
    <w:rsid w:val="00581C32"/>
    <w:rsid w:val="00583EA8"/>
    <w:rsid w:val="00591D7E"/>
    <w:rsid w:val="00594A81"/>
    <w:rsid w:val="00595084"/>
    <w:rsid w:val="005952C5"/>
    <w:rsid w:val="005977F9"/>
    <w:rsid w:val="00597DCB"/>
    <w:rsid w:val="005A1E52"/>
    <w:rsid w:val="005A1F5A"/>
    <w:rsid w:val="005A260C"/>
    <w:rsid w:val="005A2E89"/>
    <w:rsid w:val="005A2EED"/>
    <w:rsid w:val="005A32E7"/>
    <w:rsid w:val="005A3F6C"/>
    <w:rsid w:val="005A4923"/>
    <w:rsid w:val="005A5659"/>
    <w:rsid w:val="005A5864"/>
    <w:rsid w:val="005A5869"/>
    <w:rsid w:val="005A689E"/>
    <w:rsid w:val="005B6688"/>
    <w:rsid w:val="005B6EA2"/>
    <w:rsid w:val="005B7FD8"/>
    <w:rsid w:val="005C00D2"/>
    <w:rsid w:val="005C0AA8"/>
    <w:rsid w:val="005C1414"/>
    <w:rsid w:val="005C168F"/>
    <w:rsid w:val="005C1E0A"/>
    <w:rsid w:val="005C43AA"/>
    <w:rsid w:val="005C5734"/>
    <w:rsid w:val="005D0610"/>
    <w:rsid w:val="005D1123"/>
    <w:rsid w:val="005D21F4"/>
    <w:rsid w:val="005D23A0"/>
    <w:rsid w:val="005D27CC"/>
    <w:rsid w:val="005D4D87"/>
    <w:rsid w:val="005D5035"/>
    <w:rsid w:val="005D51BC"/>
    <w:rsid w:val="005D6BEE"/>
    <w:rsid w:val="005D703F"/>
    <w:rsid w:val="005E0DDC"/>
    <w:rsid w:val="005E224F"/>
    <w:rsid w:val="005E39A0"/>
    <w:rsid w:val="005E5172"/>
    <w:rsid w:val="005E60F0"/>
    <w:rsid w:val="005E63E8"/>
    <w:rsid w:val="005E7105"/>
    <w:rsid w:val="005F1960"/>
    <w:rsid w:val="005F384E"/>
    <w:rsid w:val="005F430A"/>
    <w:rsid w:val="005F5126"/>
    <w:rsid w:val="005F6075"/>
    <w:rsid w:val="005F7D60"/>
    <w:rsid w:val="0060058D"/>
    <w:rsid w:val="00600BF6"/>
    <w:rsid w:val="00601F4D"/>
    <w:rsid w:val="006022F8"/>
    <w:rsid w:val="0060552A"/>
    <w:rsid w:val="0061264A"/>
    <w:rsid w:val="0061327F"/>
    <w:rsid w:val="00613A40"/>
    <w:rsid w:val="006144EB"/>
    <w:rsid w:val="0061486E"/>
    <w:rsid w:val="00615D68"/>
    <w:rsid w:val="006163DF"/>
    <w:rsid w:val="006164AE"/>
    <w:rsid w:val="0061689A"/>
    <w:rsid w:val="00617CE4"/>
    <w:rsid w:val="00617E4B"/>
    <w:rsid w:val="00622B2F"/>
    <w:rsid w:val="0062558D"/>
    <w:rsid w:val="006259CA"/>
    <w:rsid w:val="006269B6"/>
    <w:rsid w:val="00627AF2"/>
    <w:rsid w:val="00630394"/>
    <w:rsid w:val="00630773"/>
    <w:rsid w:val="00630FFE"/>
    <w:rsid w:val="00633E58"/>
    <w:rsid w:val="00636EC6"/>
    <w:rsid w:val="0064027F"/>
    <w:rsid w:val="00640629"/>
    <w:rsid w:val="00640AB0"/>
    <w:rsid w:val="00643295"/>
    <w:rsid w:val="006440D1"/>
    <w:rsid w:val="00644697"/>
    <w:rsid w:val="006478D9"/>
    <w:rsid w:val="00650275"/>
    <w:rsid w:val="00650800"/>
    <w:rsid w:val="00651471"/>
    <w:rsid w:val="006519D3"/>
    <w:rsid w:val="00654C27"/>
    <w:rsid w:val="00657733"/>
    <w:rsid w:val="00661187"/>
    <w:rsid w:val="0066142E"/>
    <w:rsid w:val="006615E2"/>
    <w:rsid w:val="00661770"/>
    <w:rsid w:val="006646EE"/>
    <w:rsid w:val="00667028"/>
    <w:rsid w:val="00667DE3"/>
    <w:rsid w:val="006714F9"/>
    <w:rsid w:val="006733FF"/>
    <w:rsid w:val="00675CC8"/>
    <w:rsid w:val="006773CF"/>
    <w:rsid w:val="00677F50"/>
    <w:rsid w:val="0068036B"/>
    <w:rsid w:val="00683B06"/>
    <w:rsid w:val="00684CDE"/>
    <w:rsid w:val="00686F7A"/>
    <w:rsid w:val="00687CE0"/>
    <w:rsid w:val="00692973"/>
    <w:rsid w:val="0069403B"/>
    <w:rsid w:val="0069622C"/>
    <w:rsid w:val="0069671D"/>
    <w:rsid w:val="006A24B9"/>
    <w:rsid w:val="006A2623"/>
    <w:rsid w:val="006A2F7F"/>
    <w:rsid w:val="006A2F9A"/>
    <w:rsid w:val="006A4663"/>
    <w:rsid w:val="006A4E91"/>
    <w:rsid w:val="006B0280"/>
    <w:rsid w:val="006B1B9C"/>
    <w:rsid w:val="006B2A0F"/>
    <w:rsid w:val="006B2CB8"/>
    <w:rsid w:val="006B30C0"/>
    <w:rsid w:val="006B3996"/>
    <w:rsid w:val="006C0A02"/>
    <w:rsid w:val="006C3128"/>
    <w:rsid w:val="006C373E"/>
    <w:rsid w:val="006C3B48"/>
    <w:rsid w:val="006C3DAE"/>
    <w:rsid w:val="006C3FF2"/>
    <w:rsid w:val="006C50BC"/>
    <w:rsid w:val="006C741E"/>
    <w:rsid w:val="006C758F"/>
    <w:rsid w:val="006D067C"/>
    <w:rsid w:val="006D0B77"/>
    <w:rsid w:val="006D1356"/>
    <w:rsid w:val="006D16E7"/>
    <w:rsid w:val="006D1D8D"/>
    <w:rsid w:val="006D2C55"/>
    <w:rsid w:val="006D2DB4"/>
    <w:rsid w:val="006D3018"/>
    <w:rsid w:val="006D68A6"/>
    <w:rsid w:val="006D7BEB"/>
    <w:rsid w:val="006E163A"/>
    <w:rsid w:val="006E17D1"/>
    <w:rsid w:val="006E3190"/>
    <w:rsid w:val="006E5918"/>
    <w:rsid w:val="006F1197"/>
    <w:rsid w:val="006F266F"/>
    <w:rsid w:val="006F479D"/>
    <w:rsid w:val="006F4D16"/>
    <w:rsid w:val="006F6B49"/>
    <w:rsid w:val="006F7FEA"/>
    <w:rsid w:val="007003FF"/>
    <w:rsid w:val="007016EA"/>
    <w:rsid w:val="0070261D"/>
    <w:rsid w:val="00702869"/>
    <w:rsid w:val="00702966"/>
    <w:rsid w:val="00703F11"/>
    <w:rsid w:val="007050AB"/>
    <w:rsid w:val="00710A9E"/>
    <w:rsid w:val="007120B3"/>
    <w:rsid w:val="0071320E"/>
    <w:rsid w:val="007142CD"/>
    <w:rsid w:val="007146A4"/>
    <w:rsid w:val="007147F3"/>
    <w:rsid w:val="00714CF3"/>
    <w:rsid w:val="007154D3"/>
    <w:rsid w:val="007158DD"/>
    <w:rsid w:val="007160AD"/>
    <w:rsid w:val="00717FB9"/>
    <w:rsid w:val="0072055D"/>
    <w:rsid w:val="00720FC0"/>
    <w:rsid w:val="00721FB2"/>
    <w:rsid w:val="00724EE5"/>
    <w:rsid w:val="00725D1C"/>
    <w:rsid w:val="0072623F"/>
    <w:rsid w:val="007267F2"/>
    <w:rsid w:val="00727F42"/>
    <w:rsid w:val="007301F6"/>
    <w:rsid w:val="00730D3A"/>
    <w:rsid w:val="0073104A"/>
    <w:rsid w:val="0073169F"/>
    <w:rsid w:val="00731C71"/>
    <w:rsid w:val="00733D9E"/>
    <w:rsid w:val="00735C22"/>
    <w:rsid w:val="00736122"/>
    <w:rsid w:val="007371D4"/>
    <w:rsid w:val="007403B3"/>
    <w:rsid w:val="00742896"/>
    <w:rsid w:val="00743B5F"/>
    <w:rsid w:val="00743F73"/>
    <w:rsid w:val="00746783"/>
    <w:rsid w:val="00747A2A"/>
    <w:rsid w:val="00750A25"/>
    <w:rsid w:val="00751881"/>
    <w:rsid w:val="00752501"/>
    <w:rsid w:val="00752FB8"/>
    <w:rsid w:val="00753127"/>
    <w:rsid w:val="007578FE"/>
    <w:rsid w:val="007604D9"/>
    <w:rsid w:val="00761C36"/>
    <w:rsid w:val="00763279"/>
    <w:rsid w:val="0076343C"/>
    <w:rsid w:val="0076416F"/>
    <w:rsid w:val="00764A3E"/>
    <w:rsid w:val="00765075"/>
    <w:rsid w:val="007672AC"/>
    <w:rsid w:val="00773D26"/>
    <w:rsid w:val="0077493B"/>
    <w:rsid w:val="007758F9"/>
    <w:rsid w:val="00776D9B"/>
    <w:rsid w:val="00776F22"/>
    <w:rsid w:val="007809CD"/>
    <w:rsid w:val="00781BF4"/>
    <w:rsid w:val="007827F8"/>
    <w:rsid w:val="007857E5"/>
    <w:rsid w:val="007866DE"/>
    <w:rsid w:val="0078725B"/>
    <w:rsid w:val="00787F6C"/>
    <w:rsid w:val="007903CF"/>
    <w:rsid w:val="00795123"/>
    <w:rsid w:val="00795E8D"/>
    <w:rsid w:val="0079740C"/>
    <w:rsid w:val="007A075A"/>
    <w:rsid w:val="007A19D4"/>
    <w:rsid w:val="007A35BF"/>
    <w:rsid w:val="007A3627"/>
    <w:rsid w:val="007A4174"/>
    <w:rsid w:val="007A5A37"/>
    <w:rsid w:val="007A664B"/>
    <w:rsid w:val="007A769B"/>
    <w:rsid w:val="007A7FD0"/>
    <w:rsid w:val="007B0D63"/>
    <w:rsid w:val="007B0E75"/>
    <w:rsid w:val="007B2A67"/>
    <w:rsid w:val="007B387F"/>
    <w:rsid w:val="007B7352"/>
    <w:rsid w:val="007B75AD"/>
    <w:rsid w:val="007C112D"/>
    <w:rsid w:val="007C315C"/>
    <w:rsid w:val="007C3E35"/>
    <w:rsid w:val="007C4949"/>
    <w:rsid w:val="007C4A3A"/>
    <w:rsid w:val="007C506B"/>
    <w:rsid w:val="007C5961"/>
    <w:rsid w:val="007C663F"/>
    <w:rsid w:val="007C6798"/>
    <w:rsid w:val="007D1D53"/>
    <w:rsid w:val="007D4E9E"/>
    <w:rsid w:val="007E015E"/>
    <w:rsid w:val="007E0CFD"/>
    <w:rsid w:val="007E158B"/>
    <w:rsid w:val="007E337D"/>
    <w:rsid w:val="007E3554"/>
    <w:rsid w:val="007E51D4"/>
    <w:rsid w:val="007E5E4C"/>
    <w:rsid w:val="007E5E8B"/>
    <w:rsid w:val="007F0FA9"/>
    <w:rsid w:val="007F13C0"/>
    <w:rsid w:val="007F2A7B"/>
    <w:rsid w:val="007F36D8"/>
    <w:rsid w:val="007F39D3"/>
    <w:rsid w:val="007F3D6D"/>
    <w:rsid w:val="007F5CDF"/>
    <w:rsid w:val="007F787D"/>
    <w:rsid w:val="00800E31"/>
    <w:rsid w:val="00801ACE"/>
    <w:rsid w:val="00803A8F"/>
    <w:rsid w:val="00803BFF"/>
    <w:rsid w:val="00804656"/>
    <w:rsid w:val="00804C31"/>
    <w:rsid w:val="00812F04"/>
    <w:rsid w:val="00814508"/>
    <w:rsid w:val="008151B7"/>
    <w:rsid w:val="00816804"/>
    <w:rsid w:val="008169AA"/>
    <w:rsid w:val="008172E0"/>
    <w:rsid w:val="00817A64"/>
    <w:rsid w:val="00825335"/>
    <w:rsid w:val="008255DE"/>
    <w:rsid w:val="008309CA"/>
    <w:rsid w:val="0083121A"/>
    <w:rsid w:val="00834F0D"/>
    <w:rsid w:val="00840DC4"/>
    <w:rsid w:val="008420AD"/>
    <w:rsid w:val="008432E4"/>
    <w:rsid w:val="00845586"/>
    <w:rsid w:val="00845C62"/>
    <w:rsid w:val="00847AC6"/>
    <w:rsid w:val="00847D53"/>
    <w:rsid w:val="008510CD"/>
    <w:rsid w:val="00851C1B"/>
    <w:rsid w:val="00853944"/>
    <w:rsid w:val="0085475D"/>
    <w:rsid w:val="00856C30"/>
    <w:rsid w:val="00856FAC"/>
    <w:rsid w:val="00856FF8"/>
    <w:rsid w:val="00857507"/>
    <w:rsid w:val="00862971"/>
    <w:rsid w:val="00863607"/>
    <w:rsid w:val="0086462F"/>
    <w:rsid w:val="008655A3"/>
    <w:rsid w:val="00865875"/>
    <w:rsid w:val="00866D63"/>
    <w:rsid w:val="008701C5"/>
    <w:rsid w:val="0087271C"/>
    <w:rsid w:val="00877A30"/>
    <w:rsid w:val="00880710"/>
    <w:rsid w:val="00880812"/>
    <w:rsid w:val="008809B0"/>
    <w:rsid w:val="00881FE0"/>
    <w:rsid w:val="00882D59"/>
    <w:rsid w:val="00883A83"/>
    <w:rsid w:val="008844B4"/>
    <w:rsid w:val="00884D4D"/>
    <w:rsid w:val="00885912"/>
    <w:rsid w:val="00885C07"/>
    <w:rsid w:val="00886B28"/>
    <w:rsid w:val="00894816"/>
    <w:rsid w:val="00894F9C"/>
    <w:rsid w:val="0089714C"/>
    <w:rsid w:val="00897F6B"/>
    <w:rsid w:val="008A0344"/>
    <w:rsid w:val="008A1E5E"/>
    <w:rsid w:val="008A278F"/>
    <w:rsid w:val="008A2E24"/>
    <w:rsid w:val="008A5769"/>
    <w:rsid w:val="008A5B88"/>
    <w:rsid w:val="008A6139"/>
    <w:rsid w:val="008A6D99"/>
    <w:rsid w:val="008B0B53"/>
    <w:rsid w:val="008B0E4A"/>
    <w:rsid w:val="008B22BD"/>
    <w:rsid w:val="008B289D"/>
    <w:rsid w:val="008C0C9D"/>
    <w:rsid w:val="008C1C46"/>
    <w:rsid w:val="008C2010"/>
    <w:rsid w:val="008C2652"/>
    <w:rsid w:val="008C42FA"/>
    <w:rsid w:val="008C4D5F"/>
    <w:rsid w:val="008C57CF"/>
    <w:rsid w:val="008C6D4E"/>
    <w:rsid w:val="008D0E1B"/>
    <w:rsid w:val="008D3B53"/>
    <w:rsid w:val="008D44C6"/>
    <w:rsid w:val="008D4E51"/>
    <w:rsid w:val="008E0955"/>
    <w:rsid w:val="008E2D68"/>
    <w:rsid w:val="008E2E90"/>
    <w:rsid w:val="008F13B3"/>
    <w:rsid w:val="008F2263"/>
    <w:rsid w:val="008F2C50"/>
    <w:rsid w:val="008F300E"/>
    <w:rsid w:val="008F34D5"/>
    <w:rsid w:val="008F4437"/>
    <w:rsid w:val="0090240C"/>
    <w:rsid w:val="00902EEE"/>
    <w:rsid w:val="0091033B"/>
    <w:rsid w:val="00911539"/>
    <w:rsid w:val="0091438D"/>
    <w:rsid w:val="009145A6"/>
    <w:rsid w:val="00915E61"/>
    <w:rsid w:val="009175CD"/>
    <w:rsid w:val="00922416"/>
    <w:rsid w:val="00922AD2"/>
    <w:rsid w:val="00923371"/>
    <w:rsid w:val="00923834"/>
    <w:rsid w:val="00923DE6"/>
    <w:rsid w:val="00925DAA"/>
    <w:rsid w:val="009278DB"/>
    <w:rsid w:val="009322F8"/>
    <w:rsid w:val="00932363"/>
    <w:rsid w:val="0093382B"/>
    <w:rsid w:val="00937E8B"/>
    <w:rsid w:val="00937EE5"/>
    <w:rsid w:val="00941B14"/>
    <w:rsid w:val="00942661"/>
    <w:rsid w:val="00942687"/>
    <w:rsid w:val="00943661"/>
    <w:rsid w:val="00943ECD"/>
    <w:rsid w:val="00943FBB"/>
    <w:rsid w:val="00945310"/>
    <w:rsid w:val="009469D7"/>
    <w:rsid w:val="00946DD8"/>
    <w:rsid w:val="009475EC"/>
    <w:rsid w:val="00947874"/>
    <w:rsid w:val="009511DB"/>
    <w:rsid w:val="00953589"/>
    <w:rsid w:val="00960851"/>
    <w:rsid w:val="0096150A"/>
    <w:rsid w:val="00961896"/>
    <w:rsid w:val="00964EC9"/>
    <w:rsid w:val="00965273"/>
    <w:rsid w:val="009652B9"/>
    <w:rsid w:val="0096670C"/>
    <w:rsid w:val="00967952"/>
    <w:rsid w:val="0097141F"/>
    <w:rsid w:val="00972DE7"/>
    <w:rsid w:val="00973C84"/>
    <w:rsid w:val="0097453B"/>
    <w:rsid w:val="009779D3"/>
    <w:rsid w:val="00981C50"/>
    <w:rsid w:val="009820D4"/>
    <w:rsid w:val="00982F3F"/>
    <w:rsid w:val="009853B7"/>
    <w:rsid w:val="00992DB6"/>
    <w:rsid w:val="00994091"/>
    <w:rsid w:val="009949FC"/>
    <w:rsid w:val="0099696E"/>
    <w:rsid w:val="00997B8B"/>
    <w:rsid w:val="00997F44"/>
    <w:rsid w:val="009A302F"/>
    <w:rsid w:val="009A4200"/>
    <w:rsid w:val="009A4B76"/>
    <w:rsid w:val="009A4EFB"/>
    <w:rsid w:val="009A4FD0"/>
    <w:rsid w:val="009A52EF"/>
    <w:rsid w:val="009A5C09"/>
    <w:rsid w:val="009A7EB7"/>
    <w:rsid w:val="009B1225"/>
    <w:rsid w:val="009B1831"/>
    <w:rsid w:val="009B2D83"/>
    <w:rsid w:val="009B3EA6"/>
    <w:rsid w:val="009B511C"/>
    <w:rsid w:val="009B5CEB"/>
    <w:rsid w:val="009B7FD6"/>
    <w:rsid w:val="009C0686"/>
    <w:rsid w:val="009C29B9"/>
    <w:rsid w:val="009C4A7B"/>
    <w:rsid w:val="009D1517"/>
    <w:rsid w:val="009D2F8A"/>
    <w:rsid w:val="009D3A86"/>
    <w:rsid w:val="009D72E4"/>
    <w:rsid w:val="009D77BE"/>
    <w:rsid w:val="009E12E0"/>
    <w:rsid w:val="009E2EB3"/>
    <w:rsid w:val="009E57DA"/>
    <w:rsid w:val="009E5AF0"/>
    <w:rsid w:val="009E5B45"/>
    <w:rsid w:val="009E6E9A"/>
    <w:rsid w:val="009F000D"/>
    <w:rsid w:val="009F0D05"/>
    <w:rsid w:val="009F2F31"/>
    <w:rsid w:val="009F3CB8"/>
    <w:rsid w:val="009F6BDE"/>
    <w:rsid w:val="009F7E2F"/>
    <w:rsid w:val="00A00728"/>
    <w:rsid w:val="00A02667"/>
    <w:rsid w:val="00A036B2"/>
    <w:rsid w:val="00A05C68"/>
    <w:rsid w:val="00A1225C"/>
    <w:rsid w:val="00A128A9"/>
    <w:rsid w:val="00A134CB"/>
    <w:rsid w:val="00A15763"/>
    <w:rsid w:val="00A16406"/>
    <w:rsid w:val="00A20ECA"/>
    <w:rsid w:val="00A224FC"/>
    <w:rsid w:val="00A22864"/>
    <w:rsid w:val="00A23219"/>
    <w:rsid w:val="00A23626"/>
    <w:rsid w:val="00A23C6E"/>
    <w:rsid w:val="00A23E24"/>
    <w:rsid w:val="00A23FE8"/>
    <w:rsid w:val="00A25D9B"/>
    <w:rsid w:val="00A260B1"/>
    <w:rsid w:val="00A269B0"/>
    <w:rsid w:val="00A302AE"/>
    <w:rsid w:val="00A31877"/>
    <w:rsid w:val="00A319FD"/>
    <w:rsid w:val="00A32AED"/>
    <w:rsid w:val="00A35360"/>
    <w:rsid w:val="00A35820"/>
    <w:rsid w:val="00A37397"/>
    <w:rsid w:val="00A37ACC"/>
    <w:rsid w:val="00A40479"/>
    <w:rsid w:val="00A42C0B"/>
    <w:rsid w:val="00A44000"/>
    <w:rsid w:val="00A44265"/>
    <w:rsid w:val="00A455AE"/>
    <w:rsid w:val="00A4617B"/>
    <w:rsid w:val="00A46EBC"/>
    <w:rsid w:val="00A47005"/>
    <w:rsid w:val="00A47509"/>
    <w:rsid w:val="00A505B5"/>
    <w:rsid w:val="00A5347C"/>
    <w:rsid w:val="00A53C04"/>
    <w:rsid w:val="00A53C7B"/>
    <w:rsid w:val="00A54F14"/>
    <w:rsid w:val="00A55930"/>
    <w:rsid w:val="00A55A47"/>
    <w:rsid w:val="00A56790"/>
    <w:rsid w:val="00A56BC5"/>
    <w:rsid w:val="00A615F0"/>
    <w:rsid w:val="00A6171D"/>
    <w:rsid w:val="00A64082"/>
    <w:rsid w:val="00A643D4"/>
    <w:rsid w:val="00A652D3"/>
    <w:rsid w:val="00A65962"/>
    <w:rsid w:val="00A67D53"/>
    <w:rsid w:val="00A735E4"/>
    <w:rsid w:val="00A742F5"/>
    <w:rsid w:val="00A74C5D"/>
    <w:rsid w:val="00A7575C"/>
    <w:rsid w:val="00A82A8C"/>
    <w:rsid w:val="00A8579C"/>
    <w:rsid w:val="00A91741"/>
    <w:rsid w:val="00A934BB"/>
    <w:rsid w:val="00A93894"/>
    <w:rsid w:val="00A94439"/>
    <w:rsid w:val="00A9524B"/>
    <w:rsid w:val="00A956A3"/>
    <w:rsid w:val="00A964A8"/>
    <w:rsid w:val="00A97DF7"/>
    <w:rsid w:val="00AA3B52"/>
    <w:rsid w:val="00AA4462"/>
    <w:rsid w:val="00AA6C2E"/>
    <w:rsid w:val="00AA7910"/>
    <w:rsid w:val="00AB1269"/>
    <w:rsid w:val="00AB1639"/>
    <w:rsid w:val="00AB27BD"/>
    <w:rsid w:val="00AB3CEF"/>
    <w:rsid w:val="00AB599F"/>
    <w:rsid w:val="00AB5BEA"/>
    <w:rsid w:val="00AB75A1"/>
    <w:rsid w:val="00AC03B5"/>
    <w:rsid w:val="00AC2896"/>
    <w:rsid w:val="00AC3514"/>
    <w:rsid w:val="00AC3D86"/>
    <w:rsid w:val="00AC6156"/>
    <w:rsid w:val="00AC6808"/>
    <w:rsid w:val="00AC74DA"/>
    <w:rsid w:val="00AC7BC5"/>
    <w:rsid w:val="00AD016E"/>
    <w:rsid w:val="00AD0D20"/>
    <w:rsid w:val="00AD3AF6"/>
    <w:rsid w:val="00AD440C"/>
    <w:rsid w:val="00AD5AFD"/>
    <w:rsid w:val="00AD6837"/>
    <w:rsid w:val="00AE09C1"/>
    <w:rsid w:val="00AE1241"/>
    <w:rsid w:val="00AE23C9"/>
    <w:rsid w:val="00AE25BB"/>
    <w:rsid w:val="00AE293E"/>
    <w:rsid w:val="00AE2CED"/>
    <w:rsid w:val="00AE35EC"/>
    <w:rsid w:val="00AE4C4C"/>
    <w:rsid w:val="00AE5C84"/>
    <w:rsid w:val="00AE6C32"/>
    <w:rsid w:val="00AE7300"/>
    <w:rsid w:val="00AE7C7E"/>
    <w:rsid w:val="00AF0AD0"/>
    <w:rsid w:val="00AF0CD7"/>
    <w:rsid w:val="00AF1A62"/>
    <w:rsid w:val="00AF2CB1"/>
    <w:rsid w:val="00AF6466"/>
    <w:rsid w:val="00AF6485"/>
    <w:rsid w:val="00AF6BD4"/>
    <w:rsid w:val="00B0008F"/>
    <w:rsid w:val="00B0012B"/>
    <w:rsid w:val="00B025E5"/>
    <w:rsid w:val="00B0290A"/>
    <w:rsid w:val="00B04F53"/>
    <w:rsid w:val="00B05014"/>
    <w:rsid w:val="00B0602F"/>
    <w:rsid w:val="00B070B6"/>
    <w:rsid w:val="00B10899"/>
    <w:rsid w:val="00B115C3"/>
    <w:rsid w:val="00B11A4D"/>
    <w:rsid w:val="00B1223C"/>
    <w:rsid w:val="00B13BDE"/>
    <w:rsid w:val="00B1420B"/>
    <w:rsid w:val="00B148C8"/>
    <w:rsid w:val="00B15213"/>
    <w:rsid w:val="00B201E4"/>
    <w:rsid w:val="00B20327"/>
    <w:rsid w:val="00B210F9"/>
    <w:rsid w:val="00B219B6"/>
    <w:rsid w:val="00B21FC3"/>
    <w:rsid w:val="00B23F5E"/>
    <w:rsid w:val="00B23F9F"/>
    <w:rsid w:val="00B248F4"/>
    <w:rsid w:val="00B27F4D"/>
    <w:rsid w:val="00B303E4"/>
    <w:rsid w:val="00B304CE"/>
    <w:rsid w:val="00B32B6E"/>
    <w:rsid w:val="00B33B8F"/>
    <w:rsid w:val="00B33F05"/>
    <w:rsid w:val="00B353BA"/>
    <w:rsid w:val="00B378A2"/>
    <w:rsid w:val="00B40D96"/>
    <w:rsid w:val="00B41C5A"/>
    <w:rsid w:val="00B41F3F"/>
    <w:rsid w:val="00B42A98"/>
    <w:rsid w:val="00B43E2F"/>
    <w:rsid w:val="00B447BA"/>
    <w:rsid w:val="00B448D2"/>
    <w:rsid w:val="00B45403"/>
    <w:rsid w:val="00B457FB"/>
    <w:rsid w:val="00B4672F"/>
    <w:rsid w:val="00B47565"/>
    <w:rsid w:val="00B50154"/>
    <w:rsid w:val="00B50524"/>
    <w:rsid w:val="00B505D7"/>
    <w:rsid w:val="00B514A7"/>
    <w:rsid w:val="00B562C8"/>
    <w:rsid w:val="00B56A49"/>
    <w:rsid w:val="00B572F3"/>
    <w:rsid w:val="00B5746E"/>
    <w:rsid w:val="00B57DB9"/>
    <w:rsid w:val="00B61384"/>
    <w:rsid w:val="00B62E6B"/>
    <w:rsid w:val="00B63E39"/>
    <w:rsid w:val="00B653A5"/>
    <w:rsid w:val="00B66111"/>
    <w:rsid w:val="00B6707E"/>
    <w:rsid w:val="00B67BAB"/>
    <w:rsid w:val="00B716D0"/>
    <w:rsid w:val="00B721E9"/>
    <w:rsid w:val="00B755B9"/>
    <w:rsid w:val="00B776C4"/>
    <w:rsid w:val="00B80532"/>
    <w:rsid w:val="00B80B7B"/>
    <w:rsid w:val="00B80FBC"/>
    <w:rsid w:val="00B81A0C"/>
    <w:rsid w:val="00B820C4"/>
    <w:rsid w:val="00B8426B"/>
    <w:rsid w:val="00B846A1"/>
    <w:rsid w:val="00B86AEA"/>
    <w:rsid w:val="00B874AD"/>
    <w:rsid w:val="00B90117"/>
    <w:rsid w:val="00B90324"/>
    <w:rsid w:val="00B90574"/>
    <w:rsid w:val="00B919AD"/>
    <w:rsid w:val="00B935F9"/>
    <w:rsid w:val="00B94A85"/>
    <w:rsid w:val="00B94EE9"/>
    <w:rsid w:val="00B95103"/>
    <w:rsid w:val="00B9654E"/>
    <w:rsid w:val="00BA0F33"/>
    <w:rsid w:val="00BA1ACD"/>
    <w:rsid w:val="00BA21DA"/>
    <w:rsid w:val="00BA2C66"/>
    <w:rsid w:val="00BA306F"/>
    <w:rsid w:val="00BA3C94"/>
    <w:rsid w:val="00BA5A20"/>
    <w:rsid w:val="00BB0101"/>
    <w:rsid w:val="00BB2A1E"/>
    <w:rsid w:val="00BB2BF6"/>
    <w:rsid w:val="00BB3AAA"/>
    <w:rsid w:val="00BB4FDD"/>
    <w:rsid w:val="00BB6C2C"/>
    <w:rsid w:val="00BB6F19"/>
    <w:rsid w:val="00BB7839"/>
    <w:rsid w:val="00BC2EA6"/>
    <w:rsid w:val="00BC30F9"/>
    <w:rsid w:val="00BC37FD"/>
    <w:rsid w:val="00BC408E"/>
    <w:rsid w:val="00BC5777"/>
    <w:rsid w:val="00BC6476"/>
    <w:rsid w:val="00BC70A3"/>
    <w:rsid w:val="00BD06B5"/>
    <w:rsid w:val="00BD06CC"/>
    <w:rsid w:val="00BD0CE5"/>
    <w:rsid w:val="00BD16D5"/>
    <w:rsid w:val="00BD2D01"/>
    <w:rsid w:val="00BD34E4"/>
    <w:rsid w:val="00BD35FF"/>
    <w:rsid w:val="00BD54CC"/>
    <w:rsid w:val="00BE018B"/>
    <w:rsid w:val="00BE1862"/>
    <w:rsid w:val="00BE2609"/>
    <w:rsid w:val="00BE34F5"/>
    <w:rsid w:val="00BE4EDC"/>
    <w:rsid w:val="00BE51AA"/>
    <w:rsid w:val="00BE5CBC"/>
    <w:rsid w:val="00BE60C1"/>
    <w:rsid w:val="00BF0072"/>
    <w:rsid w:val="00BF36D3"/>
    <w:rsid w:val="00BF565E"/>
    <w:rsid w:val="00BF6086"/>
    <w:rsid w:val="00C006CE"/>
    <w:rsid w:val="00C007E9"/>
    <w:rsid w:val="00C03FCD"/>
    <w:rsid w:val="00C0506A"/>
    <w:rsid w:val="00C06C06"/>
    <w:rsid w:val="00C0758E"/>
    <w:rsid w:val="00C12941"/>
    <w:rsid w:val="00C12D67"/>
    <w:rsid w:val="00C1358D"/>
    <w:rsid w:val="00C146EE"/>
    <w:rsid w:val="00C15B46"/>
    <w:rsid w:val="00C15EBD"/>
    <w:rsid w:val="00C17193"/>
    <w:rsid w:val="00C25D1F"/>
    <w:rsid w:val="00C25E6A"/>
    <w:rsid w:val="00C26BF6"/>
    <w:rsid w:val="00C26EA5"/>
    <w:rsid w:val="00C3007C"/>
    <w:rsid w:val="00C307C7"/>
    <w:rsid w:val="00C30B64"/>
    <w:rsid w:val="00C338FA"/>
    <w:rsid w:val="00C3524B"/>
    <w:rsid w:val="00C40318"/>
    <w:rsid w:val="00C40F24"/>
    <w:rsid w:val="00C4172F"/>
    <w:rsid w:val="00C432DD"/>
    <w:rsid w:val="00C43D70"/>
    <w:rsid w:val="00C45495"/>
    <w:rsid w:val="00C458BA"/>
    <w:rsid w:val="00C45C51"/>
    <w:rsid w:val="00C47E20"/>
    <w:rsid w:val="00C47FF3"/>
    <w:rsid w:val="00C52E68"/>
    <w:rsid w:val="00C54921"/>
    <w:rsid w:val="00C558FA"/>
    <w:rsid w:val="00C600B1"/>
    <w:rsid w:val="00C62458"/>
    <w:rsid w:val="00C6320E"/>
    <w:rsid w:val="00C63B51"/>
    <w:rsid w:val="00C6770E"/>
    <w:rsid w:val="00C70CF4"/>
    <w:rsid w:val="00C71E06"/>
    <w:rsid w:val="00C73435"/>
    <w:rsid w:val="00C73EFC"/>
    <w:rsid w:val="00C74B54"/>
    <w:rsid w:val="00C757D9"/>
    <w:rsid w:val="00C757E6"/>
    <w:rsid w:val="00C75939"/>
    <w:rsid w:val="00C868F4"/>
    <w:rsid w:val="00C86E07"/>
    <w:rsid w:val="00C878FA"/>
    <w:rsid w:val="00C90C85"/>
    <w:rsid w:val="00C92AA6"/>
    <w:rsid w:val="00C97C6E"/>
    <w:rsid w:val="00CA1390"/>
    <w:rsid w:val="00CA4A32"/>
    <w:rsid w:val="00CA4AEA"/>
    <w:rsid w:val="00CA6246"/>
    <w:rsid w:val="00CA65E7"/>
    <w:rsid w:val="00CA72CE"/>
    <w:rsid w:val="00CB02C9"/>
    <w:rsid w:val="00CB2C0E"/>
    <w:rsid w:val="00CB5231"/>
    <w:rsid w:val="00CB53E3"/>
    <w:rsid w:val="00CB63CF"/>
    <w:rsid w:val="00CB77DA"/>
    <w:rsid w:val="00CB7800"/>
    <w:rsid w:val="00CC0116"/>
    <w:rsid w:val="00CC07A6"/>
    <w:rsid w:val="00CC32B1"/>
    <w:rsid w:val="00CC4BCA"/>
    <w:rsid w:val="00CC6D69"/>
    <w:rsid w:val="00CC6E11"/>
    <w:rsid w:val="00CD256D"/>
    <w:rsid w:val="00CD262A"/>
    <w:rsid w:val="00CD5AB5"/>
    <w:rsid w:val="00CD7E5A"/>
    <w:rsid w:val="00CE0A0F"/>
    <w:rsid w:val="00CE695B"/>
    <w:rsid w:val="00CE785B"/>
    <w:rsid w:val="00CF0460"/>
    <w:rsid w:val="00CF308C"/>
    <w:rsid w:val="00CF44E2"/>
    <w:rsid w:val="00CF7514"/>
    <w:rsid w:val="00CF7EEC"/>
    <w:rsid w:val="00D013D6"/>
    <w:rsid w:val="00D01A1D"/>
    <w:rsid w:val="00D02399"/>
    <w:rsid w:val="00D07F14"/>
    <w:rsid w:val="00D1024F"/>
    <w:rsid w:val="00D10D5F"/>
    <w:rsid w:val="00D1171F"/>
    <w:rsid w:val="00D12A30"/>
    <w:rsid w:val="00D152DF"/>
    <w:rsid w:val="00D17DE2"/>
    <w:rsid w:val="00D21F22"/>
    <w:rsid w:val="00D2233F"/>
    <w:rsid w:val="00D23077"/>
    <w:rsid w:val="00D24621"/>
    <w:rsid w:val="00D257AC"/>
    <w:rsid w:val="00D25E25"/>
    <w:rsid w:val="00D25F4C"/>
    <w:rsid w:val="00D26105"/>
    <w:rsid w:val="00D26A17"/>
    <w:rsid w:val="00D27FD2"/>
    <w:rsid w:val="00D3192D"/>
    <w:rsid w:val="00D326DB"/>
    <w:rsid w:val="00D32B00"/>
    <w:rsid w:val="00D32BE0"/>
    <w:rsid w:val="00D32CC7"/>
    <w:rsid w:val="00D32E9F"/>
    <w:rsid w:val="00D3316C"/>
    <w:rsid w:val="00D34496"/>
    <w:rsid w:val="00D34E66"/>
    <w:rsid w:val="00D363DC"/>
    <w:rsid w:val="00D36623"/>
    <w:rsid w:val="00D407E1"/>
    <w:rsid w:val="00D41B56"/>
    <w:rsid w:val="00D42777"/>
    <w:rsid w:val="00D42959"/>
    <w:rsid w:val="00D430F3"/>
    <w:rsid w:val="00D43485"/>
    <w:rsid w:val="00D44D2B"/>
    <w:rsid w:val="00D46A51"/>
    <w:rsid w:val="00D511DC"/>
    <w:rsid w:val="00D573CE"/>
    <w:rsid w:val="00D579A6"/>
    <w:rsid w:val="00D609A0"/>
    <w:rsid w:val="00D61529"/>
    <w:rsid w:val="00D61BAC"/>
    <w:rsid w:val="00D64048"/>
    <w:rsid w:val="00D65EC9"/>
    <w:rsid w:val="00D66993"/>
    <w:rsid w:val="00D66B69"/>
    <w:rsid w:val="00D70372"/>
    <w:rsid w:val="00D70B3D"/>
    <w:rsid w:val="00D71804"/>
    <w:rsid w:val="00D71C5D"/>
    <w:rsid w:val="00D72429"/>
    <w:rsid w:val="00D737B2"/>
    <w:rsid w:val="00D74BE8"/>
    <w:rsid w:val="00D77457"/>
    <w:rsid w:val="00D8276D"/>
    <w:rsid w:val="00D827F4"/>
    <w:rsid w:val="00D83CBA"/>
    <w:rsid w:val="00D85A04"/>
    <w:rsid w:val="00D8673C"/>
    <w:rsid w:val="00D86BCC"/>
    <w:rsid w:val="00D87EAB"/>
    <w:rsid w:val="00D919FD"/>
    <w:rsid w:val="00D91A42"/>
    <w:rsid w:val="00D91FAD"/>
    <w:rsid w:val="00D93139"/>
    <w:rsid w:val="00D95C18"/>
    <w:rsid w:val="00D97362"/>
    <w:rsid w:val="00D97859"/>
    <w:rsid w:val="00DA19F5"/>
    <w:rsid w:val="00DA2463"/>
    <w:rsid w:val="00DA401F"/>
    <w:rsid w:val="00DA5D9D"/>
    <w:rsid w:val="00DB2EEF"/>
    <w:rsid w:val="00DB3FC8"/>
    <w:rsid w:val="00DB49FF"/>
    <w:rsid w:val="00DB6BF2"/>
    <w:rsid w:val="00DB7E8E"/>
    <w:rsid w:val="00DC1F86"/>
    <w:rsid w:val="00DC2906"/>
    <w:rsid w:val="00DC7DAB"/>
    <w:rsid w:val="00DC7DD7"/>
    <w:rsid w:val="00DD1AEF"/>
    <w:rsid w:val="00DD37E7"/>
    <w:rsid w:val="00DD40F4"/>
    <w:rsid w:val="00DD4495"/>
    <w:rsid w:val="00DD4694"/>
    <w:rsid w:val="00DD502D"/>
    <w:rsid w:val="00DE02C7"/>
    <w:rsid w:val="00DE0CF2"/>
    <w:rsid w:val="00DE240C"/>
    <w:rsid w:val="00DE2D59"/>
    <w:rsid w:val="00DE3BC4"/>
    <w:rsid w:val="00DE4B93"/>
    <w:rsid w:val="00DE6529"/>
    <w:rsid w:val="00DE6943"/>
    <w:rsid w:val="00DE6F9D"/>
    <w:rsid w:val="00DE767D"/>
    <w:rsid w:val="00DE7B36"/>
    <w:rsid w:val="00DF0B50"/>
    <w:rsid w:val="00DF0C72"/>
    <w:rsid w:val="00DF40D2"/>
    <w:rsid w:val="00DF4311"/>
    <w:rsid w:val="00DF5B00"/>
    <w:rsid w:val="00E0153E"/>
    <w:rsid w:val="00E0391E"/>
    <w:rsid w:val="00E06158"/>
    <w:rsid w:val="00E10938"/>
    <w:rsid w:val="00E14CEB"/>
    <w:rsid w:val="00E14FC0"/>
    <w:rsid w:val="00E14FD3"/>
    <w:rsid w:val="00E171BA"/>
    <w:rsid w:val="00E17B1C"/>
    <w:rsid w:val="00E210DE"/>
    <w:rsid w:val="00E212F8"/>
    <w:rsid w:val="00E217DB"/>
    <w:rsid w:val="00E2183E"/>
    <w:rsid w:val="00E22E81"/>
    <w:rsid w:val="00E252D8"/>
    <w:rsid w:val="00E26028"/>
    <w:rsid w:val="00E26720"/>
    <w:rsid w:val="00E27A2B"/>
    <w:rsid w:val="00E31CDB"/>
    <w:rsid w:val="00E345CF"/>
    <w:rsid w:val="00E367E4"/>
    <w:rsid w:val="00E36CEC"/>
    <w:rsid w:val="00E40CE9"/>
    <w:rsid w:val="00E43640"/>
    <w:rsid w:val="00E44656"/>
    <w:rsid w:val="00E44D2A"/>
    <w:rsid w:val="00E45016"/>
    <w:rsid w:val="00E458D5"/>
    <w:rsid w:val="00E47D5E"/>
    <w:rsid w:val="00E47F39"/>
    <w:rsid w:val="00E527C7"/>
    <w:rsid w:val="00E5644B"/>
    <w:rsid w:val="00E57527"/>
    <w:rsid w:val="00E57832"/>
    <w:rsid w:val="00E61B36"/>
    <w:rsid w:val="00E61FF1"/>
    <w:rsid w:val="00E627BB"/>
    <w:rsid w:val="00E62C0E"/>
    <w:rsid w:val="00E630D8"/>
    <w:rsid w:val="00E64B37"/>
    <w:rsid w:val="00E64C72"/>
    <w:rsid w:val="00E668F6"/>
    <w:rsid w:val="00E66D13"/>
    <w:rsid w:val="00E67DE5"/>
    <w:rsid w:val="00E70198"/>
    <w:rsid w:val="00E74392"/>
    <w:rsid w:val="00E75375"/>
    <w:rsid w:val="00E75E4E"/>
    <w:rsid w:val="00E802D5"/>
    <w:rsid w:val="00E805EB"/>
    <w:rsid w:val="00E8397A"/>
    <w:rsid w:val="00E87038"/>
    <w:rsid w:val="00E870D7"/>
    <w:rsid w:val="00E91374"/>
    <w:rsid w:val="00E918FE"/>
    <w:rsid w:val="00E92470"/>
    <w:rsid w:val="00E92799"/>
    <w:rsid w:val="00E932D2"/>
    <w:rsid w:val="00E93960"/>
    <w:rsid w:val="00E94DA4"/>
    <w:rsid w:val="00E95067"/>
    <w:rsid w:val="00E95354"/>
    <w:rsid w:val="00E96629"/>
    <w:rsid w:val="00EA3171"/>
    <w:rsid w:val="00EA4728"/>
    <w:rsid w:val="00EA4AF2"/>
    <w:rsid w:val="00EA766F"/>
    <w:rsid w:val="00EA779D"/>
    <w:rsid w:val="00EA7B95"/>
    <w:rsid w:val="00EA7E8B"/>
    <w:rsid w:val="00EB01D1"/>
    <w:rsid w:val="00EB0729"/>
    <w:rsid w:val="00EB1198"/>
    <w:rsid w:val="00EB2A58"/>
    <w:rsid w:val="00EB2ADB"/>
    <w:rsid w:val="00EB335E"/>
    <w:rsid w:val="00EB47FD"/>
    <w:rsid w:val="00EB70A8"/>
    <w:rsid w:val="00EC03DB"/>
    <w:rsid w:val="00EC0633"/>
    <w:rsid w:val="00EC0BB2"/>
    <w:rsid w:val="00EC47DE"/>
    <w:rsid w:val="00EC7221"/>
    <w:rsid w:val="00EC76D6"/>
    <w:rsid w:val="00ED00FC"/>
    <w:rsid w:val="00ED17E5"/>
    <w:rsid w:val="00ED28EC"/>
    <w:rsid w:val="00ED37B2"/>
    <w:rsid w:val="00ED450E"/>
    <w:rsid w:val="00ED65C2"/>
    <w:rsid w:val="00EE07E7"/>
    <w:rsid w:val="00EE20B3"/>
    <w:rsid w:val="00EE3134"/>
    <w:rsid w:val="00EE44D6"/>
    <w:rsid w:val="00EE5097"/>
    <w:rsid w:val="00EE6DE1"/>
    <w:rsid w:val="00EF0802"/>
    <w:rsid w:val="00EF1C47"/>
    <w:rsid w:val="00EF5250"/>
    <w:rsid w:val="00F001A6"/>
    <w:rsid w:val="00F0307F"/>
    <w:rsid w:val="00F03366"/>
    <w:rsid w:val="00F0352C"/>
    <w:rsid w:val="00F03818"/>
    <w:rsid w:val="00F047DE"/>
    <w:rsid w:val="00F105C2"/>
    <w:rsid w:val="00F110B8"/>
    <w:rsid w:val="00F11C0A"/>
    <w:rsid w:val="00F12276"/>
    <w:rsid w:val="00F127E0"/>
    <w:rsid w:val="00F12CA3"/>
    <w:rsid w:val="00F1485E"/>
    <w:rsid w:val="00F161F8"/>
    <w:rsid w:val="00F1624A"/>
    <w:rsid w:val="00F16B50"/>
    <w:rsid w:val="00F173A8"/>
    <w:rsid w:val="00F216CC"/>
    <w:rsid w:val="00F21728"/>
    <w:rsid w:val="00F2310D"/>
    <w:rsid w:val="00F233D7"/>
    <w:rsid w:val="00F24B0F"/>
    <w:rsid w:val="00F24C76"/>
    <w:rsid w:val="00F25212"/>
    <w:rsid w:val="00F26255"/>
    <w:rsid w:val="00F264F4"/>
    <w:rsid w:val="00F30DED"/>
    <w:rsid w:val="00F31B04"/>
    <w:rsid w:val="00F31FA5"/>
    <w:rsid w:val="00F32EA4"/>
    <w:rsid w:val="00F34177"/>
    <w:rsid w:val="00F35128"/>
    <w:rsid w:val="00F352BA"/>
    <w:rsid w:val="00F37DDB"/>
    <w:rsid w:val="00F42600"/>
    <w:rsid w:val="00F42627"/>
    <w:rsid w:val="00F4382B"/>
    <w:rsid w:val="00F43DCC"/>
    <w:rsid w:val="00F44A99"/>
    <w:rsid w:val="00F45766"/>
    <w:rsid w:val="00F46E62"/>
    <w:rsid w:val="00F475CA"/>
    <w:rsid w:val="00F4796C"/>
    <w:rsid w:val="00F50A43"/>
    <w:rsid w:val="00F51681"/>
    <w:rsid w:val="00F52BE4"/>
    <w:rsid w:val="00F5373F"/>
    <w:rsid w:val="00F559B5"/>
    <w:rsid w:val="00F56A2A"/>
    <w:rsid w:val="00F5768A"/>
    <w:rsid w:val="00F60693"/>
    <w:rsid w:val="00F637E7"/>
    <w:rsid w:val="00F63AD8"/>
    <w:rsid w:val="00F63FEF"/>
    <w:rsid w:val="00F66114"/>
    <w:rsid w:val="00F662B1"/>
    <w:rsid w:val="00F663FA"/>
    <w:rsid w:val="00F6724E"/>
    <w:rsid w:val="00F71FC3"/>
    <w:rsid w:val="00F73436"/>
    <w:rsid w:val="00F779D6"/>
    <w:rsid w:val="00F81267"/>
    <w:rsid w:val="00F849C9"/>
    <w:rsid w:val="00F84A9E"/>
    <w:rsid w:val="00F855A5"/>
    <w:rsid w:val="00F86BF9"/>
    <w:rsid w:val="00F904A1"/>
    <w:rsid w:val="00F915CF"/>
    <w:rsid w:val="00F92439"/>
    <w:rsid w:val="00F924BA"/>
    <w:rsid w:val="00F931B4"/>
    <w:rsid w:val="00F95E24"/>
    <w:rsid w:val="00F96CF1"/>
    <w:rsid w:val="00FA1831"/>
    <w:rsid w:val="00FA2B15"/>
    <w:rsid w:val="00FA48D4"/>
    <w:rsid w:val="00FA4A3C"/>
    <w:rsid w:val="00FA4EA7"/>
    <w:rsid w:val="00FA7D8E"/>
    <w:rsid w:val="00FA7E1B"/>
    <w:rsid w:val="00FB14FF"/>
    <w:rsid w:val="00FB255A"/>
    <w:rsid w:val="00FB4E84"/>
    <w:rsid w:val="00FB566A"/>
    <w:rsid w:val="00FB5B9D"/>
    <w:rsid w:val="00FB630C"/>
    <w:rsid w:val="00FC0B90"/>
    <w:rsid w:val="00FC126E"/>
    <w:rsid w:val="00FC1E05"/>
    <w:rsid w:val="00FC5083"/>
    <w:rsid w:val="00FC5F60"/>
    <w:rsid w:val="00FC65F0"/>
    <w:rsid w:val="00FC70E8"/>
    <w:rsid w:val="00FD1859"/>
    <w:rsid w:val="00FD235F"/>
    <w:rsid w:val="00FD312B"/>
    <w:rsid w:val="00FD5FD5"/>
    <w:rsid w:val="00FD74CE"/>
    <w:rsid w:val="00FE2634"/>
    <w:rsid w:val="00FE4E5B"/>
    <w:rsid w:val="00FE65A0"/>
    <w:rsid w:val="00FE6D52"/>
    <w:rsid w:val="00FF1B31"/>
    <w:rsid w:val="00FF3BA5"/>
    <w:rsid w:val="00FF48EE"/>
    <w:rsid w:val="00FF706D"/>
    <w:rsid w:val="00FF7AD6"/>
    <w:rsid w:val="00FF7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7AD253"/>
  <w15:docId w15:val="{C736D242-B932-4DA5-9EE3-D8553E421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78B"/>
    <w:pPr>
      <w:spacing w:line="480" w:lineRule="auto"/>
      <w:jc w:val="both"/>
    </w:pPr>
    <w:rPr>
      <w:rFonts w:ascii="Times New Roman" w:hAnsi="Times New Roman"/>
    </w:rPr>
  </w:style>
  <w:style w:type="paragraph" w:styleId="Heading1">
    <w:name w:val="heading 1"/>
    <w:basedOn w:val="Normal"/>
    <w:next w:val="Normal"/>
    <w:link w:val="Heading1Char"/>
    <w:uiPriority w:val="9"/>
    <w:qFormat/>
    <w:rsid w:val="00F127E0"/>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F5250"/>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F127E0"/>
    <w:pPr>
      <w:keepNext/>
      <w:keepLines/>
      <w:spacing w:before="40" w:after="0"/>
      <w:outlineLvl w:val="2"/>
    </w:pPr>
    <w:rPr>
      <w:rFonts w:eastAsiaTheme="majorEastAsia" w:cstheme="majorBidi"/>
      <w:b/>
      <w:i/>
      <w:sz w:val="24"/>
      <w:szCs w:val="24"/>
    </w:rPr>
  </w:style>
  <w:style w:type="paragraph" w:styleId="Heading6">
    <w:name w:val="heading 6"/>
    <w:basedOn w:val="Normal"/>
    <w:next w:val="Normal"/>
    <w:link w:val="Heading6Char"/>
    <w:uiPriority w:val="9"/>
    <w:semiHidden/>
    <w:unhideWhenUsed/>
    <w:qFormat/>
    <w:rsid w:val="004F6EB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5250"/>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F127E0"/>
    <w:rPr>
      <w:rFonts w:ascii="Times New Roman" w:eastAsiaTheme="majorEastAsia" w:hAnsi="Times New Roman" w:cstheme="majorBidi"/>
      <w:b/>
      <w:sz w:val="32"/>
      <w:szCs w:val="32"/>
    </w:rPr>
  </w:style>
  <w:style w:type="character" w:styleId="Hyperlink">
    <w:name w:val="Hyperlink"/>
    <w:basedOn w:val="DefaultParagraphFont"/>
    <w:uiPriority w:val="99"/>
    <w:unhideWhenUsed/>
    <w:rsid w:val="00BE018B"/>
    <w:rPr>
      <w:color w:val="0563C1" w:themeColor="hyperlink"/>
      <w:u w:val="single"/>
    </w:rPr>
  </w:style>
  <w:style w:type="paragraph" w:styleId="Header">
    <w:name w:val="header"/>
    <w:basedOn w:val="Normal"/>
    <w:link w:val="HeaderChar"/>
    <w:uiPriority w:val="99"/>
    <w:unhideWhenUsed/>
    <w:rsid w:val="00BE0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18B"/>
  </w:style>
  <w:style w:type="paragraph" w:styleId="Footer">
    <w:name w:val="footer"/>
    <w:basedOn w:val="Normal"/>
    <w:link w:val="FooterChar"/>
    <w:uiPriority w:val="99"/>
    <w:unhideWhenUsed/>
    <w:rsid w:val="00BE0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18B"/>
  </w:style>
  <w:style w:type="character" w:styleId="CommentReference">
    <w:name w:val="annotation reference"/>
    <w:basedOn w:val="DefaultParagraphFont"/>
    <w:uiPriority w:val="99"/>
    <w:semiHidden/>
    <w:unhideWhenUsed/>
    <w:rsid w:val="00E2183E"/>
    <w:rPr>
      <w:sz w:val="16"/>
      <w:szCs w:val="16"/>
    </w:rPr>
  </w:style>
  <w:style w:type="paragraph" w:styleId="CommentText">
    <w:name w:val="annotation text"/>
    <w:basedOn w:val="Normal"/>
    <w:link w:val="CommentTextChar"/>
    <w:uiPriority w:val="99"/>
    <w:unhideWhenUsed/>
    <w:rsid w:val="00E2183E"/>
    <w:pPr>
      <w:spacing w:line="240" w:lineRule="auto"/>
    </w:pPr>
    <w:rPr>
      <w:sz w:val="20"/>
      <w:szCs w:val="20"/>
    </w:rPr>
  </w:style>
  <w:style w:type="character" w:customStyle="1" w:styleId="CommentTextChar">
    <w:name w:val="Comment Text Char"/>
    <w:basedOn w:val="DefaultParagraphFont"/>
    <w:link w:val="CommentText"/>
    <w:uiPriority w:val="99"/>
    <w:rsid w:val="00E2183E"/>
    <w:rPr>
      <w:sz w:val="20"/>
      <w:szCs w:val="20"/>
    </w:rPr>
  </w:style>
  <w:style w:type="paragraph" w:styleId="CommentSubject">
    <w:name w:val="annotation subject"/>
    <w:basedOn w:val="CommentText"/>
    <w:next w:val="CommentText"/>
    <w:link w:val="CommentSubjectChar"/>
    <w:uiPriority w:val="99"/>
    <w:semiHidden/>
    <w:unhideWhenUsed/>
    <w:rsid w:val="00E2183E"/>
    <w:rPr>
      <w:b/>
      <w:bCs/>
    </w:rPr>
  </w:style>
  <w:style w:type="character" w:customStyle="1" w:styleId="CommentSubjectChar">
    <w:name w:val="Comment Subject Char"/>
    <w:basedOn w:val="CommentTextChar"/>
    <w:link w:val="CommentSubject"/>
    <w:uiPriority w:val="99"/>
    <w:semiHidden/>
    <w:rsid w:val="00E2183E"/>
    <w:rPr>
      <w:b/>
      <w:bCs/>
      <w:sz w:val="20"/>
      <w:szCs w:val="20"/>
    </w:rPr>
  </w:style>
  <w:style w:type="paragraph" w:styleId="BalloonText">
    <w:name w:val="Balloon Text"/>
    <w:basedOn w:val="Normal"/>
    <w:link w:val="BalloonTextChar"/>
    <w:uiPriority w:val="99"/>
    <w:semiHidden/>
    <w:unhideWhenUsed/>
    <w:rsid w:val="00E218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83E"/>
    <w:rPr>
      <w:rFonts w:ascii="Segoe UI" w:hAnsi="Segoe UI" w:cs="Segoe UI"/>
      <w:sz w:val="18"/>
      <w:szCs w:val="18"/>
    </w:rPr>
  </w:style>
  <w:style w:type="character" w:customStyle="1" w:styleId="Heading3Char">
    <w:name w:val="Heading 3 Char"/>
    <w:basedOn w:val="DefaultParagraphFont"/>
    <w:link w:val="Heading3"/>
    <w:uiPriority w:val="9"/>
    <w:rsid w:val="00F127E0"/>
    <w:rPr>
      <w:rFonts w:ascii="Times New Roman" w:eastAsiaTheme="majorEastAsia" w:hAnsi="Times New Roman" w:cstheme="majorBidi"/>
      <w:b/>
      <w:i/>
      <w:sz w:val="24"/>
      <w:szCs w:val="24"/>
    </w:rPr>
  </w:style>
  <w:style w:type="table" w:styleId="TableGrid">
    <w:name w:val="Table Grid"/>
    <w:basedOn w:val="TableNormal"/>
    <w:uiPriority w:val="39"/>
    <w:rsid w:val="00804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5227C"/>
    <w:pPr>
      <w:ind w:left="720"/>
      <w:contextualSpacing/>
    </w:pPr>
  </w:style>
  <w:style w:type="character" w:customStyle="1" w:styleId="element-citation">
    <w:name w:val="element-citation"/>
    <w:basedOn w:val="DefaultParagraphFont"/>
    <w:rsid w:val="0048631B"/>
  </w:style>
  <w:style w:type="character" w:customStyle="1" w:styleId="ref-journal">
    <w:name w:val="ref-journal"/>
    <w:basedOn w:val="DefaultParagraphFont"/>
    <w:rsid w:val="0048631B"/>
  </w:style>
  <w:style w:type="character" w:customStyle="1" w:styleId="ref-vol">
    <w:name w:val="ref-vol"/>
    <w:basedOn w:val="DefaultParagraphFont"/>
    <w:rsid w:val="0048631B"/>
  </w:style>
  <w:style w:type="character" w:customStyle="1" w:styleId="highlight">
    <w:name w:val="highlight"/>
    <w:basedOn w:val="DefaultParagraphFont"/>
    <w:rsid w:val="0048631B"/>
  </w:style>
  <w:style w:type="character" w:customStyle="1" w:styleId="ui-ncbitoggler-master-text">
    <w:name w:val="ui-ncbitoggler-master-text"/>
    <w:basedOn w:val="DefaultParagraphFont"/>
    <w:rsid w:val="00942687"/>
  </w:style>
  <w:style w:type="paragraph" w:customStyle="1" w:styleId="Title1">
    <w:name w:val="Title1"/>
    <w:basedOn w:val="Normal"/>
    <w:rsid w:val="00942687"/>
    <w:pPr>
      <w:spacing w:before="100" w:beforeAutospacing="1" w:after="100" w:afterAutospacing="1" w:line="240" w:lineRule="auto"/>
      <w:jc w:val="left"/>
    </w:pPr>
    <w:rPr>
      <w:rFonts w:eastAsia="Times New Roman" w:cs="Times New Roman"/>
      <w:sz w:val="24"/>
      <w:szCs w:val="24"/>
      <w:lang w:eastAsia="en-GB"/>
    </w:rPr>
  </w:style>
  <w:style w:type="paragraph" w:customStyle="1" w:styleId="desc">
    <w:name w:val="desc"/>
    <w:basedOn w:val="Normal"/>
    <w:rsid w:val="00942687"/>
    <w:pPr>
      <w:spacing w:before="100" w:beforeAutospacing="1" w:after="100" w:afterAutospacing="1" w:line="240" w:lineRule="auto"/>
      <w:jc w:val="left"/>
    </w:pPr>
    <w:rPr>
      <w:rFonts w:eastAsia="Times New Roman" w:cs="Times New Roman"/>
      <w:sz w:val="24"/>
      <w:szCs w:val="24"/>
      <w:lang w:eastAsia="en-GB"/>
    </w:rPr>
  </w:style>
  <w:style w:type="paragraph" w:customStyle="1" w:styleId="details">
    <w:name w:val="details"/>
    <w:basedOn w:val="Normal"/>
    <w:rsid w:val="00942687"/>
    <w:pPr>
      <w:spacing w:before="100" w:beforeAutospacing="1" w:after="100" w:afterAutospacing="1" w:line="240" w:lineRule="auto"/>
      <w:jc w:val="left"/>
    </w:pPr>
    <w:rPr>
      <w:rFonts w:eastAsia="Times New Roman" w:cs="Times New Roman"/>
      <w:sz w:val="24"/>
      <w:szCs w:val="24"/>
      <w:lang w:eastAsia="en-GB"/>
    </w:rPr>
  </w:style>
  <w:style w:type="character" w:customStyle="1" w:styleId="jrnl">
    <w:name w:val="jrnl"/>
    <w:basedOn w:val="DefaultParagraphFont"/>
    <w:rsid w:val="00942687"/>
  </w:style>
  <w:style w:type="character" w:styleId="FollowedHyperlink">
    <w:name w:val="FollowedHyperlink"/>
    <w:basedOn w:val="DefaultParagraphFont"/>
    <w:uiPriority w:val="99"/>
    <w:semiHidden/>
    <w:unhideWhenUsed/>
    <w:rsid w:val="00BD35FF"/>
    <w:rPr>
      <w:color w:val="954F72" w:themeColor="followedHyperlink"/>
      <w:u w:val="single"/>
    </w:rPr>
  </w:style>
  <w:style w:type="character" w:customStyle="1" w:styleId="UnresolvedMention1">
    <w:name w:val="Unresolved Mention1"/>
    <w:basedOn w:val="DefaultParagraphFont"/>
    <w:uiPriority w:val="99"/>
    <w:semiHidden/>
    <w:unhideWhenUsed/>
    <w:rsid w:val="00490BAD"/>
    <w:rPr>
      <w:color w:val="605E5C"/>
      <w:shd w:val="clear" w:color="auto" w:fill="E1DFDD"/>
    </w:rPr>
  </w:style>
  <w:style w:type="paragraph" w:styleId="Revision">
    <w:name w:val="Revision"/>
    <w:hidden/>
    <w:uiPriority w:val="99"/>
    <w:semiHidden/>
    <w:rsid w:val="00692973"/>
    <w:pPr>
      <w:spacing w:after="0" w:line="240" w:lineRule="auto"/>
    </w:pPr>
    <w:rPr>
      <w:rFonts w:ascii="Times New Roman" w:hAnsi="Times New Roman"/>
    </w:rPr>
  </w:style>
  <w:style w:type="character" w:customStyle="1" w:styleId="Heading6Char">
    <w:name w:val="Heading 6 Char"/>
    <w:basedOn w:val="DefaultParagraphFont"/>
    <w:link w:val="Heading6"/>
    <w:uiPriority w:val="9"/>
    <w:semiHidden/>
    <w:rsid w:val="004F6EB1"/>
    <w:rPr>
      <w:rFonts w:asciiTheme="majorHAnsi" w:eastAsiaTheme="majorEastAsia" w:hAnsiTheme="majorHAnsi" w:cstheme="majorBidi"/>
      <w:color w:val="1F4D78" w:themeColor="accent1" w:themeShade="7F"/>
    </w:rPr>
  </w:style>
  <w:style w:type="table" w:styleId="PlainTable2">
    <w:name w:val="Plain Table 2"/>
    <w:basedOn w:val="TableNormal"/>
    <w:uiPriority w:val="42"/>
    <w:rsid w:val="004F6EB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F6EB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4">
    <w:name w:val="Plain Table 4"/>
    <w:basedOn w:val="TableNormal"/>
    <w:uiPriority w:val="44"/>
    <w:rsid w:val="004F6EB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6714F9"/>
    <w:rPr>
      <w:color w:val="605E5C"/>
      <w:shd w:val="clear" w:color="auto" w:fill="E1DFDD"/>
    </w:rPr>
  </w:style>
  <w:style w:type="table" w:styleId="PlainTable3">
    <w:name w:val="Plain Table 3"/>
    <w:basedOn w:val="TableNormal"/>
    <w:uiPriority w:val="43"/>
    <w:rsid w:val="00C006C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C006C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nchor-text">
    <w:name w:val="anchor-text"/>
    <w:basedOn w:val="DefaultParagraphFont"/>
    <w:rsid w:val="00A5347C"/>
  </w:style>
  <w:style w:type="character" w:customStyle="1" w:styleId="title-text">
    <w:name w:val="title-text"/>
    <w:basedOn w:val="DefaultParagraphFont"/>
    <w:rsid w:val="00A5347C"/>
  </w:style>
  <w:style w:type="character" w:customStyle="1" w:styleId="sr-only">
    <w:name w:val="sr-only"/>
    <w:basedOn w:val="DefaultParagraphFont"/>
    <w:rsid w:val="00A5347C"/>
  </w:style>
  <w:style w:type="character" w:customStyle="1" w:styleId="ref-title">
    <w:name w:val="ref-title"/>
    <w:basedOn w:val="DefaultParagraphFont"/>
    <w:rsid w:val="000D238E"/>
  </w:style>
  <w:style w:type="character" w:customStyle="1" w:styleId="apple-converted-space">
    <w:name w:val="apple-converted-space"/>
    <w:basedOn w:val="DefaultParagraphFont"/>
    <w:rsid w:val="000B47CD"/>
  </w:style>
  <w:style w:type="character" w:customStyle="1" w:styleId="UnresolvedMention3">
    <w:name w:val="Unresolved Mention3"/>
    <w:basedOn w:val="DefaultParagraphFont"/>
    <w:uiPriority w:val="99"/>
    <w:semiHidden/>
    <w:unhideWhenUsed/>
    <w:rsid w:val="00597DCB"/>
    <w:rPr>
      <w:color w:val="605E5C"/>
      <w:shd w:val="clear" w:color="auto" w:fill="E1DFDD"/>
    </w:rPr>
  </w:style>
  <w:style w:type="character" w:styleId="Emphasis">
    <w:name w:val="Emphasis"/>
    <w:basedOn w:val="DefaultParagraphFont"/>
    <w:uiPriority w:val="20"/>
    <w:qFormat/>
    <w:rsid w:val="00943FBB"/>
    <w:rPr>
      <w:i/>
      <w:iCs/>
    </w:rPr>
  </w:style>
  <w:style w:type="character" w:styleId="Strong">
    <w:name w:val="Strong"/>
    <w:basedOn w:val="DefaultParagraphFont"/>
    <w:uiPriority w:val="22"/>
    <w:qFormat/>
    <w:rsid w:val="00943FBB"/>
    <w:rPr>
      <w:b/>
      <w:bCs/>
    </w:rPr>
  </w:style>
  <w:style w:type="character" w:customStyle="1" w:styleId="UnresolvedMention4">
    <w:name w:val="Unresolved Mention4"/>
    <w:basedOn w:val="DefaultParagraphFont"/>
    <w:uiPriority w:val="99"/>
    <w:semiHidden/>
    <w:unhideWhenUsed/>
    <w:rsid w:val="00044FC8"/>
    <w:rPr>
      <w:color w:val="605E5C"/>
      <w:shd w:val="clear" w:color="auto" w:fill="E1DFDD"/>
    </w:rPr>
  </w:style>
  <w:style w:type="paragraph" w:styleId="NormalWeb">
    <w:name w:val="Normal (Web)"/>
    <w:basedOn w:val="Normal"/>
    <w:uiPriority w:val="99"/>
    <w:semiHidden/>
    <w:unhideWhenUsed/>
    <w:rsid w:val="006A2623"/>
    <w:pPr>
      <w:spacing w:before="100" w:beforeAutospacing="1" w:after="100" w:afterAutospacing="1" w:line="240" w:lineRule="auto"/>
      <w:jc w:val="left"/>
    </w:pPr>
    <w:rPr>
      <w:rFonts w:eastAsia="Times New Roman" w:cs="Times New Roman"/>
      <w:sz w:val="24"/>
      <w:szCs w:val="24"/>
      <w:lang w:eastAsia="en-GB"/>
    </w:rPr>
  </w:style>
  <w:style w:type="character" w:styleId="LineNumber">
    <w:name w:val="line number"/>
    <w:basedOn w:val="DefaultParagraphFont"/>
    <w:uiPriority w:val="99"/>
    <w:semiHidden/>
    <w:unhideWhenUsed/>
    <w:rsid w:val="00885912"/>
  </w:style>
  <w:style w:type="character" w:customStyle="1" w:styleId="elsevieritemreferenciahostrevistalink">
    <w:name w:val="elsevieritemreferenciahostrevistalink"/>
    <w:basedOn w:val="DefaultParagraphFont"/>
    <w:rsid w:val="005A2EED"/>
  </w:style>
  <w:style w:type="character" w:customStyle="1" w:styleId="cit-auth">
    <w:name w:val="cit-auth"/>
    <w:basedOn w:val="DefaultParagraphFont"/>
    <w:rsid w:val="006C758F"/>
  </w:style>
  <w:style w:type="character" w:customStyle="1" w:styleId="cit-name-surname">
    <w:name w:val="cit-name-surname"/>
    <w:basedOn w:val="DefaultParagraphFont"/>
    <w:rsid w:val="006C758F"/>
  </w:style>
  <w:style w:type="character" w:customStyle="1" w:styleId="cit-name-given-names">
    <w:name w:val="cit-name-given-names"/>
    <w:basedOn w:val="DefaultParagraphFont"/>
    <w:rsid w:val="006C758F"/>
  </w:style>
  <w:style w:type="character" w:customStyle="1" w:styleId="cit-etal">
    <w:name w:val="cit-etal"/>
    <w:basedOn w:val="DefaultParagraphFont"/>
    <w:rsid w:val="006C758F"/>
  </w:style>
  <w:style w:type="character" w:styleId="HTMLCite">
    <w:name w:val="HTML Cite"/>
    <w:basedOn w:val="DefaultParagraphFont"/>
    <w:uiPriority w:val="99"/>
    <w:semiHidden/>
    <w:unhideWhenUsed/>
    <w:rsid w:val="006C758F"/>
    <w:rPr>
      <w:i/>
      <w:iCs/>
    </w:rPr>
  </w:style>
  <w:style w:type="character" w:customStyle="1" w:styleId="cit-article-title">
    <w:name w:val="cit-article-title"/>
    <w:basedOn w:val="DefaultParagraphFont"/>
    <w:rsid w:val="006C758F"/>
  </w:style>
  <w:style w:type="character" w:customStyle="1" w:styleId="cit-pub-date">
    <w:name w:val="cit-pub-date"/>
    <w:basedOn w:val="DefaultParagraphFont"/>
    <w:rsid w:val="006C758F"/>
  </w:style>
  <w:style w:type="character" w:customStyle="1" w:styleId="cit-vol">
    <w:name w:val="cit-vol"/>
    <w:basedOn w:val="DefaultParagraphFont"/>
    <w:rsid w:val="006C758F"/>
  </w:style>
  <w:style w:type="character" w:customStyle="1" w:styleId="cit-fpage">
    <w:name w:val="cit-fpage"/>
    <w:basedOn w:val="DefaultParagraphFont"/>
    <w:rsid w:val="006C758F"/>
  </w:style>
  <w:style w:type="character" w:customStyle="1" w:styleId="cit-lpage">
    <w:name w:val="cit-lpage"/>
    <w:basedOn w:val="DefaultParagraphFont"/>
    <w:rsid w:val="006C758F"/>
  </w:style>
  <w:style w:type="character" w:customStyle="1" w:styleId="fm-citation-ids-label">
    <w:name w:val="fm-citation-ids-label"/>
    <w:basedOn w:val="DefaultParagraphFont"/>
    <w:rsid w:val="00260688"/>
  </w:style>
  <w:style w:type="character" w:customStyle="1" w:styleId="month">
    <w:name w:val="month"/>
    <w:basedOn w:val="DefaultParagraphFont"/>
    <w:rsid w:val="00D737B2"/>
  </w:style>
  <w:style w:type="character" w:customStyle="1" w:styleId="day">
    <w:name w:val="day"/>
    <w:basedOn w:val="DefaultParagraphFont"/>
    <w:rsid w:val="00D737B2"/>
  </w:style>
  <w:style w:type="character" w:customStyle="1" w:styleId="year">
    <w:name w:val="year"/>
    <w:basedOn w:val="DefaultParagraphFont"/>
    <w:rsid w:val="00D737B2"/>
  </w:style>
  <w:style w:type="character" w:customStyle="1" w:styleId="Subtitle1">
    <w:name w:val="Subtitle1"/>
    <w:basedOn w:val="DefaultParagraphFont"/>
    <w:rsid w:val="00D737B2"/>
  </w:style>
  <w:style w:type="character" w:customStyle="1" w:styleId="meta-authors--limited">
    <w:name w:val="meta-authors--limited"/>
    <w:basedOn w:val="DefaultParagraphFont"/>
    <w:rsid w:val="00D737B2"/>
  </w:style>
  <w:style w:type="character" w:customStyle="1" w:styleId="wi-fullname">
    <w:name w:val="wi-fullname"/>
    <w:basedOn w:val="DefaultParagraphFont"/>
    <w:rsid w:val="00D737B2"/>
  </w:style>
  <w:style w:type="character" w:customStyle="1" w:styleId="al-author-delim">
    <w:name w:val="al-author-delim"/>
    <w:basedOn w:val="DefaultParagraphFont"/>
    <w:rsid w:val="00D737B2"/>
  </w:style>
  <w:style w:type="character" w:customStyle="1" w:styleId="fm-vol-iss-date">
    <w:name w:val="fm-vol-iss-date"/>
    <w:basedOn w:val="DefaultParagraphFont"/>
    <w:rsid w:val="002F09AA"/>
  </w:style>
  <w:style w:type="character" w:customStyle="1" w:styleId="doi">
    <w:name w:val="doi"/>
    <w:basedOn w:val="DefaultParagraphFont"/>
    <w:rsid w:val="002F09AA"/>
  </w:style>
  <w:style w:type="character" w:customStyle="1" w:styleId="react-xocs-alternative-link">
    <w:name w:val="react-xocs-alternative-link"/>
    <w:basedOn w:val="DefaultParagraphFont"/>
    <w:rsid w:val="00A23626"/>
  </w:style>
  <w:style w:type="character" w:customStyle="1" w:styleId="given-name">
    <w:name w:val="given-name"/>
    <w:basedOn w:val="DefaultParagraphFont"/>
    <w:rsid w:val="00A23626"/>
  </w:style>
  <w:style w:type="character" w:customStyle="1" w:styleId="text">
    <w:name w:val="text"/>
    <w:basedOn w:val="DefaultParagraphFont"/>
    <w:rsid w:val="00A23626"/>
  </w:style>
  <w:style w:type="character" w:customStyle="1" w:styleId="author-ref">
    <w:name w:val="author-ref"/>
    <w:basedOn w:val="DefaultParagraphFont"/>
    <w:rsid w:val="00A23626"/>
  </w:style>
  <w:style w:type="character" w:customStyle="1" w:styleId="period">
    <w:name w:val="period"/>
    <w:basedOn w:val="DefaultParagraphFont"/>
    <w:rsid w:val="00973C84"/>
  </w:style>
  <w:style w:type="character" w:customStyle="1" w:styleId="cit">
    <w:name w:val="cit"/>
    <w:basedOn w:val="DefaultParagraphFont"/>
    <w:rsid w:val="00973C84"/>
  </w:style>
  <w:style w:type="character" w:customStyle="1" w:styleId="citation-doi">
    <w:name w:val="citation-doi"/>
    <w:basedOn w:val="DefaultParagraphFont"/>
    <w:rsid w:val="00973C84"/>
  </w:style>
  <w:style w:type="character" w:customStyle="1" w:styleId="secondary-date">
    <w:name w:val="secondary-date"/>
    <w:basedOn w:val="DefaultParagraphFont"/>
    <w:rsid w:val="00973C84"/>
  </w:style>
  <w:style w:type="character" w:customStyle="1" w:styleId="authors-list-item">
    <w:name w:val="authors-list-item"/>
    <w:basedOn w:val="DefaultParagraphFont"/>
    <w:rsid w:val="00973C84"/>
  </w:style>
  <w:style w:type="character" w:customStyle="1" w:styleId="author-sup-separator">
    <w:name w:val="author-sup-separator"/>
    <w:basedOn w:val="DefaultParagraphFont"/>
    <w:rsid w:val="00973C84"/>
  </w:style>
  <w:style w:type="character" w:customStyle="1" w:styleId="comma">
    <w:name w:val="comma"/>
    <w:basedOn w:val="DefaultParagraphFont"/>
    <w:rsid w:val="00973C84"/>
  </w:style>
  <w:style w:type="paragraph" w:styleId="HTMLPreformatted">
    <w:name w:val="HTML Preformatted"/>
    <w:basedOn w:val="Normal"/>
    <w:link w:val="HTMLPreformattedChar"/>
    <w:uiPriority w:val="99"/>
    <w:semiHidden/>
    <w:unhideWhenUsed/>
    <w:rsid w:val="00AC0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C03B5"/>
    <w:rPr>
      <w:rFonts w:ascii="Courier New" w:eastAsia="Times New Roman" w:hAnsi="Courier New" w:cs="Courier New"/>
      <w:sz w:val="20"/>
      <w:szCs w:val="20"/>
      <w:lang w:eastAsia="en-GB"/>
    </w:rPr>
  </w:style>
  <w:style w:type="character" w:customStyle="1" w:styleId="gnvwddmdl3b">
    <w:name w:val="gnvwddmdl3b"/>
    <w:basedOn w:val="DefaultParagraphFont"/>
    <w:rsid w:val="00AC0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4990">
      <w:bodyDiv w:val="1"/>
      <w:marLeft w:val="0"/>
      <w:marRight w:val="0"/>
      <w:marTop w:val="0"/>
      <w:marBottom w:val="0"/>
      <w:divBdr>
        <w:top w:val="none" w:sz="0" w:space="0" w:color="auto"/>
        <w:left w:val="none" w:sz="0" w:space="0" w:color="auto"/>
        <w:bottom w:val="none" w:sz="0" w:space="0" w:color="auto"/>
        <w:right w:val="none" w:sz="0" w:space="0" w:color="auto"/>
      </w:divBdr>
      <w:divsChild>
        <w:div w:id="795442752">
          <w:marLeft w:val="0"/>
          <w:marRight w:val="0"/>
          <w:marTop w:val="0"/>
          <w:marBottom w:val="0"/>
          <w:divBdr>
            <w:top w:val="none" w:sz="0" w:space="0" w:color="auto"/>
            <w:left w:val="none" w:sz="0" w:space="0" w:color="auto"/>
            <w:bottom w:val="none" w:sz="0" w:space="0" w:color="auto"/>
            <w:right w:val="none" w:sz="0" w:space="0" w:color="auto"/>
          </w:divBdr>
        </w:div>
      </w:divsChild>
    </w:div>
    <w:div w:id="33890485">
      <w:bodyDiv w:val="1"/>
      <w:marLeft w:val="0"/>
      <w:marRight w:val="0"/>
      <w:marTop w:val="0"/>
      <w:marBottom w:val="0"/>
      <w:divBdr>
        <w:top w:val="none" w:sz="0" w:space="0" w:color="auto"/>
        <w:left w:val="none" w:sz="0" w:space="0" w:color="auto"/>
        <w:bottom w:val="none" w:sz="0" w:space="0" w:color="auto"/>
        <w:right w:val="none" w:sz="0" w:space="0" w:color="auto"/>
      </w:divBdr>
      <w:divsChild>
        <w:div w:id="246811936">
          <w:marLeft w:val="0"/>
          <w:marRight w:val="0"/>
          <w:marTop w:val="0"/>
          <w:marBottom w:val="0"/>
          <w:divBdr>
            <w:top w:val="none" w:sz="0" w:space="0" w:color="auto"/>
            <w:left w:val="none" w:sz="0" w:space="0" w:color="auto"/>
            <w:bottom w:val="none" w:sz="0" w:space="0" w:color="auto"/>
            <w:right w:val="none" w:sz="0" w:space="0" w:color="auto"/>
          </w:divBdr>
        </w:div>
        <w:div w:id="349836543">
          <w:marLeft w:val="0"/>
          <w:marRight w:val="0"/>
          <w:marTop w:val="0"/>
          <w:marBottom w:val="0"/>
          <w:divBdr>
            <w:top w:val="none" w:sz="0" w:space="0" w:color="auto"/>
            <w:left w:val="none" w:sz="0" w:space="0" w:color="auto"/>
            <w:bottom w:val="none" w:sz="0" w:space="0" w:color="auto"/>
            <w:right w:val="none" w:sz="0" w:space="0" w:color="auto"/>
          </w:divBdr>
        </w:div>
        <w:div w:id="1920363728">
          <w:marLeft w:val="0"/>
          <w:marRight w:val="0"/>
          <w:marTop w:val="0"/>
          <w:marBottom w:val="0"/>
          <w:divBdr>
            <w:top w:val="none" w:sz="0" w:space="0" w:color="auto"/>
            <w:left w:val="none" w:sz="0" w:space="0" w:color="auto"/>
            <w:bottom w:val="none" w:sz="0" w:space="0" w:color="auto"/>
            <w:right w:val="none" w:sz="0" w:space="0" w:color="auto"/>
          </w:divBdr>
        </w:div>
      </w:divsChild>
    </w:div>
    <w:div w:id="69275990">
      <w:bodyDiv w:val="1"/>
      <w:marLeft w:val="0"/>
      <w:marRight w:val="0"/>
      <w:marTop w:val="0"/>
      <w:marBottom w:val="0"/>
      <w:divBdr>
        <w:top w:val="none" w:sz="0" w:space="0" w:color="auto"/>
        <w:left w:val="none" w:sz="0" w:space="0" w:color="auto"/>
        <w:bottom w:val="none" w:sz="0" w:space="0" w:color="auto"/>
        <w:right w:val="none" w:sz="0" w:space="0" w:color="auto"/>
      </w:divBdr>
    </w:div>
    <w:div w:id="111560993">
      <w:bodyDiv w:val="1"/>
      <w:marLeft w:val="0"/>
      <w:marRight w:val="0"/>
      <w:marTop w:val="0"/>
      <w:marBottom w:val="0"/>
      <w:divBdr>
        <w:top w:val="none" w:sz="0" w:space="0" w:color="auto"/>
        <w:left w:val="none" w:sz="0" w:space="0" w:color="auto"/>
        <w:bottom w:val="none" w:sz="0" w:space="0" w:color="auto"/>
        <w:right w:val="none" w:sz="0" w:space="0" w:color="auto"/>
      </w:divBdr>
    </w:div>
    <w:div w:id="216863661">
      <w:bodyDiv w:val="1"/>
      <w:marLeft w:val="0"/>
      <w:marRight w:val="0"/>
      <w:marTop w:val="0"/>
      <w:marBottom w:val="0"/>
      <w:divBdr>
        <w:top w:val="none" w:sz="0" w:space="0" w:color="auto"/>
        <w:left w:val="none" w:sz="0" w:space="0" w:color="auto"/>
        <w:bottom w:val="none" w:sz="0" w:space="0" w:color="auto"/>
        <w:right w:val="none" w:sz="0" w:space="0" w:color="auto"/>
      </w:divBdr>
      <w:divsChild>
        <w:div w:id="1337264839">
          <w:marLeft w:val="0"/>
          <w:marRight w:val="0"/>
          <w:marTop w:val="0"/>
          <w:marBottom w:val="0"/>
          <w:divBdr>
            <w:top w:val="none" w:sz="0" w:space="0" w:color="auto"/>
            <w:left w:val="none" w:sz="0" w:space="0" w:color="auto"/>
            <w:bottom w:val="none" w:sz="0" w:space="0" w:color="auto"/>
            <w:right w:val="none" w:sz="0" w:space="0" w:color="auto"/>
          </w:divBdr>
        </w:div>
      </w:divsChild>
    </w:div>
    <w:div w:id="310257790">
      <w:bodyDiv w:val="1"/>
      <w:marLeft w:val="0"/>
      <w:marRight w:val="0"/>
      <w:marTop w:val="0"/>
      <w:marBottom w:val="0"/>
      <w:divBdr>
        <w:top w:val="none" w:sz="0" w:space="0" w:color="auto"/>
        <w:left w:val="none" w:sz="0" w:space="0" w:color="auto"/>
        <w:bottom w:val="none" w:sz="0" w:space="0" w:color="auto"/>
        <w:right w:val="none" w:sz="0" w:space="0" w:color="auto"/>
      </w:divBdr>
      <w:divsChild>
        <w:div w:id="162555094">
          <w:marLeft w:val="0"/>
          <w:marRight w:val="0"/>
          <w:marTop w:val="0"/>
          <w:marBottom w:val="0"/>
          <w:divBdr>
            <w:top w:val="none" w:sz="0" w:space="0" w:color="auto"/>
            <w:left w:val="none" w:sz="0" w:space="0" w:color="auto"/>
            <w:bottom w:val="none" w:sz="0" w:space="0" w:color="auto"/>
            <w:right w:val="none" w:sz="0" w:space="0" w:color="auto"/>
          </w:divBdr>
          <w:divsChild>
            <w:div w:id="1046418297">
              <w:marLeft w:val="0"/>
              <w:marRight w:val="0"/>
              <w:marTop w:val="0"/>
              <w:marBottom w:val="0"/>
              <w:divBdr>
                <w:top w:val="none" w:sz="0" w:space="0" w:color="auto"/>
                <w:left w:val="none" w:sz="0" w:space="0" w:color="auto"/>
                <w:bottom w:val="none" w:sz="0" w:space="0" w:color="auto"/>
                <w:right w:val="none" w:sz="0" w:space="0" w:color="auto"/>
              </w:divBdr>
              <w:divsChild>
                <w:div w:id="1916164094">
                  <w:marLeft w:val="0"/>
                  <w:marRight w:val="0"/>
                  <w:marTop w:val="0"/>
                  <w:marBottom w:val="0"/>
                  <w:divBdr>
                    <w:top w:val="none" w:sz="0" w:space="0" w:color="auto"/>
                    <w:left w:val="none" w:sz="0" w:space="0" w:color="auto"/>
                    <w:bottom w:val="none" w:sz="0" w:space="0" w:color="auto"/>
                    <w:right w:val="none" w:sz="0" w:space="0" w:color="auto"/>
                  </w:divBdr>
                  <w:divsChild>
                    <w:div w:id="5030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48907">
          <w:marLeft w:val="0"/>
          <w:marRight w:val="0"/>
          <w:marTop w:val="0"/>
          <w:marBottom w:val="0"/>
          <w:divBdr>
            <w:top w:val="none" w:sz="0" w:space="0" w:color="auto"/>
            <w:left w:val="none" w:sz="0" w:space="0" w:color="auto"/>
            <w:bottom w:val="none" w:sz="0" w:space="0" w:color="auto"/>
            <w:right w:val="none" w:sz="0" w:space="0" w:color="auto"/>
          </w:divBdr>
          <w:divsChild>
            <w:div w:id="150410100">
              <w:marLeft w:val="0"/>
              <w:marRight w:val="0"/>
              <w:marTop w:val="0"/>
              <w:marBottom w:val="0"/>
              <w:divBdr>
                <w:top w:val="none" w:sz="0" w:space="0" w:color="auto"/>
                <w:left w:val="none" w:sz="0" w:space="0" w:color="auto"/>
                <w:bottom w:val="none" w:sz="0" w:space="0" w:color="auto"/>
                <w:right w:val="none" w:sz="0" w:space="0" w:color="auto"/>
              </w:divBdr>
              <w:divsChild>
                <w:div w:id="315182773">
                  <w:marLeft w:val="0"/>
                  <w:marRight w:val="0"/>
                  <w:marTop w:val="0"/>
                  <w:marBottom w:val="0"/>
                  <w:divBdr>
                    <w:top w:val="none" w:sz="0" w:space="0" w:color="auto"/>
                    <w:left w:val="none" w:sz="0" w:space="0" w:color="auto"/>
                    <w:bottom w:val="none" w:sz="0" w:space="0" w:color="auto"/>
                    <w:right w:val="none" w:sz="0" w:space="0" w:color="auto"/>
                  </w:divBdr>
                </w:div>
              </w:divsChild>
            </w:div>
            <w:div w:id="1674648973">
              <w:marLeft w:val="0"/>
              <w:marRight w:val="0"/>
              <w:marTop w:val="0"/>
              <w:marBottom w:val="0"/>
              <w:divBdr>
                <w:top w:val="none" w:sz="0" w:space="0" w:color="auto"/>
                <w:left w:val="none" w:sz="0" w:space="0" w:color="auto"/>
                <w:bottom w:val="none" w:sz="0" w:space="0" w:color="auto"/>
                <w:right w:val="none" w:sz="0" w:space="0" w:color="auto"/>
              </w:divBdr>
            </w:div>
          </w:divsChild>
        </w:div>
        <w:div w:id="2143305082">
          <w:marLeft w:val="0"/>
          <w:marRight w:val="0"/>
          <w:marTop w:val="0"/>
          <w:marBottom w:val="0"/>
          <w:divBdr>
            <w:top w:val="none" w:sz="0" w:space="0" w:color="auto"/>
            <w:left w:val="none" w:sz="0" w:space="0" w:color="auto"/>
            <w:bottom w:val="none" w:sz="0" w:space="0" w:color="auto"/>
            <w:right w:val="none" w:sz="0" w:space="0" w:color="auto"/>
          </w:divBdr>
        </w:div>
      </w:divsChild>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177696168">
          <w:marLeft w:val="0"/>
          <w:marRight w:val="0"/>
          <w:marTop w:val="150"/>
          <w:marBottom w:val="0"/>
          <w:divBdr>
            <w:top w:val="none" w:sz="0" w:space="0" w:color="auto"/>
            <w:left w:val="none" w:sz="0" w:space="0" w:color="auto"/>
            <w:bottom w:val="none" w:sz="0" w:space="0" w:color="auto"/>
            <w:right w:val="none" w:sz="0" w:space="0" w:color="auto"/>
          </w:divBdr>
          <w:divsChild>
            <w:div w:id="1693529956">
              <w:marLeft w:val="600"/>
              <w:marRight w:val="0"/>
              <w:marTop w:val="0"/>
              <w:marBottom w:val="0"/>
              <w:divBdr>
                <w:top w:val="none" w:sz="0" w:space="0" w:color="auto"/>
                <w:left w:val="none" w:sz="0" w:space="0" w:color="auto"/>
                <w:bottom w:val="none" w:sz="0" w:space="0" w:color="auto"/>
                <w:right w:val="none" w:sz="0" w:space="0" w:color="auto"/>
              </w:divBdr>
              <w:divsChild>
                <w:div w:id="224528752">
                  <w:marLeft w:val="0"/>
                  <w:marRight w:val="0"/>
                  <w:marTop w:val="0"/>
                  <w:marBottom w:val="0"/>
                  <w:divBdr>
                    <w:top w:val="none" w:sz="0" w:space="0" w:color="auto"/>
                    <w:left w:val="none" w:sz="0" w:space="0" w:color="auto"/>
                    <w:bottom w:val="none" w:sz="0" w:space="0" w:color="auto"/>
                    <w:right w:val="none" w:sz="0" w:space="0" w:color="auto"/>
                  </w:divBdr>
                  <w:divsChild>
                    <w:div w:id="720059470">
                      <w:marLeft w:val="0"/>
                      <w:marRight w:val="0"/>
                      <w:marTop w:val="0"/>
                      <w:marBottom w:val="0"/>
                      <w:divBdr>
                        <w:top w:val="none" w:sz="0" w:space="0" w:color="auto"/>
                        <w:left w:val="none" w:sz="0" w:space="0" w:color="auto"/>
                        <w:bottom w:val="none" w:sz="0" w:space="0" w:color="auto"/>
                        <w:right w:val="none" w:sz="0" w:space="0" w:color="auto"/>
                      </w:divBdr>
                    </w:div>
                    <w:div w:id="1604804312">
                      <w:marLeft w:val="0"/>
                      <w:marRight w:val="0"/>
                      <w:marTop w:val="0"/>
                      <w:marBottom w:val="0"/>
                      <w:divBdr>
                        <w:top w:val="none" w:sz="0" w:space="0" w:color="auto"/>
                        <w:left w:val="none" w:sz="0" w:space="0" w:color="auto"/>
                        <w:bottom w:val="none" w:sz="0" w:space="0" w:color="auto"/>
                        <w:right w:val="none" w:sz="0" w:space="0" w:color="auto"/>
                      </w:divBdr>
                    </w:div>
                  </w:divsChild>
                </w:div>
                <w:div w:id="1545291600">
                  <w:marLeft w:val="0"/>
                  <w:marRight w:val="0"/>
                  <w:marTop w:val="0"/>
                  <w:marBottom w:val="0"/>
                  <w:divBdr>
                    <w:top w:val="none" w:sz="0" w:space="0" w:color="auto"/>
                    <w:left w:val="none" w:sz="0" w:space="0" w:color="auto"/>
                    <w:bottom w:val="none" w:sz="0" w:space="0" w:color="auto"/>
                    <w:right w:val="none" w:sz="0" w:space="0" w:color="auto"/>
                  </w:divBdr>
                  <w:divsChild>
                    <w:div w:id="1328945583">
                      <w:marLeft w:val="0"/>
                      <w:marRight w:val="0"/>
                      <w:marTop w:val="0"/>
                      <w:marBottom w:val="0"/>
                      <w:divBdr>
                        <w:top w:val="none" w:sz="0" w:space="0" w:color="auto"/>
                        <w:left w:val="none" w:sz="0" w:space="0" w:color="auto"/>
                        <w:bottom w:val="none" w:sz="0" w:space="0" w:color="auto"/>
                        <w:right w:val="none" w:sz="0" w:space="0" w:color="auto"/>
                      </w:divBdr>
                      <w:divsChild>
                        <w:div w:id="5235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22573">
          <w:marLeft w:val="0"/>
          <w:marRight w:val="0"/>
          <w:marTop w:val="150"/>
          <w:marBottom w:val="0"/>
          <w:divBdr>
            <w:top w:val="none" w:sz="0" w:space="0" w:color="auto"/>
            <w:left w:val="none" w:sz="0" w:space="0" w:color="auto"/>
            <w:bottom w:val="none" w:sz="0" w:space="0" w:color="auto"/>
            <w:right w:val="none" w:sz="0" w:space="0" w:color="auto"/>
          </w:divBdr>
          <w:divsChild>
            <w:div w:id="759836436">
              <w:marLeft w:val="600"/>
              <w:marRight w:val="0"/>
              <w:marTop w:val="0"/>
              <w:marBottom w:val="0"/>
              <w:divBdr>
                <w:top w:val="none" w:sz="0" w:space="0" w:color="auto"/>
                <w:left w:val="none" w:sz="0" w:space="0" w:color="auto"/>
                <w:bottom w:val="none" w:sz="0" w:space="0" w:color="auto"/>
                <w:right w:val="none" w:sz="0" w:space="0" w:color="auto"/>
              </w:divBdr>
              <w:divsChild>
                <w:div w:id="602151822">
                  <w:marLeft w:val="0"/>
                  <w:marRight w:val="0"/>
                  <w:marTop w:val="0"/>
                  <w:marBottom w:val="0"/>
                  <w:divBdr>
                    <w:top w:val="none" w:sz="0" w:space="0" w:color="auto"/>
                    <w:left w:val="none" w:sz="0" w:space="0" w:color="auto"/>
                    <w:bottom w:val="none" w:sz="0" w:space="0" w:color="auto"/>
                    <w:right w:val="none" w:sz="0" w:space="0" w:color="auto"/>
                  </w:divBdr>
                  <w:divsChild>
                    <w:div w:id="1693455289">
                      <w:marLeft w:val="0"/>
                      <w:marRight w:val="0"/>
                      <w:marTop w:val="0"/>
                      <w:marBottom w:val="0"/>
                      <w:divBdr>
                        <w:top w:val="none" w:sz="0" w:space="0" w:color="auto"/>
                        <w:left w:val="none" w:sz="0" w:space="0" w:color="auto"/>
                        <w:bottom w:val="none" w:sz="0" w:space="0" w:color="auto"/>
                        <w:right w:val="none" w:sz="0" w:space="0" w:color="auto"/>
                      </w:divBdr>
                    </w:div>
                  </w:divsChild>
                </w:div>
                <w:div w:id="1849639666">
                  <w:marLeft w:val="0"/>
                  <w:marRight w:val="0"/>
                  <w:marTop w:val="0"/>
                  <w:marBottom w:val="0"/>
                  <w:divBdr>
                    <w:top w:val="none" w:sz="0" w:space="0" w:color="auto"/>
                    <w:left w:val="none" w:sz="0" w:space="0" w:color="auto"/>
                    <w:bottom w:val="none" w:sz="0" w:space="0" w:color="auto"/>
                    <w:right w:val="none" w:sz="0" w:space="0" w:color="auto"/>
                  </w:divBdr>
                  <w:divsChild>
                    <w:div w:id="754671452">
                      <w:marLeft w:val="0"/>
                      <w:marRight w:val="0"/>
                      <w:marTop w:val="0"/>
                      <w:marBottom w:val="0"/>
                      <w:divBdr>
                        <w:top w:val="none" w:sz="0" w:space="0" w:color="auto"/>
                        <w:left w:val="none" w:sz="0" w:space="0" w:color="auto"/>
                        <w:bottom w:val="none" w:sz="0" w:space="0" w:color="auto"/>
                        <w:right w:val="none" w:sz="0" w:space="0" w:color="auto"/>
                      </w:divBdr>
                    </w:div>
                    <w:div w:id="17489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59373">
          <w:marLeft w:val="0"/>
          <w:marRight w:val="0"/>
          <w:marTop w:val="150"/>
          <w:marBottom w:val="0"/>
          <w:divBdr>
            <w:top w:val="none" w:sz="0" w:space="0" w:color="auto"/>
            <w:left w:val="none" w:sz="0" w:space="0" w:color="auto"/>
            <w:bottom w:val="none" w:sz="0" w:space="0" w:color="auto"/>
            <w:right w:val="none" w:sz="0" w:space="0" w:color="auto"/>
          </w:divBdr>
          <w:divsChild>
            <w:div w:id="1614895796">
              <w:marLeft w:val="600"/>
              <w:marRight w:val="0"/>
              <w:marTop w:val="0"/>
              <w:marBottom w:val="0"/>
              <w:divBdr>
                <w:top w:val="none" w:sz="0" w:space="0" w:color="auto"/>
                <w:left w:val="none" w:sz="0" w:space="0" w:color="auto"/>
                <w:bottom w:val="none" w:sz="0" w:space="0" w:color="auto"/>
                <w:right w:val="none" w:sz="0" w:space="0" w:color="auto"/>
              </w:divBdr>
              <w:divsChild>
                <w:div w:id="1670132227">
                  <w:marLeft w:val="0"/>
                  <w:marRight w:val="0"/>
                  <w:marTop w:val="0"/>
                  <w:marBottom w:val="0"/>
                  <w:divBdr>
                    <w:top w:val="none" w:sz="0" w:space="0" w:color="auto"/>
                    <w:left w:val="none" w:sz="0" w:space="0" w:color="auto"/>
                    <w:bottom w:val="none" w:sz="0" w:space="0" w:color="auto"/>
                    <w:right w:val="none" w:sz="0" w:space="0" w:color="auto"/>
                  </w:divBdr>
                  <w:divsChild>
                    <w:div w:id="875777325">
                      <w:marLeft w:val="0"/>
                      <w:marRight w:val="0"/>
                      <w:marTop w:val="0"/>
                      <w:marBottom w:val="0"/>
                      <w:divBdr>
                        <w:top w:val="none" w:sz="0" w:space="0" w:color="auto"/>
                        <w:left w:val="none" w:sz="0" w:space="0" w:color="auto"/>
                        <w:bottom w:val="none" w:sz="0" w:space="0" w:color="auto"/>
                        <w:right w:val="none" w:sz="0" w:space="0" w:color="auto"/>
                      </w:divBdr>
                    </w:div>
                    <w:div w:id="1734229364">
                      <w:marLeft w:val="0"/>
                      <w:marRight w:val="0"/>
                      <w:marTop w:val="0"/>
                      <w:marBottom w:val="0"/>
                      <w:divBdr>
                        <w:top w:val="none" w:sz="0" w:space="0" w:color="auto"/>
                        <w:left w:val="none" w:sz="0" w:space="0" w:color="auto"/>
                        <w:bottom w:val="none" w:sz="0" w:space="0" w:color="auto"/>
                        <w:right w:val="none" w:sz="0" w:space="0" w:color="auto"/>
                      </w:divBdr>
                    </w:div>
                  </w:divsChild>
                </w:div>
                <w:div w:id="2115398115">
                  <w:marLeft w:val="0"/>
                  <w:marRight w:val="0"/>
                  <w:marTop w:val="0"/>
                  <w:marBottom w:val="0"/>
                  <w:divBdr>
                    <w:top w:val="none" w:sz="0" w:space="0" w:color="auto"/>
                    <w:left w:val="none" w:sz="0" w:space="0" w:color="auto"/>
                    <w:bottom w:val="none" w:sz="0" w:space="0" w:color="auto"/>
                    <w:right w:val="none" w:sz="0" w:space="0" w:color="auto"/>
                  </w:divBdr>
                  <w:divsChild>
                    <w:div w:id="1946375954">
                      <w:marLeft w:val="0"/>
                      <w:marRight w:val="0"/>
                      <w:marTop w:val="0"/>
                      <w:marBottom w:val="0"/>
                      <w:divBdr>
                        <w:top w:val="none" w:sz="0" w:space="0" w:color="auto"/>
                        <w:left w:val="none" w:sz="0" w:space="0" w:color="auto"/>
                        <w:bottom w:val="none" w:sz="0" w:space="0" w:color="auto"/>
                        <w:right w:val="none" w:sz="0" w:space="0" w:color="auto"/>
                      </w:divBdr>
                      <w:divsChild>
                        <w:div w:id="74830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8230">
      <w:bodyDiv w:val="1"/>
      <w:marLeft w:val="0"/>
      <w:marRight w:val="0"/>
      <w:marTop w:val="0"/>
      <w:marBottom w:val="0"/>
      <w:divBdr>
        <w:top w:val="none" w:sz="0" w:space="0" w:color="auto"/>
        <w:left w:val="none" w:sz="0" w:space="0" w:color="auto"/>
        <w:bottom w:val="none" w:sz="0" w:space="0" w:color="auto"/>
        <w:right w:val="none" w:sz="0" w:space="0" w:color="auto"/>
      </w:divBdr>
      <w:divsChild>
        <w:div w:id="1019428725">
          <w:marLeft w:val="0"/>
          <w:marRight w:val="0"/>
          <w:marTop w:val="0"/>
          <w:marBottom w:val="0"/>
          <w:divBdr>
            <w:top w:val="none" w:sz="0" w:space="0" w:color="auto"/>
            <w:left w:val="none" w:sz="0" w:space="0" w:color="auto"/>
            <w:bottom w:val="none" w:sz="0" w:space="0" w:color="auto"/>
            <w:right w:val="none" w:sz="0" w:space="0" w:color="auto"/>
          </w:divBdr>
        </w:div>
        <w:div w:id="1419596037">
          <w:marLeft w:val="0"/>
          <w:marRight w:val="0"/>
          <w:marTop w:val="0"/>
          <w:marBottom w:val="0"/>
          <w:divBdr>
            <w:top w:val="none" w:sz="0" w:space="0" w:color="auto"/>
            <w:left w:val="none" w:sz="0" w:space="0" w:color="auto"/>
            <w:bottom w:val="none" w:sz="0" w:space="0" w:color="auto"/>
            <w:right w:val="none" w:sz="0" w:space="0" w:color="auto"/>
          </w:divBdr>
        </w:div>
      </w:divsChild>
    </w:div>
    <w:div w:id="454325727">
      <w:bodyDiv w:val="1"/>
      <w:marLeft w:val="0"/>
      <w:marRight w:val="0"/>
      <w:marTop w:val="0"/>
      <w:marBottom w:val="0"/>
      <w:divBdr>
        <w:top w:val="none" w:sz="0" w:space="0" w:color="auto"/>
        <w:left w:val="none" w:sz="0" w:space="0" w:color="auto"/>
        <w:bottom w:val="none" w:sz="0" w:space="0" w:color="auto"/>
        <w:right w:val="none" w:sz="0" w:space="0" w:color="auto"/>
      </w:divBdr>
    </w:div>
    <w:div w:id="484706454">
      <w:bodyDiv w:val="1"/>
      <w:marLeft w:val="0"/>
      <w:marRight w:val="0"/>
      <w:marTop w:val="0"/>
      <w:marBottom w:val="0"/>
      <w:divBdr>
        <w:top w:val="none" w:sz="0" w:space="0" w:color="auto"/>
        <w:left w:val="none" w:sz="0" w:space="0" w:color="auto"/>
        <w:bottom w:val="none" w:sz="0" w:space="0" w:color="auto"/>
        <w:right w:val="none" w:sz="0" w:space="0" w:color="auto"/>
      </w:divBdr>
    </w:div>
    <w:div w:id="499391877">
      <w:bodyDiv w:val="1"/>
      <w:marLeft w:val="0"/>
      <w:marRight w:val="0"/>
      <w:marTop w:val="0"/>
      <w:marBottom w:val="0"/>
      <w:divBdr>
        <w:top w:val="none" w:sz="0" w:space="0" w:color="auto"/>
        <w:left w:val="none" w:sz="0" w:space="0" w:color="auto"/>
        <w:bottom w:val="none" w:sz="0" w:space="0" w:color="auto"/>
        <w:right w:val="none" w:sz="0" w:space="0" w:color="auto"/>
      </w:divBdr>
      <w:divsChild>
        <w:div w:id="559484403">
          <w:marLeft w:val="0"/>
          <w:marRight w:val="0"/>
          <w:marTop w:val="0"/>
          <w:marBottom w:val="0"/>
          <w:divBdr>
            <w:top w:val="none" w:sz="0" w:space="0" w:color="auto"/>
            <w:left w:val="none" w:sz="0" w:space="0" w:color="auto"/>
            <w:bottom w:val="none" w:sz="0" w:space="0" w:color="auto"/>
            <w:right w:val="none" w:sz="0" w:space="0" w:color="auto"/>
          </w:divBdr>
        </w:div>
        <w:div w:id="1301305631">
          <w:marLeft w:val="0"/>
          <w:marRight w:val="0"/>
          <w:marTop w:val="0"/>
          <w:marBottom w:val="0"/>
          <w:divBdr>
            <w:top w:val="none" w:sz="0" w:space="0" w:color="auto"/>
            <w:left w:val="none" w:sz="0" w:space="0" w:color="auto"/>
            <w:bottom w:val="none" w:sz="0" w:space="0" w:color="auto"/>
            <w:right w:val="none" w:sz="0" w:space="0" w:color="auto"/>
          </w:divBdr>
        </w:div>
      </w:divsChild>
    </w:div>
    <w:div w:id="505365018">
      <w:bodyDiv w:val="1"/>
      <w:marLeft w:val="0"/>
      <w:marRight w:val="0"/>
      <w:marTop w:val="0"/>
      <w:marBottom w:val="0"/>
      <w:divBdr>
        <w:top w:val="none" w:sz="0" w:space="0" w:color="auto"/>
        <w:left w:val="none" w:sz="0" w:space="0" w:color="auto"/>
        <w:bottom w:val="none" w:sz="0" w:space="0" w:color="auto"/>
        <w:right w:val="none" w:sz="0" w:space="0" w:color="auto"/>
      </w:divBdr>
      <w:divsChild>
        <w:div w:id="624241031">
          <w:marLeft w:val="0"/>
          <w:marRight w:val="0"/>
          <w:marTop w:val="0"/>
          <w:marBottom w:val="0"/>
          <w:divBdr>
            <w:top w:val="none" w:sz="0" w:space="0" w:color="auto"/>
            <w:left w:val="none" w:sz="0" w:space="0" w:color="auto"/>
            <w:bottom w:val="none" w:sz="0" w:space="0" w:color="auto"/>
            <w:right w:val="none" w:sz="0" w:space="0" w:color="auto"/>
          </w:divBdr>
          <w:divsChild>
            <w:div w:id="1264075451">
              <w:marLeft w:val="0"/>
              <w:marRight w:val="0"/>
              <w:marTop w:val="0"/>
              <w:marBottom w:val="0"/>
              <w:divBdr>
                <w:top w:val="none" w:sz="0" w:space="0" w:color="auto"/>
                <w:left w:val="none" w:sz="0" w:space="0" w:color="auto"/>
                <w:bottom w:val="none" w:sz="0" w:space="0" w:color="auto"/>
                <w:right w:val="none" w:sz="0" w:space="0" w:color="auto"/>
              </w:divBdr>
            </w:div>
          </w:divsChild>
        </w:div>
        <w:div w:id="1143885824">
          <w:marLeft w:val="0"/>
          <w:marRight w:val="0"/>
          <w:marTop w:val="0"/>
          <w:marBottom w:val="0"/>
          <w:divBdr>
            <w:top w:val="none" w:sz="0" w:space="0" w:color="auto"/>
            <w:left w:val="none" w:sz="0" w:space="0" w:color="auto"/>
            <w:bottom w:val="none" w:sz="0" w:space="0" w:color="auto"/>
            <w:right w:val="none" w:sz="0" w:space="0" w:color="auto"/>
          </w:divBdr>
        </w:div>
        <w:div w:id="1196383287">
          <w:marLeft w:val="0"/>
          <w:marRight w:val="0"/>
          <w:marTop w:val="0"/>
          <w:marBottom w:val="0"/>
          <w:divBdr>
            <w:top w:val="none" w:sz="0" w:space="0" w:color="auto"/>
            <w:left w:val="none" w:sz="0" w:space="0" w:color="auto"/>
            <w:bottom w:val="none" w:sz="0" w:space="0" w:color="auto"/>
            <w:right w:val="none" w:sz="0" w:space="0" w:color="auto"/>
          </w:divBdr>
        </w:div>
        <w:div w:id="1405764388">
          <w:marLeft w:val="0"/>
          <w:marRight w:val="0"/>
          <w:marTop w:val="0"/>
          <w:marBottom w:val="0"/>
          <w:divBdr>
            <w:top w:val="none" w:sz="0" w:space="0" w:color="auto"/>
            <w:left w:val="none" w:sz="0" w:space="0" w:color="auto"/>
            <w:bottom w:val="none" w:sz="0" w:space="0" w:color="auto"/>
            <w:right w:val="none" w:sz="0" w:space="0" w:color="auto"/>
          </w:divBdr>
        </w:div>
        <w:div w:id="1616986619">
          <w:marLeft w:val="0"/>
          <w:marRight w:val="0"/>
          <w:marTop w:val="0"/>
          <w:marBottom w:val="0"/>
          <w:divBdr>
            <w:top w:val="none" w:sz="0" w:space="0" w:color="auto"/>
            <w:left w:val="none" w:sz="0" w:space="0" w:color="auto"/>
            <w:bottom w:val="none" w:sz="0" w:space="0" w:color="auto"/>
            <w:right w:val="none" w:sz="0" w:space="0" w:color="auto"/>
          </w:divBdr>
        </w:div>
      </w:divsChild>
    </w:div>
    <w:div w:id="544829177">
      <w:bodyDiv w:val="1"/>
      <w:marLeft w:val="0"/>
      <w:marRight w:val="0"/>
      <w:marTop w:val="0"/>
      <w:marBottom w:val="0"/>
      <w:divBdr>
        <w:top w:val="none" w:sz="0" w:space="0" w:color="auto"/>
        <w:left w:val="none" w:sz="0" w:space="0" w:color="auto"/>
        <w:bottom w:val="none" w:sz="0" w:space="0" w:color="auto"/>
        <w:right w:val="none" w:sz="0" w:space="0" w:color="auto"/>
      </w:divBdr>
    </w:div>
    <w:div w:id="649015728">
      <w:bodyDiv w:val="1"/>
      <w:marLeft w:val="0"/>
      <w:marRight w:val="0"/>
      <w:marTop w:val="0"/>
      <w:marBottom w:val="0"/>
      <w:divBdr>
        <w:top w:val="none" w:sz="0" w:space="0" w:color="auto"/>
        <w:left w:val="none" w:sz="0" w:space="0" w:color="auto"/>
        <w:bottom w:val="none" w:sz="0" w:space="0" w:color="auto"/>
        <w:right w:val="none" w:sz="0" w:space="0" w:color="auto"/>
      </w:divBdr>
    </w:div>
    <w:div w:id="682901090">
      <w:bodyDiv w:val="1"/>
      <w:marLeft w:val="0"/>
      <w:marRight w:val="0"/>
      <w:marTop w:val="0"/>
      <w:marBottom w:val="0"/>
      <w:divBdr>
        <w:top w:val="none" w:sz="0" w:space="0" w:color="auto"/>
        <w:left w:val="none" w:sz="0" w:space="0" w:color="auto"/>
        <w:bottom w:val="none" w:sz="0" w:space="0" w:color="auto"/>
        <w:right w:val="none" w:sz="0" w:space="0" w:color="auto"/>
      </w:divBdr>
      <w:divsChild>
        <w:div w:id="69892909">
          <w:marLeft w:val="0"/>
          <w:marRight w:val="0"/>
          <w:marTop w:val="0"/>
          <w:marBottom w:val="0"/>
          <w:divBdr>
            <w:top w:val="none" w:sz="0" w:space="0" w:color="auto"/>
            <w:left w:val="none" w:sz="0" w:space="0" w:color="auto"/>
            <w:bottom w:val="none" w:sz="0" w:space="0" w:color="auto"/>
            <w:right w:val="none" w:sz="0" w:space="0" w:color="auto"/>
          </w:divBdr>
        </w:div>
      </w:divsChild>
    </w:div>
    <w:div w:id="701588730">
      <w:bodyDiv w:val="1"/>
      <w:marLeft w:val="0"/>
      <w:marRight w:val="0"/>
      <w:marTop w:val="0"/>
      <w:marBottom w:val="0"/>
      <w:divBdr>
        <w:top w:val="none" w:sz="0" w:space="0" w:color="auto"/>
        <w:left w:val="none" w:sz="0" w:space="0" w:color="auto"/>
        <w:bottom w:val="none" w:sz="0" w:space="0" w:color="auto"/>
        <w:right w:val="none" w:sz="0" w:space="0" w:color="auto"/>
      </w:divBdr>
      <w:divsChild>
        <w:div w:id="312683064">
          <w:marLeft w:val="0"/>
          <w:marRight w:val="0"/>
          <w:marTop w:val="0"/>
          <w:marBottom w:val="0"/>
          <w:divBdr>
            <w:top w:val="none" w:sz="0" w:space="0" w:color="auto"/>
            <w:left w:val="none" w:sz="0" w:space="0" w:color="auto"/>
            <w:bottom w:val="none" w:sz="0" w:space="0" w:color="auto"/>
            <w:right w:val="none" w:sz="0" w:space="0" w:color="auto"/>
          </w:divBdr>
        </w:div>
      </w:divsChild>
    </w:div>
    <w:div w:id="725447801">
      <w:bodyDiv w:val="1"/>
      <w:marLeft w:val="0"/>
      <w:marRight w:val="0"/>
      <w:marTop w:val="0"/>
      <w:marBottom w:val="0"/>
      <w:divBdr>
        <w:top w:val="none" w:sz="0" w:space="0" w:color="auto"/>
        <w:left w:val="none" w:sz="0" w:space="0" w:color="auto"/>
        <w:bottom w:val="none" w:sz="0" w:space="0" w:color="auto"/>
        <w:right w:val="none" w:sz="0" w:space="0" w:color="auto"/>
      </w:divBdr>
      <w:divsChild>
        <w:div w:id="792986600">
          <w:marLeft w:val="0"/>
          <w:marRight w:val="0"/>
          <w:marTop w:val="0"/>
          <w:marBottom w:val="0"/>
          <w:divBdr>
            <w:top w:val="none" w:sz="0" w:space="0" w:color="auto"/>
            <w:left w:val="none" w:sz="0" w:space="0" w:color="auto"/>
            <w:bottom w:val="none" w:sz="0" w:space="0" w:color="auto"/>
            <w:right w:val="none" w:sz="0" w:space="0" w:color="auto"/>
          </w:divBdr>
        </w:div>
        <w:div w:id="1925451201">
          <w:marLeft w:val="0"/>
          <w:marRight w:val="0"/>
          <w:marTop w:val="0"/>
          <w:marBottom w:val="0"/>
          <w:divBdr>
            <w:top w:val="none" w:sz="0" w:space="0" w:color="auto"/>
            <w:left w:val="none" w:sz="0" w:space="0" w:color="auto"/>
            <w:bottom w:val="none" w:sz="0" w:space="0" w:color="auto"/>
            <w:right w:val="none" w:sz="0" w:space="0" w:color="auto"/>
          </w:divBdr>
        </w:div>
      </w:divsChild>
    </w:div>
    <w:div w:id="816722905">
      <w:bodyDiv w:val="1"/>
      <w:marLeft w:val="0"/>
      <w:marRight w:val="0"/>
      <w:marTop w:val="0"/>
      <w:marBottom w:val="0"/>
      <w:divBdr>
        <w:top w:val="none" w:sz="0" w:space="0" w:color="auto"/>
        <w:left w:val="none" w:sz="0" w:space="0" w:color="auto"/>
        <w:bottom w:val="none" w:sz="0" w:space="0" w:color="auto"/>
        <w:right w:val="none" w:sz="0" w:space="0" w:color="auto"/>
      </w:divBdr>
    </w:div>
    <w:div w:id="881938263">
      <w:bodyDiv w:val="1"/>
      <w:marLeft w:val="0"/>
      <w:marRight w:val="0"/>
      <w:marTop w:val="0"/>
      <w:marBottom w:val="0"/>
      <w:divBdr>
        <w:top w:val="none" w:sz="0" w:space="0" w:color="auto"/>
        <w:left w:val="none" w:sz="0" w:space="0" w:color="auto"/>
        <w:bottom w:val="none" w:sz="0" w:space="0" w:color="auto"/>
        <w:right w:val="none" w:sz="0" w:space="0" w:color="auto"/>
      </w:divBdr>
      <w:divsChild>
        <w:div w:id="816459390">
          <w:marLeft w:val="0"/>
          <w:marRight w:val="0"/>
          <w:marTop w:val="0"/>
          <w:marBottom w:val="0"/>
          <w:divBdr>
            <w:top w:val="none" w:sz="0" w:space="0" w:color="auto"/>
            <w:left w:val="none" w:sz="0" w:space="0" w:color="auto"/>
            <w:bottom w:val="none" w:sz="0" w:space="0" w:color="auto"/>
            <w:right w:val="none" w:sz="0" w:space="0" w:color="auto"/>
          </w:divBdr>
          <w:divsChild>
            <w:div w:id="537473802">
              <w:marLeft w:val="0"/>
              <w:marRight w:val="0"/>
              <w:marTop w:val="0"/>
              <w:marBottom w:val="0"/>
              <w:divBdr>
                <w:top w:val="none" w:sz="0" w:space="0" w:color="auto"/>
                <w:left w:val="none" w:sz="0" w:space="0" w:color="auto"/>
                <w:bottom w:val="none" w:sz="0" w:space="0" w:color="auto"/>
                <w:right w:val="none" w:sz="0" w:space="0" w:color="auto"/>
              </w:divBdr>
              <w:divsChild>
                <w:div w:id="5848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37919">
      <w:bodyDiv w:val="1"/>
      <w:marLeft w:val="0"/>
      <w:marRight w:val="0"/>
      <w:marTop w:val="0"/>
      <w:marBottom w:val="0"/>
      <w:divBdr>
        <w:top w:val="none" w:sz="0" w:space="0" w:color="auto"/>
        <w:left w:val="none" w:sz="0" w:space="0" w:color="auto"/>
        <w:bottom w:val="none" w:sz="0" w:space="0" w:color="auto"/>
        <w:right w:val="none" w:sz="0" w:space="0" w:color="auto"/>
      </w:divBdr>
      <w:divsChild>
        <w:div w:id="905139949">
          <w:blockQuote w:val="1"/>
          <w:marLeft w:val="96"/>
          <w:marRight w:val="0"/>
          <w:marTop w:val="0"/>
          <w:marBottom w:val="0"/>
          <w:divBdr>
            <w:top w:val="none" w:sz="0" w:space="0" w:color="auto"/>
            <w:left w:val="single" w:sz="6" w:space="6" w:color="CCCCCC"/>
            <w:bottom w:val="none" w:sz="0" w:space="0" w:color="auto"/>
            <w:right w:val="none" w:sz="0" w:space="0" w:color="auto"/>
          </w:divBdr>
        </w:div>
        <w:div w:id="1536114811">
          <w:marLeft w:val="0"/>
          <w:marRight w:val="0"/>
          <w:marTop w:val="0"/>
          <w:marBottom w:val="0"/>
          <w:divBdr>
            <w:top w:val="none" w:sz="0" w:space="0" w:color="auto"/>
            <w:left w:val="none" w:sz="0" w:space="0" w:color="auto"/>
            <w:bottom w:val="none" w:sz="0" w:space="0" w:color="auto"/>
            <w:right w:val="none" w:sz="0" w:space="0" w:color="auto"/>
          </w:divBdr>
        </w:div>
      </w:divsChild>
    </w:div>
    <w:div w:id="1012561578">
      <w:bodyDiv w:val="1"/>
      <w:marLeft w:val="0"/>
      <w:marRight w:val="0"/>
      <w:marTop w:val="0"/>
      <w:marBottom w:val="0"/>
      <w:divBdr>
        <w:top w:val="none" w:sz="0" w:space="0" w:color="auto"/>
        <w:left w:val="none" w:sz="0" w:space="0" w:color="auto"/>
        <w:bottom w:val="none" w:sz="0" w:space="0" w:color="auto"/>
        <w:right w:val="none" w:sz="0" w:space="0" w:color="auto"/>
      </w:divBdr>
      <w:divsChild>
        <w:div w:id="1028995401">
          <w:marLeft w:val="0"/>
          <w:marRight w:val="0"/>
          <w:marTop w:val="0"/>
          <w:marBottom w:val="0"/>
          <w:divBdr>
            <w:top w:val="none" w:sz="0" w:space="0" w:color="auto"/>
            <w:left w:val="none" w:sz="0" w:space="0" w:color="auto"/>
            <w:bottom w:val="none" w:sz="0" w:space="0" w:color="auto"/>
            <w:right w:val="none" w:sz="0" w:space="0" w:color="auto"/>
          </w:divBdr>
          <w:divsChild>
            <w:div w:id="801195445">
              <w:marLeft w:val="0"/>
              <w:marRight w:val="0"/>
              <w:marTop w:val="0"/>
              <w:marBottom w:val="0"/>
              <w:divBdr>
                <w:top w:val="none" w:sz="0" w:space="0" w:color="auto"/>
                <w:left w:val="none" w:sz="0" w:space="0" w:color="auto"/>
                <w:bottom w:val="none" w:sz="0" w:space="0" w:color="auto"/>
                <w:right w:val="none" w:sz="0" w:space="0" w:color="auto"/>
              </w:divBdr>
              <w:divsChild>
                <w:div w:id="18976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8541">
          <w:marLeft w:val="0"/>
          <w:marRight w:val="0"/>
          <w:marTop w:val="0"/>
          <w:marBottom w:val="0"/>
          <w:divBdr>
            <w:top w:val="none" w:sz="0" w:space="0" w:color="auto"/>
            <w:left w:val="none" w:sz="0" w:space="0" w:color="auto"/>
            <w:bottom w:val="none" w:sz="0" w:space="0" w:color="auto"/>
            <w:right w:val="none" w:sz="0" w:space="0" w:color="auto"/>
          </w:divBdr>
          <w:divsChild>
            <w:div w:id="265815446">
              <w:marLeft w:val="0"/>
              <w:marRight w:val="0"/>
              <w:marTop w:val="0"/>
              <w:marBottom w:val="0"/>
              <w:divBdr>
                <w:top w:val="none" w:sz="0" w:space="0" w:color="auto"/>
                <w:left w:val="none" w:sz="0" w:space="0" w:color="auto"/>
                <w:bottom w:val="none" w:sz="0" w:space="0" w:color="auto"/>
                <w:right w:val="none" w:sz="0" w:space="0" w:color="auto"/>
              </w:divBdr>
              <w:divsChild>
                <w:div w:id="1352145875">
                  <w:marLeft w:val="0"/>
                  <w:marRight w:val="0"/>
                  <w:marTop w:val="0"/>
                  <w:marBottom w:val="0"/>
                  <w:divBdr>
                    <w:top w:val="none" w:sz="0" w:space="0" w:color="auto"/>
                    <w:left w:val="none" w:sz="0" w:space="0" w:color="auto"/>
                    <w:bottom w:val="none" w:sz="0" w:space="0" w:color="auto"/>
                    <w:right w:val="none" w:sz="0" w:space="0" w:color="auto"/>
                  </w:divBdr>
                  <w:divsChild>
                    <w:div w:id="225533393">
                      <w:marLeft w:val="0"/>
                      <w:marRight w:val="0"/>
                      <w:marTop w:val="0"/>
                      <w:marBottom w:val="0"/>
                      <w:divBdr>
                        <w:top w:val="none" w:sz="0" w:space="0" w:color="auto"/>
                        <w:left w:val="none" w:sz="0" w:space="0" w:color="auto"/>
                        <w:bottom w:val="none" w:sz="0" w:space="0" w:color="auto"/>
                        <w:right w:val="none" w:sz="0" w:space="0" w:color="auto"/>
                      </w:divBdr>
                      <w:divsChild>
                        <w:div w:id="7619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89146">
      <w:bodyDiv w:val="1"/>
      <w:marLeft w:val="0"/>
      <w:marRight w:val="0"/>
      <w:marTop w:val="0"/>
      <w:marBottom w:val="0"/>
      <w:divBdr>
        <w:top w:val="none" w:sz="0" w:space="0" w:color="auto"/>
        <w:left w:val="none" w:sz="0" w:space="0" w:color="auto"/>
        <w:bottom w:val="none" w:sz="0" w:space="0" w:color="auto"/>
        <w:right w:val="none" w:sz="0" w:space="0" w:color="auto"/>
      </w:divBdr>
      <w:divsChild>
        <w:div w:id="39792671">
          <w:marLeft w:val="0"/>
          <w:marRight w:val="0"/>
          <w:marTop w:val="0"/>
          <w:marBottom w:val="0"/>
          <w:divBdr>
            <w:top w:val="none" w:sz="0" w:space="0" w:color="auto"/>
            <w:left w:val="none" w:sz="0" w:space="0" w:color="auto"/>
            <w:bottom w:val="none" w:sz="0" w:space="0" w:color="auto"/>
            <w:right w:val="none" w:sz="0" w:space="0" w:color="auto"/>
          </w:divBdr>
        </w:div>
        <w:div w:id="1250313094">
          <w:marLeft w:val="0"/>
          <w:marRight w:val="0"/>
          <w:marTop w:val="0"/>
          <w:marBottom w:val="0"/>
          <w:divBdr>
            <w:top w:val="none" w:sz="0" w:space="0" w:color="auto"/>
            <w:left w:val="none" w:sz="0" w:space="0" w:color="auto"/>
            <w:bottom w:val="none" w:sz="0" w:space="0" w:color="auto"/>
            <w:right w:val="none" w:sz="0" w:space="0" w:color="auto"/>
          </w:divBdr>
        </w:div>
      </w:divsChild>
    </w:div>
    <w:div w:id="1124618355">
      <w:bodyDiv w:val="1"/>
      <w:marLeft w:val="0"/>
      <w:marRight w:val="0"/>
      <w:marTop w:val="0"/>
      <w:marBottom w:val="0"/>
      <w:divBdr>
        <w:top w:val="none" w:sz="0" w:space="0" w:color="auto"/>
        <w:left w:val="none" w:sz="0" w:space="0" w:color="auto"/>
        <w:bottom w:val="none" w:sz="0" w:space="0" w:color="auto"/>
        <w:right w:val="none" w:sz="0" w:space="0" w:color="auto"/>
      </w:divBdr>
    </w:div>
    <w:div w:id="1129930631">
      <w:bodyDiv w:val="1"/>
      <w:marLeft w:val="0"/>
      <w:marRight w:val="0"/>
      <w:marTop w:val="0"/>
      <w:marBottom w:val="0"/>
      <w:divBdr>
        <w:top w:val="none" w:sz="0" w:space="0" w:color="auto"/>
        <w:left w:val="none" w:sz="0" w:space="0" w:color="auto"/>
        <w:bottom w:val="none" w:sz="0" w:space="0" w:color="auto"/>
        <w:right w:val="none" w:sz="0" w:space="0" w:color="auto"/>
      </w:divBdr>
      <w:divsChild>
        <w:div w:id="464200842">
          <w:blockQuote w:val="1"/>
          <w:marLeft w:val="96"/>
          <w:marRight w:val="0"/>
          <w:marTop w:val="0"/>
          <w:marBottom w:val="0"/>
          <w:divBdr>
            <w:top w:val="none" w:sz="0" w:space="0" w:color="auto"/>
            <w:left w:val="single" w:sz="6" w:space="6" w:color="CCCCCC"/>
            <w:bottom w:val="none" w:sz="0" w:space="0" w:color="auto"/>
            <w:right w:val="none" w:sz="0" w:space="0" w:color="auto"/>
          </w:divBdr>
        </w:div>
        <w:div w:id="1560166082">
          <w:marLeft w:val="0"/>
          <w:marRight w:val="0"/>
          <w:marTop w:val="0"/>
          <w:marBottom w:val="0"/>
          <w:divBdr>
            <w:top w:val="none" w:sz="0" w:space="0" w:color="auto"/>
            <w:left w:val="none" w:sz="0" w:space="0" w:color="auto"/>
            <w:bottom w:val="none" w:sz="0" w:space="0" w:color="auto"/>
            <w:right w:val="none" w:sz="0" w:space="0" w:color="auto"/>
          </w:divBdr>
        </w:div>
      </w:divsChild>
    </w:div>
    <w:div w:id="1133600230">
      <w:bodyDiv w:val="1"/>
      <w:marLeft w:val="0"/>
      <w:marRight w:val="0"/>
      <w:marTop w:val="0"/>
      <w:marBottom w:val="0"/>
      <w:divBdr>
        <w:top w:val="none" w:sz="0" w:space="0" w:color="auto"/>
        <w:left w:val="none" w:sz="0" w:space="0" w:color="auto"/>
        <w:bottom w:val="none" w:sz="0" w:space="0" w:color="auto"/>
        <w:right w:val="none" w:sz="0" w:space="0" w:color="auto"/>
      </w:divBdr>
    </w:div>
    <w:div w:id="1151944498">
      <w:bodyDiv w:val="1"/>
      <w:marLeft w:val="0"/>
      <w:marRight w:val="0"/>
      <w:marTop w:val="0"/>
      <w:marBottom w:val="0"/>
      <w:divBdr>
        <w:top w:val="none" w:sz="0" w:space="0" w:color="auto"/>
        <w:left w:val="none" w:sz="0" w:space="0" w:color="auto"/>
        <w:bottom w:val="none" w:sz="0" w:space="0" w:color="auto"/>
        <w:right w:val="none" w:sz="0" w:space="0" w:color="auto"/>
      </w:divBdr>
      <w:divsChild>
        <w:div w:id="522400506">
          <w:marLeft w:val="0"/>
          <w:marRight w:val="0"/>
          <w:marTop w:val="0"/>
          <w:marBottom w:val="0"/>
          <w:divBdr>
            <w:top w:val="none" w:sz="0" w:space="0" w:color="auto"/>
            <w:left w:val="none" w:sz="0" w:space="0" w:color="auto"/>
            <w:bottom w:val="none" w:sz="0" w:space="0" w:color="auto"/>
            <w:right w:val="none" w:sz="0" w:space="0" w:color="auto"/>
          </w:divBdr>
        </w:div>
      </w:divsChild>
    </w:div>
    <w:div w:id="1164127719">
      <w:bodyDiv w:val="1"/>
      <w:marLeft w:val="0"/>
      <w:marRight w:val="0"/>
      <w:marTop w:val="0"/>
      <w:marBottom w:val="0"/>
      <w:divBdr>
        <w:top w:val="none" w:sz="0" w:space="0" w:color="auto"/>
        <w:left w:val="none" w:sz="0" w:space="0" w:color="auto"/>
        <w:bottom w:val="none" w:sz="0" w:space="0" w:color="auto"/>
        <w:right w:val="none" w:sz="0" w:space="0" w:color="auto"/>
      </w:divBdr>
      <w:divsChild>
        <w:div w:id="915359937">
          <w:marLeft w:val="0"/>
          <w:marRight w:val="0"/>
          <w:marTop w:val="0"/>
          <w:marBottom w:val="0"/>
          <w:divBdr>
            <w:top w:val="none" w:sz="0" w:space="0" w:color="auto"/>
            <w:left w:val="none" w:sz="0" w:space="0" w:color="auto"/>
            <w:bottom w:val="none" w:sz="0" w:space="0" w:color="auto"/>
            <w:right w:val="none" w:sz="0" w:space="0" w:color="auto"/>
          </w:divBdr>
          <w:divsChild>
            <w:div w:id="317392978">
              <w:marLeft w:val="0"/>
              <w:marRight w:val="0"/>
              <w:marTop w:val="0"/>
              <w:marBottom w:val="0"/>
              <w:divBdr>
                <w:top w:val="none" w:sz="0" w:space="0" w:color="auto"/>
                <w:left w:val="none" w:sz="0" w:space="0" w:color="auto"/>
                <w:bottom w:val="none" w:sz="0" w:space="0" w:color="auto"/>
                <w:right w:val="none" w:sz="0" w:space="0" w:color="auto"/>
              </w:divBdr>
              <w:divsChild>
                <w:div w:id="246579019">
                  <w:marLeft w:val="0"/>
                  <w:marRight w:val="0"/>
                  <w:marTop w:val="0"/>
                  <w:marBottom w:val="0"/>
                  <w:divBdr>
                    <w:top w:val="none" w:sz="0" w:space="0" w:color="auto"/>
                    <w:left w:val="none" w:sz="0" w:space="0" w:color="auto"/>
                    <w:bottom w:val="none" w:sz="0" w:space="0" w:color="auto"/>
                    <w:right w:val="none" w:sz="0" w:space="0" w:color="auto"/>
                  </w:divBdr>
                </w:div>
                <w:div w:id="1396052637">
                  <w:marLeft w:val="0"/>
                  <w:marRight w:val="0"/>
                  <w:marTop w:val="0"/>
                  <w:marBottom w:val="0"/>
                  <w:divBdr>
                    <w:top w:val="none" w:sz="0" w:space="0" w:color="auto"/>
                    <w:left w:val="none" w:sz="0" w:space="0" w:color="auto"/>
                    <w:bottom w:val="none" w:sz="0" w:space="0" w:color="auto"/>
                    <w:right w:val="none" w:sz="0" w:space="0" w:color="auto"/>
                  </w:divBdr>
                </w:div>
              </w:divsChild>
            </w:div>
            <w:div w:id="1405178141">
              <w:marLeft w:val="0"/>
              <w:marRight w:val="0"/>
              <w:marTop w:val="0"/>
              <w:marBottom w:val="0"/>
              <w:divBdr>
                <w:top w:val="none" w:sz="0" w:space="0" w:color="auto"/>
                <w:left w:val="none" w:sz="0" w:space="0" w:color="auto"/>
                <w:bottom w:val="none" w:sz="0" w:space="0" w:color="auto"/>
                <w:right w:val="none" w:sz="0" w:space="0" w:color="auto"/>
              </w:divBdr>
              <w:divsChild>
                <w:div w:id="437800350">
                  <w:marLeft w:val="0"/>
                  <w:marRight w:val="0"/>
                  <w:marTop w:val="0"/>
                  <w:marBottom w:val="0"/>
                  <w:divBdr>
                    <w:top w:val="none" w:sz="0" w:space="0" w:color="auto"/>
                    <w:left w:val="none" w:sz="0" w:space="0" w:color="auto"/>
                    <w:bottom w:val="none" w:sz="0" w:space="0" w:color="auto"/>
                    <w:right w:val="none" w:sz="0" w:space="0" w:color="auto"/>
                  </w:divBdr>
                  <w:divsChild>
                    <w:div w:id="649216319">
                      <w:marLeft w:val="0"/>
                      <w:marRight w:val="0"/>
                      <w:marTop w:val="0"/>
                      <w:marBottom w:val="0"/>
                      <w:divBdr>
                        <w:top w:val="none" w:sz="0" w:space="0" w:color="auto"/>
                        <w:left w:val="none" w:sz="0" w:space="0" w:color="auto"/>
                        <w:bottom w:val="none" w:sz="0" w:space="0" w:color="auto"/>
                        <w:right w:val="none" w:sz="0" w:space="0" w:color="auto"/>
                      </w:divBdr>
                    </w:div>
                    <w:div w:id="13649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62152">
          <w:marLeft w:val="0"/>
          <w:marRight w:val="0"/>
          <w:marTop w:val="0"/>
          <w:marBottom w:val="0"/>
          <w:divBdr>
            <w:top w:val="none" w:sz="0" w:space="0" w:color="auto"/>
            <w:left w:val="none" w:sz="0" w:space="0" w:color="auto"/>
            <w:bottom w:val="none" w:sz="0" w:space="0" w:color="auto"/>
            <w:right w:val="none" w:sz="0" w:space="0" w:color="auto"/>
          </w:divBdr>
          <w:divsChild>
            <w:div w:id="6603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40429">
      <w:bodyDiv w:val="1"/>
      <w:marLeft w:val="0"/>
      <w:marRight w:val="0"/>
      <w:marTop w:val="0"/>
      <w:marBottom w:val="0"/>
      <w:divBdr>
        <w:top w:val="none" w:sz="0" w:space="0" w:color="auto"/>
        <w:left w:val="none" w:sz="0" w:space="0" w:color="auto"/>
        <w:bottom w:val="none" w:sz="0" w:space="0" w:color="auto"/>
        <w:right w:val="none" w:sz="0" w:space="0" w:color="auto"/>
      </w:divBdr>
      <w:divsChild>
        <w:div w:id="395203154">
          <w:marLeft w:val="0"/>
          <w:marRight w:val="0"/>
          <w:marTop w:val="0"/>
          <w:marBottom w:val="0"/>
          <w:divBdr>
            <w:top w:val="none" w:sz="0" w:space="0" w:color="auto"/>
            <w:left w:val="none" w:sz="0" w:space="0" w:color="auto"/>
            <w:bottom w:val="none" w:sz="0" w:space="0" w:color="auto"/>
            <w:right w:val="none" w:sz="0" w:space="0" w:color="auto"/>
          </w:divBdr>
          <w:divsChild>
            <w:div w:id="707341496">
              <w:marLeft w:val="0"/>
              <w:marRight w:val="0"/>
              <w:marTop w:val="0"/>
              <w:marBottom w:val="0"/>
              <w:divBdr>
                <w:top w:val="none" w:sz="0" w:space="0" w:color="auto"/>
                <w:left w:val="none" w:sz="0" w:space="0" w:color="auto"/>
                <w:bottom w:val="none" w:sz="0" w:space="0" w:color="auto"/>
                <w:right w:val="none" w:sz="0" w:space="0" w:color="auto"/>
              </w:divBdr>
              <w:divsChild>
                <w:div w:id="8662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93247">
      <w:bodyDiv w:val="1"/>
      <w:marLeft w:val="0"/>
      <w:marRight w:val="0"/>
      <w:marTop w:val="0"/>
      <w:marBottom w:val="0"/>
      <w:divBdr>
        <w:top w:val="none" w:sz="0" w:space="0" w:color="auto"/>
        <w:left w:val="none" w:sz="0" w:space="0" w:color="auto"/>
        <w:bottom w:val="none" w:sz="0" w:space="0" w:color="auto"/>
        <w:right w:val="none" w:sz="0" w:space="0" w:color="auto"/>
      </w:divBdr>
      <w:divsChild>
        <w:div w:id="580912699">
          <w:marLeft w:val="0"/>
          <w:marRight w:val="0"/>
          <w:marTop w:val="0"/>
          <w:marBottom w:val="0"/>
          <w:divBdr>
            <w:top w:val="none" w:sz="0" w:space="0" w:color="auto"/>
            <w:left w:val="none" w:sz="0" w:space="0" w:color="auto"/>
            <w:bottom w:val="none" w:sz="0" w:space="0" w:color="auto"/>
            <w:right w:val="none" w:sz="0" w:space="0" w:color="auto"/>
          </w:divBdr>
        </w:div>
        <w:div w:id="1164587560">
          <w:marLeft w:val="0"/>
          <w:marRight w:val="0"/>
          <w:marTop w:val="0"/>
          <w:marBottom w:val="0"/>
          <w:divBdr>
            <w:top w:val="none" w:sz="0" w:space="0" w:color="auto"/>
            <w:left w:val="none" w:sz="0" w:space="0" w:color="auto"/>
            <w:bottom w:val="none" w:sz="0" w:space="0" w:color="auto"/>
            <w:right w:val="none" w:sz="0" w:space="0" w:color="auto"/>
          </w:divBdr>
        </w:div>
        <w:div w:id="2110929315">
          <w:marLeft w:val="0"/>
          <w:marRight w:val="0"/>
          <w:marTop w:val="0"/>
          <w:marBottom w:val="0"/>
          <w:divBdr>
            <w:top w:val="none" w:sz="0" w:space="0" w:color="auto"/>
            <w:left w:val="none" w:sz="0" w:space="0" w:color="auto"/>
            <w:bottom w:val="none" w:sz="0" w:space="0" w:color="auto"/>
            <w:right w:val="none" w:sz="0" w:space="0" w:color="auto"/>
          </w:divBdr>
        </w:div>
      </w:divsChild>
    </w:div>
    <w:div w:id="1194029636">
      <w:bodyDiv w:val="1"/>
      <w:marLeft w:val="0"/>
      <w:marRight w:val="0"/>
      <w:marTop w:val="0"/>
      <w:marBottom w:val="0"/>
      <w:divBdr>
        <w:top w:val="none" w:sz="0" w:space="0" w:color="auto"/>
        <w:left w:val="none" w:sz="0" w:space="0" w:color="auto"/>
        <w:bottom w:val="none" w:sz="0" w:space="0" w:color="auto"/>
        <w:right w:val="none" w:sz="0" w:space="0" w:color="auto"/>
      </w:divBdr>
      <w:divsChild>
        <w:div w:id="1090813252">
          <w:marLeft w:val="0"/>
          <w:marRight w:val="0"/>
          <w:marTop w:val="0"/>
          <w:marBottom w:val="0"/>
          <w:divBdr>
            <w:top w:val="none" w:sz="0" w:space="0" w:color="auto"/>
            <w:left w:val="none" w:sz="0" w:space="0" w:color="auto"/>
            <w:bottom w:val="none" w:sz="0" w:space="0" w:color="auto"/>
            <w:right w:val="none" w:sz="0" w:space="0" w:color="auto"/>
          </w:divBdr>
        </w:div>
        <w:div w:id="1140266624">
          <w:marLeft w:val="0"/>
          <w:marRight w:val="0"/>
          <w:marTop w:val="0"/>
          <w:marBottom w:val="0"/>
          <w:divBdr>
            <w:top w:val="none" w:sz="0" w:space="0" w:color="auto"/>
            <w:left w:val="none" w:sz="0" w:space="0" w:color="auto"/>
            <w:bottom w:val="none" w:sz="0" w:space="0" w:color="auto"/>
            <w:right w:val="none" w:sz="0" w:space="0" w:color="auto"/>
          </w:divBdr>
        </w:div>
      </w:divsChild>
    </w:div>
    <w:div w:id="1465536134">
      <w:bodyDiv w:val="1"/>
      <w:marLeft w:val="0"/>
      <w:marRight w:val="0"/>
      <w:marTop w:val="0"/>
      <w:marBottom w:val="0"/>
      <w:divBdr>
        <w:top w:val="none" w:sz="0" w:space="0" w:color="auto"/>
        <w:left w:val="none" w:sz="0" w:space="0" w:color="auto"/>
        <w:bottom w:val="none" w:sz="0" w:space="0" w:color="auto"/>
        <w:right w:val="none" w:sz="0" w:space="0" w:color="auto"/>
      </w:divBdr>
      <w:divsChild>
        <w:div w:id="17901426">
          <w:marLeft w:val="0"/>
          <w:marRight w:val="0"/>
          <w:marTop w:val="0"/>
          <w:marBottom w:val="0"/>
          <w:divBdr>
            <w:top w:val="none" w:sz="0" w:space="0" w:color="auto"/>
            <w:left w:val="none" w:sz="0" w:space="0" w:color="auto"/>
            <w:bottom w:val="none" w:sz="0" w:space="0" w:color="auto"/>
            <w:right w:val="none" w:sz="0" w:space="0" w:color="auto"/>
          </w:divBdr>
        </w:div>
        <w:div w:id="295448336">
          <w:marLeft w:val="0"/>
          <w:marRight w:val="0"/>
          <w:marTop w:val="0"/>
          <w:marBottom w:val="0"/>
          <w:divBdr>
            <w:top w:val="none" w:sz="0" w:space="0" w:color="auto"/>
            <w:left w:val="none" w:sz="0" w:space="0" w:color="auto"/>
            <w:bottom w:val="none" w:sz="0" w:space="0" w:color="auto"/>
            <w:right w:val="none" w:sz="0" w:space="0" w:color="auto"/>
          </w:divBdr>
        </w:div>
        <w:div w:id="1618558923">
          <w:marLeft w:val="0"/>
          <w:marRight w:val="0"/>
          <w:marTop w:val="0"/>
          <w:marBottom w:val="0"/>
          <w:divBdr>
            <w:top w:val="none" w:sz="0" w:space="0" w:color="auto"/>
            <w:left w:val="none" w:sz="0" w:space="0" w:color="auto"/>
            <w:bottom w:val="none" w:sz="0" w:space="0" w:color="auto"/>
            <w:right w:val="none" w:sz="0" w:space="0" w:color="auto"/>
          </w:divBdr>
          <w:divsChild>
            <w:div w:id="348802882">
              <w:marLeft w:val="0"/>
              <w:marRight w:val="0"/>
              <w:marTop w:val="0"/>
              <w:marBottom w:val="0"/>
              <w:divBdr>
                <w:top w:val="none" w:sz="0" w:space="0" w:color="auto"/>
                <w:left w:val="none" w:sz="0" w:space="0" w:color="auto"/>
                <w:bottom w:val="none" w:sz="0" w:space="0" w:color="auto"/>
                <w:right w:val="none" w:sz="0" w:space="0" w:color="auto"/>
              </w:divBdr>
            </w:div>
            <w:div w:id="1153906364">
              <w:marLeft w:val="0"/>
              <w:marRight w:val="0"/>
              <w:marTop w:val="0"/>
              <w:marBottom w:val="0"/>
              <w:divBdr>
                <w:top w:val="none" w:sz="0" w:space="0" w:color="auto"/>
                <w:left w:val="none" w:sz="0" w:space="0" w:color="auto"/>
                <w:bottom w:val="none" w:sz="0" w:space="0" w:color="auto"/>
                <w:right w:val="none" w:sz="0" w:space="0" w:color="auto"/>
              </w:divBdr>
            </w:div>
          </w:divsChild>
        </w:div>
        <w:div w:id="1671983109">
          <w:marLeft w:val="0"/>
          <w:marRight w:val="0"/>
          <w:marTop w:val="0"/>
          <w:marBottom w:val="0"/>
          <w:divBdr>
            <w:top w:val="none" w:sz="0" w:space="0" w:color="auto"/>
            <w:left w:val="none" w:sz="0" w:space="0" w:color="auto"/>
            <w:bottom w:val="none" w:sz="0" w:space="0" w:color="auto"/>
            <w:right w:val="none" w:sz="0" w:space="0" w:color="auto"/>
          </w:divBdr>
        </w:div>
      </w:divsChild>
    </w:div>
    <w:div w:id="1547373585">
      <w:bodyDiv w:val="1"/>
      <w:marLeft w:val="0"/>
      <w:marRight w:val="0"/>
      <w:marTop w:val="0"/>
      <w:marBottom w:val="0"/>
      <w:divBdr>
        <w:top w:val="none" w:sz="0" w:space="0" w:color="auto"/>
        <w:left w:val="none" w:sz="0" w:space="0" w:color="auto"/>
        <w:bottom w:val="none" w:sz="0" w:space="0" w:color="auto"/>
        <w:right w:val="none" w:sz="0" w:space="0" w:color="auto"/>
      </w:divBdr>
    </w:div>
    <w:div w:id="1642074536">
      <w:bodyDiv w:val="1"/>
      <w:marLeft w:val="0"/>
      <w:marRight w:val="0"/>
      <w:marTop w:val="0"/>
      <w:marBottom w:val="0"/>
      <w:divBdr>
        <w:top w:val="none" w:sz="0" w:space="0" w:color="auto"/>
        <w:left w:val="none" w:sz="0" w:space="0" w:color="auto"/>
        <w:bottom w:val="none" w:sz="0" w:space="0" w:color="auto"/>
        <w:right w:val="none" w:sz="0" w:space="0" w:color="auto"/>
      </w:divBdr>
      <w:divsChild>
        <w:div w:id="1781021889">
          <w:marLeft w:val="0"/>
          <w:marRight w:val="0"/>
          <w:marTop w:val="0"/>
          <w:marBottom w:val="0"/>
          <w:divBdr>
            <w:top w:val="none" w:sz="0" w:space="0" w:color="auto"/>
            <w:left w:val="none" w:sz="0" w:space="0" w:color="auto"/>
            <w:bottom w:val="none" w:sz="0" w:space="0" w:color="auto"/>
            <w:right w:val="none" w:sz="0" w:space="0" w:color="auto"/>
          </w:divBdr>
          <w:divsChild>
            <w:div w:id="520243321">
              <w:marLeft w:val="0"/>
              <w:marRight w:val="0"/>
              <w:marTop w:val="0"/>
              <w:marBottom w:val="0"/>
              <w:divBdr>
                <w:top w:val="none" w:sz="0" w:space="0" w:color="auto"/>
                <w:left w:val="none" w:sz="0" w:space="0" w:color="auto"/>
                <w:bottom w:val="none" w:sz="0" w:space="0" w:color="auto"/>
                <w:right w:val="none" w:sz="0" w:space="0" w:color="auto"/>
              </w:divBdr>
              <w:divsChild>
                <w:div w:id="1053307801">
                  <w:marLeft w:val="0"/>
                  <w:marRight w:val="0"/>
                  <w:marTop w:val="0"/>
                  <w:marBottom w:val="0"/>
                  <w:divBdr>
                    <w:top w:val="none" w:sz="0" w:space="0" w:color="auto"/>
                    <w:left w:val="none" w:sz="0" w:space="0" w:color="auto"/>
                    <w:bottom w:val="none" w:sz="0" w:space="0" w:color="auto"/>
                    <w:right w:val="none" w:sz="0" w:space="0" w:color="auto"/>
                  </w:divBdr>
                  <w:divsChild>
                    <w:div w:id="69887132">
                      <w:marLeft w:val="0"/>
                      <w:marRight w:val="0"/>
                      <w:marTop w:val="0"/>
                      <w:marBottom w:val="0"/>
                      <w:divBdr>
                        <w:top w:val="none" w:sz="0" w:space="0" w:color="auto"/>
                        <w:left w:val="none" w:sz="0" w:space="0" w:color="auto"/>
                        <w:bottom w:val="none" w:sz="0" w:space="0" w:color="auto"/>
                        <w:right w:val="none" w:sz="0" w:space="0" w:color="auto"/>
                      </w:divBdr>
                    </w:div>
                    <w:div w:id="707804380">
                      <w:marLeft w:val="0"/>
                      <w:marRight w:val="0"/>
                      <w:marTop w:val="0"/>
                      <w:marBottom w:val="0"/>
                      <w:divBdr>
                        <w:top w:val="none" w:sz="0" w:space="0" w:color="auto"/>
                        <w:left w:val="none" w:sz="0" w:space="0" w:color="auto"/>
                        <w:bottom w:val="none" w:sz="0" w:space="0" w:color="auto"/>
                        <w:right w:val="none" w:sz="0" w:space="0" w:color="auto"/>
                      </w:divBdr>
                    </w:div>
                    <w:div w:id="1297831395">
                      <w:marLeft w:val="0"/>
                      <w:marRight w:val="0"/>
                      <w:marTop w:val="0"/>
                      <w:marBottom w:val="0"/>
                      <w:divBdr>
                        <w:top w:val="none" w:sz="0" w:space="0" w:color="auto"/>
                        <w:left w:val="none" w:sz="0" w:space="0" w:color="auto"/>
                        <w:bottom w:val="none" w:sz="0" w:space="0" w:color="auto"/>
                        <w:right w:val="none" w:sz="0" w:space="0" w:color="auto"/>
                      </w:divBdr>
                    </w:div>
                    <w:div w:id="1515457879">
                      <w:marLeft w:val="0"/>
                      <w:marRight w:val="0"/>
                      <w:marTop w:val="0"/>
                      <w:marBottom w:val="0"/>
                      <w:divBdr>
                        <w:top w:val="none" w:sz="0" w:space="0" w:color="auto"/>
                        <w:left w:val="none" w:sz="0" w:space="0" w:color="auto"/>
                        <w:bottom w:val="none" w:sz="0" w:space="0" w:color="auto"/>
                        <w:right w:val="none" w:sz="0" w:space="0" w:color="auto"/>
                      </w:divBdr>
                    </w:div>
                    <w:div w:id="1597441217">
                      <w:marLeft w:val="0"/>
                      <w:marRight w:val="0"/>
                      <w:marTop w:val="0"/>
                      <w:marBottom w:val="0"/>
                      <w:divBdr>
                        <w:top w:val="none" w:sz="0" w:space="0" w:color="auto"/>
                        <w:left w:val="none" w:sz="0" w:space="0" w:color="auto"/>
                        <w:bottom w:val="none" w:sz="0" w:space="0" w:color="auto"/>
                        <w:right w:val="none" w:sz="0" w:space="0" w:color="auto"/>
                      </w:divBdr>
                    </w:div>
                    <w:div w:id="1785343504">
                      <w:marLeft w:val="0"/>
                      <w:marRight w:val="0"/>
                      <w:marTop w:val="0"/>
                      <w:marBottom w:val="0"/>
                      <w:divBdr>
                        <w:top w:val="none" w:sz="0" w:space="0" w:color="auto"/>
                        <w:left w:val="none" w:sz="0" w:space="0" w:color="auto"/>
                        <w:bottom w:val="none" w:sz="0" w:space="0" w:color="auto"/>
                        <w:right w:val="none" w:sz="0" w:space="0" w:color="auto"/>
                      </w:divBdr>
                    </w:div>
                    <w:div w:id="19512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07278">
      <w:bodyDiv w:val="1"/>
      <w:marLeft w:val="0"/>
      <w:marRight w:val="0"/>
      <w:marTop w:val="0"/>
      <w:marBottom w:val="0"/>
      <w:divBdr>
        <w:top w:val="none" w:sz="0" w:space="0" w:color="auto"/>
        <w:left w:val="none" w:sz="0" w:space="0" w:color="auto"/>
        <w:bottom w:val="none" w:sz="0" w:space="0" w:color="auto"/>
        <w:right w:val="none" w:sz="0" w:space="0" w:color="auto"/>
      </w:divBdr>
      <w:divsChild>
        <w:div w:id="299580820">
          <w:marLeft w:val="0"/>
          <w:marRight w:val="0"/>
          <w:marTop w:val="0"/>
          <w:marBottom w:val="0"/>
          <w:divBdr>
            <w:top w:val="none" w:sz="0" w:space="0" w:color="auto"/>
            <w:left w:val="none" w:sz="0" w:space="0" w:color="auto"/>
            <w:bottom w:val="none" w:sz="0" w:space="0" w:color="auto"/>
            <w:right w:val="none" w:sz="0" w:space="0" w:color="auto"/>
          </w:divBdr>
          <w:divsChild>
            <w:div w:id="914124074">
              <w:marLeft w:val="0"/>
              <w:marRight w:val="0"/>
              <w:marTop w:val="0"/>
              <w:marBottom w:val="0"/>
              <w:divBdr>
                <w:top w:val="none" w:sz="0" w:space="0" w:color="auto"/>
                <w:left w:val="none" w:sz="0" w:space="0" w:color="auto"/>
                <w:bottom w:val="none" w:sz="0" w:space="0" w:color="auto"/>
                <w:right w:val="none" w:sz="0" w:space="0" w:color="auto"/>
              </w:divBdr>
              <w:divsChild>
                <w:div w:id="797189451">
                  <w:marLeft w:val="0"/>
                  <w:marRight w:val="0"/>
                  <w:marTop w:val="0"/>
                  <w:marBottom w:val="0"/>
                  <w:divBdr>
                    <w:top w:val="none" w:sz="0" w:space="0" w:color="auto"/>
                    <w:left w:val="none" w:sz="0" w:space="0" w:color="auto"/>
                    <w:bottom w:val="none" w:sz="0" w:space="0" w:color="auto"/>
                    <w:right w:val="none" w:sz="0" w:space="0" w:color="auto"/>
                  </w:divBdr>
                  <w:divsChild>
                    <w:div w:id="12933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40617">
      <w:bodyDiv w:val="1"/>
      <w:marLeft w:val="0"/>
      <w:marRight w:val="0"/>
      <w:marTop w:val="0"/>
      <w:marBottom w:val="0"/>
      <w:divBdr>
        <w:top w:val="none" w:sz="0" w:space="0" w:color="auto"/>
        <w:left w:val="none" w:sz="0" w:space="0" w:color="auto"/>
        <w:bottom w:val="none" w:sz="0" w:space="0" w:color="auto"/>
        <w:right w:val="none" w:sz="0" w:space="0" w:color="auto"/>
      </w:divBdr>
      <w:divsChild>
        <w:div w:id="1329551852">
          <w:marLeft w:val="0"/>
          <w:marRight w:val="0"/>
          <w:marTop w:val="0"/>
          <w:marBottom w:val="0"/>
          <w:divBdr>
            <w:top w:val="none" w:sz="0" w:space="0" w:color="auto"/>
            <w:left w:val="none" w:sz="0" w:space="0" w:color="auto"/>
            <w:bottom w:val="none" w:sz="0" w:space="0" w:color="auto"/>
            <w:right w:val="none" w:sz="0" w:space="0" w:color="auto"/>
          </w:divBdr>
          <w:divsChild>
            <w:div w:id="914163590">
              <w:marLeft w:val="0"/>
              <w:marRight w:val="0"/>
              <w:marTop w:val="0"/>
              <w:marBottom w:val="0"/>
              <w:divBdr>
                <w:top w:val="none" w:sz="0" w:space="0" w:color="auto"/>
                <w:left w:val="none" w:sz="0" w:space="0" w:color="auto"/>
                <w:bottom w:val="none" w:sz="0" w:space="0" w:color="auto"/>
                <w:right w:val="none" w:sz="0" w:space="0" w:color="auto"/>
              </w:divBdr>
            </w:div>
            <w:div w:id="1401098857">
              <w:marLeft w:val="0"/>
              <w:marRight w:val="0"/>
              <w:marTop w:val="0"/>
              <w:marBottom w:val="0"/>
              <w:divBdr>
                <w:top w:val="none" w:sz="0" w:space="0" w:color="auto"/>
                <w:left w:val="none" w:sz="0" w:space="0" w:color="auto"/>
                <w:bottom w:val="none" w:sz="0" w:space="0" w:color="auto"/>
                <w:right w:val="none" w:sz="0" w:space="0" w:color="auto"/>
              </w:divBdr>
              <w:divsChild>
                <w:div w:id="1935239578">
                  <w:marLeft w:val="0"/>
                  <w:marRight w:val="0"/>
                  <w:marTop w:val="0"/>
                  <w:marBottom w:val="0"/>
                  <w:divBdr>
                    <w:top w:val="none" w:sz="0" w:space="0" w:color="auto"/>
                    <w:left w:val="none" w:sz="0" w:space="0" w:color="auto"/>
                    <w:bottom w:val="none" w:sz="0" w:space="0" w:color="auto"/>
                    <w:right w:val="none" w:sz="0" w:space="0" w:color="auto"/>
                  </w:divBdr>
                  <w:divsChild>
                    <w:div w:id="1794395608">
                      <w:marLeft w:val="0"/>
                      <w:marRight w:val="0"/>
                      <w:marTop w:val="0"/>
                      <w:marBottom w:val="0"/>
                      <w:divBdr>
                        <w:top w:val="none" w:sz="0" w:space="0" w:color="auto"/>
                        <w:left w:val="none" w:sz="0" w:space="0" w:color="auto"/>
                        <w:bottom w:val="none" w:sz="0" w:space="0" w:color="auto"/>
                        <w:right w:val="none" w:sz="0" w:space="0" w:color="auto"/>
                      </w:divBdr>
                      <w:divsChild>
                        <w:div w:id="10748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083">
          <w:marLeft w:val="0"/>
          <w:marRight w:val="0"/>
          <w:marTop w:val="0"/>
          <w:marBottom w:val="0"/>
          <w:divBdr>
            <w:top w:val="none" w:sz="0" w:space="0" w:color="auto"/>
            <w:left w:val="none" w:sz="0" w:space="0" w:color="auto"/>
            <w:bottom w:val="none" w:sz="0" w:space="0" w:color="auto"/>
            <w:right w:val="none" w:sz="0" w:space="0" w:color="auto"/>
          </w:divBdr>
          <w:divsChild>
            <w:div w:id="265113138">
              <w:marLeft w:val="0"/>
              <w:marRight w:val="0"/>
              <w:marTop w:val="0"/>
              <w:marBottom w:val="0"/>
              <w:divBdr>
                <w:top w:val="none" w:sz="0" w:space="0" w:color="auto"/>
                <w:left w:val="none" w:sz="0" w:space="0" w:color="auto"/>
                <w:bottom w:val="none" w:sz="0" w:space="0" w:color="auto"/>
                <w:right w:val="none" w:sz="0" w:space="0" w:color="auto"/>
              </w:divBdr>
              <w:divsChild>
                <w:div w:id="136763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18779">
      <w:bodyDiv w:val="1"/>
      <w:marLeft w:val="0"/>
      <w:marRight w:val="0"/>
      <w:marTop w:val="0"/>
      <w:marBottom w:val="0"/>
      <w:divBdr>
        <w:top w:val="none" w:sz="0" w:space="0" w:color="auto"/>
        <w:left w:val="none" w:sz="0" w:space="0" w:color="auto"/>
        <w:bottom w:val="none" w:sz="0" w:space="0" w:color="auto"/>
        <w:right w:val="none" w:sz="0" w:space="0" w:color="auto"/>
      </w:divBdr>
      <w:divsChild>
        <w:div w:id="289215232">
          <w:marLeft w:val="0"/>
          <w:marRight w:val="0"/>
          <w:marTop w:val="0"/>
          <w:marBottom w:val="0"/>
          <w:divBdr>
            <w:top w:val="none" w:sz="0" w:space="0" w:color="auto"/>
            <w:left w:val="none" w:sz="0" w:space="0" w:color="auto"/>
            <w:bottom w:val="none" w:sz="0" w:space="0" w:color="auto"/>
            <w:right w:val="none" w:sz="0" w:space="0" w:color="auto"/>
          </w:divBdr>
          <w:divsChild>
            <w:div w:id="385374621">
              <w:marLeft w:val="0"/>
              <w:marRight w:val="0"/>
              <w:marTop w:val="0"/>
              <w:marBottom w:val="0"/>
              <w:divBdr>
                <w:top w:val="none" w:sz="0" w:space="0" w:color="auto"/>
                <w:left w:val="none" w:sz="0" w:space="0" w:color="auto"/>
                <w:bottom w:val="none" w:sz="0" w:space="0" w:color="auto"/>
                <w:right w:val="none" w:sz="0" w:space="0" w:color="auto"/>
              </w:divBdr>
            </w:div>
          </w:divsChild>
        </w:div>
        <w:div w:id="1979413723">
          <w:marLeft w:val="0"/>
          <w:marRight w:val="0"/>
          <w:marTop w:val="0"/>
          <w:marBottom w:val="0"/>
          <w:divBdr>
            <w:top w:val="none" w:sz="0" w:space="0" w:color="auto"/>
            <w:left w:val="none" w:sz="0" w:space="0" w:color="auto"/>
            <w:bottom w:val="none" w:sz="0" w:space="0" w:color="auto"/>
            <w:right w:val="none" w:sz="0" w:space="0" w:color="auto"/>
          </w:divBdr>
          <w:divsChild>
            <w:div w:id="1487891102">
              <w:marLeft w:val="0"/>
              <w:marRight w:val="0"/>
              <w:marTop w:val="0"/>
              <w:marBottom w:val="0"/>
              <w:divBdr>
                <w:top w:val="none" w:sz="0" w:space="0" w:color="auto"/>
                <w:left w:val="none" w:sz="0" w:space="0" w:color="auto"/>
                <w:bottom w:val="none" w:sz="0" w:space="0" w:color="auto"/>
                <w:right w:val="none" w:sz="0" w:space="0" w:color="auto"/>
              </w:divBdr>
              <w:divsChild>
                <w:div w:id="260383283">
                  <w:marLeft w:val="0"/>
                  <w:marRight w:val="0"/>
                  <w:marTop w:val="0"/>
                  <w:marBottom w:val="0"/>
                  <w:divBdr>
                    <w:top w:val="none" w:sz="0" w:space="0" w:color="auto"/>
                    <w:left w:val="none" w:sz="0" w:space="0" w:color="auto"/>
                    <w:bottom w:val="none" w:sz="0" w:space="0" w:color="auto"/>
                    <w:right w:val="none" w:sz="0" w:space="0" w:color="auto"/>
                  </w:divBdr>
                </w:div>
                <w:div w:id="353967771">
                  <w:marLeft w:val="0"/>
                  <w:marRight w:val="0"/>
                  <w:marTop w:val="0"/>
                  <w:marBottom w:val="0"/>
                  <w:divBdr>
                    <w:top w:val="none" w:sz="0" w:space="0" w:color="auto"/>
                    <w:left w:val="none" w:sz="0" w:space="0" w:color="auto"/>
                    <w:bottom w:val="none" w:sz="0" w:space="0" w:color="auto"/>
                    <w:right w:val="none" w:sz="0" w:space="0" w:color="auto"/>
                  </w:divBdr>
                </w:div>
                <w:div w:id="742291957">
                  <w:marLeft w:val="0"/>
                  <w:marRight w:val="0"/>
                  <w:marTop w:val="0"/>
                  <w:marBottom w:val="0"/>
                  <w:divBdr>
                    <w:top w:val="none" w:sz="0" w:space="0" w:color="auto"/>
                    <w:left w:val="none" w:sz="0" w:space="0" w:color="auto"/>
                    <w:bottom w:val="none" w:sz="0" w:space="0" w:color="auto"/>
                    <w:right w:val="none" w:sz="0" w:space="0" w:color="auto"/>
                  </w:divBdr>
                  <w:divsChild>
                    <w:div w:id="11461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7709">
              <w:marLeft w:val="0"/>
              <w:marRight w:val="0"/>
              <w:marTop w:val="0"/>
              <w:marBottom w:val="0"/>
              <w:divBdr>
                <w:top w:val="none" w:sz="0" w:space="0" w:color="auto"/>
                <w:left w:val="none" w:sz="0" w:space="0" w:color="auto"/>
                <w:bottom w:val="none" w:sz="0" w:space="0" w:color="auto"/>
                <w:right w:val="none" w:sz="0" w:space="0" w:color="auto"/>
              </w:divBdr>
              <w:divsChild>
                <w:div w:id="170491746">
                  <w:marLeft w:val="0"/>
                  <w:marRight w:val="0"/>
                  <w:marTop w:val="0"/>
                  <w:marBottom w:val="0"/>
                  <w:divBdr>
                    <w:top w:val="none" w:sz="0" w:space="0" w:color="auto"/>
                    <w:left w:val="none" w:sz="0" w:space="0" w:color="auto"/>
                    <w:bottom w:val="none" w:sz="0" w:space="0" w:color="auto"/>
                    <w:right w:val="none" w:sz="0" w:space="0" w:color="auto"/>
                  </w:divBdr>
                </w:div>
                <w:div w:id="889849236">
                  <w:marLeft w:val="0"/>
                  <w:marRight w:val="0"/>
                  <w:marTop w:val="0"/>
                  <w:marBottom w:val="0"/>
                  <w:divBdr>
                    <w:top w:val="none" w:sz="0" w:space="0" w:color="auto"/>
                    <w:left w:val="none" w:sz="0" w:space="0" w:color="auto"/>
                    <w:bottom w:val="none" w:sz="0" w:space="0" w:color="auto"/>
                    <w:right w:val="none" w:sz="0" w:space="0" w:color="auto"/>
                  </w:divBdr>
                </w:div>
                <w:div w:id="16330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97779">
      <w:bodyDiv w:val="1"/>
      <w:marLeft w:val="0"/>
      <w:marRight w:val="0"/>
      <w:marTop w:val="0"/>
      <w:marBottom w:val="0"/>
      <w:divBdr>
        <w:top w:val="none" w:sz="0" w:space="0" w:color="auto"/>
        <w:left w:val="none" w:sz="0" w:space="0" w:color="auto"/>
        <w:bottom w:val="none" w:sz="0" w:space="0" w:color="auto"/>
        <w:right w:val="none" w:sz="0" w:space="0" w:color="auto"/>
      </w:divBdr>
    </w:div>
    <w:div w:id="1854685117">
      <w:bodyDiv w:val="1"/>
      <w:marLeft w:val="0"/>
      <w:marRight w:val="0"/>
      <w:marTop w:val="0"/>
      <w:marBottom w:val="0"/>
      <w:divBdr>
        <w:top w:val="none" w:sz="0" w:space="0" w:color="auto"/>
        <w:left w:val="none" w:sz="0" w:space="0" w:color="auto"/>
        <w:bottom w:val="none" w:sz="0" w:space="0" w:color="auto"/>
        <w:right w:val="none" w:sz="0" w:space="0" w:color="auto"/>
      </w:divBdr>
      <w:divsChild>
        <w:div w:id="306976028">
          <w:marLeft w:val="0"/>
          <w:marRight w:val="0"/>
          <w:marTop w:val="0"/>
          <w:marBottom w:val="0"/>
          <w:divBdr>
            <w:top w:val="none" w:sz="0" w:space="0" w:color="auto"/>
            <w:left w:val="none" w:sz="0" w:space="0" w:color="auto"/>
            <w:bottom w:val="none" w:sz="0" w:space="0" w:color="auto"/>
            <w:right w:val="none" w:sz="0" w:space="0" w:color="auto"/>
          </w:divBdr>
        </w:div>
        <w:div w:id="1667395405">
          <w:marLeft w:val="0"/>
          <w:marRight w:val="0"/>
          <w:marTop w:val="0"/>
          <w:marBottom w:val="0"/>
          <w:divBdr>
            <w:top w:val="none" w:sz="0" w:space="0" w:color="auto"/>
            <w:left w:val="none" w:sz="0" w:space="0" w:color="auto"/>
            <w:bottom w:val="none" w:sz="0" w:space="0" w:color="auto"/>
            <w:right w:val="none" w:sz="0" w:space="0" w:color="auto"/>
          </w:divBdr>
        </w:div>
      </w:divsChild>
    </w:div>
    <w:div w:id="1865627700">
      <w:bodyDiv w:val="1"/>
      <w:marLeft w:val="0"/>
      <w:marRight w:val="0"/>
      <w:marTop w:val="0"/>
      <w:marBottom w:val="0"/>
      <w:divBdr>
        <w:top w:val="none" w:sz="0" w:space="0" w:color="auto"/>
        <w:left w:val="none" w:sz="0" w:space="0" w:color="auto"/>
        <w:bottom w:val="none" w:sz="0" w:space="0" w:color="auto"/>
        <w:right w:val="none" w:sz="0" w:space="0" w:color="auto"/>
      </w:divBdr>
    </w:div>
    <w:div w:id="1897624112">
      <w:bodyDiv w:val="1"/>
      <w:marLeft w:val="0"/>
      <w:marRight w:val="0"/>
      <w:marTop w:val="0"/>
      <w:marBottom w:val="0"/>
      <w:divBdr>
        <w:top w:val="none" w:sz="0" w:space="0" w:color="auto"/>
        <w:left w:val="none" w:sz="0" w:space="0" w:color="auto"/>
        <w:bottom w:val="none" w:sz="0" w:space="0" w:color="auto"/>
        <w:right w:val="none" w:sz="0" w:space="0" w:color="auto"/>
      </w:divBdr>
    </w:div>
    <w:div w:id="1937322037">
      <w:bodyDiv w:val="1"/>
      <w:marLeft w:val="0"/>
      <w:marRight w:val="0"/>
      <w:marTop w:val="0"/>
      <w:marBottom w:val="0"/>
      <w:divBdr>
        <w:top w:val="none" w:sz="0" w:space="0" w:color="auto"/>
        <w:left w:val="none" w:sz="0" w:space="0" w:color="auto"/>
        <w:bottom w:val="none" w:sz="0" w:space="0" w:color="auto"/>
        <w:right w:val="none" w:sz="0" w:space="0" w:color="auto"/>
      </w:divBdr>
      <w:divsChild>
        <w:div w:id="545020590">
          <w:marLeft w:val="0"/>
          <w:marRight w:val="0"/>
          <w:marTop w:val="0"/>
          <w:marBottom w:val="0"/>
          <w:divBdr>
            <w:top w:val="none" w:sz="0" w:space="0" w:color="auto"/>
            <w:left w:val="none" w:sz="0" w:space="0" w:color="auto"/>
            <w:bottom w:val="none" w:sz="0" w:space="0" w:color="auto"/>
            <w:right w:val="none" w:sz="0" w:space="0" w:color="auto"/>
          </w:divBdr>
        </w:div>
        <w:div w:id="197035883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1954631129">
      <w:bodyDiv w:val="1"/>
      <w:marLeft w:val="0"/>
      <w:marRight w:val="0"/>
      <w:marTop w:val="0"/>
      <w:marBottom w:val="0"/>
      <w:divBdr>
        <w:top w:val="none" w:sz="0" w:space="0" w:color="auto"/>
        <w:left w:val="none" w:sz="0" w:space="0" w:color="auto"/>
        <w:bottom w:val="none" w:sz="0" w:space="0" w:color="auto"/>
        <w:right w:val="none" w:sz="0" w:space="0" w:color="auto"/>
      </w:divBdr>
    </w:div>
    <w:div w:id="2015499322">
      <w:bodyDiv w:val="1"/>
      <w:marLeft w:val="0"/>
      <w:marRight w:val="0"/>
      <w:marTop w:val="0"/>
      <w:marBottom w:val="0"/>
      <w:divBdr>
        <w:top w:val="none" w:sz="0" w:space="0" w:color="auto"/>
        <w:left w:val="none" w:sz="0" w:space="0" w:color="auto"/>
        <w:bottom w:val="none" w:sz="0" w:space="0" w:color="auto"/>
        <w:right w:val="none" w:sz="0" w:space="0" w:color="auto"/>
      </w:divBdr>
      <w:divsChild>
        <w:div w:id="6061612">
          <w:marLeft w:val="0"/>
          <w:marRight w:val="0"/>
          <w:marTop w:val="0"/>
          <w:marBottom w:val="0"/>
          <w:divBdr>
            <w:top w:val="none" w:sz="0" w:space="0" w:color="auto"/>
            <w:left w:val="none" w:sz="0" w:space="0" w:color="auto"/>
            <w:bottom w:val="none" w:sz="0" w:space="0" w:color="auto"/>
            <w:right w:val="none" w:sz="0" w:space="0" w:color="auto"/>
          </w:divBdr>
        </w:div>
        <w:div w:id="1926913164">
          <w:marLeft w:val="0"/>
          <w:marRight w:val="0"/>
          <w:marTop w:val="0"/>
          <w:marBottom w:val="0"/>
          <w:divBdr>
            <w:top w:val="none" w:sz="0" w:space="0" w:color="auto"/>
            <w:left w:val="none" w:sz="0" w:space="0" w:color="auto"/>
            <w:bottom w:val="none" w:sz="0" w:space="0" w:color="auto"/>
            <w:right w:val="none" w:sz="0" w:space="0" w:color="auto"/>
          </w:divBdr>
          <w:divsChild>
            <w:div w:id="978655947">
              <w:marLeft w:val="0"/>
              <w:marRight w:val="0"/>
              <w:marTop w:val="0"/>
              <w:marBottom w:val="0"/>
              <w:divBdr>
                <w:top w:val="none" w:sz="0" w:space="0" w:color="auto"/>
                <w:left w:val="none" w:sz="0" w:space="0" w:color="auto"/>
                <w:bottom w:val="none" w:sz="0" w:space="0" w:color="auto"/>
                <w:right w:val="none" w:sz="0" w:space="0" w:color="auto"/>
              </w:divBdr>
            </w:div>
            <w:div w:id="1222062345">
              <w:marLeft w:val="0"/>
              <w:marRight w:val="0"/>
              <w:marTop w:val="0"/>
              <w:marBottom w:val="0"/>
              <w:divBdr>
                <w:top w:val="none" w:sz="0" w:space="0" w:color="auto"/>
                <w:left w:val="none" w:sz="0" w:space="0" w:color="auto"/>
                <w:bottom w:val="none" w:sz="0" w:space="0" w:color="auto"/>
                <w:right w:val="none" w:sz="0" w:space="0" w:color="auto"/>
              </w:divBdr>
              <w:divsChild>
                <w:div w:id="153885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7437">
          <w:marLeft w:val="0"/>
          <w:marRight w:val="0"/>
          <w:marTop w:val="0"/>
          <w:marBottom w:val="0"/>
          <w:divBdr>
            <w:top w:val="none" w:sz="0" w:space="0" w:color="auto"/>
            <w:left w:val="none" w:sz="0" w:space="0" w:color="auto"/>
            <w:bottom w:val="none" w:sz="0" w:space="0" w:color="auto"/>
            <w:right w:val="none" w:sz="0" w:space="0" w:color="auto"/>
          </w:divBdr>
          <w:divsChild>
            <w:div w:id="1268730728">
              <w:marLeft w:val="0"/>
              <w:marRight w:val="0"/>
              <w:marTop w:val="0"/>
              <w:marBottom w:val="0"/>
              <w:divBdr>
                <w:top w:val="none" w:sz="0" w:space="0" w:color="auto"/>
                <w:left w:val="none" w:sz="0" w:space="0" w:color="auto"/>
                <w:bottom w:val="none" w:sz="0" w:space="0" w:color="auto"/>
                <w:right w:val="none" w:sz="0" w:space="0" w:color="auto"/>
              </w:divBdr>
              <w:divsChild>
                <w:div w:id="1415056490">
                  <w:marLeft w:val="0"/>
                  <w:marRight w:val="0"/>
                  <w:marTop w:val="0"/>
                  <w:marBottom w:val="0"/>
                  <w:divBdr>
                    <w:top w:val="none" w:sz="0" w:space="0" w:color="auto"/>
                    <w:left w:val="none" w:sz="0" w:space="0" w:color="auto"/>
                    <w:bottom w:val="none" w:sz="0" w:space="0" w:color="auto"/>
                    <w:right w:val="none" w:sz="0" w:space="0" w:color="auto"/>
                  </w:divBdr>
                  <w:divsChild>
                    <w:div w:id="3186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401144">
      <w:bodyDiv w:val="1"/>
      <w:marLeft w:val="0"/>
      <w:marRight w:val="0"/>
      <w:marTop w:val="0"/>
      <w:marBottom w:val="0"/>
      <w:divBdr>
        <w:top w:val="none" w:sz="0" w:space="0" w:color="auto"/>
        <w:left w:val="none" w:sz="0" w:space="0" w:color="auto"/>
        <w:bottom w:val="none" w:sz="0" w:space="0" w:color="auto"/>
        <w:right w:val="none" w:sz="0" w:space="0" w:color="auto"/>
      </w:divBdr>
      <w:divsChild>
        <w:div w:id="114299621">
          <w:marLeft w:val="0"/>
          <w:marRight w:val="0"/>
          <w:marTop w:val="0"/>
          <w:marBottom w:val="0"/>
          <w:divBdr>
            <w:top w:val="none" w:sz="0" w:space="0" w:color="auto"/>
            <w:left w:val="none" w:sz="0" w:space="0" w:color="auto"/>
            <w:bottom w:val="none" w:sz="0" w:space="0" w:color="auto"/>
            <w:right w:val="none" w:sz="0" w:space="0" w:color="auto"/>
          </w:divBdr>
        </w:div>
        <w:div w:id="1521165394">
          <w:marLeft w:val="0"/>
          <w:marRight w:val="0"/>
          <w:marTop w:val="0"/>
          <w:marBottom w:val="0"/>
          <w:divBdr>
            <w:top w:val="none" w:sz="0" w:space="0" w:color="auto"/>
            <w:left w:val="none" w:sz="0" w:space="0" w:color="auto"/>
            <w:bottom w:val="none" w:sz="0" w:space="0" w:color="auto"/>
            <w:right w:val="none" w:sz="0" w:space="0" w:color="auto"/>
          </w:divBdr>
        </w:div>
      </w:divsChild>
    </w:div>
    <w:div w:id="2075351971">
      <w:bodyDiv w:val="1"/>
      <w:marLeft w:val="0"/>
      <w:marRight w:val="0"/>
      <w:marTop w:val="0"/>
      <w:marBottom w:val="0"/>
      <w:divBdr>
        <w:top w:val="none" w:sz="0" w:space="0" w:color="auto"/>
        <w:left w:val="none" w:sz="0" w:space="0" w:color="auto"/>
        <w:bottom w:val="none" w:sz="0" w:space="0" w:color="auto"/>
        <w:right w:val="none" w:sz="0" w:space="0" w:color="auto"/>
      </w:divBdr>
      <w:divsChild>
        <w:div w:id="359627721">
          <w:marLeft w:val="0"/>
          <w:marRight w:val="0"/>
          <w:marTop w:val="0"/>
          <w:marBottom w:val="0"/>
          <w:divBdr>
            <w:top w:val="none" w:sz="0" w:space="0" w:color="auto"/>
            <w:left w:val="none" w:sz="0" w:space="0" w:color="auto"/>
            <w:bottom w:val="none" w:sz="0" w:space="0" w:color="auto"/>
            <w:right w:val="none" w:sz="0" w:space="0" w:color="auto"/>
          </w:divBdr>
          <w:divsChild>
            <w:div w:id="1622028509">
              <w:marLeft w:val="0"/>
              <w:marRight w:val="0"/>
              <w:marTop w:val="0"/>
              <w:marBottom w:val="0"/>
              <w:divBdr>
                <w:top w:val="none" w:sz="0" w:space="0" w:color="auto"/>
                <w:left w:val="none" w:sz="0" w:space="0" w:color="auto"/>
                <w:bottom w:val="none" w:sz="0" w:space="0" w:color="auto"/>
                <w:right w:val="none" w:sz="0" w:space="0" w:color="auto"/>
              </w:divBdr>
            </w:div>
          </w:divsChild>
        </w:div>
        <w:div w:id="2080125788">
          <w:marLeft w:val="0"/>
          <w:marRight w:val="0"/>
          <w:marTop w:val="0"/>
          <w:marBottom w:val="0"/>
          <w:divBdr>
            <w:top w:val="none" w:sz="0" w:space="0" w:color="auto"/>
            <w:left w:val="none" w:sz="0" w:space="0" w:color="auto"/>
            <w:bottom w:val="none" w:sz="0" w:space="0" w:color="auto"/>
            <w:right w:val="none" w:sz="0" w:space="0" w:color="auto"/>
          </w:divBdr>
          <w:divsChild>
            <w:div w:id="920793371">
              <w:marLeft w:val="0"/>
              <w:marRight w:val="0"/>
              <w:marTop w:val="0"/>
              <w:marBottom w:val="0"/>
              <w:divBdr>
                <w:top w:val="none" w:sz="0" w:space="0" w:color="auto"/>
                <w:left w:val="none" w:sz="0" w:space="0" w:color="auto"/>
                <w:bottom w:val="none" w:sz="0" w:space="0" w:color="auto"/>
                <w:right w:val="none" w:sz="0" w:space="0" w:color="auto"/>
              </w:divBdr>
              <w:divsChild>
                <w:div w:id="522403819">
                  <w:marLeft w:val="0"/>
                  <w:marRight w:val="0"/>
                  <w:marTop w:val="0"/>
                  <w:marBottom w:val="0"/>
                  <w:divBdr>
                    <w:top w:val="none" w:sz="0" w:space="0" w:color="auto"/>
                    <w:left w:val="none" w:sz="0" w:space="0" w:color="auto"/>
                    <w:bottom w:val="none" w:sz="0" w:space="0" w:color="auto"/>
                    <w:right w:val="none" w:sz="0" w:space="0" w:color="auto"/>
                  </w:divBdr>
                </w:div>
                <w:div w:id="1052191818">
                  <w:marLeft w:val="0"/>
                  <w:marRight w:val="0"/>
                  <w:marTop w:val="0"/>
                  <w:marBottom w:val="0"/>
                  <w:divBdr>
                    <w:top w:val="none" w:sz="0" w:space="0" w:color="auto"/>
                    <w:left w:val="none" w:sz="0" w:space="0" w:color="auto"/>
                    <w:bottom w:val="none" w:sz="0" w:space="0" w:color="auto"/>
                    <w:right w:val="none" w:sz="0" w:space="0" w:color="auto"/>
                  </w:divBdr>
                </w:div>
                <w:div w:id="1122529853">
                  <w:marLeft w:val="0"/>
                  <w:marRight w:val="0"/>
                  <w:marTop w:val="0"/>
                  <w:marBottom w:val="0"/>
                  <w:divBdr>
                    <w:top w:val="none" w:sz="0" w:space="0" w:color="auto"/>
                    <w:left w:val="none" w:sz="0" w:space="0" w:color="auto"/>
                    <w:bottom w:val="none" w:sz="0" w:space="0" w:color="auto"/>
                    <w:right w:val="none" w:sz="0" w:space="0" w:color="auto"/>
                  </w:divBdr>
                </w:div>
              </w:divsChild>
            </w:div>
            <w:div w:id="1512988403">
              <w:marLeft w:val="0"/>
              <w:marRight w:val="0"/>
              <w:marTop w:val="0"/>
              <w:marBottom w:val="0"/>
              <w:divBdr>
                <w:top w:val="none" w:sz="0" w:space="0" w:color="auto"/>
                <w:left w:val="none" w:sz="0" w:space="0" w:color="auto"/>
                <w:bottom w:val="none" w:sz="0" w:space="0" w:color="auto"/>
                <w:right w:val="none" w:sz="0" w:space="0" w:color="auto"/>
              </w:divBdr>
              <w:divsChild>
                <w:div w:id="117069054">
                  <w:marLeft w:val="0"/>
                  <w:marRight w:val="0"/>
                  <w:marTop w:val="0"/>
                  <w:marBottom w:val="0"/>
                  <w:divBdr>
                    <w:top w:val="none" w:sz="0" w:space="0" w:color="auto"/>
                    <w:left w:val="none" w:sz="0" w:space="0" w:color="auto"/>
                    <w:bottom w:val="none" w:sz="0" w:space="0" w:color="auto"/>
                    <w:right w:val="none" w:sz="0" w:space="0" w:color="auto"/>
                  </w:divBdr>
                </w:div>
                <w:div w:id="848452408">
                  <w:marLeft w:val="0"/>
                  <w:marRight w:val="0"/>
                  <w:marTop w:val="0"/>
                  <w:marBottom w:val="0"/>
                  <w:divBdr>
                    <w:top w:val="none" w:sz="0" w:space="0" w:color="auto"/>
                    <w:left w:val="none" w:sz="0" w:space="0" w:color="auto"/>
                    <w:bottom w:val="none" w:sz="0" w:space="0" w:color="auto"/>
                    <w:right w:val="none" w:sz="0" w:space="0" w:color="auto"/>
                  </w:divBdr>
                </w:div>
                <w:div w:id="1326593550">
                  <w:marLeft w:val="0"/>
                  <w:marRight w:val="0"/>
                  <w:marTop w:val="0"/>
                  <w:marBottom w:val="0"/>
                  <w:divBdr>
                    <w:top w:val="none" w:sz="0" w:space="0" w:color="auto"/>
                    <w:left w:val="none" w:sz="0" w:space="0" w:color="auto"/>
                    <w:bottom w:val="none" w:sz="0" w:space="0" w:color="auto"/>
                    <w:right w:val="none" w:sz="0" w:space="0" w:color="auto"/>
                  </w:divBdr>
                  <w:divsChild>
                    <w:div w:id="5120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10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8C78B-ED41-4333-ADB9-43BA02400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44867</Words>
  <Characters>255743</Characters>
  <Application>Microsoft Office Word</Application>
  <DocSecurity>0</DocSecurity>
  <Lines>2131</Lines>
  <Paragraphs>600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300010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Konstantinos</dc:creator>
  <cp:keywords/>
  <dc:description/>
  <cp:lastModifiedBy>Konstantinos Ioannidis</cp:lastModifiedBy>
  <cp:revision>3</cp:revision>
  <dcterms:created xsi:type="dcterms:W3CDTF">2024-10-10T13:10:00Z</dcterms:created>
  <dcterms:modified xsi:type="dcterms:W3CDTF">2024-10-10T13:12:00Z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http://www.zotero.org/styles/jama</vt:lpwstr>
  </property>
  <property fmtid="{D5CDD505-2E9C-101B-9397-08002B2CF9AE}" pid="11" name="Mendeley Recent Style Name 4_1">
    <vt:lpwstr>JAMA (The Journal of the American Medical Association)</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http://www.zotero.org/styles/molecular-psychiatry</vt:lpwstr>
  </property>
  <property fmtid="{D5CDD505-2E9C-101B-9397-08002B2CF9AE}" pid="15" name="Mendeley Recent Style Name 6_1">
    <vt:lpwstr>Molecular Psychiatry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http://www.zotero.org/styles/neuroscience-and-biobehavioral-reviews</vt:lpwstr>
  </property>
  <property fmtid="{D5CDD505-2E9C-101B-9397-08002B2CF9AE}" pid="19" name="Mendeley Recent Style Name 8_1">
    <vt:lpwstr>Neuroscience and Biobehavioral Reviews</vt:lpwstr>
  </property>
  <property fmtid="{D5CDD505-2E9C-101B-9397-08002B2CF9AE}" pid="20" name="Mendeley Recent Style Id 9_1">
    <vt:lpwstr>http://www.zotero.org/styles/the-lancet</vt:lpwstr>
  </property>
  <property fmtid="{D5CDD505-2E9C-101B-9397-08002B2CF9AE}" pid="21" name="Mendeley Recent Style Name 9_1">
    <vt:lpwstr>The Lancet</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4bf0ac94-95b5-3e79-8e5f-84dbafee9691</vt:lpwstr>
  </property>
  <property fmtid="{D5CDD505-2E9C-101B-9397-08002B2CF9AE}" pid="25" name="ZOTERO_PREF_1">
    <vt:lpwstr>&lt;data data-version="3" zotero-version="6.0.37"&gt;&lt;session id="Q60zE2Fx"/&gt;&lt;style id="" hasBibliography="0" bibliographyStyleHasBeenSet="0"/&gt;&lt;prefs/&gt;&lt;/data&gt;</vt:lpwstr>
  </property>
</Properties>
</file>