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E63DE" w14:textId="77777777" w:rsidR="00842A6C" w:rsidRPr="002F22C1" w:rsidRDefault="00842A6C" w:rsidP="00842A6C">
      <w:pPr>
        <w:spacing w:after="0"/>
        <w:ind w:firstLineChars="150" w:firstLine="361"/>
        <w:jc w:val="center"/>
        <w:rPr>
          <w:rFonts w:eastAsia="SimHei" w:cs="Times New Roman"/>
          <w:b/>
          <w:bCs/>
          <w:szCs w:val="24"/>
          <w:lang w:val="en-GB"/>
        </w:rPr>
      </w:pPr>
      <w:r w:rsidRPr="002F22C1">
        <w:rPr>
          <w:rFonts w:eastAsia="SimHei" w:cs="Times New Roman"/>
          <w:b/>
          <w:bCs/>
          <w:szCs w:val="24"/>
        </w:rPr>
        <w:t>A</w:t>
      </w:r>
      <w:r>
        <w:rPr>
          <w:rFonts w:eastAsia="SimHei" w:cs="Times New Roman"/>
          <w:b/>
          <w:bCs/>
          <w:szCs w:val="24"/>
        </w:rPr>
        <w:t>dvanced</w:t>
      </w:r>
      <w:r w:rsidRPr="002F22C1">
        <w:rPr>
          <w:rFonts w:eastAsia="SimHei" w:cs="Times New Roman"/>
          <w:b/>
          <w:bCs/>
          <w:szCs w:val="24"/>
        </w:rPr>
        <w:t xml:space="preserve"> </w:t>
      </w:r>
      <w:r>
        <w:rPr>
          <w:rFonts w:eastAsia="SimHei" w:cs="Times New Roman"/>
          <w:b/>
          <w:bCs/>
          <w:szCs w:val="24"/>
        </w:rPr>
        <w:t>W</w:t>
      </w:r>
      <w:r w:rsidRPr="002F22C1">
        <w:rPr>
          <w:rFonts w:eastAsia="SimHei" w:cs="Times New Roman"/>
          <w:b/>
          <w:bCs/>
          <w:szCs w:val="24"/>
        </w:rPr>
        <w:t xml:space="preserve">eather </w:t>
      </w:r>
      <w:r>
        <w:rPr>
          <w:rFonts w:eastAsia="SimHei" w:cs="Times New Roman"/>
          <w:b/>
          <w:bCs/>
          <w:szCs w:val="24"/>
        </w:rPr>
        <w:t>T</w:t>
      </w:r>
      <w:r w:rsidRPr="002F22C1">
        <w:rPr>
          <w:rFonts w:eastAsia="SimHei" w:cs="Times New Roman"/>
          <w:b/>
          <w:bCs/>
          <w:szCs w:val="24"/>
        </w:rPr>
        <w:t xml:space="preserve">yping </w:t>
      </w:r>
      <w:r>
        <w:rPr>
          <w:rFonts w:eastAsia="SimHei" w:cs="Times New Roman"/>
          <w:b/>
          <w:bCs/>
          <w:szCs w:val="24"/>
        </w:rPr>
        <w:t>for</w:t>
      </w:r>
      <w:r w:rsidRPr="002F22C1">
        <w:rPr>
          <w:rFonts w:eastAsia="SimHei" w:cs="Times New Roman"/>
          <w:b/>
          <w:bCs/>
          <w:szCs w:val="24"/>
        </w:rPr>
        <w:t xml:space="preserve"> </w:t>
      </w:r>
      <w:r>
        <w:rPr>
          <w:rFonts w:eastAsia="SimHei" w:cs="Times New Roman"/>
          <w:b/>
          <w:bCs/>
          <w:szCs w:val="24"/>
        </w:rPr>
        <w:t>Precision Downscaling of</w:t>
      </w:r>
      <w:r w:rsidRPr="002F22C1">
        <w:rPr>
          <w:rFonts w:eastAsia="SimHei" w:cs="Times New Roman"/>
          <w:b/>
          <w:bCs/>
          <w:szCs w:val="24"/>
        </w:rPr>
        <w:t xml:space="preserve"> </w:t>
      </w:r>
      <w:r>
        <w:rPr>
          <w:rFonts w:eastAsia="SimHei" w:cs="Times New Roman"/>
          <w:b/>
          <w:bCs/>
          <w:szCs w:val="24"/>
        </w:rPr>
        <w:t>W</w:t>
      </w:r>
      <w:r w:rsidRPr="002F22C1">
        <w:rPr>
          <w:rFonts w:eastAsia="SimHei" w:cs="Times New Roman"/>
          <w:b/>
          <w:bCs/>
          <w:szCs w:val="24"/>
        </w:rPr>
        <w:t xml:space="preserve">ave </w:t>
      </w:r>
      <w:r>
        <w:rPr>
          <w:rFonts w:eastAsia="SimHei" w:cs="Times New Roman"/>
          <w:b/>
          <w:bCs/>
          <w:szCs w:val="24"/>
        </w:rPr>
        <w:t>C</w:t>
      </w:r>
      <w:r w:rsidRPr="002F22C1">
        <w:rPr>
          <w:rFonts w:eastAsia="SimHei" w:cs="Times New Roman"/>
          <w:b/>
          <w:bCs/>
          <w:szCs w:val="24"/>
        </w:rPr>
        <w:t xml:space="preserve">limate and </w:t>
      </w:r>
      <w:r>
        <w:rPr>
          <w:rFonts w:eastAsia="SimHei" w:cs="Times New Roman"/>
          <w:b/>
          <w:bCs/>
          <w:szCs w:val="24"/>
        </w:rPr>
        <w:t>S</w:t>
      </w:r>
      <w:r w:rsidRPr="002F22C1">
        <w:rPr>
          <w:rFonts w:eastAsia="SimHei" w:cs="Times New Roman"/>
          <w:b/>
          <w:bCs/>
          <w:szCs w:val="24"/>
        </w:rPr>
        <w:t xml:space="preserve">torm </w:t>
      </w:r>
      <w:r>
        <w:rPr>
          <w:rFonts w:eastAsia="SimHei" w:cs="Times New Roman"/>
          <w:b/>
          <w:bCs/>
          <w:szCs w:val="24"/>
        </w:rPr>
        <w:t>S</w:t>
      </w:r>
      <w:r w:rsidRPr="002F22C1">
        <w:rPr>
          <w:rFonts w:eastAsia="SimHei" w:cs="Times New Roman"/>
          <w:b/>
          <w:bCs/>
          <w:szCs w:val="24"/>
        </w:rPr>
        <w:t xml:space="preserve">urge at a </w:t>
      </w:r>
      <w:r>
        <w:rPr>
          <w:rFonts w:eastAsia="SimHei" w:cs="Times New Roman"/>
          <w:b/>
          <w:bCs/>
          <w:szCs w:val="24"/>
        </w:rPr>
        <w:t>UK N</w:t>
      </w:r>
      <w:r w:rsidRPr="002F22C1">
        <w:rPr>
          <w:rFonts w:eastAsia="SimHei" w:cs="Times New Roman"/>
          <w:b/>
          <w:bCs/>
          <w:szCs w:val="24"/>
        </w:rPr>
        <w:t xml:space="preserve">uclear </w:t>
      </w:r>
      <w:r>
        <w:rPr>
          <w:rFonts w:eastAsia="SimHei" w:cs="Times New Roman"/>
          <w:b/>
          <w:bCs/>
          <w:szCs w:val="24"/>
        </w:rPr>
        <w:t>P</w:t>
      </w:r>
      <w:r w:rsidRPr="002F22C1">
        <w:rPr>
          <w:rFonts w:eastAsia="SimHei" w:cs="Times New Roman"/>
          <w:b/>
          <w:bCs/>
          <w:szCs w:val="24"/>
        </w:rPr>
        <w:t xml:space="preserve">ower </w:t>
      </w:r>
      <w:r>
        <w:rPr>
          <w:rFonts w:eastAsia="SimHei" w:cs="Times New Roman"/>
          <w:b/>
          <w:bCs/>
          <w:szCs w:val="24"/>
        </w:rPr>
        <w:t>S</w:t>
      </w:r>
      <w:r w:rsidRPr="002F22C1">
        <w:rPr>
          <w:rFonts w:eastAsia="SimHei" w:cs="Times New Roman"/>
          <w:b/>
          <w:bCs/>
          <w:szCs w:val="24"/>
        </w:rPr>
        <w:t>tation</w:t>
      </w:r>
    </w:p>
    <w:p w14:paraId="7E107DFE" w14:textId="6BE22270" w:rsidR="00C66BA6" w:rsidRPr="005868DF" w:rsidRDefault="000D3178" w:rsidP="00C66BA6">
      <w:pPr>
        <w:spacing w:after="0"/>
        <w:ind w:firstLineChars="150" w:firstLine="360"/>
        <w:jc w:val="center"/>
        <w:rPr>
          <w:rFonts w:cs="Times New Roman"/>
          <w:szCs w:val="24"/>
          <w:vertAlign w:val="superscript"/>
        </w:rPr>
      </w:pPr>
      <w:r>
        <w:rPr>
          <w:rFonts w:cs="Times New Roman"/>
          <w:szCs w:val="24"/>
        </w:rPr>
        <w:t>Zehua Zhong</w:t>
      </w:r>
      <w:r w:rsidR="00E92E1E" w:rsidRPr="00E92E1E">
        <w:rPr>
          <w:rFonts w:cs="Times New Roman"/>
          <w:szCs w:val="24"/>
          <w:vertAlign w:val="superscript"/>
        </w:rPr>
        <w:t>1</w:t>
      </w:r>
      <w:r w:rsidR="00E92E1E" w:rsidRPr="00660C49">
        <w:rPr>
          <w:rFonts w:cs="Times New Roman"/>
          <w:szCs w:val="24"/>
          <w:vertAlign w:val="superscript"/>
        </w:rPr>
        <w:t>*</w:t>
      </w:r>
      <w:r w:rsidR="00BC5660" w:rsidRPr="00660C49">
        <w:rPr>
          <w:rFonts w:cs="Times New Roman"/>
          <w:szCs w:val="24"/>
        </w:rPr>
        <w:t xml:space="preserve">, </w:t>
      </w:r>
      <w:r>
        <w:rPr>
          <w:rFonts w:cs="Times New Roman"/>
          <w:szCs w:val="24"/>
        </w:rPr>
        <w:t>Hachem Kassem</w:t>
      </w:r>
      <w:r w:rsidR="00E92E1E" w:rsidRPr="00E92E1E">
        <w:rPr>
          <w:rFonts w:cs="Times New Roman"/>
          <w:szCs w:val="24"/>
          <w:vertAlign w:val="superscript"/>
        </w:rPr>
        <w:t>1</w:t>
      </w:r>
      <w:r w:rsidR="00BC5660" w:rsidRPr="00660C49">
        <w:rPr>
          <w:rFonts w:cs="Times New Roman"/>
          <w:szCs w:val="24"/>
        </w:rPr>
        <w:t xml:space="preserve">, </w:t>
      </w:r>
      <w:r>
        <w:rPr>
          <w:rFonts w:cs="Times New Roman"/>
          <w:szCs w:val="24"/>
        </w:rPr>
        <w:t>Ivan D. Haigh</w:t>
      </w:r>
      <w:r w:rsidR="00E92E1E" w:rsidRPr="00E92E1E">
        <w:rPr>
          <w:rFonts w:cs="Times New Roman"/>
          <w:szCs w:val="24"/>
          <w:vertAlign w:val="superscript"/>
        </w:rPr>
        <w:t>1</w:t>
      </w:r>
      <w:r w:rsidR="00BC5660" w:rsidRPr="00660C49">
        <w:rPr>
          <w:rFonts w:cs="Times New Roman"/>
          <w:szCs w:val="24"/>
        </w:rPr>
        <w:t>,</w:t>
      </w:r>
      <w:r>
        <w:rPr>
          <w:rFonts w:cs="Times New Roman"/>
          <w:szCs w:val="24"/>
        </w:rPr>
        <w:t xml:space="preserve"> Dafni </w:t>
      </w:r>
      <w:r w:rsidR="00763710">
        <w:rPr>
          <w:rFonts w:cs="Times New Roman"/>
          <w:szCs w:val="24"/>
        </w:rPr>
        <w:t xml:space="preserve">E. </w:t>
      </w:r>
      <w:r>
        <w:rPr>
          <w:rFonts w:cs="Times New Roman"/>
          <w:szCs w:val="24"/>
        </w:rPr>
        <w:t>Sifnioti</w:t>
      </w:r>
      <w:r w:rsidR="00E92E1E" w:rsidRPr="00E92E1E">
        <w:rPr>
          <w:rFonts w:cs="Times New Roman"/>
          <w:szCs w:val="24"/>
          <w:vertAlign w:val="superscript"/>
        </w:rPr>
        <w:t>2</w:t>
      </w:r>
      <w:r>
        <w:rPr>
          <w:rFonts w:cs="Times New Roman"/>
          <w:szCs w:val="24"/>
        </w:rPr>
        <w:t>, Ben Gouldby</w:t>
      </w:r>
      <w:r w:rsidR="00E92E1E" w:rsidRPr="00E92E1E">
        <w:rPr>
          <w:rFonts w:cs="Times New Roman"/>
          <w:szCs w:val="24"/>
          <w:vertAlign w:val="superscript"/>
        </w:rPr>
        <w:t>3</w:t>
      </w:r>
      <w:r>
        <w:rPr>
          <w:rFonts w:cs="Times New Roman"/>
          <w:szCs w:val="24"/>
        </w:rPr>
        <w:t>, Ye Liu</w:t>
      </w:r>
      <w:r w:rsidR="00E92E1E" w:rsidRPr="00E92E1E">
        <w:rPr>
          <w:rFonts w:cs="Times New Roman"/>
          <w:szCs w:val="24"/>
          <w:vertAlign w:val="superscript"/>
        </w:rPr>
        <w:t>3</w:t>
      </w:r>
      <w:r w:rsidR="00C66BA6">
        <w:rPr>
          <w:rFonts w:cs="Times New Roman"/>
          <w:szCs w:val="24"/>
        </w:rPr>
        <w:t>, Paula Camus</w:t>
      </w:r>
      <w:r w:rsidR="00C66BA6" w:rsidRPr="005868DF">
        <w:rPr>
          <w:rFonts w:cs="Times New Roman"/>
          <w:szCs w:val="24"/>
          <w:vertAlign w:val="superscript"/>
        </w:rPr>
        <w:t>1,</w:t>
      </w:r>
      <w:r w:rsidR="00C66BA6">
        <w:rPr>
          <w:rFonts w:cs="Times New Roman"/>
          <w:szCs w:val="24"/>
          <w:vertAlign w:val="superscript"/>
        </w:rPr>
        <w:t>4</w:t>
      </w:r>
    </w:p>
    <w:p w14:paraId="08E231E0" w14:textId="59BE7EA5" w:rsidR="0064216A" w:rsidRPr="00C66BA6" w:rsidRDefault="0064216A" w:rsidP="00DF0264">
      <w:pPr>
        <w:spacing w:after="0"/>
        <w:ind w:firstLineChars="150" w:firstLine="360"/>
        <w:jc w:val="center"/>
        <w:rPr>
          <w:rFonts w:cs="Times New Roman"/>
          <w:szCs w:val="24"/>
        </w:rPr>
      </w:pPr>
    </w:p>
    <w:p w14:paraId="50D4C6B6" w14:textId="77777777" w:rsidR="00D814A7" w:rsidRPr="0066140A" w:rsidRDefault="00D814A7" w:rsidP="00DF0264">
      <w:pPr>
        <w:spacing w:after="0"/>
        <w:ind w:firstLineChars="150" w:firstLine="360"/>
        <w:jc w:val="center"/>
        <w:rPr>
          <w:rStyle w:val="fontstyle01"/>
          <w:rFonts w:ascii="Times New Roman" w:hAnsi="Times New Roman" w:cs="Times New Roman"/>
          <w:i/>
          <w:color w:val="auto"/>
          <w:sz w:val="24"/>
          <w:szCs w:val="24"/>
          <w:vertAlign w:val="superscript"/>
        </w:rPr>
      </w:pPr>
    </w:p>
    <w:p w14:paraId="451EA140" w14:textId="17B098B1" w:rsidR="00A3073B" w:rsidRDefault="005E1553" w:rsidP="00A3073B">
      <w:pPr>
        <w:spacing w:after="0"/>
        <w:ind w:firstLineChars="150" w:firstLine="360"/>
        <w:jc w:val="left"/>
        <w:rPr>
          <w:rFonts w:cs="Times New Roman"/>
          <w:i/>
          <w:szCs w:val="24"/>
        </w:rPr>
      </w:pPr>
      <w:r w:rsidRPr="00660C49">
        <w:rPr>
          <w:rStyle w:val="fontstyle01"/>
          <w:rFonts w:ascii="Times New Roman" w:hAnsi="Times New Roman" w:cs="Times New Roman"/>
          <w:i/>
          <w:color w:val="auto"/>
          <w:sz w:val="24"/>
          <w:szCs w:val="24"/>
          <w:vertAlign w:val="superscript"/>
        </w:rPr>
        <w:t>1</w:t>
      </w:r>
      <w:r w:rsidR="00E92E1E" w:rsidRPr="00E92E1E">
        <w:rPr>
          <w:rFonts w:cs="Times New Roman"/>
          <w:i/>
          <w:szCs w:val="24"/>
        </w:rPr>
        <w:t xml:space="preserve">School of Ocean and Earth Science, National Oceanography Centre, University of Southampton, European Way, Southampton, SO14 3ZH, </w:t>
      </w:r>
      <w:r w:rsidR="00A3073B" w:rsidRPr="00E92E1E">
        <w:rPr>
          <w:rFonts w:cs="Times New Roman"/>
          <w:i/>
          <w:szCs w:val="24"/>
        </w:rPr>
        <w:t>U</w:t>
      </w:r>
      <w:r w:rsidR="00A3073B">
        <w:rPr>
          <w:rFonts w:cs="Times New Roman"/>
          <w:i/>
          <w:szCs w:val="24"/>
        </w:rPr>
        <w:t>nited Kingdom</w:t>
      </w:r>
    </w:p>
    <w:p w14:paraId="61AD9637" w14:textId="0FC00EF0" w:rsidR="00E92E1E" w:rsidRDefault="00E92E1E" w:rsidP="00DA52D3">
      <w:pPr>
        <w:spacing w:after="0"/>
        <w:ind w:firstLineChars="150" w:firstLine="360"/>
        <w:jc w:val="left"/>
        <w:rPr>
          <w:rFonts w:cs="Times New Roman"/>
          <w:i/>
          <w:szCs w:val="24"/>
        </w:rPr>
      </w:pPr>
      <w:r w:rsidRPr="00E92E1E">
        <w:rPr>
          <w:rFonts w:cs="Times New Roman"/>
          <w:i/>
          <w:szCs w:val="24"/>
          <w:vertAlign w:val="superscript"/>
        </w:rPr>
        <w:t>2</w:t>
      </w:r>
      <w:r w:rsidRPr="00E92E1E">
        <w:rPr>
          <w:rFonts w:cs="Times New Roman"/>
          <w:i/>
          <w:szCs w:val="24"/>
        </w:rPr>
        <w:t xml:space="preserve">EDF Research &amp; Development UK Centre, 90 Whitfield Street, London, W1T 4EZ, </w:t>
      </w:r>
      <w:r w:rsidR="00B411E8" w:rsidRPr="00E92E1E">
        <w:rPr>
          <w:rFonts w:cs="Times New Roman"/>
          <w:i/>
          <w:szCs w:val="24"/>
        </w:rPr>
        <w:t>U</w:t>
      </w:r>
      <w:r w:rsidR="00B411E8">
        <w:rPr>
          <w:rFonts w:cs="Times New Roman"/>
          <w:i/>
          <w:szCs w:val="24"/>
        </w:rPr>
        <w:t>nited Kingdom</w:t>
      </w:r>
      <w:r w:rsidR="00B411E8" w:rsidRPr="00E92E1E" w:rsidDel="00B411E8">
        <w:rPr>
          <w:rFonts w:cs="Times New Roman"/>
          <w:i/>
          <w:szCs w:val="24"/>
        </w:rPr>
        <w:t xml:space="preserve"> </w:t>
      </w:r>
    </w:p>
    <w:p w14:paraId="4E582340" w14:textId="5609CFCC" w:rsidR="00E92E1E" w:rsidRPr="00660C49" w:rsidRDefault="00E92E1E" w:rsidP="00DA52D3">
      <w:pPr>
        <w:spacing w:after="0"/>
        <w:ind w:firstLineChars="150" w:firstLine="360"/>
        <w:jc w:val="left"/>
        <w:rPr>
          <w:rStyle w:val="fontstyle01"/>
          <w:rFonts w:ascii="Times New Roman" w:hAnsi="Times New Roman" w:cs="Times New Roman"/>
          <w:i/>
          <w:color w:val="auto"/>
          <w:sz w:val="24"/>
          <w:szCs w:val="24"/>
        </w:rPr>
      </w:pPr>
      <w:r w:rsidRPr="00E92E1E">
        <w:rPr>
          <w:rFonts w:cs="Times New Roman"/>
          <w:i/>
          <w:szCs w:val="24"/>
          <w:vertAlign w:val="superscript"/>
        </w:rPr>
        <w:t>3</w:t>
      </w:r>
      <w:r w:rsidRPr="00E92E1E">
        <w:rPr>
          <w:rFonts w:cs="Times New Roman"/>
          <w:i/>
          <w:szCs w:val="24"/>
        </w:rPr>
        <w:t xml:space="preserve">HR Wallingford, Howbery Park, Wallingford, OX10 8BA, </w:t>
      </w:r>
      <w:r w:rsidR="00B411E8" w:rsidRPr="00E92E1E">
        <w:rPr>
          <w:rFonts w:cs="Times New Roman"/>
          <w:i/>
          <w:szCs w:val="24"/>
        </w:rPr>
        <w:t>U</w:t>
      </w:r>
      <w:r w:rsidR="00B411E8">
        <w:rPr>
          <w:rFonts w:cs="Times New Roman"/>
          <w:i/>
          <w:szCs w:val="24"/>
        </w:rPr>
        <w:t>nited Kingdom</w:t>
      </w:r>
      <w:r w:rsidR="00B411E8" w:rsidRPr="00E92E1E" w:rsidDel="00B411E8">
        <w:rPr>
          <w:rFonts w:cs="Times New Roman"/>
          <w:i/>
          <w:szCs w:val="24"/>
        </w:rPr>
        <w:t xml:space="preserve"> </w:t>
      </w:r>
    </w:p>
    <w:p w14:paraId="693ACC5E" w14:textId="77777777" w:rsidR="00EC55D4" w:rsidRPr="00DA52D3" w:rsidRDefault="00EC55D4" w:rsidP="00EC55D4">
      <w:pPr>
        <w:spacing w:after="0"/>
        <w:ind w:firstLineChars="150" w:firstLine="360"/>
        <w:jc w:val="left"/>
        <w:rPr>
          <w:rFonts w:cs="Times New Roman"/>
          <w:i/>
          <w:szCs w:val="24"/>
          <w:lang w:val="es-ES"/>
        </w:rPr>
      </w:pPr>
      <w:r w:rsidRPr="00DA52D3">
        <w:rPr>
          <w:rFonts w:cs="Times New Roman"/>
          <w:i/>
          <w:szCs w:val="24"/>
          <w:vertAlign w:val="superscript"/>
        </w:rPr>
        <w:t xml:space="preserve">4 </w:t>
      </w:r>
      <w:r w:rsidRPr="00DA52D3">
        <w:rPr>
          <w:rFonts w:cs="Times New Roman"/>
          <w:i/>
          <w:szCs w:val="24"/>
        </w:rPr>
        <w:t>Geomatics and Ocean Engineering Group. Departamento de Ciencias y Técnicas del Agua y del Medio Ambiente. E.T.S.I.C.C.P. Universidad de Cantabria, 39005 Santander, Spain</w:t>
      </w:r>
    </w:p>
    <w:p w14:paraId="488E3B98" w14:textId="762DEF32" w:rsidR="0064216A" w:rsidRPr="00DA52D3" w:rsidRDefault="0064216A" w:rsidP="009F1216">
      <w:pPr>
        <w:spacing w:after="0"/>
        <w:ind w:firstLineChars="150" w:firstLine="360"/>
        <w:rPr>
          <w:rFonts w:cs="Times New Roman"/>
          <w:iCs/>
          <w:szCs w:val="24"/>
          <w:lang w:val="es-ES"/>
        </w:rPr>
      </w:pPr>
    </w:p>
    <w:p w14:paraId="60237E2C" w14:textId="5D12E07A" w:rsidR="00B378FF" w:rsidRPr="00DA52D3" w:rsidRDefault="00B378FF" w:rsidP="00DF0264">
      <w:pPr>
        <w:spacing w:after="0"/>
        <w:ind w:firstLineChars="150" w:firstLine="360"/>
        <w:jc w:val="center"/>
        <w:rPr>
          <w:rFonts w:cs="Times New Roman"/>
          <w:iCs/>
          <w:szCs w:val="24"/>
          <w:lang w:val="es-ES"/>
        </w:rPr>
      </w:pPr>
    </w:p>
    <w:p w14:paraId="5C7E9AC8" w14:textId="0836E6BC" w:rsidR="007D2CB7" w:rsidRPr="00DA52D3" w:rsidRDefault="007D2CB7" w:rsidP="0087385D">
      <w:pPr>
        <w:tabs>
          <w:tab w:val="left" w:pos="3029"/>
        </w:tabs>
        <w:spacing w:after="0"/>
        <w:ind w:firstLineChars="150" w:firstLine="360"/>
        <w:rPr>
          <w:rFonts w:cs="Times New Roman"/>
          <w:iCs/>
          <w:szCs w:val="24"/>
          <w:lang w:val="es-ES"/>
        </w:rPr>
      </w:pPr>
    </w:p>
    <w:p w14:paraId="244D32E2" w14:textId="42ED8986" w:rsidR="009C1B6C" w:rsidRPr="00DA52D3" w:rsidRDefault="00D76927" w:rsidP="0087385D">
      <w:pPr>
        <w:tabs>
          <w:tab w:val="left" w:pos="3029"/>
        </w:tabs>
        <w:spacing w:after="0"/>
        <w:ind w:firstLineChars="150" w:firstLine="360"/>
        <w:rPr>
          <w:rFonts w:cs="Times New Roman"/>
          <w:iCs/>
          <w:szCs w:val="24"/>
          <w:lang w:val="es-ES"/>
        </w:rPr>
      </w:pPr>
      <w:r w:rsidRPr="00DA52D3">
        <w:rPr>
          <w:rFonts w:cs="Times New Roman"/>
          <w:iCs/>
          <w:szCs w:val="24"/>
          <w:lang w:val="es-ES"/>
        </w:rPr>
        <w:t xml:space="preserve"> </w:t>
      </w:r>
      <w:r w:rsidR="00A8488D" w:rsidRPr="00DA52D3">
        <w:rPr>
          <w:rFonts w:cs="Times New Roman"/>
          <w:iCs/>
          <w:szCs w:val="24"/>
          <w:lang w:val="es-ES"/>
        </w:rPr>
        <w:t xml:space="preserve"> </w:t>
      </w:r>
    </w:p>
    <w:p w14:paraId="13910B91" w14:textId="77777777" w:rsidR="0064216A" w:rsidRPr="00DA52D3" w:rsidRDefault="0064216A" w:rsidP="00DF0264">
      <w:pPr>
        <w:spacing w:after="0"/>
        <w:ind w:firstLineChars="150" w:firstLine="360"/>
        <w:jc w:val="center"/>
        <w:rPr>
          <w:rFonts w:cs="Times New Roman"/>
          <w:iCs/>
          <w:szCs w:val="24"/>
          <w:lang w:val="es-ES"/>
        </w:rPr>
      </w:pPr>
    </w:p>
    <w:p w14:paraId="3E7568E2" w14:textId="4AEB0ADA" w:rsidR="0064216A" w:rsidRPr="00F76D74" w:rsidRDefault="0064216A" w:rsidP="00DF0264">
      <w:pPr>
        <w:spacing w:after="0"/>
        <w:rPr>
          <w:rFonts w:cs="Times New Roman"/>
          <w:szCs w:val="24"/>
          <w:lang w:val="en-GB"/>
        </w:rPr>
      </w:pPr>
      <w:r w:rsidRPr="00DA52D3">
        <w:rPr>
          <w:rFonts w:cs="Times New Roman"/>
          <w:szCs w:val="24"/>
          <w:vertAlign w:val="superscript"/>
          <w:lang w:val="en-GB"/>
        </w:rPr>
        <w:t xml:space="preserve">* </w:t>
      </w:r>
      <w:r w:rsidRPr="00DA52D3">
        <w:rPr>
          <w:rFonts w:cs="Times New Roman"/>
          <w:szCs w:val="24"/>
          <w:lang w:val="en-GB"/>
        </w:rPr>
        <w:t xml:space="preserve">Corresponding author: </w:t>
      </w:r>
      <w:r w:rsidR="006D157C" w:rsidRPr="00DA52D3">
        <w:rPr>
          <w:rFonts w:cs="Times New Roman"/>
          <w:szCs w:val="24"/>
          <w:lang w:val="en-GB"/>
        </w:rPr>
        <w:t>Zehua Zhong</w:t>
      </w:r>
      <w:r w:rsidRPr="00DA52D3">
        <w:rPr>
          <w:rFonts w:cs="Times New Roman"/>
          <w:szCs w:val="24"/>
          <w:lang w:val="en-GB"/>
        </w:rPr>
        <w:t xml:space="preserve"> (</w:t>
      </w:r>
      <w:hyperlink r:id="rId9" w:history="1">
        <w:r w:rsidR="00CB2907" w:rsidRPr="00DA52D3">
          <w:rPr>
            <w:rStyle w:val="Hyperlink"/>
            <w:rFonts w:cs="Times New Roman"/>
            <w:szCs w:val="24"/>
            <w:lang w:val="en-GB"/>
          </w:rPr>
          <w:t>Zehua.Zhong@soton.ac.uk</w:t>
        </w:r>
      </w:hyperlink>
      <w:r w:rsidRPr="00DA52D3">
        <w:rPr>
          <w:rFonts w:cs="Times New Roman"/>
          <w:szCs w:val="24"/>
          <w:lang w:val="en-GB"/>
        </w:rPr>
        <w:t>)</w:t>
      </w:r>
      <w:r w:rsidR="00F76D74">
        <w:rPr>
          <w:rFonts w:cs="Times New Roman"/>
          <w:szCs w:val="24"/>
          <w:lang w:val="en-GB"/>
        </w:rPr>
        <w:t xml:space="preserve"> </w:t>
      </w:r>
    </w:p>
    <w:p w14:paraId="0F9E9841" w14:textId="74F29EF0" w:rsidR="0064216A" w:rsidRPr="00DA52D3" w:rsidRDefault="0064216A" w:rsidP="00DF0264">
      <w:pPr>
        <w:autoSpaceDE w:val="0"/>
        <w:autoSpaceDN w:val="0"/>
        <w:adjustRightInd w:val="0"/>
        <w:spacing w:after="0"/>
        <w:jc w:val="center"/>
        <w:rPr>
          <w:rFonts w:cs="Times New Roman"/>
          <w:szCs w:val="24"/>
          <w:lang w:val="en-GB"/>
        </w:rPr>
      </w:pPr>
    </w:p>
    <w:p w14:paraId="1AC85E11" w14:textId="59A5A5E8" w:rsidR="00B378FF" w:rsidRPr="00DA52D3" w:rsidRDefault="00B378FF" w:rsidP="00DF0264">
      <w:pPr>
        <w:autoSpaceDE w:val="0"/>
        <w:autoSpaceDN w:val="0"/>
        <w:adjustRightInd w:val="0"/>
        <w:spacing w:after="0"/>
        <w:jc w:val="center"/>
        <w:rPr>
          <w:rFonts w:cs="Times New Roman"/>
          <w:szCs w:val="24"/>
          <w:lang w:val="en-GB"/>
        </w:rPr>
      </w:pPr>
    </w:p>
    <w:p w14:paraId="42DA9AA9" w14:textId="66ED72B9" w:rsidR="00B378FF" w:rsidRPr="00DA52D3" w:rsidRDefault="00B378FF" w:rsidP="00DF0264">
      <w:pPr>
        <w:autoSpaceDE w:val="0"/>
        <w:autoSpaceDN w:val="0"/>
        <w:adjustRightInd w:val="0"/>
        <w:spacing w:after="0"/>
        <w:jc w:val="center"/>
        <w:rPr>
          <w:rFonts w:cs="Times New Roman"/>
          <w:szCs w:val="24"/>
          <w:lang w:val="en-GB"/>
        </w:rPr>
      </w:pPr>
    </w:p>
    <w:p w14:paraId="5243A9FD" w14:textId="77777777" w:rsidR="0064216A" w:rsidRPr="00DA52D3" w:rsidRDefault="0064216A" w:rsidP="00DF0264">
      <w:pPr>
        <w:autoSpaceDE w:val="0"/>
        <w:autoSpaceDN w:val="0"/>
        <w:adjustRightInd w:val="0"/>
        <w:spacing w:after="0"/>
        <w:jc w:val="center"/>
        <w:rPr>
          <w:rFonts w:cs="Times New Roman"/>
          <w:szCs w:val="24"/>
          <w:lang w:val="en-GB"/>
        </w:rPr>
      </w:pPr>
    </w:p>
    <w:p w14:paraId="5BA52C12" w14:textId="77777777" w:rsidR="000408E2" w:rsidRPr="00DA52D3" w:rsidRDefault="000408E2" w:rsidP="00DF0264">
      <w:pPr>
        <w:autoSpaceDE w:val="0"/>
        <w:autoSpaceDN w:val="0"/>
        <w:adjustRightInd w:val="0"/>
        <w:spacing w:after="0"/>
        <w:jc w:val="center"/>
        <w:rPr>
          <w:rFonts w:cs="Times New Roman"/>
          <w:iCs/>
          <w:szCs w:val="24"/>
          <w:lang w:val="en-GB"/>
        </w:rPr>
      </w:pPr>
    </w:p>
    <w:p w14:paraId="51FFD463" w14:textId="77777777" w:rsidR="00531B8C" w:rsidRPr="00DA52D3" w:rsidRDefault="00531B8C" w:rsidP="00DF0264">
      <w:pPr>
        <w:autoSpaceDE w:val="0"/>
        <w:autoSpaceDN w:val="0"/>
        <w:adjustRightInd w:val="0"/>
        <w:spacing w:after="0"/>
        <w:jc w:val="center"/>
        <w:rPr>
          <w:rFonts w:cs="Times New Roman"/>
          <w:iCs/>
          <w:szCs w:val="24"/>
          <w:lang w:val="en-GB"/>
        </w:rPr>
      </w:pPr>
    </w:p>
    <w:p w14:paraId="6B70264A" w14:textId="77777777" w:rsidR="002F22C1" w:rsidRPr="00E85701" w:rsidRDefault="002F22C1">
      <w:pPr>
        <w:spacing w:line="259" w:lineRule="auto"/>
        <w:jc w:val="left"/>
        <w:rPr>
          <w:rFonts w:eastAsia="SimHei" w:cs="Times New Roman"/>
          <w:b/>
          <w:szCs w:val="24"/>
          <w:lang w:val="en-GB" w:eastAsia="en-GB"/>
        </w:rPr>
      </w:pPr>
      <w:r w:rsidRPr="00DA52D3">
        <w:rPr>
          <w:rFonts w:eastAsia="SimHei"/>
          <w:b/>
          <w:lang w:val="en-GB"/>
        </w:rPr>
        <w:br w:type="page"/>
      </w:r>
    </w:p>
    <w:p w14:paraId="49D8D1F1" w14:textId="00E9D891" w:rsidR="00FB0F78" w:rsidRDefault="00C677FA" w:rsidP="002F22C1">
      <w:pPr>
        <w:pStyle w:val="Paragraph"/>
      </w:pPr>
      <w:r w:rsidRPr="00660C49">
        <w:rPr>
          <w:rFonts w:eastAsia="SimHei"/>
          <w:b/>
        </w:rPr>
        <w:lastRenderedPageBreak/>
        <w:t xml:space="preserve">Abstract: </w:t>
      </w:r>
      <w:r w:rsidR="00E92AE8">
        <w:t xml:space="preserve">Evaluating risks from external hazards is crucial for the </w:t>
      </w:r>
      <w:r w:rsidR="00D55592">
        <w:t>safety</w:t>
      </w:r>
      <w:r w:rsidR="00E92AE8">
        <w:t xml:space="preserve"> of nuclear power stations throughout their lifecycle</w:t>
      </w:r>
      <w:r w:rsidR="002F22C1" w:rsidRPr="006232FE">
        <w:t>. In coastal areas, a key threat arises from the risk</w:t>
      </w:r>
      <w:r w:rsidR="006D2FC9">
        <w:t>s</w:t>
      </w:r>
      <w:r w:rsidR="002F22C1" w:rsidRPr="006232FE">
        <w:t xml:space="preserve"> of coastal flooding and erosion</w:t>
      </w:r>
      <w:r w:rsidR="00763710">
        <w:t xml:space="preserve"> via</w:t>
      </w:r>
      <w:r w:rsidR="002F22C1" w:rsidRPr="006232FE">
        <w:t xml:space="preserve"> a combination of </w:t>
      </w:r>
      <w:r w:rsidR="002F22C1">
        <w:t>simultaneous processes (</w:t>
      </w:r>
      <w:r w:rsidR="002F22C1" w:rsidRPr="00077044">
        <w:t>e.g.,</w:t>
      </w:r>
      <w:r w:rsidR="002F22C1">
        <w:t xml:space="preserve"> tides, waves,</w:t>
      </w:r>
      <w:r w:rsidR="00BE00E7">
        <w:t xml:space="preserve"> and</w:t>
      </w:r>
      <w:r w:rsidR="002F22C1">
        <w:t xml:space="preserve"> storm surges) </w:t>
      </w:r>
      <w:r w:rsidR="00763710">
        <w:t>acting</w:t>
      </w:r>
      <w:r w:rsidR="002F22C1" w:rsidRPr="006232FE">
        <w:t xml:space="preserve"> on </w:t>
      </w:r>
      <w:r w:rsidR="00E53031">
        <w:t>varying</w:t>
      </w:r>
      <w:r w:rsidR="002F22C1" w:rsidRPr="006232FE">
        <w:t xml:space="preserve"> spatial and temporal scales. </w:t>
      </w:r>
      <w:r w:rsidR="002F22C1">
        <w:t>Therefore, an accurate characterisation of local sea state conditions is essential for risk assessment and m</w:t>
      </w:r>
      <w:r w:rsidR="00A0213E">
        <w:t>itiga</w:t>
      </w:r>
      <w:r w:rsidR="002F22C1">
        <w:t>t</w:t>
      </w:r>
      <w:r w:rsidR="00A0213E">
        <w:t>ion</w:t>
      </w:r>
      <w:r w:rsidR="002F22C1" w:rsidRPr="00C10E91">
        <w:t>.</w:t>
      </w:r>
      <w:r w:rsidR="002F22C1">
        <w:t xml:space="preserve"> In this </w:t>
      </w:r>
      <w:r w:rsidR="001C05E4">
        <w:t>paper</w:t>
      </w:r>
      <w:r w:rsidR="002F22C1">
        <w:t>, we use a weather typing method to downscale local wave climate and storm surge conditions at the Hartlepool nuclear power station.</w:t>
      </w:r>
      <w:r w:rsidR="00E92AE8">
        <w:t xml:space="preserve"> </w:t>
      </w:r>
      <w:r w:rsidR="002F22C1">
        <w:t>Model validation</w:t>
      </w:r>
      <w:r w:rsidR="00F513B3">
        <w:t xml:space="preserve"> </w:t>
      </w:r>
      <w:r w:rsidR="002F22C1">
        <w:t xml:space="preserve">suggests that </w:t>
      </w:r>
      <w:r w:rsidR="00E92AE8">
        <w:t>the use of 36</w:t>
      </w:r>
      <w:r w:rsidR="002F22C1">
        <w:t xml:space="preserve"> weather types can</w:t>
      </w:r>
      <w:r w:rsidR="00A42054">
        <w:t xml:space="preserve"> effectively</w:t>
      </w:r>
      <w:r w:rsidR="002F22C1">
        <w:t xml:space="preserve"> downscale </w:t>
      </w:r>
      <w:r w:rsidR="00C77839">
        <w:t xml:space="preserve">multivariate wave </w:t>
      </w:r>
      <w:r w:rsidR="007757FF">
        <w:t>variables (wave height, period, and direction)</w:t>
      </w:r>
      <w:r w:rsidR="00C77839">
        <w:t xml:space="preserve"> and storm surge</w:t>
      </w:r>
      <w:r w:rsidR="002F22C1">
        <w:t xml:space="preserve"> with </w:t>
      </w:r>
      <w:r w:rsidR="009F3419">
        <w:t>overall good</w:t>
      </w:r>
      <w:r w:rsidR="002F22C1">
        <w:t xml:space="preserve"> </w:t>
      </w:r>
      <w:r w:rsidR="00741394">
        <w:t>performance</w:t>
      </w:r>
      <w:r w:rsidR="001C05E4">
        <w:t xml:space="preserve">, </w:t>
      </w:r>
      <w:r w:rsidR="008D0FC7">
        <w:t>though</w:t>
      </w:r>
      <w:r w:rsidR="00DB20C2">
        <w:t xml:space="preserve"> </w:t>
      </w:r>
      <w:r w:rsidR="00C8785E">
        <w:t>the accuracy</w:t>
      </w:r>
      <w:r w:rsidR="00DB20C2">
        <w:t xml:space="preserve"> is </w:t>
      </w:r>
      <w:r w:rsidR="00C8785E">
        <w:t>limited</w:t>
      </w:r>
      <w:r w:rsidR="00401A6F">
        <w:t xml:space="preserve"> for </w:t>
      </w:r>
      <w:r w:rsidR="00872BED">
        <w:t xml:space="preserve">wave direction and </w:t>
      </w:r>
      <w:r w:rsidR="00401A6F">
        <w:t>extreme wave height</w:t>
      </w:r>
      <w:r w:rsidR="002F22C1">
        <w:t xml:space="preserve">. </w:t>
      </w:r>
      <w:r w:rsidR="006D2FC9">
        <w:t xml:space="preserve">Comprehensive </w:t>
      </w:r>
      <w:r w:rsidR="002F22C1">
        <w:t>sensitivity tests</w:t>
      </w:r>
      <w:r w:rsidR="006D2FC9">
        <w:t xml:space="preserve"> are conducted </w:t>
      </w:r>
      <w:r w:rsidR="002F22C1">
        <w:t xml:space="preserve">to investigate </w:t>
      </w:r>
      <w:r w:rsidR="00BE00E7">
        <w:t>key</w:t>
      </w:r>
      <w:r w:rsidR="002F22C1">
        <w:t xml:space="preserve"> </w:t>
      </w:r>
      <w:r w:rsidR="00E53031">
        <w:t>factors</w:t>
      </w:r>
      <w:r w:rsidR="002F22C1" w:rsidRPr="00077044">
        <w:t xml:space="preserve"> </w:t>
      </w:r>
      <w:r w:rsidR="00BE00E7">
        <w:t xml:space="preserve">influencing the downscaling process, including </w:t>
      </w:r>
      <w:r w:rsidR="002F22C1">
        <w:t xml:space="preserve">predictor variable, </w:t>
      </w:r>
      <w:r w:rsidR="00E53031">
        <w:t>spatial and temporal definitions</w:t>
      </w:r>
      <w:r w:rsidR="008F4AFB">
        <w:t>, predictor</w:t>
      </w:r>
      <w:r w:rsidR="00BE00E7">
        <w:t xml:space="preserve"> resolution</w:t>
      </w:r>
      <w:r w:rsidR="008F4AFB">
        <w:t>,</w:t>
      </w:r>
      <w:r w:rsidR="001E65F2">
        <w:t xml:space="preserve"> </w:t>
      </w:r>
      <w:r w:rsidR="002F22C1">
        <w:t>the number of weather types</w:t>
      </w:r>
      <w:r w:rsidR="008F4AFB">
        <w:t xml:space="preserve">, and the weighting parameter in </w:t>
      </w:r>
      <w:r w:rsidR="00D52C97">
        <w:t>semi-supervised classification</w:t>
      </w:r>
      <w:r w:rsidR="002F22C1">
        <w:t>.</w:t>
      </w:r>
      <w:r w:rsidR="00AA718C">
        <w:t xml:space="preserve"> </w:t>
      </w:r>
      <w:r w:rsidR="00ED4B77">
        <w:t>For example, we find that the model with sea level pressure and sea level pressure gradient as the predictor has better overall performance in downscaling multivariate predictands than the model using either one individually. These results can facilitate the</w:t>
      </w:r>
      <w:r w:rsidR="00ED4B77" w:rsidRPr="00D52C97">
        <w:t xml:space="preserve"> </w:t>
      </w:r>
      <w:r w:rsidR="00ED4B77">
        <w:t>development of weather typing models to enable efficient and reliable estimations of local predictands in wider applications. This approach links atmospheric conditions to potential coastal threats, which offers a valuable tool for proactive hazard preparedness and risk management in nuclear power and other critical infrastructure sectors.</w:t>
      </w:r>
    </w:p>
    <w:p w14:paraId="511C8BB3" w14:textId="783314EF" w:rsidR="0095182D" w:rsidRPr="002F22C1" w:rsidRDefault="0095182D" w:rsidP="00DF0264">
      <w:pPr>
        <w:adjustRightInd w:val="0"/>
        <w:spacing w:after="0"/>
        <w:textAlignment w:val="center"/>
        <w:rPr>
          <w:rFonts w:eastAsia="SimSun" w:cs="Times New Roman"/>
          <w:kern w:val="2"/>
          <w:szCs w:val="24"/>
          <w:lang w:val="en-GB"/>
        </w:rPr>
      </w:pPr>
    </w:p>
    <w:p w14:paraId="4C9F0BB3" w14:textId="6CFF8F23" w:rsidR="000D3178" w:rsidRDefault="003F68A5" w:rsidP="000A3F9F">
      <w:pPr>
        <w:autoSpaceDE w:val="0"/>
        <w:autoSpaceDN w:val="0"/>
        <w:adjustRightInd w:val="0"/>
        <w:spacing w:after="0"/>
        <w:rPr>
          <w:rStyle w:val="fontstyle01"/>
          <w:rFonts w:ascii="Times New Roman" w:hAnsi="Times New Roman" w:cs="Times New Roman"/>
          <w:color w:val="auto"/>
          <w:sz w:val="24"/>
          <w:szCs w:val="24"/>
        </w:rPr>
      </w:pPr>
      <w:r w:rsidRPr="00660C49">
        <w:rPr>
          <w:rFonts w:eastAsia="SimHei" w:cs="Times New Roman"/>
          <w:b/>
          <w:szCs w:val="24"/>
        </w:rPr>
        <w:t>Keywords:</w:t>
      </w:r>
      <w:r w:rsidR="008254F6" w:rsidRPr="00660C49">
        <w:rPr>
          <w:rFonts w:eastAsia="SimSun" w:cs="Times New Roman"/>
          <w:bCs/>
          <w:kern w:val="2"/>
          <w:szCs w:val="24"/>
        </w:rPr>
        <w:t xml:space="preserve"> </w:t>
      </w:r>
      <w:r w:rsidR="002F22C1">
        <w:rPr>
          <w:rFonts w:eastAsia="SimSun" w:cs="Times New Roman" w:hint="eastAsia"/>
          <w:bCs/>
          <w:kern w:val="2"/>
          <w:szCs w:val="24"/>
        </w:rPr>
        <w:t>Weather</w:t>
      </w:r>
      <w:r w:rsidR="000D3178">
        <w:rPr>
          <w:rFonts w:eastAsia="SimSun" w:cs="Times New Roman"/>
          <w:bCs/>
          <w:kern w:val="2"/>
          <w:szCs w:val="24"/>
        </w:rPr>
        <w:t xml:space="preserve"> types, </w:t>
      </w:r>
      <w:r w:rsidR="00047C13">
        <w:rPr>
          <w:rFonts w:eastAsia="SimSun" w:cs="Times New Roman"/>
          <w:bCs/>
          <w:kern w:val="2"/>
          <w:szCs w:val="24"/>
        </w:rPr>
        <w:t>W</w:t>
      </w:r>
      <w:r w:rsidR="000D3178">
        <w:rPr>
          <w:rFonts w:eastAsia="SimSun" w:cs="Times New Roman"/>
          <w:bCs/>
          <w:kern w:val="2"/>
          <w:szCs w:val="24"/>
        </w:rPr>
        <w:t xml:space="preserve">ave climate, </w:t>
      </w:r>
      <w:r w:rsidR="00047C13">
        <w:rPr>
          <w:rFonts w:eastAsia="SimSun" w:cs="Times New Roman"/>
          <w:bCs/>
          <w:kern w:val="2"/>
          <w:szCs w:val="24"/>
        </w:rPr>
        <w:t>S</w:t>
      </w:r>
      <w:r w:rsidR="000D3178">
        <w:rPr>
          <w:rFonts w:eastAsia="SimSun" w:cs="Times New Roman"/>
          <w:bCs/>
          <w:kern w:val="2"/>
          <w:szCs w:val="24"/>
        </w:rPr>
        <w:t>torm surge, Sensitivity analysis, Statistical downscaling</w:t>
      </w:r>
      <w:r w:rsidR="00F513B3">
        <w:rPr>
          <w:rStyle w:val="fontstyle01"/>
          <w:rFonts w:ascii="Times New Roman" w:hAnsi="Times New Roman" w:cs="Times New Roman"/>
          <w:color w:val="auto"/>
          <w:sz w:val="24"/>
          <w:szCs w:val="24"/>
        </w:rPr>
        <w:t xml:space="preserve"> </w:t>
      </w:r>
      <w:r w:rsidR="000D3178">
        <w:rPr>
          <w:rStyle w:val="fontstyle01"/>
          <w:rFonts w:ascii="Times New Roman" w:hAnsi="Times New Roman" w:cs="Times New Roman"/>
          <w:color w:val="auto"/>
          <w:sz w:val="24"/>
          <w:szCs w:val="24"/>
        </w:rPr>
        <w:br w:type="page"/>
      </w:r>
    </w:p>
    <w:p w14:paraId="07A5672C" w14:textId="14CCEF7D" w:rsidR="00BF2FE9" w:rsidRPr="00DA52D3" w:rsidRDefault="00BF2FE9" w:rsidP="0040051F">
      <w:pPr>
        <w:pStyle w:val="Paragraph"/>
        <w:rPr>
          <w:b/>
          <w:bCs/>
          <w:sz w:val="28"/>
          <w:szCs w:val="28"/>
        </w:rPr>
      </w:pPr>
      <w:r w:rsidRPr="00DA52D3">
        <w:rPr>
          <w:b/>
          <w:bCs/>
          <w:sz w:val="28"/>
          <w:szCs w:val="28"/>
        </w:rPr>
        <w:lastRenderedPageBreak/>
        <w:t>1 Introduction</w:t>
      </w:r>
    </w:p>
    <w:p w14:paraId="502FE6B2" w14:textId="6745C132" w:rsidR="000D3178" w:rsidRDefault="000D3178" w:rsidP="000D3178">
      <w:pPr>
        <w:pStyle w:val="Paragraph"/>
      </w:pPr>
      <w:r>
        <w:t xml:space="preserve">Understanding the driving mechanisms </w:t>
      </w:r>
      <w:r w:rsidR="00140D89">
        <w:t xml:space="preserve">of, </w:t>
      </w:r>
      <w:r>
        <w:t>and contributing factors to</w:t>
      </w:r>
      <w:r w:rsidR="00140D89">
        <w:t>,</w:t>
      </w:r>
      <w:r>
        <w:t xml:space="preserve"> coastal hazards is fundamental to provid</w:t>
      </w:r>
      <w:r w:rsidR="00247919">
        <w:t>ing</w:t>
      </w:r>
      <w:r>
        <w:t xml:space="preserve"> reliable characterisation and predictions of hazard-related parameters, which are essential for robust hazard assessments</w:t>
      </w:r>
      <w:r w:rsidRPr="00636CFE">
        <w:t xml:space="preserve">. Coastal hazards </w:t>
      </w:r>
      <w:r w:rsidR="00F513B3">
        <w:rPr>
          <w:lang w:val="en-US"/>
        </w:rPr>
        <w:t xml:space="preserve">like flooding and erosion </w:t>
      </w:r>
      <w:r w:rsidRPr="00636CFE">
        <w:t>often arise from the simultaneous or consecutive occurrence of extreme conditions in multiple processes, including</w:t>
      </w:r>
      <w:r w:rsidRPr="00636CFE" w:rsidDel="004001B4">
        <w:t xml:space="preserve"> </w:t>
      </w:r>
      <w:r w:rsidRPr="00636CFE">
        <w:t xml:space="preserve">wave </w:t>
      </w:r>
      <w:r w:rsidR="00140D89">
        <w:t>conditions</w:t>
      </w:r>
      <w:r w:rsidRPr="00636CFE">
        <w:t>, storm surges, astronomical tides</w:t>
      </w:r>
      <w:r w:rsidR="00247919">
        <w:t>,</w:t>
      </w:r>
      <w:r w:rsidRPr="00636CFE">
        <w:t xml:space="preserve"> and river discharge</w:t>
      </w:r>
      <w:r w:rsidR="008365D9">
        <w:t xml:space="preserve"> </w:t>
      </w:r>
      <w:r w:rsidR="008365D9">
        <w:fldChar w:fldCharType="begin"/>
      </w:r>
      <w:r w:rsidR="008365D9">
        <w:instrText xml:space="preserve"> ADDIN ZOTERO_ITEM CSL_CITATION {"citationID":"W4qcSOiu","properties":{"formattedCitation":"(Leonard et al. 2014)","plainCitation":"(Leonard et al. 2014)","noteIndex":0},"citationItems":[{"id":302,"uris":["http://zotero.org/users/10288439/items/TSF9ND2Y"],"itemData":{"id":302,"type":"article-journal","abstract":"Climate and weather variables such as rainfall, temperature, and pressure are indicators for hazards such as tropical cyclones, floods, and fires. The impact of these events can be due to a single variable being in an extreme state, but more often it is the result of a combination of variables not all of which are necessarily extreme. Here, the combination of variables or events that lead to an extreme impact is referred to as a compound event. Any given compound event will depend upon the nature and number of physical variables, the range of spatial and temporal scales, the strength of dependence between processes, and the perspective of the stakeholder who defines the impact. Modeling compound events is a large, complex, and interdisciplinary undertaking. To facilitate this task we propose the use of influence diagrams for defining, mapping, analyzing, modeling, and communicating the risk of the compound event. Ultimately, a greater appreciation of compound events will lead to further insight and a changed perspective on how impact risks are associated with climate-related hazards. WIREs Clim Change 2014, 5:113–128. doi: 10.1002/wcc.252 This article is categorized under: Climate Models and Modeling &gt; Knowledge Generation with Models Assessing Impacts of Climate Change &gt; Representing Uncertainty","container-title":"WIREs Climate Change","DOI":"10.1002/wcc.252","ISSN":"1757-7799","issue":"1","language":"en","note":"_eprint: https://onlinelibrary.wiley.com/doi/pdf/10.1002/wcc.252","page":"113-128","source":"Wiley Online Library","title":"A compound event framework for understanding extreme impacts","volume":"5","author":[{"family":"Leonard","given":"Michael"},{"family":"Westra","given":"Seth"},{"family":"Phatak","given":"Aloke"},{"family":"Lambert","given":"Martin"},{"family":"Hurk","given":"Bart","non-dropping-particle":"van den"},{"family":"McInnes","given":"Kathleen"},{"family":"Risbey","given":"James"},{"family":"Schuster","given":"Sandra"},{"family":"Jakob","given":"Doerte"},{"family":"Stafford-Smith","given":"Mark"}],"issued":{"date-parts":[["2014"]]}}}],"schema":"https://github.com/citation-style-language/schema/raw/master/csl-citation.json"} </w:instrText>
      </w:r>
      <w:r w:rsidR="008365D9">
        <w:fldChar w:fldCharType="separate"/>
      </w:r>
      <w:r w:rsidR="00282A3B" w:rsidRPr="00282A3B">
        <w:t>(Leonard et al. 2014)</w:t>
      </w:r>
      <w:r w:rsidR="008365D9">
        <w:fldChar w:fldCharType="end"/>
      </w:r>
      <w:r>
        <w:t xml:space="preserve">. This multivariate nature of hazard-related conditions is critical in quantifying risk potential, </w:t>
      </w:r>
      <w:r w:rsidRPr="0049726C">
        <w:t xml:space="preserve">as </w:t>
      </w:r>
      <w:r>
        <w:t>events with extreme impacts</w:t>
      </w:r>
      <w:r w:rsidRPr="0049726C">
        <w:t xml:space="preserve"> can </w:t>
      </w:r>
      <w:r>
        <w:t xml:space="preserve">also </w:t>
      </w:r>
      <w:r w:rsidRPr="0049726C">
        <w:t>occur without any of the individual processes being extreme on their own</w:t>
      </w:r>
      <w:r>
        <w:t>. These sea state components exhibit</w:t>
      </w:r>
      <w:r w:rsidRPr="00386E7C">
        <w:t xml:space="preserve"> large variabilities and </w:t>
      </w:r>
      <w:r>
        <w:t>act on</w:t>
      </w:r>
      <w:r w:rsidRPr="00386E7C">
        <w:t xml:space="preserve"> a wide range of spatial and temporal scales</w:t>
      </w:r>
      <w:r>
        <w:t>, which complicates their characterisation</w:t>
      </w:r>
      <w:r w:rsidR="00DA73E7">
        <w:t xml:space="preserve"> and assessments o</w:t>
      </w:r>
      <w:r w:rsidR="00247919">
        <w:t>f</w:t>
      </w:r>
      <w:r w:rsidR="00DA73E7">
        <w:t xml:space="preserve"> their local impacts</w:t>
      </w:r>
      <w:r>
        <w:t xml:space="preserve">. For instance, coastal wave climates typically constitute </w:t>
      </w:r>
      <w:r w:rsidRPr="003E5821">
        <w:t xml:space="preserve">local wind waves and swell waves generated by </w:t>
      </w:r>
      <w:r>
        <w:t>distant</w:t>
      </w:r>
      <w:r w:rsidRPr="003E5821">
        <w:t xml:space="preserve"> </w:t>
      </w:r>
      <w:r>
        <w:t>winds</w:t>
      </w:r>
      <w:r w:rsidRPr="003E5821">
        <w:t xml:space="preserve"> several days before their arriva</w:t>
      </w:r>
      <w:r>
        <w:t>l</w:t>
      </w:r>
      <w:r w:rsidR="008365D9">
        <w:t xml:space="preserve"> </w:t>
      </w:r>
      <w:r w:rsidR="008365D9">
        <w:fldChar w:fldCharType="begin"/>
      </w:r>
      <w:r w:rsidR="008365D9">
        <w:instrText xml:space="preserve"> ADDIN ZOTERO_ITEM CSL_CITATION {"citationID":"O0SFr0YZ","properties":{"formattedCitation":"(Hegermiller et al. 2017)","plainCitation":"(Hegermiller et al. 2017)","noteIndex":0},"citationItems":[{"id":554,"uris":["http://zotero.org/users/10288439/items/3FNWVI4S"],"itemData":{"id":554,"type":"article-journal","abstract":"Abstract Characterization of wave climate by bulk wave parameters is insufficient for many coastal studies, including those focused on assessing coastal hazards and long-term wave climate influences on coastal evolution. This issue is particularly relevant for studies using statistical downscaling of atmospheric fields to local wave conditions, which are often multimodal in large ocean basins (e.g., Pacific Ocean). Swell may be generated in vastly different wave generation regions, yielding complex wave spectra that are inadequately represented by a single set of bulk wave parameters. Furthermore, the relationship between atmospheric systems and local wave conditions is complicated by variations in arrival time of wave groups from different parts of the basin. Here, this study addresses these two challenges by improving upon the spatiotemporal definition of the atmospheric predictor used in the statistical downscaling of local wave climate. The improved methodology separates the local wave spectrum into “wave families,” defined by spectral peaks and discrete generation regions, and relates atmospheric conditions in distant regions of the ocean basin to local wave conditions by incorporating travel times computed from effective energy flux across the ocean basin. When applied to locations with multimodal wave spectra, including Southern California and Trujillo, Peru, the new methodology improves the ability of the statistical model to project significant wave height, peak period, and direction for each wave family, retaining more information from the full wave spectrum. This work is the base of statistical downscaling by weather types, which has recently been applied to coastal flooding and morphodynamic applications.","container-title":"Journal of Physical Oceanography","DOI":"10.1175/JPO-D-16-0191.1","ISSN":"0022-3670, 1520-0485","issue":"2","language":"EN","note":"publisher: American Meteorological Society\nsection: Journal of Physical Oceanography\nrate: 4","page":"375-386","source":"journals.ametsoc.org","title":"A Multimodal Wave Spectrum–Based Approach for Statistical Downscaling of Local Wave Climate","volume":"47","author":[{"family":"Hegermiller","given":"C. A."},{"family":"Antolinez","given":"J. a. A."},{"family":"Rueda","given":"A."},{"family":"Camus","given":"P."},{"family":"Perez","given":"J."},{"family":"Erikson","given":"L. H."},{"family":"Barnard","given":"P. L."},{"family":"Mendez","given":"F. J."}],"issued":{"date-parts":[["2017",2,1]]}}}],"schema":"https://github.com/citation-style-language/schema/raw/master/csl-citation.json"} </w:instrText>
      </w:r>
      <w:r w:rsidR="008365D9">
        <w:fldChar w:fldCharType="separate"/>
      </w:r>
      <w:r w:rsidR="00282A3B" w:rsidRPr="00282A3B">
        <w:t>(Hegermiller et al. 2017)</w:t>
      </w:r>
      <w:r w:rsidR="008365D9">
        <w:fldChar w:fldCharType="end"/>
      </w:r>
      <w:r>
        <w:t>. S</w:t>
      </w:r>
      <w:r>
        <w:rPr>
          <w:rFonts w:hint="eastAsia"/>
        </w:rPr>
        <w:t>tor</w:t>
      </w:r>
      <w:r>
        <w:t xml:space="preserve">m surges result from the combined effect of local wind stress and regional barometric pressure anomalies and can occur over several hours to days depending on the weather events. Over </w:t>
      </w:r>
      <w:r w:rsidR="006F61D6">
        <w:t xml:space="preserve">interannual </w:t>
      </w:r>
      <w:r>
        <w:t xml:space="preserve">time scales, climate oscillation patterns </w:t>
      </w:r>
      <w:r>
        <w:rPr>
          <w:rFonts w:hint="eastAsia"/>
        </w:rPr>
        <w:t>li</w:t>
      </w:r>
      <w:r>
        <w:t xml:space="preserve">ke </w:t>
      </w:r>
      <w:r w:rsidRPr="00E26B9A">
        <w:t>El Niño Southern Oscillation</w:t>
      </w:r>
      <w:r>
        <w:t xml:space="preserve"> (ENSO) and North Atlantic </w:t>
      </w:r>
      <w:r w:rsidRPr="00E26B9A">
        <w:t>Oscillation</w:t>
      </w:r>
      <w:r>
        <w:t xml:space="preserve"> (NAO) also modulate local wave and water conditions</w:t>
      </w:r>
      <w:r w:rsidR="008365D9">
        <w:t xml:space="preserve"> </w:t>
      </w:r>
      <w:r w:rsidR="008365D9">
        <w:fldChar w:fldCharType="begin"/>
      </w:r>
      <w:r w:rsidR="000879EF">
        <w:instrText xml:space="preserve"> ADDIN ZOTERO_ITEM CSL_CITATION {"citationID":"zcu9BOwH","properties":{"formattedCitation":"(Od\\uc0\\u233{}riz et al. 2020; Scott et al. 2021)","plainCitation":"(Odériz et al. 2020; Scott et al. 2021)","noteIndex":0},"citationItems":[{"id":699,"uris":["http://zotero.org/users/10288439/items/2IWMN5ML"],"itemData":{"id":699,"type":"article-journal","container-title":"Journal of Geophysical Research: Oceans","DOI":"10.1029/2020JC016464","ISSN":"2169-9275, 2169-9291","issue":"12","journalAbbreviation":"J. Ge</w:instrText>
      </w:r>
      <w:r w:rsidR="000879EF">
        <w:rPr>
          <w:rFonts w:hint="eastAsia"/>
        </w:rPr>
        <w:instrText>ophys. Res. Oceans","language":"en","note":"rate: 2","source":"DOI.org (Crossref)","title":"El Niño</w:instrText>
      </w:r>
      <w:r w:rsidR="000879EF">
        <w:rPr>
          <w:rFonts w:hint="eastAsia"/>
        </w:rPr>
        <w:instrText>‐</w:instrText>
      </w:r>
      <w:r w:rsidR="000879EF">
        <w:rPr>
          <w:rFonts w:hint="eastAsia"/>
        </w:rPr>
        <w:instrText>Southern Oscillation Impacts on Global Wave Climate and Potential Coastal Hazards","URL":"https://onlinelibrary.wiley.com/doi/10.1029/2020JC016464","volume</w:instrText>
      </w:r>
      <w:r w:rsidR="000879EF">
        <w:instrText>":"125","author":[{"family":"Odériz","given":"I."},{"family":"Silva","given":"R."},{"family":"Mortlock","given":"T. R."},{"family":"Mori","given":"N."}],"accessed":{"date-parts":[["2023",4,11]]},"issued":{"date-parts":[["2020",12]]}}},{"id":572,"uris":["http://zotero.org/users/10288439/items/KYJR4WZQ"],"itemData":{"id":572,"type":"article-journal","abstract":"Improved understanding of how our coasts will evolve over a range of time scales (years-decades) is critical for effective and sustainable management of coastal infrastructure. A robust knowledge of the spatial, directional and temporal variability of the inshore wave climate is required to predict future coastal evolution and hence vulnerability. However, the variability of the inshore directional wave climate has received little attention, and an improved understanding could drive development of skillful seasonal or decadal forecasts of coastal response. We examine inshore wave climate at 63 locations throughout the United Kingdom and Ireland (1980–2017) and show that 73% are directionally bimodal. We find that winter-averaged expressions of six leading atmospheric indices are strongly correlated (r = 0.60–0.87) with both total and directional winter wave power (peak spectral wave direction) at all studied sites. Regional inshore wave climate classification through hierarchical cluster analysis and stepwise multi-linear regression of directional wave correlations with atmospheric indices defined four spatially coherent regions. We show that combinations of indices have significant skill in predicting directional wave climates (R2 = 0.45–0.8; p &lt; 0.05). We demonstrate for the first time the significant explanatory power of leading winter-averaged atmospheric indices for directional wave climates, and show that leading seasonal forecasts of the NAO skillfully predict wave climate in some regions.","container-title":"Earth's Future","DOI":"10.1029/2020EF001625","ISSN":"2328-4277","issue":"5","language":"en","note":"_eprint: https://agupubs.onlinelibra</w:instrText>
      </w:r>
      <w:r w:rsidR="000879EF">
        <w:rPr>
          <w:rFonts w:hint="eastAsia"/>
        </w:rPr>
        <w:instrText>ry.wiley.com/doi/pdf/10.1029/2020EF001625\nTLDR: It is demonstrated for the first time the significant explanatory power of leading winter</w:instrText>
      </w:r>
      <w:r w:rsidR="000879EF">
        <w:rPr>
          <w:rFonts w:hint="eastAsia"/>
        </w:rPr>
        <w:instrText>‐</w:instrText>
      </w:r>
      <w:r w:rsidR="000879EF">
        <w:rPr>
          <w:rFonts w:hint="eastAsia"/>
        </w:rPr>
        <w:instrText>averaged atmospheric indices for directional wave climates, and it is shown that leading seasonal forecasts of the N</w:instrText>
      </w:r>
      <w:r w:rsidR="000879EF">
        <w:instrText xml:space="preserve">AO skillfully predict wave climate in some regions.","page":"e2020EF001625","source":"Wiley Online Library","title":"Role of Atmospheric Indices in Describing Inshore Directional Wave Climate in the United Kingdom and Ireland","volume":"9","author":[{"family":"Scott","given":"T."},{"family":"McCarroll","given":"R. J."},{"family":"Masselink","given":"G."},{"family":"Castelle","given":"B."},{"family":"Dodet","given":"G."},{"family":"Saulter","given":"A."},{"family":"Scaife","given":"A. A."},{"family":"Dunstone","given":"N."}],"issued":{"date-parts":[["2021"]]}}}],"schema":"https://github.com/citation-style-language/schema/raw/master/csl-citation.json"} </w:instrText>
      </w:r>
      <w:r w:rsidR="008365D9">
        <w:fldChar w:fldCharType="separate"/>
      </w:r>
      <w:r w:rsidR="00282A3B" w:rsidRPr="00282A3B">
        <w:t>(Odériz et al. 2020; Scott et al. 2021)</w:t>
      </w:r>
      <w:r w:rsidR="008365D9">
        <w:fldChar w:fldCharType="end"/>
      </w:r>
      <w:r>
        <w:t>.</w:t>
      </w:r>
      <w:r w:rsidR="006F61D6" w:rsidRPr="006F61D6">
        <w:t xml:space="preserve"> </w:t>
      </w:r>
      <w:r w:rsidR="00247919">
        <w:t>In addition</w:t>
      </w:r>
      <w:r w:rsidR="006F61D6">
        <w:t xml:space="preserve">, climate change can significantly increase exposure to coastal hazards in the long term, with research linking global sea level rise with </w:t>
      </w:r>
      <w:r w:rsidR="006F61D6" w:rsidRPr="0026445E">
        <w:rPr>
          <w:lang w:val="en-US"/>
        </w:rPr>
        <w:t>heightened risks of</w:t>
      </w:r>
      <w:r w:rsidR="006F61D6">
        <w:t xml:space="preserve"> coastal flooding and erosion hazards </w:t>
      </w:r>
      <w:r w:rsidR="006F61D6">
        <w:fldChar w:fldCharType="begin"/>
      </w:r>
      <w:r w:rsidR="006F61D6">
        <w:instrText xml:space="preserve"> ADDIN ZOTERO_ITEM CSL_CITATION {"citationID":"XaviL0pH","properties":{"formattedCitation":"(Vousdoukas et al. 2018, 2020)","plainCitation":"(Vousdoukas et al. 2018, 2020)","noteIndex":0},"citationItems":[{"id":2055,"uris":["http://zotero.org/users/10288439/items/X8QMXV2D"],"itemData":{"id":2055,"type":"article-journal","abstract":"Global warming is expected to drive increasing extreme sea levels (ESLs) and flood risk along the world’s coastlines. In this work we present probabilistic projections of ESLs for the present century taking into consideration changes in mean sea level, tides, wind-waves, and storm surges. Between the year 2000 and 2100 we project a very likely increase of the global average 100-year ESL of 34–76 cm under a moderate-emission-mitigation-policy scenario and of 58–172 cm under a business as usual scenario. Rising ESLs are mostly driven by thermal expansion, followed by contributions from ice mass-loss from glaciers, and ice-sheets in Greenland and Antarctica. Under these scenarios ESL rise would render a large part of the tropics exposed annually to the present-day 100-year event from 2050. By the end of this century this applies to most coastlines around the world, implying unprecedented flood risk levels unless timely adaptation measures are taken.","container-title":"Nature Communications","DOI":"10.1038/s41467-018-04692-w","ISSN":"2041-1723","issue":"1","journalAbbreviation":"Nat Commun","language":"en","license":"2018 The Author(s)","note":"publisher: Nature Publishing Group","page":"2360","source":"www.nature.com","title":"Global probabilistic projections of extreme sea levels show intensification of coastal flood hazard","volume":"9","author":[{"family":"Vousdoukas","given":"Michalis I."},{"family":"Mentaschi","given":"Lorenzo"},{"family":"Voukouvalas","given":"Evangelos"},{"family":"Verlaan","given":"Martin"},{"family":"Jevrejeva","given":"Svetlana"},{"family":"Jackson","given":"Luke P."},{"family":"Feyen","given":"Luc"}],"issued":{"date-parts":[["2018",6,18]]}}},{"id":2058,"uris":["http://zotero.org/users/10288439/items/VYAJRHJD"],"itemData":{"id":2058,"type":"article-journal","abstract":"Sandy beaches occupy more than one-third of the global coastline1 and have high socioeconomic value related to recreation, tourism and ecosystem services2. Beaches are the interface between land and ocean, providing coastal protection from marine storms and cyclones3. However the presence of sandy beaches cannot be taken for granted, as they are under constant change, driven by meteorological4,5, geological6 and anthropogenic factors1,7. A substantial proportion of the world’s sandy coastline is already eroding1,7, a situation that could be exacerbated by climate change8,9. Here, we show that ambient trends in shoreline dynamics, combined with coastal recession driven by sea level rise, could result in the near extinction of almost half of the world’s sandy beaches by the end of the century. Moderate GHG emission mitigation could prevent 40% of shoreline retreat. Projected shoreline dynamics are dominated by sea level rise for the majority of sandy beaches, but in certain regions the erosive trend is counteracted by accretive ambient shoreline changes; for example, in the Amazon, East and Southeast Asia and the north tropical Pacific. A substantial proportion of the threatened sandy shorelines are in densely populated areas, underlining the need for the design and implementation of effective adaptive measures.","container-title":"Nature Climate Change","DOI":"10.1038/s41558-020-0697-0","ISSN":"1758-6798","issue":"3","journalAbbreviation":"Nat. Clim. Chang.","language":"en","license":"2020 European Commission under exclusive license to Springer Nature Limited","note":"publisher: Nature Publishing Group","page":"260-263","source":"www.nature.com","title":"Sandy coastlines under threat of erosion","volume":"10","author":[{"family":"Vousdoukas","given":"Michalis I."},{"family":"Ranasinghe","given":"Roshanka"},{"family":"Mentaschi","given":"Lorenzo"},{"family":"Plomaritis","given":"Theocharis A."},{"family":"Athanasiou","given":"Panagiotis"},{"family":"Luijendijk","given":"Arjen"},{"family":"Feyen","given":"Luc"}],"issued":{"date-parts":[["2020",3]]}}}],"schema":"https://github.com/citation-style-language/schema/raw/master/csl-citation.json"} </w:instrText>
      </w:r>
      <w:r w:rsidR="006F61D6">
        <w:fldChar w:fldCharType="separate"/>
      </w:r>
      <w:r w:rsidR="006F61D6" w:rsidRPr="006F61D6">
        <w:t>(Vousdoukas et al. 2018, 2020)</w:t>
      </w:r>
      <w:r w:rsidR="006F61D6">
        <w:fldChar w:fldCharType="end"/>
      </w:r>
      <w:r w:rsidR="006F61D6">
        <w:t>.</w:t>
      </w:r>
    </w:p>
    <w:p w14:paraId="58B21F84" w14:textId="0AA1E0DA" w:rsidR="000D3178" w:rsidRDefault="000D3178" w:rsidP="000D3178">
      <w:pPr>
        <w:pStyle w:val="Paragraph"/>
      </w:pPr>
      <w:r>
        <w:t>The</w:t>
      </w:r>
      <w:r w:rsidRPr="006943B2">
        <w:t xml:space="preserve"> characteri</w:t>
      </w:r>
      <w:r>
        <w:t>s</w:t>
      </w:r>
      <w:r w:rsidRPr="006943B2">
        <w:t xml:space="preserve">ation of </w:t>
      </w:r>
      <w:r>
        <w:t>exposure to coastal hazards</w:t>
      </w:r>
      <w:r w:rsidRPr="006943B2">
        <w:t xml:space="preserve"> is</w:t>
      </w:r>
      <w:r>
        <w:t xml:space="preserve"> thus </w:t>
      </w:r>
      <w:r w:rsidRPr="006943B2">
        <w:t xml:space="preserve">a complex </w:t>
      </w:r>
      <w:r>
        <w:t>problem</w:t>
      </w:r>
      <w:r w:rsidRPr="006943B2">
        <w:t xml:space="preserve"> that requires consideration of </w:t>
      </w:r>
      <w:r>
        <w:t>the inherent variability of multiple hazard drivers</w:t>
      </w:r>
      <w:r w:rsidRPr="006943B2">
        <w:t>.</w:t>
      </w:r>
      <w:r>
        <w:t xml:space="preserve"> However, historical records are limited in spatial coverage and often not long enough to have observed the full range of variabilities, especially for extreme conditions </w:t>
      </w:r>
      <w:r w:rsidR="008365D9">
        <w:fldChar w:fldCharType="begin"/>
      </w:r>
      <w:r w:rsidR="008365D9">
        <w:instrText xml:space="preserve"> ADDIN ZOTERO_ITEM CSL_CITATION {"citationID":"lOhHvJxl","properties":{"formattedCitation":"(Anderson et al. 2019)","plainCitation":"(Anderson et al. 2019)","noteIndex":0},"citationItems":[{"id":9,"uris":["http://zotero.org/users/10288439/items/XZRE2M2L"],"itemData":{"id":9,"type":"article-journal","container-title":"Journal of Geophysical Research: Oceans","DOI":"10.1029/2019JC015312","ISSN":"2169-9275, 2169-9291","issue":"12","journalAbbreviation":"J. Geophys. Res. Oceans","language":"en","note":"rate: </w:instrText>
      </w:r>
      <w:r w:rsidR="008365D9">
        <w:rPr>
          <w:rFonts w:hint="eastAsia"/>
        </w:rPr>
        <w:instrText>5","page":"9209-9234","source":"DOI.org (Crossref)","title":"Time</w:instrText>
      </w:r>
      <w:r w:rsidR="008365D9">
        <w:rPr>
          <w:rFonts w:hint="eastAsia"/>
        </w:rPr>
        <w:instrText>‐</w:instrText>
      </w:r>
      <w:r w:rsidR="008365D9">
        <w:rPr>
          <w:rFonts w:hint="eastAsia"/>
        </w:rPr>
        <w:instrText>Varying Emulator for Short and Long</w:instrText>
      </w:r>
      <w:r w:rsidR="008365D9">
        <w:rPr>
          <w:rFonts w:hint="eastAsia"/>
        </w:rPr>
        <w:instrText>‐</w:instrText>
      </w:r>
      <w:r w:rsidR="008365D9">
        <w:rPr>
          <w:rFonts w:hint="eastAsia"/>
        </w:rPr>
        <w:instrText>Term Analysis of Coastal Flood Hazard Potential","volume":"124","author":[{"family":"Anderson","given":"D."},{"family":"Rueda","given":"A."},{"family":"C</w:instrText>
      </w:r>
      <w:r w:rsidR="008365D9">
        <w:instrText xml:space="preserve">agigal","given":"L."},{"family":"Antolinez","given":"J. A. A."},{"family":"Mendez","given":"F. J."},{"family":"Ruggiero","given":"P."}],"issued":{"date-parts":[["2019",12]]}}}],"schema":"https://github.com/citation-style-language/schema/raw/master/csl-citation.json"} </w:instrText>
      </w:r>
      <w:r w:rsidR="008365D9">
        <w:fldChar w:fldCharType="separate"/>
      </w:r>
      <w:r w:rsidR="00282A3B" w:rsidRPr="00282A3B">
        <w:t>(Anderson et al. 2019)</w:t>
      </w:r>
      <w:r w:rsidR="008365D9">
        <w:fldChar w:fldCharType="end"/>
      </w:r>
      <w:r>
        <w:t xml:space="preserve">. Numerous approaches have been proposed to address this issue. </w:t>
      </w:r>
      <w:r w:rsidR="00593A45">
        <w:t>For example, s</w:t>
      </w:r>
      <w:r>
        <w:t xml:space="preserve">tochastic models </w:t>
      </w:r>
      <w:r w:rsidR="00593A45">
        <w:t xml:space="preserve">were </w:t>
      </w:r>
      <w:r>
        <w:t xml:space="preserve">designed to generate a large number of synthetic sea state scenarios </w:t>
      </w:r>
      <w:r w:rsidR="00593A45">
        <w:t>to allow</w:t>
      </w:r>
      <w:r>
        <w:t xml:space="preserve"> for more robust </w:t>
      </w:r>
      <w:r>
        <w:lastRenderedPageBreak/>
        <w:t>and reliable coastal risk analysis</w:t>
      </w:r>
      <w:r w:rsidR="008365D9">
        <w:t xml:space="preserve"> </w:t>
      </w:r>
      <w:r w:rsidR="00221FFD">
        <w:fldChar w:fldCharType="begin"/>
      </w:r>
      <w:r w:rsidR="00221FFD">
        <w:instrText xml:space="preserve"> ADDIN ZOTERO_ITEM CSL_CITATION {"citationID":"LvNAZhri","properties":{"formattedCitation":"(Wahl et al. 2011; Gouldby et al. 2014)","plainCitation":"(Wahl et al. 2011; Gouldby et al. 2014)","noteIndex":0},"citationItems":[{"id":1879,"uris":["http://zotero.org/users/10288439/items/EB6FZWAJ"],"itemData":{"id":1879,"type":"article-journal","abstract":"This paper describes a methodology to stochastically simulate a large number of storm surge scenarios (here: 10 million). The applied model is very cheap in computation time and will contribute to improve the overall results from integrated risk analyses in coastal areas. Initially, the observed storm surge events from the tide gauges of Cuxhaven (located in the Elbe estuary) and Hörnum (located in the southeast of Sylt Island) are parameterised by taking into account 25 parameters (19 sea level parameters and 6 time parameters). Throughout the paper, the total water levels are considered. The astronomical tides are semidiurnal in the investigation area with a tidal range &gt;2 m. The second step of the stochastic simulation consists in fitting parametric distribution functions to the data sets resulting from the parameterisation. The distribution functions are then used to run Monte-Carlo-Simulations. Based on the simulation results, a large number of storm surge scenarios are reconstructed. Parameter interdependencies are considered and different filter functions are applied to avoid inconsistencies. Storm surge scenarios, which are of interest for risk analyses, can easily be extracted from the results.","container-title":"Natural Hazards and Earth System Sciences","DOI":"10.5194/nhess-11-2925-2011","ISSN":"1561-8633","issue":"11","language":"English","note":"publisher: Copernicus GmbH","page":"2925-2939","source":"Copernicus Online Journals","title":"Assessing the hydrodynamic boundary conditions for risk analyses in coastal areas: a stochastic storm surge model","title-short":"Assessing the hydrodynamic boundary conditions for risk analyses in coastal areas","volume":"11","author":[{"family":"Wahl","given":"T."},{"family":"Mudersbach","given":"C."},{"family":"Jensen","given":"J."}],"issued":{"date-parts":[["2011",11,4]]}}},{"id":1881,"uris":["http://zotero.org/users/10288439/items/BLBWXRA4"],"itemData":{"id":1881,"type":"article-journal","abstract":"Extreme sea conditions in the nearshore zone are required for coastal flood risk analysis and structural design. Many multivariate extreme value methods that have been applied in the past have been limited by assumptions relating to the dependence structure in the extremes. A conditional extremes statistical model overcomes a number of these previous limitations. To apply the method in practice, a Monte Carlo sampling procedure is required whereby large samples of synthetically generated events are simulated. The use of Monte Carlo approaches, in combination with computationally intensive physical process models, can raise significant practical challenges in terms of computation. To overcome these challenges there has been extensive research into the use of meta-models. Meta-models are approximations of computationally intensive physical process models (simulators). They are derived by fitting functions to the outputs from simulators. Due to their simplified representation they are computationally more efficient than the simulators they approximate. Here, a methodology for deriving a large Monte Carlo sample of extreme nearshore sea states is described. The methodology comprises the generation of a large sample of offshore sea conditions using the conditional extremes model. A meta-model of the wave transformation process is then constructed. A clustering algorithm is used to aid the development of the meta-model. The large sample of offshore data is then transformed through to the nearshore using the meta-model. The resulting nearshore sea states can be used for the probabilistic design of structures or flood risk analysis. The application of the methodology to a case study site on the North Coast of Spain is described.","container-title":"Coastal Engineering","DOI":"10.1016/j.coastaleng.2014.01.012","ISSN":"0378-3839","journalAbbreviation":"Coastal Engineering","page":"15-26","source":"ScienceDirect","title":"A methodology for deriving extreme nearshore sea conditions for structural design and flood risk analysis","volume":"88","author":[{"family":"Gouldby","given":"B."},{"family":"Méndez","given":"F. J."},{"family":"Guanche","given":"Y."},{"family":"Rueda","given":"A."},{"family":"Mínguez","given":"R."}],"issued":{"date-parts":[["2014",6,1]]}}}],"schema":"https://github.com/citation-style-language/schema/raw/master/csl-citation.json"} </w:instrText>
      </w:r>
      <w:r w:rsidR="00221FFD">
        <w:fldChar w:fldCharType="separate"/>
      </w:r>
      <w:r w:rsidR="00282A3B" w:rsidRPr="00282A3B">
        <w:t>(Wahl et al. 2011; Gouldby et al. 2014)</w:t>
      </w:r>
      <w:r w:rsidR="00221FFD">
        <w:fldChar w:fldCharType="end"/>
      </w:r>
      <w:r>
        <w:t xml:space="preserve">. </w:t>
      </w:r>
      <w:r w:rsidR="00546D70">
        <w:t>Additionally</w:t>
      </w:r>
      <w:r>
        <w:t>, the ever-increasing computation power has advanced numerical simulations (reanalyses and hindcasts) on regional or even global scales</w:t>
      </w:r>
      <w:r w:rsidR="00221FFD">
        <w:t xml:space="preserve"> </w:t>
      </w:r>
      <w:r w:rsidR="00221FFD">
        <w:fldChar w:fldCharType="begin"/>
      </w:r>
      <w:r w:rsidR="008C26DF">
        <w:instrText xml:space="preserve"> ADDIN ZOTERO_ITEM CSL_CITATION {"citationID":"JMF3dh8H","properties":{"formattedCitation":"(e.g., Hersbach et al. 2020; Muis et al. 2020)","plainCitation":"(e.g., Hersbach et al. 2020; Muis et al. 2020)","noteIndex":0},"citationItems":[{"id":1205,"uris":["http://zotero.org/users/10288439/items/352S6Z3R"],"itemData":{"id":1205,"type":"article-journal","abstract":"Within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reanalyses.","container-title":"Quarterly Journal of the Royal Meteorological Society","DOI":"10.1002/qj.3803","ISSN":"1477-870X","issue":"730","language":"en","note":"_eprint: https://onlinelibrary.wiley.com/doi/pdf/10.1002/qj.3803","page":"1999-2049","source":"Wiley Online Library","title":"The ERA5 global reanalysis","volume":"146","author":[{"family":"Hersbach","given":"Hans"},{"family":"Bell","given":"Bill"},{"family":"Berrisford","given":"Paul"},{"family":"Hirahara","given":"Shoji"},{"family":"Horányi","given":"András"},{"family":"Muñoz-Sabater","given":"Joaquín"},{"family":"Nicolas","given":"Julien"},{"family":"Peubey","given":"Carole"},{"family":"Radu","given":"Raluca"},{"family":"Schepers","given":"Dinand"},{"family":"Simmons","given":"Adrian"},{"family":"Soci","given":"Cornel"},{"family":"Abdalla","given":"Saleh"},{"family":"Abellan","given":"Xavier"},{"family":"Balsamo","given":"Gianpaolo"},{"family":"Bechtold","given":"Peter"},{"family":"Biavati","given":"Gionata"},{"family":"Bidlot","given":"Jean"},{"family":"Bonavita","given":"Massimo"},{"family":"De Chiara","given":"Giovanna"},{"family":"Dahlgren","given":"Per"},{"family":"Dee","given":"Dick"},{"family":"Diamantakis","given":"Michail"},{"family":"Dragani","given":"Rossana"},{"family":"Flemming","given":"Johannes"},{"family":"Forbes","given":"Richard"},{"family":"Fuentes","given":"Manuel"},{"family":"Geer","given":"Alan"},{"family":"Haimberger","given":"Leo"},{"family":"Healy","given":"Sean"},{"family":"Hogan","given":"Robin J."},{"family":"Hólm","given":"Elías"},{"family":"Janisková","given":"Marta"},{"family":"Keeley","given":"Sarah"},{"family":"Laloyaux","given":"Patrick"},{"family":"Lopez","given":"Philippe"},{"family":"Lupu","given":"Cristina"},{"family":"Radnoti","given":"Gabor"},{"family":"Rosnay","given":"Patricia","non-dropping-particle":"de"},{"family":"Rozum","given":"Iryna"},{"family":"Vamborg","given":"Freja"},{"family":"Villaume","given":"Sebastien"},{"family":"Thépaut","given":"Jean-Noël"}],"issued":{"date-parts":[["2020"]]}},"label":"page","prefix":"e.g., "},{"id":1394,"uris":["http://zotero.org/users/10288439/items/5X3FUM25"],"itemData":{"id":1394,"type":"article-journal","abstract":"The world’s coastal areas are increasingly at risk of coastal flooding due to sea-level rise (SLR). We present a novel global dataset of extreme sea levels, the Coastal Dataset for the Evaluation of Climate Impact (CoDEC), which can be used to accurately map the impact of climate change on coastal regions around the world. The third generation Global Tide and Surge Model (GTSM), with a coastal resolution of 2.5 km (1.25 km in Europe), was used to simulate extreme sea levels for the ERA5 climate reanalysis from 1979 to 2017, as well as for future climate scenarios from 2040 to 2100. The validation against observed sea levels demonstrated a good performance, and the annual maxima had a mean bias (MB) of -0.04 m, which is 50% lower than the MB of the previous GTSR dataset. By the end of the century (2071–2100), it is projected that the 1 in 10-year water levels will have increased 0.34 m on average for RCP4.5, while some locations may experience increases of up to 0.5 m. The change in return levels is largely driven by SLR, although at some locations changes in storms surges and interaction with tides amplify the impact of SLR with changes up to 0.2 m. By presenting an application of the CoDEC dataset to the city of Copenhagen, we demonstrate how climate impact indicators derived from simulation can contribute to an understanding of climate impact on a local scale. Moreover, the CoDEC output locations are designed to be used as boundary conditions for regional models, and we envisage that they will be used for dynamic downscaling.","container-title":"Frontiers in Marine Science","DOI":"10.3389/fmars.2020.00263","ISSN":"2296-7745","source":"Frontiers","title":"A High-Resolution Global Dataset of Extreme Sea Levels, Tides, and Storm Surges, Including Future Projections","URL":"https://www.frontiersin.org/articles/10.3389/fmars.2020.00263","volume":"7","author":[{"family":"Muis","given":"Sanne"},{"family":"Apecechea","given":"Maialen Irazoqui"},{"family":"Dullaart","given":"Job"},{"family":"Lima Rego","given":"Joao","non-dropping-particle":"de"},{"family":"Madsen","given":"Kristine Skovgaard"},{"family":"Su","given":"Jian"},{"family":"Yan","given":"Kun"},{"family":"Verlaan","given":"Martin"}],"accessed":{"date-parts":[["2023",10,30]]},"issued":{"date-parts":[["2020",4,29]]}},"label":"page"}],"schema":"https://github.com/citation-style-language/schema/raw/master/csl-citation.json"} </w:instrText>
      </w:r>
      <w:r w:rsidR="00221FFD">
        <w:fldChar w:fldCharType="separate"/>
      </w:r>
      <w:r w:rsidR="00282A3B" w:rsidRPr="00282A3B">
        <w:t>(e.g., Hersbach et al. 2020; Muis et al. 2020)</w:t>
      </w:r>
      <w:r w:rsidR="00221FFD">
        <w:fldChar w:fldCharType="end"/>
      </w:r>
      <w:r>
        <w:t xml:space="preserve">, which </w:t>
      </w:r>
      <w:r w:rsidR="00595D35">
        <w:t xml:space="preserve">in turn </w:t>
      </w:r>
      <w:r>
        <w:t>provide insights into sea state conditions at locations where observational data are absent, as well as the spatial distribution and variations of extreme conditions.</w:t>
      </w:r>
    </w:p>
    <w:p w14:paraId="446FF786" w14:textId="5F529BE9" w:rsidR="000D3178" w:rsidRDefault="000D3178" w:rsidP="000D3178">
      <w:pPr>
        <w:pStyle w:val="Paragraph"/>
      </w:pPr>
      <w:r w:rsidRPr="00917F5C">
        <w:t xml:space="preserve">Meanwhile, with advancements in </w:t>
      </w:r>
      <w:r>
        <w:t>global climate models (GCMs)</w:t>
      </w:r>
      <w:r w:rsidR="006F61D6">
        <w:t xml:space="preserve"> providing more reliable climate projections for various climate-change scenarios</w:t>
      </w:r>
      <w:r w:rsidRPr="00917F5C">
        <w:t xml:space="preserve">, downscaling techniques have emerged as </w:t>
      </w:r>
      <w:r>
        <w:t>a promising</w:t>
      </w:r>
      <w:r w:rsidRPr="00917F5C">
        <w:t xml:space="preserve"> tool to translate large-scale climate forcings into local sea state responses</w:t>
      </w:r>
      <w:r w:rsidR="006F61D6">
        <w:t xml:space="preserve"> to facilitate local climate impact studies</w:t>
      </w:r>
      <w:r w:rsidRPr="00917F5C">
        <w:t>.</w:t>
      </w:r>
      <w:r>
        <w:t xml:space="preserve"> </w:t>
      </w:r>
      <w:r w:rsidR="00546D70">
        <w:t>These techniques</w:t>
      </w:r>
      <w:r>
        <w:t xml:space="preserve"> </w:t>
      </w:r>
      <w:r w:rsidR="00546D70">
        <w:t xml:space="preserve">can </w:t>
      </w:r>
      <w:r>
        <w:t xml:space="preserve">account for local-scale processes </w:t>
      </w:r>
      <w:r w:rsidR="00546D70">
        <w:t>un</w:t>
      </w:r>
      <w:r>
        <w:t>resolved in GCMs</w:t>
      </w:r>
      <w:r w:rsidR="00A44A50">
        <w:t xml:space="preserve"> and provide outputs at resolutions </w:t>
      </w:r>
      <w:r w:rsidR="00546D70">
        <w:t>suited to</w:t>
      </w:r>
      <w:r w:rsidR="00A44A50">
        <w:t xml:space="preserve"> coastal applications</w:t>
      </w:r>
      <w:r>
        <w:t xml:space="preserve">. </w:t>
      </w:r>
      <w:r w:rsidRPr="00470B62">
        <w:t xml:space="preserve">Conventional downscaling methods can be broadly classified into dynamical or statistical </w:t>
      </w:r>
      <w:r>
        <w:t>models</w:t>
      </w:r>
      <w:r w:rsidRPr="00470B62">
        <w:t>.</w:t>
      </w:r>
      <w:r>
        <w:t xml:space="preserve"> </w:t>
      </w:r>
      <w:r w:rsidRPr="00470B62">
        <w:t>Dynamical downscaling</w:t>
      </w:r>
      <w:r>
        <w:t xml:space="preserve"> </w:t>
      </w:r>
      <w:r w:rsidRPr="00470B62">
        <w:t>defines approaches to embedding higher-resolution regional climate models (RCMs) into</w:t>
      </w:r>
      <w:r>
        <w:t xml:space="preserve"> </w:t>
      </w:r>
      <w:r w:rsidRPr="00470B62">
        <w:t>GCMs, using outputs from GCMs as boundary conditions</w:t>
      </w:r>
      <w:r>
        <w:t>, capable of producing accurate and physically consistent local information</w:t>
      </w:r>
      <w:r w:rsidR="00221FFD">
        <w:t xml:space="preserve"> </w:t>
      </w:r>
      <w:r w:rsidR="00221FFD">
        <w:fldChar w:fldCharType="begin"/>
      </w:r>
      <w:r w:rsidR="00221FFD">
        <w:instrText xml:space="preserve"> ADDIN ZOTERO_ITEM CSL_CITATION {"citationID":"dRdRG8B6","properties":{"formattedCitation":"(Fowler et al. 2007; Gaur and Simonovic 2019)","plainCitation":"(Fowler et al. 2007; Gaur and Simonovic 2019)","noteIndex":0},"citationItems":[{"id":1515,"uris":["http://zotero.org/users/10288439/items/MN9DMI8A"],"itemData":{"id":1515,"type":"article-journal","abstract":"There is now a large published literature on the strengths and weaknesses of downscaling methods for different climatic variables, in different regions and seasons. However, little attention is given to the choice of downscaling method when examining the impacts of climate change on hydrological systems. This review paper assesses the current downscaling literature, examining new developments in the downscaling field specifically for hydrological impacts. Sections focus on the downscaling concept; new methods; comparative methodological studies; the modelling of extremes; and the application to hydrological impacts. Consideration is then given to new developments in climate scenario construction which may offer the most potential for advancement within the ‘downscaling for hydrological impacts’ community, such as probabilistic modelling, pattern scaling and downscaling of multiple variables and suggests ways that they can be merged with downscaling techniques in a probabilistic climate change scenario framework to assess the uncertainties associated with future projections. Within hydrological impact studies there is still little consideration given to applied research; how the results can be best used to enable stakeholders and managers to make informed, robust decisions on adaptation and mitigation strategies in the face of many uncertainties about the future. It is suggested that there is a need for a move away from comparison studies into the provision of decision-making tools for planning and management that are robust to future uncertainties; with examination and understanding of uncertainties within the modelling system. Copyright © 2007 Royal Meteorological Society","container-title":"International Journal of Climatology","DOI":"10.1002/joc.1556","ISSN":"1097-0088","issue":"12","language":"en","note":"_eprint: https://onlinelibrary.wiley.com/doi/pdf/10.1002/joc.1556\nrate: 4","page":"1547-1578","source":"Wiley Online Library","title":"Linking climate change modelling to impacts studies: recent advances in downscaling techniques for hydrological modelling","title-short":"Linking climate change modelling to impacts studies","volume":"27","author":[{"family":"Fowler","given":"H. J."},{"family":"Blenkinsop","given":"S."},{"family":"Tebaldi","given":"C."}],"issued":{"date-parts":[["2007"]]}}},{"id":1017,"uris":["http://zotero.org/users/10288439/items/MGYJWHQG"],"itemData":{"id":1017,"type":"chapter","abstract":"Downscaling is performed to estimate higher resolution climatic projections from global climate odel modeled climate output. Two different classes of models have been used in the past to perform downscaling: statistical and dynamic. Recently a novel statistical downscaling model, physical scaling, which attempts to build on the strengths of both statistical and dynamic downscaling, has been proposed. The model has been extensively validated and has been used to identify land-cover change–induced climatic changes in four catchments in Saskatchewan. This chapter provides a detailed description of the physical scaling model, presents results from model validation and application studies, as well as details a step-by-step procedure of building the model from scratch in the R programming language.","container-title":"Trends and Changes in Hydroclimatic Variables","ISBN":"978-0-12-810985-4","language":"en","note":"DOI: 10.1016/B978-0-12-810985-4.00004-9","page":"199-273","publisher":"Elsevier","source":"ScienceDirect","title":"Chapter 4 - Introduction to Physical Scaling: A Model Aimed to Bridge the Gap Between Statistical and Dynamic Downscaling Approaches","title-short":"Chapter 4 - Introduction to Physical Scaling","URL":"https://www.sciencedirect.com/science/article/pii/B9780128109854000049","author":[{"family":"Gaur","given":"Abhishek"},{"family":"Simonovic","given":"Slobodan P."}],"editor":[{"family":"Teegavarapu","given":"Ramesh"}],"accessed":{"date-parts":[["2023",5,4]]},"issued":{"date-parts":[["2019",1,1]]}}}],"schema":"https://github.com/citation-style-language/schema/raw/master/csl-citation.json"} </w:instrText>
      </w:r>
      <w:r w:rsidR="00221FFD">
        <w:fldChar w:fldCharType="separate"/>
      </w:r>
      <w:r w:rsidR="00282A3B" w:rsidRPr="00282A3B">
        <w:t>(Fowler et al. 2007; Gaur and Simonovic 2019)</w:t>
      </w:r>
      <w:r w:rsidR="00221FFD">
        <w:fldChar w:fldCharType="end"/>
      </w:r>
      <w:r>
        <w:t xml:space="preserve">. However, the associated high computational </w:t>
      </w:r>
      <w:r w:rsidR="00546D70">
        <w:t>demand</w:t>
      </w:r>
      <w:r>
        <w:t xml:space="preserve"> has led to interest in applying statistical downscaling (SD) models as an efficient alternative. SD models relate</w:t>
      </w:r>
      <w:r w:rsidRPr="00C14076">
        <w:t xml:space="preserve"> large-scale atmospheric </w:t>
      </w:r>
      <w:r>
        <w:t>conditions (predictors)</w:t>
      </w:r>
      <w:r w:rsidRPr="00C14076">
        <w:t xml:space="preserve"> to local variables</w:t>
      </w:r>
      <w:r>
        <w:t xml:space="preserve"> (predictands)</w:t>
      </w:r>
      <w:r w:rsidRPr="00C14076">
        <w:t xml:space="preserve"> through </w:t>
      </w:r>
      <w:r>
        <w:t xml:space="preserve">developing </w:t>
      </w:r>
      <w:r w:rsidRPr="00C14076">
        <w:t>empirical statistical relationships</w:t>
      </w:r>
      <w:r>
        <w:t>.</w:t>
      </w:r>
      <w:r w:rsidR="0027552F">
        <w:t xml:space="preserve"> Three categories of SD </w:t>
      </w:r>
      <w:r w:rsidR="0054663A">
        <w:t>method</w:t>
      </w:r>
      <w:r w:rsidR="0027552F">
        <w:t>s exist: regression</w:t>
      </w:r>
      <w:r w:rsidR="0054663A">
        <w:t>-based</w:t>
      </w:r>
      <w:r w:rsidR="0027552F">
        <w:t xml:space="preserve"> models, weather</w:t>
      </w:r>
      <w:r w:rsidR="009F0ABD">
        <w:t>-type approaches</w:t>
      </w:r>
      <w:r w:rsidR="0027552F">
        <w:t>, and stochastic weather generators</w:t>
      </w:r>
      <w:r w:rsidR="0054663A">
        <w:t xml:space="preserve"> </w:t>
      </w:r>
      <w:r w:rsidR="0054663A">
        <w:fldChar w:fldCharType="begin"/>
      </w:r>
      <w:r w:rsidR="0054663A">
        <w:instrText xml:space="preserve"> ADDIN ZOTERO_ITEM CSL_CITATION {"citationID":"84x0c4PV","properties":{"formattedCitation":"(Wilby and Wigley 1997)","plainCitation":"(Wilby and Wigley 1997)","noteIndex":0},"citationItems":[{"id":1044,"uris":["http://zotero.org/users/10288439/items/H2DRG7LJ"],"itemData":{"id":1044,"type":"article-journal","abstract":"General circulation models (GCMs) suggest that rising concentrations of greenhouse gases may have significant consequences for the global climate. What is less clear is the extent to which local (subgrid) scale meteorological processes will be affected. So-called ’downscaling’ techniques have subsequently emerged as a means of bridging the gap between what climate modellers are currently able to provide and what impact assessors require. This article reviews the present generation of downscaling tools under four main headings: regression methods; weather pattern (circulation)-based approaches; stochastic weather generators; and limited-area climate models. The penultimate section summarizes the results of an international experiment to intercompare several precipitation models used for downscaling. It shows that circulation-based downscaling methods perform well in simulating present observed and model-generated daily precipitation characteristics, but are able to capture only part of the daily precipitation variability changes associated with model-derived changes in climate. The final section examines a number of ongoing challenges to the future development of climate downscaling.","container-title":"Progress in Physical Geography: Earth and Environment","DOI":"10.1177/030913339702100403","ISSN":"0309-1333, 1477-0296","issue":"4","journalAbbreviation":"Progress in Physical Geography: Earth and Environment","language":"en","page":"530-548","source":"DOI.org (Crossref)","title":"Downscaling general circulation model output: a review of methods and limitations","title-short":"Downscaling general circulation model output","volume":"21","author":[{"family":"Wilby","given":"R.L."},{"family":"Wigley","given":"T.M.L."}],"issued":{"date-parts":[["1997",12]]}}}],"schema":"https://github.com/citation-style-language/schema/raw/master/csl-citation.json"} </w:instrText>
      </w:r>
      <w:r w:rsidR="0054663A">
        <w:fldChar w:fldCharType="separate"/>
      </w:r>
      <w:r w:rsidR="0054663A" w:rsidRPr="0054663A">
        <w:t>(Wilby and Wigley 1997)</w:t>
      </w:r>
      <w:r w:rsidR="0054663A">
        <w:fldChar w:fldCharType="end"/>
      </w:r>
      <w:r w:rsidR="0027552F">
        <w:t>.</w:t>
      </w:r>
      <w:r>
        <w:t xml:space="preserve"> </w:t>
      </w:r>
      <w:r w:rsidR="0054663A">
        <w:t>SD</w:t>
      </w:r>
      <w:r w:rsidR="000D35EF">
        <w:t xml:space="preserve"> </w:t>
      </w:r>
      <w:r w:rsidR="0027552F">
        <w:t xml:space="preserve">methods </w:t>
      </w:r>
      <w:r>
        <w:t xml:space="preserve">can downscale </w:t>
      </w:r>
      <w:r w:rsidR="001A64E2">
        <w:t xml:space="preserve">GCM outputs in </w:t>
      </w:r>
      <w:r w:rsidRPr="00996755">
        <w:t xml:space="preserve">multiple scenarios with </w:t>
      </w:r>
      <w:r>
        <w:t>low</w:t>
      </w:r>
      <w:r w:rsidRPr="00996755">
        <w:t xml:space="preserve"> computational cost and </w:t>
      </w:r>
      <w:r>
        <w:t>are</w:t>
      </w:r>
      <w:r w:rsidRPr="00996755">
        <w:t xml:space="preserve"> thus desirable for estimating uncertainties associated with climate variabilities</w:t>
      </w:r>
      <w:r w:rsidR="00221FFD">
        <w:t xml:space="preserve"> </w:t>
      </w:r>
      <w:r w:rsidR="00221FFD">
        <w:fldChar w:fldCharType="begin"/>
      </w:r>
      <w:r w:rsidR="00221FFD">
        <w:instrText xml:space="preserve"> ADDIN ZOTERO_ITEM CSL_CITATION {"citationID":"MV2wK6RV","properties":{"formattedCitation":"(Fowler et al. 2007; Gaur and Simonovic 2019)","plainCitation":"(Fowler et al. 2007; Gaur and Simonovic 2019)","noteIndex":0},"citationItems":[{"id":1515,"uris":["http://zotero.org/users/10288439/items/MN9DMI8A"],"itemData":{"id":1515,"type":"article-journal","abstract":"There is now a large published literature on the strengths and weaknesses of downscaling methods for different climatic variables, in different regions and seasons. However, little attention is given to the choice of downscaling method when examining the impacts of climate change on hydrological systems. This review paper assesses the current downscaling literature, examining new developments in the downscaling field specifically for hydrological impacts. Sections focus on the downscaling concept; new methods; comparative methodological studies; the modelling of extremes; and the application to hydrological impacts. Consideration is then given to new developments in climate scenario construction which may offer the most potential for advancement within the ‘downscaling for hydrological impacts’ community, such as probabilistic modelling, pattern scaling and downscaling of multiple variables and suggests ways that they can be merged with downscaling techniques in a probabilistic climate change scenario framework to assess the uncertainties associated with future projections. Within hydrological impact studies there is still little consideration given to applied research; how the results can be best used to enable stakeholders and managers to make informed, robust decisions on adaptation and mitigation strategies in the face of many uncertainties about the future. It is suggested that there is a need for a move away from comparison studies into the provision of decision-making tools for planning and management that are robust to future uncertainties; with examination and understanding of uncertainties within the modelling system. Copyright © 2007 Royal Meteorological Society","container-title":"International Journal of Climatology","DOI":"10.1002/joc.1556","ISSN":"1097-0088","issue":"12","language":"en","note":"_eprint: https://onlinelibrary.wiley.com/doi/pdf/10.1002/joc.1556\nrate: 4","page":"1547-1578","source":"Wiley Online Library","title":"Linking climate change modelling to impacts studies: recent advances in downscaling techniques for hydrological modelling","title-short":"Linking climate change modelling to impacts studies","volume":"27","author":[{"family":"Fowler","given":"H. J."},{"family":"Blenkinsop","given":"S."},{"family":"Tebaldi","given":"C."}],"issued":{"date-parts":[["2007"]]}}},{"id":1017,"uris":["http://zotero.org/users/10288439/items/MGYJWHQG"],"itemData":{"id":1017,"type":"chapter","abstract":"Downscaling is performed to estimate higher resolution climatic projections from global climate odel modeled climate output. Two different classes of models have been used in the past to perform downscaling: statistical and dynamic. Recently a novel statistical downscaling model, physical scaling, which attempts to build on the strengths of both statistical and dynamic downscaling, has been proposed. The model has been extensively validated and has been used to identify land-cover change–induced climatic changes in four catchments in Saskatchewan. This chapter provides a detailed description of the physical scaling model, presents results from model validation and application studies, as well as details a step-by-step procedure of building the model from scratch in the R programming language.","container-title":"Trends and Changes in Hydroclimatic Variables","ISBN":"978-0-12-810985-4","language":"en","note":"DOI: 10.1016/B978-0-12-810985-4.00004-9","page":"199-273","publisher":"Elsevier","source":"ScienceDirect","title":"Chapter 4 - Introduction to Physical Scaling: A Model Aimed to Bridge the Gap Between Statistical and Dynamic Downscaling Approaches","title-short":"Chapter 4 - Introduction to Physical Scaling","URL":"https://www.sciencedirect.com/science/article/pii/B9780128109854000049","author":[{"family":"Gaur","given":"Abhishek"},{"family":"Simonovic","given":"Slobodan P."}],"editor":[{"family":"Teegavarapu","given":"Ramesh"}],"accessed":{"date-parts":[["2023",5,4]]},"issued":{"date-parts":[["2019",1,1]]}}}],"schema":"https://github.com/citation-style-language/schema/raw/master/csl-citation.json"} </w:instrText>
      </w:r>
      <w:r w:rsidR="00221FFD">
        <w:fldChar w:fldCharType="separate"/>
      </w:r>
      <w:r w:rsidR="00282A3B" w:rsidRPr="00282A3B">
        <w:t>(Fowler et al. 2007; Gaur and Simonovic 2019)</w:t>
      </w:r>
      <w:r w:rsidR="00221FFD">
        <w:fldChar w:fldCharType="end"/>
      </w:r>
      <w:r>
        <w:t>.</w:t>
      </w:r>
    </w:p>
    <w:p w14:paraId="1677B117" w14:textId="4700EC9D" w:rsidR="000D3178" w:rsidRDefault="000D3178" w:rsidP="000D3178">
      <w:pPr>
        <w:pStyle w:val="Paragraph"/>
      </w:pPr>
      <w:r>
        <w:t xml:space="preserve">One SD </w:t>
      </w:r>
      <w:r w:rsidR="00AC0DF6">
        <w:t xml:space="preserve">method </w:t>
      </w:r>
      <w:r>
        <w:t>based on weather type classification</w:t>
      </w:r>
      <w:r w:rsidR="00C05D7E">
        <w:t xml:space="preserve"> </w:t>
      </w:r>
      <w:r w:rsidR="00C05D7E">
        <w:fldChar w:fldCharType="begin"/>
      </w:r>
      <w:r w:rsidR="001E5ED1">
        <w:instrText xml:space="preserve"> ADDIN ZOTERO_ITEM CSL_CITATION {"citationID":"WIZJSOK3","properties":{"formattedCitation":"(Camus et al. 2014b)","plainCitation":"(Camus et al. 2014b)","noteIndex":0},"citationItems":[{"id":246,"uris":["http://zotero.org/users/10288439/items/2U8Q7KBN"],"itemData":{"id":246,"type":"article-journal","container-title":"Journal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J."},{"family":"Medina","given":"Raúl"}],"issued":{"date-parts":[["2014",11]]}}}],"schema":"https://github.com/citation-style-language/schema/raw/master/csl-citation.json"} </w:instrText>
      </w:r>
      <w:r w:rsidR="00C05D7E">
        <w:fldChar w:fldCharType="separate"/>
      </w:r>
      <w:r w:rsidR="00282A3B" w:rsidRPr="00282A3B">
        <w:t>(Camus et al. 2014b)</w:t>
      </w:r>
      <w:r w:rsidR="00C05D7E">
        <w:fldChar w:fldCharType="end"/>
      </w:r>
      <w:r>
        <w:t xml:space="preserve">, originally proposed to </w:t>
      </w:r>
      <w:r w:rsidRPr="006B710E">
        <w:t>downscale multivariate local wave climate</w:t>
      </w:r>
      <w:r>
        <w:t>s, has been widely applied</w:t>
      </w:r>
      <w:r w:rsidRPr="006B710E">
        <w:t xml:space="preserve"> in coastal settings</w:t>
      </w:r>
      <w:r w:rsidR="00C05D7E">
        <w:t xml:space="preserve"> </w:t>
      </w:r>
      <w:r w:rsidR="00C05D7E">
        <w:fldChar w:fldCharType="begin"/>
      </w:r>
      <w:r w:rsidR="00C05D7E">
        <w:instrText xml:space="preserve"> ADDIN ZOTERO_ITEM CSL_CITATION {"citationID":"Su87Ccpd","properties":{"formattedCitation":"(e.g., Rueda et al. 2019; Costa et al. 2020; Zhao et al. 2024)","plainCitation":"(e.g., Rueda et al. 2019; Costa et al. 2020; Zhao et al. 2024)","noteIndex":0},"citationItems":[{"id":869,"uris":["http://zotero.org/users/10288439/items/8WPQMHYD"],"itemData":{"id":869,"type":"article-journal","abstract":"Understanding marine climate variability is important for coastal planning and marine operations. It is also particularly challenging for complicated settings (e.g., islands) and data-poor regions. The aim of this work is to establish a relationship between daily synoptic atmospheric patterns, and wave and storm surge conditions around New Zealand waters, based on instrumental and reanalysis data. The daily predictor we developed is able to represent sea and swell wave conditions as well as storm surge variability over different temporal scales. However, when climate variability is analysed on a longer temporal period, based on the 20th century reanalysis, large inhomogeneities are found. This highlights the dangers related to assessing climate variability, especially in data-poor regions (such as New Zealand), where inhomogeneities could be interpreted as actual changes.","container-title":"International Journal of Climatology","DOI":"10.1002/joc.5912","ISSN":"1097-0088","issue":"3","language":"en","note":"_eprint: https://onlinelibrary.wiley.com/doi/pdf/10.1002/joc.5912\nrate: 3","page":"1777-1786","source":"Wiley Online Library","title":"Marine climate variability based on weather patterns for a complicated island setting: The New Zealand case","title-short":"Marine climate variability based on weather patterns for a complicated island setting","volume":"39","author":[{"family":"Rueda","given":"Ana"},{"family":"Cagigal","given":"Laura"},{"family":"Antolínez","given":"Jose A. A."},{"family":"Albuquerque","given":"Joao C."},{"family":"Castanedo","given":"Sonia"},{"family":"Coco","given":"Giovanni"},{"family":"Méndez","given":"Fernando J."}],"issued":{"date-parts":[["2019"]]}},"label":"page","prefix":"e.g., "},{"id":781,"uris":["http://zotero.org/users/10288439/items/DFY9R2ZT"],"itemData":{"id":781,"type":"article-journal","abstract":"Increasing our capacity to predict extreme storm surges is one of the key issues in terms of coastal flood risk prevention and adaptation. Dynamically forecasting storm surges is computationally expensive. Here, we focus on an alternative data-driven approach and set up a weather-type statistical downscaling for daily maximum storm surge (SS) prediction, using atmospheric hindcasts (CFSR and CFSv2) and 15 years of tidal gauge station measurements. We focus on predicting the storm surge at La Rochelle–La Pallice tidal gauge station. First, based on a sensitivity analysis to the various parameters of the weather-type approach, we find that the model configuration providing the best performance in SS prediction relies on a fully supervised classification using minimum daily sea level pressure (SLP) and maximum SLP gradient, with 1° resolution in the northeast Atlantic domain as the predictor. Second, we compare the resulting optimal model with the inverse barometer approach and other statistical models (multi-linear regression; semi-supervised and unsupervised weather-types based approaches). The optimal configuration provides more accurate predictions for extreme storm surges, but also the capacity to identify unusual atmospheric storm patterns that can lead to extreme storm surges, as the Xynthia storm for instance (a decrease in the maximum absolute error of 50%).","container-title":"Journal of Marine Science and Engineering","DOI":"10.3390/jmse8121028","ISSN":"2077-1312","issue":"12","language":"en","license":"http://creativecommons.org/licenses/by/3.0/","note":"number: 12\npublisher: Multidisciplinary Digital Publishing Institute\nrate: 5","page":"1028","source":"www.mdpi.com","title":"Statistical Prediction of Extreme Storm Surges Based on a Fully Supervised Weather-Type Downscaling Model","volume":"8","author":[{"family":"Costa","given":"Wagner"},{"family":"Idier","given":"Déborah"},{"family":"Rohmer","given":"Jérémy"},{"family":"Menendez","given":"Melisa"},{"family":"Camus","given":"Paula"}],"issued":{"date-parts":[["2020",12]]}},"label":"page"},{"id":1471,"uris":["http://zotero.org/users/10288439/items/54FX9DVV"],"itemData":{"id":1471,"type":"article-journal","abstract":"A comprehensive understanding of wave characteristics and their variability, based on reliable long-term wave data, is essential in the design, construction, operation and management in offshore and coastal applications. This study aims to downscale multivariate wave data in the Chinese marginal seas at different time scales by employing two weather-type statistical downscaling models. The calibration of both models involves the usage of historical data from ERA5 reanalysis, with sea level pressure and the squared sea level pressure gradient as the predictors and wave parameters as the predictands. The predictor definition considers the swell components in the local wave data. Both models categorize the atmospheric predictors into different weather types using the K-me</w:instrText>
      </w:r>
      <w:r w:rsidR="00C05D7E" w:rsidRPr="00E85701">
        <w:instrText xml:space="preserve">ans algorithm (KMA), with and without regression-guided clustering (referred to as WTD-RG and WTD, respectively). Each weather type is associated with sea state parameters. The downscaled wave data from both models are validated against ERA5 data. The results show that both models can generally reproduce the wave statistics for the significant wave height, mean wave direction, mean wave energy flux, and 95th percentile of the significant wave height. However, the WTD-RG model performs better than the WTD model. Additionally, the ERA5 data reveal increasing trends in the mean significant wave height for most areas of the East China Sea and South China Sea and decreasing trends in the Bohai Sea, Yellow Sea, and Beibu Gulf from 1959 to 2021. These patterns are well captured by the WTD-RG model but not by the WTD model.","container-title":"Ocean Modelling","DOI":"10.1016/j.ocemod.2023.102297","ISSN":"1463-5003","journalAbbreviation":"Ocean Modelling","note":"rate: 4","page":"102297","source":"ScienceDirect","title":"Weather-type statistical downscaling for ocean wave climate in the Chinese marginal seas","volume":"187","author":[{"family":"Zhao","given":"Guangfeng"},{"family":"Li","given":"Delei"},{"family":"Camus","given":"Paula"},{"family":"Zhang","given":"Xinli"},{"family":"Qi","given":"Jifeng"},{"family":"Yin","given":"Baoshu"}],"issued":{"date-parts":[["2024",2,1]]}},"label":"page"}],"schema":"https://github.com/citation-style-language/schema/raw/master/csl-citation.json"} </w:instrText>
      </w:r>
      <w:r w:rsidR="00C05D7E">
        <w:fldChar w:fldCharType="separate"/>
      </w:r>
      <w:r w:rsidR="00282A3B" w:rsidRPr="00E85701">
        <w:t>(e.g., Rueda et al. 2019; Costa et al. 2020; Zhao et al. 2024)</w:t>
      </w:r>
      <w:r w:rsidR="00C05D7E">
        <w:fldChar w:fldCharType="end"/>
      </w:r>
      <w:r w:rsidRPr="00E85701">
        <w:t xml:space="preserve">. </w:t>
      </w:r>
      <w:r>
        <w:t xml:space="preserve">A key advantage of this </w:t>
      </w:r>
      <w:r w:rsidR="00A44A50">
        <w:t xml:space="preserve">type of </w:t>
      </w:r>
      <w:r>
        <w:t>approach is the ability to trace back the synoptic conditions</w:t>
      </w:r>
      <w:r w:rsidR="000C6A64">
        <w:t xml:space="preserve"> (i.e., the </w:t>
      </w:r>
      <w:r w:rsidR="000C6A64" w:rsidRPr="000C6A64">
        <w:t xml:space="preserve">atmospheric </w:t>
      </w:r>
      <w:r w:rsidR="000C6A64" w:rsidRPr="000C6A64">
        <w:lastRenderedPageBreak/>
        <w:t>conditions over a wide area at a given time</w:t>
      </w:r>
      <w:r w:rsidR="000C6A64">
        <w:t>)</w:t>
      </w:r>
      <w:r>
        <w:t xml:space="preserve"> responsible for local responses</w:t>
      </w:r>
      <w:r w:rsidR="00C05D7E">
        <w:t xml:space="preserve"> </w:t>
      </w:r>
      <w:r w:rsidR="00C05D7E">
        <w:fldChar w:fldCharType="begin"/>
      </w:r>
      <w:r w:rsidR="00C05D7E">
        <w:instrText xml:space="preserve"> ADDIN ZOTERO_ITEM CSL_CITATION {"citationID":"SPdIiGMH","properties":{"formattedCitation":"(Rueda et al. 2016)","plainCitation":"(Rueda et al. 2016)","noteIndex":0},"citationItems":[{"id":879,"uris":["http://zotero.org/users/10288439/items/C3E7LQPS"],"itemData":{"id":879,"type":"article-journal","abstract":"Coastal floods often coincide with large waves, storm surge and tides. Thus, joint probability methods are needed to properly characterize extreme sea levels. This work introduces a statistical downscaling framework for multivariate extremes that relates the non-stationary behavior of coastal flooding events to the occurrence probability of daily weather patterns. The proposed method is based on recently-developed weather-type methods to predict extreme events (e.g., significant wave height, mean wave period, surge level) from large-scale sea-level pressure fields. For each weather type, variables of interest are modeled using Generalized Extreme Value (GEV) distributions and a Gaussian copula for modelling the interdependence between variables. The statistical dependence between consecutive days is addressed by defining a climate-based extremal index for each weather type. This work allows attribution of extreme events to specific weather conditions, enhancing the knowledge of climate-driven coastal flooding.","container-title":"Ocean Modelling","DOI":"10.1016/j.ocemod.2016.06.008","ISSN":"1463-5003","journalAbbreviation":"Ocean Modelling","language":"en","note":"rate: 3","page":"242-251","source":"ScienceDirect","title":"A multivariate extreme wave and storm surge climate emulator based on weather patterns","volume":"104","author":[{"family":"Rueda","given":"A."},{"family":"Camus","given":"P."},{"family":"Tomás","given":"A."},{"family":"Vitousek","given":"S."},{"family":"Méndez","given":"F. J."}],"issued":{"date-parts":[["2016",8,1]]}}}],"schema":"https://github.com/citation-style-language/schema/raw/master/csl-citation.json"} </w:instrText>
      </w:r>
      <w:r w:rsidR="00C05D7E">
        <w:fldChar w:fldCharType="separate"/>
      </w:r>
      <w:r w:rsidR="00282A3B" w:rsidRPr="00282A3B">
        <w:t>(Rueda et al. 2016)</w:t>
      </w:r>
      <w:r w:rsidR="00C05D7E">
        <w:fldChar w:fldCharType="end"/>
      </w:r>
      <w:r>
        <w:t>. In addition to downscaling local variables, recent studies have demonstrated their potential to</w:t>
      </w:r>
      <w:r w:rsidR="00001D66">
        <w:t xml:space="preserve"> provide robust projections of coastal conditions to </w:t>
      </w:r>
      <w:r w:rsidR="000A32D1">
        <w:t>manage</w:t>
      </w:r>
      <w:r w:rsidR="00001D66">
        <w:t xml:space="preserve"> coastal erosion </w:t>
      </w:r>
      <w:r w:rsidR="0078464B">
        <w:fldChar w:fldCharType="begin"/>
      </w:r>
      <w:r w:rsidR="006F61D6">
        <w:instrText xml:space="preserve"> ADDIN ZOTERO_ITEM CSL_CITATION {"citationID":"vgq5aVTX","properties":{"formattedCitation":"(Toimil et al. 2017)","plainCitation":"(Toimil et al. 2017)","noteIndex":0},"citationItems":[{"id":1941,"uris":["http://zotero.org/users/10288439/items/WDZ849SJ"],"itemData":{"id":1941,"type":"article-journal","abstract":"This study presents a comprehensive methodology that addresses climate change–induced coastal erosion at the regional scale O (100 km). The use of climate data with high space-time resolution enabled the reconstruction of the shoreline response to cross-shore forcing both historically and throughout the twenty-first century. Cross section–based equilibrium models were combined to assess beach erosion induced by local waves, storm surge, astronomical tide and mean sea-level rise. The approach incorporates the potential impacts that tidal inlets could have on the long-term evolution of adjacent beaches as sink terms in the beaches’ budget. The methodology provides probabilistic estimates of coastline recession while accounting for sea level rise uncertainty, both of which are essential aspects for establishing adaptation priorities and efficient fund allocation. The outlined assessment was undertaken on 57 sandy beaches along a 345 km coastline stretch in Asturias, a region in the northwest of Spain open to the Atlantic.","container-title":"Coastal Engineering","DOI":"10.1016/j.coastaleng.2017.08.004","ISSN":"0378-3839","journalAbbreviation":"Coastal Engineering","note":"rate: 4","page":"106-122","source":"ScienceDirect","title":"Managing coastal erosion under climate change at the regional scale","volume":"128","author":[{"family":"Toimil","given":"Alexandra"},{"family":"Losada","given":"Inigo J."},{"family":"Camus","given":"Paula"},{"family":"Díaz-Simal","given":"Pedro"}],"issued":{"date-parts":[["2017",10,1]]}}}],"schema":"https://github.com/citation-style-language/schema/raw/master/csl-citation.json"} </w:instrText>
      </w:r>
      <w:r w:rsidR="0078464B">
        <w:fldChar w:fldCharType="separate"/>
      </w:r>
      <w:r w:rsidR="000A32D1" w:rsidRPr="000A32D1">
        <w:t>(Toimil et al. 2017)</w:t>
      </w:r>
      <w:r w:rsidR="0078464B">
        <w:fldChar w:fldCharType="end"/>
      </w:r>
      <w:r w:rsidR="0078464B">
        <w:t xml:space="preserve"> </w:t>
      </w:r>
      <w:r w:rsidR="00001D66">
        <w:t>and</w:t>
      </w:r>
      <w:r>
        <w:t xml:space="preserve"> build </w:t>
      </w:r>
      <w:r w:rsidRPr="00DF3A9F">
        <w:t>operational</w:t>
      </w:r>
      <w:r>
        <w:t xml:space="preserve"> forecasting tools for coastal flooding </w:t>
      </w:r>
      <w:r w:rsidR="00C05D7E">
        <w:fldChar w:fldCharType="begin"/>
      </w:r>
      <w:r w:rsidR="00C05D7E">
        <w:instrText xml:space="preserve"> ADDIN ZOTERO_ITEM CSL_CITATION {"citationID":"7rIbZ6td","properties":{"formattedCitation":"(Neal et al. 2018)","plainCitation":"(Neal et al. 2018)","noteIndex":0},"citationItems":[{"id":945,"uris":["http://zotero.org/users/10288439/items/IVUI8JNK"],"itemData":{"id":945,"type":"article-journal","abstract":"A medium- to long-range forecast highlighting periods with an increased likelihood of coastal flooding is useful to United Kingdom governments and response agencies when considering proactive, large-scale and multiregional responses. For this purpose, a new operational forecasting tool called Coastal Decider was developed for use by the Flood Forecasting Centre (FFC). Coastal Decider is used for internal preparedness within the FFC and provides the likelihood of coastal flooding around the UK, which is associated with the occurrence of specific predefined weather patterns in combination with high astronomical tides. Forecasts are available for medium-range and monthly time-scales using output from several ensemble prediction systems, whereby ensemble members are objectively assigned to the closest matching weather pattern definition. Ensemble members already clustered by weather pattern are then grouped to provide objective probabilities of a broader cluster of coastal-risk weather patterns occurring. The coastal-risk weather patterns were objectively derived for 21 coastal sites by relating daily historical weather pattern classifications to a wave hindcast, using a Met Office configuration of WAVEWATCH III, as well as observed skew surges, derived using tide-gauge data from the British Oceanographic Data Centre (BODC). Finally, metrics based on the pressure-anomaly difference between ensemble members and their assigned weather patterns, alongside forecasts of daily maximum 10 m wind speed are used to estimate the magnitude of coastal flooding.","container-title":"Meteorological Applications","DOI":"10.1002/met.1719","ISSN":"1469-8080","issue":"4","language":"en","note":"_eprint: https://onlinelibrary.wiley.com/doi/pdf/10.1002/met.1719\nrate: 4","page":"534-547","source":"Wiley Online Library","title":"Use of probabilistic medium- to long-range weather-pattern forecasts for identifying periods with an increased likelihood of coastal flooding around the UK","volume":"25","author":[{"family":"Neal","given":"Robert"},{"family":"Dankers","given":"Rutger"},{"family":"Saulter","given":"Andrew"},{"family":"Lane","given":"Andrew"},{"family":"Millard","given":"Jonathan"},{"family":"Robbins","given":"Gavin"},{"family":"Price","given":"David"}],"issued":{"date-parts":[["2018"]]}}}],"schema":"https://github.com/citation-style-language/schema/raw/master/csl-citation.json"} </w:instrText>
      </w:r>
      <w:r w:rsidR="00C05D7E">
        <w:fldChar w:fldCharType="separate"/>
      </w:r>
      <w:r w:rsidR="00282A3B" w:rsidRPr="00282A3B">
        <w:t>(Neal et al. 2018)</w:t>
      </w:r>
      <w:r w:rsidR="00C05D7E">
        <w:fldChar w:fldCharType="end"/>
      </w:r>
      <w:r>
        <w:t>. Other efforts have been made to couple such weather</w:t>
      </w:r>
      <w:r w:rsidR="009C0CB6">
        <w:t xml:space="preserve"> </w:t>
      </w:r>
      <w:r>
        <w:t>typ</w:t>
      </w:r>
      <w:r w:rsidR="009C0CB6">
        <w:t>ing</w:t>
      </w:r>
      <w:r>
        <w:t xml:space="preserve"> methods with climate emulators to account for climate variabilities at multiple temporal scales </w:t>
      </w:r>
      <w:r w:rsidR="00C05D7E">
        <w:fldChar w:fldCharType="begin"/>
      </w:r>
      <w:r w:rsidR="000A32D1">
        <w:instrText xml:space="preserve"> ADDIN ZOTERO_ITEM CSL_CITATION {"citationID":"PPcRsxH8","properties":{"formattedCitation":"(e.g., Anderson et al. 2019; Cagigal et al. 2020)","plainCitation":"(e.g., Anderson et al. 2019; Cagigal et al. 2020)","noteIndex":0},"citationItems":[{"id":9,"uris":["http://zotero.org/users/10288439/items/XZRE2M2L"],"itemData":{"id":9,"type":"article-journal","container-title":"Journal of Geophysical Research: Oceans","DOI":"10.1029/2019JC015312","ISSN":"2169-9275, 2169-9291","issue":"12","journalAbbreviation":"J</w:instrText>
      </w:r>
      <w:r w:rsidR="000A32D1">
        <w:rPr>
          <w:rFonts w:hint="eastAsia"/>
        </w:rPr>
        <w:instrText>. Geophys. Res. Oceans","language":"en","note":"rate: 5","page":"9209-9234","source":"DOI.org (Crossref)","title":"Time</w:instrText>
      </w:r>
      <w:r w:rsidR="000A32D1">
        <w:rPr>
          <w:rFonts w:hint="eastAsia"/>
        </w:rPr>
        <w:instrText>‐</w:instrText>
      </w:r>
      <w:r w:rsidR="000A32D1">
        <w:rPr>
          <w:rFonts w:hint="eastAsia"/>
        </w:rPr>
        <w:instrText>Varying Emulator for Short and Long</w:instrText>
      </w:r>
      <w:r w:rsidR="000A32D1">
        <w:rPr>
          <w:rFonts w:hint="eastAsia"/>
        </w:rPr>
        <w:instrText>‐</w:instrText>
      </w:r>
      <w:r w:rsidR="000A32D1">
        <w:rPr>
          <w:rFonts w:hint="eastAsia"/>
        </w:rPr>
        <w:instrText>Term Analysis of Coastal Flood Hazard Potential","volume":"124","author":[{"family":"Anderson","giv</w:instrText>
      </w:r>
      <w:r w:rsidR="000A32D1">
        <w:instrText xml:space="preserve">en":"D."},{"family":"Rueda","given":"A."},{"family":"Cagigal","given":"L."},{"family":"Antolinez","given":"J. A. A."},{"family":"Mendez","given":"F. J."},{"family":"Ruggiero","given":"P."}],"issued":{"date-parts":[["2019",12]]}},"label":"page","prefix":"e.g., "},{"id":228,"uris":["http://zotero.org/users/10288439/items/5UXXYKH7"],"itemData":{"id":228,"type":"article-journal","container-title":"Ocean Modelling","DOI":"10.1016/j.ocemod.2020.101695","ISSN":"14635003","journalAbbreviation":"Ocean Modelling","language":"en","note":"rate: 5","page":"101695","source":"DOI.org (Crossref)","title":"A multivariate, stochastic, climate-based wave emulator for shoreline change modelling","volume":"154","author":[{"family":"Cagigal","given":"Laura"},{"family":"Rueda","given":"Ana"},{"family":"Anderson","given":"Dylan"},{"family":"Ruggiero","given":"Peter"},{"family":"Merrifield","given":"Mark A."},{"family":"Montaño","given":"Jennifer"},{"family":"Coco","given":"Giovanni"},{"family":"Méndez","given":"Fernando J."}],"issued":{"date-parts":[["2020",10]]}},"label":"page"}],"schema":"https://github.com/citation-style-language/schema/raw/master/csl-citation.json"} </w:instrText>
      </w:r>
      <w:r w:rsidR="00C05D7E">
        <w:fldChar w:fldCharType="separate"/>
      </w:r>
      <w:r w:rsidR="000A32D1" w:rsidRPr="000A32D1">
        <w:t>(e.g., Anderson et al. 2019; Cagigal et al. 2020)</w:t>
      </w:r>
      <w:r w:rsidR="00C05D7E">
        <w:fldChar w:fldCharType="end"/>
      </w:r>
      <w:r>
        <w:t>.</w:t>
      </w:r>
    </w:p>
    <w:p w14:paraId="3381D811" w14:textId="6E2DF406" w:rsidR="00CF7773" w:rsidRDefault="000D3178" w:rsidP="00CF7773">
      <w:pPr>
        <w:pStyle w:val="Paragraph"/>
      </w:pPr>
      <w:r w:rsidRPr="000F2580">
        <w:t>A fundamental requirement for</w:t>
      </w:r>
      <w:r>
        <w:t xml:space="preserve"> approaches based on weather typ</w:t>
      </w:r>
      <w:r w:rsidR="00A86E8B">
        <w:t>es</w:t>
      </w:r>
      <w:r>
        <w:t xml:space="preserve"> and other</w:t>
      </w:r>
      <w:r w:rsidRPr="000F2580">
        <w:t xml:space="preserve"> </w:t>
      </w:r>
      <w:r>
        <w:t>SD</w:t>
      </w:r>
      <w:r w:rsidRPr="000F2580">
        <w:t xml:space="preserve"> models is that there </w:t>
      </w:r>
      <w:r>
        <w:t>should be</w:t>
      </w:r>
      <w:r w:rsidRPr="000F2580">
        <w:t xml:space="preserve"> a strong relationship between the predictors</w:t>
      </w:r>
      <w:r w:rsidR="00DD7667">
        <w:t xml:space="preserve"> </w:t>
      </w:r>
      <w:r w:rsidRPr="000F2580">
        <w:t>and predictands</w:t>
      </w:r>
      <w:r w:rsidR="00C05D7E">
        <w:t xml:space="preserve"> </w:t>
      </w:r>
      <w:r w:rsidR="00C05D7E">
        <w:fldChar w:fldCharType="begin"/>
      </w:r>
      <w:r w:rsidR="00C05D7E">
        <w:instrText xml:space="preserve"> ADDIN ZOTERO_ITEM CSL_CITATION {"citationID":"eRZXlZYa","properties":{"formattedCitation":"(Schoof 2013; Gaur and Simonovic 2019)","plainCitation":"(Schoof 2013; Gaur and Simonovic 2019)","noteIndex":0},"citationItems":[{"id":1020,"uris":["http://zotero.org/users/10288439/items/QYJ7I4C2"],"itemData":{"id":1020,"type":"article-journal","abstract":"Downscaling is a term that has been used to describe the range of methods that are used to infer regional-scale or local-scale climate information from coarsely resolved climate models. The use of statistical methods for this purpose is rooted in both operational weather forecasting and synoptic climatology and has become a widely applied method for development of regional climate change scenarios. This article provides an overview of statistical downscaling with a focus on assumptions, common predictors and predictands, and methodological approaches ranging from interpolation and scaling to regression-based methods, weather pattern-based techniques, and stochastic weather generators. Suggestions are made for improved assessment of the fundamental downscaling assumptions as well as reduction of uncertainty associated with application of downscaled climate information across models and greenhouse gas emission scenarios.","container-title":"Geography Compass","DOI":"10.1111/gec3.12036","ISSN":"1749-8198","issue":"4","language":"en","note":"_eprint: https://onlinelibrary.wiley.com/doi/pdf/10.1111/gec3.12036","page":"249-265","source":"Wiley Online Library","title":"Statistical Downscaling in Climatology","volume":"7","author":[{"family":"Schoof","given":"Justin T."}],"issued":{"date-parts":[["2013"]]}}},{"id":1017,"uris":["http://zotero.org/users/10288439/items/MGYJWHQG"],"itemData":{"id":1017,"type":"chapter","abstract":"Downscaling is performed to estimate higher resolution climatic projections from global climate odel modeled climate output. Two different classes of models have been used in the past to perform downscaling: statistical and dynamic. Recently a novel statistical downscaling model, physical scaling, which attempts to build on the strengths of both statistical and dynamic downscaling, has been proposed. The model has been extensively validated and has been used to identify land-cover change–induced climatic changes in four catchments in Saskatchewan. This chapter provides a detailed description of the physical scaling model, presents results from model validation and application studies, as well as details a step-by-step procedure of building the model from scratch in the R programming language.","container-title":"Trends and Changes in Hydroclimatic Variables","ISBN":"978-0-12-810985-4","language":"en","note":"DOI: 10.1016/B978-0-12-810985-4.00004-9","page":"199-273","publisher":"Elsevier","source":"ScienceDirect","title":"Chapter 4 - Introduction to Physical Scaling: A Model Aimed to Bridge the Gap Between Statistical and Dynamic Downscaling Approaches","title-short":"Chapter 4 - Introduction to Physical Scaling","URL":"https://www.sciencedirect.com/science/article/pii/B9780128109854000049","author":[{"family":"Gaur","given":"Abhishek"},{"family":"Simonovic","given":"Slobodan P."}],"editor":[{"family":"Teegavarapu","given":"Ramesh"}],"accessed":{"date-parts":[["2023",5,4]]},"issued":{"date-parts":[["2019",1,1]]}}}],"schema":"https://github.com/citation-style-language/schema/raw/master/csl-citation.json"} </w:instrText>
      </w:r>
      <w:r w:rsidR="00C05D7E">
        <w:fldChar w:fldCharType="separate"/>
      </w:r>
      <w:r w:rsidR="00282A3B" w:rsidRPr="00282A3B">
        <w:t>(Schoof 2013; Gaur and Simonovic 2019)</w:t>
      </w:r>
      <w:r w:rsidR="00C05D7E">
        <w:fldChar w:fldCharType="end"/>
      </w:r>
      <w:r>
        <w:t xml:space="preserve">. Research efforts have been made to identify suitable predictor variables </w:t>
      </w:r>
      <w:r w:rsidR="00B8469C">
        <w:t>depending on the predictand o</w:t>
      </w:r>
      <w:r w:rsidR="00F05D94">
        <w:t>f</w:t>
      </w:r>
      <w:r w:rsidR="00B8469C">
        <w:t xml:space="preserve"> interest.</w:t>
      </w:r>
      <w:r w:rsidR="00D909B7">
        <w:t xml:space="preserve"> </w:t>
      </w:r>
      <w:r w:rsidR="00B92A61">
        <w:t>For example, v</w:t>
      </w:r>
      <w:r w:rsidR="00D909B7">
        <w:t xml:space="preserve">ariables based on sea level pressure </w:t>
      </w:r>
      <w:r w:rsidR="00996D69">
        <w:t>and wind have been considered</w:t>
      </w:r>
      <w:r w:rsidR="00D909B7">
        <w:t xml:space="preserve"> </w:t>
      </w:r>
      <w:r>
        <w:t xml:space="preserve">for downscaling </w:t>
      </w:r>
      <w:r w:rsidR="00D909B7">
        <w:t>significant wave height</w:t>
      </w:r>
      <w:r>
        <w:t xml:space="preserve"> </w:t>
      </w:r>
      <w:r w:rsidR="001E5ED1">
        <w:fldChar w:fldCharType="begin"/>
      </w:r>
      <w:r w:rsidR="001E5ED1">
        <w:instrText xml:space="preserve"> ADDIN ZOTERO_ITEM CSL_CITATION {"citationID":"aUDjyDS2","properties":{"formattedCitation":"(Wang et al. 2010; Casas-Prat et al. 2014)","plainCitation":"(Wang et al. 2010; Casas-Prat et al. 2014)","noteIndex":0},"citationItems":[{"id":1689,"uris":["http://zotero.org/users/10288439/items/X2PF4UPX"],"itemData":{"id":1689,"type":"article-journal","abstract":"In this study, dynamical and statistical downscaling methods for estimating seasonal statistics of significant wave heights (SWH) were intercompared, with the downscaling results being evaluated against the ERA40 wave data in terms of climatological characteristics and interannual variability. It was also shown that biases in climate-model-simulated climate and variability of the atmospheric circulation (or predictors in general) can result in large biases in the estimated climate and variability of SWH (or the predictand in general), and that such biases can be effectively diminished by using standardized predictor quantities in statistical downscaling models. In dynamical downscaling, however, model variability biases remain to be dealt with, whereas the effects of model climate biases can be reduced to some extent by replacing the climate-model-simulated wind climate with the observed one. Therefore, the dynamical approach was found to be not as good as the statistical methods in terms of reproducing the observed climate and interannual variability of the predictand, although it bears substantial similarity to the statistical methods in terms of projected possible future changes. Also, it was shown that the observed interannual variability of seasonal statistics (including extremes) can be better reproduced by using 12-hourly, rather than seasonal, data in statistical downscaling. This stresses the importance of availability of higher-resolution data from climate model outputs. Nevertheless, a non-stationary extreme value model with covariates was found to be the best in reproducing the observed climate of extremes. All the statistical downscaling methods and the intercomparison results are applicable to other climate variables (not limited to ocean wave heights). Copyright © 2009 Crown in the right of Canada. Published by John Wiley &amp; Sons, Ltd.","container-title":"International Journal of Climatology","DOI":"10.1002/joc.1899","ISSN":"1097-0088","issue":"3","language":"en","note":"_eprint: https://onlinelibrary.wiley.com/doi/pdf/10.1002/joc.1899","page":"317-332","source":"Wiley Online Library","title":"Dynamical versus statistical downscaling methods for ocean wave heights","volume":"30","author":[{"family":"Wang","given":"Xiaolan L."},{"family":"Swail","given":"Val R."},{"family":"Cox","given":"Andrew"}],"issued":{"date-parts":[["2010"]]}}},{"id":1133,"uris":["http://zotero.org/users/10288439/items/I5436KP7"],"itemData":{"id":1133,"type":"article-journal","abstract":"This study proposes a computationally inexpensive statistical method for modeling ocean wave heights, focusing particularly on modeling wave heights in near-shore areas. A multiple linear regression is used to predict significant wave heights (Hs) using predictors derived from the sea level pressure (SLP) field, including the use of squared SLP gradients to represent geostrophic winds. One time step lagged Hs is also included as a predictor, which could be interpreted as the first order derivative in the spectral energy balance governing equation. Further, based on the frequency/directional dispersion theory of waves, the swell component is accounted for by using a set of selected principal components derived from the squared SLP gradient vectors (including magnitudes and directions). The effect of non-Gaussian (non-negative) variables is also assessed by applying two types of transformation to the data. The proposed method is evaluated and shown to have good skills for the study area (Catalan coast). This method can be used to project possible future wave climate change for use in coastal impact assessment studies. It is used in this study to project the wave climate for the study area that corresponds to 5 sets of regional climate model (RCM) atmospheric projections, which were made by different RCMs forced by the same global circulation model (GCM), or by the same RCM forced by two GCMs. For the season analyzed (winter), the results show that the uncertainty due to using different GCMs to drive the same RCM is greater than that due to using different RCMs driven by the same GCM.","container-title":"Ocean Modelling","DOI":"10.1016/j.ocemod.2013.10.008","ISSN":"1463-5003","journalAbbreviation":"Ocean Modelling","language":"en","note":"rate: 3","page":"59-75","source":"ScienceDirect","title":"A physical-based statistical method for modeling ocean wave heights","volume":"73","author":[{"family":"Casas-Prat","given":"Mercè"},{"family":"Wang","given":"Xiaolan L."},{"family":"Sierra","given":"Joan P."}],"issued":{"date-parts":[["2014",1,1]]}}}],"schema":"https://github.com/citation-style-language/schema/raw/master/csl-citation.json"} </w:instrText>
      </w:r>
      <w:r w:rsidR="001E5ED1">
        <w:fldChar w:fldCharType="separate"/>
      </w:r>
      <w:r w:rsidR="00282A3B" w:rsidRPr="00282A3B">
        <w:t>(Wang et al. 2010; Casas-Prat et al. 2014)</w:t>
      </w:r>
      <w:r w:rsidR="001E5ED1">
        <w:fldChar w:fldCharType="end"/>
      </w:r>
      <w:r w:rsidR="0095541D">
        <w:t xml:space="preserve"> and storm surge </w:t>
      </w:r>
      <w:r w:rsidR="0095541D">
        <w:fldChar w:fldCharType="begin"/>
      </w:r>
      <w:r w:rsidR="0095541D">
        <w:instrText xml:space="preserve"> ADDIN ZOTERO_ITEM CSL_CITATION {"citationID":"mRs1qxxh","properties":{"formattedCitation":"(Costa et al. 2020)","plainCitation":"(Costa et al. 2020)","noteIndex":0},"citationItems":[{"id":781,"uris":["http://zotero.org/users/10288439/items/DFY9R2ZT"],"itemData":{"id":781,"type":"article-journal","abstract":"Increasing our capacity to predict extreme storm surges is one of the key issues in terms of coastal flood risk prevention and adaptation. Dynamically forecasting storm surges is computationally expensive. Here, we focus on an alternative data-driven approach and set up a weather-type statistical downscaling for daily maximum storm surge (SS) prediction, using atmospheric hindcasts (CFSR and CFSv2) and 15 years of tidal gauge station measurements. We focus on predicting the storm surge at La Rochelle–La Pallice tidal gauge station. First, based on a sensitivity analysis to the various parameters of the weather-type approach, we find that the model configuration providing the best performance in SS prediction relies on a fully supervised classification using minimum daily sea level pressure (SLP) and maximum SLP gradient, with 1° resolution in the northeast Atlantic domain as the predictor. Second, we compare the resulting optimal model with the inverse barometer approach and other statistical models (multi-linear regression; semi-supervised and unsupervised weather-types based approaches). The optimal configuration provides more accurate predictions for extreme storm surges, but also the capacity to identify unusual atmospheric storm patterns that can lead to extreme storm surges, as the Xynthia storm for instance (a decrease in the maximum absolute error of 50%).","container-title":"Journal of Marine Science and Engineering","DOI":"10.3390/jmse8121028","ISSN":"2077-1312","issue":"12","language":"en","license":"http://creativecommons.org/licenses/by/3.0/","note":"number: 12\npublisher: Multidisciplinary Digital Publishing Institute\nrate: 5","page":"1028","source":"www.mdpi.com","title":"Statistical Prediction of Extreme Storm Surges Based on a Fully Supervised Weather-Type Downscaling Model","volume":"8","author":[{"family":"Costa","given":"Wagner"},{"family":"Idier","given":"Déborah"},{"family":"Rohmer","given":"Jérémy"},{"family":"Menendez","given":"Melisa"},{"family":"Camus","given":"Paula"}],"issued":{"date-parts":[["2020",12]]}}}],"schema":"https://github.com/citation-style-language/schema/raw/master/csl-citation.json"} </w:instrText>
      </w:r>
      <w:r w:rsidR="0095541D">
        <w:fldChar w:fldCharType="separate"/>
      </w:r>
      <w:r w:rsidR="0095541D" w:rsidRPr="0095541D">
        <w:t>(Costa et al. 2020)</w:t>
      </w:r>
      <w:r w:rsidR="0095541D">
        <w:fldChar w:fldCharType="end"/>
      </w:r>
      <w:r w:rsidR="0095541D">
        <w:t xml:space="preserve">. </w:t>
      </w:r>
      <w:r w:rsidR="00217C8F">
        <w:t xml:space="preserve">Besides the choice of predictor variables, </w:t>
      </w:r>
      <w:r w:rsidR="00F8723F">
        <w:t xml:space="preserve">factors like </w:t>
      </w:r>
      <w:r w:rsidR="00217C8F">
        <w:t>the spatial and temporal definition</w:t>
      </w:r>
      <w:r w:rsidR="0056135B">
        <w:t>s</w:t>
      </w:r>
      <w:r w:rsidR="00217C8F">
        <w:t xml:space="preserve"> (i.e., the </w:t>
      </w:r>
      <w:r w:rsidR="0056135B">
        <w:t>spatial and temporal extent over which the predictor is defined) also affect</w:t>
      </w:r>
      <w:r w:rsidR="00F8723F">
        <w:t xml:space="preserve"> the</w:t>
      </w:r>
      <w:r w:rsidR="0056135B">
        <w:t xml:space="preserve"> performance of SD models</w:t>
      </w:r>
      <w:r w:rsidR="001E5ED1">
        <w:t xml:space="preserve"> </w:t>
      </w:r>
      <w:r w:rsidR="001E5ED1">
        <w:fldChar w:fldCharType="begin"/>
      </w:r>
      <w:r w:rsidR="001E5ED1">
        <w:instrText xml:space="preserve"> ADDIN ZOTERO_ITEM CSL_CITATION {"citationID":"DtjGydTr","properties":{"formattedCitation":"(Camus et al. 2014a; Hegermiller et al. 2017)","plainCitation":"(Camus et al. 2014a; Hegermiller et al. 2017)","noteIndex":0},"citationItems":[{"id":607,"uris":["http://zotero.org/users/10288439/items/98TIAY6C"],"itemData":{"id":607,"type":"article-journal","abstract":"In this study, a method to obtain local wave predictor indices that take into account the wave generation process is described and applied to several locations. The method is based on a statistical model that relates significant wave height with an atmospheric predictor, defined by sea level pressure fields. The predictor is composed of a local and a regional part, representing the sea and the swell wave components, respectively. The spatial domain of the predictor is determined using the Evaluation of Source and Travel-time of wave Energy reaching a Local Area (ESTELA) method. The regional component of the predictor includes the recent historical atmospheric conditions responsible for the swell wave component at the target point. The regional predictor component has a historical temporal coverage (n-days) different to the local predictor component (daily coverage). Principal component analysis is applied to the daily predictor in order to detect the dominant variability patterns and their temporal coefficients. Multivariate regression model, fitted at daily scale for different n-days of the regional predictor, determines the optimum historical coverage. The monthly wave predictor indices are selected applying a regression model using the monthly values of the principal components of the daily predictor, with the optimum temporal coverage for the regional predictor. The daily predictor can be used in wave climate projections, while the monthly predictor can help to understand wave climate variability or long-term coastal morphodynamic anomalies.","container-title":"Ocean Dynamics","DOI":"10.1007/s10236-014-0737-2","ISSN":"1616-7228","issue":"7","journalAbbreviation":"Ocean Dynamics","language":"en","note":"rate: 4","page":"1025-1038","source":"Springer Link","title":"A method for finding the optimal predictor indices for local wave climate conditions","volume":"64","author":[{"family":"Camus","given":"Paula"},{"family":"Méndez","given":"Fernando J."},{"family":"Losada","given":"Inigo J."},{"family":"Menéndez","given":"Melisa"},{"family":"Espejo","given":"Antonio"},{"family":"Pérez","given":"Jorge"},{"family":"Rueda","given":"Ana"},{"family":"Guanche","given":"Yanira"}],"issued":{"date-parts":[["2014",7,1]]}}},{"id":554,"uris":["http://zotero.org/users/10288439/items/3FNWVI4S"],"itemData":{"id":554,"type":"article-journal","abstract":"Abstract Characterization of wave climate by bulk wave parameters is insufficient for many coastal studies, including those focused on assessing coastal hazards and long-term wave climate influences on coastal evolution. This issue is particularly relevant for studies using statistical downscaling of atmospheric fields to local wave conditions, which are often multimodal in large ocean basins (e.g., Pacific Ocean). Swell may be generated in vastly different wave generation regions, yielding complex wave spectra that are inadequately represented by a single set of bulk wave parameters. Furthermore, the relationship between atmospheric systems and local wave conditions is complicated by variations in arrival time of wave groups from different parts of the basin. Here, this study addresses these two challenges by improving upon the spatiotemporal definition of the atmospheric predictor used in the statistical downscaling of local wave climate. The improved methodology separates the local wave spectrum into “wave families,” defined by spectral peaks and discrete generation regions, and relates atmospheric conditions in distant regions of the ocean basin to local wave conditions by incorporating travel times computed from effective energy flux across the ocean basin. When applied to locations with multimodal wave spectra, including Southern California and Trujillo, Peru, the new methodology improves the ability of the statistical model to project significant wave height, peak period, and direction for each wave family, retaining more information from the full wave spectrum. This work is the base of statistical downscaling by weather types, which has recently been applied to coastal flooding and morphodynamic applications.","container-title":"Journal of Physical Oceanography","DOI":"10.1175/JPO-D-16-0191.1","ISSN":"0022-3670, 1520-0485","issue":"2","language":"EN","note":"publisher: American Meteorological Society\nsection: Journal of Physical Oceanography\nrate: 4","page":"375-386","source":"journals.ametsoc.org","title":"A Multimodal Wave Spectrum–Based Approach for Statistical Downscaling of Local Wave Climate","volume":"47","author":[{"family":"Hegermiller","given":"C. A."},{"family":"Antolinez","given":"J. a. A."},{"family":"Rueda","given":"A."},{"family":"Camus","given":"P."},{"family":"Perez","given":"J."},{"family":"Erikson","given":"L. H."},{"family":"Barnard","given":"P. L."},{"family":"Mendez","given":"F. J."}],"issued":{"date-parts":[["2017",2,1]]}}}],"schema":"https://github.com/citation-style-language/schema/raw/master/csl-citation.json"} </w:instrText>
      </w:r>
      <w:r w:rsidR="001E5ED1">
        <w:fldChar w:fldCharType="separate"/>
      </w:r>
      <w:r w:rsidR="00282A3B" w:rsidRPr="00282A3B">
        <w:t>(Camus et al. 2014a; Hegermiller et al. 2017)</w:t>
      </w:r>
      <w:r w:rsidR="001E5ED1">
        <w:fldChar w:fldCharType="end"/>
      </w:r>
      <w:r>
        <w:t>. While the</w:t>
      </w:r>
      <w:r w:rsidR="0056135B">
        <w:t>se</w:t>
      </w:r>
      <w:r>
        <w:t xml:space="preserve"> findings are generally transferable to SD model</w:t>
      </w:r>
      <w:r w:rsidR="00546D70">
        <w:t xml:space="preserve"> development</w:t>
      </w:r>
      <w:r>
        <w:t xml:space="preserve"> </w:t>
      </w:r>
      <w:r w:rsidR="00546D70">
        <w:t>elsewhere</w:t>
      </w:r>
      <w:r>
        <w:t>, there could be site-specific factors that need to be accounted for</w:t>
      </w:r>
      <w:r w:rsidR="00916BA7">
        <w:t xml:space="preserve">. For instance, the multivariate regression model developed in </w:t>
      </w:r>
      <w:r w:rsidR="00916BA7">
        <w:fldChar w:fldCharType="begin"/>
      </w:r>
      <w:r w:rsidR="00916BA7">
        <w:instrText xml:space="preserve"> ADDIN ZOTERO_ITEM CSL_CITATION {"citationID":"1Dhmymhx","properties":{"custom":"Cid et al. (2017)","formattedCitation":"Cid et al. (2017)","plainCitation":"Cid et al. (2017)","noteIndex":0},"citationItems":[{"id":1399,"uris":["http://zotero.org/users/10288439/items/LXG28WMP"],"itemData":{"id":1399,"type":"article-journal","abstract":"Studying the effect of global patterns of wind and pressure gradients on the sea level variation (storm surge) is a key issue in understanding the recent climate change effect on the dynamical state of the ocean. The analysis of the spatial and temporal variability of storm surges from observations is a difficult task to accomplish since observations are not homogeneous in time, scarce in space, and moreover, their temporal coverage is limited. A recent global surge database developed by AVISO (DAC, Dynamic Atmospheric Correction) fulfilled the lack of data in terms of spatial coverage, but not regarding time extent, since it only includes the last two decades (1992–2014). In this work, we use the 20th Century Reanalysis V2 (20CR), which spans the years 1871 to 2010, to statistically reconstruct daily maximum surge levels at a global scale. A multivariate linear regression model is fitted between daily mean ERA-interim sea level pressure fields and daily maximum surge levels from DAC. Following, the statistical model is used to reconstruct daily surges using mean sea level pressure fields from 20CR. The verification of the statistical model shows good agreements between DAC levels and the reconstructed surge levels from the 20CR. The validation of the reconstructed surge with tide gauges, distributed throughout the domain, shows good accuracy both in terms of high correlations and small errors. A time series comparison is also depicted at specific tide gauges for the beginning of the 20th century, showing a high concordance. Therefore, this work provides to the scientific community, a daily database of maximum surge levels; which correspond to an extension of the DAC database, from 1871 to 2010. This database can be used to improve the knowledge on historical storm surge conditions, allowing the study of their temporal and spatial variability.","container-title":"Global and Planetary Change","DOI":"10.1016/j.gloplacha.2016.11.006","ISSN":"0921-8181","journalAbbreviation":"Global and Planetary Change","note":"rate: 3","page":"9-21","source":"ScienceDirect","title":"Global reconstructed daily surge levels from the 20th Century Reanalysis (1871–2010)","volume":"148","author":[{"family":"Cid","given":"Alba"},{"family":"Camus","given":"Paula"},{"family":"Castanedo","given":"Sonia"},{"family":"Méndez","given":"Fernando J."},{"family":"Medina","given":"Raúl"}],"issued":{"date-parts":[["2017",1,1]]}}}],"schema":"https://github.com/citation-style-language/schema/raw/master/csl-citation.json"} </w:instrText>
      </w:r>
      <w:r w:rsidR="00916BA7">
        <w:fldChar w:fldCharType="separate"/>
      </w:r>
      <w:r w:rsidR="00916BA7" w:rsidRPr="0027552F">
        <w:t>Cid et al. (2017)</w:t>
      </w:r>
      <w:r w:rsidR="00916BA7">
        <w:fldChar w:fldCharType="end"/>
      </w:r>
      <w:r w:rsidR="00916BA7">
        <w:t xml:space="preserve"> for reconstructing global daily surge levels showed reduced accuracy around tropical areas compared to higher latitudes. They attributed this discrepancy to the larger spatial and temporal scales of ocean dynamics at equatorial regions, which their </w:t>
      </w:r>
      <w:r w:rsidR="00916BA7">
        <w:rPr>
          <w:rFonts w:hint="eastAsia"/>
          <w:lang w:eastAsia="zh-CN"/>
        </w:rPr>
        <w:t>uniform</w:t>
      </w:r>
      <w:r w:rsidR="00916BA7">
        <w:t xml:space="preserve"> spatial and temporal definitions of predictor could not adequately capture. This </w:t>
      </w:r>
      <w:r w:rsidR="00916BA7" w:rsidRPr="005C4369">
        <w:t>highlight</w:t>
      </w:r>
      <w:r w:rsidR="00916BA7">
        <w:t>s</w:t>
      </w:r>
      <w:r w:rsidR="00916BA7" w:rsidRPr="005C4369">
        <w:t xml:space="preserve"> the importance of</w:t>
      </w:r>
      <w:r w:rsidR="00916BA7">
        <w:t xml:space="preserve"> considering the impact of these factors and</w:t>
      </w:r>
      <w:r w:rsidR="00916BA7" w:rsidRPr="005C4369">
        <w:t xml:space="preserve"> </w:t>
      </w:r>
      <w:r w:rsidR="00916BA7">
        <w:t>adjusting the</w:t>
      </w:r>
      <w:r w:rsidR="00916BA7" w:rsidRPr="005C4369">
        <w:t xml:space="preserve"> predictor</w:t>
      </w:r>
      <w:r w:rsidR="00916BA7">
        <w:t xml:space="preserve"> definition to</w:t>
      </w:r>
      <w:r w:rsidR="00916BA7" w:rsidRPr="005C4369">
        <w:t xml:space="preserve"> sufficiently </w:t>
      </w:r>
      <w:r w:rsidR="00916BA7">
        <w:t xml:space="preserve">account for the </w:t>
      </w:r>
      <w:r w:rsidR="00916BA7" w:rsidRPr="005C4369">
        <w:t>processes</w:t>
      </w:r>
      <w:r w:rsidR="00916BA7">
        <w:t xml:space="preserve"> contributing to the variations of</w:t>
      </w:r>
      <w:r w:rsidR="00916BA7" w:rsidRPr="005C4369">
        <w:t xml:space="preserve"> local variables</w:t>
      </w:r>
      <w:r w:rsidR="00916BA7">
        <w:t xml:space="preserve">. Despite these insights, only a limited number of </w:t>
      </w:r>
      <w:r w:rsidR="00546D70">
        <w:t>studies</w:t>
      </w:r>
      <w:r w:rsidR="00916BA7">
        <w:t xml:space="preserve"> have investigated the impact of different factors on weather typing and optimised their model configurations accordingly. Most of them considered a few factors and their impacts on significant wave height and storm surge, with little attention paid to </w:t>
      </w:r>
      <w:r w:rsidR="00916BA7">
        <w:lastRenderedPageBreak/>
        <w:t>other predictands like wave period and direction. Consequently, there remains the need for a more comprehensive analysis of how different factors affect the downscaling of local multivariate sea state conditions.</w:t>
      </w:r>
    </w:p>
    <w:p w14:paraId="0C4C8A50" w14:textId="7109ED6E" w:rsidR="00916BA7" w:rsidRPr="002407F1" w:rsidRDefault="00916BA7" w:rsidP="00916BA7">
      <w:pPr>
        <w:pStyle w:val="Paragraph"/>
      </w:pPr>
      <w:r>
        <w:t xml:space="preserve">Downscaling local wave climates from regional atmospheric conditions has been the </w:t>
      </w:r>
      <w:r w:rsidR="00546D70">
        <w:t>focus</w:t>
      </w:r>
      <w:r>
        <w:t xml:space="preserve"> of extensive research. Advances have been made by recognizing distinct features in the generation of wind waves and swells, and incorporating these differences into predictor definitions </w:t>
      </w:r>
      <w:r>
        <w:fldChar w:fldCharType="begin"/>
      </w:r>
      <w:r>
        <w:instrText xml:space="preserve"> ADDIN ZOTERO_ITEM CSL_CITATION {"citationID":"eFQedgsJ","properties":{"formattedCitation":"(Camus et al. 2014a; Hegermiller et al. 2017)","plainCitation":"(Camus et al. 2014a; Hegermiller et al. 2017)","noteIndex":0},"citationItems":[{"id":607,"uris":["http://zotero.org/users/10288439/items/98TIAY6C"],"itemData":{"id":607,"type":"article-journal","abstract":"In this study, a method to obtain local wave predictor indices that take into account the wave generation process is described and applied to several locations. The method is based on a statistical model that relates significant wave height with an atmospheric predictor, defined by sea level pressure fields. The predictor is composed of a local and a regional part, representing the sea and the swell wave components, respectively. The spatial domain of the predictor is determined using the Evaluation of Source and Travel-time of wave Energy reaching a Local Area (ESTELA) method. The regional component of the predictor includes the recent historical atmospheric conditions responsible for the swell wave component at the target point. The regional predictor component has a historical temporal coverage (n-days) different to the local predictor component (daily coverage). Principal component analysis is applied to the daily predictor in order to detect the dominant variability patterns and their temporal coefficients. Multivariate regression model, fitted at daily scale for different n-days of the regional predictor, determines the optimum historical coverage. The monthly wave predictor indices are selected applying a regression model using the monthly values of the principal components of the daily predictor, with the optimum temporal coverage for the regional predictor. The daily predictor can be used in wave climate projections, while the monthly predictor can help to understand wave climate variability or long-term coastal morphodynamic anomalies.","container-title":"Ocean Dynamics","DOI":"10.1007/s10236-014-0737-2","ISSN":"1616-7228","issue":"7","journalAbbreviation":"Ocean Dynamics","language":"en","note":"rate: 4","page":"1025-1038","source":"Springer Link","title":"A method for finding the optimal predictor indices for local wave climate conditions","volume":"64","author":[{"family":"Camus","given":"Paula"},{"family":"Méndez","given":"Fernando J."},{"family":"Losada","given":"Inigo J."},{"family":"Menéndez","given":"Melisa"},{"family":"Espejo","given":"Antonio"},{"family":"Pérez","given":"Jorge"},{"family":"Rueda","given":"Ana"},{"family":"Guanche","given":"Yanira"}],"issued":{"date-parts":[["2014",7,1]]}},"label":"page"},{"id":554,"uris":["http://zotero.org/users/10288439/items/3FNWVI4S"],"itemData":{"id":554,"type":"article-journal","abstract":"Abstract Characterization of wave climate by bulk wave parameters is insufficient for many coastal studies, including those focused on assessing coastal hazards and long-term wave climate influences on coastal evolution. This issue is particularly relevant for studies using statistical downscaling of atmospheric fields to local wave conditions, which are often multimodal in large ocean basins (e.g., Pacific Ocean). Swell may be generated in vastly different wave generation regions, yielding complex wave spectra that are inadequately represented by a single set of bulk wave parameters. Furthermore, the relationship between atmospheric systems and local wave conditions is complicated by variations in arrival time of wave groups from different parts of the basin. Here, this study addresses these two challenges by improving upon the spatiotemporal definition of the atmospheric predictor used in the statistical downscaling of local wave climate. The improved methodology separates the local wave spectrum into “wave families,” defined by spectral peaks and discrete generation regions, and relates atmospheric conditions in distant regions of the ocean basin to local wave conditions by incorporating travel times computed from effective energy flux across the ocean basin. When applied to locations with multimodal wave spectra, including Southern California and Trujillo, Peru, the new methodology improves the ability of the statistical model to project significant wave height, peak period, and direction for each wave family, retaining more information from the full wave spectrum. This work is the base of statistical downscaling by weather types, which has recently been applied to coastal flooding and morphodynamic applications.","container-title":"Journal of Physical Oceanography","DOI":"10.1175/JPO-D-16-0191.1","ISSN":"0022-3670, 1520-0485","issue":"2","language":"EN","note":"publisher: American Meteorological Society\nsection: Journal of Physical Oceanography\nrate: 4","page":"375-386","source":"journals.ametsoc.org","title":"A Multimodal Wave Spectrum–Based Approach for Statistical Downscaling of Local Wave Climate","volume":"47","author":[{"family":"Hegermiller","given":"C. A."},{"family":"Antolinez","given":"J. a. A."},{"family":"Rueda","given":"A."},{"family":"Camus","given":"P."},{"family":"Perez","given":"J."},{"family":"Erikson","given":"L. H."},{"family":"Barnard","given":"P. L."},{"family":"Mendez","given":"F. J."}],"issued":{"date-parts":[["2017",2,1]]}},"label":"page"}],"schema":"https://github.com/citation-style-language/schema/raw/master/csl-citation.json"} </w:instrText>
      </w:r>
      <w:r>
        <w:fldChar w:fldCharType="separate"/>
      </w:r>
      <w:r w:rsidRPr="00206B21">
        <w:t>(Camus et al. 2014a; Hegermiller et al. 2017)</w:t>
      </w:r>
      <w:r>
        <w:fldChar w:fldCharType="end"/>
      </w:r>
      <w:r>
        <w:t>. However, most studies have primarily focused on estimating bulk wave parameters (</w:t>
      </w:r>
      <w:r w:rsidRPr="00077044">
        <w:t>e.g.</w:t>
      </w:r>
      <w:r>
        <w:t xml:space="preserve">, significant wave height and mean wave period) for the combined wind waves and swells </w:t>
      </w:r>
      <w:r>
        <w:fldChar w:fldCharType="begin"/>
      </w:r>
      <w:r>
        <w:instrText xml:space="preserve"> ADDIN ZOTERO_ITEM CSL_CITATION {"citationID":"i0TLQZNK","properties":{"formattedCitation":"(e.g., Camus et al. 2014b; Rueda et al. 2016; Zhao et al. 2024)","plainCitation":"(e.g., Camus et al. 2014b; Rueda et al. 2016; Zhao et al. 2024)","noteIndex":0},"citationItems":[{"id":246,"uris":["http://zotero.org/users/10288439/items/2U8Q7KBN"],"itemData":{"id":246,"type":"article-journal","container-title":"Journal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J."},{"family":"Medina","given":"Raúl"}],"issued":{"date-parts":[["2014",11]]}},"label":"page","prefix":"e.g., "},{"id":879,"uris":["http://zotero.org/users/10288439/items/C3E7LQPS"],"itemData":{"id":879,"type":"article-journal","abstract":"Coastal floods often coincide with large waves, storm surge and tides. Thus, joint probability methods are needed to properly characterize extreme sea levels. This work introduces a statistical downscaling framework for multivariate extremes that relates the non-stationary behavior of coastal flooding events to the occurrence probability of daily weather patterns. The proposed method is based on recently-developed weather-type methods to predict extreme events (e.g., significant wave height, mean wave period, surge level) from large-scale sea-level pressure fields. For each weather type, variables of interest are modeled using Generalized Extreme Value (GEV) distributions and a Gaussian copula for modelling the interdependence between variables. The statistical dependence between consecutive days is addressed by defining a climate-based extremal index for each weather type. This work allows attribution of extreme events to specific weather conditions, enhancing the knowledge of climate-driven coastal flooding.","container-title":"Ocean Modelling","DOI":"10.1016/j.ocemod.2016.06.008","ISSN":"1463-5003","journalAbbreviation":"Ocean Modelling","language":"en","note":"rate: 3","page":"242-251","source":"ScienceDirect","title":"A multivariate extreme wave and storm surge climate emulator based on weather patterns","volume":"104","author":[{"family":"Rueda","given":"A."},{"family":"Camus","given":"P."},{"family":"Tomás","given":"A."},{"family":"Vitousek","given":"S."},{"family":"Méndez","given":"F. J."}],"issued":{"date-parts":[["2016",8,1]]}},"label":"page"},{"id":1471,"uris":["http://zotero.org/users/10288439/items/54FX9DVV"],"itemData":{"id":1471,"type":"article-journal","abstract":"A comprehensive understanding of wave characteristics and their variability, based on reliable long-term wave data, is essential in the design, construction, operation and management in offshore and coastal applications. This study aims to downscale multivariate wave data in the Chinese marginal seas at different time scales by employing two weather-type statistical downscaling models. The calibration of both models involves the usage of historical data from ERA5 reanalysis, with sea level pressure and the squared sea level pressure gradient as the predictors and wave parameters as the predictands. The predictor definition considers the swell components in the local wave data. Both models categorize the atmospheric predictors into different weather types using the K-means algorithm (KMA), with and without regression-guided clustering (referred to as WTD-RG and WTD, respectively). Each weather type is associated with sea state parameters. The downscaled wave data from both models are validated against ERA5 data. The results show that both models can generally reproduce the wave statistics for the significant wave height, mean wave direction, mean wave energy flux, and 95th percentile of the significant wave height. However, the WTD-RG model performs better than the WTD model. Additionally, the ERA5 data reveal increasing trends in the mean significant wave height for most areas of the East China Sea and South China Sea and decreasing trends in the Bohai Sea, Yellow Sea, and Beibu Gulf from 1959 to 2021. These patterns are well captured by the WTD-RG model but not by the WTD model.","container-title":"Ocean Modelling","DOI":"10.1016/j.ocemod.2023.102297","ISSN":"1463-5003","journalAbbreviation":"Ocean Modelling","note":"rate: 4","page":"102297","source":"ScienceDirect","title":"Weather-type statistical downscaling for ocean wave climate in the Chinese marginal seas","volume":"187","author":[{"family":"Zhao","given":"Guangfeng"},{"family":"Li","given":"Delei"},{"family":"Camus","given":"Paula"},{"family":"Zhang","given":"Xinli"},{"family":"Qi","given":"Jifeng"},{"family":"Yin","given":"Baoshu"}],"issued":{"date-parts":[["2024",2,1]]}},"label":"page"}],"schema":"https://github.com/citation-style-language/schema/raw/master/csl-citation.json"} </w:instrText>
      </w:r>
      <w:r>
        <w:fldChar w:fldCharType="separate"/>
      </w:r>
      <w:r w:rsidRPr="00282A3B">
        <w:t>(e.g., Camus et al. 2014b; Rueda et al. 2016; Zhao et al. 2024)</w:t>
      </w:r>
      <w:r>
        <w:fldChar w:fldCharType="end"/>
      </w:r>
      <w:r>
        <w:t xml:space="preserve">, while few </w:t>
      </w:r>
      <w:r w:rsidR="00546D70">
        <w:t>studies</w:t>
      </w:r>
      <w:r>
        <w:t xml:space="preserve"> have explicitly evaluated how these SD methods perform for individual wind wave and swell parameters. Characteristics of these two wave components can be crucial to understand nearshore wave processes to support wave impact studies and coastal hazard assessments.</w:t>
      </w:r>
    </w:p>
    <w:p w14:paraId="66F29E41" w14:textId="01A0DB98" w:rsidR="000D3178" w:rsidRDefault="00A629B0" w:rsidP="000D3178">
      <w:pPr>
        <w:pStyle w:val="Paragraph"/>
      </w:pPr>
      <w:r>
        <w:t xml:space="preserve">The overall aim of </w:t>
      </w:r>
      <w:r w:rsidR="000D3178">
        <w:t xml:space="preserve">this </w:t>
      </w:r>
      <w:r w:rsidR="001C05E4">
        <w:t>paper</w:t>
      </w:r>
      <w:r>
        <w:t xml:space="preserve"> is </w:t>
      </w:r>
      <w:r w:rsidR="000D3178">
        <w:t xml:space="preserve">to apply a weather typing method to downscale local </w:t>
      </w:r>
      <w:r w:rsidR="000D3178" w:rsidRPr="00B93526">
        <w:t>hazard-related conditions</w:t>
      </w:r>
      <w:r w:rsidR="000D3178">
        <w:t xml:space="preserve"> at a nuclear power station in the UK.</w:t>
      </w:r>
      <w:r w:rsidR="00C83AB4">
        <w:t xml:space="preserve"> </w:t>
      </w:r>
      <w:r w:rsidR="00546D70">
        <w:t>The study has three objectives</w:t>
      </w:r>
      <w:r w:rsidR="00916BA7">
        <w:t xml:space="preserve">: (1) develop a set of weather types to characterise the synoptic conditions and their relationships with wave climate and storm surge at the chosen site; (2) validate the model’s ability to downscale local multivariate wave climate and storm surge; (3) investigate the impact of various factors on weather typing. </w:t>
      </w:r>
      <w:r w:rsidR="000D3178">
        <w:t>Here, we explore the limit of the weather typing model in providing multivariate</w:t>
      </w:r>
      <w:r w:rsidR="001012F4">
        <w:t xml:space="preserve"> sea state</w:t>
      </w:r>
      <w:r w:rsidR="000D3178">
        <w:t xml:space="preserve"> conditions</w:t>
      </w:r>
      <w:r w:rsidR="001012F4">
        <w:t>, including</w:t>
      </w:r>
      <w:r w:rsidR="000D3178">
        <w:t xml:space="preserve"> </w:t>
      </w:r>
      <w:r w:rsidR="00C0222F">
        <w:t>the combined</w:t>
      </w:r>
      <w:r w:rsidR="000D3178">
        <w:t xml:space="preserve"> </w:t>
      </w:r>
      <w:r w:rsidR="00C0222F">
        <w:t>wind wave</w:t>
      </w:r>
      <w:r w:rsidR="009679CD">
        <w:t>s</w:t>
      </w:r>
      <w:r w:rsidR="00C0222F">
        <w:t xml:space="preserve"> and swell</w:t>
      </w:r>
      <w:r w:rsidR="009679CD">
        <w:t>s</w:t>
      </w:r>
      <w:r w:rsidR="001012F4">
        <w:t>,</w:t>
      </w:r>
      <w:r w:rsidR="00C0222F">
        <w:t xml:space="preserve"> </w:t>
      </w:r>
      <w:r w:rsidR="000D3178">
        <w:t xml:space="preserve">the </w:t>
      </w:r>
      <w:r w:rsidR="001012F4">
        <w:t>individual wind wave and swell</w:t>
      </w:r>
      <w:r w:rsidR="000D3178">
        <w:t xml:space="preserve"> components</w:t>
      </w:r>
      <w:r w:rsidR="001012F4">
        <w:t>, and storm surge</w:t>
      </w:r>
      <w:r w:rsidR="000D3178">
        <w:t xml:space="preserve">. Model validation </w:t>
      </w:r>
      <w:r w:rsidR="00920529">
        <w:t>was</w:t>
      </w:r>
      <w:r w:rsidR="000D3178">
        <w:t xml:space="preserve"> conducted to </w:t>
      </w:r>
      <w:r w:rsidR="00920529">
        <w:t>ensure</w:t>
      </w:r>
      <w:r w:rsidR="000D3178">
        <w:t xml:space="preserve"> model performance and robustness</w:t>
      </w:r>
      <w:r w:rsidR="00920529">
        <w:t xml:space="preserve"> for each predictand</w:t>
      </w:r>
      <w:r w:rsidR="000D3178">
        <w:t xml:space="preserve">. </w:t>
      </w:r>
      <w:r w:rsidR="00546D70">
        <w:t>We then identify f</w:t>
      </w:r>
      <w:r w:rsidR="000D3178">
        <w:t xml:space="preserve">actors affecting the downscaling </w:t>
      </w:r>
      <w:r w:rsidR="00546D70">
        <w:t>process</w:t>
      </w:r>
      <w:r w:rsidR="000D3178">
        <w:t xml:space="preserve"> and </w:t>
      </w:r>
      <w:r w:rsidR="00546D70">
        <w:t xml:space="preserve">evaluate </w:t>
      </w:r>
      <w:r w:rsidR="000D3178">
        <w:t>their relative importance</w:t>
      </w:r>
      <w:r w:rsidR="00F87ED4">
        <w:t xml:space="preserve"> through sensitivity analysis</w:t>
      </w:r>
      <w:r w:rsidR="000D3178">
        <w:t>. The results will provide relevant information for the probabilistic assessment of coastal hazards at a later stage.</w:t>
      </w:r>
    </w:p>
    <w:p w14:paraId="4C1F32E8" w14:textId="2625D61E" w:rsidR="000D3178" w:rsidRDefault="000D3178" w:rsidP="0040051F">
      <w:pPr>
        <w:pStyle w:val="Paragraph"/>
      </w:pPr>
      <w:r>
        <w:t xml:space="preserve">This </w:t>
      </w:r>
      <w:r w:rsidR="0037456B">
        <w:t>pape</w:t>
      </w:r>
      <w:r>
        <w:t xml:space="preserve">r is structured as follows. Section </w:t>
      </w:r>
      <w:r w:rsidR="0040051F">
        <w:t>2</w:t>
      </w:r>
      <w:r>
        <w:t xml:space="preserve"> describes the data involved and the processes for weather typing, model validation, and sensitivity analysis. Section </w:t>
      </w:r>
      <w:r w:rsidR="0040051F">
        <w:t>3</w:t>
      </w:r>
      <w:r>
        <w:t xml:space="preserve"> presents the </w:t>
      </w:r>
      <w:r>
        <w:lastRenderedPageBreak/>
        <w:t xml:space="preserve">developed weather types and their associated distributions of local </w:t>
      </w:r>
      <w:r w:rsidR="00F86C45">
        <w:t>predictands</w:t>
      </w:r>
      <w:r>
        <w:t xml:space="preserve"> (</w:t>
      </w:r>
      <w:r w:rsidRPr="00AE0F83">
        <w:t>i.e.</w:t>
      </w:r>
      <w:r>
        <w:t xml:space="preserve">, the statistical relationships) and evaluates the model performance and </w:t>
      </w:r>
      <w:r w:rsidR="001B122A">
        <w:t>its</w:t>
      </w:r>
      <w:r>
        <w:t xml:space="preserve"> sensitivity to different </w:t>
      </w:r>
      <w:r w:rsidR="000F6739">
        <w:t>factor</w:t>
      </w:r>
      <w:r>
        <w:t xml:space="preserve">s. Section </w:t>
      </w:r>
      <w:r w:rsidR="0040051F">
        <w:t>4</w:t>
      </w:r>
      <w:r>
        <w:t xml:space="preserve"> further discusses the impact of these </w:t>
      </w:r>
      <w:r w:rsidR="000F6739">
        <w:t>fac</w:t>
      </w:r>
      <w:r>
        <w:t>t</w:t>
      </w:r>
      <w:r w:rsidR="000F6739">
        <w:t>o</w:t>
      </w:r>
      <w:r>
        <w:t>rs, with conclusion</w:t>
      </w:r>
      <w:r w:rsidR="00A629B0">
        <w:t>s</w:t>
      </w:r>
      <w:r>
        <w:t xml:space="preserve"> given in Section </w:t>
      </w:r>
      <w:r w:rsidR="0040051F">
        <w:t>5</w:t>
      </w:r>
      <w:r>
        <w:t>.</w:t>
      </w:r>
    </w:p>
    <w:p w14:paraId="62787696" w14:textId="77777777" w:rsidR="00A629B0" w:rsidRPr="00371453" w:rsidRDefault="00A629B0" w:rsidP="00DA52D3"/>
    <w:p w14:paraId="6F617C6F" w14:textId="6EBC8AAC" w:rsidR="009606DE" w:rsidRPr="00DA52D3" w:rsidRDefault="008136F1" w:rsidP="0040051F">
      <w:pPr>
        <w:pStyle w:val="Paragraph"/>
        <w:rPr>
          <w:b/>
          <w:bCs/>
          <w:sz w:val="28"/>
          <w:szCs w:val="28"/>
        </w:rPr>
      </w:pPr>
      <w:r w:rsidRPr="00DA52D3">
        <w:rPr>
          <w:b/>
          <w:bCs/>
          <w:sz w:val="28"/>
          <w:szCs w:val="28"/>
        </w:rPr>
        <w:t xml:space="preserve">2 </w:t>
      </w:r>
      <w:r w:rsidR="009606DE" w:rsidRPr="00DA52D3">
        <w:rPr>
          <w:b/>
          <w:bCs/>
          <w:sz w:val="28"/>
          <w:szCs w:val="28"/>
        </w:rPr>
        <w:t>Data</w:t>
      </w:r>
      <w:r w:rsidR="000D3178" w:rsidRPr="00DA52D3">
        <w:rPr>
          <w:b/>
          <w:bCs/>
          <w:sz w:val="28"/>
          <w:szCs w:val="28"/>
        </w:rPr>
        <w:t xml:space="preserve"> and methodology</w:t>
      </w:r>
    </w:p>
    <w:p w14:paraId="377DBACC" w14:textId="46FA32B4" w:rsidR="002937AD" w:rsidRPr="00DA52D3" w:rsidRDefault="002937AD" w:rsidP="0040051F">
      <w:pPr>
        <w:pStyle w:val="Paragraph"/>
        <w:rPr>
          <w:b/>
          <w:bCs/>
        </w:rPr>
      </w:pPr>
      <w:r w:rsidRPr="00DA52D3">
        <w:rPr>
          <w:b/>
          <w:bCs/>
        </w:rPr>
        <w:t xml:space="preserve">2.1 </w:t>
      </w:r>
      <w:r w:rsidR="000D3178" w:rsidRPr="00DA52D3">
        <w:rPr>
          <w:b/>
          <w:bCs/>
        </w:rPr>
        <w:t>Data sources</w:t>
      </w:r>
    </w:p>
    <w:p w14:paraId="797CE4AA" w14:textId="03C21383" w:rsidR="001012F4" w:rsidRPr="00371453" w:rsidRDefault="00A629B0">
      <w:pPr>
        <w:pStyle w:val="Paragraph"/>
      </w:pPr>
      <w:r>
        <w:t>This study focuses on the</w:t>
      </w:r>
      <w:r w:rsidR="0040051F" w:rsidRPr="00ED5255">
        <w:t xml:space="preserve"> </w:t>
      </w:r>
      <w:r w:rsidR="006128E9">
        <w:t xml:space="preserve">EDF Energy UK </w:t>
      </w:r>
      <w:r w:rsidR="0040051F" w:rsidRPr="00ED5255">
        <w:t>Hartlepool nuclear power station</w:t>
      </w:r>
      <w:r w:rsidR="0037456B">
        <w:t xml:space="preserve"> (Fig. 1)</w:t>
      </w:r>
      <w:r w:rsidR="001012F4">
        <w:t xml:space="preserve">, </w:t>
      </w:r>
      <w:r w:rsidR="001012F4" w:rsidRPr="00ED5255">
        <w:t>which is located on the northeast coast</w:t>
      </w:r>
      <w:r w:rsidR="00C11F44">
        <w:t xml:space="preserve"> of England</w:t>
      </w:r>
      <w:r w:rsidR="001012F4" w:rsidRPr="00ED5255">
        <w:t>, facing the North Sea</w:t>
      </w:r>
      <w:r w:rsidR="0040051F" w:rsidRPr="00ED5255">
        <w:t>.</w:t>
      </w:r>
      <w:r w:rsidR="00C11F44">
        <w:t xml:space="preserve"> Historically, the North Sea region experienced several intense storm events, which had caused extensive coastal flooding to many of the adjacent countries (e.g., in 1953 and 2013). </w:t>
      </w:r>
      <w:r w:rsidR="00546D70">
        <w:t>C</w:t>
      </w:r>
      <w:r w:rsidR="00C11F44">
        <w:t>oastal erosion is also a</w:t>
      </w:r>
      <w:r w:rsidR="00546D70">
        <w:t xml:space="preserve"> major</w:t>
      </w:r>
      <w:r w:rsidR="00C11F44">
        <w:t xml:space="preserve"> concern</w:t>
      </w:r>
      <w:r w:rsidR="00FB2217">
        <w:t>,</w:t>
      </w:r>
      <w:r w:rsidR="00C11F44">
        <w:t xml:space="preserve"> with 27% of the </w:t>
      </w:r>
      <w:r w:rsidR="00FB2217">
        <w:t xml:space="preserve">coastline </w:t>
      </w:r>
      <w:r w:rsidR="00C11F44">
        <w:t>undergoing erosion</w:t>
      </w:r>
      <w:r w:rsidR="00FB2217">
        <w:t xml:space="preserve"> in the northeast of England</w:t>
      </w:r>
      <w:r w:rsidR="00C11F44">
        <w:t xml:space="preserve"> </w:t>
      </w:r>
      <w:r w:rsidR="00C11F44">
        <w:fldChar w:fldCharType="begin"/>
      </w:r>
      <w:r w:rsidR="00C11F44">
        <w:instrText xml:space="preserve"> ADDIN ZOTERO_ITEM CSL_CITATION {"citationID":"IgjRABlX","properties":{"formattedCitation":"(Masselink et al. 2020)","plainCitation":"(Masselink et al. 2020)","noteIndex":0},"citationItems":[{"id":1197,"uris":["http://zotero.org/users/10288439/items/EWE6B7QR"],"itemData":{"id":1197,"type":"article-journal","container-title":"MCCIP Science Review 2020","DOI":"10.14465/2020.ARC08.CGM","language":"en","note":"dimensions: 32 pages\nmedium: pdf\npublisher: Marine Climate Change Impacts Partnership (MCCIP), Lowestoft, UK\nrate: 3","page":"32 pages","source":"DOI.org (Datacite)","title":"Impacts of climate change on coastal geomorphology and coastal erosion relevant to the coastal and marine environment around the UK","author":[{"family":"Masselink","given":"G."},{"family":"Russell","given":"P."},{"family":"Rennie","given":"A."},{"family":"Brooks","given":"S."},{"family":"Spencer","given":"T."}],"issued":{"date-parts":[["2020"]]}}}],"schema":"https://github.com/citation-style-language/schema/raw/master/csl-citation.json"} </w:instrText>
      </w:r>
      <w:r w:rsidR="00C11F44">
        <w:fldChar w:fldCharType="separate"/>
      </w:r>
      <w:r w:rsidR="00C11F44" w:rsidRPr="00C11F44">
        <w:t>(Masselink et al. 2020)</w:t>
      </w:r>
      <w:r w:rsidR="00C11F44">
        <w:fldChar w:fldCharType="end"/>
      </w:r>
      <w:r w:rsidR="00C11F44">
        <w:t>.</w:t>
      </w:r>
      <w:r w:rsidR="001012F4">
        <w:t xml:space="preserve"> </w:t>
      </w:r>
      <w:r w:rsidR="00C11F44">
        <w:t xml:space="preserve">The exposure to these potential risks at Hartlepool </w:t>
      </w:r>
      <w:r w:rsidR="00FB2217">
        <w:t>needs to be better understood for the safety of daily operation</w:t>
      </w:r>
      <w:r w:rsidR="00546D70">
        <w:t>s</w:t>
      </w:r>
      <w:r w:rsidR="00FB2217">
        <w:t xml:space="preserve"> and long-term risk management.</w:t>
      </w:r>
    </w:p>
    <w:p w14:paraId="720EBEF3" w14:textId="54922314" w:rsidR="00A629B0" w:rsidRDefault="00A629B0" w:rsidP="0040051F">
      <w:pPr>
        <w:pStyle w:val="Paragraph"/>
      </w:pPr>
      <w:r>
        <w:t>Three</w:t>
      </w:r>
      <w:r w:rsidR="0040051F" w:rsidRPr="00B5713E">
        <w:t xml:space="preserve"> types of data</w:t>
      </w:r>
      <w:r>
        <w:t xml:space="preserve"> are</w:t>
      </w:r>
      <w:r w:rsidR="0040051F" w:rsidRPr="00B5713E">
        <w:t xml:space="preserve"> </w:t>
      </w:r>
      <w:r w:rsidR="0040051F">
        <w:t>utilised</w:t>
      </w:r>
      <w:r w:rsidR="0040051F" w:rsidRPr="00B5713E">
        <w:t xml:space="preserve"> in this study </w:t>
      </w:r>
      <w:r>
        <w:t xml:space="preserve">at this site, </w:t>
      </w:r>
      <w:r w:rsidR="0040051F" w:rsidRPr="00B5713E">
        <w:t>which are described below</w:t>
      </w:r>
      <w:r w:rsidR="008176BC">
        <w:t xml:space="preserve"> (also see Table 1)</w:t>
      </w:r>
      <w:r w:rsidR="0040051F" w:rsidRPr="00B5713E">
        <w:t xml:space="preserve">. First, sea level pressure (SLP) is used to represent the regional atmospheric conditions. We used hourly </w:t>
      </w:r>
      <w:r w:rsidR="0040051F">
        <w:t xml:space="preserve">mean </w:t>
      </w:r>
      <w:r w:rsidR="0040051F" w:rsidRPr="00B5713E">
        <w:t>SLP fields from the fifth generation of atmospheric reanalysis (ERA5) produced by the European Centre for Medium-Range Weather Forecasts</w:t>
      </w:r>
      <w:r w:rsidR="001E5ED1">
        <w:t xml:space="preserve"> </w:t>
      </w:r>
      <w:r w:rsidR="001E5ED1">
        <w:fldChar w:fldCharType="begin"/>
      </w:r>
      <w:r w:rsidR="001E5ED1">
        <w:instrText xml:space="preserve"> ADDIN ZOTERO_ITEM CSL_CITATION {"citationID":"OHfusMOO","properties":{"formattedCitation":"(ECMWF; Hersbach et al. 2020)","plainCitation":"(ECMWF; Hersbach et al. 2020)","noteIndex":0},"citationItems":[{"id":1205,"uris":["http://zotero.org/users/10288439/items/352S6Z3R"],"itemData":{"id":1205,"type":"article-journal","abstract":"Within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reanalyses.","container-title":"Quarterly Journal of the Royal Meteorological Society","DOI":"10.1002/qj.3803","ISSN":"1477-870X","issue":"730","language":"en","note":"_eprint: https://onlinelibrary.wiley.com/doi/pdf/10.1002/qj.3803","page":"1999-2049","source":"Wiley Online Library","title":"The ERA5 global reanalysis","volume":"146","author":[{"family":"Hersbach","given":"Hans"},{"family":"Bell","given":"Bill"},{"family":"Berrisford","given":"Paul"},{"family":"Hirahara","given":"Shoji"},{"family":"Horányi","given":"András"},{"family":"Muñoz-Sabater","given":"Joaquín"},{"family":"Nicolas","given":"Julien"},{"family":"Peubey","given":"Carole"},{"family":"Radu","given":"Raluca"},{"family":"Schepers","given":"Dinand"},{"family":"Simmons","given":"Adrian"},{"family":"Soci","given":"Cornel"},{"family":"Abdalla","given":"Saleh"},{"family":"Abellan","given":"Xavier"},{"family":"Balsamo","given":"Gianpaolo"},{"family":"Bechtold","given":"Peter"},{"family":"Biavati","given":"Gionata"},{"family":"Bidlot","given":"Jean"},{"family":"Bonavita","given":"Massimo"},{"family":"De Chiara","given":"Giovanna"},{"family":"Dahlgren","given":"Per"},{"family":"Dee","given":"Dick"},{"family":"Diamantakis","given":"Michail"},{"family":"Dragani","given":"Rossana"},{"family":"Flemming","given":"Johannes"},{"family":"Forbes","given":"Richard"},{"family":"Fuentes","given":"Manuel"},{"family":"Geer","given":"Alan"},{"family":"Haimberger","given":"Leo"},{"family":"Healy","given":"Sean"},{"family":"Hogan","given":"Robin J."},{"family":"Hólm","given":"Elías"},{"family":"Janisková","given":"Marta"},{"family":"Keeley","given":"Sarah"},{"family":"Laloyaux","given":"Patrick"},{"family":"Lopez","given":"Philippe"},{"family":"Lupu","given":"Cristina"},{"family":"Radnoti","given":"Gabor"},{"family":"Rosnay","given":"Patricia","non-dropping-particle":"de"},{"family":"Rozum","given":"Iryna"},{"family":"Vamborg","given":"Freja"},{"family":"Villaume","given":"Sebastien"},{"family":"Thépaut","given":"Jean-Noël"}],"issued":{"date-parts":[["2020"]]}},"prefix":"ECMWF; "}],"schema":"https://github.com/citation-style-language/schema/raw/master/csl-citation.json"} </w:instrText>
      </w:r>
      <w:r w:rsidR="001E5ED1">
        <w:fldChar w:fldCharType="separate"/>
      </w:r>
      <w:r w:rsidR="00282A3B" w:rsidRPr="00282A3B">
        <w:t>(ECMWF; Hersbach et al. 2020)</w:t>
      </w:r>
      <w:r w:rsidR="001E5ED1">
        <w:fldChar w:fldCharType="end"/>
      </w:r>
      <w:r w:rsidR="0040051F">
        <w:t xml:space="preserve">. </w:t>
      </w:r>
      <w:r w:rsidR="00546D70">
        <w:t>ERA5</w:t>
      </w:r>
      <w:r w:rsidR="0040051F" w:rsidRPr="00B5713E">
        <w:t xml:space="preserve"> provides detailed estimates of the global atmosphere, land surface and ocean waves from 1940 </w:t>
      </w:r>
      <w:r w:rsidR="00A63FA7">
        <w:t>to present</w:t>
      </w:r>
      <w:r w:rsidR="0040051F" w:rsidRPr="00B5713E">
        <w:t>.</w:t>
      </w:r>
      <w:r w:rsidR="00A63FA7">
        <w:t xml:space="preserve"> The spatial resolution </w:t>
      </w:r>
      <w:r w:rsidR="00546D70">
        <w:t>of the</w:t>
      </w:r>
      <w:r w:rsidR="00A63FA7">
        <w:t xml:space="preserve"> atmospheric variables is 0.25</w:t>
      </w:r>
      <w:r w:rsidR="00A63FA7" w:rsidRPr="0040051F">
        <w:t>°</w:t>
      </w:r>
      <w:r w:rsidR="00A63FA7">
        <w:t>. Three spatial domains are considered in this work (see Fig. S1).</w:t>
      </w:r>
    </w:p>
    <w:p w14:paraId="4AF8FDE3" w14:textId="747297AC" w:rsidR="00A629B0" w:rsidRDefault="0040051F" w:rsidP="0040051F">
      <w:pPr>
        <w:pStyle w:val="Paragraph"/>
      </w:pPr>
      <w:r>
        <w:t>The l</w:t>
      </w:r>
      <w:r w:rsidRPr="00B5713E">
        <w:t xml:space="preserve">ocal wave climate is also </w:t>
      </w:r>
      <w:r w:rsidR="00A629B0">
        <w:t>obtained</w:t>
      </w:r>
      <w:r w:rsidR="00A629B0" w:rsidRPr="00B5713E">
        <w:t xml:space="preserve"> </w:t>
      </w:r>
      <w:r w:rsidRPr="00B5713E">
        <w:t xml:space="preserve">from ERA5 at </w:t>
      </w:r>
      <w:r w:rsidR="00A63FA7">
        <w:t>the</w:t>
      </w:r>
      <w:r w:rsidRPr="00B5713E">
        <w:t xml:space="preserve"> grid node</w:t>
      </w:r>
      <w:r w:rsidR="00A63FA7">
        <w:t xml:space="preserve"> closest to Hartlepool</w:t>
      </w:r>
      <w:r w:rsidRPr="00B5713E">
        <w:t xml:space="preserve"> (55°N, 1°W)</w:t>
      </w:r>
      <w:r>
        <w:t>,</w:t>
      </w:r>
      <w:r w:rsidRPr="00B5713E">
        <w:t xml:space="preserve"> </w:t>
      </w:r>
      <w:r w:rsidR="00546D70">
        <w:t>approximately</w:t>
      </w:r>
      <w:r w:rsidRPr="00B5713E">
        <w:t xml:space="preserve"> </w:t>
      </w:r>
      <w:r>
        <w:t>42</w:t>
      </w:r>
      <w:r w:rsidRPr="00B5713E">
        <w:t xml:space="preserve"> km </w:t>
      </w:r>
      <w:r>
        <w:t>from the site</w:t>
      </w:r>
      <w:r w:rsidRPr="00B5713E">
        <w:t>. Wave parameters are generated by an ocean wave model</w:t>
      </w:r>
      <w:r w:rsidR="003F5AC0">
        <w:t xml:space="preserve"> </w:t>
      </w:r>
      <w:r w:rsidR="003F5AC0">
        <w:fldChar w:fldCharType="begin"/>
      </w:r>
      <w:r w:rsidR="003F5AC0">
        <w:instrText xml:space="preserve"> ADDIN ZOTERO_ITEM CSL_CITATION {"citationID":"ksJgqohL","properties":{"formattedCitation":"(WAM; The WAMDI Group 1988)","plainCitation":"(WAM; The WAMDI Group 1988)","noteIndex":0},"citationItems":[{"id":2110,"uris":["http://zotero.org/users/10288439/items/J7J8QZWA"],"itemData":{"id":2110,"type":"article-journal","abstract":"A third generation wave model is presented that integrates the basic transport equation describing the evolution of a two-dimensional ocean wave spectrum without additional ad hoe assumptions regarding the spectral shape. The three source functions describing the wind input, nonlinear transfer, and white-capping dissipation are prescribed explicitly. An additional bottom dissipation source function and refraction terms are included in the finite-depth version of the model. The model was calibrated against fetch-limited wave growth data. Only two tuning parameters am introduced in the white-capping dissipation source function. The model runs on a spherical latitude-longitude grid for an arbitrary region of the ocean. Hindcast results am shown for six North Atlantic-North Sea storms, three Gulf of Mexico hurricanes, and a global run for the SEASAT period. The agreement with measurements is encouraging.","ISSN":"1520-0485","language":"en","note":"section: Journal of Physical Oceanography","source":"journals.ametsoc.org","title":"The WAM Model—A Third Generation Ocean Wave Prediction Model","URL":"https://journals.ametsoc.org/view/journals/phoc/18/12/1520-0485_1988_018_1775_twmtgo_2_0_co_2.xml","author":[{"literal":"The WAMDI Group"}],"accessed":{"date-parts":[["2024",9,18]]},"issued":{"date-parts":[["1988",12,1]]}},"prefix":"WAM;"}],"schema":"https://github.com/citation-style-language/schema/raw/master/csl-citation.json"} </w:instrText>
      </w:r>
      <w:r w:rsidR="003F5AC0">
        <w:fldChar w:fldCharType="separate"/>
      </w:r>
      <w:r w:rsidR="003F5AC0" w:rsidRPr="003F5AC0">
        <w:t>(WAM; The WAMDI Group 1988)</w:t>
      </w:r>
      <w:r w:rsidR="003F5AC0">
        <w:fldChar w:fldCharType="end"/>
      </w:r>
      <w:r w:rsidRPr="00B5713E">
        <w:t xml:space="preserve"> embedded in the ECMWF Integrated Forecast System. In addition, wave buoy observations from</w:t>
      </w:r>
      <w:r w:rsidR="00546D70">
        <w:t xml:space="preserve"> CEFAS WaveNet </w:t>
      </w:r>
      <w:r w:rsidR="00546D70">
        <w:lastRenderedPageBreak/>
        <w:t>site at</w:t>
      </w:r>
      <w:r w:rsidRPr="00B5713E">
        <w:t xml:space="preserve"> Tyne/Tees </w:t>
      </w:r>
      <w:r w:rsidR="003A0024">
        <w:t>(</w:t>
      </w:r>
      <w:r w:rsidR="003A0024" w:rsidRPr="003A0024">
        <w:t>54°55'08"N, 0°44'55"W</w:t>
      </w:r>
      <w:r w:rsidR="003A0024">
        <w:t xml:space="preserve">) </w:t>
      </w:r>
      <w:r w:rsidRPr="00B5713E">
        <w:t>are used to validate the ERA5 wave data.</w:t>
      </w:r>
      <w:r w:rsidR="0019457C">
        <w:t xml:space="preserve"> The wave buoy has a 30-min resolution while ERA5 provides hourly values.</w:t>
      </w:r>
    </w:p>
    <w:p w14:paraId="44808BA5" w14:textId="019BB327" w:rsidR="0040051F" w:rsidRPr="0040051F" w:rsidRDefault="0040051F" w:rsidP="0040051F">
      <w:pPr>
        <w:pStyle w:val="Paragraph"/>
      </w:pPr>
      <w:r w:rsidRPr="00B5713E">
        <w:t>Last, to derive non-tidal residuals (storm surge</w:t>
      </w:r>
      <w:r w:rsidR="008750F4">
        <w:t>s</w:t>
      </w:r>
      <w:r w:rsidRPr="00B5713E">
        <w:t>), still water levels from two sources are used: (1) modelled still sea levels from the Coastal Dataset for the Evaluation of Climate Impact</w:t>
      </w:r>
      <w:r w:rsidR="001E5ED1">
        <w:t xml:space="preserve"> </w:t>
      </w:r>
      <w:r w:rsidR="009A75D8">
        <w:fldChar w:fldCharType="begin"/>
      </w:r>
      <w:r w:rsidR="00E56EA8">
        <w:instrText xml:space="preserve"> ADDIN ZOTERO_ITEM CSL_CITATION {"citationID":"K4UVT77X","properties":{"formattedCitation":"(CODEC; Muis et al. 2020)","plainCitation":"(CODEC; Muis et al. 2020)","noteIndex":0},"citationItems":[{"id":1394,"uris":["http://zotero.org/users/10288439/items/5X3FUM25"],"itemData":{"id":1394,"type":"article-journal","abstract":"The world’s coastal areas are increasingly at risk of coastal flooding due to sea-level rise (SLR). We present a novel global dataset of extreme sea levels, the Coastal Dataset for the Evaluation of Climate Impact (CoDEC), which can be used to accurately map the impact of climate change on coastal regions around the world. The third generation Global Tide and Surge Model (GTSM), with a coastal resolution of 2.5 km (1.25 km in Europe), was used to simulate extreme sea levels for the ERA5 climate reanalysis from 1979 to 2017, as well as for future climate scenarios from 2040 to 2100. The validation against observed sea levels demonstrated a good performance, and the annual maxima had a mean bias (MB) of -0.04 m, which is 50% lower than the MB of the previous GTSR dataset. By the end of the century (2071–2100), it is projected that the 1 in 10-year water levels will have increased 0.34 m on average for RCP4.5, while some locations may experience increases of up to 0.5 m. The change in return levels is largely driven by SLR, although at some locations changes in storms surges and interaction with tides amplify the impact of SLR with changes up to 0.2 m. By presenting an application of the CoDEC dataset to the city of Copenhagen, we demonstrate how climate impact indicators derived from simulation can contribute to an understanding of climate impact on a local scale. Moreover, the CoDEC output locations are designed to be used as boundary conditions for regional models, and we envisage that they will be used for dynamic downscaling.","container-title":"Frontiers in Marine Science","DOI":"10.3389/fmars.2020.00263","ISSN":"2296-7745","source":"Frontiers","title":"A High-Resolution Global Dataset of Extreme Sea Levels, Tides, and Storm Surges, Including Future Projections","URL":"https://www.frontiersin.org/articles/10.3389/fmars.2020.00263","volume":"7","author":[{"family":"Muis","given":"Sanne"},{"family":"Apecechea","given":"Maialen Irazoqui"},{"family":"Dullaart","given":"Job"},{"family":"Lima Rego","given":"Joao","non-dropping-particle":"de"},{"family":"Madsen","given":"Kristine Skovgaard"},{"family":"Su","given":"Jian"},{"family":"Yan","given":"Kun"},{"family":"Verlaan","given":"Martin"}],"accessed":{"date-parts":[["2023",10,30]]},"issued":{"date-parts":[["2020",4,29]]}},"prefix":"CODEC; "}],"schema":"https://github.com/citation-style-language/schema/raw/master/csl-citation.json"} </w:instrText>
      </w:r>
      <w:r w:rsidR="009A75D8">
        <w:fldChar w:fldCharType="separate"/>
      </w:r>
      <w:r w:rsidR="00E56EA8" w:rsidRPr="00E56EA8">
        <w:t>(CODEC; Muis et al. 2020)</w:t>
      </w:r>
      <w:r w:rsidR="009A75D8">
        <w:fldChar w:fldCharType="end"/>
      </w:r>
      <w:r w:rsidRPr="00B5713E">
        <w:t xml:space="preserve">; </w:t>
      </w:r>
      <w:r>
        <w:t xml:space="preserve">and </w:t>
      </w:r>
      <w:r w:rsidRPr="00B5713E">
        <w:t xml:space="preserve">(2) tide gauge observations at North Shields and Whitby from the UK National Tide Gauge Network (obtained from the British Oceanographic Data Centre). Here we use CODEC as the </w:t>
      </w:r>
      <w:r w:rsidR="00546D70">
        <w:t>primary</w:t>
      </w:r>
      <w:r w:rsidRPr="00B5713E">
        <w:t xml:space="preserve"> data source as </w:t>
      </w:r>
      <w:r w:rsidR="00546D70">
        <w:t>it</w:t>
      </w:r>
      <w:r w:rsidRPr="00B5713E">
        <w:t xml:space="preserve"> is continuous</w:t>
      </w:r>
      <w:r>
        <w:t xml:space="preserve"> (</w:t>
      </w:r>
      <w:r w:rsidRPr="0040051F">
        <w:t>i.e.</w:t>
      </w:r>
      <w:r>
        <w:t>, without large gaps in the time series)</w:t>
      </w:r>
      <w:r w:rsidRPr="00B5713E">
        <w:t xml:space="preserve">. The grid node closest to the aforementioned ERA5 wave grid node in CODEC is selected for </w:t>
      </w:r>
      <w:r w:rsidR="00E70EEB">
        <w:t>model development</w:t>
      </w:r>
      <w:r>
        <w:t>.</w:t>
      </w:r>
      <w:r w:rsidRPr="00B5713E">
        <w:t xml:space="preserve"> Tide gauge measurements are used to validate and correct </w:t>
      </w:r>
      <w:r>
        <w:t xml:space="preserve">bias within the </w:t>
      </w:r>
      <w:r w:rsidRPr="00B5713E">
        <w:t>CODEC</w:t>
      </w:r>
      <w:r>
        <w:t xml:space="preserve"> data</w:t>
      </w:r>
      <w:r w:rsidRPr="00B5713E">
        <w:t xml:space="preserve">. </w:t>
      </w:r>
      <w:r w:rsidR="00546D70">
        <w:t>As</w:t>
      </w:r>
      <w:r w:rsidRPr="00B5713E">
        <w:t xml:space="preserve"> water levels from CODEC are available </w:t>
      </w:r>
      <w:r w:rsidR="00546D70" w:rsidRPr="00B5713E">
        <w:t xml:space="preserve">only </w:t>
      </w:r>
      <w:r w:rsidRPr="00B5713E">
        <w:t>from 1979 to 2018 (40 years in total), the same period is used for SLP and waves for consistency.</w:t>
      </w:r>
      <w:r w:rsidR="00B4001F">
        <w:t xml:space="preserve"> The links to access the</w:t>
      </w:r>
      <w:r w:rsidR="00546D70">
        <w:t xml:space="preserve">se </w:t>
      </w:r>
      <w:r w:rsidR="00B4001F">
        <w:t xml:space="preserve">datasets are provided </w:t>
      </w:r>
      <w:r w:rsidR="00546D70">
        <w:t>in</w:t>
      </w:r>
      <w:r w:rsidR="00B4001F">
        <w:t xml:space="preserve"> the Data Availability </w:t>
      </w:r>
      <w:r w:rsidR="00D22A4D">
        <w:t>section.</w:t>
      </w:r>
    </w:p>
    <w:p w14:paraId="7F2C4284" w14:textId="087DF420" w:rsidR="0031260E" w:rsidRPr="00660C49" w:rsidRDefault="00F211E3" w:rsidP="00DA52D3">
      <w:pPr>
        <w:spacing w:after="0"/>
        <w:jc w:val="center"/>
        <w:rPr>
          <w:rFonts w:cs="Times New Roman"/>
          <w:szCs w:val="24"/>
        </w:rPr>
      </w:pPr>
      <w:r>
        <w:rPr>
          <w:rFonts w:cs="Times New Roman"/>
          <w:noProof/>
          <w:szCs w:val="24"/>
        </w:rPr>
        <w:pict w14:anchorId="69355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79pt">
            <v:imagedata r:id="rId10" o:title="sitemap"/>
          </v:shape>
        </w:pict>
      </w:r>
    </w:p>
    <w:p w14:paraId="53F25953" w14:textId="484C651D" w:rsidR="0040051F" w:rsidRDefault="0040051F" w:rsidP="00A40AFF">
      <w:pPr>
        <w:pStyle w:val="Paragraph"/>
      </w:pPr>
      <w:r w:rsidRPr="00A40AFF">
        <w:rPr>
          <w:b/>
          <w:bCs/>
        </w:rPr>
        <w:t>Fig. 1</w:t>
      </w:r>
      <w:r w:rsidRPr="00A40AFF">
        <w:t xml:space="preserve"> Map of the study site and locations of data sources</w:t>
      </w:r>
    </w:p>
    <w:p w14:paraId="220F5D74" w14:textId="77777777" w:rsidR="00FA7615" w:rsidRPr="00AF3A3D" w:rsidRDefault="00FA7615" w:rsidP="00DA52D3"/>
    <w:p w14:paraId="2233BED2" w14:textId="0E1A6C24" w:rsidR="00CF5106" w:rsidRPr="000A256C" w:rsidRDefault="000A256C" w:rsidP="00627521">
      <w:pPr>
        <w:rPr>
          <w:lang w:val="en-GB" w:eastAsia="en-GB"/>
        </w:rPr>
      </w:pPr>
      <w:r w:rsidRPr="000A256C">
        <w:rPr>
          <w:b/>
          <w:bCs/>
          <w:lang w:val="en-GB" w:eastAsia="en-GB"/>
        </w:rPr>
        <w:lastRenderedPageBreak/>
        <w:t>Table 1</w:t>
      </w:r>
      <w:r>
        <w:rPr>
          <w:lang w:val="en-GB" w:eastAsia="en-GB"/>
        </w:rPr>
        <w:t xml:space="preserve"> Summary of the datasets used in this work.</w:t>
      </w:r>
      <w:r w:rsidR="00005B13">
        <w:rPr>
          <w:lang w:val="en-GB" w:eastAsia="en-GB"/>
        </w:rPr>
        <w:t xml:space="preserve"> </w:t>
      </w:r>
      <m:oMath>
        <m:sSub>
          <m:sSubPr>
            <m:ctrlPr>
              <w:rPr>
                <w:rFonts w:ascii="Cambria Math" w:hAnsi="Cambria Math" w:cs="Times New Roman"/>
                <w:i/>
                <w:kern w:val="2"/>
                <w:szCs w:val="24"/>
                <w:lang w:val="en-GB"/>
                <w14:ligatures w14:val="standardContextual"/>
              </w:rPr>
            </m:ctrlPr>
          </m:sSubPr>
          <m:e>
            <m:r>
              <w:rPr>
                <w:rFonts w:ascii="Cambria Math" w:hAnsi="Cambria Math" w:cs="Times New Roman"/>
              </w:rPr>
              <m:t>H</m:t>
            </m:r>
          </m:e>
          <m:sub>
            <m:r>
              <w:rPr>
                <w:rFonts w:ascii="Cambria Math" w:hAnsi="Cambria Math" w:cs="Times New Roman"/>
              </w:rPr>
              <m:t>s</m:t>
            </m:r>
          </m:sub>
        </m:sSub>
      </m:oMath>
      <w:r w:rsidR="00005B13">
        <w:rPr>
          <w:kern w:val="2"/>
          <w:szCs w:val="24"/>
          <w:lang w:val="en-GB"/>
          <w14:ligatures w14:val="standardContextual"/>
        </w:rPr>
        <w:t xml:space="preserve">: significant wave height; </w:t>
      </w:r>
      <m:oMath>
        <m:sSub>
          <m:sSubPr>
            <m:ctrlPr>
              <w:rPr>
                <w:rFonts w:ascii="Cambria Math" w:hAnsi="Cambria Math" w:cs="Times New Roman"/>
                <w:i/>
                <w:kern w:val="2"/>
                <w:szCs w:val="24"/>
                <w:lang w:val="en-GB"/>
                <w14:ligatures w14:val="standardContextual"/>
              </w:rPr>
            </m:ctrlPr>
          </m:sSubPr>
          <m:e>
            <m:r>
              <w:rPr>
                <w:rFonts w:ascii="Cambria Math" w:hAnsi="Cambria Math" w:cs="Times New Roman"/>
              </w:rPr>
              <m:t>T</m:t>
            </m:r>
          </m:e>
          <m:sub>
            <m:r>
              <w:rPr>
                <w:rFonts w:ascii="Cambria Math" w:hAnsi="Cambria Math" w:cs="Times New Roman"/>
              </w:rPr>
              <m:t>m</m:t>
            </m:r>
          </m:sub>
        </m:sSub>
      </m:oMath>
      <w:r w:rsidR="00005B13">
        <w:rPr>
          <w:kern w:val="2"/>
          <w:szCs w:val="24"/>
          <w:lang w:val="en-GB"/>
          <w14:ligatures w14:val="standardContextual"/>
        </w:rPr>
        <w:t xml:space="preserve">: mean wave period; </w:t>
      </w:r>
      <m:oMath>
        <m:sSub>
          <m:sSubPr>
            <m:ctrlPr>
              <w:rPr>
                <w:rFonts w:ascii="Cambria Math" w:hAnsi="Cambria Math" w:cs="Times New Roman"/>
                <w:i/>
                <w:kern w:val="2"/>
                <w:szCs w:val="24"/>
                <w:lang w:val="en-GB"/>
                <w14:ligatures w14:val="standardContextual"/>
              </w:rPr>
            </m:ctrlPr>
          </m:sSubPr>
          <m:e>
            <m:r>
              <w:rPr>
                <w:rFonts w:ascii="Cambria Math" w:hAnsi="Cambria Math" w:cs="Times New Roman"/>
              </w:rPr>
              <m:t>T</m:t>
            </m:r>
          </m:e>
          <m:sub>
            <m:r>
              <w:rPr>
                <w:rFonts w:ascii="Cambria Math" w:hAnsi="Cambria Math" w:cs="Times New Roman"/>
              </w:rPr>
              <m:t>p</m:t>
            </m:r>
          </m:sub>
        </m:sSub>
      </m:oMath>
      <w:r w:rsidR="00005B13">
        <w:rPr>
          <w:kern w:val="2"/>
          <w:szCs w:val="24"/>
          <w:lang w:val="en-GB"/>
          <w14:ligatures w14:val="standardContextual"/>
        </w:rPr>
        <w:t xml:space="preserve">: peak wave period; </w:t>
      </w:r>
      <m:oMath>
        <m:sSub>
          <m:sSubPr>
            <m:ctrlPr>
              <w:rPr>
                <w:rFonts w:ascii="Cambria Math" w:hAnsi="Cambria Math" w:cs="Times New Roman"/>
                <w:i/>
                <w:kern w:val="2"/>
                <w:szCs w:val="24"/>
                <w:lang w:val="en-GB"/>
                <w14:ligatures w14:val="standardContextual"/>
              </w:rPr>
            </m:ctrlPr>
          </m:sSubPr>
          <m:e>
            <m:r>
              <w:rPr>
                <w:rFonts w:ascii="Cambria Math" w:hAnsi="Cambria Math" w:cs="Times New Roman"/>
              </w:rPr>
              <m:t>θ</m:t>
            </m:r>
          </m:e>
          <m:sub>
            <m:r>
              <w:rPr>
                <w:rFonts w:ascii="Cambria Math" w:hAnsi="Cambria Math" w:cs="Times New Roman"/>
              </w:rPr>
              <m:t>m</m:t>
            </m:r>
          </m:sub>
        </m:sSub>
      </m:oMath>
      <w:r w:rsidR="00005B13">
        <w:rPr>
          <w:kern w:val="2"/>
          <w:szCs w:val="24"/>
          <w:lang w:val="en-GB"/>
          <w14:ligatures w14:val="standardContextual"/>
        </w:rPr>
        <w:t>: mean wave direction.</w:t>
      </w:r>
      <w:r>
        <w:rPr>
          <w:lang w:val="en-GB" w:eastAsia="en-GB"/>
        </w:rPr>
        <w:t xml:space="preserve"> </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1559"/>
        <w:gridCol w:w="2132"/>
        <w:gridCol w:w="1696"/>
        <w:gridCol w:w="1417"/>
        <w:gridCol w:w="1508"/>
      </w:tblGrid>
      <w:tr w:rsidR="000A256C" w:rsidRPr="00131A80" w14:paraId="2C8A3907" w14:textId="77777777" w:rsidTr="00DA52D3">
        <w:tc>
          <w:tcPr>
            <w:tcW w:w="2263" w:type="dxa"/>
            <w:gridSpan w:val="2"/>
            <w:tcBorders>
              <w:top w:val="single" w:sz="18" w:space="0" w:color="000000"/>
              <w:bottom w:val="single" w:sz="8" w:space="0" w:color="000000"/>
            </w:tcBorders>
          </w:tcPr>
          <w:p w14:paraId="4FC6558C" w14:textId="77777777" w:rsidR="000A256C" w:rsidRPr="00131A80" w:rsidRDefault="000A256C" w:rsidP="00DA52D3">
            <w:pPr>
              <w:spacing w:line="240" w:lineRule="auto"/>
              <w:jc w:val="left"/>
              <w:rPr>
                <w:rFonts w:cs="Times New Roman"/>
              </w:rPr>
            </w:pPr>
            <w:r w:rsidRPr="00131A80">
              <w:rPr>
                <w:rFonts w:cs="Times New Roman"/>
              </w:rPr>
              <w:t>Data type</w:t>
            </w:r>
          </w:p>
        </w:tc>
        <w:tc>
          <w:tcPr>
            <w:tcW w:w="2132" w:type="dxa"/>
            <w:tcBorders>
              <w:top w:val="single" w:sz="18" w:space="0" w:color="000000"/>
              <w:bottom w:val="single" w:sz="8" w:space="0" w:color="000000"/>
            </w:tcBorders>
          </w:tcPr>
          <w:p w14:paraId="06CCAC69" w14:textId="77777777" w:rsidR="000A256C" w:rsidRPr="00131A80" w:rsidRDefault="000A256C" w:rsidP="00DA52D3">
            <w:pPr>
              <w:spacing w:line="240" w:lineRule="auto"/>
              <w:jc w:val="left"/>
              <w:rPr>
                <w:rFonts w:cs="Times New Roman"/>
              </w:rPr>
            </w:pPr>
            <w:r w:rsidRPr="00131A80">
              <w:rPr>
                <w:rFonts w:cs="Times New Roman"/>
              </w:rPr>
              <w:t>Variables</w:t>
            </w:r>
          </w:p>
        </w:tc>
        <w:tc>
          <w:tcPr>
            <w:tcW w:w="1696" w:type="dxa"/>
            <w:tcBorders>
              <w:top w:val="single" w:sz="18" w:space="0" w:color="000000"/>
              <w:bottom w:val="single" w:sz="8" w:space="0" w:color="000000"/>
            </w:tcBorders>
          </w:tcPr>
          <w:p w14:paraId="74FEF5BC" w14:textId="77777777" w:rsidR="000A256C" w:rsidRPr="00131A80" w:rsidRDefault="000A256C" w:rsidP="00DA52D3">
            <w:pPr>
              <w:spacing w:line="240" w:lineRule="auto"/>
              <w:jc w:val="left"/>
              <w:rPr>
                <w:rFonts w:cs="Times New Roman"/>
              </w:rPr>
            </w:pPr>
            <w:r w:rsidRPr="00131A80">
              <w:rPr>
                <w:rFonts w:cs="Times New Roman"/>
              </w:rPr>
              <w:t>Temporal resolution</w:t>
            </w:r>
          </w:p>
        </w:tc>
        <w:tc>
          <w:tcPr>
            <w:tcW w:w="1417" w:type="dxa"/>
            <w:tcBorders>
              <w:top w:val="single" w:sz="18" w:space="0" w:color="000000"/>
              <w:bottom w:val="single" w:sz="8" w:space="0" w:color="000000"/>
            </w:tcBorders>
          </w:tcPr>
          <w:p w14:paraId="742612F9" w14:textId="77777777" w:rsidR="000A256C" w:rsidRPr="00131A80" w:rsidRDefault="000A256C" w:rsidP="00DA52D3">
            <w:pPr>
              <w:spacing w:line="240" w:lineRule="auto"/>
              <w:jc w:val="left"/>
              <w:rPr>
                <w:rFonts w:cs="Times New Roman"/>
              </w:rPr>
            </w:pPr>
            <w:r w:rsidRPr="00131A80">
              <w:rPr>
                <w:rFonts w:cs="Times New Roman"/>
              </w:rPr>
              <w:t>Source (Station)</w:t>
            </w:r>
          </w:p>
        </w:tc>
        <w:tc>
          <w:tcPr>
            <w:tcW w:w="1508" w:type="dxa"/>
            <w:tcBorders>
              <w:top w:val="single" w:sz="18" w:space="0" w:color="000000"/>
              <w:bottom w:val="single" w:sz="8" w:space="0" w:color="000000"/>
            </w:tcBorders>
          </w:tcPr>
          <w:p w14:paraId="73B2C706" w14:textId="77777777" w:rsidR="000A256C" w:rsidRPr="00131A80" w:rsidRDefault="000A256C" w:rsidP="00DA52D3">
            <w:pPr>
              <w:spacing w:line="240" w:lineRule="auto"/>
              <w:jc w:val="left"/>
              <w:rPr>
                <w:rFonts w:cs="Times New Roman"/>
              </w:rPr>
            </w:pPr>
            <w:r w:rsidRPr="00131A80">
              <w:rPr>
                <w:rFonts w:cs="Times New Roman"/>
              </w:rPr>
              <w:t>Period considered</w:t>
            </w:r>
          </w:p>
        </w:tc>
      </w:tr>
      <w:tr w:rsidR="000A256C" w:rsidRPr="00131A80" w14:paraId="6CD71EC1" w14:textId="77777777" w:rsidTr="00DA52D3">
        <w:tc>
          <w:tcPr>
            <w:tcW w:w="704" w:type="dxa"/>
            <w:vMerge w:val="restart"/>
            <w:tcBorders>
              <w:top w:val="single" w:sz="8" w:space="0" w:color="000000"/>
            </w:tcBorders>
            <w:textDirection w:val="btLr"/>
            <w:vAlign w:val="center"/>
          </w:tcPr>
          <w:p w14:paraId="4DBA8128" w14:textId="77777777" w:rsidR="000A256C" w:rsidRPr="00131A80" w:rsidRDefault="000A256C" w:rsidP="004B50C1">
            <w:pPr>
              <w:spacing w:line="240" w:lineRule="auto"/>
              <w:ind w:left="113" w:right="113"/>
              <w:jc w:val="center"/>
              <w:rPr>
                <w:rFonts w:cs="Times New Roman"/>
              </w:rPr>
            </w:pPr>
            <w:r w:rsidRPr="00131A80">
              <w:rPr>
                <w:rFonts w:cs="Times New Roman"/>
              </w:rPr>
              <w:t>Modelled datasets</w:t>
            </w:r>
          </w:p>
        </w:tc>
        <w:tc>
          <w:tcPr>
            <w:tcW w:w="1559" w:type="dxa"/>
            <w:tcBorders>
              <w:top w:val="single" w:sz="8" w:space="0" w:color="000000"/>
              <w:bottom w:val="single" w:sz="8" w:space="0" w:color="000000"/>
            </w:tcBorders>
          </w:tcPr>
          <w:p w14:paraId="06F9BD8B" w14:textId="77777777" w:rsidR="000A256C" w:rsidRPr="00131A80" w:rsidRDefault="000A256C" w:rsidP="004B50C1">
            <w:pPr>
              <w:spacing w:line="240" w:lineRule="auto"/>
              <w:rPr>
                <w:rFonts w:cs="Times New Roman"/>
              </w:rPr>
            </w:pPr>
            <w:r w:rsidRPr="00562EEE">
              <w:rPr>
                <w:rFonts w:cs="Times New Roman"/>
              </w:rPr>
              <w:t>Atmospheric conditions</w:t>
            </w:r>
          </w:p>
        </w:tc>
        <w:tc>
          <w:tcPr>
            <w:tcW w:w="2132" w:type="dxa"/>
            <w:tcBorders>
              <w:top w:val="single" w:sz="8" w:space="0" w:color="000000"/>
              <w:bottom w:val="single" w:sz="8" w:space="0" w:color="000000"/>
            </w:tcBorders>
          </w:tcPr>
          <w:p w14:paraId="35E92117" w14:textId="172BF4AE" w:rsidR="000A256C" w:rsidRPr="00131A80" w:rsidRDefault="000A256C" w:rsidP="00DA52D3">
            <w:pPr>
              <w:spacing w:line="240" w:lineRule="auto"/>
              <w:jc w:val="left"/>
              <w:rPr>
                <w:rFonts w:cs="Times New Roman"/>
              </w:rPr>
            </w:pPr>
            <w:r w:rsidRPr="00131A80">
              <w:rPr>
                <w:rFonts w:cs="Times New Roman"/>
              </w:rPr>
              <w:t xml:space="preserve">Mean </w:t>
            </w:r>
            <w:r>
              <w:rPr>
                <w:rFonts w:cs="Times New Roman"/>
              </w:rPr>
              <w:t>SLP</w:t>
            </w:r>
          </w:p>
        </w:tc>
        <w:tc>
          <w:tcPr>
            <w:tcW w:w="1696" w:type="dxa"/>
            <w:tcBorders>
              <w:top w:val="single" w:sz="8" w:space="0" w:color="000000"/>
              <w:bottom w:val="single" w:sz="8" w:space="0" w:color="000000"/>
            </w:tcBorders>
          </w:tcPr>
          <w:p w14:paraId="4BA72D8C" w14:textId="77777777" w:rsidR="000A256C" w:rsidRPr="00131A80" w:rsidRDefault="000A256C" w:rsidP="004B50C1">
            <w:pPr>
              <w:spacing w:line="240" w:lineRule="auto"/>
              <w:rPr>
                <w:rFonts w:cs="Times New Roman"/>
              </w:rPr>
            </w:pPr>
            <w:r w:rsidRPr="00131A80">
              <w:rPr>
                <w:rFonts w:cs="Times New Roman"/>
              </w:rPr>
              <w:t>1 h</w:t>
            </w:r>
          </w:p>
        </w:tc>
        <w:tc>
          <w:tcPr>
            <w:tcW w:w="1417" w:type="dxa"/>
            <w:tcBorders>
              <w:top w:val="single" w:sz="8" w:space="0" w:color="000000"/>
              <w:bottom w:val="single" w:sz="8" w:space="0" w:color="000000"/>
            </w:tcBorders>
          </w:tcPr>
          <w:p w14:paraId="678B248E" w14:textId="77777777" w:rsidR="000A256C" w:rsidRPr="00131A80" w:rsidRDefault="000A256C" w:rsidP="004B50C1">
            <w:pPr>
              <w:spacing w:line="240" w:lineRule="auto"/>
              <w:rPr>
                <w:rFonts w:cs="Times New Roman"/>
              </w:rPr>
            </w:pPr>
            <w:r w:rsidRPr="00131A80">
              <w:rPr>
                <w:rFonts w:cs="Times New Roman"/>
              </w:rPr>
              <w:t>ERA5</w:t>
            </w:r>
          </w:p>
        </w:tc>
        <w:tc>
          <w:tcPr>
            <w:tcW w:w="1508" w:type="dxa"/>
            <w:vMerge w:val="restart"/>
            <w:tcBorders>
              <w:top w:val="single" w:sz="8" w:space="0" w:color="000000"/>
            </w:tcBorders>
            <w:vAlign w:val="center"/>
          </w:tcPr>
          <w:p w14:paraId="60064D7A" w14:textId="77777777" w:rsidR="000A256C" w:rsidRPr="00131A80" w:rsidRDefault="000A256C" w:rsidP="00CF5106">
            <w:pPr>
              <w:spacing w:line="240" w:lineRule="auto"/>
              <w:jc w:val="center"/>
              <w:rPr>
                <w:rFonts w:cs="Times New Roman"/>
              </w:rPr>
            </w:pPr>
            <w:r w:rsidRPr="00131A80">
              <w:rPr>
                <w:rFonts w:cs="Times New Roman"/>
              </w:rPr>
              <w:t>1979-2018</w:t>
            </w:r>
            <w:r>
              <w:rPr>
                <w:rFonts w:cs="Times New Roman"/>
              </w:rPr>
              <w:t xml:space="preserve"> </w:t>
            </w:r>
            <w:r w:rsidRPr="00131A80">
              <w:rPr>
                <w:rFonts w:cs="Times New Roman"/>
              </w:rPr>
              <w:t>(40 years)</w:t>
            </w:r>
          </w:p>
        </w:tc>
      </w:tr>
      <w:tr w:rsidR="000A256C" w:rsidRPr="00131A80" w14:paraId="41A5C1E8" w14:textId="77777777" w:rsidTr="00DA52D3">
        <w:tc>
          <w:tcPr>
            <w:tcW w:w="704" w:type="dxa"/>
            <w:vMerge/>
          </w:tcPr>
          <w:p w14:paraId="13C3BF5D" w14:textId="77777777" w:rsidR="000A256C" w:rsidRPr="00131A80" w:rsidRDefault="000A256C" w:rsidP="004B50C1">
            <w:pPr>
              <w:spacing w:line="240" w:lineRule="auto"/>
              <w:rPr>
                <w:rFonts w:cs="Times New Roman"/>
              </w:rPr>
            </w:pPr>
          </w:p>
        </w:tc>
        <w:tc>
          <w:tcPr>
            <w:tcW w:w="1559" w:type="dxa"/>
            <w:tcBorders>
              <w:top w:val="single" w:sz="8" w:space="0" w:color="000000"/>
              <w:bottom w:val="single" w:sz="8" w:space="0" w:color="000000"/>
            </w:tcBorders>
          </w:tcPr>
          <w:p w14:paraId="5790FFF7" w14:textId="77777777" w:rsidR="000A256C" w:rsidRPr="00131A80" w:rsidRDefault="000A256C" w:rsidP="004B50C1">
            <w:pPr>
              <w:spacing w:line="240" w:lineRule="auto"/>
              <w:rPr>
                <w:rFonts w:cs="Times New Roman"/>
              </w:rPr>
            </w:pPr>
            <w:r w:rsidRPr="00562EEE">
              <w:rPr>
                <w:rFonts w:cs="Times New Roman"/>
              </w:rPr>
              <w:t>Wave</w:t>
            </w:r>
          </w:p>
        </w:tc>
        <w:tc>
          <w:tcPr>
            <w:tcW w:w="2132" w:type="dxa"/>
            <w:tcBorders>
              <w:top w:val="single" w:sz="8" w:space="0" w:color="000000"/>
              <w:bottom w:val="single" w:sz="8" w:space="0" w:color="000000"/>
            </w:tcBorders>
          </w:tcPr>
          <w:p w14:paraId="70B894DF" w14:textId="3C293B4F" w:rsidR="000A256C" w:rsidRPr="00415E0A" w:rsidRDefault="009F69C5" w:rsidP="00DA52D3">
            <w:pPr>
              <w:spacing w:line="240" w:lineRule="auto"/>
              <w:jc w:val="left"/>
              <w:rPr>
                <w:rFonts w:cs="Times New Roman"/>
              </w:rPr>
            </w:pPr>
            <w:r w:rsidRPr="00415E0A">
              <w:rPr>
                <w:rFonts w:cs="Times New Roman"/>
              </w:rPr>
              <w:t>Combined wind wave</w:t>
            </w:r>
            <w:r w:rsidR="009679CD" w:rsidRPr="00415E0A">
              <w:rPr>
                <w:rFonts w:cs="Times New Roman"/>
              </w:rPr>
              <w:t>s</w:t>
            </w:r>
            <w:r w:rsidRPr="00415E0A">
              <w:rPr>
                <w:rFonts w:cs="Times New Roman"/>
              </w:rPr>
              <w:t xml:space="preserve"> and swell</w:t>
            </w:r>
            <w:r w:rsidR="009679CD" w:rsidRPr="00415E0A">
              <w:rPr>
                <w:rFonts w:cs="Times New Roman"/>
              </w:rPr>
              <w:t>s</w:t>
            </w:r>
            <w:r w:rsidR="000A256C" w:rsidRPr="00415E0A">
              <w:rPr>
                <w:rFonts w:cs="Times New Roman"/>
              </w:rPr>
              <w:t xml:space="preserve">: </w:t>
            </w: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s</m:t>
                  </m:r>
                </m:sub>
              </m:sSub>
            </m:oMath>
            <w:r w:rsidR="000A256C" w:rsidRPr="00415E0A">
              <w:rPr>
                <w:rFonts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m:t>
                  </m:r>
                </m:sub>
              </m:sSub>
            </m:oMath>
            <w:r w:rsidR="000A256C" w:rsidRPr="00415E0A">
              <w:rPr>
                <w:rFonts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p</m:t>
                  </m:r>
                </m:sub>
              </m:sSub>
            </m:oMath>
            <w:r w:rsidR="000A256C" w:rsidRPr="00415E0A">
              <w:rPr>
                <w:rFonts w:cs="Times New Roman"/>
              </w:rPr>
              <w:t xml:space="preserve">,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m</m:t>
                  </m:r>
                </m:sub>
              </m:sSub>
            </m:oMath>
          </w:p>
          <w:p w14:paraId="2CBB1DA7" w14:textId="33B59D4A" w:rsidR="00336229" w:rsidRPr="00DA52D3" w:rsidRDefault="00336229" w:rsidP="00DA52D3">
            <w:pPr>
              <w:spacing w:line="240" w:lineRule="auto"/>
              <w:jc w:val="left"/>
              <w:rPr>
                <w:rFonts w:cs="Times New Roman"/>
              </w:rPr>
            </w:pPr>
            <w:r>
              <w:rPr>
                <w:rFonts w:cs="Times New Roman"/>
              </w:rPr>
              <w:t>W</w:t>
            </w:r>
            <w:r w:rsidRPr="00131A80">
              <w:rPr>
                <w:rFonts w:cs="Times New Roman"/>
              </w:rPr>
              <w:t xml:space="preserve">ind </w:t>
            </w:r>
            <w:r w:rsidR="000A256C" w:rsidRPr="00131A80">
              <w:rPr>
                <w:rFonts w:cs="Times New Roman"/>
              </w:rPr>
              <w:t>wave</w:t>
            </w:r>
            <w:r w:rsidR="00415E0A">
              <w:rPr>
                <w:rFonts w:cs="Times New Roman"/>
              </w:rPr>
              <w:t>s</w:t>
            </w:r>
            <w:r w:rsidR="000A256C" w:rsidRPr="00131A80">
              <w:rPr>
                <w:rFonts w:cs="Times New Roman"/>
              </w:rPr>
              <w:t xml:space="preserve">: </w:t>
            </w: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s</m:t>
                  </m:r>
                </m:sub>
              </m:sSub>
            </m:oMath>
            <w:r w:rsidR="000A256C" w:rsidRPr="00131A80">
              <w:rPr>
                <w:rFonts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m:t>
                  </m:r>
                </m:sub>
              </m:sSub>
            </m:oMath>
            <w:r w:rsidR="000A256C" w:rsidRPr="00131A80">
              <w:rPr>
                <w:rFonts w:cs="Times New Roman"/>
              </w:rPr>
              <w:t xml:space="preserve">,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m</m:t>
                  </m:r>
                </m:sub>
              </m:sSub>
            </m:oMath>
          </w:p>
          <w:p w14:paraId="74342FA9" w14:textId="4E48936C" w:rsidR="00336229" w:rsidRPr="00131A80" w:rsidRDefault="00336229" w:rsidP="00DA52D3">
            <w:pPr>
              <w:spacing w:line="240" w:lineRule="auto"/>
              <w:jc w:val="left"/>
              <w:rPr>
                <w:rFonts w:cs="Times New Roman"/>
              </w:rPr>
            </w:pPr>
            <w:r w:rsidRPr="00DA52D3">
              <w:rPr>
                <w:rFonts w:cs="Times New Roman"/>
              </w:rPr>
              <w:t>Swell</w:t>
            </w:r>
            <w:r w:rsidR="00415E0A">
              <w:rPr>
                <w:rFonts w:cs="Times New Roman"/>
              </w:rPr>
              <w:t>s</w:t>
            </w:r>
            <w:r w:rsidRPr="00DA52D3">
              <w:rPr>
                <w:rFonts w:cs="Times New Roman"/>
              </w:rPr>
              <w:t xml:space="preserve">: </w:t>
            </w: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s</m:t>
                  </m:r>
                </m:sub>
              </m:sSub>
            </m:oMath>
            <w:r w:rsidRPr="00131A80">
              <w:rPr>
                <w:rFonts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m:t>
                  </m:r>
                </m:sub>
              </m:sSub>
            </m:oMath>
            <w:r w:rsidRPr="00131A80">
              <w:rPr>
                <w:rFonts w:cs="Times New Roman"/>
              </w:rPr>
              <w:t xml:space="preserve">,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m</m:t>
                  </m:r>
                </m:sub>
              </m:sSub>
            </m:oMath>
          </w:p>
        </w:tc>
        <w:tc>
          <w:tcPr>
            <w:tcW w:w="1696" w:type="dxa"/>
            <w:tcBorders>
              <w:top w:val="single" w:sz="8" w:space="0" w:color="000000"/>
              <w:bottom w:val="single" w:sz="8" w:space="0" w:color="000000"/>
            </w:tcBorders>
          </w:tcPr>
          <w:p w14:paraId="111561F4" w14:textId="77777777" w:rsidR="000A256C" w:rsidRPr="00131A80" w:rsidRDefault="000A256C" w:rsidP="004B50C1">
            <w:pPr>
              <w:spacing w:line="240" w:lineRule="auto"/>
              <w:rPr>
                <w:rFonts w:cs="Times New Roman"/>
              </w:rPr>
            </w:pPr>
            <w:r w:rsidRPr="00131A80">
              <w:rPr>
                <w:rFonts w:cs="Times New Roman"/>
              </w:rPr>
              <w:t>1 h</w:t>
            </w:r>
          </w:p>
        </w:tc>
        <w:tc>
          <w:tcPr>
            <w:tcW w:w="1417" w:type="dxa"/>
            <w:tcBorders>
              <w:top w:val="single" w:sz="8" w:space="0" w:color="000000"/>
              <w:bottom w:val="single" w:sz="8" w:space="0" w:color="000000"/>
            </w:tcBorders>
          </w:tcPr>
          <w:p w14:paraId="7C5B9558" w14:textId="77777777" w:rsidR="000A256C" w:rsidRPr="00131A80" w:rsidRDefault="000A256C" w:rsidP="004B50C1">
            <w:pPr>
              <w:spacing w:line="240" w:lineRule="auto"/>
              <w:rPr>
                <w:rFonts w:cs="Times New Roman"/>
              </w:rPr>
            </w:pPr>
            <w:r w:rsidRPr="00131A80">
              <w:rPr>
                <w:rFonts w:cs="Times New Roman"/>
              </w:rPr>
              <w:t>ERA5</w:t>
            </w:r>
          </w:p>
        </w:tc>
        <w:tc>
          <w:tcPr>
            <w:tcW w:w="1508" w:type="dxa"/>
            <w:vMerge/>
          </w:tcPr>
          <w:p w14:paraId="607D4AA7" w14:textId="77777777" w:rsidR="000A256C" w:rsidRPr="00131A80" w:rsidRDefault="000A256C" w:rsidP="004B50C1">
            <w:pPr>
              <w:spacing w:line="240" w:lineRule="auto"/>
              <w:rPr>
                <w:rFonts w:cs="Times New Roman"/>
              </w:rPr>
            </w:pPr>
          </w:p>
        </w:tc>
      </w:tr>
      <w:tr w:rsidR="000A256C" w:rsidRPr="00131A80" w14:paraId="0C5B2273" w14:textId="77777777" w:rsidTr="00DA52D3">
        <w:tc>
          <w:tcPr>
            <w:tcW w:w="704" w:type="dxa"/>
            <w:vMerge/>
          </w:tcPr>
          <w:p w14:paraId="0F0CC7F0" w14:textId="77777777" w:rsidR="000A256C" w:rsidRPr="00131A80" w:rsidRDefault="000A256C" w:rsidP="004B50C1">
            <w:pPr>
              <w:spacing w:line="240" w:lineRule="auto"/>
              <w:rPr>
                <w:rFonts w:cs="Times New Roman"/>
              </w:rPr>
            </w:pPr>
          </w:p>
        </w:tc>
        <w:tc>
          <w:tcPr>
            <w:tcW w:w="1559" w:type="dxa"/>
            <w:tcBorders>
              <w:top w:val="single" w:sz="8" w:space="0" w:color="000000"/>
            </w:tcBorders>
          </w:tcPr>
          <w:p w14:paraId="785EEFD1" w14:textId="77777777" w:rsidR="000A256C" w:rsidRPr="00131A80" w:rsidRDefault="000A256C" w:rsidP="004B50C1">
            <w:pPr>
              <w:spacing w:line="240" w:lineRule="auto"/>
              <w:rPr>
                <w:rFonts w:cs="Times New Roman"/>
              </w:rPr>
            </w:pPr>
            <w:r w:rsidRPr="00562EEE">
              <w:rPr>
                <w:rFonts w:cs="Times New Roman"/>
              </w:rPr>
              <w:t>Non-tidal residual</w:t>
            </w:r>
          </w:p>
        </w:tc>
        <w:tc>
          <w:tcPr>
            <w:tcW w:w="2132" w:type="dxa"/>
            <w:tcBorders>
              <w:top w:val="single" w:sz="8" w:space="0" w:color="000000"/>
            </w:tcBorders>
          </w:tcPr>
          <w:p w14:paraId="6D231684" w14:textId="77777777" w:rsidR="000A256C" w:rsidRPr="00131A80" w:rsidRDefault="000A256C" w:rsidP="00DA52D3">
            <w:pPr>
              <w:spacing w:line="240" w:lineRule="auto"/>
              <w:jc w:val="left"/>
              <w:rPr>
                <w:rFonts w:cs="Times New Roman"/>
              </w:rPr>
            </w:pPr>
            <w:r w:rsidRPr="00131A80">
              <w:rPr>
                <w:rFonts w:cs="Times New Roman"/>
              </w:rPr>
              <w:t>Total water level</w:t>
            </w:r>
          </w:p>
        </w:tc>
        <w:tc>
          <w:tcPr>
            <w:tcW w:w="1696" w:type="dxa"/>
            <w:tcBorders>
              <w:top w:val="single" w:sz="8" w:space="0" w:color="000000"/>
            </w:tcBorders>
          </w:tcPr>
          <w:p w14:paraId="7623ADE0" w14:textId="77777777" w:rsidR="000A256C" w:rsidRPr="00131A80" w:rsidRDefault="000A256C" w:rsidP="004B50C1">
            <w:pPr>
              <w:spacing w:line="240" w:lineRule="auto"/>
              <w:rPr>
                <w:rFonts w:cs="Times New Roman"/>
              </w:rPr>
            </w:pPr>
            <w:r w:rsidRPr="00131A80">
              <w:rPr>
                <w:rFonts w:cs="Times New Roman"/>
              </w:rPr>
              <w:t>1 h</w:t>
            </w:r>
          </w:p>
        </w:tc>
        <w:tc>
          <w:tcPr>
            <w:tcW w:w="1417" w:type="dxa"/>
            <w:tcBorders>
              <w:top w:val="single" w:sz="8" w:space="0" w:color="000000"/>
            </w:tcBorders>
          </w:tcPr>
          <w:p w14:paraId="51D2682E" w14:textId="77777777" w:rsidR="000A256C" w:rsidRPr="00131A80" w:rsidRDefault="000A256C" w:rsidP="004B50C1">
            <w:pPr>
              <w:spacing w:line="240" w:lineRule="auto"/>
              <w:rPr>
                <w:rFonts w:cs="Times New Roman"/>
              </w:rPr>
            </w:pPr>
            <w:r w:rsidRPr="00131A80">
              <w:rPr>
                <w:rFonts w:cs="Times New Roman"/>
              </w:rPr>
              <w:t>CODEC</w:t>
            </w:r>
          </w:p>
        </w:tc>
        <w:tc>
          <w:tcPr>
            <w:tcW w:w="1508" w:type="dxa"/>
            <w:vMerge/>
          </w:tcPr>
          <w:p w14:paraId="0FF385A7" w14:textId="77777777" w:rsidR="000A256C" w:rsidRPr="00131A80" w:rsidRDefault="000A256C" w:rsidP="004B50C1">
            <w:pPr>
              <w:spacing w:line="240" w:lineRule="auto"/>
              <w:rPr>
                <w:rFonts w:cs="Times New Roman"/>
              </w:rPr>
            </w:pPr>
          </w:p>
        </w:tc>
      </w:tr>
      <w:tr w:rsidR="000A256C" w:rsidRPr="00131A80" w14:paraId="25639587" w14:textId="77777777" w:rsidTr="00DA52D3">
        <w:tc>
          <w:tcPr>
            <w:tcW w:w="704" w:type="dxa"/>
            <w:vMerge w:val="restart"/>
            <w:tcBorders>
              <w:top w:val="single" w:sz="8" w:space="0" w:color="000000"/>
            </w:tcBorders>
            <w:textDirection w:val="btLr"/>
            <w:vAlign w:val="center"/>
          </w:tcPr>
          <w:p w14:paraId="1F4553E5" w14:textId="77777777" w:rsidR="000A256C" w:rsidRPr="00131A80" w:rsidRDefault="000A256C" w:rsidP="004B50C1">
            <w:pPr>
              <w:spacing w:line="240" w:lineRule="auto"/>
              <w:ind w:left="113" w:right="113"/>
              <w:jc w:val="center"/>
              <w:rPr>
                <w:rFonts w:cs="Times New Roman"/>
              </w:rPr>
            </w:pPr>
            <w:r w:rsidRPr="00131A80">
              <w:rPr>
                <w:rFonts w:cs="Times New Roman"/>
              </w:rPr>
              <w:t>Observations</w:t>
            </w:r>
          </w:p>
        </w:tc>
        <w:tc>
          <w:tcPr>
            <w:tcW w:w="1559" w:type="dxa"/>
            <w:tcBorders>
              <w:top w:val="single" w:sz="8" w:space="0" w:color="000000"/>
              <w:bottom w:val="single" w:sz="8" w:space="0" w:color="000000"/>
            </w:tcBorders>
          </w:tcPr>
          <w:p w14:paraId="41B041EC" w14:textId="77777777" w:rsidR="000A256C" w:rsidRPr="00131A80" w:rsidRDefault="000A256C" w:rsidP="004B50C1">
            <w:pPr>
              <w:spacing w:line="240" w:lineRule="auto"/>
              <w:rPr>
                <w:rFonts w:cs="Times New Roman"/>
              </w:rPr>
            </w:pPr>
            <w:r w:rsidRPr="00562EEE">
              <w:rPr>
                <w:rFonts w:cs="Times New Roman"/>
              </w:rPr>
              <w:t>Wave</w:t>
            </w:r>
          </w:p>
        </w:tc>
        <w:tc>
          <w:tcPr>
            <w:tcW w:w="2132" w:type="dxa"/>
            <w:tcBorders>
              <w:top w:val="single" w:sz="8" w:space="0" w:color="000000"/>
              <w:bottom w:val="single" w:sz="8" w:space="0" w:color="000000"/>
            </w:tcBorders>
          </w:tcPr>
          <w:p w14:paraId="21DDCA63" w14:textId="595FE39E" w:rsidR="000A256C" w:rsidRPr="00131A80" w:rsidRDefault="008C1B40" w:rsidP="00DA52D3">
            <w:pPr>
              <w:spacing w:line="240" w:lineRule="auto"/>
              <w:jc w:val="left"/>
              <w:rPr>
                <w:rFonts w:cs="Times New Roman"/>
              </w:rPr>
            </w:pPr>
            <w:r>
              <w:rPr>
                <w:rFonts w:cs="Times New Roman"/>
              </w:rPr>
              <w:t>Combined wind wave</w:t>
            </w:r>
            <w:r w:rsidR="009679CD">
              <w:rPr>
                <w:rFonts w:cs="Times New Roman"/>
              </w:rPr>
              <w:t>s</w:t>
            </w:r>
            <w:r>
              <w:rPr>
                <w:rFonts w:cs="Times New Roman"/>
              </w:rPr>
              <w:t xml:space="preserve"> and swell</w:t>
            </w:r>
            <w:r w:rsidR="009679CD">
              <w:rPr>
                <w:rFonts w:cs="Times New Roman"/>
              </w:rPr>
              <w:t>s</w:t>
            </w:r>
            <w:r w:rsidR="006128E9">
              <w:rPr>
                <w:rFonts w:cs="Times New Roman"/>
                <w:kern w:val="2"/>
                <w:szCs w:val="24"/>
                <w:lang w:val="en-GB"/>
                <w14:ligatures w14:val="standardContextual"/>
              </w:rPr>
              <w:t xml:space="preserve">: </w:t>
            </w:r>
            <m:oMath>
              <m:sSub>
                <m:sSubPr>
                  <m:ctrlPr>
                    <w:rPr>
                      <w:rFonts w:ascii="Cambria Math" w:hAnsi="Cambria Math" w:cs="Times New Roman"/>
                      <w:i/>
                      <w:kern w:val="2"/>
                      <w:szCs w:val="24"/>
                      <w:lang w:val="en-GB"/>
                      <w14:ligatures w14:val="standardContextual"/>
                    </w:rPr>
                  </m:ctrlPr>
                </m:sSubPr>
                <m:e>
                  <m:r>
                    <w:rPr>
                      <w:rFonts w:ascii="Cambria Math" w:hAnsi="Cambria Math" w:cs="Times New Roman"/>
                    </w:rPr>
                    <m:t>H</m:t>
                  </m:r>
                </m:e>
                <m:sub>
                  <m:r>
                    <w:rPr>
                      <w:rFonts w:ascii="Cambria Math" w:hAnsi="Cambria Math" w:cs="Times New Roman"/>
                    </w:rPr>
                    <m:t>s</m:t>
                  </m:r>
                </m:sub>
              </m:sSub>
            </m:oMath>
            <w:r w:rsidR="000A256C" w:rsidRPr="00131A80">
              <w:rPr>
                <w:rFonts w:cs="Times New Roman"/>
              </w:rPr>
              <w:t xml:space="preserve">, </w:t>
            </w:r>
            <m:oMath>
              <m:sSub>
                <m:sSubPr>
                  <m:ctrlPr>
                    <w:rPr>
                      <w:rFonts w:ascii="Cambria Math" w:hAnsi="Cambria Math" w:cs="Times New Roman"/>
                      <w:i/>
                      <w:kern w:val="2"/>
                      <w:szCs w:val="24"/>
                      <w:lang w:val="en-GB"/>
                      <w14:ligatures w14:val="standardContextual"/>
                    </w:rPr>
                  </m:ctrlPr>
                </m:sSubPr>
                <m:e>
                  <m:r>
                    <w:rPr>
                      <w:rFonts w:ascii="Cambria Math" w:hAnsi="Cambria Math" w:cs="Times New Roman"/>
                    </w:rPr>
                    <m:t>T</m:t>
                  </m:r>
                </m:e>
                <m:sub>
                  <m:r>
                    <w:rPr>
                      <w:rFonts w:ascii="Cambria Math" w:hAnsi="Cambria Math" w:cs="Times New Roman"/>
                    </w:rPr>
                    <m:t>p</m:t>
                  </m:r>
                </m:sub>
              </m:sSub>
            </m:oMath>
          </w:p>
        </w:tc>
        <w:tc>
          <w:tcPr>
            <w:tcW w:w="1696" w:type="dxa"/>
            <w:tcBorders>
              <w:top w:val="single" w:sz="8" w:space="0" w:color="000000"/>
              <w:bottom w:val="single" w:sz="8" w:space="0" w:color="000000"/>
            </w:tcBorders>
          </w:tcPr>
          <w:p w14:paraId="54A9EEA9" w14:textId="77777777" w:rsidR="000A256C" w:rsidRPr="00131A80" w:rsidRDefault="000A256C" w:rsidP="004B50C1">
            <w:pPr>
              <w:spacing w:line="240" w:lineRule="auto"/>
              <w:rPr>
                <w:rFonts w:cs="Times New Roman"/>
              </w:rPr>
            </w:pPr>
            <w:r w:rsidRPr="00131A80">
              <w:rPr>
                <w:rFonts w:cs="Times New Roman"/>
              </w:rPr>
              <w:t>30 min</w:t>
            </w:r>
          </w:p>
        </w:tc>
        <w:tc>
          <w:tcPr>
            <w:tcW w:w="1417" w:type="dxa"/>
            <w:tcBorders>
              <w:top w:val="single" w:sz="8" w:space="0" w:color="000000"/>
              <w:bottom w:val="single" w:sz="8" w:space="0" w:color="000000"/>
            </w:tcBorders>
          </w:tcPr>
          <w:p w14:paraId="1635BA2A" w14:textId="4EAC0608" w:rsidR="000A256C" w:rsidRPr="00131A80" w:rsidRDefault="000A256C" w:rsidP="004B50C1">
            <w:pPr>
              <w:spacing w:line="240" w:lineRule="auto"/>
              <w:rPr>
                <w:rFonts w:cs="Times New Roman"/>
              </w:rPr>
            </w:pPr>
            <w:r w:rsidRPr="00131A80">
              <w:rPr>
                <w:rFonts w:cs="Times New Roman"/>
              </w:rPr>
              <w:t>C</w:t>
            </w:r>
            <w:r w:rsidR="00D400ED">
              <w:rPr>
                <w:rFonts w:cs="Times New Roman"/>
              </w:rPr>
              <w:t>EFAS WaveNet</w:t>
            </w:r>
            <w:r w:rsidRPr="00131A80">
              <w:rPr>
                <w:rFonts w:cs="Times New Roman"/>
              </w:rPr>
              <w:t xml:space="preserve"> (</w:t>
            </w:r>
            <w:r w:rsidRPr="00131A80">
              <w:rPr>
                <w:rFonts w:cs="Times New Roman"/>
                <w:kern w:val="2"/>
                <w14:ligatures w14:val="standardContextual"/>
              </w:rPr>
              <w:t>Tyne/T</w:t>
            </w:r>
            <w:r w:rsidRPr="00131A80">
              <w:rPr>
                <w:rFonts w:cs="Times New Roman"/>
              </w:rPr>
              <w:t>e</w:t>
            </w:r>
            <w:r w:rsidRPr="00131A80">
              <w:rPr>
                <w:rFonts w:cs="Times New Roman"/>
                <w:kern w:val="2"/>
                <w14:ligatures w14:val="standardContextual"/>
              </w:rPr>
              <w:t>es</w:t>
            </w:r>
            <w:r w:rsidRPr="00131A80">
              <w:rPr>
                <w:rFonts w:cs="Times New Roman"/>
              </w:rPr>
              <w:t>)</w:t>
            </w:r>
          </w:p>
        </w:tc>
        <w:tc>
          <w:tcPr>
            <w:tcW w:w="1508" w:type="dxa"/>
            <w:tcBorders>
              <w:top w:val="single" w:sz="8" w:space="0" w:color="000000"/>
              <w:bottom w:val="single" w:sz="8" w:space="0" w:color="000000"/>
            </w:tcBorders>
          </w:tcPr>
          <w:p w14:paraId="26339EE6" w14:textId="77777777" w:rsidR="000A256C" w:rsidRPr="00131A80" w:rsidRDefault="000A256C" w:rsidP="004B50C1">
            <w:pPr>
              <w:spacing w:line="240" w:lineRule="auto"/>
              <w:rPr>
                <w:rFonts w:cs="Times New Roman"/>
              </w:rPr>
            </w:pPr>
            <w:r w:rsidRPr="00131A80">
              <w:rPr>
                <w:rFonts w:cs="Times New Roman"/>
              </w:rPr>
              <w:t>2006-2018</w:t>
            </w:r>
          </w:p>
        </w:tc>
      </w:tr>
      <w:tr w:rsidR="000A256C" w:rsidRPr="00131A80" w14:paraId="55FBD93B" w14:textId="77777777" w:rsidTr="00DA52D3">
        <w:tc>
          <w:tcPr>
            <w:tcW w:w="704" w:type="dxa"/>
            <w:vMerge/>
            <w:tcBorders>
              <w:bottom w:val="single" w:sz="18" w:space="0" w:color="000000"/>
            </w:tcBorders>
          </w:tcPr>
          <w:p w14:paraId="786C29D1" w14:textId="77777777" w:rsidR="000A256C" w:rsidRPr="00131A80" w:rsidRDefault="000A256C" w:rsidP="004B50C1">
            <w:pPr>
              <w:spacing w:line="240" w:lineRule="auto"/>
              <w:rPr>
                <w:rFonts w:cs="Times New Roman"/>
              </w:rPr>
            </w:pPr>
          </w:p>
        </w:tc>
        <w:tc>
          <w:tcPr>
            <w:tcW w:w="1559" w:type="dxa"/>
            <w:tcBorders>
              <w:top w:val="single" w:sz="8" w:space="0" w:color="000000"/>
              <w:bottom w:val="single" w:sz="18" w:space="0" w:color="000000"/>
            </w:tcBorders>
          </w:tcPr>
          <w:p w14:paraId="688D2598" w14:textId="77777777" w:rsidR="000A256C" w:rsidRPr="00131A80" w:rsidRDefault="000A256C" w:rsidP="004B50C1">
            <w:pPr>
              <w:spacing w:line="240" w:lineRule="auto"/>
              <w:rPr>
                <w:rFonts w:cs="Times New Roman"/>
              </w:rPr>
            </w:pPr>
            <w:r w:rsidRPr="00562EEE">
              <w:rPr>
                <w:rFonts w:cs="Times New Roman"/>
              </w:rPr>
              <w:t>Non-tidal residual</w:t>
            </w:r>
          </w:p>
        </w:tc>
        <w:tc>
          <w:tcPr>
            <w:tcW w:w="2132" w:type="dxa"/>
            <w:tcBorders>
              <w:top w:val="single" w:sz="8" w:space="0" w:color="000000"/>
              <w:bottom w:val="single" w:sz="18" w:space="0" w:color="000000"/>
            </w:tcBorders>
          </w:tcPr>
          <w:p w14:paraId="09E81D00" w14:textId="77777777" w:rsidR="000A256C" w:rsidRPr="00131A80" w:rsidRDefault="000A256C" w:rsidP="00DA52D3">
            <w:pPr>
              <w:spacing w:line="240" w:lineRule="auto"/>
              <w:jc w:val="left"/>
              <w:rPr>
                <w:rFonts w:cs="Times New Roman"/>
              </w:rPr>
            </w:pPr>
            <w:r w:rsidRPr="00131A80">
              <w:rPr>
                <w:rFonts w:cs="Times New Roman"/>
              </w:rPr>
              <w:t>Total water level</w:t>
            </w:r>
          </w:p>
        </w:tc>
        <w:tc>
          <w:tcPr>
            <w:tcW w:w="1696" w:type="dxa"/>
            <w:tcBorders>
              <w:top w:val="single" w:sz="8" w:space="0" w:color="000000"/>
              <w:bottom w:val="single" w:sz="18" w:space="0" w:color="000000"/>
            </w:tcBorders>
          </w:tcPr>
          <w:p w14:paraId="28AD483E" w14:textId="77777777" w:rsidR="000A256C" w:rsidRPr="00131A80" w:rsidRDefault="000A256C" w:rsidP="004B50C1">
            <w:pPr>
              <w:spacing w:line="240" w:lineRule="auto"/>
              <w:jc w:val="left"/>
              <w:rPr>
                <w:rFonts w:cs="Times New Roman"/>
              </w:rPr>
            </w:pPr>
            <w:r w:rsidRPr="00131A80">
              <w:rPr>
                <w:rFonts w:cs="Times New Roman"/>
              </w:rPr>
              <w:t>1h</w:t>
            </w:r>
            <w:r>
              <w:rPr>
                <w:rFonts w:cs="Times New Roman"/>
              </w:rPr>
              <w:t xml:space="preserve"> </w:t>
            </w:r>
            <w:r w:rsidRPr="00131A80">
              <w:rPr>
                <w:rFonts w:cs="Times New Roman"/>
              </w:rPr>
              <w:t>(before 1993),</w:t>
            </w:r>
            <w:r>
              <w:rPr>
                <w:rFonts w:cs="Times New Roman"/>
              </w:rPr>
              <w:t xml:space="preserve"> </w:t>
            </w:r>
            <w:r w:rsidRPr="00131A80">
              <w:rPr>
                <w:rFonts w:cs="Times New Roman"/>
              </w:rPr>
              <w:t>15 min (1993 onwards)</w:t>
            </w:r>
          </w:p>
        </w:tc>
        <w:tc>
          <w:tcPr>
            <w:tcW w:w="1417" w:type="dxa"/>
            <w:tcBorders>
              <w:top w:val="single" w:sz="8" w:space="0" w:color="000000"/>
              <w:bottom w:val="single" w:sz="18" w:space="0" w:color="000000"/>
            </w:tcBorders>
          </w:tcPr>
          <w:p w14:paraId="4DB40B7F" w14:textId="6C7C4B11" w:rsidR="000A256C" w:rsidRPr="0016636E" w:rsidRDefault="001C2824" w:rsidP="000A256C">
            <w:pPr>
              <w:spacing w:line="240" w:lineRule="auto"/>
              <w:jc w:val="left"/>
            </w:pPr>
            <w:r w:rsidRPr="00B5713E">
              <w:t>UK National Tide Gauge</w:t>
            </w:r>
            <w:r>
              <w:t xml:space="preserve"> Network</w:t>
            </w:r>
            <w:r w:rsidR="0016636E">
              <w:t xml:space="preserve"> </w:t>
            </w:r>
            <w:r w:rsidR="000A256C" w:rsidRPr="00131A80">
              <w:rPr>
                <w:rFonts w:cs="Times New Roman"/>
              </w:rPr>
              <w:t>(</w:t>
            </w:r>
            <w:r w:rsidR="000A256C" w:rsidRPr="00131A80">
              <w:rPr>
                <w:rFonts w:cs="Times New Roman"/>
                <w:kern w:val="2"/>
                <w14:ligatures w14:val="standardContextual"/>
              </w:rPr>
              <w:t>North Shields</w:t>
            </w:r>
            <w:r w:rsidR="000A256C" w:rsidRPr="00131A80">
              <w:rPr>
                <w:rFonts w:cs="Times New Roman"/>
              </w:rPr>
              <w:t>,</w:t>
            </w:r>
            <w:r w:rsidR="000A256C" w:rsidRPr="00131A80">
              <w:rPr>
                <w:rFonts w:cs="Times New Roman"/>
                <w:color w:val="3C5560"/>
                <w:kern w:val="24"/>
              </w:rPr>
              <w:t xml:space="preserve"> W</w:t>
            </w:r>
            <w:r w:rsidR="000A256C" w:rsidRPr="00131A80">
              <w:rPr>
                <w:rFonts w:cs="Times New Roman"/>
                <w:kern w:val="2"/>
                <w14:ligatures w14:val="standardContextual"/>
              </w:rPr>
              <w:t>hitby</w:t>
            </w:r>
            <w:r w:rsidR="000A256C" w:rsidRPr="00131A80">
              <w:rPr>
                <w:rFonts w:cs="Times New Roman"/>
              </w:rPr>
              <w:t>)</w:t>
            </w:r>
          </w:p>
        </w:tc>
        <w:tc>
          <w:tcPr>
            <w:tcW w:w="1508" w:type="dxa"/>
            <w:tcBorders>
              <w:top w:val="single" w:sz="8" w:space="0" w:color="000000"/>
              <w:bottom w:val="single" w:sz="18" w:space="0" w:color="000000"/>
            </w:tcBorders>
          </w:tcPr>
          <w:p w14:paraId="0F29E9D2" w14:textId="77777777" w:rsidR="000A256C" w:rsidRPr="00131A80" w:rsidRDefault="000A256C" w:rsidP="004B50C1">
            <w:pPr>
              <w:spacing w:line="240" w:lineRule="auto"/>
              <w:rPr>
                <w:rFonts w:cs="Times New Roman"/>
              </w:rPr>
            </w:pPr>
            <w:r w:rsidRPr="00131A80">
              <w:rPr>
                <w:rFonts w:cs="Times New Roman"/>
              </w:rPr>
              <w:t>1979-2018</w:t>
            </w:r>
            <w:r>
              <w:rPr>
                <w:rFonts w:cs="Times New Roman"/>
              </w:rPr>
              <w:t xml:space="preserve"> </w:t>
            </w:r>
            <w:r w:rsidRPr="00131A80">
              <w:rPr>
                <w:rFonts w:cs="Times New Roman"/>
              </w:rPr>
              <w:t>(not continuous)</w:t>
            </w:r>
          </w:p>
        </w:tc>
      </w:tr>
    </w:tbl>
    <w:p w14:paraId="7F7A9B3A" w14:textId="77777777" w:rsidR="000A256C" w:rsidRPr="000A256C" w:rsidRDefault="000A256C" w:rsidP="000A256C">
      <w:pPr>
        <w:rPr>
          <w:lang w:val="en-GB" w:eastAsia="en-GB"/>
        </w:rPr>
      </w:pPr>
    </w:p>
    <w:p w14:paraId="01DB26BC" w14:textId="45B7DDE8" w:rsidR="002937AD" w:rsidRPr="00DA52D3" w:rsidRDefault="002937AD" w:rsidP="0040051F">
      <w:pPr>
        <w:pStyle w:val="Paragraph"/>
        <w:rPr>
          <w:b/>
          <w:bCs/>
        </w:rPr>
      </w:pPr>
      <w:r w:rsidRPr="00DA52D3">
        <w:rPr>
          <w:b/>
          <w:bCs/>
        </w:rPr>
        <w:t xml:space="preserve">2.2 </w:t>
      </w:r>
      <w:r w:rsidR="0040051F" w:rsidRPr="00DA52D3">
        <w:rPr>
          <w:b/>
          <w:bCs/>
        </w:rPr>
        <w:t>Data validation and pre-processing</w:t>
      </w:r>
    </w:p>
    <w:p w14:paraId="419E1A49" w14:textId="79BB729C" w:rsidR="0040051F" w:rsidRPr="00DA52D3" w:rsidRDefault="0040051F" w:rsidP="006D157C">
      <w:pPr>
        <w:pStyle w:val="Paragraph"/>
        <w:rPr>
          <w:b/>
          <w:bCs/>
        </w:rPr>
      </w:pPr>
      <w:r w:rsidRPr="00DA52D3">
        <w:rPr>
          <w:b/>
          <w:bCs/>
        </w:rPr>
        <w:t>2.2.1</w:t>
      </w:r>
      <w:r w:rsidR="003D7D26" w:rsidRPr="00DA52D3">
        <w:rPr>
          <w:b/>
          <w:bCs/>
        </w:rPr>
        <w:tab/>
      </w:r>
      <w:r w:rsidRPr="00DA52D3">
        <w:rPr>
          <w:b/>
          <w:bCs/>
        </w:rPr>
        <w:t>Atmospheric data</w:t>
      </w:r>
    </w:p>
    <w:p w14:paraId="23635238" w14:textId="63E2D92C" w:rsidR="008F18B2" w:rsidRDefault="0040051F" w:rsidP="008F18B2">
      <w:pPr>
        <w:rPr>
          <w:lang w:val="en-GB" w:eastAsia="en-GB"/>
        </w:rPr>
      </w:pPr>
      <w:r w:rsidRPr="0040051F">
        <w:t xml:space="preserve">The original </w:t>
      </w:r>
      <w:r w:rsidR="00A63FA7">
        <w:t>high</w:t>
      </w:r>
      <w:r w:rsidR="00EA12AA">
        <w:t>-</w:t>
      </w:r>
      <w:r w:rsidR="00A63FA7">
        <w:t xml:space="preserve">resolution </w:t>
      </w:r>
      <w:r w:rsidRPr="0040051F">
        <w:t xml:space="preserve">hourly SLP fields from ERA5 are averaged to produce daily SLP values at a 2° resolution. The spatial averaging needs to account for the change in the area each point represents due to the Earth’s curvature. Therefore, each point is weighted by the cosine of its latitude. SLP fields at 0.5° and 1° resolution are also obtained to test the </w:t>
      </w:r>
      <w:r w:rsidRPr="0040051F">
        <w:lastRenderedPageBreak/>
        <w:t xml:space="preserve">sensitivity of weather typing to spatial resolutions. </w:t>
      </w:r>
      <w:r w:rsidR="00EA12AA">
        <w:t>In addition to</w:t>
      </w:r>
      <w:r w:rsidRPr="0040051F">
        <w:t xml:space="preserve"> SLP, the squared SLP gradient (SLPG) is also included as the predictor. Mathematically, it is the sum of the squared SLP gradients along both latitude and longitude</w:t>
      </w:r>
      <w:r w:rsidR="009A75D8">
        <w:t xml:space="preserve"> </w:t>
      </w:r>
      <w:r w:rsidR="00A545D0">
        <w:rPr>
          <w:rFonts w:cs="Times New Roman"/>
          <w:szCs w:val="24"/>
          <w:lang w:val="en-GB" w:eastAsia="en-GB"/>
        </w:rPr>
        <w:fldChar w:fldCharType="begin"/>
      </w:r>
      <w:r w:rsidR="00A545D0">
        <w:instrText xml:space="preserve"> ADDIN ZOTERO_ITEM CSL_CITATION {"citationID":"lilYSQ5t","properties":{"formattedCitation":"(Wang and Swail 2006)","plainCitation":"(Wang and Swail 2006)","noteIndex":0},"citationItems":[{"id":1807,"uris":["http://zotero.org/users/10288439/items/9UBRZAC5"],"itemData":{"id":1807,"type":"article-journal","abstract":"In this study, projections of seasonal means and extremes of ocean wave heights were made using projections of sea level pressure fields conducted with three global climate models for three forcing-scenarios. For each forcing-scenario, the three climate models’ projections were combined to estimate the multi-model mean projection of climate change. The relative importance of the variability in the projected wave heights that is due to the forcing prescribed in a forcing-scenario was assessed on the basis of ensemble simulations conducted with the Canadian coupled climate model CGCM2. The uncertainties in the projections of wave heights that are due to differences among the climate models and/or among the forcing-scenarios were characterized. The results show that the multi-model mean projection of climate change has patterns similar to those derived from using the CGCM2 projections alone, but the magnitudes of changes are generally smaller in the boreal oceans but larger in the region nearby the Antarctic coastal zone. The forcing-induced variance (as simulated by CGCM2) was identified to be of substantial magnitude in some areas in all seasons. The uncertainty due to differences among the forcing-scenarios is much smaller than that due to differences among the climate models, although it was identified to be statistically significant in most areas of the oceans (this indicates that different forcing conditions do make notable differences in the wave height climate change projection). The sum of the model and forcing-scenario uncertainties is smaller in the JFM and AMJ seasons than in other seasons, and it is generally small in the mid-high latitudes and large in the tropics. In particular, some areas in the northern oceans were projected to have large changes by all the three climate models.","container-title":"Climate Dynamics","DOI":"10.1007/s00382-005-0080-x","ISSN":"1432-0894","issue":"2","journalAbbreviation":"Clim Dyn","language":"en","page":"109-126","source":"Springer Link","title":"Climate change signal and uncertainty in projections of ocean wave heights","volume":"26","author":[{"family":"Wang","given":"Xiaolan L."},{"family":"Swail","given":"Val R."}],"issued":{"date-parts":[["2006",2,1]]}}}],"schema":"https://github.com/citation-style-language/schema/raw/master/csl-citation.json"} </w:instrText>
      </w:r>
      <w:r w:rsidR="00A545D0">
        <w:rPr>
          <w:rFonts w:cs="Times New Roman"/>
          <w:szCs w:val="24"/>
          <w:lang w:val="en-GB" w:eastAsia="en-GB"/>
        </w:rPr>
        <w:fldChar w:fldCharType="separate"/>
      </w:r>
      <w:r w:rsidR="00282A3B" w:rsidRPr="00282A3B">
        <w:t>(Wang and Swail 2006)</w:t>
      </w:r>
      <w:r w:rsidR="00A545D0">
        <w:rPr>
          <w:rFonts w:cs="Times New Roman"/>
          <w:szCs w:val="24"/>
          <w:lang w:val="en-GB" w:eastAsia="en-GB"/>
        </w:rPr>
        <w:fldChar w:fldCharType="end"/>
      </w:r>
      <w:r w:rsidRPr="0040051F">
        <w:t>. Thus, SLPG at a grid node can be calculated from SLP</w:t>
      </w:r>
      <w:r w:rsidR="00EA12AA">
        <w:t xml:space="preserve"> values</w:t>
      </w:r>
      <w:r w:rsidRPr="0040051F">
        <w:t xml:space="preserve"> at the surrounding four grid nodes.</w:t>
      </w:r>
      <w:r w:rsidR="00EA12AA">
        <w:t xml:space="preserve"> W</w:t>
      </w:r>
      <w:r w:rsidRPr="0040051F">
        <w:t xml:space="preserve">e derive </w:t>
      </w:r>
      <w:r w:rsidR="00383795">
        <w:t xml:space="preserve">the daily </w:t>
      </w:r>
      <w:r w:rsidRPr="0040051F">
        <w:t>SLPG</w:t>
      </w:r>
      <w:r w:rsidR="00C3271D">
        <w:t xml:space="preserve"> fields </w:t>
      </w:r>
      <w:r w:rsidR="00383795">
        <w:t>at</w:t>
      </w:r>
      <w:r w:rsidR="00C3271D">
        <w:t xml:space="preserve"> </w:t>
      </w:r>
      <w:r w:rsidR="00DB7910">
        <w:t>0.5</w:t>
      </w:r>
      <w:r w:rsidR="00DB7910" w:rsidRPr="0040051F">
        <w:t>°</w:t>
      </w:r>
      <w:r w:rsidR="00DB7910">
        <w:t>, 1</w:t>
      </w:r>
      <w:r w:rsidR="00DB7910" w:rsidRPr="0040051F">
        <w:t>°</w:t>
      </w:r>
      <w:r w:rsidR="00DB7910">
        <w:t xml:space="preserve"> and 2</w:t>
      </w:r>
      <w:r w:rsidR="00DB7910" w:rsidRPr="0040051F">
        <w:t>°</w:t>
      </w:r>
      <w:r w:rsidR="00C3271D">
        <w:t xml:space="preserve"> resolution</w:t>
      </w:r>
      <w:r w:rsidR="00383795">
        <w:t>s</w:t>
      </w:r>
      <w:r w:rsidRPr="0040051F">
        <w:t xml:space="preserve"> from the</w:t>
      </w:r>
      <w:r w:rsidR="00DB7910">
        <w:t>ir corresponding</w:t>
      </w:r>
      <w:r w:rsidRPr="0040051F">
        <w:t xml:space="preserve"> daily SLP fields</w:t>
      </w:r>
      <w:r w:rsidR="00DB7910">
        <w:t xml:space="preserve"> </w:t>
      </w:r>
      <w:r w:rsidR="002C3EFE">
        <w:t>with</w:t>
      </w:r>
      <w:r w:rsidR="00DB7910">
        <w:t xml:space="preserve"> the same spatial resolutions</w:t>
      </w:r>
      <w:r w:rsidRPr="0040051F">
        <w:t>.</w:t>
      </w:r>
    </w:p>
    <w:p w14:paraId="4529058F" w14:textId="3501277F" w:rsidR="008F18B2" w:rsidRPr="008470D6" w:rsidRDefault="008F18B2" w:rsidP="008F18B2">
      <w:pPr>
        <w:pStyle w:val="Paragraph"/>
        <w:rPr>
          <w:b/>
          <w:bCs/>
        </w:rPr>
      </w:pPr>
      <w:r w:rsidRPr="008470D6">
        <w:rPr>
          <w:b/>
          <w:bCs/>
        </w:rPr>
        <w:t>2.2.</w:t>
      </w:r>
      <w:r>
        <w:rPr>
          <w:b/>
          <w:bCs/>
        </w:rPr>
        <w:t>2</w:t>
      </w:r>
      <w:r w:rsidRPr="008470D6">
        <w:rPr>
          <w:b/>
          <w:bCs/>
        </w:rPr>
        <w:tab/>
        <w:t>Wave data</w:t>
      </w:r>
    </w:p>
    <w:p w14:paraId="3AF59C3C" w14:textId="1669C1A1" w:rsidR="0092354B" w:rsidRDefault="008F18B2" w:rsidP="008F18B2">
      <w:pPr>
        <w:pStyle w:val="Paragraph"/>
      </w:pPr>
      <w:r>
        <w:t xml:space="preserve">Wave parameters extracted from ERA5 include significant wave height </w:t>
      </w:r>
      <m:oMath>
        <m:sSub>
          <m:sSubPr>
            <m:ctrlPr>
              <w:rPr>
                <w:rFonts w:ascii="Cambria Math" w:hAnsi="Cambria Math" w:cs="Cambria Math"/>
              </w:rPr>
            </m:ctrlPr>
          </m:sSubPr>
          <m:e>
            <m:r>
              <w:rPr>
                <w:rFonts w:ascii="Cambria Math" w:hAnsi="Cambria Math" w:cs="Cambria Math"/>
              </w:rPr>
              <m:t>H</m:t>
            </m:r>
          </m:e>
          <m:sub>
            <m:r>
              <w:rPr>
                <w:rFonts w:ascii="Cambria Math" w:hAnsi="Cambria Math" w:cs="Cambria Math"/>
              </w:rPr>
              <m:t>s</m:t>
            </m:r>
          </m:sub>
        </m:sSub>
      </m:oMath>
      <w:r>
        <w:t xml:space="preserve">, mean wave period </w:t>
      </w:r>
      <m:oMath>
        <m:sSub>
          <m:sSubPr>
            <m:ctrlPr>
              <w:rPr>
                <w:rFonts w:ascii="Cambria Math" w:hAnsi="Cambria Math" w:cs="Cambria Math"/>
              </w:rPr>
            </m:ctrlPr>
          </m:sSubPr>
          <m:e>
            <m:r>
              <w:rPr>
                <w:rFonts w:ascii="Cambria Math" w:hAnsi="Cambria Math" w:cs="Cambria Math"/>
              </w:rPr>
              <m:t>T</m:t>
            </m:r>
          </m:e>
          <m:sub>
            <m:r>
              <w:rPr>
                <w:rFonts w:ascii="Cambria Math" w:hAnsi="Cambria Math" w:cs="Cambria Math"/>
              </w:rPr>
              <m:t>m</m:t>
            </m:r>
          </m:sub>
        </m:sSub>
      </m:oMath>
      <w:r>
        <w:t xml:space="preserve">, peak wave period </w:t>
      </w:r>
      <m:oMath>
        <m:sSub>
          <m:sSubPr>
            <m:ctrlPr>
              <w:rPr>
                <w:rFonts w:ascii="Cambria Math" w:hAnsi="Cambria Math" w:cs="Cambria Math"/>
              </w:rPr>
            </m:ctrlPr>
          </m:sSubPr>
          <m:e>
            <m:r>
              <w:rPr>
                <w:rFonts w:ascii="Cambria Math" w:hAnsi="Cambria Math" w:cs="Cambria Math"/>
              </w:rPr>
              <m:t>T</m:t>
            </m:r>
          </m:e>
          <m:sub>
            <m:r>
              <w:rPr>
                <w:rFonts w:ascii="Cambria Math" w:hAnsi="Cambria Math" w:cs="Cambria Math"/>
              </w:rPr>
              <m:t>p</m:t>
            </m:r>
          </m:sub>
        </m:sSub>
      </m:oMath>
      <w:r>
        <w:t xml:space="preserve">, and mean wave direction </w:t>
      </w:r>
      <m:oMath>
        <m:sSub>
          <m:sSubPr>
            <m:ctrlPr>
              <w:rPr>
                <w:rFonts w:ascii="Cambria Math" w:hAnsi="Cambria Math" w:cs="Cambria Math"/>
              </w:rPr>
            </m:ctrlPr>
          </m:sSubPr>
          <m:e>
            <m:r>
              <w:rPr>
                <w:rFonts w:ascii="Cambria Math" w:hAnsi="Cambria Math" w:cs="Cambria Math"/>
              </w:rPr>
              <m:t>θ</m:t>
            </m:r>
          </m:e>
          <m:sub>
            <m:r>
              <w:rPr>
                <w:rFonts w:ascii="Cambria Math" w:hAnsi="Cambria Math" w:cs="Cambria Math"/>
              </w:rPr>
              <m:t>m</m:t>
            </m:r>
          </m:sub>
        </m:sSub>
      </m:oMath>
      <w:r>
        <w:t xml:space="preserve"> for </w:t>
      </w:r>
      <w:r w:rsidR="00336229">
        <w:t>combined wind</w:t>
      </w:r>
      <w:r>
        <w:t xml:space="preserve"> wave</w:t>
      </w:r>
      <w:r w:rsidR="009679CD">
        <w:t>s</w:t>
      </w:r>
      <w:r w:rsidR="00336229">
        <w:t xml:space="preserve"> and swell</w:t>
      </w:r>
      <w:r w:rsidR="009679CD">
        <w:t>s</w:t>
      </w:r>
      <w:r w:rsidR="00C0222F">
        <w:t>. Hereafter, the combined wind wave</w:t>
      </w:r>
      <w:r w:rsidR="009679CD">
        <w:t>s</w:t>
      </w:r>
      <w:r w:rsidR="00C0222F">
        <w:t xml:space="preserve"> and swell</w:t>
      </w:r>
      <w:r w:rsidR="009679CD">
        <w:t>s</w:t>
      </w:r>
      <w:r w:rsidR="00C0222F">
        <w:t xml:space="preserve"> will be referred to as total waves</w:t>
      </w:r>
      <w:r>
        <w:t>. In addition, wind wave and swell parameters</w:t>
      </w:r>
      <w:r w:rsidR="00B84387">
        <w:t>,</w:t>
      </w:r>
      <w:r>
        <w:t xml:space="preserve"> including </w:t>
      </w:r>
      <m:oMath>
        <m:sSub>
          <m:sSubPr>
            <m:ctrlPr>
              <w:rPr>
                <w:rFonts w:ascii="Cambria Math" w:hAnsi="Cambria Math" w:cs="Cambria Math"/>
              </w:rPr>
            </m:ctrlPr>
          </m:sSubPr>
          <m:e>
            <m:r>
              <w:rPr>
                <w:rFonts w:ascii="Cambria Math" w:hAnsi="Cambria Math" w:cs="Cambria Math"/>
              </w:rPr>
              <m:t>H</m:t>
            </m:r>
          </m:e>
          <m:sub>
            <m:r>
              <w:rPr>
                <w:rFonts w:ascii="Cambria Math" w:hAnsi="Cambria Math" w:cs="Cambria Math"/>
              </w:rPr>
              <m:t>s</m:t>
            </m:r>
          </m:sub>
        </m:sSub>
      </m:oMath>
      <w:r>
        <w:t xml:space="preserve">, </w:t>
      </w:r>
      <m:oMath>
        <m:sSub>
          <m:sSubPr>
            <m:ctrlPr>
              <w:rPr>
                <w:rFonts w:ascii="Cambria Math" w:hAnsi="Cambria Math" w:cs="Cambria Math"/>
              </w:rPr>
            </m:ctrlPr>
          </m:sSubPr>
          <m:e>
            <m:r>
              <w:rPr>
                <w:rFonts w:ascii="Cambria Math" w:hAnsi="Cambria Math" w:cs="Cambria Math"/>
              </w:rPr>
              <m:t>T</m:t>
            </m:r>
          </m:e>
          <m:sub>
            <m:r>
              <w:rPr>
                <w:rFonts w:ascii="Cambria Math" w:hAnsi="Cambria Math" w:cs="Cambria Math"/>
              </w:rPr>
              <m:t>m</m:t>
            </m:r>
          </m:sub>
        </m:sSub>
      </m:oMath>
      <w:r>
        <w:t xml:space="preserve">, and </w:t>
      </w:r>
      <m:oMath>
        <m:sSub>
          <m:sSubPr>
            <m:ctrlPr>
              <w:rPr>
                <w:rFonts w:ascii="Cambria Math" w:hAnsi="Cambria Math" w:cs="Cambria Math"/>
              </w:rPr>
            </m:ctrlPr>
          </m:sSubPr>
          <m:e>
            <m:r>
              <w:rPr>
                <w:rFonts w:ascii="Cambria Math" w:hAnsi="Cambria Math" w:cs="Cambria Math"/>
              </w:rPr>
              <m:t>θ</m:t>
            </m:r>
          </m:e>
          <m:sub>
            <m:r>
              <w:rPr>
                <w:rFonts w:ascii="Cambria Math" w:hAnsi="Cambria Math" w:cs="Cambria Math"/>
              </w:rPr>
              <m:t>m</m:t>
            </m:r>
          </m:sub>
        </m:sSub>
      </m:oMath>
      <w:r w:rsidR="00B84387">
        <w:t>,</w:t>
      </w:r>
      <w:r>
        <w:t xml:space="preserve"> are also available from ERA5 and were used for detailed analysis of these two wave components.</w:t>
      </w:r>
      <w:r w:rsidR="00F93821">
        <w:t xml:space="preserve"> </w:t>
      </w:r>
      <w:r w:rsidR="00FA7B10">
        <w:t>We observed an anomaly in the wind wave data</w:t>
      </w:r>
      <w:r w:rsidR="00B84387">
        <w:t>, characterised by</w:t>
      </w:r>
      <w:r w:rsidR="00FA7B10">
        <w:t xml:space="preserve"> a large concentration of data within a narrow range of </w:t>
      </w:r>
      <m:oMath>
        <m:sSub>
          <m:sSubPr>
            <m:ctrlPr>
              <w:rPr>
                <w:rFonts w:ascii="Cambria Math" w:hAnsi="Cambria Math" w:cs="Cambria Math"/>
              </w:rPr>
            </m:ctrlPr>
          </m:sSubPr>
          <m:e>
            <m:r>
              <w:rPr>
                <w:rFonts w:ascii="Cambria Math" w:hAnsi="Cambria Math" w:cs="Cambria Math"/>
              </w:rPr>
              <m:t>T</m:t>
            </m:r>
          </m:e>
          <m:sub>
            <m:r>
              <w:rPr>
                <w:rFonts w:ascii="Cambria Math" w:hAnsi="Cambria Math" w:cs="Cambria Math"/>
              </w:rPr>
              <m:t>m</m:t>
            </m:r>
          </m:sub>
        </m:sSub>
      </m:oMath>
      <w:r w:rsidR="00FA7B10">
        <w:t xml:space="preserve"> </w:t>
      </w:r>
      <w:r w:rsidR="00B84387">
        <w:t>from</w:t>
      </w:r>
      <w:r w:rsidR="00FA7B10">
        <w:t xml:space="preserve"> 3.8</w:t>
      </w:r>
      <w:r w:rsidR="00B84387">
        <w:t xml:space="preserve"> to </w:t>
      </w:r>
      <w:r w:rsidR="00FA7B10">
        <w:t xml:space="preserve">3.9 s and </w:t>
      </w:r>
      <m:oMath>
        <m:sSub>
          <m:sSubPr>
            <m:ctrlPr>
              <w:rPr>
                <w:rFonts w:ascii="Cambria Math" w:hAnsi="Cambria Math" w:cs="Cambria Math"/>
              </w:rPr>
            </m:ctrlPr>
          </m:sSubPr>
          <m:e>
            <m:r>
              <w:rPr>
                <w:rFonts w:ascii="Cambria Math" w:hAnsi="Cambria Math" w:cs="Cambria Math"/>
              </w:rPr>
              <m:t>θ</m:t>
            </m:r>
          </m:e>
          <m:sub>
            <m:r>
              <w:rPr>
                <w:rFonts w:ascii="Cambria Math" w:hAnsi="Cambria Math" w:cs="Cambria Math"/>
              </w:rPr>
              <m:t>m</m:t>
            </m:r>
          </m:sub>
        </m:sSub>
      </m:oMath>
      <w:r w:rsidR="00FA7B10">
        <w:t xml:space="preserve"> </w:t>
      </w:r>
      <w:r w:rsidR="00B84387">
        <w:t>from</w:t>
      </w:r>
      <w:r w:rsidR="00FA7B10">
        <w:t xml:space="preserve"> 35</w:t>
      </w:r>
      <w:r w:rsidR="00B84387">
        <w:t xml:space="preserve">° to </w:t>
      </w:r>
      <w:r w:rsidR="00FA7B10">
        <w:t xml:space="preserve">36°. Most of these waves have wave heights </w:t>
      </w:r>
      <w:r w:rsidR="00B84387">
        <w:t>below</w:t>
      </w:r>
      <w:r w:rsidR="00FA7B10">
        <w:t xml:space="preserve"> 3 mm. This </w:t>
      </w:r>
      <w:r w:rsidR="00B84387">
        <w:t>results in</w:t>
      </w:r>
      <w:r w:rsidR="00FA7B10">
        <w:t xml:space="preserve"> an unusually tall and </w:t>
      </w:r>
      <w:r w:rsidR="00B84387">
        <w:t>narrow</w:t>
      </w:r>
      <w:r w:rsidR="00FA7B10">
        <w:t xml:space="preserve"> spike in the joint probability distributions. Given the disproportionately high probability density of these data points, we </w:t>
      </w:r>
      <w:r w:rsidR="00B84387">
        <w:t>considered</w:t>
      </w:r>
      <w:r w:rsidR="00FA7B10">
        <w:t xml:space="preserve"> them suspicious and excluded them from our analysis.</w:t>
      </w:r>
    </w:p>
    <w:p w14:paraId="2D4414A6" w14:textId="0FBD9366" w:rsidR="00DD6BCA" w:rsidRPr="00DD6BCA" w:rsidRDefault="0092354B" w:rsidP="00DD6BCA">
      <w:pPr>
        <w:pStyle w:val="Paragraph"/>
      </w:pPr>
      <w:r>
        <w:t xml:space="preserve">The CEFAS wave buoy </w:t>
      </w:r>
      <w:r w:rsidR="00D22229">
        <w:t xml:space="preserve">at </w:t>
      </w:r>
      <w:r>
        <w:t xml:space="preserve">Tyne/Tees is used to validate the ERA5 wave data. </w:t>
      </w:r>
      <w:r w:rsidR="008F18B2">
        <w:t xml:space="preserve">Due to data availability, </w:t>
      </w:r>
      <w:r>
        <w:t xml:space="preserve">the </w:t>
      </w:r>
      <w:r w:rsidR="008F18B2">
        <w:t xml:space="preserve">validation is </w:t>
      </w:r>
      <w:r w:rsidR="00577CD8">
        <w:t xml:space="preserve">only </w:t>
      </w:r>
      <w:r w:rsidR="008F18B2">
        <w:t xml:space="preserve">conducted for </w:t>
      </w:r>
      <m:oMath>
        <m:sSub>
          <m:sSubPr>
            <m:ctrlPr>
              <w:rPr>
                <w:rFonts w:ascii="Cambria Math" w:hAnsi="Cambria Math" w:cs="Cambria Math"/>
                <w:i/>
              </w:rPr>
            </m:ctrlPr>
          </m:sSubPr>
          <m:e>
            <m:r>
              <w:rPr>
                <w:rFonts w:ascii="Cambria Math" w:hAnsi="Cambria Math" w:cs="Cambria Math"/>
              </w:rPr>
              <m:t>H</m:t>
            </m:r>
          </m:e>
          <m:sub>
            <m:r>
              <w:rPr>
                <w:rFonts w:ascii="Cambria Math" w:hAnsi="Cambria Math" w:cs="Cambria Math"/>
              </w:rPr>
              <m:t>s</m:t>
            </m:r>
          </m:sub>
        </m:sSub>
      </m:oMath>
      <w:r w:rsidR="008F18B2">
        <w:t xml:space="preserve"> and </w:t>
      </w:r>
      <m:oMath>
        <m:sSub>
          <m:sSubPr>
            <m:ctrlPr>
              <w:rPr>
                <w:rFonts w:ascii="Cambria Math" w:hAnsi="Cambria Math" w:cs="Cambria Math"/>
                <w:i/>
              </w:rPr>
            </m:ctrlPr>
          </m:sSubPr>
          <m:e>
            <m:r>
              <w:rPr>
                <w:rFonts w:ascii="Cambria Math" w:hAnsi="Cambria Math" w:cs="Cambria Math"/>
              </w:rPr>
              <m:t>T</m:t>
            </m:r>
          </m:e>
          <m:sub>
            <m:r>
              <w:rPr>
                <w:rFonts w:ascii="Cambria Math" w:hAnsi="Cambria Math" w:cs="Cambria Math"/>
              </w:rPr>
              <m:t>p</m:t>
            </m:r>
          </m:sub>
        </m:sSub>
      </m:oMath>
      <w:r w:rsidR="00DC5026">
        <w:t xml:space="preserve"> (</w:t>
      </w:r>
      <w:r w:rsidR="009A464C">
        <w:t xml:space="preserve">as </w:t>
      </w:r>
      <w:r w:rsidR="00DC5026">
        <w:t>CEFAS provides peak wave direction instead of mean direction) for the period of 2006-2018</w:t>
      </w:r>
      <w:r w:rsidR="008F18B2">
        <w:t xml:space="preserve">. </w:t>
      </w:r>
      <w:r w:rsidR="009A464C">
        <w:t>A c</w:t>
      </w:r>
      <w:r w:rsidR="008F18B2">
        <w:t xml:space="preserve">omparison of the two datasets shows </w:t>
      </w:r>
      <w:r w:rsidR="00EB6560">
        <w:t>relative</w:t>
      </w:r>
      <w:r w:rsidR="00E50BBC">
        <w:t>ly better</w:t>
      </w:r>
      <w:r w:rsidR="00EB6560">
        <w:t xml:space="preserve"> </w:t>
      </w:r>
      <w:r w:rsidR="008F18B2">
        <w:t xml:space="preserve">agreement for </w:t>
      </w:r>
      <m:oMath>
        <m:sSub>
          <m:sSubPr>
            <m:ctrlPr>
              <w:rPr>
                <w:rFonts w:ascii="Cambria Math" w:hAnsi="Cambria Math" w:cs="Cambria Math"/>
                <w:i/>
              </w:rPr>
            </m:ctrlPr>
          </m:sSubPr>
          <m:e>
            <m:r>
              <w:rPr>
                <w:rFonts w:ascii="Cambria Math" w:hAnsi="Cambria Math" w:cs="Cambria Math"/>
              </w:rPr>
              <m:t>H</m:t>
            </m:r>
          </m:e>
          <m:sub>
            <m:r>
              <w:rPr>
                <w:rFonts w:ascii="Cambria Math" w:hAnsi="Cambria Math" w:cs="Cambria Math"/>
              </w:rPr>
              <m:t>s</m:t>
            </m:r>
          </m:sub>
        </m:sSub>
      </m:oMath>
      <w:r w:rsidR="008F18B2">
        <w:t xml:space="preserve"> (</w:t>
      </w:r>
      <w:r w:rsidR="00CE577F">
        <w:t>Pe</w:t>
      </w:r>
      <w:r w:rsidR="000F12C3">
        <w:t>a</w:t>
      </w:r>
      <w:r w:rsidR="00CE577F">
        <w:t xml:space="preserve">rson’s correlation </w:t>
      </w:r>
      <m:oMath>
        <m:r>
          <w:rPr>
            <w:rFonts w:ascii="Cambria Math" w:hAnsi="Cambria Math"/>
          </w:rPr>
          <m:t>ρ</m:t>
        </m:r>
      </m:oMath>
      <w:r w:rsidR="008F18B2" w:rsidRPr="00D86F31">
        <w:t>=0.97</w:t>
      </w:r>
      <w:r w:rsidR="005563A1">
        <w:t>, root mean square deviation RMSD</w:t>
      </w:r>
      <w:r w:rsidR="004E4AB4">
        <w:t>=0.35 m</w:t>
      </w:r>
      <w:r w:rsidR="008F18B2">
        <w:t xml:space="preserve">) but </w:t>
      </w:r>
      <w:r w:rsidR="009A464C">
        <w:t>weaker</w:t>
      </w:r>
      <w:r w:rsidR="008F18B2">
        <w:t xml:space="preserve"> results for </w:t>
      </w:r>
      <m:oMath>
        <m:sSub>
          <m:sSubPr>
            <m:ctrlPr>
              <w:rPr>
                <w:rFonts w:ascii="Cambria Math" w:hAnsi="Cambria Math" w:cs="Cambria Math"/>
                <w:i/>
              </w:rPr>
            </m:ctrlPr>
          </m:sSubPr>
          <m:e>
            <m:r>
              <w:rPr>
                <w:rFonts w:ascii="Cambria Math" w:hAnsi="Cambria Math" w:cs="Cambria Math"/>
              </w:rPr>
              <m:t>T</m:t>
            </m:r>
          </m:e>
          <m:sub>
            <m:r>
              <w:rPr>
                <w:rFonts w:ascii="Cambria Math" w:hAnsi="Cambria Math" w:cs="Cambria Math"/>
              </w:rPr>
              <m:t>p</m:t>
            </m:r>
          </m:sub>
        </m:sSub>
      </m:oMath>
      <w:r w:rsidR="008F18B2">
        <w:t xml:space="preserve"> (</w:t>
      </w:r>
      <m:oMath>
        <m:r>
          <w:rPr>
            <w:rFonts w:ascii="Cambria Math" w:hAnsi="Cambria Math"/>
          </w:rPr>
          <m:t>ρ</m:t>
        </m:r>
      </m:oMath>
      <w:r w:rsidR="008F18B2">
        <w:t>=0.62</w:t>
      </w:r>
      <w:r w:rsidR="004E4AB4">
        <w:t>, RMSD=</w:t>
      </w:r>
      <w:r w:rsidR="00EB6560">
        <w:t>2.48 s</w:t>
      </w:r>
      <w:r w:rsidR="008F18B2">
        <w:t xml:space="preserve">). </w:t>
      </w:r>
      <w:r w:rsidR="000D4653">
        <w:t>It is worth noting that</w:t>
      </w:r>
      <w:r w:rsidR="008F18B2">
        <w:t xml:space="preserve"> ERA5 tends to underestimate extremes in </w:t>
      </w:r>
      <m:oMath>
        <m:sSub>
          <m:sSubPr>
            <m:ctrlPr>
              <w:rPr>
                <w:rFonts w:ascii="Cambria Math" w:hAnsi="Cambria Math" w:cs="Cambria Math"/>
                <w:i/>
              </w:rPr>
            </m:ctrlPr>
          </m:sSubPr>
          <m:e>
            <m:r>
              <w:rPr>
                <w:rFonts w:ascii="Cambria Math" w:hAnsi="Cambria Math" w:cs="Cambria Math"/>
              </w:rPr>
              <m:t>H</m:t>
            </m:r>
          </m:e>
          <m:sub>
            <m:r>
              <w:rPr>
                <w:rFonts w:ascii="Cambria Math" w:hAnsi="Cambria Math" w:cs="Cambria Math"/>
              </w:rPr>
              <m:t>s</m:t>
            </m:r>
          </m:sub>
        </m:sSub>
      </m:oMath>
      <w:r w:rsidR="008F18B2">
        <w:t xml:space="preserve"> and </w:t>
      </w:r>
      <m:oMath>
        <m:sSub>
          <m:sSubPr>
            <m:ctrlPr>
              <w:rPr>
                <w:rFonts w:ascii="Cambria Math" w:hAnsi="Cambria Math" w:cs="Cambria Math"/>
                <w:i/>
              </w:rPr>
            </m:ctrlPr>
          </m:sSubPr>
          <m:e>
            <m:r>
              <w:rPr>
                <w:rFonts w:ascii="Cambria Math" w:hAnsi="Cambria Math" w:cs="Cambria Math"/>
              </w:rPr>
              <m:t>T</m:t>
            </m:r>
          </m:e>
          <m:sub>
            <m:r>
              <w:rPr>
                <w:rFonts w:ascii="Cambria Math" w:hAnsi="Cambria Math" w:cs="Cambria Math"/>
              </w:rPr>
              <m:t>p</m:t>
            </m:r>
          </m:sub>
        </m:sSub>
      </m:oMath>
      <w:r w:rsidR="008F18B2">
        <w:t xml:space="preserve">, a systematic bias caused by factors </w:t>
      </w:r>
      <w:r w:rsidR="009A464C">
        <w:t>such as</w:t>
      </w:r>
      <w:r w:rsidR="008F18B2">
        <w:t xml:space="preserve"> uncertainties in wind forcing and limitations in modelling wave processes </w:t>
      </w:r>
      <w:r w:rsidR="008F18B2">
        <w:fldChar w:fldCharType="begin"/>
      </w:r>
      <w:r w:rsidR="008F18B2">
        <w:instrText xml:space="preserve"> ADDIN ZOTERO_ITEM CSL_CITATION {"citationID":"AfY3gtPk","properties":{"formattedCitation":"(Fanti et al. 2023)","plainCitation":"(Fanti et al. 2023)","noteIndex":0},"citationItems":[{"id":1683,"uris":["http://zotero.org/users/10288439/items/M4ECYI5Q"],"itemData":{"id":1683,"type":"article-journal","abstract":"The analysis of extreme wave conditions is crucial for understanding and mitigating coastal hazards. As global wave reanalyses allow to extend the evaluation of wave conditions to periods and locations not covered by in-situ measurements, their direct use is common. However, in coastal areas, the accuracy of global reanalyses is lower, particularly for extreme waves. Here we compare two leading global wave reanalyses against 326 coastal buoys, demonstrating that both reanalyses consistently underestimate significant wave height, 50-year return period and mean wave period in most coastal locations around the world. Different calibration methods applied to improve the modelled extreme waves, resulting in a 53% reduction in the underestimation of extreme wave heights. Importantly, the 50-year return period for significant wave height is improved on average by 55%. Extreme wave statistics determined for coastal areas directly from global wave reanalyses require careful consideration, with calibration largely reducing uncertainty and improving confidence.","container-title":"Communications Earth &amp; Environment","DOI":"10.1038/s43247-023-00819-0","ISSN":"2662-4435","issue":"1","journalAbbreviation":"Commun Earth Environ","language":"en","license":"2023 The Author(s)","note":"publisher: Nature Publishing Group\nrate: 3","page":"1-11","source":"www.nature.com","title":"Improved estimates of extreme wave conditions in coastal areas from calibrated global reanalyses","volume":"4","author":[{"family":"Fanti","given":"Valeria"},{"family":"Ferreira","given":"Óscar"},{"family":"Kümmerer","given":"Vincent"},{"family":"Loureiro","given":"Carlos"}],"issued":{"date-parts":[["2023",5,4]]}}}],"schema":"https://github.com/citation-style-language/schema/raw/master/csl-citation.json"} </w:instrText>
      </w:r>
      <w:r w:rsidR="008F18B2">
        <w:fldChar w:fldCharType="separate"/>
      </w:r>
      <w:r w:rsidR="008F18B2" w:rsidRPr="00282A3B">
        <w:t>(Fanti et al. 2023)</w:t>
      </w:r>
      <w:r w:rsidR="008F18B2">
        <w:fldChar w:fldCharType="end"/>
      </w:r>
      <w:r w:rsidR="008F18B2">
        <w:t xml:space="preserve">. </w:t>
      </w:r>
      <w:r w:rsidR="009A464C">
        <w:t>Therefore, b</w:t>
      </w:r>
      <w:r w:rsidR="008F18B2">
        <w:t>ias correction of the wave reanalysis is</w:t>
      </w:r>
      <w:r w:rsidR="00D22229">
        <w:t xml:space="preserve"> usually</w:t>
      </w:r>
      <w:r w:rsidR="008F18B2">
        <w:t xml:space="preserve"> considered important to avoid underpredictions for coastal risk assessments where extreme events are of particular focus. However, we use the original </w:t>
      </w:r>
      <w:r w:rsidR="008F18B2">
        <w:lastRenderedPageBreak/>
        <w:t xml:space="preserve">wave data from ERA5 based on the following considerations: (1) we are looking at a much wider range of variables than the local wave buoy can provide; and (2) correcting the modelled data independently using the corresponding observations may compromise the physical consistency and dependencies </w:t>
      </w:r>
      <w:r w:rsidR="008F18B2" w:rsidRPr="004018A6">
        <w:t>between different wave variables</w:t>
      </w:r>
      <w:r w:rsidR="008F18B2">
        <w:t xml:space="preserve"> </w:t>
      </w:r>
      <w:r w:rsidR="008F18B2">
        <w:fldChar w:fldCharType="begin"/>
      </w:r>
      <w:r w:rsidR="008F18B2">
        <w:instrText xml:space="preserve"> ADDIN ZOTERO_ITEM CSL_CITATION {"citationID":"J3WAIw9V","properties":{"formattedCitation":"(Bhowmik and Sankarasubramanian 2019)","plainCitation":"(Bhowmik and Sankarasubramanian 2019)","noteIndex":0},"citationItems":[{"id":1887,"uris":["http://zotero.org/users/10288439/items/6MGJ4VDK"],"itemData":{"id":1887,"type":"article-journal","abstract":"Statistical bias correction techniques are commonly used in climate model projections to reduce systematic biases. Among the several bias correction techniques, univariate linear bias correction (e.g., quantile mapping) is the most popular, given its simplicity. Univariate linear bias correction can accurately reproduce the observed mean of a given climate variable. However, when performed separately on multiple variables, it does not yield the observed multivariate cross-correlation structure. In the current study, we consider the intrinsic properties of two candidate univariate linear bias-correction approaches (simple linear regression and asynchronous regression) in estimating the observed cross-correlation between precipitation and temperature. Two linear regression models are applied separately on both the observed and the projected variables. The analytical solution suggests that two candidate approaches simply reproduce the cross-correlation from the general circulation models (GCMs) in the bias-corrected data set because of their linearity. Our study adopts two frameworks, based on the Fisher z-transformation and bootstrapping, to provide 95% lower and upper confidence limits (referred as the permissible bound) for the GCM cross-correlation. Beyond the permissible bound, raw/bias-corrected GCM cross-correlation significantly differs from those observed. Two frameworks are applied on three GCMs from the CMIP5 multimodel ensemble over the coterminous United States. We found that (a) the univariate linear techniques fail to reproduce the observed cross-correlation in the bias-corrected data set over 90% (30–50%) of the grid points where the multivariate skewness coefficient values are substantial (small) and statistically significant (statistically insignificant) from zero; (b) the performance of the univariate linear techniques under bootstrapping (Fisher z-transformation) remains uniform (non-uniform) across climate regions, months, and GCMs; (c) grid points, where the observed cross-correlation is statistically significant, witness a failure fraction of around 0.2 (0.8) under the Fisher z-transformation (bootstrapping). The importance of reproducing cross-correlations is also discussed along with an enquiry into the multivariate approaches that can potentially address the bias in yielding cross-correlations.","container-title":"International Journal of Climatology","DOI":"10.1002/joc.6086","ISSN":"1097-0088","issue":"11","language":"en","license":"© 2019 Royal Meteorological Society","note":"_eprint: https://onlinelibrary.wiley.com/doi/pdf/10.1002/joc.6086","page":"4479-4496","source":"Wiley Online Library","title":"Limitations of univariate linear bias correction in yielding cross-correlation between monthly precipitation and temperature","volume":"39","author":[{"family":"Bhowmik","given":"R. Das"},{"family":"Sankarasubramanian","given":"A."}],"issued":{"date-parts":[["2019"]]}}}],"schema":"https://github.com/citation-style-language/schema/raw/master/csl-citation.json"} </w:instrText>
      </w:r>
      <w:r w:rsidR="008F18B2">
        <w:fldChar w:fldCharType="separate"/>
      </w:r>
      <w:r w:rsidR="008F18B2" w:rsidRPr="00282A3B">
        <w:t>(Bhowmik and Sankarasubramanian 2019)</w:t>
      </w:r>
      <w:r w:rsidR="008F18B2">
        <w:fldChar w:fldCharType="end"/>
      </w:r>
      <w:r w:rsidR="008F18B2">
        <w:t>.</w:t>
      </w:r>
      <w:r w:rsidR="009A464C">
        <w:t xml:space="preserve"> For developing weather types and understanding factors relevant to wave downscaling, using uncorrected reanalysis data is unlikely to introduce significant errors</w:t>
      </w:r>
      <w:r w:rsidR="00C7213D">
        <w:t>.</w:t>
      </w:r>
    </w:p>
    <w:p w14:paraId="08A180D7" w14:textId="77777777" w:rsidR="00DD6BCA" w:rsidRPr="00AF3A3D" w:rsidRDefault="00DD6BCA" w:rsidP="00DA52D3"/>
    <w:p w14:paraId="612D5A00" w14:textId="354C4DD3" w:rsidR="0040051F" w:rsidRPr="00DA52D3" w:rsidRDefault="0040051F" w:rsidP="006D157C">
      <w:pPr>
        <w:pStyle w:val="Paragraph"/>
        <w:rPr>
          <w:b/>
          <w:bCs/>
        </w:rPr>
      </w:pPr>
      <w:r w:rsidRPr="00DA52D3">
        <w:rPr>
          <w:b/>
          <w:bCs/>
        </w:rPr>
        <w:t>2.2.</w:t>
      </w:r>
      <w:r w:rsidR="008F18B2">
        <w:rPr>
          <w:b/>
          <w:bCs/>
        </w:rPr>
        <w:t>3</w:t>
      </w:r>
      <w:r w:rsidR="003D7D26" w:rsidRPr="00DA52D3">
        <w:rPr>
          <w:b/>
          <w:bCs/>
        </w:rPr>
        <w:tab/>
      </w:r>
      <w:r w:rsidRPr="00DA52D3">
        <w:rPr>
          <w:b/>
          <w:bCs/>
        </w:rPr>
        <w:t>Non-tidal residuals</w:t>
      </w:r>
    </w:p>
    <w:p w14:paraId="23E2A445" w14:textId="62BF4DC7" w:rsidR="0040051F" w:rsidRDefault="0040051F" w:rsidP="0040051F">
      <w:pPr>
        <w:pStyle w:val="Paragraph"/>
      </w:pPr>
      <w:r>
        <w:t>The non-tidal component of sea level is obtained following</w:t>
      </w:r>
      <w:r w:rsidR="00A629B0">
        <w:t xml:space="preserve"> the approach of</w:t>
      </w:r>
      <w:r w:rsidR="00A545D0">
        <w:t xml:space="preserve"> </w:t>
      </w:r>
      <w:r w:rsidR="00A545D0">
        <w:fldChar w:fldCharType="begin"/>
      </w:r>
      <w:r w:rsidR="000A3F9F">
        <w:instrText xml:space="preserve"> ADDIN ZOTERO_ITEM CSL_CITATION {"citationID":"8nOUKMv7","properties":{"custom":"Jenkins et al. (2023)","formattedCitation":"Jenkins et al. (2023)","plainCitation":"Jenkins et al. (2023)","noteIndex":0},"citationItems":[{"id":1382,"uris":["http://zotero.org/users/10288439/items/8EDI45JD"],"itemData":{"id":1382,"type":"article-journal","abstract":"The temporal clustering of storms presents consecutive storm surge and wave hazards that can lead to amplified flood and erosional damages; thus, clustering is important for coastal stakeholders to consider. We analyse the prevalence of storm clustering around the UK coastline by examining the temporal and spatial characteristics of storm surge, wave height, and high still sea level exceedances at the 1 in 1- and 5-year return levels. First, at the interannual timescale, we show that there are periods of high/low exceedance counts on national and regional scales. Elevated annual counts of exceedances with smaller magnitudes can occur without a respective signal of higher-magnitude exceedances. Secondly, at the intra-annual timescale, we show that high proportions of exceedances are clustering over short timescales. Storm surge, wave height and still sea level exceedances occurring &lt; 50 days after the prior exceedance at a given site account for between ~ 35–44% and ~ 15–22% of all exceedances at the 1 in 1- and 5-year return levels, respectively. Still sea levels have the highest proportion of exceedances clustered in quick succession, with ~ 25% of 1 in 1-year exceedances occurring &lt; 2 days after the previous at the same site. Spatially, for UK storm surges and still sea levels, the North Sea has the lowest proportion of clustering, whereas the North Atlantic and Bristol Channel have the highest. For English wave records, the highest proportions of clustering are found in the North Sea for exceedances of a lower magnitude and the English Channel for exceedances of a higher magnitude. These findings illuminate the prevalence of the clustering of coastal hazards around the UK—helping coastal stakeholders evaluate the threat of surges, waves, and sea levels clustering over short periods.","container-title":"Natural Hazards","DOI":"10.1007/s11069-022-05617-z","ISSN":"1573-0840","issue":"2","journalAbbreviation":"Nat Hazards","language":"en","page":"1761-1797","source":"Springer Link","title":"The temporal clustering of storm surge, wave height, and high sea level exceedances around the UK coastline","volume":"115","author":[{"family":"Jenkins","given":"Luke J."},{"family":"Haigh","given":"Ivan D."},{"family":"Camus","given":"Paula"},{"family":"Pender","given":"Douglas"},{"family":"Sansom","given":"Jenny"},{"family":"Lamb","given":"Rob"},{"family":"Kassem","given":"Hachem"}],"issued":{"date-parts":[["2023",1,1]]}}}],"schema":"https://github.com/citation-style-language/schema/raw/master/csl-citation.json"} </w:instrText>
      </w:r>
      <w:r w:rsidR="00A545D0">
        <w:fldChar w:fldCharType="separate"/>
      </w:r>
      <w:r w:rsidR="000A3F9F" w:rsidRPr="000A3F9F">
        <w:t>Jenkins et al. (2023)</w:t>
      </w:r>
      <w:r w:rsidR="00A545D0">
        <w:fldChar w:fldCharType="end"/>
      </w:r>
      <w:r>
        <w:t xml:space="preserve">. First, a linear regression method is </w:t>
      </w:r>
      <w:r w:rsidR="00C7213D">
        <w:t>applied</w:t>
      </w:r>
      <w:r>
        <w:t xml:space="preserve"> </w:t>
      </w:r>
      <w:r w:rsidR="00C7213D">
        <w:t>to</w:t>
      </w:r>
      <w:r>
        <w:t xml:space="preserve"> still water levels to </w:t>
      </w:r>
      <w:r w:rsidR="00C7213D">
        <w:t>identify</w:t>
      </w:r>
      <w:r>
        <w:t xml:space="preserve"> any trend in mean sea level, which is then removed. Next, the astronomical tides are derived from the detrended water levels </w:t>
      </w:r>
      <w:r w:rsidR="00C7213D">
        <w:t>through</w:t>
      </w:r>
      <w:r>
        <w:t xml:space="preserve"> a year-by-year harmonic analysis</w:t>
      </w:r>
      <w:r w:rsidR="00691C4B">
        <w:t xml:space="preserve"> using the MATLAB Unified Tidal Analysis and Prediction Functions</w:t>
      </w:r>
      <w:r w:rsidR="00F55368">
        <w:t xml:space="preserve"> </w:t>
      </w:r>
      <w:r w:rsidR="00F55368">
        <w:fldChar w:fldCharType="begin"/>
      </w:r>
      <w:r w:rsidR="008F18B2">
        <w:instrText xml:space="preserve"> ADDIN ZOTERO_ITEM CSL_CITATION {"citationID":"tionun8G","properties":{"custom":"(UTide; Codiga 2024)","formattedCitation":"(UTide; Codiga 2024)","plainCitation":"(UTide; Codiga 2024)","noteIndex":0},"citationItems":[{"id":2108,"uris":["http://zotero.org/users/10288439/items/77JWLD2K"],"itemData":{"id":2108,"type":"software","abstract":"Sea level &amp; vector current; irregular times; confidence intervals; constituent selection diagnostics","archive":"MATLAB Central File Exchange","genre":"MATLAB","title":"UTide Unified Tidal Analysis and Prediction Functions","URL":"https://uk.mathworks.com/matlabcentral/fileexchange/46523-utide-unified-tidal-analysis-and-prediction-functions","version":"1.0.0.0","author":[{"family":"Codiga","given":"Daniel"}],"accessed":{"date-parts":[["2024",9,17]]},"issued":{"date-parts":[["2024",9,17]]}},"prefix":"Utide;"}],"schema":"https://github.com/citation-style-language/schema/raw/master/csl-citation.json"} </w:instrText>
      </w:r>
      <w:r w:rsidR="00F55368">
        <w:fldChar w:fldCharType="separate"/>
      </w:r>
      <w:r w:rsidR="008F18B2" w:rsidRPr="008F18B2">
        <w:t>(UTide; Codiga 2024)</w:t>
      </w:r>
      <w:r w:rsidR="00F55368">
        <w:fldChar w:fldCharType="end"/>
      </w:r>
      <w:r>
        <w:t>.</w:t>
      </w:r>
      <w:r w:rsidR="00922FA4">
        <w:t xml:space="preserve"> The tidal constituents are selected </w:t>
      </w:r>
      <w:r w:rsidR="00C7213D">
        <w:t>using</w:t>
      </w:r>
      <w:r w:rsidR="00922FA4">
        <w:t xml:space="preserve"> an automated decision tree method.</w:t>
      </w:r>
      <w:r>
        <w:t xml:space="preserve"> Last, the </w:t>
      </w:r>
      <w:r w:rsidR="00922FA4">
        <w:t>astronomical</w:t>
      </w:r>
      <w:r>
        <w:t xml:space="preserve"> component is </w:t>
      </w:r>
      <w:r w:rsidR="00C7213D">
        <w:t>subtracted</w:t>
      </w:r>
      <w:r>
        <w:t xml:space="preserve"> from the detrended water levels to leave the non-tidal residuals. Hereafter, the term </w:t>
      </w:r>
      <w:r w:rsidR="00C7213D">
        <w:t>“</w:t>
      </w:r>
      <w:r>
        <w:t>storm surge</w:t>
      </w:r>
      <w:r w:rsidR="00C7213D">
        <w:t>”</w:t>
      </w:r>
      <w:r>
        <w:t xml:space="preserve"> or </w:t>
      </w:r>
      <w:r w:rsidR="00C7213D">
        <w:t>“</w:t>
      </w:r>
      <w:r>
        <w:t>surge</w:t>
      </w:r>
      <w:r w:rsidR="00C7213D">
        <w:t>”</w:t>
      </w:r>
      <w:r>
        <w:t xml:space="preserve"> will be used to refer to the non-tidal residual.</w:t>
      </w:r>
    </w:p>
    <w:p w14:paraId="48C49E9E" w14:textId="4F324709" w:rsidR="0040051F" w:rsidRPr="001A49D0" w:rsidRDefault="0040051F" w:rsidP="0040051F">
      <w:pPr>
        <w:pStyle w:val="Paragraph"/>
        <w:rPr>
          <w:lang w:eastAsia="zh-CN"/>
        </w:rPr>
      </w:pPr>
      <w:r>
        <w:t xml:space="preserve">To validate </w:t>
      </w:r>
      <w:r w:rsidR="00821ACF">
        <w:t>the CODEC data</w:t>
      </w:r>
      <w:r>
        <w:t xml:space="preserve">, we compare it with </w:t>
      </w:r>
      <w:r w:rsidR="00A629B0">
        <w:t xml:space="preserve">records from </w:t>
      </w:r>
      <w:r>
        <w:t xml:space="preserve">the two </w:t>
      </w:r>
      <w:r w:rsidR="00A629B0">
        <w:t xml:space="preserve">nearby </w:t>
      </w:r>
      <w:r>
        <w:t>tide gauges. Water levels at grid nodes closest to North Shields and Whitby are extracted from CODEC. Storm surges are calculated for</w:t>
      </w:r>
      <w:r w:rsidR="00947A58">
        <w:t>,</w:t>
      </w:r>
      <w:r>
        <w:t xml:space="preserve"> and compared between</w:t>
      </w:r>
      <w:r w:rsidR="00947A58">
        <w:t>,</w:t>
      </w:r>
      <w:r>
        <w:t xml:space="preserve"> those two grid nodes and two tide gauges. The results indicate that: (1) there is no significant spatial variation </w:t>
      </w:r>
      <w:r w:rsidR="00185015">
        <w:t>in</w:t>
      </w:r>
      <w:r>
        <w:t xml:space="preserve"> storm surge in this region</w:t>
      </w:r>
      <w:r w:rsidR="00B93E51">
        <w:t xml:space="preserve"> (</w:t>
      </w:r>
      <m:oMath>
        <m:r>
          <w:rPr>
            <w:rFonts w:ascii="Cambria Math" w:hAnsi="Cambria Math"/>
          </w:rPr>
          <m:t>ρ</m:t>
        </m:r>
      </m:oMath>
      <w:r w:rsidR="00B93E51">
        <w:t>=0.95</w:t>
      </w:r>
      <w:r w:rsidR="007F7CEC">
        <w:t>, RMSD=</w:t>
      </w:r>
      <w:r w:rsidR="00A20A74">
        <w:t>0.05 m</w:t>
      </w:r>
      <w:r w:rsidR="00B93E51">
        <w:t xml:space="preserve"> between observed surges at the two tide gauges)</w:t>
      </w:r>
      <w:r>
        <w:t>; (2) CODEC agrees well with observations (</w:t>
      </w:r>
      <m:oMath>
        <m:r>
          <w:rPr>
            <w:rFonts w:ascii="Cambria Math" w:hAnsi="Cambria Math"/>
          </w:rPr>
          <m:t>ρ</m:t>
        </m:r>
      </m:oMath>
      <w:r w:rsidR="00185015">
        <w:t>=</w:t>
      </w:r>
      <w:r>
        <w:t>0.83</w:t>
      </w:r>
      <w:r w:rsidR="00134A47">
        <w:t xml:space="preserve"> and</w:t>
      </w:r>
      <w:r w:rsidR="00A20A74">
        <w:t xml:space="preserve"> RMSD=0.10 m</w:t>
      </w:r>
      <w:r>
        <w:t xml:space="preserve"> for hourly values</w:t>
      </w:r>
      <w:r w:rsidR="00A20A74">
        <w:t>,</w:t>
      </w:r>
      <w:r>
        <w:t xml:space="preserve"> and </w:t>
      </w:r>
      <m:oMath>
        <m:r>
          <w:rPr>
            <w:rFonts w:ascii="Cambria Math" w:hAnsi="Cambria Math"/>
          </w:rPr>
          <m:t>ρ</m:t>
        </m:r>
      </m:oMath>
      <w:r w:rsidR="00A20A74">
        <w:t>=</w:t>
      </w:r>
      <w:r>
        <w:t>0.89</w:t>
      </w:r>
      <w:r w:rsidR="00134A47">
        <w:t xml:space="preserve"> and</w:t>
      </w:r>
      <w:r w:rsidR="00A20A74">
        <w:t xml:space="preserve"> RMSD=0.09 m</w:t>
      </w:r>
      <w:r>
        <w:t xml:space="preserve"> for daily maximum). It is worth noting that CODEC</w:t>
      </w:r>
      <w:r w:rsidR="00BB775E">
        <w:t xml:space="preserve"> also</w:t>
      </w:r>
      <w:r>
        <w:t xml:space="preserve"> </w:t>
      </w:r>
      <w:r w:rsidR="00185015">
        <w:t>tends to slightly underestimate high surge values and overestimate low surge values</w:t>
      </w:r>
      <w:r>
        <w:rPr>
          <w:rFonts w:hint="eastAsia"/>
        </w:rPr>
        <w:t>. To account for this, a bias correction method is applied. We perform a</w:t>
      </w:r>
      <w:r w:rsidR="00646442">
        <w:t xml:space="preserve"> simple </w:t>
      </w:r>
      <w:r>
        <w:rPr>
          <w:rFonts w:hint="eastAsia"/>
        </w:rPr>
        <w:t xml:space="preserve">linear regression on hourly surges between CODEC </w:t>
      </w:r>
      <w:r>
        <w:t>(</w:t>
      </w:r>
      <m:oMath>
        <m:sSub>
          <m:sSubPr>
            <m:ctrlPr>
              <w:rPr>
                <w:rFonts w:ascii="Cambria Math" w:hAnsi="Cambria Math"/>
                <w:i/>
                <w:iCs/>
              </w:rPr>
            </m:ctrlPr>
          </m:sSubPr>
          <m:e>
            <m:r>
              <w:rPr>
                <w:rFonts w:ascii="Cambria Math" w:hAnsi="Cambria Math"/>
              </w:rPr>
              <m:t>SS</m:t>
            </m:r>
          </m:e>
          <m:sub>
            <m:r>
              <w:rPr>
                <w:rFonts w:ascii="Cambria Math" w:hAnsi="Cambria Math"/>
              </w:rPr>
              <m:t>mod</m:t>
            </m:r>
          </m:sub>
        </m:sSub>
      </m:oMath>
      <w:r>
        <w:t xml:space="preserve">) </w:t>
      </w:r>
      <w:r>
        <w:rPr>
          <w:rFonts w:hint="eastAsia"/>
        </w:rPr>
        <w:t>and tide gauge</w:t>
      </w:r>
      <w:r>
        <w:t xml:space="preserve"> observations</w:t>
      </w:r>
      <w:r>
        <w:rPr>
          <w:rFonts w:hint="eastAsia"/>
        </w:rPr>
        <w:t xml:space="preserve"> </w:t>
      </w:r>
      <w:r>
        <w:t>(</w:t>
      </w:r>
      <m:oMath>
        <m:sSub>
          <m:sSubPr>
            <m:ctrlPr>
              <w:rPr>
                <w:rFonts w:ascii="Cambria Math" w:hAnsi="Cambria Math"/>
                <w:i/>
                <w:iCs/>
              </w:rPr>
            </m:ctrlPr>
          </m:sSubPr>
          <m:e>
            <m:r>
              <w:rPr>
                <w:rFonts w:ascii="Cambria Math" w:hAnsi="Cambria Math"/>
              </w:rPr>
              <m:t>SS</m:t>
            </m:r>
          </m:e>
          <m:sub>
            <m:r>
              <w:rPr>
                <w:rFonts w:ascii="Cambria Math" w:hAnsi="Cambria Math"/>
              </w:rPr>
              <m:t>obs</m:t>
            </m:r>
          </m:sub>
        </m:sSub>
      </m:oMath>
      <w:r>
        <w:t xml:space="preserve">) </w:t>
      </w:r>
      <w:r>
        <w:rPr>
          <w:rFonts w:hint="eastAsia"/>
        </w:rPr>
        <w:t xml:space="preserve">at North </w:t>
      </w:r>
      <w:r>
        <w:rPr>
          <w:rFonts w:hint="eastAsia"/>
        </w:rPr>
        <w:lastRenderedPageBreak/>
        <w:t>Shields and Whitby (</w:t>
      </w:r>
      <w:r>
        <w:t>Eq</w:t>
      </w:r>
      <w:r w:rsidR="00DB3D18">
        <w:t>. 1</w:t>
      </w:r>
      <w:r>
        <w:rPr>
          <w:rFonts w:hint="eastAsia"/>
        </w:rPr>
        <w:t xml:space="preserve">). The resulting gradient </w:t>
      </w:r>
      <m:oMath>
        <m:r>
          <w:rPr>
            <w:rFonts w:ascii="Cambria Math" w:hAnsi="Cambria Math"/>
          </w:rPr>
          <m:t>k</m:t>
        </m:r>
      </m:oMath>
      <w:r>
        <w:t xml:space="preserve"> </w:t>
      </w:r>
      <w:r>
        <w:rPr>
          <w:rFonts w:hint="eastAsia"/>
        </w:rPr>
        <w:t>and intercept</w:t>
      </w:r>
      <w:r>
        <w:t xml:space="preserve"> </w:t>
      </w:r>
      <m:oMath>
        <m:r>
          <w:rPr>
            <w:rFonts w:ascii="Cambria Math" w:hAnsi="Cambria Math"/>
          </w:rPr>
          <m:t>b</m:t>
        </m:r>
      </m:oMath>
      <w:r>
        <w:rPr>
          <w:rFonts w:hint="eastAsia"/>
        </w:rPr>
        <w:t xml:space="preserve"> are applied to the CODEC to get bias-corrected surges </w:t>
      </w:r>
      <w:r>
        <w:t>(</w:t>
      </w:r>
      <m:oMath>
        <m:sSubSup>
          <m:sSubSupPr>
            <m:ctrlPr>
              <w:rPr>
                <w:rFonts w:ascii="Cambria Math" w:hAnsi="Cambria Math"/>
                <w:i/>
                <w:iCs/>
              </w:rPr>
            </m:ctrlPr>
          </m:sSubSupPr>
          <m:e>
            <m:r>
              <w:rPr>
                <w:rFonts w:ascii="Cambria Math" w:hAnsi="Cambria Math"/>
              </w:rPr>
              <m:t>SS</m:t>
            </m:r>
          </m:e>
          <m:sub>
            <m:r>
              <w:rPr>
                <w:rFonts w:ascii="Cambria Math" w:hAnsi="Cambria Math"/>
              </w:rPr>
              <m:t>mod</m:t>
            </m:r>
          </m:sub>
          <m:sup>
            <m:r>
              <w:rPr>
                <w:rFonts w:ascii="Cambria Math" w:hAnsi="Cambria Math"/>
              </w:rPr>
              <m:t>'</m:t>
            </m:r>
          </m:sup>
        </m:sSubSup>
      </m:oMath>
      <w:r>
        <w:t xml:space="preserve">) </w:t>
      </w:r>
      <w:r>
        <w:rPr>
          <w:rFonts w:hint="eastAsia"/>
        </w:rPr>
        <w:t xml:space="preserve">at the previously selected grid node </w:t>
      </w:r>
      <w:r w:rsidR="00821ACF">
        <w:t>for model development</w:t>
      </w:r>
      <w:r>
        <w:rPr>
          <w:rFonts w:hint="eastAsia"/>
        </w:rPr>
        <w:t xml:space="preserve"> (</w:t>
      </w:r>
      <w:r w:rsidR="00DB3D18">
        <w:rPr>
          <w:rFonts w:hint="eastAsia"/>
        </w:rPr>
        <w:t>Eq.</w:t>
      </w:r>
      <w:r w:rsidR="00DB3D18">
        <w:t xml:space="preserve"> 2</w:t>
      </w:r>
      <w:r>
        <w:rPr>
          <w:rFonts w:hint="eastAsia"/>
        </w:rPr>
        <w:t>).</w:t>
      </w:r>
      <w:r w:rsidR="00844C29">
        <w:t xml:space="preserve"> After </w:t>
      </w:r>
      <w:r w:rsidR="007B1482">
        <w:t>correction</w:t>
      </w:r>
      <w:r w:rsidR="00844C29">
        <w:t xml:space="preserve">, the linear regression equation between </w:t>
      </w:r>
      <m:oMath>
        <m:sSubSup>
          <m:sSubSupPr>
            <m:ctrlPr>
              <w:rPr>
                <w:rFonts w:ascii="Cambria Math" w:hAnsi="Cambria Math"/>
                <w:i/>
                <w:iCs/>
              </w:rPr>
            </m:ctrlPr>
          </m:sSubSupPr>
          <m:e>
            <m:r>
              <w:rPr>
                <w:rFonts w:ascii="Cambria Math" w:hAnsi="Cambria Math"/>
              </w:rPr>
              <m:t>SS</m:t>
            </m:r>
          </m:e>
          <m:sub>
            <m:r>
              <w:rPr>
                <w:rFonts w:ascii="Cambria Math" w:hAnsi="Cambria Math"/>
              </w:rPr>
              <m:t>mod</m:t>
            </m:r>
          </m:sub>
          <m:sup>
            <m:r>
              <w:rPr>
                <w:rFonts w:ascii="Cambria Math" w:hAnsi="Cambria Math"/>
              </w:rPr>
              <m:t>'</m:t>
            </m:r>
          </m:sup>
        </m:sSubSup>
      </m:oMath>
      <w:r w:rsidR="00844C29">
        <w:rPr>
          <w:iCs/>
        </w:rPr>
        <w:t xml:space="preserve"> and </w:t>
      </w:r>
      <m:oMath>
        <m:sSub>
          <m:sSubPr>
            <m:ctrlPr>
              <w:rPr>
                <w:rFonts w:ascii="Cambria Math" w:hAnsi="Cambria Math"/>
                <w:i/>
                <w:iCs/>
              </w:rPr>
            </m:ctrlPr>
          </m:sSubPr>
          <m:e>
            <m:r>
              <w:rPr>
                <w:rFonts w:ascii="Cambria Math" w:hAnsi="Cambria Math"/>
              </w:rPr>
              <m:t>SS</m:t>
            </m:r>
          </m:e>
          <m:sub>
            <m:r>
              <w:rPr>
                <w:rFonts w:ascii="Cambria Math" w:hAnsi="Cambria Math"/>
              </w:rPr>
              <m:t>obs</m:t>
            </m:r>
          </m:sub>
        </m:sSub>
      </m:oMath>
      <w:r w:rsidR="00844C29">
        <w:rPr>
          <w:iCs/>
        </w:rPr>
        <w:t xml:space="preserve"> </w:t>
      </w:r>
      <w:r w:rsidR="007B1482">
        <w:rPr>
          <w:iCs/>
        </w:rPr>
        <w:t xml:space="preserve">yielded </w:t>
      </w:r>
      <m:oMath>
        <m:r>
          <w:rPr>
            <w:rFonts w:ascii="Cambria Math" w:hAnsi="Cambria Math"/>
          </w:rPr>
          <m:t>k</m:t>
        </m:r>
      </m:oMath>
      <w:r w:rsidR="007B1482">
        <w:rPr>
          <w:iCs/>
        </w:rPr>
        <w:t xml:space="preserve">=1 and </w:t>
      </w:r>
      <m:oMath>
        <m:r>
          <w:rPr>
            <w:rFonts w:ascii="Cambria Math" w:hAnsi="Cambria Math"/>
          </w:rPr>
          <m:t>b</m:t>
        </m:r>
      </m:oMath>
      <w:r w:rsidR="007B1482">
        <w:rPr>
          <w:iCs/>
        </w:rPr>
        <w:t>=0</w:t>
      </w:r>
      <w:r w:rsidR="00E9699D">
        <w:rPr>
          <w:iCs/>
        </w:rPr>
        <w:t xml:space="preserve"> (</w:t>
      </w:r>
      <w:r w:rsidR="007B1482">
        <w:rPr>
          <w:iCs/>
        </w:rPr>
        <w:t>i.e., the regression line aligns perfectly with the 1:1 diagonal line</w:t>
      </w:r>
      <w:r w:rsidR="00E9699D">
        <w:rPr>
          <w:iCs/>
        </w:rPr>
        <w:t>)</w:t>
      </w:r>
      <w:r w:rsidR="00844C29">
        <w:rPr>
          <w:iCs/>
        </w:rPr>
        <w:t xml:space="preserve">, </w:t>
      </w:r>
      <w:r w:rsidR="007B1482">
        <w:rPr>
          <w:iCs/>
        </w:rPr>
        <w:t>while</w:t>
      </w:r>
      <w:r w:rsidR="00844C29">
        <w:rPr>
          <w:iCs/>
        </w:rPr>
        <w:t xml:space="preserve"> </w:t>
      </w:r>
      <m:oMath>
        <m:r>
          <w:rPr>
            <w:rFonts w:ascii="Cambria Math" w:hAnsi="Cambria Math"/>
          </w:rPr>
          <m:t>ρ</m:t>
        </m:r>
      </m:oMath>
      <w:r w:rsidR="007B1482">
        <w:t xml:space="preserve"> </w:t>
      </w:r>
      <w:r w:rsidR="00844C29">
        <w:t>remains unchanged</w:t>
      </w:r>
      <w:r w:rsidR="00516F5B">
        <w:t xml:space="preserve"> but RMSD slightly increases from 0.</w:t>
      </w:r>
      <w:r w:rsidR="003A0140">
        <w:t xml:space="preserve">10 </w:t>
      </w:r>
      <w:r w:rsidR="00516F5B">
        <w:t>to 0.</w:t>
      </w:r>
      <w:r w:rsidR="003A0140">
        <w:t xml:space="preserve">12 </w:t>
      </w:r>
      <w:r w:rsidR="00516F5B">
        <w:t>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5966"/>
        <w:gridCol w:w="1243"/>
      </w:tblGrid>
      <w:tr w:rsidR="0040051F" w:rsidRPr="007932CF" w14:paraId="4A24828C" w14:textId="77777777" w:rsidTr="001C0690">
        <w:tc>
          <w:tcPr>
            <w:tcW w:w="1103" w:type="dxa"/>
          </w:tcPr>
          <w:p w14:paraId="3A05EC0A" w14:textId="77777777" w:rsidR="0040051F" w:rsidRPr="007932CF" w:rsidRDefault="0040051F" w:rsidP="004B50C1">
            <w:pPr>
              <w:pStyle w:val="Newparagraph"/>
              <w:spacing w:line="360" w:lineRule="auto"/>
              <w:ind w:firstLine="0"/>
              <w:jc w:val="both"/>
            </w:pPr>
          </w:p>
        </w:tc>
        <w:tc>
          <w:tcPr>
            <w:tcW w:w="5966" w:type="dxa"/>
          </w:tcPr>
          <w:p w14:paraId="103D10E8" w14:textId="77777777" w:rsidR="0040051F" w:rsidRPr="007932CF" w:rsidRDefault="00000000" w:rsidP="004B50C1">
            <w:pPr>
              <w:pStyle w:val="Newparagraph"/>
              <w:spacing w:line="360" w:lineRule="auto"/>
              <w:ind w:firstLine="0"/>
              <w:jc w:val="both"/>
              <w:rPr>
                <w:iCs/>
              </w:rPr>
            </w:pPr>
            <m:oMathPara>
              <m:oMath>
                <m:sSub>
                  <m:sSubPr>
                    <m:ctrlPr>
                      <w:rPr>
                        <w:rFonts w:ascii="Cambria Math" w:hAnsi="Cambria Math"/>
                        <w:i/>
                        <w:iCs/>
                      </w:rPr>
                    </m:ctrlPr>
                  </m:sSubPr>
                  <m:e>
                    <m:r>
                      <w:rPr>
                        <w:rFonts w:ascii="Cambria Math" w:hAnsi="Cambria Math"/>
                      </w:rPr>
                      <m:t>SS</m:t>
                    </m:r>
                  </m:e>
                  <m:sub>
                    <m:r>
                      <w:rPr>
                        <w:rFonts w:ascii="Cambria Math" w:hAnsi="Cambria Math"/>
                      </w:rPr>
                      <m:t>mod</m:t>
                    </m:r>
                  </m:sub>
                </m:sSub>
                <m:r>
                  <w:rPr>
                    <w:rFonts w:ascii="Cambria Math" w:hAnsi="Cambria Math"/>
                  </w:rPr>
                  <m:t>=k*</m:t>
                </m:r>
                <m:sSub>
                  <m:sSubPr>
                    <m:ctrlPr>
                      <w:rPr>
                        <w:rFonts w:ascii="Cambria Math" w:hAnsi="Cambria Math"/>
                        <w:i/>
                        <w:iCs/>
                      </w:rPr>
                    </m:ctrlPr>
                  </m:sSubPr>
                  <m:e>
                    <m:r>
                      <w:rPr>
                        <w:rFonts w:ascii="Cambria Math" w:hAnsi="Cambria Math"/>
                      </w:rPr>
                      <m:t>SS</m:t>
                    </m:r>
                  </m:e>
                  <m:sub>
                    <m:r>
                      <w:rPr>
                        <w:rFonts w:ascii="Cambria Math" w:hAnsi="Cambria Math"/>
                      </w:rPr>
                      <m:t>obs</m:t>
                    </m:r>
                  </m:sub>
                </m:sSub>
                <m:r>
                  <w:rPr>
                    <w:rFonts w:ascii="Cambria Math" w:hAnsi="Cambria Math"/>
                  </w:rPr>
                  <m:t>+b</m:t>
                </m:r>
              </m:oMath>
            </m:oMathPara>
          </w:p>
        </w:tc>
        <w:tc>
          <w:tcPr>
            <w:tcW w:w="1243" w:type="dxa"/>
          </w:tcPr>
          <w:p w14:paraId="11BE3C85" w14:textId="3C6B94FF" w:rsidR="0040051F" w:rsidRPr="007932CF" w:rsidRDefault="0040051F" w:rsidP="004B50C1">
            <w:pPr>
              <w:pStyle w:val="Newparagraph"/>
              <w:spacing w:line="360" w:lineRule="auto"/>
              <w:ind w:firstLine="0"/>
              <w:jc w:val="right"/>
            </w:pPr>
            <w:bookmarkStart w:id="0" w:name="_Ref163573842"/>
            <w:bookmarkStart w:id="1" w:name="_Ref163574307"/>
            <w:r w:rsidRPr="007932CF">
              <w:t>(</w:t>
            </w:r>
            <w:bookmarkStart w:id="2" w:name="_Ref163573851"/>
            <w:bookmarkEnd w:id="0"/>
            <w:r w:rsidR="00DB3D18">
              <w:t>1</w:t>
            </w:r>
            <w:r w:rsidRPr="007932CF">
              <w:t>)</w:t>
            </w:r>
            <w:bookmarkEnd w:id="1"/>
            <w:bookmarkEnd w:id="2"/>
          </w:p>
        </w:tc>
      </w:tr>
      <w:tr w:rsidR="0040051F" w:rsidRPr="007932CF" w14:paraId="232D6762" w14:textId="77777777" w:rsidTr="001C0690">
        <w:tc>
          <w:tcPr>
            <w:tcW w:w="1103" w:type="dxa"/>
          </w:tcPr>
          <w:p w14:paraId="75B11297" w14:textId="77777777" w:rsidR="0040051F" w:rsidRPr="007932CF" w:rsidRDefault="0040051F" w:rsidP="004B50C1">
            <w:pPr>
              <w:pStyle w:val="Newparagraph"/>
              <w:spacing w:line="360" w:lineRule="auto"/>
              <w:ind w:firstLine="0"/>
              <w:jc w:val="both"/>
            </w:pPr>
          </w:p>
        </w:tc>
        <w:tc>
          <w:tcPr>
            <w:tcW w:w="5966" w:type="dxa"/>
          </w:tcPr>
          <w:p w14:paraId="252333FA" w14:textId="77777777" w:rsidR="0040051F" w:rsidRPr="007932CF" w:rsidRDefault="00000000" w:rsidP="004B50C1">
            <w:pPr>
              <w:pStyle w:val="Newparagraph"/>
              <w:spacing w:line="360" w:lineRule="auto"/>
              <w:ind w:firstLine="0"/>
              <w:jc w:val="both"/>
            </w:pPr>
            <m:oMathPara>
              <m:oMath>
                <m:sSubSup>
                  <m:sSubSupPr>
                    <m:ctrlPr>
                      <w:rPr>
                        <w:rFonts w:ascii="Cambria Math" w:eastAsia="Times New Roman" w:hAnsi="Cambria Math"/>
                        <w:i/>
                        <w:iCs/>
                      </w:rPr>
                    </m:ctrlPr>
                  </m:sSubSupPr>
                  <m:e>
                    <m:r>
                      <w:rPr>
                        <w:rFonts w:ascii="Cambria Math" w:hAnsi="Cambria Math"/>
                      </w:rPr>
                      <m:t>SS</m:t>
                    </m:r>
                  </m:e>
                  <m:sub>
                    <m:r>
                      <w:rPr>
                        <w:rFonts w:ascii="Cambria Math" w:hAnsi="Cambria Math"/>
                      </w:rPr>
                      <m:t>mod</m:t>
                    </m:r>
                  </m:sub>
                  <m:sup>
                    <m:r>
                      <w:rPr>
                        <w:rFonts w:ascii="Cambria Math" w:hAnsi="Cambria Math"/>
                      </w:rPr>
                      <m:t>'</m:t>
                    </m:r>
                  </m:sup>
                </m:sSubSup>
                <m:r>
                  <w:rPr>
                    <w:rFonts w:ascii="Cambria Math" w:hAnsi="Cambria Math"/>
                  </w:rPr>
                  <m:t>=(</m:t>
                </m:r>
                <m:sSub>
                  <m:sSubPr>
                    <m:ctrlPr>
                      <w:rPr>
                        <w:rFonts w:ascii="Cambria Math" w:hAnsi="Cambria Math"/>
                        <w:i/>
                        <w:iCs/>
                      </w:rPr>
                    </m:ctrlPr>
                  </m:sSubPr>
                  <m:e>
                    <m:r>
                      <w:rPr>
                        <w:rFonts w:ascii="Cambria Math" w:hAnsi="Cambria Math"/>
                      </w:rPr>
                      <m:t>SS</m:t>
                    </m:r>
                  </m:e>
                  <m:sub>
                    <m:r>
                      <w:rPr>
                        <w:rFonts w:ascii="Cambria Math" w:hAnsi="Cambria Math"/>
                      </w:rPr>
                      <m:t>mod</m:t>
                    </m:r>
                  </m:sub>
                </m:sSub>
                <m:r>
                  <w:rPr>
                    <w:rFonts w:ascii="Cambria Math" w:hAnsi="Cambria Math"/>
                  </w:rPr>
                  <m:t>-b)/k</m:t>
                </m:r>
              </m:oMath>
            </m:oMathPara>
          </w:p>
        </w:tc>
        <w:tc>
          <w:tcPr>
            <w:tcW w:w="1243" w:type="dxa"/>
          </w:tcPr>
          <w:p w14:paraId="528DC0E1" w14:textId="6CC908CD" w:rsidR="0040051F" w:rsidRPr="007932CF" w:rsidRDefault="0040051F" w:rsidP="004B50C1">
            <w:pPr>
              <w:pStyle w:val="Newparagraph"/>
              <w:spacing w:line="360" w:lineRule="auto"/>
              <w:ind w:firstLine="0"/>
              <w:jc w:val="right"/>
            </w:pPr>
            <w:bookmarkStart w:id="3" w:name="_Ref163635431"/>
            <w:r w:rsidRPr="007932CF">
              <w:t>(</w:t>
            </w:r>
            <w:r w:rsidR="00DB3D18">
              <w:t>2</w:t>
            </w:r>
            <w:r w:rsidRPr="007932CF">
              <w:t>)</w:t>
            </w:r>
            <w:bookmarkEnd w:id="3"/>
          </w:p>
        </w:tc>
      </w:tr>
    </w:tbl>
    <w:p w14:paraId="054955CC" w14:textId="77777777" w:rsidR="00DD6BCA" w:rsidRPr="00AF3A3D" w:rsidRDefault="00DD6BCA" w:rsidP="00DA52D3"/>
    <w:p w14:paraId="33E9A536" w14:textId="3742E570" w:rsidR="003D7D26" w:rsidRPr="00DA52D3" w:rsidRDefault="003D7D26" w:rsidP="003D7D26">
      <w:pPr>
        <w:pStyle w:val="Paragraph"/>
        <w:rPr>
          <w:b/>
          <w:bCs/>
        </w:rPr>
      </w:pPr>
      <w:bookmarkStart w:id="4" w:name="_Ref167376909"/>
      <w:bookmarkStart w:id="5" w:name="_Toc167626426"/>
      <w:r w:rsidRPr="00DA52D3">
        <w:rPr>
          <w:b/>
          <w:bCs/>
        </w:rPr>
        <w:t>2.3 Statistical downscaling</w:t>
      </w:r>
      <w:bookmarkEnd w:id="4"/>
      <w:bookmarkEnd w:id="5"/>
    </w:p>
    <w:p w14:paraId="408D46B2" w14:textId="1507FEF5" w:rsidR="00351EF1" w:rsidRDefault="00351EF1" w:rsidP="00351EF1">
      <w:pPr>
        <w:pStyle w:val="Paragraph"/>
      </w:pPr>
      <w:r w:rsidRPr="00E947E7">
        <w:t xml:space="preserve">The </w:t>
      </w:r>
      <w:r>
        <w:t>SD</w:t>
      </w:r>
      <w:r w:rsidRPr="00E947E7">
        <w:t xml:space="preserve"> </w:t>
      </w:r>
      <w:r w:rsidR="00AC0DF6">
        <w:t>model</w:t>
      </w:r>
      <w:r w:rsidR="00AC0DF6" w:rsidRPr="00E947E7">
        <w:t xml:space="preserve"> </w:t>
      </w:r>
      <w:r w:rsidRPr="00E947E7">
        <w:t>applied herein is based on the weather</w:t>
      </w:r>
      <w:r>
        <w:t xml:space="preserve"> </w:t>
      </w:r>
      <w:r w:rsidRPr="00E947E7">
        <w:t>typ</w:t>
      </w:r>
      <w:r>
        <w:t>ing</w:t>
      </w:r>
      <w:r w:rsidRPr="00E947E7">
        <w:t xml:space="preserve"> </w:t>
      </w:r>
      <w:r w:rsidR="00AC0DF6">
        <w:t>method</w:t>
      </w:r>
      <w:r w:rsidRPr="00E947E7">
        <w:t xml:space="preserve"> </w:t>
      </w:r>
      <w:r w:rsidR="009B4BE7">
        <w:t xml:space="preserve">developed by </w:t>
      </w:r>
      <w:r w:rsidR="000A3F9F">
        <w:fldChar w:fldCharType="begin"/>
      </w:r>
      <w:r w:rsidR="00654B0F">
        <w:instrText xml:space="preserve"> ADDIN ZOTERO_ITEM CSL_CITATION {"citationID":"T7BNZoAL","properties":{"custom":"Camus et al. (2014b, 2016)","formattedCitation":"Camus et al. (2014b, 2016)","plainCitation":"Camus et al. (2014b, 2016)","noteIndex":0},"citationItems":[{"id":246,"uris":["http://zotero.org/users/10288439/items/2U8Q7KBN"],"itemData":{"id":246,"type":"article-journal","container-title":"Journal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J."},{"family":"Medina","given":"Raúl"}],"issued":{"date-parts":[["2014",11]]}},"label":"page"},{"id":411,"uris":["http://zotero.org/users/10288439/items/W39KXC6S"],"itemData":{"id":411,"type":"article-journal","abstract":"A regression-guided classification is implemented in statistical downscaling models based on weather types for downscaling multivariate wave climate and modelling extreme events. The semi-supervised method classifies the atmospheric circulation conditions (predictor) and the estimations from a regression model linking the circulation with local marine climate (filtered predictand). A weighted factor controls the influence of the predictor and predictand in the weather patterns to improve the performance of the classification to reflect local marine climate characteristics. In addition to the analysis of the variance explained by the predictor and the predictand, the selection of the optimal value of the weighted factor is based on the predictand response in order to avoid subjectivity in the solution. The statistical models using the guided classification are applied in the North Atlantic. The new technique reduces the dispersion of the multivariate predictand within weather types and improves the model skill to downscale waves and to reproduce extremes.","container-title":"Ocean Dynamics","DOI":"10.1007/s10236-016-1004-5","ISSN":"1616-7228","issue":"12","journalAbbreviation":"Ocean Dynamics","language":"en","note":"rate: 5","page":"1589-1601","source":"Springer Link","title":"An atmospheric-to-marine synoptic classification for statistical downscaling marine climate","volume":"66","author":[{"family":"Camus","given":"Paula"},{"family":"Rueda","given":"Ana"},{"family":"Méndez","given":"Fernando J."},{"family":"Losada","given":"Iñigo J."}],"issued":{"date-parts":[["2016",12,1]]}},"label":"page"}],"schema":"https://github.com/citation-style-language/schema/raw/master/csl-citation.json"} </w:instrText>
      </w:r>
      <w:r w:rsidR="000A3F9F">
        <w:fldChar w:fldCharType="separate"/>
      </w:r>
      <w:r w:rsidR="00654B0F" w:rsidRPr="00654B0F">
        <w:t>Camus et al. (2014b, 2016)</w:t>
      </w:r>
      <w:r w:rsidR="000A3F9F">
        <w:fldChar w:fldCharType="end"/>
      </w:r>
      <w:r>
        <w:t xml:space="preserve"> </w:t>
      </w:r>
      <w:r w:rsidRPr="00E947E7">
        <w:t>which embraces several data mining techniques</w:t>
      </w:r>
      <w:r w:rsidR="009B4BE7">
        <w:t xml:space="preserve">. An overview of the </w:t>
      </w:r>
      <w:r w:rsidR="00AC0DF6">
        <w:t>method</w:t>
      </w:r>
      <w:r w:rsidR="009B4BE7">
        <w:t xml:space="preserve"> is shown in </w:t>
      </w:r>
      <w:r w:rsidR="00E53CFD">
        <w:t>Fig. 2</w:t>
      </w:r>
      <w:r>
        <w:t>.</w:t>
      </w:r>
      <w:r w:rsidRPr="00C9694C">
        <w:t xml:space="preserve"> </w:t>
      </w:r>
      <w:r>
        <w:t xml:space="preserve">The method produces a set of daily </w:t>
      </w:r>
      <w:r>
        <w:rPr>
          <w:rFonts w:hint="eastAsia"/>
          <w:lang w:eastAsia="zh-CN"/>
        </w:rPr>
        <w:t>synoptic</w:t>
      </w:r>
      <w:r>
        <w:t xml:space="preserve"> circulation patterns (known as weather types) </w:t>
      </w:r>
      <w:r w:rsidR="00185015">
        <w:t>along</w:t>
      </w:r>
      <w:r>
        <w:t xml:space="preserve"> with the </w:t>
      </w:r>
      <w:r w:rsidR="00185015">
        <w:t>corresponding</w:t>
      </w:r>
      <w:r>
        <w:t xml:space="preserve"> </w:t>
      </w:r>
      <w:r w:rsidR="00DD6BCA">
        <w:t xml:space="preserve">empirical </w:t>
      </w:r>
      <w:r>
        <w:t>distributions of local predictands</w:t>
      </w:r>
      <w:r w:rsidR="00D43A2F">
        <w:t xml:space="preserve"> (</w:t>
      </w:r>
      <w:r w:rsidR="000D1FC7">
        <w:t>i.e., wave and storm surge variables</w:t>
      </w:r>
      <w:r w:rsidR="00091B43">
        <w:t xml:space="preserve"> at Hartlepool</w:t>
      </w:r>
      <w:r w:rsidR="00D43A2F">
        <w:t>)</w:t>
      </w:r>
      <w:r>
        <w:t>.</w:t>
      </w:r>
    </w:p>
    <w:p w14:paraId="06DDF9D4" w14:textId="13C69078" w:rsidR="00351EF1" w:rsidRDefault="00F211E3" w:rsidP="00351EF1">
      <w:pPr>
        <w:pStyle w:val="Newparagraph"/>
        <w:ind w:firstLine="0"/>
        <w:jc w:val="center"/>
      </w:pPr>
      <w:r>
        <w:rPr>
          <w:noProof/>
        </w:rPr>
        <w:lastRenderedPageBreak/>
        <w:pict w14:anchorId="76628D2E">
          <v:shape id="_x0000_i1026" type="#_x0000_t75" style="width:434.25pt;height:429pt">
            <v:imagedata r:id="rId11" o:title="Weather typing flowchar v2"/>
          </v:shape>
        </w:pict>
      </w:r>
    </w:p>
    <w:p w14:paraId="58A1F36A" w14:textId="43A10789" w:rsidR="00351EF1" w:rsidRDefault="00351EF1" w:rsidP="00A40AFF">
      <w:pPr>
        <w:pStyle w:val="Paragraph"/>
      </w:pPr>
      <w:r w:rsidRPr="00A545D0">
        <w:rPr>
          <w:b/>
          <w:bCs/>
        </w:rPr>
        <w:t>Fig. 2</w:t>
      </w:r>
      <w:r w:rsidRPr="00351EF1">
        <w:t xml:space="preserve"> Flowchart of the weather typing </w:t>
      </w:r>
      <w:r w:rsidR="00AC0DF6">
        <w:t>method</w:t>
      </w:r>
      <w:r w:rsidR="00AC0DF6" w:rsidRPr="00351EF1">
        <w:t xml:space="preserve"> </w:t>
      </w:r>
      <w:r w:rsidRPr="00351EF1">
        <w:t xml:space="preserve">based on </w:t>
      </w:r>
      <w:r w:rsidR="00A545D0">
        <w:fldChar w:fldCharType="begin"/>
      </w:r>
      <w:r w:rsidR="00654B0F">
        <w:instrText xml:space="preserve"> ADDIN ZOTERO_ITEM CSL_CITATION {"citationID":"wAlq51tD","properties":{"custom":"Camus et al. (2014b)","formattedCitation":"Camus et al. (2014b)","plainCitation":"Camus et al. (2014b)","noteIndex":0},"citationItems":[{"id":246,"uris":["http://zotero.org/users/10288439/items/2U8Q7KBN"],"itemData":{"id":246,"type":"article-journal","container-title":"Journal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J."},{"family":"Medina","given":"Raúl"}],"issued":{"date-parts":[["2014",11]]}}}],"schema":"https://github.com/citation-style-language/schema/raw/master/csl-citation.json"} </w:instrText>
      </w:r>
      <w:r w:rsidR="00A545D0">
        <w:fldChar w:fldCharType="separate"/>
      </w:r>
      <w:r w:rsidR="00654B0F" w:rsidRPr="00654B0F">
        <w:t>Camus et al. (2014b)</w:t>
      </w:r>
      <w:r w:rsidR="00A545D0">
        <w:fldChar w:fldCharType="end"/>
      </w:r>
      <w:r w:rsidRPr="00351EF1">
        <w:t>. Symbols and equations are explained in detail in Section 2</w:t>
      </w:r>
      <w:r w:rsidR="00F550C6">
        <w:t>.</w:t>
      </w:r>
    </w:p>
    <w:p w14:paraId="7D99E856" w14:textId="77777777" w:rsidR="009E7773" w:rsidRPr="009E7773" w:rsidRDefault="009E7773" w:rsidP="009E7773">
      <w:pPr>
        <w:rPr>
          <w:lang w:val="en-GB" w:eastAsia="en-GB"/>
        </w:rPr>
      </w:pPr>
    </w:p>
    <w:p w14:paraId="60919C8B" w14:textId="234F0989" w:rsidR="003D7D26" w:rsidRPr="00DA52D3" w:rsidRDefault="003D7D26" w:rsidP="003D7D26">
      <w:pPr>
        <w:rPr>
          <w:b/>
          <w:bCs/>
          <w:lang w:val="en-GB" w:eastAsia="en-GB"/>
        </w:rPr>
      </w:pPr>
      <w:r w:rsidRPr="00DA52D3">
        <w:rPr>
          <w:b/>
          <w:bCs/>
          <w:lang w:val="en-GB" w:eastAsia="en-GB"/>
        </w:rPr>
        <w:t>2.3.1</w:t>
      </w:r>
      <w:r w:rsidRPr="00DA52D3">
        <w:rPr>
          <w:b/>
          <w:bCs/>
          <w:lang w:val="en-GB" w:eastAsia="en-GB"/>
        </w:rPr>
        <w:tab/>
        <w:t>Developing weather types</w:t>
      </w:r>
    </w:p>
    <w:p w14:paraId="0BC080E7" w14:textId="72B5D3E3" w:rsidR="00351EF1" w:rsidRDefault="00351EF1" w:rsidP="00351EF1">
      <w:pPr>
        <w:pStyle w:val="Paragraph"/>
      </w:pPr>
      <w:r>
        <w:t>The predictors are defined by 2</w:t>
      </w:r>
      <w:r w:rsidRPr="0092042F">
        <w:t>°</w:t>
      </w:r>
      <w:r>
        <w:t xml:space="preserve"> daily mean SLP and SLPG fields </w:t>
      </w:r>
      <w:r w:rsidRPr="0092042F">
        <w:t xml:space="preserve">with a </w:t>
      </w:r>
      <w:r>
        <w:t>spatial domain</w:t>
      </w:r>
      <w:r w:rsidRPr="0092042F">
        <w:t xml:space="preserve"> spanning from 2</w:t>
      </w:r>
      <w:r>
        <w:t>6</w:t>
      </w:r>
      <w:r w:rsidRPr="0092042F">
        <w:t>°N to 7</w:t>
      </w:r>
      <w:r>
        <w:t>6</w:t>
      </w:r>
      <w:r w:rsidRPr="0092042F">
        <w:t xml:space="preserve">°N and from </w:t>
      </w:r>
      <w:r>
        <w:t>40</w:t>
      </w:r>
      <w:r w:rsidRPr="0092042F">
        <w:t xml:space="preserve">°W to </w:t>
      </w:r>
      <w:r>
        <w:t>3</w:t>
      </w:r>
      <w:r w:rsidRPr="0092042F">
        <w:t>0°E in the North Atlantic Ocean</w:t>
      </w:r>
      <w:r>
        <w:t xml:space="preserve"> (see Domain 2 in </w:t>
      </w:r>
      <w:r w:rsidR="00E53CFD">
        <w:t xml:space="preserve">Fig. </w:t>
      </w:r>
      <w:r>
        <w:t xml:space="preserve">S1). To account for the latest weather conditions responsible for generating waves and storm surges, the predictors are averaged over 4 days to represent the </w:t>
      </w:r>
      <w:r>
        <w:lastRenderedPageBreak/>
        <w:t xml:space="preserve">overall conditions </w:t>
      </w:r>
      <w:r w:rsidR="009670AB">
        <w:t>over</w:t>
      </w:r>
      <w:r>
        <w:t xml:space="preserve"> a given day and its preceding 3 days. The definition of predictors is important in the first place to ensure the validity and robustness of the weather typing model. The sensitivity of the model to different predictor definitions is tested in terms of the choice of </w:t>
      </w:r>
      <w:r w:rsidR="007D51AF">
        <w:t>predictor variable</w:t>
      </w:r>
      <w:r>
        <w:t>, the temporal coverage (</w:t>
      </w:r>
      <w:r w:rsidRPr="00077044">
        <w:t>i.e.,</w:t>
      </w:r>
      <w:r>
        <w:t xml:space="preserve"> the number of days averaged)</w:t>
      </w:r>
      <w:r w:rsidR="00D7631C">
        <w:t>,</w:t>
      </w:r>
      <w:r w:rsidR="00D7631C" w:rsidRPr="00D7631C">
        <w:t xml:space="preserve"> </w:t>
      </w:r>
      <w:r w:rsidR="00D7631C">
        <w:t>and the spatial domain</w:t>
      </w:r>
      <w:r>
        <w:t xml:space="preserve">. </w:t>
      </w:r>
      <w:r w:rsidRPr="006A2F4B">
        <w:t>The daily predictor</w:t>
      </w:r>
      <w:r>
        <w:t>s</w:t>
      </w:r>
      <w:r w:rsidRPr="006A2F4B">
        <w:t xml:space="preserve"> </w:t>
      </w:r>
      <w:r>
        <w:t>are</w:t>
      </w:r>
      <w:r w:rsidRPr="006A2F4B">
        <w:t xml:space="preserve"> then standardi</w:t>
      </w:r>
      <w:r>
        <w:t>s</w:t>
      </w:r>
      <w:r w:rsidRPr="006A2F4B">
        <w:t>ed to have a mean of 0 and a standard deviation of 1, followed by a principal component analysis (PCA).</w:t>
      </w:r>
    </w:p>
    <w:p w14:paraId="731DE3D3" w14:textId="7A5060AB" w:rsidR="00351EF1" w:rsidRDefault="00351EF1" w:rsidP="00351EF1">
      <w:pPr>
        <w:pStyle w:val="Paragraph"/>
      </w:pPr>
      <w:r w:rsidRPr="00F273A1">
        <w:t xml:space="preserve">PCA is a widely used statistical technique to reduce the dimensionality of complex data and </w:t>
      </w:r>
      <w:r w:rsidR="009670AB">
        <w:t>reveal</w:t>
      </w:r>
      <w:r w:rsidRPr="00F273A1">
        <w:t xml:space="preserve"> underlying patterns. PCA identifies the directions in which the variance of the data is maximised, which are defined by the eigenvectors (known as Empirical Orthogonal Functions</w:t>
      </w:r>
      <w:r>
        <w:t xml:space="preserve"> </w:t>
      </w:r>
      <w:r w:rsidRPr="00F273A1">
        <w:t>or EOFs) of the data covariance matrix with the eigenvalue representing the associated explained variance</w:t>
      </w:r>
      <w:r w:rsidR="00D41F79">
        <w:t xml:space="preserve"> </w:t>
      </w:r>
      <w:r w:rsidR="00D41F79">
        <w:fldChar w:fldCharType="begin"/>
      </w:r>
      <w:r w:rsidR="00D41F79">
        <w:instrText xml:space="preserve"> ADDIN ZOTERO_ITEM CSL_CITATION {"citationID":"FrzohEp7","properties":{"formattedCitation":"(Jolliffe and Cadima 2016)","plainCitation":"(Jolliffe and Cadima 2016)","noteIndex":0},"citationItems":[{"id":964,"uris":["http://zotero.org/users/10288439/items/36CJSKQV"],"itemData":{"id":964,"type":"article-journal","abstract":"Large datasets are increasingly common and are often difficult to interpret. Principal component analysis (PCA) is a technique for reducing the dimensionality of such datasets, increasing interpretability but at the same time minimizing information loss. It does so by creating new uncorrelated variables that successively maximize variance. Finding such new variables, the principal components, reduces to solving an eigenvalue/eigenvector problem, and the new variables are defined by the dataset at hand, not a priori, hence making PCA an adaptive data analysis technique. It is adaptive in another sense too, since variants of the technique have been developed that are tailored to various different data types and structures. This article will begin by introducing the basic ideas of PCA, discussing what it can and cannot do. It will then describe some variants of PCA and their application.","container-title":"Philosophical transactions. Series A, Mathematical, physical, and engineering sciences","DOI":"10.1098/rsta.2015.0202","ISSN":"1364-503X","issue":"2065","journalAbbreviation":"Philos Trans A Math Phys Eng Sci","note":"PMID: 26953178\nPMCID: PMC4792409","page":"20150202","source":"PubMed Central","title":"Principal component analysis: a review and recent developments","title-short":"Principal component analysis","volume":"374","author":[{"family":"Jolliffe","given":"Ian T."},{"family":"Cadima","given":"Jorge"}],"issued":{"date-parts":[["2016",4,13]]}}}],"schema":"https://github.com/citation-style-language/schema/raw/master/csl-citation.json"} </w:instrText>
      </w:r>
      <w:r w:rsidR="00D41F79">
        <w:fldChar w:fldCharType="separate"/>
      </w:r>
      <w:r w:rsidR="00D41F79" w:rsidRPr="00D41F79">
        <w:t>(Jolliffe and Cadima 2016)</w:t>
      </w:r>
      <w:r w:rsidR="00D41F79">
        <w:fldChar w:fldCharType="end"/>
      </w:r>
      <w:r w:rsidRPr="00F273A1">
        <w:t xml:space="preserve">. The projected data onto each vector </w:t>
      </w:r>
      <w:r>
        <w:t>are</w:t>
      </w:r>
      <w:r w:rsidRPr="00F273A1">
        <w:t xml:space="preserve"> </w:t>
      </w:r>
      <w:r w:rsidR="009670AB">
        <w:t xml:space="preserve">referred to as </w:t>
      </w:r>
      <w:r w:rsidRPr="00F273A1">
        <w:t xml:space="preserve">the </w:t>
      </w:r>
      <w:r w:rsidR="009670AB">
        <w:t>p</w:t>
      </w:r>
      <w:r w:rsidRPr="00F273A1">
        <w:t xml:space="preserve">rincipal </w:t>
      </w:r>
      <w:r w:rsidR="009670AB">
        <w:t>c</w:t>
      </w:r>
      <w:r w:rsidRPr="00F273A1">
        <w:t>omponent</w:t>
      </w:r>
      <w:r w:rsidR="009670AB">
        <w:t>s</w:t>
      </w:r>
      <w:r w:rsidRPr="00F273A1">
        <w:t xml:space="preserve"> (PC). The original dataset </w:t>
      </w:r>
      <w:r w:rsidRPr="00F273A1">
        <w:rPr>
          <w:rFonts w:ascii="Cambria Math" w:hAnsi="Cambria Math" w:cs="Cambria Math"/>
        </w:rPr>
        <w:t>𝑋</w:t>
      </w:r>
      <w:r w:rsidRPr="00F273A1">
        <w:t xml:space="preserve"> can then be reconstructed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351EF1" w:rsidRPr="007932CF" w14:paraId="509AD9ED" w14:textId="77777777" w:rsidTr="004B50C1">
        <w:tc>
          <w:tcPr>
            <w:tcW w:w="1129" w:type="dxa"/>
            <w:vAlign w:val="center"/>
          </w:tcPr>
          <w:p w14:paraId="5CBA018C" w14:textId="77777777" w:rsidR="00351EF1" w:rsidRPr="007932CF" w:rsidRDefault="00351EF1" w:rsidP="004B50C1">
            <w:pPr>
              <w:pStyle w:val="Newparagraph"/>
              <w:spacing w:line="360" w:lineRule="auto"/>
              <w:ind w:firstLine="0"/>
              <w:jc w:val="right"/>
            </w:pPr>
          </w:p>
        </w:tc>
        <w:tc>
          <w:tcPr>
            <w:tcW w:w="6096" w:type="dxa"/>
            <w:vAlign w:val="center"/>
          </w:tcPr>
          <w:p w14:paraId="66DA4747" w14:textId="77777777" w:rsidR="00351EF1" w:rsidRPr="007932CF" w:rsidRDefault="00351EF1" w:rsidP="004B50C1">
            <w:pPr>
              <w:pStyle w:val="Newparagraph"/>
              <w:spacing w:line="360" w:lineRule="auto"/>
              <w:ind w:firstLine="0"/>
              <w:jc w:val="right"/>
              <w:rPr>
                <w:iCs/>
              </w:rPr>
            </w:pPr>
            <m:oMathPara>
              <m:oMath>
                <m:r>
                  <w:rPr>
                    <w:rFonts w:ascii="Cambria Math" w:hAnsi="Cambria Math"/>
                    <w:color w:val="000000" w:themeColor="text1"/>
                    <w:spacing w:val="1"/>
                  </w:rPr>
                  <m:t>X=</m:t>
                </m:r>
                <m:nary>
                  <m:naryPr>
                    <m:chr m:val="∑"/>
                    <m:limLoc m:val="undOvr"/>
                    <m:ctrlPr>
                      <w:rPr>
                        <w:rFonts w:ascii="Cambria Math" w:hAnsi="Cambria Math"/>
                        <w:color w:val="000000" w:themeColor="text1"/>
                        <w:spacing w:val="1"/>
                      </w:rPr>
                    </m:ctrlPr>
                  </m:naryPr>
                  <m:sub>
                    <m:r>
                      <w:rPr>
                        <w:rFonts w:ascii="Cambria Math" w:hAnsi="Cambria Math"/>
                        <w:color w:val="000000" w:themeColor="text1"/>
                        <w:spacing w:val="1"/>
                      </w:rPr>
                      <m:t>i=1</m:t>
                    </m:r>
                  </m:sub>
                  <m:sup>
                    <m:r>
                      <w:rPr>
                        <w:rFonts w:ascii="Cambria Math" w:hAnsi="Cambria Math"/>
                        <w:color w:val="000000" w:themeColor="text1"/>
                        <w:spacing w:val="1"/>
                      </w:rPr>
                      <m:t>n</m:t>
                    </m:r>
                  </m:sup>
                  <m:e>
                    <m:sSub>
                      <m:sSubPr>
                        <m:ctrlPr>
                          <w:rPr>
                            <w:rFonts w:ascii="Cambria Math" w:hAnsi="Cambria Math"/>
                            <w:color w:val="000000" w:themeColor="text1"/>
                            <w:spacing w:val="1"/>
                          </w:rPr>
                        </m:ctrlPr>
                      </m:sSubPr>
                      <m:e>
                        <m:r>
                          <w:rPr>
                            <w:rFonts w:ascii="Cambria Math" w:hAnsi="Cambria Math"/>
                            <w:color w:val="000000" w:themeColor="text1"/>
                            <w:spacing w:val="1"/>
                          </w:rPr>
                          <m:t>EOF</m:t>
                        </m:r>
                      </m:e>
                      <m:sub>
                        <m:r>
                          <w:rPr>
                            <w:rFonts w:ascii="Cambria Math" w:hAnsi="Cambria Math"/>
                            <w:color w:val="000000" w:themeColor="text1"/>
                            <w:spacing w:val="1"/>
                          </w:rPr>
                          <m:t>i</m:t>
                        </m:r>
                      </m:sub>
                    </m:sSub>
                    <m:r>
                      <w:rPr>
                        <w:rFonts w:ascii="Cambria Math" w:hAnsi="Cambria Math"/>
                        <w:color w:val="000000" w:themeColor="text1"/>
                        <w:spacing w:val="1"/>
                      </w:rPr>
                      <m:t>∙</m:t>
                    </m:r>
                    <m:sSub>
                      <m:sSubPr>
                        <m:ctrlPr>
                          <w:rPr>
                            <w:rFonts w:ascii="Cambria Math" w:hAnsi="Cambria Math"/>
                            <w:color w:val="000000" w:themeColor="text1"/>
                            <w:spacing w:val="1"/>
                          </w:rPr>
                        </m:ctrlPr>
                      </m:sSubPr>
                      <m:e>
                        <m:r>
                          <w:rPr>
                            <w:rFonts w:ascii="Cambria Math" w:hAnsi="Cambria Math"/>
                            <w:color w:val="000000" w:themeColor="text1"/>
                            <w:spacing w:val="1"/>
                          </w:rPr>
                          <m:t>PC</m:t>
                        </m:r>
                      </m:e>
                      <m:sub>
                        <m:r>
                          <w:rPr>
                            <w:rFonts w:ascii="Cambria Math" w:hAnsi="Cambria Math"/>
                            <w:color w:val="000000" w:themeColor="text1"/>
                            <w:spacing w:val="1"/>
                          </w:rPr>
                          <m:t>i</m:t>
                        </m:r>
                      </m:sub>
                    </m:sSub>
                  </m:e>
                </m:nary>
              </m:oMath>
            </m:oMathPara>
          </w:p>
        </w:tc>
        <w:tc>
          <w:tcPr>
            <w:tcW w:w="1264" w:type="dxa"/>
            <w:vAlign w:val="center"/>
          </w:tcPr>
          <w:p w14:paraId="5EED4C74" w14:textId="4A4A38AA" w:rsidR="00351EF1" w:rsidRPr="007932CF" w:rsidRDefault="00351EF1" w:rsidP="004B50C1">
            <w:pPr>
              <w:pStyle w:val="Newparagraph"/>
              <w:spacing w:line="360" w:lineRule="auto"/>
              <w:ind w:firstLine="0"/>
              <w:jc w:val="right"/>
            </w:pPr>
            <w:r w:rsidRPr="007932CF">
              <w:t>(</w:t>
            </w:r>
            <w:r w:rsidR="00DB3D18">
              <w:t>3</w:t>
            </w:r>
            <w:r w:rsidRPr="007932CF">
              <w:t>)</w:t>
            </w:r>
          </w:p>
        </w:tc>
      </w:tr>
    </w:tbl>
    <w:p w14:paraId="5FA7467E" w14:textId="20EC2B3B" w:rsidR="00351EF1" w:rsidRDefault="00351EF1" w:rsidP="00351EF1">
      <w:pPr>
        <w:pStyle w:val="Paragraph"/>
      </w:pPr>
      <w:r>
        <w:t xml:space="preserve">where </w:t>
      </w:r>
      <m:oMath>
        <m:r>
          <w:rPr>
            <w:rFonts w:ascii="Cambria Math" w:hAnsi="Cambria Math"/>
          </w:rPr>
          <m:t>n</m:t>
        </m:r>
      </m:oMath>
      <w:r>
        <w:t xml:space="preserve"> is the total dimension of dataset </w:t>
      </w:r>
      <m:oMath>
        <m:r>
          <w:rPr>
            <w:rFonts w:ascii="Cambria Math" w:hAnsi="Cambria Math"/>
          </w:rPr>
          <m:t>X</m:t>
        </m:r>
      </m:oMath>
      <w:r>
        <w:t xml:space="preserve">. </w:t>
      </w:r>
      <w:r w:rsidRPr="00734ADB">
        <w:t xml:space="preserve">The PCs are sorted in decreasing order of explained variance, </w:t>
      </w:r>
      <w:r w:rsidR="0006460F">
        <w:t>with</w:t>
      </w:r>
      <w:r w:rsidRPr="00734ADB">
        <w:t xml:space="preserve"> the first PC explain</w:t>
      </w:r>
      <w:r w:rsidR="0006460F">
        <w:t>ing</w:t>
      </w:r>
      <w:r w:rsidRPr="00734ADB">
        <w:t xml:space="preserve"> the most data variance </w:t>
      </w:r>
      <w:r w:rsidR="0006460F">
        <w:t>and</w:t>
      </w:r>
      <w:r w:rsidRPr="00734ADB">
        <w:t xml:space="preserve"> each subsequent PC explain</w:t>
      </w:r>
      <w:r w:rsidR="0006460F">
        <w:t>ing</w:t>
      </w:r>
      <w:r w:rsidRPr="00734ADB">
        <w:t xml:space="preserve"> progressively less</w:t>
      </w:r>
      <w:r>
        <w:t xml:space="preserve">. </w:t>
      </w:r>
      <w:r w:rsidRPr="00711EAB">
        <w:t xml:space="preserve">As such, it is </w:t>
      </w:r>
      <w:r w:rsidR="00BD0BA3" w:rsidRPr="00711EAB">
        <w:t>valid</w:t>
      </w:r>
      <w:r w:rsidRPr="00711EAB">
        <w:t xml:space="preserve"> to use a reduced number of PCs (</w:t>
      </w:r>
      <w:r w:rsidRPr="00077044">
        <w:t>i.e.,</w:t>
      </w:r>
      <w:r w:rsidRPr="00711EAB">
        <w:t xml:space="preserve"> the first </w:t>
      </w:r>
      <w:r w:rsidRPr="00711EAB">
        <w:rPr>
          <w:i/>
          <w:iCs/>
        </w:rPr>
        <w:t>d</w:t>
      </w:r>
      <w:r w:rsidRPr="00711EAB">
        <w:t xml:space="preserve"> PCs; </w:t>
      </w:r>
      <w:r w:rsidR="00DB3D18">
        <w:t>Eq. 4</w:t>
      </w:r>
      <w:r>
        <w:t>)</w:t>
      </w:r>
      <w:r w:rsidRPr="00711EAB">
        <w:t xml:space="preserve"> and the corresponding EOFs to represent the original dataset.</w:t>
      </w:r>
      <w:r>
        <w:t xml:space="preserve"> </w:t>
      </w:r>
      <w:r w:rsidR="0006460F">
        <w:t>Typically</w:t>
      </w:r>
      <w:r>
        <w:t>, PCs explain</w:t>
      </w:r>
      <w:r w:rsidR="0006460F">
        <w:t>ing</w:t>
      </w:r>
      <w:r>
        <w:t xml:space="preserve"> 95% of data variance are selected.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351EF1" w:rsidRPr="007932CF" w14:paraId="154F0805" w14:textId="77777777" w:rsidTr="004B50C1">
        <w:tc>
          <w:tcPr>
            <w:tcW w:w="1129" w:type="dxa"/>
          </w:tcPr>
          <w:p w14:paraId="2F48311B" w14:textId="77777777" w:rsidR="00351EF1" w:rsidRPr="007932CF" w:rsidRDefault="00351EF1" w:rsidP="004B50C1">
            <w:pPr>
              <w:pStyle w:val="Newparagraph"/>
              <w:spacing w:line="360" w:lineRule="auto"/>
              <w:ind w:firstLine="0"/>
              <w:jc w:val="both"/>
            </w:pPr>
          </w:p>
        </w:tc>
        <w:tc>
          <w:tcPr>
            <w:tcW w:w="6096" w:type="dxa"/>
          </w:tcPr>
          <w:p w14:paraId="7F90B0C5" w14:textId="77777777" w:rsidR="00351EF1" w:rsidRPr="007932CF" w:rsidRDefault="00000000" w:rsidP="004B50C1">
            <w:pPr>
              <w:pStyle w:val="Newparagraph"/>
              <w:spacing w:line="360" w:lineRule="auto"/>
              <w:ind w:firstLine="0"/>
              <w:jc w:val="both"/>
              <w:rPr>
                <w:iCs/>
              </w:rPr>
            </w:pPr>
            <m:oMathPara>
              <m:oMath>
                <m:sSup>
                  <m:sSupPr>
                    <m:ctrlPr>
                      <w:rPr>
                        <w:rFonts w:ascii="Cambria Math" w:hAnsi="Cambria Math"/>
                        <w:color w:val="000000" w:themeColor="text1"/>
                        <w:spacing w:val="1"/>
                      </w:rPr>
                    </m:ctrlPr>
                  </m:sSupPr>
                  <m:e>
                    <m:r>
                      <w:rPr>
                        <w:rFonts w:ascii="Cambria Math" w:hAnsi="Cambria Math"/>
                        <w:color w:val="000000" w:themeColor="text1"/>
                        <w:spacing w:val="1"/>
                      </w:rPr>
                      <m:t>X</m:t>
                    </m:r>
                  </m:e>
                  <m:sup>
                    <m:r>
                      <w:rPr>
                        <w:rFonts w:ascii="Cambria Math" w:hAnsi="Cambria Math"/>
                        <w:color w:val="000000" w:themeColor="text1"/>
                        <w:spacing w:val="1"/>
                      </w:rPr>
                      <m:t>EOF</m:t>
                    </m:r>
                  </m:sup>
                </m:sSup>
                <m:r>
                  <w:rPr>
                    <w:rFonts w:ascii="Cambria Math" w:hAnsi="Cambria Math"/>
                    <w:color w:val="000000" w:themeColor="text1"/>
                    <w:spacing w:val="1"/>
                  </w:rPr>
                  <m:t>=</m:t>
                </m:r>
                <m:d>
                  <m:dPr>
                    <m:begChr m:val="{"/>
                    <m:endChr m:val="}"/>
                    <m:ctrlPr>
                      <w:rPr>
                        <w:rFonts w:ascii="Cambria Math" w:hAnsi="Cambria Math"/>
                        <w:color w:val="000000" w:themeColor="text1"/>
                        <w:spacing w:val="1"/>
                      </w:rPr>
                    </m:ctrlPr>
                  </m:dPr>
                  <m:e>
                    <m:sSub>
                      <m:sSubPr>
                        <m:ctrlPr>
                          <w:rPr>
                            <w:rFonts w:ascii="Cambria Math" w:hAnsi="Cambria Math"/>
                            <w:color w:val="000000" w:themeColor="text1"/>
                            <w:spacing w:val="1"/>
                          </w:rPr>
                        </m:ctrlPr>
                      </m:sSubPr>
                      <m:e>
                        <m:r>
                          <w:rPr>
                            <w:rFonts w:ascii="Cambria Math" w:hAnsi="Cambria Math"/>
                            <w:color w:val="000000" w:themeColor="text1"/>
                            <w:spacing w:val="1"/>
                          </w:rPr>
                          <m:t>PC</m:t>
                        </m:r>
                      </m:e>
                      <m:sub>
                        <m:r>
                          <w:rPr>
                            <w:rFonts w:ascii="Cambria Math" w:hAnsi="Cambria Math"/>
                            <w:color w:val="000000" w:themeColor="text1"/>
                            <w:spacing w:val="1"/>
                          </w:rPr>
                          <m:t>1</m:t>
                        </m:r>
                      </m:sub>
                    </m:sSub>
                    <m:d>
                      <m:dPr>
                        <m:ctrlPr>
                          <w:rPr>
                            <w:rFonts w:ascii="Cambria Math" w:hAnsi="Cambria Math"/>
                            <w:color w:val="000000" w:themeColor="text1"/>
                            <w:spacing w:val="1"/>
                          </w:rPr>
                        </m:ctrlPr>
                      </m:dPr>
                      <m:e>
                        <m:r>
                          <w:rPr>
                            <w:rFonts w:ascii="Cambria Math" w:hAnsi="Cambria Math"/>
                            <w:color w:val="000000" w:themeColor="text1"/>
                            <w:spacing w:val="1"/>
                          </w:rPr>
                          <m:t>t</m:t>
                        </m:r>
                      </m:e>
                    </m:d>
                    <m:r>
                      <w:rPr>
                        <w:rFonts w:ascii="Cambria Math" w:hAnsi="Cambria Math"/>
                        <w:color w:val="000000" w:themeColor="text1"/>
                        <w:spacing w:val="1"/>
                      </w:rPr>
                      <m:t>, ⋯,</m:t>
                    </m:r>
                    <m:sSub>
                      <m:sSubPr>
                        <m:ctrlPr>
                          <w:rPr>
                            <w:rFonts w:ascii="Cambria Math" w:hAnsi="Cambria Math"/>
                            <w:color w:val="000000" w:themeColor="text1"/>
                            <w:spacing w:val="1"/>
                          </w:rPr>
                        </m:ctrlPr>
                      </m:sSubPr>
                      <m:e>
                        <m:r>
                          <w:rPr>
                            <w:rFonts w:ascii="Cambria Math" w:hAnsi="Cambria Math"/>
                            <w:color w:val="000000" w:themeColor="text1"/>
                            <w:spacing w:val="1"/>
                          </w:rPr>
                          <m:t>PC</m:t>
                        </m:r>
                      </m:e>
                      <m:sub>
                        <m:r>
                          <w:rPr>
                            <w:rFonts w:ascii="Cambria Math" w:hAnsi="Cambria Math"/>
                            <w:color w:val="000000" w:themeColor="text1"/>
                            <w:spacing w:val="1"/>
                          </w:rPr>
                          <m:t>d</m:t>
                        </m:r>
                      </m:sub>
                    </m:sSub>
                    <m:d>
                      <m:dPr>
                        <m:ctrlPr>
                          <w:rPr>
                            <w:rFonts w:ascii="Cambria Math" w:hAnsi="Cambria Math"/>
                            <w:color w:val="000000" w:themeColor="text1"/>
                            <w:spacing w:val="1"/>
                          </w:rPr>
                        </m:ctrlPr>
                      </m:dPr>
                      <m:e>
                        <m:r>
                          <w:rPr>
                            <w:rFonts w:ascii="Cambria Math" w:hAnsi="Cambria Math"/>
                            <w:color w:val="000000" w:themeColor="text1"/>
                            <w:spacing w:val="1"/>
                          </w:rPr>
                          <m:t>t</m:t>
                        </m:r>
                      </m:e>
                    </m:d>
                  </m:e>
                </m:d>
              </m:oMath>
            </m:oMathPara>
          </w:p>
        </w:tc>
        <w:tc>
          <w:tcPr>
            <w:tcW w:w="1264" w:type="dxa"/>
          </w:tcPr>
          <w:p w14:paraId="6CDA7F35" w14:textId="068CD880" w:rsidR="00351EF1" w:rsidRPr="007932CF" w:rsidRDefault="00351EF1" w:rsidP="004B50C1">
            <w:pPr>
              <w:pStyle w:val="Newparagraph"/>
              <w:spacing w:line="360" w:lineRule="auto"/>
              <w:ind w:firstLine="0"/>
              <w:jc w:val="right"/>
            </w:pPr>
            <w:bookmarkStart w:id="6" w:name="_Ref163642443"/>
            <w:r w:rsidRPr="007932CF">
              <w:t>(</w:t>
            </w:r>
            <w:r w:rsidR="00DB3D18">
              <w:t>4</w:t>
            </w:r>
            <w:r w:rsidRPr="007932CF">
              <w:t>)</w:t>
            </w:r>
            <w:bookmarkEnd w:id="6"/>
          </w:p>
        </w:tc>
      </w:tr>
    </w:tbl>
    <w:p w14:paraId="13F373B9" w14:textId="01A7809D" w:rsidR="00351EF1" w:rsidRDefault="00351EF1" w:rsidP="00351EF1">
      <w:pPr>
        <w:pStyle w:val="Paragraph"/>
        <w:rPr>
          <w:lang w:eastAsia="zh-CN"/>
        </w:rPr>
      </w:pPr>
      <w:r>
        <w:rPr>
          <w:rFonts w:hint="eastAsia"/>
        </w:rPr>
        <w:t>Next, a regression-guided classification</w:t>
      </w:r>
      <w:r w:rsidR="00A545D0">
        <w:t xml:space="preserve"> </w:t>
      </w:r>
      <w:r w:rsidR="00A545D0">
        <w:fldChar w:fldCharType="begin"/>
      </w:r>
      <w:r w:rsidR="00A545D0">
        <w:instrText xml:space="preserve"> ADDIN ZOTERO_ITEM CSL_CITATION {"citationID":"ERsF9iBt","properties":{"formattedCitation":"(Camus et al. 2016)","plainCitation":"(Camus et al. 2016)","noteIndex":0},"citationItems":[{"id":411,"uris":["http://zotero.org/users/10288439/items/W39KXC6S"],"itemData":{"id":411,"type":"article-journal","abstract":"A regression-guided classification is implemented in statistical downscaling models based on weather types for downscaling multivariate wave climate and modelling extreme events. The semi-supervised method classifies the atmospheric circulation conditions (predictor) and the estimations from a regression model linking the circulation with local marine climate (filtered predictand). A weighted factor controls the influence of the predictor and predictand in the weather patterns to improve the performance of the classification to reflect local marine climate characteristics. In addition to the analysis of the variance explained by the predictor and the predictand, the selection of the optimal value of the weighted factor is based on the predictand response in order to avoid subjectivity in the solution. The statistical models using the guided classification are applied in the North Atlantic. The new technique reduces the dispersion of the multivariate predictand within weather types and improves the model skill to downscale waves and to reproduce extremes.","container-title":"Ocean Dynamics","DOI":"10.1007/s10236-016-1004-5","ISSN":"1616-7228","issue":"12","journalAbbreviation":"Ocean Dynamics","language":"en","note":"rate: 5","page":"1589-1601","source":"Springer Link","title":"An atmospheric-to-marine synoptic classification for statistical downscaling marine climate","volume":"66","author":[{"family":"Camus","given":"Paula"},{"family":"Rueda","given":"Ana"},{"family":"Méndez","given":"Fernando J."},{"family":"Losada","given":"Iñigo J."}],"issued":{"date-parts":[["2016",12,1]]}}}],"schema":"https://github.com/citation-style-language/schema/raw/master/csl-citation.json"} </w:instrText>
      </w:r>
      <w:r w:rsidR="00A545D0">
        <w:fldChar w:fldCharType="separate"/>
      </w:r>
      <w:r w:rsidR="00282A3B" w:rsidRPr="00282A3B">
        <w:t>(Camus et al. 2016)</w:t>
      </w:r>
      <w:r w:rsidR="00A545D0">
        <w:fldChar w:fldCharType="end"/>
      </w:r>
      <w:r>
        <w:rPr>
          <w:rFonts w:hint="eastAsia"/>
        </w:rPr>
        <w:t xml:space="preserve"> is employed to categorize the </w:t>
      </w:r>
      <w:r>
        <w:rPr>
          <w:rFonts w:hint="eastAsia"/>
          <w:lang w:eastAsia="zh-CN"/>
        </w:rPr>
        <w:t>predictors into a pre-defined number of weather types (WTs). This semi-supervised approach differs from the original method</w:t>
      </w:r>
      <w:r w:rsidR="00B65149">
        <w:rPr>
          <w:lang w:eastAsia="zh-CN"/>
        </w:rPr>
        <w:t xml:space="preserve"> </w:t>
      </w:r>
      <w:r w:rsidR="00B65149">
        <w:rPr>
          <w:lang w:eastAsia="zh-CN"/>
        </w:rPr>
        <w:fldChar w:fldCharType="begin"/>
      </w:r>
      <w:r w:rsidR="00B65149">
        <w:rPr>
          <w:lang w:eastAsia="zh-CN"/>
        </w:rPr>
        <w:instrText xml:space="preserve"> ADDIN ZOTERO_ITEM CSL_CITATION {"citationID":"5SWfALQt","properties":{"formattedCitation":"(Camus et al. 2014b)","plainCitation":"(Camus et al. 2014b)","noteIndex":0},"citationItems":[{"id":246,"uris":["http://zotero.org/users/10288439/items/2U8Q7KBN"],"itemData":{"id":246,"type":"article-journal","container-title":"Journal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J."},{"family":"Medina","given":"Raúl"}],"issued":{"date-parts":[["2014",11]]}}}],"schema":"https://github.com/citation-style-language/schema/raw/master/csl-citation.json"} </w:instrText>
      </w:r>
      <w:r w:rsidR="00B65149">
        <w:rPr>
          <w:lang w:eastAsia="zh-CN"/>
        </w:rPr>
        <w:fldChar w:fldCharType="separate"/>
      </w:r>
      <w:r w:rsidR="00282A3B" w:rsidRPr="00282A3B">
        <w:t>(Camus et al. 2014b)</w:t>
      </w:r>
      <w:r w:rsidR="00B65149">
        <w:rPr>
          <w:lang w:eastAsia="zh-CN"/>
        </w:rPr>
        <w:fldChar w:fldCharType="end"/>
      </w:r>
      <w:r>
        <w:rPr>
          <w:rFonts w:hint="eastAsia"/>
          <w:lang w:eastAsia="zh-CN"/>
        </w:rPr>
        <w:t xml:space="preserve"> in that it incorporates local predictand information to guide the classification so that weather patterns generating similar local conditions are more likely to be clustered together. </w:t>
      </w:r>
      <w:r w:rsidRPr="00385530">
        <w:rPr>
          <w:lang w:eastAsia="zh-CN"/>
        </w:rPr>
        <w:t xml:space="preserve">The regression-guided classification </w:t>
      </w:r>
      <w:r>
        <w:rPr>
          <w:rFonts w:hint="eastAsia"/>
          <w:lang w:eastAsia="zh-CN"/>
        </w:rPr>
        <w:t>is achieved by</w:t>
      </w:r>
      <w:r w:rsidRPr="00385530">
        <w:rPr>
          <w:lang w:eastAsia="zh-CN"/>
        </w:rPr>
        <w:t xml:space="preserve"> two steps. First, a multivariate linear regression model </w:t>
      </w:r>
      <w:r>
        <w:rPr>
          <w:rFonts w:hint="eastAsia"/>
          <w:lang w:eastAsia="zh-CN"/>
        </w:rPr>
        <w:t>(</w:t>
      </w:r>
      <w:r w:rsidR="00DB3D18">
        <w:rPr>
          <w:rFonts w:hint="eastAsia"/>
          <w:lang w:eastAsia="zh-CN"/>
        </w:rPr>
        <w:t>Eq.</w:t>
      </w:r>
      <w:r w:rsidR="00DB3D18">
        <w:rPr>
          <w:lang w:eastAsia="zh-CN"/>
        </w:rPr>
        <w:t xml:space="preserve"> 5</w:t>
      </w:r>
      <w:r>
        <w:rPr>
          <w:lang w:eastAsia="zh-CN"/>
        </w:rPr>
        <w:t xml:space="preserve">) </w:t>
      </w:r>
      <w:r w:rsidRPr="00385530">
        <w:rPr>
          <w:lang w:eastAsia="zh-CN"/>
        </w:rPr>
        <w:lastRenderedPageBreak/>
        <w:t>is established between the</w:t>
      </w:r>
      <w:r>
        <w:rPr>
          <w:rFonts w:hint="eastAsia"/>
          <w:lang w:eastAsia="zh-CN"/>
        </w:rPr>
        <w:t xml:space="preserve"> </w:t>
      </w:r>
      <w:r w:rsidRPr="00385530">
        <w:rPr>
          <w:lang w:eastAsia="zh-CN"/>
        </w:rPr>
        <w:t xml:space="preserve">predictor </w:t>
      </w:r>
      <m:oMath>
        <m:sSup>
          <m:sSupPr>
            <m:ctrlPr>
              <w:rPr>
                <w:rFonts w:ascii="Cambria Math" w:hAnsi="Cambria Math"/>
                <w:color w:val="000000" w:themeColor="text1"/>
                <w:spacing w:val="1"/>
              </w:rPr>
            </m:ctrlPr>
          </m:sSupPr>
          <m:e>
            <m:r>
              <w:rPr>
                <w:rFonts w:ascii="Cambria Math" w:hAnsi="Cambria Math"/>
                <w:color w:val="000000" w:themeColor="text1"/>
                <w:spacing w:val="1"/>
              </w:rPr>
              <m:t>X</m:t>
            </m:r>
          </m:e>
          <m:sup>
            <m:r>
              <w:rPr>
                <w:rFonts w:ascii="Cambria Math" w:hAnsi="Cambria Math"/>
                <w:color w:val="000000" w:themeColor="text1"/>
                <w:spacing w:val="1"/>
              </w:rPr>
              <m:t>EOF</m:t>
            </m:r>
          </m:sup>
        </m:sSup>
      </m:oMath>
      <w:r w:rsidRPr="00385530">
        <w:rPr>
          <w:lang w:eastAsia="zh-CN"/>
        </w:rPr>
        <w:t xml:space="preserve"> and</w:t>
      </w:r>
      <w:r>
        <w:rPr>
          <w:rFonts w:hint="eastAsia"/>
          <w:lang w:eastAsia="zh-CN"/>
        </w:rPr>
        <w:t xml:space="preserve"> the</w:t>
      </w:r>
      <w:r>
        <w:rPr>
          <w:lang w:eastAsia="zh-CN"/>
        </w:rPr>
        <w:t xml:space="preserve"> selected</w:t>
      </w:r>
      <w:r>
        <w:rPr>
          <w:rFonts w:hint="eastAsia"/>
          <w:lang w:eastAsia="zh-CN"/>
        </w:rPr>
        <w:t xml:space="preserve"> </w:t>
      </w:r>
      <w:r w:rsidRPr="00385530">
        <w:rPr>
          <w:lang w:eastAsia="zh-CN"/>
        </w:rPr>
        <w:t xml:space="preserve">predictand </w:t>
      </w:r>
      <m:oMath>
        <m:r>
          <w:rPr>
            <w:rFonts w:ascii="Cambria Math" w:hAnsi="Cambria Math" w:hint="eastAsia"/>
            <w:lang w:eastAsia="zh-CN"/>
          </w:rPr>
          <m:t>Y</m:t>
        </m:r>
      </m:oMath>
      <w:r w:rsidRPr="00385530">
        <w:rPr>
          <w:lang w:eastAsia="zh-CN"/>
        </w:rPr>
        <w:t xml:space="preserve"> </w:t>
      </w:r>
      <w:r>
        <w:rPr>
          <w:rFonts w:hint="eastAsia"/>
          <w:lang w:eastAsia="zh-CN"/>
        </w:rPr>
        <w:t xml:space="preserve">which consists of daily mean </w:t>
      </w:r>
      <m:oMath>
        <m:sSub>
          <m:sSubPr>
            <m:ctrlPr>
              <w:rPr>
                <w:rFonts w:ascii="Cambria Math" w:hAnsi="Cambria Math" w:cs="Cambria Math"/>
                <w:i/>
              </w:rPr>
            </m:ctrlPr>
          </m:sSubPr>
          <m:e>
            <m:r>
              <w:rPr>
                <w:rFonts w:ascii="Cambria Math" w:hAnsi="Cambria Math" w:cs="Cambria Math"/>
              </w:rPr>
              <m:t>H</m:t>
            </m:r>
          </m:e>
          <m:sub>
            <m:r>
              <w:rPr>
                <w:rFonts w:ascii="Cambria Math" w:hAnsi="Cambria Math" w:cs="Cambria Math"/>
              </w:rPr>
              <m:t>s</m:t>
            </m:r>
          </m:sub>
        </m:sSub>
      </m:oMath>
      <w:r w:rsidRPr="00584752">
        <w:t xml:space="preserve">, </w:t>
      </w:r>
      <m:oMath>
        <m:sSub>
          <m:sSubPr>
            <m:ctrlPr>
              <w:rPr>
                <w:rFonts w:ascii="Cambria Math" w:hAnsi="Cambria Math" w:cs="Cambria Math"/>
                <w:i/>
              </w:rPr>
            </m:ctrlPr>
          </m:sSubPr>
          <m:e>
            <m:r>
              <w:rPr>
                <w:rFonts w:ascii="Cambria Math" w:hAnsi="Cambria Math" w:cs="Cambria Math"/>
              </w:rPr>
              <m:t>T</m:t>
            </m:r>
          </m:e>
          <m:sub>
            <m:r>
              <w:rPr>
                <w:rFonts w:ascii="Cambria Math" w:hAnsi="Cambria Math" w:cs="Cambria Math"/>
              </w:rPr>
              <m:t>p</m:t>
            </m:r>
          </m:sub>
        </m:sSub>
      </m:oMath>
      <w:r>
        <w:rPr>
          <w:rFonts w:hint="eastAsia"/>
          <w:lang w:eastAsia="zh-CN"/>
        </w:rPr>
        <w:t xml:space="preserve"> and</w:t>
      </w:r>
      <w:r w:rsidRPr="00584752">
        <w:t xml:space="preserve"> </w:t>
      </w:r>
      <m:oMath>
        <m:sSub>
          <m:sSubPr>
            <m:ctrlPr>
              <w:rPr>
                <w:rFonts w:ascii="Cambria Math" w:hAnsi="Cambria Math" w:cs="Cambria Math"/>
                <w:i/>
              </w:rPr>
            </m:ctrlPr>
          </m:sSubPr>
          <m:e>
            <m:r>
              <w:rPr>
                <w:rFonts w:ascii="Cambria Math" w:hAnsi="Cambria Math" w:cs="Cambria Math"/>
              </w:rPr>
              <m:t>θ</m:t>
            </m:r>
          </m:e>
          <m:sub>
            <m:r>
              <w:rPr>
                <w:rFonts w:ascii="Cambria Math" w:hAnsi="Cambria Math" w:cs="Cambria Math"/>
              </w:rPr>
              <m:t>m</m:t>
            </m:r>
          </m:sub>
        </m:sSub>
      </m:oMath>
      <w:r>
        <w:rPr>
          <w:rFonts w:hint="eastAsia"/>
          <w:lang w:eastAsia="zh-CN"/>
        </w:rPr>
        <w:t xml:space="preserve"> and daily maximum storm surge </w:t>
      </w:r>
      <m:oMath>
        <m:sSub>
          <m:sSubPr>
            <m:ctrlPr>
              <w:rPr>
                <w:rFonts w:ascii="Cambria Math" w:hAnsi="Cambria Math"/>
                <w:i/>
                <w:lang w:eastAsia="zh-CN"/>
              </w:rPr>
            </m:ctrlPr>
          </m:sSubPr>
          <m:e>
            <m:r>
              <w:rPr>
                <w:rFonts w:ascii="Cambria Math" w:hAnsi="Cambria Math" w:hint="eastAsia"/>
                <w:lang w:eastAsia="zh-CN"/>
              </w:rPr>
              <m:t>SS</m:t>
            </m:r>
          </m:e>
          <m:sub>
            <m:r>
              <w:rPr>
                <w:rFonts w:ascii="Cambria Math" w:hAnsi="Cambria Math"/>
                <w:lang w:eastAsia="zh-CN"/>
              </w:rPr>
              <m:t>max</m:t>
            </m:r>
          </m:sub>
        </m:sSub>
      </m:oMath>
      <w:r>
        <w:rPr>
          <w:lang w:eastAsia="zh-CN"/>
        </w:rPr>
        <w:t xml:space="preserve"> (</w:t>
      </w:r>
      <w:r w:rsidR="00E53CFD">
        <w:t>Fig. 2</w:t>
      </w:r>
      <w:r>
        <w:rPr>
          <w:lang w:eastAsia="zh-CN"/>
        </w:rPr>
        <w:t>)</w:t>
      </w:r>
      <w:r>
        <w:rPr>
          <w:rFonts w:hint="eastAsia"/>
          <w:lang w:eastAsia="zh-CN"/>
        </w:rPr>
        <w:t xml:space="preserve">. The fitted coefficient </w:t>
      </w:r>
      <m:oMath>
        <m:r>
          <w:rPr>
            <w:rFonts w:ascii="Cambria Math" w:hAnsi="Cambria Math"/>
            <w:color w:val="000000" w:themeColor="text1"/>
            <w:spacing w:val="1"/>
          </w:rPr>
          <m:t>β</m:t>
        </m:r>
      </m:oMath>
      <w:r>
        <w:rPr>
          <w:rFonts w:hint="eastAsia"/>
          <w:color w:val="000000" w:themeColor="text1"/>
          <w:spacing w:val="1"/>
          <w:lang w:eastAsia="zh-CN"/>
        </w:rPr>
        <w:t xml:space="preserve"> is then used to make prediction</w:t>
      </w:r>
      <w:r w:rsidR="00614462">
        <w:rPr>
          <w:color w:val="000000" w:themeColor="text1"/>
          <w:spacing w:val="1"/>
          <w:lang w:eastAsia="zh-CN"/>
        </w:rPr>
        <w:t>s for</w:t>
      </w:r>
      <w:r>
        <w:rPr>
          <w:rFonts w:hint="eastAsia"/>
          <w:color w:val="000000" w:themeColor="text1"/>
          <w:spacing w:val="1"/>
          <w:lang w:eastAsia="zh-CN"/>
        </w:rPr>
        <w:t xml:space="preserve"> </w:t>
      </w:r>
      <m:oMath>
        <m:acc>
          <m:accPr>
            <m:ctrlPr>
              <w:rPr>
                <w:rFonts w:ascii="Cambria Math" w:hAnsi="Cambria Math"/>
                <w:i/>
                <w:lang w:eastAsia="zh-CN"/>
              </w:rPr>
            </m:ctrlPr>
          </m:accPr>
          <m:e>
            <m:r>
              <w:rPr>
                <w:rFonts w:ascii="Cambria Math" w:hAnsi="Cambria Math" w:hint="eastAsia"/>
                <w:lang w:eastAsia="zh-CN"/>
              </w:rPr>
              <m:t>Y</m:t>
            </m:r>
          </m:e>
        </m:acc>
      </m:oMath>
      <w:r>
        <w:rPr>
          <w:rFonts w:hint="eastAsia"/>
          <w:color w:val="000000" w:themeColor="text1"/>
          <w:spacing w:val="1"/>
          <w:lang w:eastAsia="zh-CN"/>
        </w:rPr>
        <w:t xml:space="preserve"> </w:t>
      </w:r>
      <w:r>
        <w:rPr>
          <w:rFonts w:hint="eastAsia"/>
          <w:lang w:eastAsia="zh-CN"/>
        </w:rPr>
        <w:t>(</w:t>
      </w:r>
      <w:r w:rsidR="00DB3D18">
        <w:rPr>
          <w:rFonts w:hint="eastAsia"/>
          <w:lang w:eastAsia="zh-CN"/>
        </w:rPr>
        <w:t>Eq.</w:t>
      </w:r>
      <w:r w:rsidR="00DB3D18">
        <w:rPr>
          <w:lang w:eastAsia="zh-CN"/>
        </w:rPr>
        <w:t xml:space="preserve"> 6</w:t>
      </w:r>
      <w:r>
        <w:rPr>
          <w:rFonts w:hint="eastAsia"/>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351EF1" w:rsidRPr="007932CF" w14:paraId="5B722617" w14:textId="77777777" w:rsidTr="004B50C1">
        <w:tc>
          <w:tcPr>
            <w:tcW w:w="1129" w:type="dxa"/>
          </w:tcPr>
          <w:p w14:paraId="7DAB33C1" w14:textId="77777777" w:rsidR="00351EF1" w:rsidRPr="007932CF" w:rsidRDefault="00351EF1" w:rsidP="004B50C1">
            <w:pPr>
              <w:pStyle w:val="Newparagraph"/>
              <w:spacing w:line="360" w:lineRule="auto"/>
              <w:ind w:firstLine="0"/>
              <w:jc w:val="both"/>
            </w:pPr>
          </w:p>
        </w:tc>
        <w:tc>
          <w:tcPr>
            <w:tcW w:w="6096" w:type="dxa"/>
          </w:tcPr>
          <w:p w14:paraId="2BED721E" w14:textId="77777777" w:rsidR="00351EF1" w:rsidRPr="007932CF" w:rsidRDefault="00000000" w:rsidP="004B50C1">
            <w:pPr>
              <w:pStyle w:val="Newparagraph"/>
              <w:spacing w:line="360" w:lineRule="auto"/>
              <w:ind w:firstLine="0"/>
              <w:jc w:val="both"/>
              <w:rPr>
                <w:iCs/>
              </w:rPr>
            </w:pPr>
            <m:oMathPara>
              <m:oMath>
                <m:sSup>
                  <m:sSupPr>
                    <m:ctrlPr>
                      <w:rPr>
                        <w:rFonts w:ascii="Cambria Math" w:hAnsi="Cambria Math"/>
                        <w:color w:val="000000" w:themeColor="text1"/>
                        <w:spacing w:val="1"/>
                      </w:rPr>
                    </m:ctrlPr>
                  </m:sSupPr>
                  <m:e>
                    <m:r>
                      <w:rPr>
                        <w:rFonts w:ascii="Cambria Math" w:hAnsi="Cambria Math"/>
                        <w:color w:val="000000" w:themeColor="text1"/>
                        <w:spacing w:val="1"/>
                      </w:rPr>
                      <m:t>Y=βX</m:t>
                    </m:r>
                  </m:e>
                  <m:sup>
                    <m:r>
                      <w:rPr>
                        <w:rFonts w:ascii="Cambria Math" w:hAnsi="Cambria Math"/>
                        <w:color w:val="000000" w:themeColor="text1"/>
                        <w:spacing w:val="1"/>
                      </w:rPr>
                      <m:t>EOF</m:t>
                    </m:r>
                  </m:sup>
                </m:sSup>
                <m:r>
                  <w:rPr>
                    <w:rFonts w:ascii="Cambria Math" w:hAnsi="Cambria Math"/>
                    <w:color w:val="000000" w:themeColor="text1"/>
                    <w:spacing w:val="1"/>
                  </w:rPr>
                  <m:t>+E</m:t>
                </m:r>
              </m:oMath>
            </m:oMathPara>
          </w:p>
        </w:tc>
        <w:tc>
          <w:tcPr>
            <w:tcW w:w="1264" w:type="dxa"/>
          </w:tcPr>
          <w:p w14:paraId="4F3FBE3E" w14:textId="19A09AAD" w:rsidR="00351EF1" w:rsidRPr="007932CF" w:rsidRDefault="00351EF1" w:rsidP="004B50C1">
            <w:pPr>
              <w:pStyle w:val="Newparagraph"/>
              <w:spacing w:line="360" w:lineRule="auto"/>
              <w:ind w:firstLine="0"/>
              <w:jc w:val="right"/>
            </w:pPr>
            <w:bookmarkStart w:id="7" w:name="_Ref163651144"/>
            <w:r w:rsidRPr="007932CF">
              <w:t>(</w:t>
            </w:r>
            <w:r w:rsidR="00DB3D18">
              <w:t>5</w:t>
            </w:r>
            <w:r w:rsidRPr="007932CF">
              <w:t>)</w:t>
            </w:r>
            <w:bookmarkEnd w:id="7"/>
          </w:p>
        </w:tc>
      </w:tr>
      <w:tr w:rsidR="00351EF1" w:rsidRPr="007932CF" w14:paraId="6FE45B97" w14:textId="77777777" w:rsidTr="004B50C1">
        <w:tc>
          <w:tcPr>
            <w:tcW w:w="1129" w:type="dxa"/>
          </w:tcPr>
          <w:p w14:paraId="452C2AD4" w14:textId="77777777" w:rsidR="00351EF1" w:rsidRPr="007932CF" w:rsidRDefault="00351EF1" w:rsidP="004B50C1">
            <w:pPr>
              <w:pStyle w:val="Newparagraph"/>
              <w:spacing w:line="360" w:lineRule="auto"/>
              <w:ind w:firstLine="0"/>
              <w:jc w:val="both"/>
            </w:pPr>
          </w:p>
        </w:tc>
        <w:tc>
          <w:tcPr>
            <w:tcW w:w="6096" w:type="dxa"/>
          </w:tcPr>
          <w:p w14:paraId="4A73E520" w14:textId="77777777" w:rsidR="00351EF1" w:rsidRPr="007932CF" w:rsidRDefault="00000000" w:rsidP="004B50C1">
            <w:pPr>
              <w:pStyle w:val="Newparagraph"/>
              <w:spacing w:line="360" w:lineRule="auto"/>
              <w:ind w:firstLine="0"/>
              <w:jc w:val="both"/>
              <w:rPr>
                <w:iCs/>
              </w:rPr>
            </w:pPr>
            <m:oMathPara>
              <m:oMath>
                <m:sSup>
                  <m:sSupPr>
                    <m:ctrlPr>
                      <w:rPr>
                        <w:rFonts w:ascii="Cambria Math" w:hAnsi="Cambria Math"/>
                        <w:color w:val="000000" w:themeColor="text1"/>
                        <w:spacing w:val="1"/>
                      </w:rPr>
                    </m:ctrlPr>
                  </m:sSupPr>
                  <m:e>
                    <m:acc>
                      <m:accPr>
                        <m:ctrlPr>
                          <w:rPr>
                            <w:rFonts w:ascii="Cambria Math" w:hAnsi="Cambria Math"/>
                            <w:i/>
                            <w:color w:val="000000" w:themeColor="text1"/>
                            <w:spacing w:val="1"/>
                          </w:rPr>
                        </m:ctrlPr>
                      </m:accPr>
                      <m:e>
                        <m:r>
                          <w:rPr>
                            <w:rFonts w:ascii="Cambria Math" w:hAnsi="Cambria Math"/>
                            <w:color w:val="000000" w:themeColor="text1"/>
                            <w:spacing w:val="1"/>
                          </w:rPr>
                          <m:t>Y</m:t>
                        </m:r>
                      </m:e>
                    </m:acc>
                    <m:r>
                      <w:rPr>
                        <w:rFonts w:ascii="Cambria Math" w:hAnsi="Cambria Math"/>
                        <w:color w:val="000000" w:themeColor="text1"/>
                        <w:spacing w:val="1"/>
                      </w:rPr>
                      <m:t>=βX</m:t>
                    </m:r>
                  </m:e>
                  <m:sup>
                    <m:r>
                      <w:rPr>
                        <w:rFonts w:ascii="Cambria Math" w:hAnsi="Cambria Math"/>
                        <w:color w:val="000000" w:themeColor="text1"/>
                        <w:spacing w:val="1"/>
                      </w:rPr>
                      <m:t>EOF</m:t>
                    </m:r>
                  </m:sup>
                </m:sSup>
              </m:oMath>
            </m:oMathPara>
          </w:p>
        </w:tc>
        <w:tc>
          <w:tcPr>
            <w:tcW w:w="1264" w:type="dxa"/>
          </w:tcPr>
          <w:p w14:paraId="5B29DBDC" w14:textId="5CCCE14A" w:rsidR="00351EF1" w:rsidRPr="007932CF" w:rsidRDefault="00351EF1" w:rsidP="004B50C1">
            <w:pPr>
              <w:pStyle w:val="Newparagraph"/>
              <w:spacing w:line="360" w:lineRule="auto"/>
              <w:ind w:firstLine="0"/>
              <w:jc w:val="right"/>
            </w:pPr>
            <w:bookmarkStart w:id="8" w:name="_Ref163651648"/>
            <w:r w:rsidRPr="007932CF">
              <w:t>(</w:t>
            </w:r>
            <w:r w:rsidR="00DB3D18">
              <w:t>6</w:t>
            </w:r>
            <w:r w:rsidRPr="007932CF">
              <w:t>)</w:t>
            </w:r>
            <w:bookmarkEnd w:id="8"/>
          </w:p>
        </w:tc>
      </w:tr>
    </w:tbl>
    <w:p w14:paraId="269A9370" w14:textId="41C288BC" w:rsidR="00351EF1" w:rsidRDefault="00351EF1" w:rsidP="00351EF1">
      <w:pPr>
        <w:pStyle w:val="Paragraph"/>
        <w:rPr>
          <w:color w:val="000000" w:themeColor="text1"/>
          <w:spacing w:val="1"/>
          <w:lang w:eastAsia="zh-CN"/>
        </w:rPr>
      </w:pPr>
      <w:r w:rsidRPr="00DD0733">
        <w:rPr>
          <w:lang w:eastAsia="zh-CN"/>
        </w:rPr>
        <w:t xml:space="preserve">The regression model captures the synoptic-scale influence </w:t>
      </w:r>
      <w:r>
        <w:rPr>
          <w:lang w:eastAsia="zh-CN"/>
        </w:rPr>
        <w:t xml:space="preserve">on </w:t>
      </w:r>
      <w:r w:rsidRPr="00DD0733">
        <w:rPr>
          <w:lang w:eastAsia="zh-CN"/>
        </w:rPr>
        <w:t xml:space="preserve">the local </w:t>
      </w:r>
      <w:r>
        <w:rPr>
          <w:lang w:eastAsia="zh-CN"/>
        </w:rPr>
        <w:t>predictands</w:t>
      </w:r>
      <w:r w:rsidRPr="00DD0733">
        <w:rPr>
          <w:lang w:eastAsia="zh-CN"/>
        </w:rPr>
        <w:t xml:space="preserve"> and filters out irrelevant information contained in observations caused by other processes</w:t>
      </w:r>
      <w:r>
        <w:rPr>
          <w:rFonts w:hint="eastAsia"/>
          <w:lang w:eastAsia="zh-CN"/>
        </w:rPr>
        <w:t xml:space="preserve"> </w:t>
      </w:r>
      <w:r w:rsidR="00B65149">
        <w:rPr>
          <w:lang w:eastAsia="zh-CN"/>
        </w:rPr>
        <w:fldChar w:fldCharType="begin"/>
      </w:r>
      <w:r w:rsidR="00B65149">
        <w:rPr>
          <w:lang w:eastAsia="zh-CN"/>
        </w:rPr>
        <w:instrText xml:space="preserve"> ADDIN ZOTERO_ITEM CSL_CITATION {"citationID":"A7gu448p","properties":{"formattedCitation":"(Cannon 2012)","plainCitation":"(Cannon 2012)","noteIndex":0},"citationItems":[{"id":437,"uris":["http://zotero.org/users/10288439/items/7YH268TC"],"itemData":{"id":437,"type":"article-journal","abstract":"Abstract Regression-guided clustering is introduced as a means of constructing circulation-to-environment synoptic climatological classifications. Rather than applying an unsupervised clustering algorithm to synoptic-scale atmospheric circulation data, one instead augments the atmospheric circulation dataset with predictions from a supervised regression model linking circulation to environment. The combined dataset is then entered into the clustering algorithm. The level of influence of the environmental dataset can be controlled by a simple weighting factor. The method is generic in that the choice of regression model and clustering algorithm is left to the user. Examples are given using standard multivariate linear regression models and the k-means clustering algorithm, both established methods in synoptic climatology. Results for southern British Columbia, Canada, indicate that model performance can be made to range between that of a fully unsupervised algorithm and a fully supervised algorithm.","container-title":"Journal of Applied Meteorology and Climatology","DOI":"10.1175/JAMC-D-11-0155.1","ISSN":"1558-8424, 1558-8432","issue":"2","language":"EN","note":"publisher: American Meteorological Society\nsection: Journal of Applied Meteorology and Climatology\nrate: 3","page":"185-190","source":"journals.ametsoc.org","title":"Regression-Guided Clustering: A Semisupervised Method for Circulation-to-Environment Synoptic Classification","title-short":"Regression-Guided Clustering","volume":"51","author":[{"family":"Cannon","given":"Alex J."}],"issued":{"date-parts":[["2012",2,1]]}}}],"schema":"https://github.com/citation-style-language/schema/raw/master/csl-citation.json"} </w:instrText>
      </w:r>
      <w:r w:rsidR="00B65149">
        <w:rPr>
          <w:lang w:eastAsia="zh-CN"/>
        </w:rPr>
        <w:fldChar w:fldCharType="separate"/>
      </w:r>
      <w:r w:rsidR="00282A3B" w:rsidRPr="00282A3B">
        <w:t>(Cannon 2012)</w:t>
      </w:r>
      <w:r w:rsidR="00B65149">
        <w:rPr>
          <w:lang w:eastAsia="zh-CN"/>
        </w:rPr>
        <w:fldChar w:fldCharType="end"/>
      </w:r>
      <w:r w:rsidRPr="00DD0733">
        <w:rPr>
          <w:lang w:eastAsia="zh-CN"/>
        </w:rPr>
        <w:t>.</w:t>
      </w:r>
      <w:r>
        <w:rPr>
          <w:rFonts w:hint="eastAsia"/>
          <w:lang w:eastAsia="zh-CN"/>
        </w:rPr>
        <w:t xml:space="preserve"> The predicted </w:t>
      </w:r>
      <m:oMath>
        <m:acc>
          <m:accPr>
            <m:ctrlPr>
              <w:rPr>
                <w:rFonts w:ascii="Cambria Math" w:hAnsi="Cambria Math"/>
                <w:i/>
                <w:lang w:eastAsia="zh-CN"/>
              </w:rPr>
            </m:ctrlPr>
          </m:accPr>
          <m:e>
            <m:r>
              <w:rPr>
                <w:rFonts w:ascii="Cambria Math" w:hAnsi="Cambria Math" w:hint="eastAsia"/>
                <w:lang w:eastAsia="zh-CN"/>
              </w:rPr>
              <m:t>Y</m:t>
            </m:r>
          </m:e>
        </m:acc>
      </m:oMath>
      <w:r>
        <w:rPr>
          <w:rFonts w:hint="eastAsia"/>
          <w:lang w:eastAsia="zh-CN"/>
        </w:rPr>
        <w:t xml:space="preserve"> is then c</w:t>
      </w:r>
      <w:r w:rsidRPr="008D2198">
        <w:rPr>
          <w:lang w:eastAsia="zh-CN"/>
        </w:rPr>
        <w:t>oncatenate</w:t>
      </w:r>
      <w:r>
        <w:rPr>
          <w:rFonts w:hint="eastAsia"/>
          <w:lang w:eastAsia="zh-CN"/>
        </w:rPr>
        <w:t xml:space="preserve">d with </w:t>
      </w:r>
      <m:oMath>
        <m:sSup>
          <m:sSupPr>
            <m:ctrlPr>
              <w:rPr>
                <w:rFonts w:ascii="Cambria Math" w:hAnsi="Cambria Math"/>
                <w:color w:val="000000" w:themeColor="text1"/>
                <w:spacing w:val="1"/>
              </w:rPr>
            </m:ctrlPr>
          </m:sSupPr>
          <m:e>
            <m:r>
              <w:rPr>
                <w:rFonts w:ascii="Cambria Math" w:hAnsi="Cambria Math"/>
                <w:color w:val="000000" w:themeColor="text1"/>
                <w:spacing w:val="1"/>
              </w:rPr>
              <m:t>X</m:t>
            </m:r>
          </m:e>
          <m:sup>
            <m:r>
              <w:rPr>
                <w:rFonts w:ascii="Cambria Math" w:hAnsi="Cambria Math"/>
                <w:color w:val="000000" w:themeColor="text1"/>
                <w:spacing w:val="1"/>
              </w:rPr>
              <m:t>EOF</m:t>
            </m:r>
          </m:sup>
        </m:sSup>
      </m:oMath>
      <w:r>
        <w:rPr>
          <w:rFonts w:hint="eastAsia"/>
          <w:color w:val="000000" w:themeColor="text1"/>
          <w:spacing w:val="1"/>
          <w:lang w:eastAsia="zh-CN"/>
        </w:rPr>
        <w:t xml:space="preserve"> to form a new </w:t>
      </w:r>
      <w:r>
        <w:rPr>
          <w:color w:val="000000" w:themeColor="text1"/>
          <w:spacing w:val="1"/>
          <w:lang w:eastAsia="zh-CN"/>
        </w:rPr>
        <w:t>dataset</w:t>
      </w:r>
      <w:r>
        <w:rPr>
          <w:rFonts w:hint="eastAsia"/>
          <w:color w:val="000000" w:themeColor="text1"/>
          <w:spacing w:val="1"/>
          <w:lang w:eastAsia="zh-CN"/>
        </w:rPr>
        <w:t xml:space="preserve"> </w:t>
      </w:r>
      <m:oMath>
        <m:r>
          <w:rPr>
            <w:rFonts w:ascii="Cambria Math" w:hAnsi="Cambria Math" w:hint="eastAsia"/>
            <w:color w:val="000000" w:themeColor="text1"/>
            <w:spacing w:val="1"/>
            <w:lang w:eastAsia="zh-CN"/>
          </w:rPr>
          <m:t>Z</m:t>
        </m:r>
      </m:oMath>
      <w:r>
        <w:rPr>
          <w:rFonts w:hint="eastAsia"/>
          <w:color w:val="000000" w:themeColor="text1"/>
          <w:spacing w:val="1"/>
          <w:lang w:eastAsia="zh-CN"/>
        </w:rPr>
        <w:t xml:space="preserve"> (</w:t>
      </w:r>
      <w:r w:rsidR="00DB3D18">
        <w:rPr>
          <w:rFonts w:hint="eastAsia"/>
          <w:color w:val="000000" w:themeColor="text1"/>
          <w:spacing w:val="1"/>
          <w:lang w:eastAsia="zh-CN"/>
        </w:rPr>
        <w:t>Eq.</w:t>
      </w:r>
      <w:r w:rsidR="00DB3D18">
        <w:rPr>
          <w:color w:val="000000" w:themeColor="text1"/>
          <w:spacing w:val="1"/>
          <w:lang w:eastAsia="zh-CN"/>
        </w:rPr>
        <w:t xml:space="preserve"> 7</w:t>
      </w:r>
      <w:r>
        <w:rPr>
          <w:rFonts w:hint="eastAsia"/>
          <w:color w:val="000000" w:themeColor="text1"/>
          <w:spacing w:val="1"/>
          <w:lang w:eastAsia="zh-CN"/>
        </w:rPr>
        <w:t>). Here</w:t>
      </w:r>
      <w:r>
        <w:rPr>
          <w:color w:val="000000" w:themeColor="text1"/>
          <w:spacing w:val="1"/>
          <w:lang w:eastAsia="zh-CN"/>
        </w:rPr>
        <w:t>,</w:t>
      </w:r>
      <w:r>
        <w:rPr>
          <w:rFonts w:hint="eastAsia"/>
          <w:color w:val="000000" w:themeColor="text1"/>
          <w:spacing w:val="1"/>
          <w:lang w:eastAsia="zh-CN"/>
        </w:rPr>
        <w:t xml:space="preserve"> a weighting parameter </w:t>
      </w:r>
      <m:oMath>
        <m:r>
          <w:rPr>
            <w:rFonts w:ascii="Cambria Math" w:hAnsi="Cambria Math"/>
            <w:color w:val="000000" w:themeColor="text1"/>
            <w:spacing w:val="1"/>
          </w:rPr>
          <m:t>α</m:t>
        </m:r>
      </m:oMath>
      <w:r>
        <w:rPr>
          <w:rFonts w:hint="eastAsia"/>
          <w:color w:val="000000" w:themeColor="text1"/>
          <w:spacing w:val="1"/>
          <w:lang w:eastAsia="zh-CN"/>
        </w:rPr>
        <w:t xml:space="preserve"> is introduced to </w:t>
      </w:r>
      <w:r w:rsidR="00113B43">
        <w:rPr>
          <w:color w:val="000000" w:themeColor="text1"/>
          <w:spacing w:val="1"/>
          <w:lang w:eastAsia="zh-CN"/>
        </w:rPr>
        <w:t>adjust</w:t>
      </w:r>
      <w:r>
        <w:rPr>
          <w:rFonts w:hint="eastAsia"/>
          <w:color w:val="000000" w:themeColor="text1"/>
          <w:spacing w:val="1"/>
          <w:lang w:eastAsia="zh-CN"/>
        </w:rPr>
        <w:t xml:space="preserve"> the relative importance of predictors and predictands in </w:t>
      </w:r>
      <w:r w:rsidR="00113B43">
        <w:rPr>
          <w:color w:val="000000" w:themeColor="text1"/>
          <w:spacing w:val="1"/>
          <w:lang w:eastAsia="zh-CN"/>
        </w:rPr>
        <w:t xml:space="preserve">the </w:t>
      </w:r>
      <w:r>
        <w:rPr>
          <w:rFonts w:hint="eastAsia"/>
          <w:color w:val="000000" w:themeColor="text1"/>
          <w:spacing w:val="1"/>
          <w:lang w:eastAsia="zh-CN"/>
        </w:rPr>
        <w:t>clustering</w:t>
      </w:r>
      <w:r w:rsidR="00113B43">
        <w:rPr>
          <w:color w:val="000000" w:themeColor="text1"/>
          <w:spacing w:val="1"/>
          <w:lang w:eastAsia="zh-CN"/>
        </w:rPr>
        <w:t xml:space="preserve"> process</w:t>
      </w:r>
      <w:r>
        <w:rPr>
          <w:rFonts w:hint="eastAsia"/>
          <w:color w:val="000000" w:themeColor="text1"/>
          <w:spacing w:val="1"/>
          <w:lang w:eastAsia="zh-CN"/>
        </w:rPr>
        <w:t xml:space="preserve">. The classification becomes unsupervised and fully supervised when </w:t>
      </w:r>
      <m:oMath>
        <m:r>
          <w:rPr>
            <w:rFonts w:ascii="Cambria Math" w:hAnsi="Cambria Math"/>
            <w:color w:val="000000" w:themeColor="text1"/>
            <w:spacing w:val="1"/>
          </w:rPr>
          <m:t>α</m:t>
        </m:r>
      </m:oMath>
      <w:r>
        <w:rPr>
          <w:rFonts w:hint="eastAsia"/>
          <w:color w:val="000000" w:themeColor="text1"/>
          <w:spacing w:val="1"/>
          <w:lang w:eastAsia="zh-CN"/>
        </w:rPr>
        <w:t xml:space="preserve"> is 0 and 1, respectively. </w:t>
      </w:r>
      <w:r w:rsidRPr="00A66E2B">
        <w:rPr>
          <w:color w:val="000000" w:themeColor="text1"/>
          <w:spacing w:val="1"/>
          <w:lang w:eastAsia="zh-CN"/>
        </w:rPr>
        <w:t>We use</w:t>
      </w:r>
      <w:r>
        <w:rPr>
          <w:rFonts w:hint="eastAsia"/>
          <w:color w:val="000000" w:themeColor="text1"/>
          <w:spacing w:val="1"/>
          <w:lang w:eastAsia="zh-CN"/>
        </w:rPr>
        <w:t>d</w:t>
      </w:r>
      <w:r w:rsidRPr="00A66E2B">
        <w:rPr>
          <w:color w:val="000000" w:themeColor="text1"/>
          <w:spacing w:val="1"/>
          <w:lang w:eastAsia="zh-CN"/>
        </w:rPr>
        <w:t xml:space="preserve"> a value of 0.6 based on previous research</w:t>
      </w:r>
      <w:r w:rsidR="00B65149">
        <w:rPr>
          <w:color w:val="000000" w:themeColor="text1"/>
          <w:spacing w:val="1"/>
          <w:lang w:eastAsia="zh-CN"/>
        </w:rPr>
        <w:t xml:space="preserve"> </w:t>
      </w:r>
      <w:r w:rsidR="00B65149">
        <w:rPr>
          <w:color w:val="000000" w:themeColor="text1"/>
          <w:spacing w:val="1"/>
          <w:lang w:eastAsia="zh-CN"/>
        </w:rPr>
        <w:fldChar w:fldCharType="begin"/>
      </w:r>
      <w:r w:rsidR="00B65149">
        <w:rPr>
          <w:color w:val="000000" w:themeColor="text1"/>
          <w:spacing w:val="1"/>
          <w:lang w:eastAsia="zh-CN"/>
        </w:rPr>
        <w:instrText xml:space="preserve"> ADDIN ZOTERO_ITEM CSL_CITATION {"citationID":"SbFDZkH2","properties":{"formattedCitation":"(Camus et al. 2016)","plainCitation":"(Camus et al. 2016)","noteIndex":0},"citationItems":[{"id":411,"uris":["http://zotero.org/users/10288439/items/W39KXC6S"],"itemData":{"id":411,"type":"article-journal","abstract":"A regression-guided classification is implemented in statistical downscaling models based on weather types for downscaling multivariate wave climate and modelling extreme events. The semi-supervised method classifies the atmospheric circulation conditions (predictor) and the estimations from a regression model linking the circulation with local marine climate (filtered predictand). A weighted factor controls the influence of the predictor and predictand in the weather patterns to improve the performance of the classification to reflect local marine climate characteristics. In addition to the analysis of the variance explained by the predictor and the predictand, the selection of the optimal value of the weighted factor is based on the predictand response in order to avoid subjectivity in the solution. The statistical models using the guided classification are applied in the North Atlantic. The new technique reduces the dispersion of the multivariate predictand within weather types and improves the model skill to downscale waves and to reproduce extremes.","container-title":"Ocean Dynamics","DOI":"10.1007/s10236-016-1004-5","ISSN":"1616-7228","issue":"12","journalAbbreviation":"Ocean Dynamics","language":"en","note":"rate: 5","page":"1589-1601","source":"Springer Link","title":"An atmospheric-to-marine synoptic classification for statistical downscaling marine climate","volume":"66","author":[{"family":"Camus","given":"Paula"},{"family":"Rueda","given":"Ana"},{"family":"Méndez","given":"Fernando J."},{"family":"Losada","given":"Iñigo J."}],"issued":{"date-parts":[["2016",12,1]]}}}],"schema":"https://github.com/citation-style-language/schema/raw/master/csl-citation.json"} </w:instrText>
      </w:r>
      <w:r w:rsidR="00B65149">
        <w:rPr>
          <w:color w:val="000000" w:themeColor="text1"/>
          <w:spacing w:val="1"/>
          <w:lang w:eastAsia="zh-CN"/>
        </w:rPr>
        <w:fldChar w:fldCharType="separate"/>
      </w:r>
      <w:r w:rsidR="00282A3B" w:rsidRPr="00282A3B">
        <w:t>(Camus et al. 2016)</w:t>
      </w:r>
      <w:r w:rsidR="00B65149">
        <w:rPr>
          <w:color w:val="000000" w:themeColor="text1"/>
          <w:spacing w:val="1"/>
          <w:lang w:eastAsia="zh-CN"/>
        </w:rPr>
        <w:fldChar w:fldCharType="end"/>
      </w:r>
      <w:r>
        <w:rPr>
          <w:rFonts w:hint="eastAsia"/>
          <w:color w:val="000000" w:themeColor="text1"/>
          <w:spacing w:val="1"/>
          <w:lang w:eastAsia="zh-CN"/>
        </w:rPr>
        <w:t xml:space="preserve">, and conducted sensitivity tests </w:t>
      </w:r>
      <w:r w:rsidR="00113B43">
        <w:rPr>
          <w:color w:val="000000" w:themeColor="text1"/>
          <w:spacing w:val="1"/>
          <w:lang w:eastAsia="zh-CN"/>
        </w:rPr>
        <w:t>across</w:t>
      </w:r>
      <w:r>
        <w:rPr>
          <w:rFonts w:hint="eastAsia"/>
          <w:color w:val="000000" w:themeColor="text1"/>
          <w:spacing w:val="1"/>
          <w:lang w:eastAsia="zh-CN"/>
        </w:rPr>
        <w:t xml:space="preserve"> </w:t>
      </w:r>
      <w:r w:rsidR="00113B43">
        <w:rPr>
          <w:color w:val="000000" w:themeColor="text1"/>
          <w:spacing w:val="1"/>
          <w:lang w:eastAsia="zh-CN"/>
        </w:rPr>
        <w:t xml:space="preserve">the range of </w:t>
      </w:r>
      <w:r>
        <w:rPr>
          <w:rFonts w:hint="eastAsia"/>
          <w:color w:val="000000" w:themeColor="text1"/>
          <w:spacing w:val="1"/>
          <w:lang w:eastAsia="zh-CN"/>
        </w:rPr>
        <w:t>0 to 1.</w:t>
      </w:r>
    </w:p>
    <w:tbl>
      <w:tblPr>
        <w:tblStyle w:val="TableGrid"/>
        <w:tblpPr w:leftFromText="180" w:rightFromText="180"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351EF1" w:rsidRPr="007932CF" w14:paraId="721F0543" w14:textId="77777777" w:rsidTr="004B50C1">
        <w:tc>
          <w:tcPr>
            <w:tcW w:w="1129" w:type="dxa"/>
          </w:tcPr>
          <w:p w14:paraId="1316F29A" w14:textId="77777777" w:rsidR="00351EF1" w:rsidRPr="007932CF" w:rsidRDefault="00351EF1" w:rsidP="004B50C1">
            <w:pPr>
              <w:pStyle w:val="Newparagraph"/>
              <w:spacing w:line="360" w:lineRule="auto"/>
              <w:ind w:firstLine="0"/>
              <w:jc w:val="both"/>
            </w:pPr>
          </w:p>
        </w:tc>
        <w:tc>
          <w:tcPr>
            <w:tcW w:w="6096" w:type="dxa"/>
          </w:tcPr>
          <w:p w14:paraId="7265B949" w14:textId="77777777" w:rsidR="00351EF1" w:rsidRPr="007932CF" w:rsidRDefault="00000000" w:rsidP="004B50C1">
            <w:pPr>
              <w:pStyle w:val="Newparagraph"/>
              <w:spacing w:line="360" w:lineRule="auto"/>
              <w:ind w:firstLine="0"/>
              <w:jc w:val="both"/>
              <w:rPr>
                <w:iCs/>
              </w:rPr>
            </w:pPr>
            <m:oMathPara>
              <m:oMath>
                <m:sSup>
                  <m:sSupPr>
                    <m:ctrlPr>
                      <w:rPr>
                        <w:rFonts w:ascii="Cambria Math" w:hAnsi="Cambria Math"/>
                        <w:color w:val="000000" w:themeColor="text1"/>
                        <w:spacing w:val="1"/>
                      </w:rPr>
                    </m:ctrlPr>
                  </m:sSupPr>
                  <m:e>
                    <m:r>
                      <w:rPr>
                        <w:rFonts w:ascii="Cambria Math" w:hAnsi="Cambria Math"/>
                        <w:color w:val="000000" w:themeColor="text1"/>
                        <w:spacing w:val="1"/>
                      </w:rPr>
                      <m:t>Z=[(1-α)X</m:t>
                    </m:r>
                  </m:e>
                  <m:sup>
                    <m:r>
                      <w:rPr>
                        <w:rFonts w:ascii="Cambria Math" w:hAnsi="Cambria Math"/>
                        <w:color w:val="000000" w:themeColor="text1"/>
                        <w:spacing w:val="1"/>
                      </w:rPr>
                      <m:t>EOF</m:t>
                    </m:r>
                  </m:sup>
                </m:sSup>
                <m:r>
                  <w:rPr>
                    <w:rFonts w:ascii="Cambria Math" w:hAnsi="Cambria Math"/>
                    <w:color w:val="000000" w:themeColor="text1"/>
                    <w:spacing w:val="1"/>
                  </w:rPr>
                  <m:t>; α</m:t>
                </m:r>
                <m:acc>
                  <m:accPr>
                    <m:ctrlPr>
                      <w:rPr>
                        <w:rFonts w:ascii="Cambria Math" w:hAnsi="Cambria Math"/>
                        <w:color w:val="000000" w:themeColor="text1"/>
                        <w:spacing w:val="1"/>
                      </w:rPr>
                    </m:ctrlPr>
                  </m:accPr>
                  <m:e>
                    <m:r>
                      <w:rPr>
                        <w:rFonts w:ascii="Cambria Math" w:hAnsi="Cambria Math"/>
                        <w:color w:val="000000" w:themeColor="text1"/>
                        <w:spacing w:val="1"/>
                      </w:rPr>
                      <m:t>Y</m:t>
                    </m:r>
                  </m:e>
                </m:acc>
                <m:r>
                  <w:rPr>
                    <w:rFonts w:ascii="Cambria Math" w:hAnsi="Cambria Math"/>
                    <w:color w:val="000000" w:themeColor="text1"/>
                    <w:spacing w:val="1"/>
                  </w:rPr>
                  <m:t>]</m:t>
                </m:r>
              </m:oMath>
            </m:oMathPara>
          </w:p>
        </w:tc>
        <w:tc>
          <w:tcPr>
            <w:tcW w:w="1264" w:type="dxa"/>
          </w:tcPr>
          <w:p w14:paraId="43822054" w14:textId="67E4C58D" w:rsidR="00351EF1" w:rsidRPr="007932CF" w:rsidRDefault="00351EF1" w:rsidP="004B50C1">
            <w:pPr>
              <w:pStyle w:val="Newparagraph"/>
              <w:spacing w:line="360" w:lineRule="auto"/>
              <w:ind w:firstLine="0"/>
              <w:jc w:val="right"/>
            </w:pPr>
            <w:bookmarkStart w:id="9" w:name="_Ref163652150"/>
            <w:r w:rsidRPr="007932CF">
              <w:t>(</w:t>
            </w:r>
            <w:r w:rsidR="00DB3D18">
              <w:t>7</w:t>
            </w:r>
            <w:r w:rsidRPr="007932CF">
              <w:t>)</w:t>
            </w:r>
            <w:bookmarkEnd w:id="9"/>
          </w:p>
        </w:tc>
      </w:tr>
    </w:tbl>
    <w:p w14:paraId="2B19D7DF" w14:textId="0981F0C3" w:rsidR="00351EF1" w:rsidRDefault="00351EF1" w:rsidP="00351EF1">
      <w:pPr>
        <w:pStyle w:val="Paragraph"/>
        <w:rPr>
          <w:lang w:eastAsia="zh-CN"/>
        </w:rPr>
      </w:pPr>
      <w:r w:rsidRPr="00C9519C">
        <w:rPr>
          <w:lang w:eastAsia="zh-CN"/>
        </w:rPr>
        <w:t xml:space="preserve">The dataset </w:t>
      </w:r>
      <m:oMath>
        <m:r>
          <w:rPr>
            <w:rFonts w:ascii="Cambria Math" w:hAnsi="Cambria Math" w:hint="eastAsia"/>
            <w:lang w:eastAsia="zh-CN"/>
          </w:rPr>
          <m:t>Z</m:t>
        </m:r>
      </m:oMath>
      <w:r w:rsidRPr="00C9519C">
        <w:rPr>
          <w:lang w:eastAsia="zh-CN"/>
        </w:rPr>
        <w:t xml:space="preserve"> is then clustered using </w:t>
      </w:r>
      <w:r>
        <w:rPr>
          <w:lang w:eastAsia="zh-CN"/>
        </w:rPr>
        <w:t>a k</w:t>
      </w:r>
      <w:r w:rsidRPr="00C9519C">
        <w:rPr>
          <w:lang w:eastAsia="zh-CN"/>
        </w:rPr>
        <w:t>-</w:t>
      </w:r>
      <w:r>
        <w:rPr>
          <w:lang w:eastAsia="zh-CN"/>
        </w:rPr>
        <w:t>m</w:t>
      </w:r>
      <w:r w:rsidRPr="00C9519C">
        <w:rPr>
          <w:lang w:eastAsia="zh-CN"/>
        </w:rPr>
        <w:t>eans</w:t>
      </w:r>
      <w:r>
        <w:rPr>
          <w:lang w:eastAsia="zh-CN"/>
        </w:rPr>
        <w:t xml:space="preserve"> clustering</w:t>
      </w:r>
      <w:r w:rsidRPr="00C9519C">
        <w:rPr>
          <w:lang w:eastAsia="zh-CN"/>
        </w:rPr>
        <w:t xml:space="preserve"> </w:t>
      </w:r>
      <w:r>
        <w:rPr>
          <w:lang w:eastAsia="zh-CN"/>
        </w:rPr>
        <w:t>a</w:t>
      </w:r>
      <w:r w:rsidRPr="00C9519C">
        <w:rPr>
          <w:lang w:eastAsia="zh-CN"/>
        </w:rPr>
        <w:t>lgorithm (KMA), a classification scheme that aims to partition a set of data points into K clusters so that the total within-cluster variance is minimised</w:t>
      </w:r>
      <w:r>
        <w:rPr>
          <w:rFonts w:hint="eastAsia"/>
          <w:lang w:eastAsia="zh-CN"/>
        </w:rPr>
        <w:t xml:space="preserve">. </w:t>
      </w:r>
      <w:r w:rsidRPr="00DF5B90">
        <w:rPr>
          <w:lang w:eastAsia="zh-CN"/>
        </w:rPr>
        <w:t>KMA iteratively assign</w:t>
      </w:r>
      <w:r w:rsidR="00113B43">
        <w:rPr>
          <w:lang w:eastAsia="zh-CN"/>
        </w:rPr>
        <w:t>s</w:t>
      </w:r>
      <w:r w:rsidRPr="00DF5B90">
        <w:rPr>
          <w:lang w:eastAsia="zh-CN"/>
        </w:rPr>
        <w:t xml:space="preserve"> each data point to the nearest cluster centroid and then updat</w:t>
      </w:r>
      <w:r w:rsidR="00113B43">
        <w:rPr>
          <w:lang w:eastAsia="zh-CN"/>
        </w:rPr>
        <w:t>es</w:t>
      </w:r>
      <w:r w:rsidRPr="00DF5B90">
        <w:rPr>
          <w:lang w:eastAsia="zh-CN"/>
        </w:rPr>
        <w:t xml:space="preserve"> the centroids based on the newly formed clusters</w:t>
      </w:r>
      <w:r w:rsidR="00B65149">
        <w:rPr>
          <w:lang w:eastAsia="zh-CN"/>
        </w:rPr>
        <w:t xml:space="preserve"> </w:t>
      </w:r>
      <w:r w:rsidR="00B65149">
        <w:rPr>
          <w:lang w:eastAsia="zh-CN"/>
        </w:rPr>
        <w:fldChar w:fldCharType="begin"/>
      </w:r>
      <w:r w:rsidR="00B65149">
        <w:rPr>
          <w:lang w:eastAsia="zh-CN"/>
        </w:rPr>
        <w:instrText xml:space="preserve"> ADDIN ZOTERO_ITEM CSL_CITATION {"citationID":"KM6DQinN","properties":{"formattedCitation":"(Hastie et al. 2009)","plainCitation":"(Hastie et al. 2009)","noteIndex":0},"citationItems":[{"id":989,"uris":["http://zotero.org/users/10288439/items/HYLCSR34"],"itemData":{"id":989,"type":"book","collection-title":"Springer Series in Statistics","event-place":"New York, NY","ISBN":"978-0-387-84857-0","note":"DOI: 10.1007/978-0-387-84858-7","publisher":"Springer","publisher-place":"New York, NY","source":"DOI.org (Crossref)","title":"The Elements of Statistical Learning: Data Mining, Inference, and Prediction","URL":"http://link.springer.com/10.1007/978-0-387-84858-7","author":[{"family":"Hastie","given":"Trevor"},{"family":"Tibshirani","given":"Robert"},{"family":"Friedman","given":"Jerome"}],"accessed":{"date-parts":[["2023",5,2]]},"issued":{"date-parts":[["2009"]]}}}],"schema":"https://github.com/citation-style-language/schema/raw/master/csl-citation.json"} </w:instrText>
      </w:r>
      <w:r w:rsidR="00B65149">
        <w:rPr>
          <w:lang w:eastAsia="zh-CN"/>
        </w:rPr>
        <w:fldChar w:fldCharType="separate"/>
      </w:r>
      <w:r w:rsidR="00282A3B" w:rsidRPr="00282A3B">
        <w:t>(Hastie et al. 2009)</w:t>
      </w:r>
      <w:r w:rsidR="00B65149">
        <w:rPr>
          <w:lang w:eastAsia="zh-CN"/>
        </w:rPr>
        <w:fldChar w:fldCharType="end"/>
      </w:r>
      <w:r w:rsidRPr="00DF5B90">
        <w:rPr>
          <w:lang w:eastAsia="zh-CN"/>
        </w:rPr>
        <w:t xml:space="preserve">. While the initial </w:t>
      </w:r>
      <w:r w:rsidRPr="00751266">
        <w:t>cluster</w:t>
      </w:r>
      <w:r w:rsidRPr="00DF5B90">
        <w:rPr>
          <w:lang w:eastAsia="zh-CN"/>
        </w:rPr>
        <w:t xml:space="preserve"> centroids can be randomly selected from the data points, we adopt the </w:t>
      </w:r>
      <w:r>
        <w:rPr>
          <w:lang w:eastAsia="zh-CN"/>
        </w:rPr>
        <w:t>m</w:t>
      </w:r>
      <w:r w:rsidRPr="00DF5B90">
        <w:rPr>
          <w:lang w:eastAsia="zh-CN"/>
        </w:rPr>
        <w:t xml:space="preserve">aximum </w:t>
      </w:r>
      <w:r>
        <w:rPr>
          <w:lang w:eastAsia="zh-CN"/>
        </w:rPr>
        <w:t>d</w:t>
      </w:r>
      <w:r w:rsidRPr="00DF5B90">
        <w:rPr>
          <w:lang w:eastAsia="zh-CN"/>
        </w:rPr>
        <w:t xml:space="preserve">issimilarity </w:t>
      </w:r>
      <w:r>
        <w:rPr>
          <w:lang w:eastAsia="zh-CN"/>
        </w:rPr>
        <w:t>a</w:t>
      </w:r>
      <w:r w:rsidRPr="00DF5B90">
        <w:rPr>
          <w:lang w:eastAsia="zh-CN"/>
        </w:rPr>
        <w:t xml:space="preserve">lgorithm </w:t>
      </w:r>
      <w:r w:rsidR="00AF72AC">
        <w:rPr>
          <w:lang w:eastAsia="zh-CN"/>
        </w:rPr>
        <w:fldChar w:fldCharType="begin"/>
      </w:r>
      <w:r w:rsidR="00AF72AC">
        <w:rPr>
          <w:lang w:eastAsia="zh-CN"/>
        </w:rPr>
        <w:instrText xml:space="preserve"> ADDIN ZOTERO_ITEM CSL_CITATION {"citationID":"Yeg4Yu3u","properties":{"formattedCitation":"(MDA; Snarey et al. 1997)","plainCitation":"(MDA; Snarey et al. 1997)","noteIndex":0},"citationItems":[{"id":2115,"uris":["http://zotero.org/users/10288439/items/CG8YW3HV"],"itemData":{"id":2115,"type":"article-journal","abstract":"Dissimilarity-based compound selection has been suggested as an effective method for selecting structurally diverse subsets of chemical databases. This article reports a comparison of several maximum-dissimilarity and sphere-exclusion algorithms for dissimilarity-based selection. The effectiveness of the algorithms is quantified by the numbers of biological activity classes identified in subsets selected from the World Drugs Index database, and by the numbers of active compounds identified in feedback searches of this database. The experiments demonstrate the general effectiveness and efficiency of the MaxMin algorithm.","container-title":"Journal of Molecular Graphics and Modelling","DOI":"10.1016/S1093-3263(98)00008-4","ISSN":"1093-3263","issue":"6","journalAbbreviation":"Journal of Molecular Graphics and Modelling","page":"372-385","source":"ScienceDirect","title":"Comparison of algorithms for dissimilarity-based compound selection","volume":"15","author":[{"family":"Snarey","given":"Michael"},{"family":"Terrett","given":"Nicholas K."},{"family":"Willett","given":"Peter"},{"family":"Wilton","given":"David J."}],"issued":{"date-parts":[["1997",12,1]]}},"prefix":"MDA;"}],"schema":"https://github.com/citation-style-language/schema/raw/master/csl-citation.json"} </w:instrText>
      </w:r>
      <w:r w:rsidR="00AF72AC">
        <w:rPr>
          <w:lang w:eastAsia="zh-CN"/>
        </w:rPr>
        <w:fldChar w:fldCharType="separate"/>
      </w:r>
      <w:r w:rsidR="00AF72AC" w:rsidRPr="00AF72AC">
        <w:t>(MDA; Snarey et al. 1997)</w:t>
      </w:r>
      <w:r w:rsidR="00AF72AC">
        <w:rPr>
          <w:lang w:eastAsia="zh-CN"/>
        </w:rPr>
        <w:fldChar w:fldCharType="end"/>
      </w:r>
      <w:r w:rsidR="00AF72AC">
        <w:rPr>
          <w:lang w:eastAsia="zh-CN"/>
        </w:rPr>
        <w:t xml:space="preserve"> </w:t>
      </w:r>
      <w:r w:rsidRPr="00DF5B90">
        <w:rPr>
          <w:lang w:eastAsia="zh-CN"/>
        </w:rPr>
        <w:t>to ensure that the initially selected centroids are well-spaced and representative of the original dataset, as</w:t>
      </w:r>
      <w:r w:rsidRPr="00DF5B90">
        <w:rPr>
          <w:rFonts w:hint="eastAsia"/>
          <w:lang w:eastAsia="zh-CN"/>
        </w:rPr>
        <w:t xml:space="preserve"> </w:t>
      </w:r>
      <w:r w:rsidRPr="00DF5B90">
        <w:rPr>
          <w:lang w:eastAsia="zh-CN"/>
        </w:rPr>
        <w:t>well as to guarantee a deterministic clustering outcome</w:t>
      </w:r>
      <w:r w:rsidR="00B65149">
        <w:rPr>
          <w:lang w:eastAsia="zh-CN"/>
        </w:rPr>
        <w:t xml:space="preserve"> </w:t>
      </w:r>
      <w:r w:rsidR="00B65149">
        <w:rPr>
          <w:lang w:eastAsia="zh-CN"/>
        </w:rPr>
        <w:fldChar w:fldCharType="begin"/>
      </w:r>
      <w:r w:rsidR="00B65149">
        <w:rPr>
          <w:lang w:eastAsia="zh-CN"/>
        </w:rPr>
        <w:instrText xml:space="preserve"> ADDIN ZOTERO_ITEM CSL_CITATION {"citationID":"9LUKb9CE","properties":{"formattedCitation":"(Camus et al. 2011, 2014b)","plainCitation":"(Camus et al. 2011, 2014b)","noteIndex":0},"citationItems":[{"id":403,"uris":["http://zotero.org/users/10288439/items/MXA4CMLA"],"itemData":{"id":403,"type":"article-journal","abstract":"Recent wave reanalysis databases require the application of techniques capable of managing huge amounts of information. In this paper, several clustering and selection algorithms: K-Means (KMA), self-organizing maps (SOM) and Maximum Dissimilarity (MDA) have been applied to analyze trivariate hourly time series of met-ocean parameters (significant wave height, mean period, and mean wave direction). A methodology has been developed to apply the aforementioned techniques to wave climate analysis, which implies data pre-processing and slight modifications in the algorithms. Results show that: a) the SOM classifies the wave climate in the relevant “wave types” projected in a bidimensional lattice, providing an easy visualization and probabilistic multidimensional analysis; b) the KMA technique correctly represents the average wave climate and can be used in several coastal applications such as longshore drift or harbor agitation; c) the MDA algorithm allows selecting a representative subset of the wave climate diversity quite suitable to be implemented in a nearshore propagation methodology.","container-title":"Coastal Engineering","DOI":"10.1016/j.coastaleng.2011.02.003","ISSN":"0378-3839","issue":"6","journalAbbreviation":"Coastal Engineering","language":"en","page":"453-462","source":"ScienceDirect","title":"Analysis of clustering and selection algorithms for the study of multivariate wave climate","volume":"58","author":[{"family":"Camus","given":"Paula"},{"family":"Mendez","given":"Fernando J."},{"family":"Medina","given":"Raul"},{"family":"Cofiño","given":"Antonio S."}],"issued":{"date-parts":[["2011",6,1]]}}},{"id":246,"uris":["http://zotero.org/users/10288439/items/2U8Q7KBN"],"itemData":{"id":246,"type":"article-journal","container-title":"Journal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J."},{"family":"Medina","given":"Raúl"}],"issued":{"date-parts":[["2014",11]]}}}],"schema":"https://github.com/citation-style-language/schema/raw/master/csl-citation.json"} </w:instrText>
      </w:r>
      <w:r w:rsidR="00B65149">
        <w:rPr>
          <w:lang w:eastAsia="zh-CN"/>
        </w:rPr>
        <w:fldChar w:fldCharType="separate"/>
      </w:r>
      <w:r w:rsidR="00282A3B" w:rsidRPr="00282A3B">
        <w:t>(Camus et al. 2011, 2014b)</w:t>
      </w:r>
      <w:r w:rsidR="00B65149">
        <w:rPr>
          <w:lang w:eastAsia="zh-CN"/>
        </w:rPr>
        <w:fldChar w:fldCharType="end"/>
      </w:r>
      <w:r w:rsidRPr="00DF5B90">
        <w:rPr>
          <w:rFonts w:hint="eastAsia"/>
          <w:lang w:eastAsia="zh-CN"/>
        </w:rPr>
        <w:t>.</w:t>
      </w:r>
      <w:r>
        <w:rPr>
          <w:rFonts w:hint="eastAsia"/>
          <w:lang w:eastAsia="zh-CN"/>
        </w:rPr>
        <w:t xml:space="preserve"> </w:t>
      </w:r>
      <w:r w:rsidRPr="00751266">
        <w:rPr>
          <w:lang w:eastAsia="zh-CN"/>
        </w:rPr>
        <w:t>The generated clusters</w:t>
      </w:r>
      <w:r>
        <w:rPr>
          <w:rFonts w:hint="eastAsia"/>
          <w:lang w:eastAsia="zh-CN"/>
        </w:rPr>
        <w:t xml:space="preserve"> (</w:t>
      </w:r>
      <w:r w:rsidRPr="00056048">
        <w:rPr>
          <w:lang w:eastAsia="zh-CN"/>
        </w:rPr>
        <w:t>i.e</w:t>
      </w:r>
      <w:r w:rsidRPr="00056048">
        <w:rPr>
          <w:rFonts w:hint="eastAsia"/>
          <w:lang w:eastAsia="zh-CN"/>
        </w:rPr>
        <w:t>.</w:t>
      </w:r>
      <w:r w:rsidRPr="00077044">
        <w:rPr>
          <w:rFonts w:hint="eastAsia"/>
          <w:lang w:eastAsia="zh-CN"/>
        </w:rPr>
        <w:t>,</w:t>
      </w:r>
      <w:r>
        <w:rPr>
          <w:rFonts w:hint="eastAsia"/>
          <w:lang w:eastAsia="zh-CN"/>
        </w:rPr>
        <w:t xml:space="preserve"> WTs)</w:t>
      </w:r>
      <w:r w:rsidRPr="00751266">
        <w:rPr>
          <w:lang w:eastAsia="zh-CN"/>
        </w:rPr>
        <w:t xml:space="preserve"> are represented by the corresponding cluster centroids </w:t>
      </w:r>
      <w:r>
        <w:rPr>
          <w:lang w:eastAsia="zh-CN"/>
        </w:rPr>
        <w:t xml:space="preserve">projected back to the original high-dimension space, </w:t>
      </w:r>
      <w:r w:rsidRPr="00751266">
        <w:rPr>
          <w:lang w:eastAsia="zh-CN"/>
        </w:rPr>
        <w:t>which are organised into a bi-dimensional lattice</w:t>
      </w:r>
      <w:r>
        <w:rPr>
          <w:lang w:eastAsia="zh-CN"/>
        </w:rPr>
        <w:t xml:space="preserve"> in a way that WTs with similar patterns (</w:t>
      </w:r>
      <w:r w:rsidRPr="00056048">
        <w:rPr>
          <w:lang w:eastAsia="zh-CN"/>
        </w:rPr>
        <w:t>i.e.</w:t>
      </w:r>
      <w:r w:rsidRPr="00077044">
        <w:rPr>
          <w:lang w:eastAsia="zh-CN"/>
        </w:rPr>
        <w:t>, l</w:t>
      </w:r>
      <w:r>
        <w:rPr>
          <w:lang w:eastAsia="zh-CN"/>
        </w:rPr>
        <w:t>ower centroid distances) are placed together</w:t>
      </w:r>
      <w:r w:rsidRPr="00751266">
        <w:rPr>
          <w:lang w:eastAsia="zh-CN"/>
        </w:rPr>
        <w:t xml:space="preserve"> for better visualisation</w:t>
      </w:r>
      <w:r w:rsidR="00AC302F">
        <w:rPr>
          <w:lang w:eastAsia="zh-CN"/>
        </w:rPr>
        <w:t xml:space="preserve"> </w:t>
      </w:r>
      <w:r w:rsidR="00AC302F">
        <w:rPr>
          <w:lang w:eastAsia="zh-CN"/>
        </w:rPr>
        <w:fldChar w:fldCharType="begin"/>
      </w:r>
      <w:r w:rsidR="00360B86">
        <w:rPr>
          <w:lang w:eastAsia="zh-CN"/>
        </w:rPr>
        <w:instrText xml:space="preserve"> ADDIN ZOTERO_ITEM CSL_CITATION {"citationID":"vIYVVogl","properties":{"formattedCitation":"(Camus et al. 2014b)","plainCitation":"(Camus et al. 2014b)","noteIndex":0},"citationItems":[{"id":246,"uris":["http://zotero.org/users/10288439/items/2U8Q7KBN"],"itemData":{"id":246,"type":"article-journal","container-title":"Journal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J."},{"family":"Medina","given":"Raúl"}],"issued":{"date-parts":[["2014",11]]}}}],"schema":"https://github.com/citation-style-language/schema/raw/master/csl-citation.json"} </w:instrText>
      </w:r>
      <w:r w:rsidR="00AC302F">
        <w:rPr>
          <w:lang w:eastAsia="zh-CN"/>
        </w:rPr>
        <w:fldChar w:fldCharType="separate"/>
      </w:r>
      <w:r w:rsidR="00360B86" w:rsidRPr="00360B86">
        <w:t>(Camus et al. 2014b)</w:t>
      </w:r>
      <w:r w:rsidR="00AC302F">
        <w:rPr>
          <w:lang w:eastAsia="zh-CN"/>
        </w:rPr>
        <w:fldChar w:fldCharType="end"/>
      </w:r>
      <w:r w:rsidRPr="00751266">
        <w:rPr>
          <w:lang w:eastAsia="zh-CN"/>
        </w:rPr>
        <w:t>.</w:t>
      </w:r>
    </w:p>
    <w:p w14:paraId="197B5BA8" w14:textId="0A2448EB" w:rsidR="00351EF1" w:rsidRDefault="00351EF1" w:rsidP="00351EF1">
      <w:pPr>
        <w:pStyle w:val="Paragraph"/>
        <w:rPr>
          <w:lang w:eastAsia="zh-CN"/>
        </w:rPr>
      </w:pPr>
      <w:r w:rsidRPr="00595A20">
        <w:rPr>
          <w:lang w:eastAsia="zh-CN"/>
        </w:rPr>
        <w:lastRenderedPageBreak/>
        <w:t xml:space="preserve">The following step is to define </w:t>
      </w:r>
      <w:r>
        <w:rPr>
          <w:lang w:eastAsia="zh-CN"/>
        </w:rPr>
        <w:t xml:space="preserve">empirical </w:t>
      </w:r>
      <w:r w:rsidRPr="00595A20">
        <w:rPr>
          <w:lang w:eastAsia="zh-CN"/>
        </w:rPr>
        <w:t>statistical relationships between predictor</w:t>
      </w:r>
      <w:r>
        <w:rPr>
          <w:lang w:eastAsia="zh-CN"/>
        </w:rPr>
        <w:t>s</w:t>
      </w:r>
      <w:r w:rsidRPr="00595A20">
        <w:rPr>
          <w:lang w:eastAsia="zh-CN"/>
        </w:rPr>
        <w:t xml:space="preserve"> and predictand</w:t>
      </w:r>
      <w:r>
        <w:rPr>
          <w:lang w:eastAsia="zh-CN"/>
        </w:rPr>
        <w:t>s</w:t>
      </w:r>
      <w:r>
        <w:rPr>
          <w:rFonts w:hint="eastAsia"/>
          <w:lang w:eastAsia="zh-CN"/>
        </w:rPr>
        <w:t xml:space="preserve">. </w:t>
      </w:r>
      <w:r w:rsidRPr="00595A20">
        <w:rPr>
          <w:lang w:eastAsia="zh-CN"/>
        </w:rPr>
        <w:t xml:space="preserve">Since each </w:t>
      </w:r>
      <w:r>
        <w:rPr>
          <w:lang w:eastAsia="zh-CN"/>
        </w:rPr>
        <w:t>WT</w:t>
      </w:r>
      <w:r w:rsidRPr="00595A20">
        <w:rPr>
          <w:lang w:eastAsia="zh-CN"/>
        </w:rPr>
        <w:t xml:space="preserve"> is associated with certain dates, hourly wave </w:t>
      </w:r>
      <w:r>
        <w:rPr>
          <w:rFonts w:hint="eastAsia"/>
          <w:lang w:eastAsia="zh-CN"/>
        </w:rPr>
        <w:t xml:space="preserve">and surge </w:t>
      </w:r>
      <w:r w:rsidRPr="00595A20">
        <w:rPr>
          <w:lang w:eastAsia="zh-CN"/>
        </w:rPr>
        <w:t xml:space="preserve">parameters of </w:t>
      </w:r>
      <w:r>
        <w:rPr>
          <w:lang w:eastAsia="zh-CN"/>
        </w:rPr>
        <w:t>those</w:t>
      </w:r>
      <w:r w:rsidRPr="00595A20">
        <w:rPr>
          <w:lang w:eastAsia="zh-CN"/>
        </w:rPr>
        <w:t xml:space="preserve"> dates are collected to </w:t>
      </w:r>
      <w:r>
        <w:rPr>
          <w:lang w:eastAsia="zh-CN"/>
        </w:rPr>
        <w:t>derive</w:t>
      </w:r>
      <w:r w:rsidRPr="00595A20">
        <w:rPr>
          <w:lang w:eastAsia="zh-CN"/>
        </w:rPr>
        <w:t xml:space="preserve"> the probability distributions</w:t>
      </w:r>
      <w:r>
        <w:rPr>
          <w:lang w:eastAsia="zh-CN"/>
        </w:rPr>
        <w:t xml:space="preserve"> </w:t>
      </w:r>
      <m:oMath>
        <m:sSub>
          <m:sSubPr>
            <m:ctrlPr>
              <w:rPr>
                <w:rFonts w:ascii="Cambria Math" w:hAnsi="Cambria Math" w:cs="Cambria Math"/>
                <w:i/>
                <w:lang w:eastAsia="zh-CN"/>
              </w:rPr>
            </m:ctrlPr>
          </m:sSubPr>
          <m:e>
            <m:r>
              <w:rPr>
                <w:rFonts w:ascii="Cambria Math" w:hAnsi="Cambria Math" w:cs="Cambria Math"/>
                <w:lang w:eastAsia="zh-CN"/>
              </w:rPr>
              <m:t>f</m:t>
            </m:r>
          </m:e>
          <m:sub>
            <m:r>
              <w:rPr>
                <w:rFonts w:ascii="Cambria Math" w:hAnsi="Cambria Math" w:cs="Cambria Math"/>
                <w:lang w:eastAsia="zh-CN"/>
              </w:rPr>
              <m:t>i</m:t>
            </m:r>
          </m:sub>
        </m:sSub>
        <m:d>
          <m:dPr>
            <m:ctrlPr>
              <w:rPr>
                <w:rFonts w:ascii="Cambria Math" w:hAnsi="Cambria Math"/>
                <w:i/>
                <w:lang w:eastAsia="zh-CN"/>
              </w:rPr>
            </m:ctrlPr>
          </m:dPr>
          <m:e>
            <m:r>
              <w:rPr>
                <w:rFonts w:ascii="Cambria Math" w:hAnsi="Cambria Math" w:cs="Cambria Math"/>
                <w:lang w:eastAsia="zh-CN"/>
              </w:rPr>
              <m:t>Y</m:t>
            </m:r>
          </m:e>
        </m:d>
      </m:oMath>
      <w:r>
        <w:rPr>
          <w:lang w:eastAsia="zh-CN"/>
        </w:rPr>
        <w:t xml:space="preserve"> of these parameters associated with each WT. </w:t>
      </w:r>
      <w:r w:rsidRPr="00595A20">
        <w:rPr>
          <w:lang w:eastAsia="zh-CN"/>
        </w:rPr>
        <w:t xml:space="preserve">Together with the probability of occurrence </w:t>
      </w:r>
      <m:oMath>
        <m:sSub>
          <m:sSubPr>
            <m:ctrlPr>
              <w:rPr>
                <w:rFonts w:ascii="Cambria Math" w:hAnsi="Cambria Math" w:cs="Cambria Math"/>
                <w:i/>
                <w:lang w:eastAsia="zh-CN"/>
              </w:rPr>
            </m:ctrlPr>
          </m:sSubPr>
          <m:e>
            <m:r>
              <w:rPr>
                <w:rFonts w:ascii="Cambria Math" w:hAnsi="Cambria Math" w:cs="Cambria Math"/>
                <w:lang w:eastAsia="zh-CN"/>
              </w:rPr>
              <m:t>p</m:t>
            </m:r>
          </m:e>
          <m:sub>
            <m:r>
              <w:rPr>
                <w:rFonts w:ascii="Cambria Math" w:hAnsi="Cambria Math" w:cs="Cambria Math"/>
                <w:lang w:eastAsia="zh-CN"/>
              </w:rPr>
              <m:t>i</m:t>
            </m:r>
          </m:sub>
        </m:sSub>
      </m:oMath>
      <w:r w:rsidRPr="00595A20">
        <w:rPr>
          <w:lang w:eastAsia="zh-CN"/>
        </w:rPr>
        <w:t xml:space="preserve"> for each </w:t>
      </w:r>
      <m:oMath>
        <m:sSub>
          <m:sSubPr>
            <m:ctrlPr>
              <w:rPr>
                <w:rFonts w:ascii="Cambria Math" w:hAnsi="Cambria Math" w:cs="Cambria Math"/>
                <w:i/>
                <w:lang w:eastAsia="zh-CN"/>
              </w:rPr>
            </m:ctrlPr>
          </m:sSubPr>
          <m:e>
            <m:r>
              <w:rPr>
                <w:rFonts w:ascii="Cambria Math" w:hAnsi="Cambria Math" w:cs="Cambria Math"/>
                <w:lang w:eastAsia="zh-CN"/>
              </w:rPr>
              <m:t>WT</m:t>
            </m:r>
          </m:e>
          <m:sub>
            <m:r>
              <w:rPr>
                <w:rFonts w:ascii="Cambria Math" w:hAnsi="Cambria Math" w:cs="Cambria Math"/>
                <w:lang w:eastAsia="zh-CN"/>
              </w:rPr>
              <m:t>i</m:t>
            </m:r>
          </m:sub>
        </m:sSub>
      </m:oMath>
      <w:r w:rsidRPr="00595A20">
        <w:rPr>
          <w:lang w:eastAsia="zh-CN"/>
        </w:rPr>
        <w:t xml:space="preserve">, the </w:t>
      </w:r>
      <w:r>
        <w:rPr>
          <w:lang w:eastAsia="zh-CN"/>
        </w:rPr>
        <w:t>complete</w:t>
      </w:r>
      <w:r w:rsidRPr="00595A20">
        <w:rPr>
          <w:lang w:eastAsia="zh-CN"/>
        </w:rPr>
        <w:t xml:space="preserve"> distribution of </w:t>
      </w:r>
      <w:r>
        <w:rPr>
          <w:lang w:eastAsia="zh-CN"/>
        </w:rPr>
        <w:t xml:space="preserve">the </w:t>
      </w:r>
      <w:r w:rsidRPr="00595A20">
        <w:rPr>
          <w:lang w:eastAsia="zh-CN"/>
        </w:rPr>
        <w:t xml:space="preserve">local predictands </w:t>
      </w:r>
      <m:oMath>
        <m:r>
          <w:rPr>
            <w:rFonts w:ascii="Cambria Math" w:hAnsi="Cambria Math" w:cs="Cambria Math"/>
            <w:lang w:eastAsia="zh-CN"/>
          </w:rPr>
          <m:t>f</m:t>
        </m:r>
        <m:r>
          <w:rPr>
            <w:rFonts w:ascii="Cambria Math" w:hAnsi="Cambria Math"/>
            <w:lang w:eastAsia="zh-CN"/>
          </w:rPr>
          <m:t>(</m:t>
        </m:r>
        <m:r>
          <w:rPr>
            <w:rFonts w:ascii="Cambria Math" w:hAnsi="Cambria Math" w:cs="Cambria Math"/>
            <w:lang w:eastAsia="zh-CN"/>
          </w:rPr>
          <m:t>Y</m:t>
        </m:r>
        <m:r>
          <w:rPr>
            <w:rFonts w:ascii="Cambria Math" w:hAnsi="Cambria Math"/>
            <w:lang w:eastAsia="zh-CN"/>
          </w:rPr>
          <m:t>)</m:t>
        </m:r>
      </m:oMath>
      <w:r w:rsidRPr="00595A20">
        <w:rPr>
          <w:lang w:eastAsia="zh-CN"/>
        </w:rPr>
        <w:t xml:space="preserve"> </w:t>
      </w:r>
      <w:r>
        <w:rPr>
          <w:lang w:eastAsia="zh-CN"/>
        </w:rPr>
        <w:t xml:space="preserve">during the calibration period </w:t>
      </w:r>
      <w:r w:rsidRPr="00595A20">
        <w:rPr>
          <w:lang w:eastAsia="zh-CN"/>
        </w:rPr>
        <w:t xml:space="preserve">can be </w:t>
      </w:r>
      <w:r>
        <w:rPr>
          <w:lang w:eastAsia="zh-CN"/>
        </w:rPr>
        <w:t>given</w:t>
      </w:r>
      <w:r w:rsidRPr="00595A20">
        <w:rPr>
          <w:lang w:eastAsia="zh-CN"/>
        </w:rPr>
        <w:t xml:space="preserve"> as </w:t>
      </w:r>
      <w:r>
        <w:rPr>
          <w:lang w:eastAsia="zh-CN"/>
        </w:rPr>
        <w:t>follows</w:t>
      </w:r>
      <w:r w:rsidRPr="00595A20">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351EF1" w:rsidRPr="007932CF" w14:paraId="76AF2902" w14:textId="77777777" w:rsidTr="004B50C1">
        <w:tc>
          <w:tcPr>
            <w:tcW w:w="1129" w:type="dxa"/>
            <w:vAlign w:val="center"/>
          </w:tcPr>
          <w:p w14:paraId="2C78071C" w14:textId="77777777" w:rsidR="00351EF1" w:rsidRPr="007932CF" w:rsidRDefault="00351EF1" w:rsidP="004B50C1">
            <w:pPr>
              <w:pStyle w:val="Newparagraph"/>
              <w:spacing w:line="360" w:lineRule="auto"/>
              <w:ind w:firstLine="0"/>
              <w:jc w:val="right"/>
            </w:pPr>
          </w:p>
        </w:tc>
        <w:tc>
          <w:tcPr>
            <w:tcW w:w="6096" w:type="dxa"/>
            <w:vAlign w:val="center"/>
          </w:tcPr>
          <w:p w14:paraId="13B5972A" w14:textId="77777777" w:rsidR="00351EF1" w:rsidRPr="007932CF" w:rsidRDefault="00351EF1" w:rsidP="004B50C1">
            <w:pPr>
              <w:pStyle w:val="Newparagraph"/>
              <w:spacing w:line="360" w:lineRule="auto"/>
              <w:ind w:firstLine="0"/>
              <w:jc w:val="right"/>
              <w:rPr>
                <w:iCs/>
              </w:rPr>
            </w:pPr>
            <m:oMathPara>
              <m:oMath>
                <m:r>
                  <w:rPr>
                    <w:rFonts w:ascii="Cambria Math" w:hAnsi="Cambria Math"/>
                    <w:color w:val="000000" w:themeColor="text1"/>
                    <w:spacing w:val="1"/>
                  </w:rPr>
                  <m:t>f</m:t>
                </m:r>
                <m:d>
                  <m:dPr>
                    <m:ctrlPr>
                      <w:rPr>
                        <w:rFonts w:ascii="Cambria Math" w:hAnsi="Cambria Math"/>
                        <w:color w:val="000000" w:themeColor="text1"/>
                        <w:spacing w:val="1"/>
                      </w:rPr>
                    </m:ctrlPr>
                  </m:dPr>
                  <m:e>
                    <m:r>
                      <w:rPr>
                        <w:rFonts w:ascii="Cambria Math" w:hAnsi="Cambria Math"/>
                        <w:color w:val="000000" w:themeColor="text1"/>
                        <w:spacing w:val="1"/>
                      </w:rPr>
                      <m:t>Y</m:t>
                    </m:r>
                  </m:e>
                </m:d>
                <m:r>
                  <w:rPr>
                    <w:rFonts w:ascii="Cambria Math" w:hAnsi="Cambria Math"/>
                    <w:color w:val="000000" w:themeColor="text1"/>
                    <w:spacing w:val="1"/>
                  </w:rPr>
                  <m:t>=</m:t>
                </m:r>
                <m:nary>
                  <m:naryPr>
                    <m:chr m:val="∑"/>
                    <m:limLoc m:val="undOvr"/>
                    <m:ctrlPr>
                      <w:rPr>
                        <w:rFonts w:ascii="Cambria Math" w:hAnsi="Cambria Math"/>
                        <w:color w:val="000000" w:themeColor="text1"/>
                        <w:spacing w:val="1"/>
                      </w:rPr>
                    </m:ctrlPr>
                  </m:naryPr>
                  <m:sub>
                    <m:r>
                      <w:rPr>
                        <w:rFonts w:ascii="Cambria Math" w:hAnsi="Cambria Math"/>
                        <w:color w:val="000000" w:themeColor="text1"/>
                        <w:spacing w:val="1"/>
                      </w:rPr>
                      <m:t>i=1</m:t>
                    </m:r>
                  </m:sub>
                  <m:sup>
                    <m:r>
                      <w:rPr>
                        <w:rFonts w:ascii="Cambria Math" w:hAnsi="Cambria Math"/>
                        <w:color w:val="000000" w:themeColor="text1"/>
                        <w:spacing w:val="1"/>
                      </w:rPr>
                      <m:t>N</m:t>
                    </m:r>
                  </m:sup>
                  <m:e>
                    <m:sSub>
                      <m:sSubPr>
                        <m:ctrlPr>
                          <w:rPr>
                            <w:rFonts w:ascii="Cambria Math" w:hAnsi="Cambria Math"/>
                            <w:color w:val="000000" w:themeColor="text1"/>
                            <w:spacing w:val="1"/>
                          </w:rPr>
                        </m:ctrlPr>
                      </m:sSubPr>
                      <m:e>
                        <m:r>
                          <w:rPr>
                            <w:rFonts w:ascii="Cambria Math" w:hAnsi="Cambria Math"/>
                            <w:color w:val="000000" w:themeColor="text1"/>
                            <w:spacing w:val="1"/>
                          </w:rPr>
                          <m:t>p</m:t>
                        </m:r>
                      </m:e>
                      <m:sub>
                        <m:r>
                          <w:rPr>
                            <w:rFonts w:ascii="Cambria Math" w:hAnsi="Cambria Math"/>
                            <w:color w:val="000000" w:themeColor="text1"/>
                            <w:spacing w:val="1"/>
                          </w:rPr>
                          <m:t>i</m:t>
                        </m:r>
                      </m:sub>
                    </m:sSub>
                    <m:r>
                      <w:rPr>
                        <w:rFonts w:ascii="Cambria Math" w:hAnsi="Cambria Math"/>
                        <w:color w:val="000000" w:themeColor="text1"/>
                        <w:spacing w:val="1"/>
                      </w:rPr>
                      <m:t>∙</m:t>
                    </m:r>
                    <m:sSub>
                      <m:sSubPr>
                        <m:ctrlPr>
                          <w:rPr>
                            <w:rFonts w:ascii="Cambria Math" w:hAnsi="Cambria Math"/>
                            <w:color w:val="000000" w:themeColor="text1"/>
                            <w:spacing w:val="1"/>
                          </w:rPr>
                        </m:ctrlPr>
                      </m:sSubPr>
                      <m:e>
                        <m:r>
                          <w:rPr>
                            <w:rFonts w:ascii="Cambria Math" w:hAnsi="Cambria Math"/>
                            <w:color w:val="000000" w:themeColor="text1"/>
                            <w:spacing w:val="1"/>
                          </w:rPr>
                          <m:t>f</m:t>
                        </m:r>
                      </m:e>
                      <m:sub>
                        <m:r>
                          <w:rPr>
                            <w:rFonts w:ascii="Cambria Math" w:hAnsi="Cambria Math"/>
                            <w:color w:val="000000" w:themeColor="text1"/>
                            <w:spacing w:val="1"/>
                          </w:rPr>
                          <m:t>i</m:t>
                        </m:r>
                      </m:sub>
                    </m:sSub>
                    <m:r>
                      <w:rPr>
                        <w:rFonts w:ascii="Cambria Math" w:hAnsi="Cambria Math"/>
                        <w:color w:val="000000" w:themeColor="text1"/>
                        <w:spacing w:val="1"/>
                      </w:rPr>
                      <m:t>(Y)</m:t>
                    </m:r>
                  </m:e>
                </m:nary>
              </m:oMath>
            </m:oMathPara>
          </w:p>
        </w:tc>
        <w:tc>
          <w:tcPr>
            <w:tcW w:w="1264" w:type="dxa"/>
            <w:vAlign w:val="center"/>
          </w:tcPr>
          <w:p w14:paraId="3874DF81" w14:textId="7D3A9F77" w:rsidR="00351EF1" w:rsidRPr="007932CF" w:rsidRDefault="00351EF1" w:rsidP="004B50C1">
            <w:pPr>
              <w:pStyle w:val="Newparagraph"/>
              <w:spacing w:line="360" w:lineRule="auto"/>
              <w:ind w:firstLine="0"/>
              <w:jc w:val="right"/>
            </w:pPr>
            <w:r w:rsidRPr="007932CF">
              <w:t>(</w:t>
            </w:r>
            <w:r w:rsidR="00DB3D18">
              <w:t>8</w:t>
            </w:r>
            <w:r w:rsidRPr="007932CF">
              <w:t>)</w:t>
            </w:r>
          </w:p>
        </w:tc>
      </w:tr>
    </w:tbl>
    <w:p w14:paraId="38C52711" w14:textId="77777777" w:rsidR="00351EF1" w:rsidRDefault="00351EF1" w:rsidP="00351EF1">
      <w:pPr>
        <w:pStyle w:val="Paragraph"/>
        <w:rPr>
          <w:lang w:eastAsia="zh-CN"/>
        </w:rPr>
      </w:pPr>
      <w:r w:rsidRPr="006F5545">
        <w:rPr>
          <w:lang w:eastAsia="zh-CN"/>
        </w:rPr>
        <w:t xml:space="preserve">where </w:t>
      </w:r>
      <m:oMath>
        <m:r>
          <w:rPr>
            <w:rFonts w:ascii="Cambria Math" w:hAnsi="Cambria Math"/>
            <w:lang w:eastAsia="zh-CN"/>
          </w:rPr>
          <m:t>N</m:t>
        </m:r>
        <m:r>
          <m:rPr>
            <m:sty m:val="p"/>
          </m:rPr>
          <w:rPr>
            <w:rFonts w:ascii="Cambria Math" w:hAnsi="Cambria Math"/>
            <w:lang w:eastAsia="zh-CN"/>
          </w:rPr>
          <m:t xml:space="preserve"> </m:t>
        </m:r>
      </m:oMath>
      <w:r w:rsidRPr="006F5545">
        <w:rPr>
          <w:lang w:eastAsia="zh-CN"/>
        </w:rPr>
        <w:t xml:space="preserve">is the number of WTs. The empirical relationships </w:t>
      </w:r>
      <m:oMath>
        <m:sSub>
          <m:sSubPr>
            <m:ctrlPr>
              <w:rPr>
                <w:rFonts w:ascii="Cambria Math" w:hAnsi="Cambria Math"/>
                <w:lang w:eastAsia="zh-CN"/>
              </w:rPr>
            </m:ctrlPr>
          </m:sSubPr>
          <m:e>
            <m:r>
              <w:rPr>
                <w:rFonts w:ascii="Cambria Math" w:hAnsi="Cambria Math" w:hint="eastAsia"/>
                <w:lang w:eastAsia="zh-CN"/>
              </w:rPr>
              <m:t>f</m:t>
            </m:r>
          </m:e>
          <m:sub>
            <m:r>
              <w:rPr>
                <w:rFonts w:ascii="Cambria Math" w:hAnsi="Cambria Math"/>
                <w:lang w:eastAsia="zh-CN"/>
              </w:rPr>
              <m:t>i</m:t>
            </m:r>
          </m:sub>
        </m:sSub>
        <m:r>
          <m:rPr>
            <m:sty m:val="p"/>
          </m:rPr>
          <w:rPr>
            <w:rFonts w:ascii="Cambria Math" w:hAnsi="Cambria Math"/>
            <w:lang w:eastAsia="zh-CN"/>
          </w:rPr>
          <m:t>(</m:t>
        </m:r>
        <m:r>
          <w:rPr>
            <w:rFonts w:ascii="Cambria Math" w:hAnsi="Cambria Math"/>
            <w:lang w:eastAsia="zh-CN"/>
          </w:rPr>
          <m:t>Y</m:t>
        </m:r>
        <m:r>
          <m:rPr>
            <m:sty m:val="p"/>
          </m:rPr>
          <w:rPr>
            <w:rFonts w:ascii="Cambria Math" w:hAnsi="Cambria Math"/>
            <w:lang w:eastAsia="zh-CN"/>
          </w:rPr>
          <m:t>)</m:t>
        </m:r>
      </m:oMath>
      <w:r w:rsidRPr="006F5545">
        <w:rPr>
          <w:lang w:eastAsia="zh-CN"/>
        </w:rPr>
        <w:t xml:space="preserve"> derived in the calibration period are assumed to be stationary and valid in any period. Hence, the probability distributions of predictands in a new period </w:t>
      </w:r>
      <m:oMath>
        <m:sSup>
          <m:sSupPr>
            <m:ctrlPr>
              <w:rPr>
                <w:rFonts w:ascii="Cambria Math" w:hAnsi="Cambria Math"/>
                <w:lang w:eastAsia="zh-CN"/>
              </w:rPr>
            </m:ctrlPr>
          </m:sSupPr>
          <m:e>
            <m:r>
              <w:rPr>
                <w:rFonts w:ascii="Cambria Math" w:hAnsi="Cambria Math"/>
                <w:lang w:eastAsia="zh-CN"/>
              </w:rPr>
              <m:t>f</m:t>
            </m:r>
          </m:e>
          <m:sup>
            <m:r>
              <m:rPr>
                <m:sty m:val="p"/>
              </m:rPr>
              <w:rPr>
                <w:rFonts w:ascii="Cambria Math" w:hAnsi="Cambria Math"/>
                <w:lang w:eastAsia="zh-CN"/>
              </w:rPr>
              <m:t>'</m:t>
            </m:r>
          </m:sup>
        </m:sSup>
        <m:d>
          <m:dPr>
            <m:ctrlPr>
              <w:rPr>
                <w:rFonts w:ascii="Cambria Math" w:hAnsi="Cambria Math"/>
                <w:lang w:eastAsia="zh-CN"/>
              </w:rPr>
            </m:ctrlPr>
          </m:dPr>
          <m:e>
            <m:r>
              <w:rPr>
                <w:rFonts w:ascii="Cambria Math" w:hAnsi="Cambria Math"/>
                <w:lang w:eastAsia="zh-CN"/>
              </w:rPr>
              <m:t>Y</m:t>
            </m:r>
          </m:e>
        </m:d>
      </m:oMath>
      <w:r w:rsidRPr="006F5545">
        <w:rPr>
          <w:lang w:eastAsia="zh-CN"/>
        </w:rPr>
        <w:t xml:space="preserve"> can be inferred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351EF1" w:rsidRPr="007932CF" w14:paraId="1AAD37B9" w14:textId="77777777" w:rsidTr="004B50C1">
        <w:tc>
          <w:tcPr>
            <w:tcW w:w="1129" w:type="dxa"/>
          </w:tcPr>
          <w:p w14:paraId="7E787C08" w14:textId="77777777" w:rsidR="00351EF1" w:rsidRPr="007932CF" w:rsidRDefault="00351EF1" w:rsidP="004B50C1">
            <w:pPr>
              <w:pStyle w:val="Newparagraph"/>
              <w:spacing w:line="360" w:lineRule="auto"/>
              <w:ind w:firstLine="0"/>
              <w:jc w:val="both"/>
            </w:pPr>
          </w:p>
        </w:tc>
        <w:tc>
          <w:tcPr>
            <w:tcW w:w="6096" w:type="dxa"/>
          </w:tcPr>
          <w:p w14:paraId="6F3B3C55" w14:textId="77777777" w:rsidR="00351EF1" w:rsidRPr="003D5977" w:rsidRDefault="00000000" w:rsidP="004B50C1">
            <w:pPr>
              <w:pStyle w:val="Newparagraph"/>
              <w:rPr>
                <w:iCs/>
              </w:rPr>
            </w:pPr>
            <m:oMathPara>
              <m:oMath>
                <m:sSup>
                  <m:sSupPr>
                    <m:ctrlPr>
                      <w:rPr>
                        <w:rFonts w:ascii="Cambria Math" w:hAnsi="Cambria Math"/>
                        <w:color w:val="000000" w:themeColor="text1"/>
                        <w:spacing w:val="1"/>
                      </w:rPr>
                    </m:ctrlPr>
                  </m:sSupPr>
                  <m:e>
                    <m:r>
                      <w:rPr>
                        <w:rFonts w:ascii="Cambria Math" w:hAnsi="Cambria Math"/>
                        <w:color w:val="000000" w:themeColor="text1"/>
                        <w:spacing w:val="1"/>
                      </w:rPr>
                      <m:t>f</m:t>
                    </m:r>
                  </m:e>
                  <m:sup>
                    <m:r>
                      <w:rPr>
                        <w:rFonts w:ascii="Cambria Math" w:hAnsi="Cambria Math"/>
                        <w:color w:val="000000" w:themeColor="text1"/>
                        <w:spacing w:val="1"/>
                      </w:rPr>
                      <m:t>'</m:t>
                    </m:r>
                  </m:sup>
                </m:sSup>
                <m:d>
                  <m:dPr>
                    <m:ctrlPr>
                      <w:rPr>
                        <w:rFonts w:ascii="Cambria Math" w:hAnsi="Cambria Math"/>
                        <w:color w:val="000000" w:themeColor="text1"/>
                        <w:spacing w:val="1"/>
                      </w:rPr>
                    </m:ctrlPr>
                  </m:dPr>
                  <m:e>
                    <m:r>
                      <w:rPr>
                        <w:rFonts w:ascii="Cambria Math" w:hAnsi="Cambria Math"/>
                        <w:color w:val="000000" w:themeColor="text1"/>
                        <w:spacing w:val="1"/>
                      </w:rPr>
                      <m:t>Y</m:t>
                    </m:r>
                  </m:e>
                </m:d>
                <m:r>
                  <w:rPr>
                    <w:rFonts w:ascii="Cambria Math" w:hAnsi="Cambria Math"/>
                    <w:color w:val="000000" w:themeColor="text1"/>
                    <w:spacing w:val="1"/>
                  </w:rPr>
                  <m:t>=</m:t>
                </m:r>
                <m:nary>
                  <m:naryPr>
                    <m:chr m:val="∑"/>
                    <m:limLoc m:val="undOvr"/>
                    <m:ctrlPr>
                      <w:rPr>
                        <w:rFonts w:ascii="Cambria Math" w:hAnsi="Cambria Math"/>
                        <w:color w:val="000000" w:themeColor="text1"/>
                        <w:spacing w:val="1"/>
                      </w:rPr>
                    </m:ctrlPr>
                  </m:naryPr>
                  <m:sub>
                    <m:r>
                      <w:rPr>
                        <w:rFonts w:ascii="Cambria Math" w:hAnsi="Cambria Math"/>
                        <w:color w:val="000000" w:themeColor="text1"/>
                        <w:spacing w:val="1"/>
                      </w:rPr>
                      <m:t>i=1</m:t>
                    </m:r>
                  </m:sub>
                  <m:sup>
                    <m:r>
                      <w:rPr>
                        <w:rFonts w:ascii="Cambria Math" w:hAnsi="Cambria Math"/>
                        <w:color w:val="000000" w:themeColor="text1"/>
                        <w:spacing w:val="1"/>
                      </w:rPr>
                      <m:t>N</m:t>
                    </m:r>
                  </m:sup>
                  <m:e>
                    <m:sSubSup>
                      <m:sSubSupPr>
                        <m:ctrlPr>
                          <w:rPr>
                            <w:rFonts w:ascii="Cambria Math" w:hAnsi="Cambria Math"/>
                            <w:color w:val="000000" w:themeColor="text1"/>
                            <w:spacing w:val="1"/>
                          </w:rPr>
                        </m:ctrlPr>
                      </m:sSubSupPr>
                      <m:e>
                        <m:r>
                          <w:rPr>
                            <w:rFonts w:ascii="Cambria Math" w:hAnsi="Cambria Math"/>
                            <w:color w:val="000000" w:themeColor="text1"/>
                            <w:spacing w:val="1"/>
                          </w:rPr>
                          <m:t>p</m:t>
                        </m:r>
                      </m:e>
                      <m:sub>
                        <m:r>
                          <w:rPr>
                            <w:rFonts w:ascii="Cambria Math" w:hAnsi="Cambria Math"/>
                            <w:color w:val="000000" w:themeColor="text1"/>
                            <w:spacing w:val="1"/>
                          </w:rPr>
                          <m:t>i</m:t>
                        </m:r>
                      </m:sub>
                      <m:sup>
                        <m:r>
                          <w:rPr>
                            <w:rFonts w:ascii="Cambria Math" w:hAnsi="Cambria Math"/>
                            <w:color w:val="000000" w:themeColor="text1"/>
                            <w:spacing w:val="1"/>
                          </w:rPr>
                          <m:t>'</m:t>
                        </m:r>
                      </m:sup>
                    </m:sSubSup>
                    <m:r>
                      <w:rPr>
                        <w:rFonts w:ascii="Cambria Math" w:hAnsi="Cambria Math"/>
                        <w:color w:val="000000" w:themeColor="text1"/>
                        <w:spacing w:val="1"/>
                      </w:rPr>
                      <m:t>∙</m:t>
                    </m:r>
                    <m:sSub>
                      <m:sSubPr>
                        <m:ctrlPr>
                          <w:rPr>
                            <w:rFonts w:ascii="Cambria Math" w:hAnsi="Cambria Math"/>
                            <w:color w:val="000000" w:themeColor="text1"/>
                            <w:spacing w:val="1"/>
                          </w:rPr>
                        </m:ctrlPr>
                      </m:sSubPr>
                      <m:e>
                        <m:r>
                          <w:rPr>
                            <w:rFonts w:ascii="Cambria Math" w:hAnsi="Cambria Math"/>
                            <w:color w:val="000000" w:themeColor="text1"/>
                            <w:spacing w:val="1"/>
                          </w:rPr>
                          <m:t>f</m:t>
                        </m:r>
                      </m:e>
                      <m:sub>
                        <m:r>
                          <w:rPr>
                            <w:rFonts w:ascii="Cambria Math" w:hAnsi="Cambria Math"/>
                            <w:color w:val="000000" w:themeColor="text1"/>
                            <w:spacing w:val="1"/>
                          </w:rPr>
                          <m:t>i</m:t>
                        </m:r>
                      </m:sub>
                    </m:sSub>
                    <m:d>
                      <m:dPr>
                        <m:ctrlPr>
                          <w:rPr>
                            <w:rFonts w:ascii="Cambria Math" w:hAnsi="Cambria Math"/>
                            <w:color w:val="000000" w:themeColor="text1"/>
                            <w:spacing w:val="1"/>
                          </w:rPr>
                        </m:ctrlPr>
                      </m:dPr>
                      <m:e>
                        <m:r>
                          <w:rPr>
                            <w:rFonts w:ascii="Cambria Math" w:hAnsi="Cambria Math"/>
                            <w:color w:val="000000" w:themeColor="text1"/>
                            <w:spacing w:val="1"/>
                          </w:rPr>
                          <m:t>Y</m:t>
                        </m:r>
                      </m:e>
                    </m:d>
                  </m:e>
                </m:nary>
              </m:oMath>
            </m:oMathPara>
          </w:p>
        </w:tc>
        <w:tc>
          <w:tcPr>
            <w:tcW w:w="1264" w:type="dxa"/>
            <w:vAlign w:val="center"/>
          </w:tcPr>
          <w:p w14:paraId="4E868BC7" w14:textId="3A1BCA15" w:rsidR="00351EF1" w:rsidRPr="007932CF" w:rsidRDefault="00351EF1" w:rsidP="004B50C1">
            <w:pPr>
              <w:pStyle w:val="Newparagraph"/>
              <w:spacing w:line="360" w:lineRule="auto"/>
              <w:ind w:firstLine="0"/>
              <w:jc w:val="right"/>
            </w:pPr>
            <w:bookmarkStart w:id="10" w:name="_Ref164949766"/>
            <w:r w:rsidRPr="007932CF">
              <w:t>(</w:t>
            </w:r>
            <w:r w:rsidR="00DB3D18">
              <w:t>9</w:t>
            </w:r>
            <w:r w:rsidRPr="007932CF">
              <w:t>)</w:t>
            </w:r>
            <w:bookmarkEnd w:id="10"/>
          </w:p>
        </w:tc>
      </w:tr>
    </w:tbl>
    <w:p w14:paraId="706113B3" w14:textId="2A318BD8" w:rsidR="00DD6BCA" w:rsidRDefault="00351EF1" w:rsidP="003D7D26">
      <w:pPr>
        <w:rPr>
          <w:color w:val="000000" w:themeColor="text1"/>
          <w:spacing w:val="1"/>
        </w:rPr>
      </w:pPr>
      <w:r>
        <w:t xml:space="preserve">where </w:t>
      </w:r>
      <m:oMath>
        <m:sSubSup>
          <m:sSubSupPr>
            <m:ctrlPr>
              <w:rPr>
                <w:rFonts w:ascii="Cambria Math" w:hAnsi="Cambria Math"/>
                <w:color w:val="000000" w:themeColor="text1"/>
                <w:spacing w:val="1"/>
              </w:rPr>
            </m:ctrlPr>
          </m:sSubSupPr>
          <m:e>
            <m:r>
              <w:rPr>
                <w:rFonts w:ascii="Cambria Math" w:hAnsi="Cambria Math"/>
                <w:color w:val="000000" w:themeColor="text1"/>
                <w:spacing w:val="1"/>
              </w:rPr>
              <m:t>p</m:t>
            </m:r>
          </m:e>
          <m:sub>
            <m:r>
              <w:rPr>
                <w:rFonts w:ascii="Cambria Math" w:hAnsi="Cambria Math"/>
                <w:color w:val="000000" w:themeColor="text1"/>
                <w:spacing w:val="1"/>
              </w:rPr>
              <m:t>i</m:t>
            </m:r>
          </m:sub>
          <m:sup>
            <m:r>
              <w:rPr>
                <w:rFonts w:ascii="Cambria Math" w:hAnsi="Cambria Math"/>
                <w:color w:val="000000" w:themeColor="text1"/>
                <w:spacing w:val="1"/>
              </w:rPr>
              <m:t>'</m:t>
            </m:r>
          </m:sup>
        </m:sSubSup>
      </m:oMath>
      <w:r>
        <w:rPr>
          <w:color w:val="000000" w:themeColor="text1"/>
          <w:spacing w:val="1"/>
        </w:rPr>
        <w:t xml:space="preserve"> is the new probability for </w:t>
      </w:r>
      <m:oMath>
        <m:sSub>
          <m:sSubPr>
            <m:ctrlPr>
              <w:rPr>
                <w:rFonts w:ascii="Cambria Math" w:hAnsi="Cambria Math"/>
                <w:i/>
                <w:color w:val="000000" w:themeColor="text1"/>
                <w:spacing w:val="1"/>
              </w:rPr>
            </m:ctrlPr>
          </m:sSubPr>
          <m:e>
            <m:r>
              <w:rPr>
                <w:rFonts w:ascii="Cambria Math" w:hAnsi="Cambria Math"/>
                <w:color w:val="000000" w:themeColor="text1"/>
                <w:spacing w:val="1"/>
              </w:rPr>
              <m:t>WT</m:t>
            </m:r>
          </m:e>
          <m:sub>
            <m:r>
              <w:rPr>
                <w:rFonts w:ascii="Cambria Math" w:hAnsi="Cambria Math"/>
                <w:color w:val="000000" w:themeColor="text1"/>
                <w:spacing w:val="1"/>
              </w:rPr>
              <m:t>i</m:t>
            </m:r>
          </m:sub>
        </m:sSub>
      </m:oMath>
      <w:r>
        <w:rPr>
          <w:color w:val="000000" w:themeColor="text1"/>
          <w:spacing w:val="1"/>
        </w:rPr>
        <w:t xml:space="preserve"> in that period.</w:t>
      </w:r>
    </w:p>
    <w:p w14:paraId="154A9456" w14:textId="77777777" w:rsidR="00DD6BCA" w:rsidRDefault="00DD6BCA" w:rsidP="003D7D26">
      <w:pPr>
        <w:rPr>
          <w:color w:val="000000" w:themeColor="text1"/>
          <w:spacing w:val="1"/>
        </w:rPr>
      </w:pPr>
    </w:p>
    <w:p w14:paraId="0248F9F6" w14:textId="2A83E5AA" w:rsidR="003D7D26" w:rsidRPr="00DA52D3" w:rsidRDefault="003D7D26" w:rsidP="003D7D26">
      <w:pPr>
        <w:rPr>
          <w:b/>
          <w:bCs/>
          <w:lang w:val="en-GB" w:eastAsia="en-GB"/>
        </w:rPr>
      </w:pPr>
      <w:r w:rsidRPr="00DA52D3">
        <w:rPr>
          <w:b/>
          <w:bCs/>
          <w:lang w:val="en-GB" w:eastAsia="en-GB"/>
        </w:rPr>
        <w:t>2.3.2</w:t>
      </w:r>
      <w:r w:rsidRPr="00DA52D3">
        <w:rPr>
          <w:b/>
          <w:bCs/>
          <w:lang w:val="en-GB" w:eastAsia="en-GB"/>
        </w:rPr>
        <w:tab/>
        <w:t>Model validation</w:t>
      </w:r>
    </w:p>
    <w:p w14:paraId="04CE124C" w14:textId="5151429A" w:rsidR="006D77F1" w:rsidRDefault="00351EF1" w:rsidP="00351EF1">
      <w:pPr>
        <w:pStyle w:val="Paragraph"/>
      </w:pPr>
      <w:r w:rsidRPr="000F2580">
        <w:t xml:space="preserve">The model’s ability to </w:t>
      </w:r>
      <w:r>
        <w:t>downscale</w:t>
      </w:r>
      <w:r w:rsidRPr="000F2580">
        <w:t xml:space="preserve"> local wave climate and storm surge is evaluated by </w:t>
      </w:r>
      <w:r w:rsidR="002F1B28">
        <w:t>K</w:t>
      </w:r>
      <w:r w:rsidRPr="000F2580">
        <w:t>-fold cross-validation.</w:t>
      </w:r>
      <w:r w:rsidR="00E75EB3">
        <w:t xml:space="preserve"> Here K means the number of subsets into which the whole dataset is divided and the number of iterations the cross-validation process undergoes.</w:t>
      </w:r>
      <w:r w:rsidRPr="000F2580">
        <w:t xml:space="preserve"> </w:t>
      </w:r>
      <w:r w:rsidR="008C11C1" w:rsidRPr="008C11C1">
        <w:rPr>
          <w:lang w:val="en-US"/>
        </w:rPr>
        <w:t xml:space="preserve">We select K=5 to ensure that each training data subset remains representative of the </w:t>
      </w:r>
      <w:r w:rsidR="00E75EB3">
        <w:rPr>
          <w:lang w:val="en-US"/>
        </w:rPr>
        <w:t>whole</w:t>
      </w:r>
      <w:r w:rsidR="00E75EB3" w:rsidRPr="008C11C1">
        <w:rPr>
          <w:lang w:val="en-US"/>
        </w:rPr>
        <w:t xml:space="preserve"> </w:t>
      </w:r>
      <w:r w:rsidR="008C11C1" w:rsidRPr="008C11C1">
        <w:rPr>
          <w:lang w:val="en-US"/>
        </w:rPr>
        <w:t>dataset while maintaining a manageable computational load for the validation process</w:t>
      </w:r>
      <w:r w:rsidR="002F1B28">
        <w:t>.</w:t>
      </w:r>
      <w:r w:rsidR="00121623">
        <w:t xml:space="preserve"> </w:t>
      </w:r>
      <w:r w:rsidRPr="000F2580">
        <w:t>First, the entire 40 years of data are split into five subsets. Each subset contains data at five-year intervals (</w:t>
      </w:r>
      <w:r w:rsidRPr="00077044">
        <w:t>e.g.</w:t>
      </w:r>
      <w:r w:rsidRPr="000F2580">
        <w:t>, the first subset contains data from 1979, 1984, ..., and 2014). Each time, four periods are used as calibration datasets to develop a set of weather types, which are then used to estimate local waves and surges for the fifth period (</w:t>
      </w:r>
      <w:r w:rsidRPr="00056048">
        <w:t>i.e.</w:t>
      </w:r>
      <w:r w:rsidRPr="00077044">
        <w:t>,</w:t>
      </w:r>
      <w:r w:rsidRPr="000F2580">
        <w:t xml:space="preserve"> the validation period). </w:t>
      </w:r>
      <w:r w:rsidR="00DD6BCA">
        <w:t>W</w:t>
      </w:r>
      <w:r w:rsidRPr="000F2580">
        <w:t xml:space="preserve">e estimate the monthly mean </w:t>
      </w:r>
      <w:r w:rsidR="00FD68EF">
        <w:t>and/</w:t>
      </w:r>
      <w:r w:rsidRPr="000F2580">
        <w:t>or the</w:t>
      </w:r>
      <w:r w:rsidR="00FD68EF">
        <w:t xml:space="preserve"> monthly and annual</w:t>
      </w:r>
      <w:r w:rsidRPr="000F2580">
        <w:t xml:space="preserve"> </w:t>
      </w:r>
      <w:r w:rsidR="00FD68EF">
        <w:t>n-</w:t>
      </w:r>
      <w:r w:rsidRPr="000F2580">
        <w:t xml:space="preserve">th percentile of a predictand over the validation period based on the </w:t>
      </w:r>
      <w:r w:rsidR="00E16CFD">
        <w:t>empirical</w:t>
      </w:r>
      <w:r w:rsidR="00E16CFD" w:rsidRPr="000F2580">
        <w:t xml:space="preserve"> </w:t>
      </w:r>
      <w:r w:rsidRPr="000F2580">
        <w:t>distribution</w:t>
      </w:r>
      <w:r w:rsidR="00A93B49">
        <w:t>s</w:t>
      </w:r>
      <w:r w:rsidRPr="000F2580">
        <w:t xml:space="preserve"> derived in </w:t>
      </w:r>
      <w:r w:rsidR="00DB3D18">
        <w:t>Eq. 9</w:t>
      </w:r>
      <w:r w:rsidRPr="000F2580">
        <w:t xml:space="preserve">. The subset not </w:t>
      </w:r>
      <w:r w:rsidRPr="000F2580">
        <w:lastRenderedPageBreak/>
        <w:t>included in previous model training</w:t>
      </w:r>
      <w:r w:rsidR="00EB7A07">
        <w:t xml:space="preserve"> </w:t>
      </w:r>
      <w:r w:rsidRPr="000F2580">
        <w:t xml:space="preserve">can be used </w:t>
      </w:r>
      <w:r w:rsidR="00EB7A07">
        <w:t xml:space="preserve">as the reference </w:t>
      </w:r>
      <w:r w:rsidRPr="000F2580">
        <w:t xml:space="preserve">to </w:t>
      </w:r>
      <w:r w:rsidR="00EB7A07">
        <w:t>validate against</w:t>
      </w:r>
      <w:r w:rsidRPr="000F2580">
        <w:t xml:space="preserve"> the model </w:t>
      </w:r>
      <w:r>
        <w:t>estimation</w:t>
      </w:r>
      <w:r w:rsidRPr="000F2580">
        <w:t>s. This process is repeated five times with each subset being used exactly once as the validation dataset. Note that five sets of weather types (</w:t>
      </w:r>
      <w:r w:rsidRPr="00056048">
        <w:t>i.e.,</w:t>
      </w:r>
      <w:r w:rsidRPr="000F2580">
        <w:t xml:space="preserve"> five models) will be developed during the validation and they are different from the weather types derived from the whole period and used for final risk assessment. Results are shown in</w:t>
      </w:r>
      <w:r>
        <w:t xml:space="preserve"> Section</w:t>
      </w:r>
      <w:r w:rsidR="00DB3D18">
        <w:t xml:space="preserve"> 3.2</w:t>
      </w:r>
      <w:r w:rsidRPr="000F2580">
        <w:t>.</w:t>
      </w:r>
      <w:r>
        <w:t xml:space="preserve"> </w:t>
      </w:r>
      <w:r w:rsidR="00BB775E">
        <w:t>Three</w:t>
      </w:r>
      <w:r>
        <w:t xml:space="preserve"> metrics are calculated to evaluate how well the reference values </w:t>
      </w:r>
      <m:oMath>
        <m:sSub>
          <m:sSubPr>
            <m:ctrlPr>
              <w:rPr>
                <w:rFonts w:ascii="Cambria Math" w:hAnsi="Cambria Math"/>
                <w:i/>
                <w:color w:val="000000" w:themeColor="text1"/>
                <w:spacing w:val="1"/>
              </w:rPr>
            </m:ctrlPr>
          </m:sSubPr>
          <m:e>
            <m:r>
              <w:rPr>
                <w:rFonts w:ascii="Cambria Math" w:hAnsi="Cambria Math"/>
                <w:color w:val="000000" w:themeColor="text1"/>
                <w:spacing w:val="1"/>
              </w:rPr>
              <m:t>x</m:t>
            </m:r>
          </m:e>
          <m:sub>
            <m:r>
              <w:rPr>
                <w:rFonts w:ascii="Cambria Math" w:hAnsi="Cambria Math"/>
                <w:color w:val="000000" w:themeColor="text1"/>
                <w:spacing w:val="1"/>
              </w:rPr>
              <m:t>i</m:t>
            </m:r>
          </m:sub>
        </m:sSub>
      </m:oMath>
      <w:r w:rsidR="008415B9">
        <w:rPr>
          <w:color w:val="000000" w:themeColor="text1"/>
          <w:spacing w:val="1"/>
        </w:rPr>
        <w:t xml:space="preserve"> (i.e., values directly calculated from ERA5 and CODEC)</w:t>
      </w:r>
      <w:r>
        <w:t xml:space="preserve"> are replicated by the model </w:t>
      </w:r>
      <m:oMath>
        <m:sSub>
          <m:sSubPr>
            <m:ctrlPr>
              <w:rPr>
                <w:rFonts w:ascii="Cambria Math" w:hAnsi="Cambria Math" w:cstheme="minorBidi"/>
                <w:i/>
                <w:color w:val="000000" w:themeColor="text1"/>
                <w:spacing w:val="1"/>
                <w:lang w:eastAsia="zh-CN"/>
              </w:rPr>
            </m:ctrlPr>
          </m:sSubPr>
          <m:e>
            <m:r>
              <w:rPr>
                <w:rFonts w:ascii="Cambria Math" w:hAnsi="Cambria Math" w:cstheme="minorBidi"/>
                <w:color w:val="000000" w:themeColor="text1"/>
                <w:spacing w:val="1"/>
                <w:lang w:eastAsia="zh-CN"/>
              </w:rPr>
              <m:t>y</m:t>
            </m:r>
          </m:e>
          <m:sub>
            <m:r>
              <w:rPr>
                <w:rFonts w:ascii="Cambria Math" w:hAnsi="Cambria Math"/>
                <w:color w:val="000000" w:themeColor="text1"/>
                <w:spacing w:val="1"/>
              </w:rPr>
              <m:t>i</m:t>
            </m:r>
          </m:sub>
        </m:sSub>
      </m:oMath>
      <w:r w:rsidR="008415B9">
        <w:rPr>
          <w:color w:val="000000" w:themeColor="text1"/>
          <w:spacing w:val="1"/>
          <w:lang w:eastAsia="zh-CN"/>
        </w:rPr>
        <w:t xml:space="preserve"> (i.e., values estimated from the weather typing model)</w:t>
      </w:r>
      <w:r>
        <w:t xml:space="preserve">. </w:t>
      </w:r>
      <w:r w:rsidR="00A276C5">
        <w:t xml:space="preserve">The </w:t>
      </w:r>
      <w:r w:rsidR="00BB775E">
        <w:t xml:space="preserve">Pearson’s </w:t>
      </w:r>
      <w:r w:rsidR="00A276C5">
        <w:t xml:space="preserve">correlation </w:t>
      </w:r>
      <m:oMath>
        <m:r>
          <w:rPr>
            <w:rFonts w:ascii="Cambria Math" w:hAnsi="Cambria Math"/>
          </w:rPr>
          <m:t>ρ</m:t>
        </m:r>
      </m:oMath>
      <w:r w:rsidR="00A276C5">
        <w:t xml:space="preserve"> is given by:</w:t>
      </w:r>
      <w:r w:rsidR="00A276C5" w:rsidDel="00A276C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6D77F1" w:rsidRPr="007932CF" w14:paraId="69ABCA66" w14:textId="77777777" w:rsidTr="006D77F1">
        <w:tc>
          <w:tcPr>
            <w:tcW w:w="1129" w:type="dxa"/>
            <w:vAlign w:val="center"/>
          </w:tcPr>
          <w:p w14:paraId="366DF943" w14:textId="77777777" w:rsidR="006D77F1" w:rsidRPr="007932CF" w:rsidRDefault="006D77F1" w:rsidP="004B50C1">
            <w:pPr>
              <w:pStyle w:val="Newparagraph"/>
              <w:spacing w:line="360" w:lineRule="auto"/>
              <w:ind w:firstLine="0"/>
              <w:jc w:val="right"/>
            </w:pPr>
          </w:p>
        </w:tc>
        <w:tc>
          <w:tcPr>
            <w:tcW w:w="6096" w:type="dxa"/>
            <w:vAlign w:val="center"/>
          </w:tcPr>
          <w:p w14:paraId="3400403B" w14:textId="4F2A673C" w:rsidR="006D77F1" w:rsidRPr="007932CF" w:rsidRDefault="006D77F1" w:rsidP="004B50C1">
            <w:pPr>
              <w:pStyle w:val="Newparagraph"/>
              <w:spacing w:line="360" w:lineRule="auto"/>
              <w:ind w:firstLine="0"/>
              <w:jc w:val="right"/>
              <w:rPr>
                <w:iCs/>
              </w:rPr>
            </w:pPr>
            <m:oMathPara>
              <m:oMath>
                <m:r>
                  <w:rPr>
                    <w:rFonts w:ascii="Cambria Math" w:hAnsi="Cambria Math"/>
                  </w:rPr>
                  <m:t>ρ</m:t>
                </m:r>
                <m:r>
                  <w:rPr>
                    <w:rFonts w:ascii="Cambria Math" w:hAnsi="Cambria Math"/>
                    <w:color w:val="000000" w:themeColor="text1"/>
                    <w:spacing w:val="1"/>
                  </w:rPr>
                  <m:t>=</m:t>
                </m:r>
                <m:f>
                  <m:fPr>
                    <m:ctrlPr>
                      <w:rPr>
                        <w:rFonts w:ascii="Cambria Math" w:hAnsi="Cambria Math"/>
                        <w:color w:val="000000" w:themeColor="text1"/>
                        <w:spacing w:val="1"/>
                      </w:rPr>
                    </m:ctrlPr>
                  </m:fPr>
                  <m:num>
                    <m:r>
                      <w:rPr>
                        <w:rFonts w:ascii="Cambria Math" w:hAnsi="Cambria Math"/>
                        <w:color w:val="000000" w:themeColor="text1"/>
                        <w:spacing w:val="1"/>
                      </w:rPr>
                      <m:t>1</m:t>
                    </m:r>
                  </m:num>
                  <m:den>
                    <m:r>
                      <w:rPr>
                        <w:rFonts w:ascii="Cambria Math" w:hAnsi="Cambria Math"/>
                        <w:color w:val="000000" w:themeColor="text1"/>
                        <w:spacing w:val="1"/>
                      </w:rPr>
                      <m:t>N-1</m:t>
                    </m:r>
                  </m:den>
                </m:f>
                <m:nary>
                  <m:naryPr>
                    <m:chr m:val="∑"/>
                    <m:limLoc m:val="undOvr"/>
                    <m:ctrlPr>
                      <w:rPr>
                        <w:rFonts w:ascii="Cambria Math" w:hAnsi="Cambria Math"/>
                        <w:i/>
                        <w:color w:val="000000" w:themeColor="text1"/>
                        <w:spacing w:val="1"/>
                      </w:rPr>
                    </m:ctrlPr>
                  </m:naryPr>
                  <m:sub>
                    <m:r>
                      <w:rPr>
                        <w:rFonts w:ascii="Cambria Math" w:hAnsi="Cambria Math"/>
                        <w:color w:val="000000" w:themeColor="text1"/>
                        <w:spacing w:val="1"/>
                      </w:rPr>
                      <m:t>i=1</m:t>
                    </m:r>
                  </m:sub>
                  <m:sup>
                    <m:r>
                      <w:rPr>
                        <w:rFonts w:ascii="Cambria Math" w:hAnsi="Cambria Math"/>
                        <w:color w:val="000000" w:themeColor="text1"/>
                        <w:spacing w:val="1"/>
                      </w:rPr>
                      <m:t>N</m:t>
                    </m:r>
                  </m:sup>
                  <m:e>
                    <m:d>
                      <m:dPr>
                        <m:ctrlPr>
                          <w:rPr>
                            <w:rFonts w:ascii="Cambria Math" w:hAnsi="Cambria Math"/>
                            <w:i/>
                            <w:color w:val="000000" w:themeColor="text1"/>
                            <w:spacing w:val="1"/>
                          </w:rPr>
                        </m:ctrlPr>
                      </m:dPr>
                      <m:e>
                        <m:f>
                          <m:fPr>
                            <m:ctrlPr>
                              <w:rPr>
                                <w:rFonts w:ascii="Cambria Math" w:hAnsi="Cambria Math"/>
                                <w:i/>
                                <w:color w:val="000000" w:themeColor="text1"/>
                                <w:spacing w:val="1"/>
                              </w:rPr>
                            </m:ctrlPr>
                          </m:fPr>
                          <m:num>
                            <m:sSub>
                              <m:sSubPr>
                                <m:ctrlPr>
                                  <w:rPr>
                                    <w:rFonts w:ascii="Cambria Math" w:hAnsi="Cambria Math"/>
                                    <w:i/>
                                    <w:color w:val="000000" w:themeColor="text1"/>
                                    <w:spacing w:val="1"/>
                                  </w:rPr>
                                </m:ctrlPr>
                              </m:sSubPr>
                              <m:e>
                                <m:r>
                                  <w:rPr>
                                    <w:rFonts w:ascii="Cambria Math" w:hAnsi="Cambria Math"/>
                                    <w:color w:val="000000" w:themeColor="text1"/>
                                    <w:spacing w:val="1"/>
                                  </w:rPr>
                                  <m:t>x</m:t>
                                </m:r>
                              </m:e>
                              <m:sub>
                                <m:r>
                                  <w:rPr>
                                    <w:rFonts w:ascii="Cambria Math" w:hAnsi="Cambria Math"/>
                                    <w:color w:val="000000" w:themeColor="text1"/>
                                    <w:spacing w:val="1"/>
                                  </w:rPr>
                                  <m:t>i</m:t>
                                </m:r>
                              </m:sub>
                            </m:sSub>
                            <m:r>
                              <w:rPr>
                                <w:rFonts w:ascii="Cambria Math" w:hAnsi="Cambria Math"/>
                                <w:color w:val="000000" w:themeColor="text1"/>
                                <w:spacing w:val="1"/>
                              </w:rPr>
                              <m:t>-</m:t>
                            </m:r>
                            <m:acc>
                              <m:accPr>
                                <m:chr m:val="̅"/>
                                <m:ctrlPr>
                                  <w:rPr>
                                    <w:rFonts w:ascii="Cambria Math" w:hAnsi="Cambria Math"/>
                                    <w:i/>
                                    <w:color w:val="000000" w:themeColor="text1"/>
                                    <w:spacing w:val="1"/>
                                  </w:rPr>
                                </m:ctrlPr>
                              </m:accPr>
                              <m:e>
                                <m:r>
                                  <w:rPr>
                                    <w:rFonts w:ascii="Cambria Math" w:hAnsi="Cambria Math"/>
                                    <w:color w:val="000000" w:themeColor="text1"/>
                                    <w:spacing w:val="1"/>
                                  </w:rPr>
                                  <m:t>x</m:t>
                                </m:r>
                              </m:e>
                            </m:acc>
                          </m:num>
                          <m:den>
                            <m:sSub>
                              <m:sSubPr>
                                <m:ctrlPr>
                                  <w:rPr>
                                    <w:rFonts w:ascii="Cambria Math" w:hAnsi="Cambria Math"/>
                                    <w:i/>
                                    <w:color w:val="000000" w:themeColor="text1"/>
                                    <w:spacing w:val="1"/>
                                  </w:rPr>
                                </m:ctrlPr>
                              </m:sSubPr>
                              <m:e>
                                <m:r>
                                  <w:rPr>
                                    <w:rFonts w:ascii="Cambria Math" w:hAnsi="Cambria Math"/>
                                    <w:color w:val="000000" w:themeColor="text1"/>
                                    <w:spacing w:val="1"/>
                                  </w:rPr>
                                  <m:t>σ</m:t>
                                </m:r>
                              </m:e>
                              <m:sub>
                                <m:r>
                                  <w:rPr>
                                    <w:rFonts w:ascii="Cambria Math" w:hAnsi="Cambria Math"/>
                                    <w:color w:val="000000" w:themeColor="text1"/>
                                    <w:spacing w:val="1"/>
                                  </w:rPr>
                                  <m:t>x</m:t>
                                </m:r>
                              </m:sub>
                            </m:sSub>
                          </m:den>
                        </m:f>
                      </m:e>
                    </m:d>
                    <m:d>
                      <m:dPr>
                        <m:ctrlPr>
                          <w:rPr>
                            <w:rFonts w:ascii="Cambria Math" w:hAnsi="Cambria Math"/>
                            <w:i/>
                            <w:color w:val="000000" w:themeColor="text1"/>
                            <w:spacing w:val="1"/>
                          </w:rPr>
                        </m:ctrlPr>
                      </m:dPr>
                      <m:e>
                        <m:f>
                          <m:fPr>
                            <m:ctrlPr>
                              <w:rPr>
                                <w:rFonts w:ascii="Cambria Math" w:hAnsi="Cambria Math"/>
                                <w:i/>
                                <w:color w:val="000000" w:themeColor="text1"/>
                                <w:spacing w:val="1"/>
                              </w:rPr>
                            </m:ctrlPr>
                          </m:fPr>
                          <m:num>
                            <m:sSub>
                              <m:sSubPr>
                                <m:ctrlPr>
                                  <w:rPr>
                                    <w:rFonts w:ascii="Cambria Math" w:hAnsi="Cambria Math"/>
                                    <w:i/>
                                    <w:color w:val="000000" w:themeColor="text1"/>
                                    <w:spacing w:val="1"/>
                                  </w:rPr>
                                </m:ctrlPr>
                              </m:sSubPr>
                              <m:e>
                                <m:r>
                                  <w:rPr>
                                    <w:rFonts w:ascii="Cambria Math" w:hAnsi="Cambria Math"/>
                                    <w:color w:val="000000" w:themeColor="text1"/>
                                    <w:spacing w:val="1"/>
                                  </w:rPr>
                                  <m:t>y</m:t>
                                </m:r>
                              </m:e>
                              <m:sub>
                                <m:r>
                                  <w:rPr>
                                    <w:rFonts w:ascii="Cambria Math" w:hAnsi="Cambria Math"/>
                                    <w:color w:val="000000" w:themeColor="text1"/>
                                    <w:spacing w:val="1"/>
                                  </w:rPr>
                                  <m:t>i</m:t>
                                </m:r>
                              </m:sub>
                            </m:sSub>
                            <m:r>
                              <w:rPr>
                                <w:rFonts w:ascii="Cambria Math" w:hAnsi="Cambria Math"/>
                                <w:color w:val="000000" w:themeColor="text1"/>
                                <w:spacing w:val="1"/>
                              </w:rPr>
                              <m:t>-</m:t>
                            </m:r>
                            <m:acc>
                              <m:accPr>
                                <m:chr m:val="̅"/>
                                <m:ctrlPr>
                                  <w:rPr>
                                    <w:rFonts w:ascii="Cambria Math" w:hAnsi="Cambria Math"/>
                                    <w:i/>
                                    <w:color w:val="000000" w:themeColor="text1"/>
                                    <w:spacing w:val="1"/>
                                  </w:rPr>
                                </m:ctrlPr>
                              </m:accPr>
                              <m:e>
                                <m:r>
                                  <w:rPr>
                                    <w:rFonts w:ascii="Cambria Math" w:hAnsi="Cambria Math"/>
                                    <w:color w:val="000000" w:themeColor="text1"/>
                                    <w:spacing w:val="1"/>
                                  </w:rPr>
                                  <m:t>y</m:t>
                                </m:r>
                              </m:e>
                            </m:acc>
                          </m:num>
                          <m:den>
                            <m:sSub>
                              <m:sSubPr>
                                <m:ctrlPr>
                                  <w:rPr>
                                    <w:rFonts w:ascii="Cambria Math" w:hAnsi="Cambria Math"/>
                                    <w:i/>
                                    <w:color w:val="000000" w:themeColor="text1"/>
                                    <w:spacing w:val="1"/>
                                  </w:rPr>
                                </m:ctrlPr>
                              </m:sSubPr>
                              <m:e>
                                <m:r>
                                  <w:rPr>
                                    <w:rFonts w:ascii="Cambria Math" w:hAnsi="Cambria Math"/>
                                    <w:color w:val="000000" w:themeColor="text1"/>
                                    <w:spacing w:val="1"/>
                                  </w:rPr>
                                  <m:t>σ</m:t>
                                </m:r>
                              </m:e>
                              <m:sub>
                                <m:r>
                                  <w:rPr>
                                    <w:rFonts w:ascii="Cambria Math" w:hAnsi="Cambria Math"/>
                                    <w:color w:val="000000" w:themeColor="text1"/>
                                    <w:spacing w:val="1"/>
                                  </w:rPr>
                                  <m:t>y</m:t>
                                </m:r>
                              </m:sub>
                            </m:sSub>
                          </m:den>
                        </m:f>
                      </m:e>
                    </m:d>
                  </m:e>
                </m:nary>
              </m:oMath>
            </m:oMathPara>
          </w:p>
        </w:tc>
        <w:tc>
          <w:tcPr>
            <w:tcW w:w="1264" w:type="dxa"/>
            <w:vAlign w:val="center"/>
          </w:tcPr>
          <w:p w14:paraId="08ACD674" w14:textId="0CB53F5A" w:rsidR="006D77F1" w:rsidRPr="007932CF" w:rsidRDefault="006D77F1" w:rsidP="004B50C1">
            <w:pPr>
              <w:pStyle w:val="Newparagraph"/>
              <w:spacing w:line="360" w:lineRule="auto"/>
              <w:ind w:firstLine="0"/>
              <w:jc w:val="right"/>
            </w:pPr>
            <w:r w:rsidRPr="007932CF">
              <w:t>(</w:t>
            </w:r>
            <w:r>
              <w:t>10</w:t>
            </w:r>
            <w:r w:rsidRPr="007932CF">
              <w:t>)</w:t>
            </w:r>
          </w:p>
        </w:tc>
      </w:tr>
    </w:tbl>
    <w:p w14:paraId="74F2032C" w14:textId="2E0EB1F7" w:rsidR="00351EF1" w:rsidRDefault="00351EF1" w:rsidP="00351EF1">
      <w:pPr>
        <w:pStyle w:val="Paragraph"/>
      </w:pPr>
      <w:r>
        <w:t xml:space="preserve">where </w:t>
      </w:r>
      <m:oMath>
        <m:r>
          <w:rPr>
            <w:rFonts w:ascii="Cambria Math" w:hAnsi="Cambria Math"/>
          </w:rPr>
          <m:t>N</m:t>
        </m:r>
      </m:oMath>
      <w:r>
        <w:t xml:space="preserve"> is the number of monthly values</w:t>
      </w:r>
      <w:r w:rsidR="00A276C5">
        <w:t xml:space="preserve">, </w:t>
      </w:r>
      <m:oMath>
        <m:acc>
          <m:accPr>
            <m:chr m:val="̅"/>
            <m:ctrlPr>
              <w:rPr>
                <w:rFonts w:ascii="Cambria Math" w:hAnsi="Cambria Math"/>
                <w:i/>
                <w:color w:val="000000" w:themeColor="text1"/>
                <w:spacing w:val="1"/>
              </w:rPr>
            </m:ctrlPr>
          </m:accPr>
          <m:e>
            <m:r>
              <w:rPr>
                <w:rFonts w:ascii="Cambria Math" w:hAnsi="Cambria Math"/>
                <w:color w:val="000000" w:themeColor="text1"/>
                <w:spacing w:val="1"/>
              </w:rPr>
              <m:t>x</m:t>
            </m:r>
          </m:e>
        </m:acc>
      </m:oMath>
      <w:r w:rsidR="00A276C5">
        <w:rPr>
          <w:color w:val="000000" w:themeColor="text1"/>
          <w:spacing w:val="1"/>
          <w:lang w:eastAsia="zh-CN"/>
        </w:rPr>
        <w:t xml:space="preserve"> is the mean of </w:t>
      </w:r>
      <m:oMath>
        <m:sSub>
          <m:sSubPr>
            <m:ctrlPr>
              <w:rPr>
                <w:rFonts w:ascii="Cambria Math" w:hAnsi="Cambria Math"/>
                <w:i/>
                <w:color w:val="000000" w:themeColor="text1"/>
                <w:spacing w:val="1"/>
              </w:rPr>
            </m:ctrlPr>
          </m:sSubPr>
          <m:e>
            <m:r>
              <w:rPr>
                <w:rFonts w:ascii="Cambria Math" w:hAnsi="Cambria Math"/>
                <w:color w:val="000000" w:themeColor="text1"/>
                <w:spacing w:val="1"/>
              </w:rPr>
              <m:t>x</m:t>
            </m:r>
          </m:e>
          <m:sub>
            <m:r>
              <w:rPr>
                <w:rFonts w:ascii="Cambria Math" w:hAnsi="Cambria Math"/>
                <w:color w:val="000000" w:themeColor="text1"/>
                <w:spacing w:val="1"/>
              </w:rPr>
              <m:t>i</m:t>
            </m:r>
          </m:sub>
        </m:sSub>
      </m:oMath>
      <w:r w:rsidR="00A276C5">
        <w:t>,</w:t>
      </w:r>
      <w:r>
        <w:t xml:space="preserve"> and </w:t>
      </w:r>
      <m:oMath>
        <m:r>
          <w:rPr>
            <w:rFonts w:ascii="Cambria Math" w:hAnsi="Cambria Math"/>
          </w:rPr>
          <m:t>σ</m:t>
        </m:r>
      </m:oMath>
      <w:r>
        <w:t xml:space="preserve"> is the standard deviation. The bias can be calculated by</w:t>
      </w:r>
      <w:r w:rsidR="00BE5FA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351EF1" w:rsidRPr="007932CF" w14:paraId="60ADC6EB" w14:textId="77777777" w:rsidTr="006D77F1">
        <w:tc>
          <w:tcPr>
            <w:tcW w:w="1129" w:type="dxa"/>
            <w:vAlign w:val="center"/>
          </w:tcPr>
          <w:p w14:paraId="0370B722" w14:textId="77777777" w:rsidR="00351EF1" w:rsidRPr="007932CF" w:rsidRDefault="00351EF1" w:rsidP="004B50C1">
            <w:pPr>
              <w:pStyle w:val="Newparagraph"/>
              <w:spacing w:line="360" w:lineRule="auto"/>
              <w:ind w:firstLine="0"/>
              <w:jc w:val="right"/>
            </w:pPr>
          </w:p>
        </w:tc>
        <w:tc>
          <w:tcPr>
            <w:tcW w:w="6096" w:type="dxa"/>
            <w:vAlign w:val="center"/>
          </w:tcPr>
          <w:p w14:paraId="162E487B" w14:textId="7FE9B228" w:rsidR="00351EF1" w:rsidRPr="007932CF" w:rsidRDefault="00351EF1" w:rsidP="004B50C1">
            <w:pPr>
              <w:pStyle w:val="Newparagraph"/>
              <w:spacing w:line="360" w:lineRule="auto"/>
              <w:ind w:firstLine="0"/>
              <w:jc w:val="right"/>
              <w:rPr>
                <w:iCs/>
              </w:rPr>
            </w:pPr>
            <m:oMathPara>
              <m:oMath>
                <m:r>
                  <m:rPr>
                    <m:sty m:val="p"/>
                  </m:rPr>
                  <w:rPr>
                    <w:rFonts w:ascii="Cambria Math" w:hAnsi="Cambria Math"/>
                    <w:color w:val="000000" w:themeColor="text1"/>
                    <w:spacing w:val="1"/>
                  </w:rPr>
                  <m:t>BIAS</m:t>
                </m:r>
                <m:r>
                  <w:rPr>
                    <w:rFonts w:ascii="Cambria Math" w:hAnsi="Cambria Math"/>
                    <w:color w:val="000000" w:themeColor="text1"/>
                    <w:spacing w:val="1"/>
                  </w:rPr>
                  <m:t>=</m:t>
                </m:r>
                <m:acc>
                  <m:accPr>
                    <m:chr m:val="̅"/>
                    <m:ctrlPr>
                      <w:rPr>
                        <w:rFonts w:ascii="Cambria Math" w:hAnsi="Cambria Math"/>
                        <w:i/>
                        <w:color w:val="000000" w:themeColor="text1"/>
                        <w:spacing w:val="1"/>
                      </w:rPr>
                    </m:ctrlPr>
                  </m:accPr>
                  <m:e>
                    <m:r>
                      <w:rPr>
                        <w:rFonts w:ascii="Cambria Math" w:hAnsi="Cambria Math"/>
                        <w:color w:val="000000" w:themeColor="text1"/>
                        <w:spacing w:val="1"/>
                      </w:rPr>
                      <m:t>x</m:t>
                    </m:r>
                  </m:e>
                </m:acc>
                <m:r>
                  <w:rPr>
                    <w:rFonts w:ascii="Cambria Math" w:hAnsi="Cambria Math"/>
                    <w:color w:val="000000" w:themeColor="text1"/>
                    <w:spacing w:val="1"/>
                  </w:rPr>
                  <m:t>-</m:t>
                </m:r>
                <m:acc>
                  <m:accPr>
                    <m:chr m:val="̅"/>
                    <m:ctrlPr>
                      <w:rPr>
                        <w:rFonts w:ascii="Cambria Math" w:hAnsi="Cambria Math"/>
                        <w:i/>
                        <w:color w:val="000000" w:themeColor="text1"/>
                        <w:spacing w:val="1"/>
                      </w:rPr>
                    </m:ctrlPr>
                  </m:accPr>
                  <m:e>
                    <m:r>
                      <w:rPr>
                        <w:rFonts w:ascii="Cambria Math" w:hAnsi="Cambria Math"/>
                        <w:color w:val="000000" w:themeColor="text1"/>
                        <w:spacing w:val="1"/>
                      </w:rPr>
                      <m:t>y</m:t>
                    </m:r>
                  </m:e>
                </m:acc>
              </m:oMath>
            </m:oMathPara>
          </w:p>
        </w:tc>
        <w:tc>
          <w:tcPr>
            <w:tcW w:w="1264" w:type="dxa"/>
            <w:vAlign w:val="center"/>
          </w:tcPr>
          <w:p w14:paraId="089F41D9" w14:textId="6348D8DB" w:rsidR="00351EF1" w:rsidRPr="007932CF" w:rsidRDefault="00351EF1" w:rsidP="004B50C1">
            <w:pPr>
              <w:pStyle w:val="Newparagraph"/>
              <w:spacing w:line="360" w:lineRule="auto"/>
              <w:ind w:firstLine="0"/>
              <w:jc w:val="right"/>
            </w:pPr>
            <w:bookmarkStart w:id="11" w:name="_Ref167378949"/>
            <w:r w:rsidRPr="007932CF">
              <w:t>(</w:t>
            </w:r>
            <w:r w:rsidR="00DB3D18">
              <w:t>1</w:t>
            </w:r>
            <w:r w:rsidR="006D77F1">
              <w:t>1</w:t>
            </w:r>
            <w:r w:rsidRPr="007932CF">
              <w:t>)</w:t>
            </w:r>
            <w:bookmarkEnd w:id="11"/>
          </w:p>
        </w:tc>
      </w:tr>
    </w:tbl>
    <w:p w14:paraId="05B52235" w14:textId="2A254397" w:rsidR="00351EF1" w:rsidRDefault="00351EF1" w:rsidP="00351EF1">
      <w:pPr>
        <w:pStyle w:val="Newparagraph"/>
        <w:ind w:firstLine="0"/>
      </w:pPr>
      <w:r>
        <w:t>The RMSD is given by</w:t>
      </w:r>
      <w:r w:rsidR="00113B43">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351EF1" w:rsidRPr="007932CF" w14:paraId="44F0451B" w14:textId="77777777" w:rsidTr="004B50C1">
        <w:tc>
          <w:tcPr>
            <w:tcW w:w="1129" w:type="dxa"/>
            <w:vAlign w:val="center"/>
          </w:tcPr>
          <w:p w14:paraId="10EDEFE6" w14:textId="77777777" w:rsidR="00351EF1" w:rsidRPr="007932CF" w:rsidRDefault="00351EF1" w:rsidP="004B50C1">
            <w:pPr>
              <w:pStyle w:val="Newparagraph"/>
              <w:spacing w:line="360" w:lineRule="auto"/>
              <w:ind w:firstLine="0"/>
              <w:jc w:val="right"/>
            </w:pPr>
          </w:p>
        </w:tc>
        <w:tc>
          <w:tcPr>
            <w:tcW w:w="6096" w:type="dxa"/>
            <w:vAlign w:val="center"/>
          </w:tcPr>
          <w:p w14:paraId="1318F737" w14:textId="77777777" w:rsidR="00351EF1" w:rsidRPr="007932CF" w:rsidRDefault="00351EF1" w:rsidP="004B50C1">
            <w:pPr>
              <w:pStyle w:val="Newparagraph"/>
              <w:spacing w:line="360" w:lineRule="auto"/>
              <w:ind w:firstLine="0"/>
              <w:jc w:val="right"/>
              <w:rPr>
                <w:iCs/>
              </w:rPr>
            </w:pPr>
            <m:oMathPara>
              <m:oMath>
                <m:r>
                  <m:rPr>
                    <m:sty m:val="p"/>
                  </m:rPr>
                  <w:rPr>
                    <w:rFonts w:ascii="Cambria Math" w:hAnsi="Cambria Math"/>
                    <w:color w:val="000000" w:themeColor="text1"/>
                    <w:spacing w:val="1"/>
                  </w:rPr>
                  <m:t>RMSD</m:t>
                </m:r>
                <m:r>
                  <w:rPr>
                    <w:rFonts w:ascii="Cambria Math" w:hAnsi="Cambria Math"/>
                    <w:color w:val="000000" w:themeColor="text1"/>
                    <w:spacing w:val="1"/>
                  </w:rPr>
                  <m:t>=</m:t>
                </m:r>
                <m:rad>
                  <m:radPr>
                    <m:degHide m:val="1"/>
                    <m:ctrlPr>
                      <w:rPr>
                        <w:rFonts w:ascii="Cambria Math" w:hAnsi="Cambria Math"/>
                        <w:i/>
                        <w:color w:val="000000" w:themeColor="text1"/>
                        <w:spacing w:val="1"/>
                      </w:rPr>
                    </m:ctrlPr>
                  </m:radPr>
                  <m:deg/>
                  <m:e>
                    <m:f>
                      <m:fPr>
                        <m:ctrlPr>
                          <w:rPr>
                            <w:rFonts w:ascii="Cambria Math" w:hAnsi="Cambria Math"/>
                            <w:i/>
                            <w:color w:val="000000" w:themeColor="text1"/>
                            <w:spacing w:val="1"/>
                          </w:rPr>
                        </m:ctrlPr>
                      </m:fPr>
                      <m:num>
                        <m:nary>
                          <m:naryPr>
                            <m:chr m:val="∑"/>
                            <m:limLoc m:val="undOvr"/>
                            <m:ctrlPr>
                              <w:rPr>
                                <w:rFonts w:ascii="Cambria Math" w:hAnsi="Cambria Math"/>
                                <w:i/>
                                <w:color w:val="000000" w:themeColor="text1"/>
                                <w:spacing w:val="1"/>
                              </w:rPr>
                            </m:ctrlPr>
                          </m:naryPr>
                          <m:sub>
                            <m:r>
                              <w:rPr>
                                <w:rFonts w:ascii="Cambria Math" w:hAnsi="Cambria Math"/>
                                <w:color w:val="000000" w:themeColor="text1"/>
                                <w:spacing w:val="1"/>
                              </w:rPr>
                              <m:t>i=1</m:t>
                            </m:r>
                          </m:sub>
                          <m:sup>
                            <m:r>
                              <w:rPr>
                                <w:rFonts w:ascii="Cambria Math" w:hAnsi="Cambria Math"/>
                                <w:color w:val="000000" w:themeColor="text1"/>
                                <w:spacing w:val="1"/>
                              </w:rPr>
                              <m:t>N</m:t>
                            </m:r>
                          </m:sup>
                          <m:e>
                            <m:sSup>
                              <m:sSupPr>
                                <m:ctrlPr>
                                  <w:rPr>
                                    <w:rFonts w:ascii="Cambria Math" w:hAnsi="Cambria Math"/>
                                    <w:i/>
                                    <w:color w:val="000000" w:themeColor="text1"/>
                                    <w:spacing w:val="1"/>
                                  </w:rPr>
                                </m:ctrlPr>
                              </m:sSupPr>
                              <m:e>
                                <m:d>
                                  <m:dPr>
                                    <m:ctrlPr>
                                      <w:rPr>
                                        <w:rFonts w:ascii="Cambria Math" w:hAnsi="Cambria Math"/>
                                        <w:i/>
                                        <w:color w:val="000000" w:themeColor="text1"/>
                                        <w:spacing w:val="1"/>
                                      </w:rPr>
                                    </m:ctrlPr>
                                  </m:dPr>
                                  <m:e>
                                    <m:sSub>
                                      <m:sSubPr>
                                        <m:ctrlPr>
                                          <w:rPr>
                                            <w:rFonts w:ascii="Cambria Math" w:hAnsi="Cambria Math"/>
                                            <w:i/>
                                            <w:color w:val="000000" w:themeColor="text1"/>
                                            <w:spacing w:val="1"/>
                                          </w:rPr>
                                        </m:ctrlPr>
                                      </m:sSubPr>
                                      <m:e>
                                        <m:r>
                                          <w:rPr>
                                            <w:rFonts w:ascii="Cambria Math" w:hAnsi="Cambria Math"/>
                                            <w:color w:val="000000" w:themeColor="text1"/>
                                            <w:spacing w:val="1"/>
                                          </w:rPr>
                                          <m:t>x</m:t>
                                        </m:r>
                                      </m:e>
                                      <m:sub>
                                        <m:r>
                                          <w:rPr>
                                            <w:rFonts w:ascii="Cambria Math" w:hAnsi="Cambria Math"/>
                                            <w:color w:val="000000" w:themeColor="text1"/>
                                            <w:spacing w:val="1"/>
                                          </w:rPr>
                                          <m:t>i</m:t>
                                        </m:r>
                                      </m:sub>
                                    </m:sSub>
                                    <m:r>
                                      <w:rPr>
                                        <w:rFonts w:ascii="Cambria Math" w:hAnsi="Cambria Math"/>
                                        <w:color w:val="000000" w:themeColor="text1"/>
                                        <w:spacing w:val="1"/>
                                      </w:rPr>
                                      <m:t>-</m:t>
                                    </m:r>
                                    <m:sSub>
                                      <m:sSubPr>
                                        <m:ctrlPr>
                                          <w:rPr>
                                            <w:rFonts w:ascii="Cambria Math" w:hAnsi="Cambria Math"/>
                                            <w:i/>
                                            <w:color w:val="000000" w:themeColor="text1"/>
                                            <w:spacing w:val="1"/>
                                          </w:rPr>
                                        </m:ctrlPr>
                                      </m:sSubPr>
                                      <m:e>
                                        <m:r>
                                          <w:rPr>
                                            <w:rFonts w:ascii="Cambria Math" w:hAnsi="Cambria Math"/>
                                            <w:color w:val="000000" w:themeColor="text1"/>
                                            <w:spacing w:val="1"/>
                                          </w:rPr>
                                          <m:t>y</m:t>
                                        </m:r>
                                      </m:e>
                                      <m:sub>
                                        <m:r>
                                          <w:rPr>
                                            <w:rFonts w:ascii="Cambria Math" w:hAnsi="Cambria Math"/>
                                            <w:color w:val="000000" w:themeColor="text1"/>
                                            <w:spacing w:val="1"/>
                                          </w:rPr>
                                          <m:t>i</m:t>
                                        </m:r>
                                      </m:sub>
                                    </m:sSub>
                                  </m:e>
                                </m:d>
                              </m:e>
                              <m:sup>
                                <m:r>
                                  <w:rPr>
                                    <w:rFonts w:ascii="Cambria Math" w:hAnsi="Cambria Math"/>
                                    <w:color w:val="000000" w:themeColor="text1"/>
                                    <w:spacing w:val="1"/>
                                  </w:rPr>
                                  <m:t>2</m:t>
                                </m:r>
                              </m:sup>
                            </m:sSup>
                          </m:e>
                        </m:nary>
                      </m:num>
                      <m:den>
                        <m:r>
                          <w:rPr>
                            <w:rFonts w:ascii="Cambria Math" w:hAnsi="Cambria Math"/>
                            <w:color w:val="000000" w:themeColor="text1"/>
                            <w:spacing w:val="1"/>
                          </w:rPr>
                          <m:t>N</m:t>
                        </m:r>
                      </m:den>
                    </m:f>
                  </m:e>
                </m:rad>
              </m:oMath>
            </m:oMathPara>
          </w:p>
        </w:tc>
        <w:tc>
          <w:tcPr>
            <w:tcW w:w="1264" w:type="dxa"/>
            <w:vAlign w:val="center"/>
          </w:tcPr>
          <w:p w14:paraId="3FD0B659" w14:textId="46B6590C" w:rsidR="00351EF1" w:rsidRPr="007932CF" w:rsidRDefault="00351EF1" w:rsidP="004B50C1">
            <w:pPr>
              <w:pStyle w:val="Newparagraph"/>
              <w:spacing w:line="360" w:lineRule="auto"/>
              <w:ind w:firstLine="0"/>
              <w:jc w:val="right"/>
            </w:pPr>
            <w:bookmarkStart w:id="12" w:name="_Ref167378969"/>
            <w:r w:rsidRPr="007932CF">
              <w:t>(</w:t>
            </w:r>
            <w:r w:rsidR="00DB3D18">
              <w:t>1</w:t>
            </w:r>
            <w:r w:rsidR="006D77F1">
              <w:t>2</w:t>
            </w:r>
            <w:r w:rsidRPr="007932CF">
              <w:t>)</w:t>
            </w:r>
            <w:bookmarkEnd w:id="12"/>
          </w:p>
        </w:tc>
      </w:tr>
    </w:tbl>
    <w:p w14:paraId="5097EF4E" w14:textId="09FA2B68" w:rsidR="00351EF1" w:rsidRDefault="00DB3D18" w:rsidP="00351EF1">
      <w:pPr>
        <w:pStyle w:val="Paragraph"/>
      </w:pPr>
      <w:r>
        <w:t>Eq</w:t>
      </w:r>
      <w:r w:rsidR="0084612E">
        <w:t>uation</w:t>
      </w:r>
      <w:r w:rsidR="00351EF1">
        <w:t>s</w:t>
      </w:r>
      <w:r w:rsidR="0084612E">
        <w:t xml:space="preserve"> </w:t>
      </w:r>
      <w:r w:rsidR="006D77F1">
        <w:t xml:space="preserve">11 </w:t>
      </w:r>
      <w:r w:rsidR="00351EF1">
        <w:t xml:space="preserve">and </w:t>
      </w:r>
      <w:r w:rsidR="0084612E">
        <w:t>1</w:t>
      </w:r>
      <w:r w:rsidR="006D77F1">
        <w:t>2</w:t>
      </w:r>
      <w:r w:rsidR="00351EF1">
        <w:t xml:space="preserve"> are also </w:t>
      </w:r>
      <w:r w:rsidR="00DD6BCA">
        <w:t xml:space="preserve">applicable </w:t>
      </w:r>
      <w:r w:rsidR="00351EF1">
        <w:t xml:space="preserve">to wave directions with some adjustments on calculating the difference and mean. The angular difference in radian is given by the length of the shortest </w:t>
      </w:r>
      <w:r w:rsidR="00351EF1" w:rsidRPr="00AB15EA">
        <w:t>arc</w:t>
      </w:r>
      <w:r w:rsidR="00351EF1">
        <w:t xml:space="preserve"> from one direction to the other</w:t>
      </w:r>
      <w:r w:rsidR="00351EF1" w:rsidRPr="00AB15EA">
        <w:t xml:space="preserve"> along the unit circle</w:t>
      </w:r>
      <w:r w:rsidR="00351EF1">
        <w:t xml:space="preserve">. The mean direction </w:t>
      </w:r>
      <m:oMath>
        <m:acc>
          <m:accPr>
            <m:chr m:val="̅"/>
            <m:ctrlPr>
              <w:rPr>
                <w:rFonts w:ascii="Cambria Math" w:hAnsi="Cambria Math"/>
                <w:i/>
                <w:color w:val="000000" w:themeColor="text1"/>
                <w:spacing w:val="1"/>
              </w:rPr>
            </m:ctrlPr>
          </m:accPr>
          <m:e>
            <m:r>
              <w:rPr>
                <w:rFonts w:ascii="Cambria Math" w:hAnsi="Cambria Math"/>
                <w:color w:val="000000" w:themeColor="text1"/>
                <w:spacing w:val="1"/>
              </w:rPr>
              <m:t>θ</m:t>
            </m:r>
          </m:e>
        </m:acc>
      </m:oMath>
      <w:r w:rsidR="00351EF1">
        <w:t xml:space="preserve"> is calculated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351EF1" w:rsidRPr="007932CF" w14:paraId="3ED1E3EE" w14:textId="77777777" w:rsidTr="004B50C1">
        <w:tc>
          <w:tcPr>
            <w:tcW w:w="1129" w:type="dxa"/>
            <w:vAlign w:val="center"/>
          </w:tcPr>
          <w:p w14:paraId="6FC45CA6" w14:textId="77777777" w:rsidR="00351EF1" w:rsidRPr="007932CF" w:rsidRDefault="00351EF1" w:rsidP="004B50C1">
            <w:pPr>
              <w:pStyle w:val="Newparagraph"/>
              <w:spacing w:line="360" w:lineRule="auto"/>
              <w:ind w:firstLine="0"/>
              <w:jc w:val="right"/>
            </w:pPr>
          </w:p>
        </w:tc>
        <w:tc>
          <w:tcPr>
            <w:tcW w:w="6096" w:type="dxa"/>
            <w:vAlign w:val="center"/>
          </w:tcPr>
          <w:p w14:paraId="5B2339EC" w14:textId="5D5FE9D4" w:rsidR="00351EF1" w:rsidRPr="007932CF" w:rsidRDefault="00000000" w:rsidP="004B50C1">
            <w:pPr>
              <w:pStyle w:val="Newparagraph"/>
              <w:spacing w:line="360" w:lineRule="auto"/>
              <w:ind w:firstLine="0"/>
              <w:jc w:val="right"/>
              <w:rPr>
                <w:iCs/>
              </w:rPr>
            </w:pPr>
            <m:oMathPara>
              <m:oMath>
                <m:acc>
                  <m:accPr>
                    <m:chr m:val="̅"/>
                    <m:ctrlPr>
                      <w:rPr>
                        <w:rFonts w:ascii="Cambria Math" w:hAnsi="Cambria Math"/>
                        <w:i/>
                        <w:color w:val="000000" w:themeColor="text1"/>
                        <w:spacing w:val="1"/>
                      </w:rPr>
                    </m:ctrlPr>
                  </m:accPr>
                  <m:e>
                    <m:r>
                      <w:rPr>
                        <w:rFonts w:ascii="Cambria Math" w:hAnsi="Cambria Math"/>
                        <w:color w:val="000000" w:themeColor="text1"/>
                        <w:spacing w:val="1"/>
                      </w:rPr>
                      <m:t>θ</m:t>
                    </m:r>
                  </m:e>
                </m:acc>
                <m:r>
                  <w:rPr>
                    <w:rFonts w:ascii="Cambria Math" w:hAnsi="Cambria Math"/>
                    <w:color w:val="000000" w:themeColor="text1"/>
                    <w:spacing w:val="1"/>
                  </w:rPr>
                  <m:t>=</m:t>
                </m:r>
                <m:func>
                  <m:funcPr>
                    <m:ctrlPr>
                      <w:rPr>
                        <w:rFonts w:ascii="Cambria Math" w:hAnsi="Cambria Math"/>
                        <w:i/>
                        <w:color w:val="000000" w:themeColor="text1"/>
                        <w:spacing w:val="1"/>
                      </w:rPr>
                    </m:ctrlPr>
                  </m:funcPr>
                  <m:fName>
                    <m:sSup>
                      <m:sSupPr>
                        <m:ctrlPr>
                          <w:rPr>
                            <w:rFonts w:ascii="Cambria Math" w:hAnsi="Cambria Math"/>
                            <w:i/>
                            <w:color w:val="000000" w:themeColor="text1"/>
                            <w:spacing w:val="1"/>
                          </w:rPr>
                        </m:ctrlPr>
                      </m:sSupPr>
                      <m:e>
                        <m:r>
                          <m:rPr>
                            <m:sty m:val="p"/>
                          </m:rPr>
                          <w:rPr>
                            <w:rFonts w:ascii="Cambria Math" w:hAnsi="Cambria Math"/>
                            <w:color w:val="000000" w:themeColor="text1"/>
                            <w:spacing w:val="1"/>
                          </w:rPr>
                          <m:t>tan</m:t>
                        </m:r>
                      </m:e>
                      <m:sup>
                        <m:r>
                          <w:rPr>
                            <w:rFonts w:ascii="Cambria Math" w:hAnsi="Cambria Math"/>
                            <w:color w:val="000000" w:themeColor="text1"/>
                            <w:spacing w:val="1"/>
                          </w:rPr>
                          <m:t>-1</m:t>
                        </m:r>
                      </m:sup>
                    </m:sSup>
                  </m:fName>
                  <m:e>
                    <m:d>
                      <m:dPr>
                        <m:ctrlPr>
                          <w:rPr>
                            <w:rFonts w:ascii="Cambria Math" w:hAnsi="Cambria Math"/>
                            <w:i/>
                            <w:color w:val="000000" w:themeColor="text1"/>
                            <w:spacing w:val="1"/>
                          </w:rPr>
                        </m:ctrlPr>
                      </m:dPr>
                      <m:e>
                        <m:f>
                          <m:fPr>
                            <m:ctrlPr>
                              <w:rPr>
                                <w:rFonts w:ascii="Cambria Math" w:hAnsi="Cambria Math"/>
                                <w:i/>
                                <w:color w:val="000000" w:themeColor="text1"/>
                                <w:spacing w:val="1"/>
                              </w:rPr>
                            </m:ctrlPr>
                          </m:fPr>
                          <m:num>
                            <m:nary>
                              <m:naryPr>
                                <m:chr m:val="∑"/>
                                <m:limLoc m:val="subSup"/>
                                <m:ctrlPr>
                                  <w:rPr>
                                    <w:rFonts w:ascii="Cambria Math" w:hAnsi="Cambria Math"/>
                                    <w:i/>
                                    <w:color w:val="000000" w:themeColor="text1"/>
                                    <w:spacing w:val="1"/>
                                  </w:rPr>
                                </m:ctrlPr>
                              </m:naryPr>
                              <m:sub>
                                <m:r>
                                  <w:rPr>
                                    <w:rFonts w:ascii="Cambria Math" w:hAnsi="Cambria Math"/>
                                    <w:color w:val="000000" w:themeColor="text1"/>
                                    <w:spacing w:val="1"/>
                                  </w:rPr>
                                  <m:t>i=1</m:t>
                                </m:r>
                              </m:sub>
                              <m:sup>
                                <m:r>
                                  <w:rPr>
                                    <w:rFonts w:ascii="Cambria Math" w:hAnsi="Cambria Math"/>
                                    <w:color w:val="000000" w:themeColor="text1"/>
                                    <w:spacing w:val="1"/>
                                  </w:rPr>
                                  <m:t>N</m:t>
                                </m:r>
                              </m:sup>
                              <m:e>
                                <m:func>
                                  <m:funcPr>
                                    <m:ctrlPr>
                                      <w:rPr>
                                        <w:rFonts w:ascii="Cambria Math" w:hAnsi="Cambria Math"/>
                                        <w:i/>
                                        <w:color w:val="000000" w:themeColor="text1"/>
                                        <w:spacing w:val="1"/>
                                      </w:rPr>
                                    </m:ctrlPr>
                                  </m:funcPr>
                                  <m:fName>
                                    <m:r>
                                      <m:rPr>
                                        <m:sty m:val="p"/>
                                      </m:rPr>
                                      <w:rPr>
                                        <w:rFonts w:ascii="Cambria Math" w:hAnsi="Cambria Math"/>
                                        <w:color w:val="000000" w:themeColor="text1"/>
                                        <w:spacing w:val="1"/>
                                      </w:rPr>
                                      <m:t>sin</m:t>
                                    </m:r>
                                  </m:fName>
                                  <m:e>
                                    <m:sSub>
                                      <m:sSubPr>
                                        <m:ctrlPr>
                                          <w:rPr>
                                            <w:rFonts w:ascii="Cambria Math" w:hAnsi="Cambria Math"/>
                                            <w:i/>
                                            <w:color w:val="000000" w:themeColor="text1"/>
                                            <w:spacing w:val="1"/>
                                          </w:rPr>
                                        </m:ctrlPr>
                                      </m:sSubPr>
                                      <m:e>
                                        <m:r>
                                          <w:rPr>
                                            <w:rFonts w:ascii="Cambria Math" w:hAnsi="Cambria Math"/>
                                            <w:color w:val="000000" w:themeColor="text1"/>
                                            <w:spacing w:val="1"/>
                                          </w:rPr>
                                          <m:t>θ</m:t>
                                        </m:r>
                                      </m:e>
                                      <m:sub>
                                        <m:r>
                                          <w:rPr>
                                            <w:rFonts w:ascii="Cambria Math" w:hAnsi="Cambria Math"/>
                                            <w:color w:val="000000" w:themeColor="text1"/>
                                            <w:spacing w:val="1"/>
                                          </w:rPr>
                                          <m:t>i</m:t>
                                        </m:r>
                                      </m:sub>
                                    </m:sSub>
                                  </m:e>
                                </m:func>
                              </m:e>
                            </m:nary>
                          </m:num>
                          <m:den>
                            <m:nary>
                              <m:naryPr>
                                <m:chr m:val="∑"/>
                                <m:limLoc m:val="subSup"/>
                                <m:ctrlPr>
                                  <w:rPr>
                                    <w:rFonts w:ascii="Cambria Math" w:hAnsi="Cambria Math"/>
                                    <w:i/>
                                    <w:color w:val="000000" w:themeColor="text1"/>
                                    <w:spacing w:val="1"/>
                                  </w:rPr>
                                </m:ctrlPr>
                              </m:naryPr>
                              <m:sub>
                                <m:r>
                                  <w:rPr>
                                    <w:rFonts w:ascii="Cambria Math" w:hAnsi="Cambria Math"/>
                                    <w:color w:val="000000" w:themeColor="text1"/>
                                    <w:spacing w:val="1"/>
                                  </w:rPr>
                                  <m:t>i=1</m:t>
                                </m:r>
                              </m:sub>
                              <m:sup>
                                <m:r>
                                  <w:rPr>
                                    <w:rFonts w:ascii="Cambria Math" w:hAnsi="Cambria Math"/>
                                    <w:color w:val="000000" w:themeColor="text1"/>
                                    <w:spacing w:val="1"/>
                                  </w:rPr>
                                  <m:t>N</m:t>
                                </m:r>
                              </m:sup>
                              <m:e>
                                <m:func>
                                  <m:funcPr>
                                    <m:ctrlPr>
                                      <w:rPr>
                                        <w:rFonts w:ascii="Cambria Math" w:hAnsi="Cambria Math"/>
                                        <w:i/>
                                        <w:color w:val="000000" w:themeColor="text1"/>
                                        <w:spacing w:val="1"/>
                                      </w:rPr>
                                    </m:ctrlPr>
                                  </m:funcPr>
                                  <m:fName>
                                    <m:r>
                                      <m:rPr>
                                        <m:sty m:val="p"/>
                                      </m:rPr>
                                      <w:rPr>
                                        <w:rFonts w:ascii="Cambria Math" w:hAnsi="Cambria Math"/>
                                        <w:color w:val="000000" w:themeColor="text1"/>
                                        <w:spacing w:val="1"/>
                                      </w:rPr>
                                      <m:t>cos</m:t>
                                    </m:r>
                                  </m:fName>
                                  <m:e>
                                    <m:sSub>
                                      <m:sSubPr>
                                        <m:ctrlPr>
                                          <w:rPr>
                                            <w:rFonts w:ascii="Cambria Math" w:hAnsi="Cambria Math"/>
                                            <w:i/>
                                            <w:color w:val="000000" w:themeColor="text1"/>
                                            <w:spacing w:val="1"/>
                                          </w:rPr>
                                        </m:ctrlPr>
                                      </m:sSubPr>
                                      <m:e>
                                        <m:r>
                                          <w:rPr>
                                            <w:rFonts w:ascii="Cambria Math" w:hAnsi="Cambria Math"/>
                                            <w:color w:val="000000" w:themeColor="text1"/>
                                            <w:spacing w:val="1"/>
                                          </w:rPr>
                                          <m:t>θ</m:t>
                                        </m:r>
                                      </m:e>
                                      <m:sub>
                                        <m:r>
                                          <w:rPr>
                                            <w:rFonts w:ascii="Cambria Math" w:hAnsi="Cambria Math"/>
                                            <w:color w:val="000000" w:themeColor="text1"/>
                                            <w:spacing w:val="1"/>
                                          </w:rPr>
                                          <m:t>i</m:t>
                                        </m:r>
                                      </m:sub>
                                    </m:sSub>
                                  </m:e>
                                </m:func>
                              </m:e>
                            </m:nary>
                          </m:den>
                        </m:f>
                      </m:e>
                    </m:d>
                  </m:e>
                </m:func>
              </m:oMath>
            </m:oMathPara>
          </w:p>
        </w:tc>
        <w:tc>
          <w:tcPr>
            <w:tcW w:w="1264" w:type="dxa"/>
            <w:vAlign w:val="center"/>
          </w:tcPr>
          <w:p w14:paraId="7172090B" w14:textId="438AC6C6" w:rsidR="00351EF1" w:rsidRPr="007932CF" w:rsidRDefault="00351EF1" w:rsidP="004B50C1">
            <w:pPr>
              <w:pStyle w:val="Newparagraph"/>
              <w:spacing w:line="360" w:lineRule="auto"/>
              <w:ind w:firstLine="0"/>
              <w:jc w:val="right"/>
            </w:pPr>
            <w:bookmarkStart w:id="13" w:name="_Ref167184073"/>
            <w:r w:rsidRPr="007932CF">
              <w:t>(</w:t>
            </w:r>
            <w:r w:rsidR="0084612E">
              <w:t>1</w:t>
            </w:r>
            <w:r w:rsidR="006D77F1">
              <w:t>3</w:t>
            </w:r>
            <w:r w:rsidRPr="007932CF">
              <w:t>)</w:t>
            </w:r>
            <w:bookmarkEnd w:id="13"/>
          </w:p>
        </w:tc>
      </w:tr>
    </w:tbl>
    <w:p w14:paraId="5731C623" w14:textId="139F5267" w:rsidR="0084612E" w:rsidRDefault="00351EF1" w:rsidP="00EB7A07">
      <w:pPr>
        <w:pStyle w:val="Paragraph"/>
      </w:pPr>
      <w:r>
        <w:t>Note that wave directions are by default in the nautical convention (</w:t>
      </w:r>
      <w:r w:rsidRPr="00056048">
        <w:t>i.e.</w:t>
      </w:r>
      <w:r w:rsidRPr="00077044">
        <w:t>,</w:t>
      </w:r>
      <w:r>
        <w:t xml:space="preserve"> </w:t>
      </w:r>
      <w:r w:rsidRPr="000E4522">
        <w:t>measured clockwise</w:t>
      </w:r>
      <w:r>
        <w:t xml:space="preserve"> from the North or </w:t>
      </w:r>
      <w:r w:rsidRPr="0098148C">
        <w:t xml:space="preserve">the positive </w:t>
      </w:r>
      <w:r>
        <w:t>y</w:t>
      </w:r>
      <w:r w:rsidRPr="0098148C">
        <w:t>-axis</w:t>
      </w:r>
      <w:r>
        <w:t xml:space="preserve">) in our context and they need to be converted to the </w:t>
      </w:r>
      <w:r w:rsidRPr="00AD6957">
        <w:t>Cartesian convention</w:t>
      </w:r>
      <w:r>
        <w:t xml:space="preserve"> (</w:t>
      </w:r>
      <w:r w:rsidRPr="00056048">
        <w:t>i.e.</w:t>
      </w:r>
      <w:r w:rsidRPr="00077044">
        <w:t>,</w:t>
      </w:r>
      <w:r>
        <w:t xml:space="preserve"> </w:t>
      </w:r>
      <w:r w:rsidRPr="000E4522">
        <w:t xml:space="preserve">measured </w:t>
      </w:r>
      <w:r>
        <w:t>counter</w:t>
      </w:r>
      <w:r w:rsidRPr="000E4522">
        <w:t>clockwise</w:t>
      </w:r>
      <w:r>
        <w:t xml:space="preserve"> from the East or </w:t>
      </w:r>
      <w:r w:rsidRPr="0098148C">
        <w:t>the positive x-axis</w:t>
      </w:r>
      <w:r>
        <w:t xml:space="preserve">) before applying </w:t>
      </w:r>
      <w:r w:rsidR="00DB3D18">
        <w:t>Eq.</w:t>
      </w:r>
      <w:r w:rsidR="0084612E">
        <w:t xml:space="preserve"> 1</w:t>
      </w:r>
      <w:r w:rsidR="006D77F1">
        <w:t>3</w:t>
      </w:r>
      <w:r>
        <w:t xml:space="preserve">. Likewise, the resulting mean direction should be transformed back to the nautical convention. For correlation, we use </w:t>
      </w:r>
      <w:r w:rsidR="00B233EC">
        <w:t>a MATLAB toolbox to calculate</w:t>
      </w:r>
      <w:r>
        <w:t xml:space="preserve"> circular-</w:t>
      </w:r>
      <w:r>
        <w:lastRenderedPageBreak/>
        <w:t xml:space="preserve">circular correlation </w:t>
      </w:r>
      <m:oMath>
        <m:sSub>
          <m:sSubPr>
            <m:ctrlPr>
              <w:rPr>
                <w:rFonts w:ascii="Cambria Math" w:hAnsi="Cambria Math"/>
                <w:i/>
              </w:rPr>
            </m:ctrlPr>
          </m:sSubPr>
          <m:e>
            <m:r>
              <w:rPr>
                <w:rFonts w:ascii="Cambria Math" w:hAnsi="Cambria Math"/>
              </w:rPr>
              <m:t>ρ</m:t>
            </m:r>
          </m:e>
          <m:sub>
            <m:r>
              <w:rPr>
                <w:rFonts w:ascii="Cambria Math" w:hAnsi="Cambria Math"/>
              </w:rPr>
              <m:t>cc</m:t>
            </m:r>
          </m:sub>
        </m:sSub>
      </m:oMath>
      <w:r w:rsidR="006925F2">
        <w:rPr>
          <w:rFonts w:cstheme="minorBidi"/>
        </w:rPr>
        <w:t xml:space="preserve"> </w:t>
      </w:r>
      <w:r w:rsidR="00B65149">
        <w:fldChar w:fldCharType="begin"/>
      </w:r>
      <w:r w:rsidR="00B65149">
        <w:instrText xml:space="preserve"> ADDIN ZOTERO_ITEM CSL_CITATION {"citationID":"jKuTtCud","properties":{"formattedCitation":"(Berens 2009)","plainCitation":"(Berens 2009)","noteIndex":0},"citationItems":[{"id":583,"uris":["http://zotero.org/users/10288439/items/243VKWJ3"],"itemData":{"id":583,"type":"article-journal","abstract":"Directional data is ubiquitious in science. Due to its circular nature such data cannot be analyzed with commonly used statistical techniques. Despite the rapid development of specialized methods for directional statistics over the last fifty years, there is only little software available that makes such methods easy to use for practioners. Most importantly, one of the most commonly used programming languages in biosciences, MATLAB, is currently not supporting directional statistics. To remedy this situation, we have implemented the CircStat toolbox for MATLAB which provides methods for the descriptive and inferential statistical analysis of directional data. We cover the statistical background of the available methods and describe how to apply them to data. Finally, we analyze a dataset from neurophysiology to demonstrate the capabilities of the CircStat toolbox.","container-title":"Journal of Statistical Software","DOI":"10.18637/jss.v031.i10","ISSN":"1548-7660","language":"en","license":"Copyright (c) 2009 Philipp Berens","page":"1-21","source":"www.jstatsoft.org","title":"CircStat: A MATLAB Toolbox for Circular Statistics","title-short":"CircStat","volume":"31","author":[{"family":"Berens","given":"Philipp"}],"issued":{"date-parts":[["2009",9,23]]}}}],"schema":"https://github.com/citation-style-language/schema/raw/master/csl-citation.json"} </w:instrText>
      </w:r>
      <w:r w:rsidR="00B65149">
        <w:fldChar w:fldCharType="separate"/>
      </w:r>
      <w:r w:rsidR="00282A3B" w:rsidRPr="00282A3B">
        <w:t>(Berens 2009)</w:t>
      </w:r>
      <w:r w:rsidR="00B65149">
        <w:fldChar w:fldCharType="end"/>
      </w:r>
      <w:r w:rsidR="006925F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096"/>
        <w:gridCol w:w="1264"/>
      </w:tblGrid>
      <w:tr w:rsidR="006925F2" w:rsidRPr="007932CF" w14:paraId="5ACA5643" w14:textId="77777777" w:rsidTr="004B50C1">
        <w:tc>
          <w:tcPr>
            <w:tcW w:w="1129" w:type="dxa"/>
            <w:vAlign w:val="center"/>
          </w:tcPr>
          <w:p w14:paraId="171ED572" w14:textId="77777777" w:rsidR="006925F2" w:rsidRPr="007932CF" w:rsidRDefault="006925F2" w:rsidP="004B50C1">
            <w:pPr>
              <w:pStyle w:val="Newparagraph"/>
              <w:spacing w:line="360" w:lineRule="auto"/>
              <w:ind w:firstLine="0"/>
              <w:jc w:val="right"/>
            </w:pPr>
          </w:p>
        </w:tc>
        <w:tc>
          <w:tcPr>
            <w:tcW w:w="6096" w:type="dxa"/>
            <w:vAlign w:val="center"/>
          </w:tcPr>
          <w:p w14:paraId="14EF42FE" w14:textId="77777777" w:rsidR="006925F2" w:rsidRPr="007932CF" w:rsidRDefault="00000000" w:rsidP="004B50C1">
            <w:pPr>
              <w:pStyle w:val="Newparagraph"/>
              <w:spacing w:line="360" w:lineRule="auto"/>
              <w:ind w:firstLine="0"/>
              <w:jc w:val="right"/>
              <w:rPr>
                <w:iCs/>
              </w:rPr>
            </w:pPr>
            <m:oMathPara>
              <m:oMath>
                <m:sSub>
                  <m:sSubPr>
                    <m:ctrlPr>
                      <w:rPr>
                        <w:rFonts w:ascii="Cambria Math" w:hAnsi="Cambria Math"/>
                        <w:i/>
                      </w:rPr>
                    </m:ctrlPr>
                  </m:sSubPr>
                  <m:e>
                    <m:r>
                      <w:rPr>
                        <w:rFonts w:ascii="Cambria Math" w:hAnsi="Cambria Math"/>
                      </w:rPr>
                      <m:t>ρ</m:t>
                    </m:r>
                  </m:e>
                  <m:sub>
                    <m:r>
                      <w:rPr>
                        <w:rFonts w:ascii="Cambria Math" w:hAnsi="Cambria Math"/>
                      </w:rPr>
                      <m:t>cc</m:t>
                    </m:r>
                  </m:sub>
                </m:sSub>
                <m:r>
                  <w:rPr>
                    <w:rFonts w:ascii="Cambria Math" w:hAnsi="Cambria Math"/>
                    <w:color w:val="000000" w:themeColor="text1"/>
                    <w:spacing w:val="1"/>
                  </w:rPr>
                  <m:t>=</m:t>
                </m:r>
                <m:f>
                  <m:fPr>
                    <m:ctrlPr>
                      <w:rPr>
                        <w:rFonts w:ascii="Cambria Math" w:hAnsi="Cambria Math"/>
                        <w:i/>
                        <w:color w:val="000000" w:themeColor="text1"/>
                        <w:spacing w:val="1"/>
                      </w:rPr>
                    </m:ctrlPr>
                  </m:fPr>
                  <m:num>
                    <m:nary>
                      <m:naryPr>
                        <m:chr m:val="∑"/>
                        <m:limLoc m:val="subSup"/>
                        <m:supHide m:val="1"/>
                        <m:ctrlPr>
                          <w:rPr>
                            <w:rFonts w:ascii="Cambria Math" w:hAnsi="Cambria Math"/>
                            <w:i/>
                            <w:color w:val="000000" w:themeColor="text1"/>
                            <w:spacing w:val="1"/>
                          </w:rPr>
                        </m:ctrlPr>
                      </m:naryPr>
                      <m:sub>
                        <m:r>
                          <w:rPr>
                            <w:rFonts w:ascii="Cambria Math" w:hAnsi="Cambria Math"/>
                            <w:color w:val="000000" w:themeColor="text1"/>
                            <w:spacing w:val="1"/>
                          </w:rPr>
                          <m:t>i</m:t>
                        </m:r>
                      </m:sub>
                      <m:sup/>
                      <m:e>
                        <m:func>
                          <m:funcPr>
                            <m:ctrlPr>
                              <w:rPr>
                                <w:rFonts w:ascii="Cambria Math" w:hAnsi="Cambria Math"/>
                                <w:i/>
                                <w:color w:val="000000" w:themeColor="text1"/>
                                <w:spacing w:val="1"/>
                              </w:rPr>
                            </m:ctrlPr>
                          </m:funcPr>
                          <m:fName>
                            <m:r>
                              <m:rPr>
                                <m:sty m:val="p"/>
                              </m:rPr>
                              <w:rPr>
                                <w:rFonts w:ascii="Cambria Math" w:hAnsi="Cambria Math"/>
                                <w:color w:val="000000" w:themeColor="text1"/>
                                <w:spacing w:val="1"/>
                              </w:rPr>
                              <m:t>sin</m:t>
                            </m:r>
                          </m:fName>
                          <m:e>
                            <m:d>
                              <m:dPr>
                                <m:ctrlPr>
                                  <w:rPr>
                                    <w:rFonts w:ascii="Cambria Math" w:hAnsi="Cambria Math"/>
                                    <w:i/>
                                    <w:color w:val="000000" w:themeColor="text1"/>
                                    <w:spacing w:val="1"/>
                                  </w:rPr>
                                </m:ctrlPr>
                              </m:dPr>
                              <m:e>
                                <m:sSub>
                                  <m:sSubPr>
                                    <m:ctrlPr>
                                      <w:rPr>
                                        <w:rFonts w:ascii="Cambria Math" w:hAnsi="Cambria Math"/>
                                        <w:i/>
                                        <w:color w:val="000000" w:themeColor="text1"/>
                                        <w:spacing w:val="1"/>
                                      </w:rPr>
                                    </m:ctrlPr>
                                  </m:sSubPr>
                                  <m:e>
                                    <m:r>
                                      <w:rPr>
                                        <w:rFonts w:ascii="Cambria Math" w:hAnsi="Cambria Math"/>
                                        <w:color w:val="000000" w:themeColor="text1"/>
                                        <w:spacing w:val="1"/>
                                      </w:rPr>
                                      <m:t>θ</m:t>
                                    </m:r>
                                  </m:e>
                                  <m:sub>
                                    <m:r>
                                      <w:rPr>
                                        <w:rFonts w:ascii="Cambria Math" w:hAnsi="Cambria Math"/>
                                        <w:color w:val="000000" w:themeColor="text1"/>
                                        <w:spacing w:val="1"/>
                                      </w:rPr>
                                      <m:t>i</m:t>
                                    </m:r>
                                  </m:sub>
                                </m:sSub>
                                <m:r>
                                  <w:rPr>
                                    <w:rFonts w:ascii="Cambria Math" w:hAnsi="Cambria Math"/>
                                    <w:color w:val="000000" w:themeColor="text1"/>
                                    <w:spacing w:val="1"/>
                                  </w:rPr>
                                  <m:t>-</m:t>
                                </m:r>
                                <m:acc>
                                  <m:accPr>
                                    <m:chr m:val="̅"/>
                                    <m:ctrlPr>
                                      <w:rPr>
                                        <w:rFonts w:ascii="Cambria Math" w:hAnsi="Cambria Math"/>
                                        <w:i/>
                                        <w:color w:val="000000" w:themeColor="text1"/>
                                        <w:spacing w:val="1"/>
                                      </w:rPr>
                                    </m:ctrlPr>
                                  </m:accPr>
                                  <m:e>
                                    <m:r>
                                      <w:rPr>
                                        <w:rFonts w:ascii="Cambria Math" w:hAnsi="Cambria Math"/>
                                        <w:color w:val="000000" w:themeColor="text1"/>
                                        <w:spacing w:val="1"/>
                                      </w:rPr>
                                      <m:t>θ</m:t>
                                    </m:r>
                                  </m:e>
                                </m:acc>
                              </m:e>
                            </m:d>
                          </m:e>
                        </m:func>
                        <m:func>
                          <m:funcPr>
                            <m:ctrlPr>
                              <w:rPr>
                                <w:rFonts w:ascii="Cambria Math" w:hAnsi="Cambria Math"/>
                                <w:i/>
                                <w:color w:val="000000" w:themeColor="text1"/>
                                <w:spacing w:val="1"/>
                              </w:rPr>
                            </m:ctrlPr>
                          </m:funcPr>
                          <m:fName>
                            <m:r>
                              <m:rPr>
                                <m:sty m:val="p"/>
                              </m:rPr>
                              <w:rPr>
                                <w:rFonts w:ascii="Cambria Math" w:hAnsi="Cambria Math"/>
                                <w:color w:val="000000" w:themeColor="text1"/>
                                <w:spacing w:val="1"/>
                              </w:rPr>
                              <m:t>sin</m:t>
                            </m:r>
                          </m:fName>
                          <m:e>
                            <m:d>
                              <m:dPr>
                                <m:ctrlPr>
                                  <w:rPr>
                                    <w:rFonts w:ascii="Cambria Math" w:hAnsi="Cambria Math"/>
                                    <w:i/>
                                    <w:color w:val="000000" w:themeColor="text1"/>
                                    <w:spacing w:val="1"/>
                                  </w:rPr>
                                </m:ctrlPr>
                              </m:dPr>
                              <m:e>
                                <m:sSub>
                                  <m:sSubPr>
                                    <m:ctrlPr>
                                      <w:rPr>
                                        <w:rFonts w:ascii="Cambria Math" w:hAnsi="Cambria Math"/>
                                        <w:i/>
                                        <w:color w:val="000000" w:themeColor="text1"/>
                                        <w:spacing w:val="1"/>
                                      </w:rPr>
                                    </m:ctrlPr>
                                  </m:sSubPr>
                                  <m:e>
                                    <m:r>
                                      <w:rPr>
                                        <w:rFonts w:ascii="Cambria Math" w:hAnsi="Cambria Math"/>
                                        <w:color w:val="000000" w:themeColor="text1"/>
                                        <w:spacing w:val="1"/>
                                      </w:rPr>
                                      <m:t>φ</m:t>
                                    </m:r>
                                  </m:e>
                                  <m:sub>
                                    <m:r>
                                      <w:rPr>
                                        <w:rFonts w:ascii="Cambria Math" w:hAnsi="Cambria Math"/>
                                        <w:color w:val="000000" w:themeColor="text1"/>
                                        <w:spacing w:val="1"/>
                                      </w:rPr>
                                      <m:t>i</m:t>
                                    </m:r>
                                  </m:sub>
                                </m:sSub>
                                <m:r>
                                  <w:rPr>
                                    <w:rFonts w:ascii="Cambria Math" w:hAnsi="Cambria Math"/>
                                    <w:color w:val="000000" w:themeColor="text1"/>
                                    <w:spacing w:val="1"/>
                                  </w:rPr>
                                  <m:t>-</m:t>
                                </m:r>
                                <m:acc>
                                  <m:accPr>
                                    <m:chr m:val="̅"/>
                                    <m:ctrlPr>
                                      <w:rPr>
                                        <w:rFonts w:ascii="Cambria Math" w:hAnsi="Cambria Math"/>
                                        <w:i/>
                                        <w:color w:val="000000" w:themeColor="text1"/>
                                        <w:spacing w:val="1"/>
                                      </w:rPr>
                                    </m:ctrlPr>
                                  </m:accPr>
                                  <m:e>
                                    <m:r>
                                      <w:rPr>
                                        <w:rFonts w:ascii="Cambria Math" w:hAnsi="Cambria Math"/>
                                        <w:color w:val="000000" w:themeColor="text1"/>
                                        <w:spacing w:val="1"/>
                                      </w:rPr>
                                      <m:t>φ</m:t>
                                    </m:r>
                                  </m:e>
                                </m:acc>
                              </m:e>
                            </m:d>
                          </m:e>
                        </m:func>
                      </m:e>
                    </m:nary>
                  </m:num>
                  <m:den>
                    <m:rad>
                      <m:radPr>
                        <m:degHide m:val="1"/>
                        <m:ctrlPr>
                          <w:rPr>
                            <w:rFonts w:ascii="Cambria Math" w:hAnsi="Cambria Math"/>
                            <w:i/>
                            <w:color w:val="000000" w:themeColor="text1"/>
                            <w:spacing w:val="1"/>
                          </w:rPr>
                        </m:ctrlPr>
                      </m:radPr>
                      <m:deg/>
                      <m:e>
                        <m:nary>
                          <m:naryPr>
                            <m:chr m:val="∑"/>
                            <m:limLoc m:val="subSup"/>
                            <m:supHide m:val="1"/>
                            <m:ctrlPr>
                              <w:rPr>
                                <w:rFonts w:ascii="Cambria Math" w:hAnsi="Cambria Math"/>
                                <w:i/>
                                <w:color w:val="000000" w:themeColor="text1"/>
                                <w:spacing w:val="1"/>
                              </w:rPr>
                            </m:ctrlPr>
                          </m:naryPr>
                          <m:sub>
                            <m:r>
                              <w:rPr>
                                <w:rFonts w:ascii="Cambria Math" w:hAnsi="Cambria Math"/>
                                <w:color w:val="000000" w:themeColor="text1"/>
                                <w:spacing w:val="1"/>
                              </w:rPr>
                              <m:t>i</m:t>
                            </m:r>
                          </m:sub>
                          <m:sup/>
                          <m:e>
                            <m:func>
                              <m:funcPr>
                                <m:ctrlPr>
                                  <w:rPr>
                                    <w:rFonts w:ascii="Cambria Math" w:hAnsi="Cambria Math"/>
                                    <w:i/>
                                    <w:color w:val="000000" w:themeColor="text1"/>
                                    <w:spacing w:val="1"/>
                                  </w:rPr>
                                </m:ctrlPr>
                              </m:funcPr>
                              <m:fName>
                                <m:sSup>
                                  <m:sSupPr>
                                    <m:ctrlPr>
                                      <w:rPr>
                                        <w:rFonts w:ascii="Cambria Math" w:hAnsi="Cambria Math"/>
                                        <w:i/>
                                        <w:color w:val="000000" w:themeColor="text1"/>
                                        <w:spacing w:val="1"/>
                                      </w:rPr>
                                    </m:ctrlPr>
                                  </m:sSupPr>
                                  <m:e>
                                    <m:r>
                                      <m:rPr>
                                        <m:sty m:val="p"/>
                                      </m:rPr>
                                      <w:rPr>
                                        <w:rFonts w:ascii="Cambria Math" w:hAnsi="Cambria Math"/>
                                        <w:color w:val="000000" w:themeColor="text1"/>
                                        <w:spacing w:val="1"/>
                                      </w:rPr>
                                      <m:t>sin</m:t>
                                    </m:r>
                                    <m:ctrlPr>
                                      <w:rPr>
                                        <w:rFonts w:ascii="Cambria Math" w:hAnsi="Cambria Math"/>
                                        <w:color w:val="000000" w:themeColor="text1"/>
                                        <w:spacing w:val="1"/>
                                      </w:rPr>
                                    </m:ctrlPr>
                                  </m:e>
                                  <m:sup>
                                    <m:r>
                                      <w:rPr>
                                        <w:rFonts w:ascii="Cambria Math" w:hAnsi="Cambria Math"/>
                                        <w:color w:val="000000" w:themeColor="text1"/>
                                        <w:spacing w:val="1"/>
                                      </w:rPr>
                                      <m:t>2</m:t>
                                    </m:r>
                                    <m:ctrlPr>
                                      <w:rPr>
                                        <w:rFonts w:ascii="Cambria Math" w:hAnsi="Cambria Math"/>
                                        <w:color w:val="000000" w:themeColor="text1"/>
                                        <w:spacing w:val="1"/>
                                      </w:rPr>
                                    </m:ctrlPr>
                                  </m:sup>
                                </m:sSup>
                              </m:fName>
                              <m:e>
                                <m:d>
                                  <m:dPr>
                                    <m:ctrlPr>
                                      <w:rPr>
                                        <w:rFonts w:ascii="Cambria Math" w:hAnsi="Cambria Math"/>
                                        <w:i/>
                                        <w:color w:val="000000" w:themeColor="text1"/>
                                        <w:spacing w:val="1"/>
                                      </w:rPr>
                                    </m:ctrlPr>
                                  </m:dPr>
                                  <m:e>
                                    <m:sSub>
                                      <m:sSubPr>
                                        <m:ctrlPr>
                                          <w:rPr>
                                            <w:rFonts w:ascii="Cambria Math" w:hAnsi="Cambria Math"/>
                                            <w:i/>
                                            <w:color w:val="000000" w:themeColor="text1"/>
                                            <w:spacing w:val="1"/>
                                          </w:rPr>
                                        </m:ctrlPr>
                                      </m:sSubPr>
                                      <m:e>
                                        <m:r>
                                          <w:rPr>
                                            <w:rFonts w:ascii="Cambria Math" w:hAnsi="Cambria Math"/>
                                            <w:color w:val="000000" w:themeColor="text1"/>
                                            <w:spacing w:val="1"/>
                                          </w:rPr>
                                          <m:t>θ</m:t>
                                        </m:r>
                                      </m:e>
                                      <m:sub>
                                        <m:r>
                                          <w:rPr>
                                            <w:rFonts w:ascii="Cambria Math" w:hAnsi="Cambria Math"/>
                                            <w:color w:val="000000" w:themeColor="text1"/>
                                            <w:spacing w:val="1"/>
                                          </w:rPr>
                                          <m:t>i</m:t>
                                        </m:r>
                                      </m:sub>
                                    </m:sSub>
                                    <m:r>
                                      <w:rPr>
                                        <w:rFonts w:ascii="Cambria Math" w:hAnsi="Cambria Math"/>
                                        <w:color w:val="000000" w:themeColor="text1"/>
                                        <w:spacing w:val="1"/>
                                      </w:rPr>
                                      <m:t>-</m:t>
                                    </m:r>
                                    <m:acc>
                                      <m:accPr>
                                        <m:chr m:val="̅"/>
                                        <m:ctrlPr>
                                          <w:rPr>
                                            <w:rFonts w:ascii="Cambria Math" w:hAnsi="Cambria Math"/>
                                            <w:i/>
                                            <w:color w:val="000000" w:themeColor="text1"/>
                                            <w:spacing w:val="1"/>
                                          </w:rPr>
                                        </m:ctrlPr>
                                      </m:accPr>
                                      <m:e>
                                        <m:r>
                                          <w:rPr>
                                            <w:rFonts w:ascii="Cambria Math" w:hAnsi="Cambria Math"/>
                                            <w:color w:val="000000" w:themeColor="text1"/>
                                            <w:spacing w:val="1"/>
                                          </w:rPr>
                                          <m:t>θ</m:t>
                                        </m:r>
                                      </m:e>
                                    </m:acc>
                                  </m:e>
                                </m:d>
                              </m:e>
                            </m:func>
                            <m:sSup>
                              <m:sSupPr>
                                <m:ctrlPr>
                                  <w:rPr>
                                    <w:rFonts w:ascii="Cambria Math" w:hAnsi="Cambria Math"/>
                                    <w:i/>
                                    <w:color w:val="000000" w:themeColor="text1"/>
                                    <w:spacing w:val="1"/>
                                  </w:rPr>
                                </m:ctrlPr>
                              </m:sSupPr>
                              <m:e>
                                <m:r>
                                  <m:rPr>
                                    <m:sty m:val="p"/>
                                  </m:rPr>
                                  <w:rPr>
                                    <w:rFonts w:ascii="Cambria Math" w:hAnsi="Cambria Math"/>
                                    <w:color w:val="000000" w:themeColor="text1"/>
                                    <w:spacing w:val="1"/>
                                  </w:rPr>
                                  <m:t>sin</m:t>
                                </m:r>
                                <m:ctrlPr>
                                  <w:rPr>
                                    <w:rFonts w:ascii="Cambria Math" w:hAnsi="Cambria Math"/>
                                    <w:color w:val="000000" w:themeColor="text1"/>
                                    <w:spacing w:val="1"/>
                                  </w:rPr>
                                </m:ctrlPr>
                              </m:e>
                              <m:sup>
                                <m:r>
                                  <w:rPr>
                                    <w:rFonts w:ascii="Cambria Math" w:hAnsi="Cambria Math"/>
                                    <w:color w:val="000000" w:themeColor="text1"/>
                                    <w:spacing w:val="1"/>
                                  </w:rPr>
                                  <m:t>2</m:t>
                                </m:r>
                                <m:ctrlPr>
                                  <w:rPr>
                                    <w:rFonts w:ascii="Cambria Math" w:hAnsi="Cambria Math"/>
                                    <w:color w:val="000000" w:themeColor="text1"/>
                                    <w:spacing w:val="1"/>
                                  </w:rPr>
                                </m:ctrlPr>
                              </m:sup>
                            </m:sSup>
                            <m:d>
                              <m:dPr>
                                <m:ctrlPr>
                                  <w:rPr>
                                    <w:rFonts w:ascii="Cambria Math" w:hAnsi="Cambria Math"/>
                                    <w:i/>
                                    <w:color w:val="000000" w:themeColor="text1"/>
                                    <w:spacing w:val="1"/>
                                  </w:rPr>
                                </m:ctrlPr>
                              </m:dPr>
                              <m:e>
                                <m:sSub>
                                  <m:sSubPr>
                                    <m:ctrlPr>
                                      <w:rPr>
                                        <w:rFonts w:ascii="Cambria Math" w:hAnsi="Cambria Math"/>
                                        <w:i/>
                                        <w:color w:val="000000" w:themeColor="text1"/>
                                        <w:spacing w:val="1"/>
                                      </w:rPr>
                                    </m:ctrlPr>
                                  </m:sSubPr>
                                  <m:e>
                                    <m:r>
                                      <w:rPr>
                                        <w:rFonts w:ascii="Cambria Math" w:hAnsi="Cambria Math"/>
                                        <w:color w:val="000000" w:themeColor="text1"/>
                                        <w:spacing w:val="1"/>
                                      </w:rPr>
                                      <m:t>φ</m:t>
                                    </m:r>
                                  </m:e>
                                  <m:sub>
                                    <m:r>
                                      <w:rPr>
                                        <w:rFonts w:ascii="Cambria Math" w:hAnsi="Cambria Math"/>
                                        <w:color w:val="000000" w:themeColor="text1"/>
                                        <w:spacing w:val="1"/>
                                      </w:rPr>
                                      <m:t>i</m:t>
                                    </m:r>
                                  </m:sub>
                                </m:sSub>
                                <m:r>
                                  <w:rPr>
                                    <w:rFonts w:ascii="Cambria Math" w:hAnsi="Cambria Math"/>
                                    <w:color w:val="000000" w:themeColor="text1"/>
                                    <w:spacing w:val="1"/>
                                  </w:rPr>
                                  <m:t>-</m:t>
                                </m:r>
                                <m:acc>
                                  <m:accPr>
                                    <m:chr m:val="̅"/>
                                    <m:ctrlPr>
                                      <w:rPr>
                                        <w:rFonts w:ascii="Cambria Math" w:hAnsi="Cambria Math"/>
                                        <w:i/>
                                        <w:color w:val="000000" w:themeColor="text1"/>
                                        <w:spacing w:val="1"/>
                                      </w:rPr>
                                    </m:ctrlPr>
                                  </m:accPr>
                                  <m:e>
                                    <m:r>
                                      <w:rPr>
                                        <w:rFonts w:ascii="Cambria Math" w:hAnsi="Cambria Math"/>
                                        <w:color w:val="000000" w:themeColor="text1"/>
                                        <w:spacing w:val="1"/>
                                      </w:rPr>
                                      <m:t>φ</m:t>
                                    </m:r>
                                  </m:e>
                                </m:acc>
                              </m:e>
                            </m:d>
                          </m:e>
                        </m:nary>
                      </m:e>
                    </m:rad>
                  </m:den>
                </m:f>
              </m:oMath>
            </m:oMathPara>
          </w:p>
        </w:tc>
        <w:tc>
          <w:tcPr>
            <w:tcW w:w="1264" w:type="dxa"/>
            <w:vAlign w:val="center"/>
          </w:tcPr>
          <w:p w14:paraId="39E9D62D" w14:textId="353D8CAD" w:rsidR="006925F2" w:rsidRPr="007932CF" w:rsidRDefault="006925F2" w:rsidP="004B50C1">
            <w:pPr>
              <w:pStyle w:val="Newparagraph"/>
              <w:spacing w:line="360" w:lineRule="auto"/>
              <w:ind w:firstLine="0"/>
              <w:jc w:val="right"/>
            </w:pPr>
            <w:r w:rsidRPr="007932CF">
              <w:t>(</w:t>
            </w:r>
            <w:r>
              <w:t>1</w:t>
            </w:r>
            <w:r w:rsidR="006D77F1">
              <w:t>4</w:t>
            </w:r>
            <w:r w:rsidRPr="007932CF">
              <w:t>)</w:t>
            </w:r>
          </w:p>
        </w:tc>
      </w:tr>
    </w:tbl>
    <w:p w14:paraId="6D93DF9C" w14:textId="561EC15B" w:rsidR="006925F2" w:rsidRDefault="006925F2">
      <w:pPr>
        <w:rPr>
          <w:color w:val="000000" w:themeColor="text1"/>
          <w:spacing w:val="1"/>
          <w:szCs w:val="24"/>
          <w:lang w:val="en-GB" w:eastAsia="en-GB"/>
        </w:rPr>
      </w:pPr>
      <w:r>
        <w:rPr>
          <w:lang w:val="en-GB" w:eastAsia="en-GB"/>
        </w:rPr>
        <w:t xml:space="preserve">where </w:t>
      </w:r>
      <m:oMath>
        <m:sSub>
          <m:sSubPr>
            <m:ctrlPr>
              <w:rPr>
                <w:rFonts w:ascii="Cambria Math" w:hAnsi="Cambria Math" w:cs="Times New Roman"/>
                <w:i/>
                <w:color w:val="000000" w:themeColor="text1"/>
                <w:spacing w:val="1"/>
                <w:szCs w:val="24"/>
                <w:lang w:val="en-GB" w:eastAsia="en-GB"/>
              </w:rPr>
            </m:ctrlPr>
          </m:sSubPr>
          <m:e>
            <m:r>
              <w:rPr>
                <w:rFonts w:ascii="Cambria Math" w:hAnsi="Cambria Math"/>
                <w:color w:val="000000" w:themeColor="text1"/>
                <w:spacing w:val="1"/>
              </w:rPr>
              <m:t>θ</m:t>
            </m:r>
          </m:e>
          <m:sub>
            <m:r>
              <w:rPr>
                <w:rFonts w:ascii="Cambria Math" w:hAnsi="Cambria Math"/>
                <w:color w:val="000000" w:themeColor="text1"/>
                <w:spacing w:val="1"/>
              </w:rPr>
              <m:t>i</m:t>
            </m:r>
          </m:sub>
        </m:sSub>
      </m:oMath>
      <w:r>
        <w:rPr>
          <w:color w:val="000000" w:themeColor="text1"/>
          <w:spacing w:val="1"/>
          <w:szCs w:val="24"/>
          <w:lang w:val="en-GB" w:eastAsia="en-GB"/>
        </w:rPr>
        <w:t xml:space="preserve"> and </w:t>
      </w:r>
      <m:oMath>
        <m:sSub>
          <m:sSubPr>
            <m:ctrlPr>
              <w:rPr>
                <w:rFonts w:ascii="Cambria Math" w:hAnsi="Cambria Math" w:cs="Times New Roman"/>
                <w:i/>
                <w:color w:val="000000" w:themeColor="text1"/>
                <w:spacing w:val="1"/>
                <w:szCs w:val="24"/>
                <w:lang w:val="en-GB" w:eastAsia="en-GB"/>
              </w:rPr>
            </m:ctrlPr>
          </m:sSubPr>
          <m:e>
            <m:r>
              <w:rPr>
                <w:rFonts w:ascii="Cambria Math" w:hAnsi="Cambria Math"/>
                <w:color w:val="000000" w:themeColor="text1"/>
                <w:spacing w:val="1"/>
              </w:rPr>
              <m:t>φ</m:t>
            </m:r>
          </m:e>
          <m:sub>
            <m:r>
              <w:rPr>
                <w:rFonts w:ascii="Cambria Math" w:hAnsi="Cambria Math"/>
                <w:color w:val="000000" w:themeColor="text1"/>
                <w:spacing w:val="1"/>
              </w:rPr>
              <m:t>i</m:t>
            </m:r>
          </m:sub>
        </m:sSub>
      </m:oMath>
      <w:r>
        <w:rPr>
          <w:color w:val="000000" w:themeColor="text1"/>
          <w:spacing w:val="1"/>
          <w:szCs w:val="24"/>
          <w:lang w:val="en-GB" w:eastAsia="en-GB"/>
        </w:rPr>
        <w:t xml:space="preserve"> are two directional variables and </w:t>
      </w:r>
      <m:oMath>
        <m:acc>
          <m:accPr>
            <m:chr m:val="̅"/>
            <m:ctrlPr>
              <w:rPr>
                <w:rFonts w:ascii="Cambria Math" w:hAnsi="Cambria Math" w:cs="Times New Roman"/>
                <w:i/>
                <w:color w:val="000000" w:themeColor="text1"/>
                <w:spacing w:val="1"/>
                <w:szCs w:val="24"/>
                <w:lang w:val="en-GB" w:eastAsia="en-GB"/>
              </w:rPr>
            </m:ctrlPr>
          </m:accPr>
          <m:e>
            <m:r>
              <w:rPr>
                <w:rFonts w:ascii="Cambria Math" w:hAnsi="Cambria Math"/>
                <w:color w:val="000000" w:themeColor="text1"/>
                <w:spacing w:val="1"/>
              </w:rPr>
              <m:t>θ</m:t>
            </m:r>
          </m:e>
        </m:acc>
      </m:oMath>
      <w:r>
        <w:rPr>
          <w:color w:val="000000" w:themeColor="text1"/>
          <w:spacing w:val="1"/>
          <w:szCs w:val="24"/>
          <w:lang w:val="en-GB" w:eastAsia="en-GB"/>
        </w:rPr>
        <w:t xml:space="preserve"> and </w:t>
      </w:r>
      <m:oMath>
        <m:acc>
          <m:accPr>
            <m:chr m:val="̅"/>
            <m:ctrlPr>
              <w:rPr>
                <w:rFonts w:ascii="Cambria Math" w:hAnsi="Cambria Math" w:cs="Times New Roman"/>
                <w:i/>
                <w:color w:val="000000" w:themeColor="text1"/>
                <w:spacing w:val="1"/>
                <w:szCs w:val="24"/>
                <w:lang w:val="en-GB" w:eastAsia="en-GB"/>
              </w:rPr>
            </m:ctrlPr>
          </m:accPr>
          <m:e>
            <m:r>
              <w:rPr>
                <w:rFonts w:ascii="Cambria Math" w:hAnsi="Cambria Math"/>
                <w:color w:val="000000" w:themeColor="text1"/>
                <w:spacing w:val="1"/>
              </w:rPr>
              <m:t>φ</m:t>
            </m:r>
          </m:e>
        </m:acc>
      </m:oMath>
      <w:r>
        <w:rPr>
          <w:color w:val="000000" w:themeColor="text1"/>
          <w:spacing w:val="1"/>
          <w:szCs w:val="24"/>
          <w:lang w:val="en-GB" w:eastAsia="en-GB"/>
        </w:rPr>
        <w:t xml:space="preserve"> are the angular means.</w:t>
      </w:r>
    </w:p>
    <w:p w14:paraId="3F91CA31" w14:textId="77777777" w:rsidR="00DD6BCA" w:rsidRPr="00A276C5" w:rsidRDefault="00DD6BCA" w:rsidP="00DA52D3"/>
    <w:p w14:paraId="6676BE15" w14:textId="06D291D8" w:rsidR="00351EF1" w:rsidRPr="00DA52D3" w:rsidRDefault="00351EF1" w:rsidP="00351EF1">
      <w:pPr>
        <w:rPr>
          <w:b/>
          <w:bCs/>
          <w:lang w:val="en-GB" w:eastAsia="en-GB"/>
        </w:rPr>
      </w:pPr>
      <w:r w:rsidRPr="00DA52D3">
        <w:rPr>
          <w:b/>
          <w:bCs/>
          <w:lang w:val="en-GB" w:eastAsia="en-GB"/>
        </w:rPr>
        <w:t>2.3.3</w:t>
      </w:r>
      <w:r w:rsidRPr="00DA52D3">
        <w:rPr>
          <w:b/>
          <w:bCs/>
          <w:lang w:val="en-GB" w:eastAsia="en-GB"/>
        </w:rPr>
        <w:tab/>
        <w:t>Sensitivity analysis</w:t>
      </w:r>
    </w:p>
    <w:p w14:paraId="01C3C518" w14:textId="11E419F0" w:rsidR="00351EF1" w:rsidRPr="000F2580" w:rsidRDefault="00351EF1" w:rsidP="00351EF1">
      <w:pPr>
        <w:pStyle w:val="Paragraph"/>
      </w:pPr>
      <w:r w:rsidRPr="000F2580">
        <w:t>A series of sensitivity analyses w</w:t>
      </w:r>
      <w:r>
        <w:t>as</w:t>
      </w:r>
      <w:r w:rsidRPr="000F2580">
        <w:t xml:space="preserve"> conducted to evaluate the importance of different </w:t>
      </w:r>
      <w:r w:rsidR="00770255">
        <w:t>facto</w:t>
      </w:r>
      <w:r w:rsidRPr="000F2580">
        <w:t xml:space="preserve">rs in the downscaling of local wave and surge conditions. </w:t>
      </w:r>
      <w:r w:rsidR="008176BC">
        <w:t xml:space="preserve">Table 2 </w:t>
      </w:r>
      <w:r w:rsidRPr="000F2580">
        <w:t xml:space="preserve">lists all the </w:t>
      </w:r>
      <w:r w:rsidR="00770255">
        <w:t>factor</w:t>
      </w:r>
      <w:r w:rsidRPr="000F2580">
        <w:t xml:space="preserve">s and values considered. The tests were done by varying one </w:t>
      </w:r>
      <w:r w:rsidR="00770255">
        <w:t>factor</w:t>
      </w:r>
      <w:r w:rsidRPr="000F2580">
        <w:t xml:space="preserve"> at a time while keeping the rest at their baseline values. For each testing </w:t>
      </w:r>
      <w:r w:rsidR="00770255">
        <w:t>fac</w:t>
      </w:r>
      <w:r w:rsidRPr="000F2580">
        <w:t>t</w:t>
      </w:r>
      <w:r w:rsidR="00770255">
        <w:t>o</w:t>
      </w:r>
      <w:r w:rsidRPr="000F2580">
        <w:t xml:space="preserve">r, several weather typing models with different model settings were developed and validated regarding their abilities to </w:t>
      </w:r>
      <w:r>
        <w:t>estimate</w:t>
      </w:r>
      <w:r w:rsidRPr="000F2580">
        <w:t xml:space="preserve"> the monthly averages of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0F2580">
        <w:t xml:space="preserve">, </w:t>
      </w:r>
      <m:oMath>
        <m:sSub>
          <m:sSubPr>
            <m:ctrlPr>
              <w:rPr>
                <w:rFonts w:ascii="Cambria Math" w:hAnsi="Cambria Math"/>
              </w:rPr>
            </m:ctrlPr>
          </m:sSubPr>
          <m:e>
            <m:r>
              <w:rPr>
                <w:rFonts w:ascii="Cambria Math" w:hAnsi="Cambria Math"/>
              </w:rPr>
              <m:t>T</m:t>
            </m:r>
          </m:e>
          <m:sub>
            <m:r>
              <w:rPr>
                <w:rFonts w:ascii="Cambria Math" w:hAnsi="Cambria Math"/>
              </w:rPr>
              <m:t>p</m:t>
            </m:r>
          </m:sub>
        </m:sSub>
      </m:oMath>
      <w:r w:rsidRPr="000F2580">
        <w:t xml:space="preserve">, </w:t>
      </w:r>
      <m:oMath>
        <m:sSub>
          <m:sSubPr>
            <m:ctrlPr>
              <w:rPr>
                <w:rFonts w:ascii="Cambria Math" w:hAnsi="Cambria Math"/>
              </w:rPr>
            </m:ctrlPr>
          </m:sSubPr>
          <m:e>
            <m:r>
              <w:rPr>
                <w:rFonts w:ascii="Cambria Math" w:hAnsi="Cambria Math"/>
              </w:rPr>
              <m:t>θ</m:t>
            </m:r>
          </m:e>
          <m:sub>
            <m:r>
              <w:rPr>
                <w:rFonts w:ascii="Cambria Math" w:hAnsi="Cambria Math"/>
              </w:rPr>
              <m:t>m</m:t>
            </m:r>
          </m:sub>
        </m:sSub>
      </m:oMath>
      <w:r w:rsidRPr="000F2580">
        <w:t>, and the monthly</w:t>
      </w:r>
      <w:r>
        <w:t xml:space="preserve"> 95</w:t>
      </w:r>
      <w:r w:rsidRPr="004D6E45">
        <w:rPr>
          <w:vertAlign w:val="superscript"/>
        </w:rPr>
        <w:t>th</w:t>
      </w:r>
      <w:r>
        <w:t xml:space="preserve"> percentile of storm surge</w:t>
      </w:r>
      <w:r w:rsidRPr="000F2580">
        <w:t xml:space="preserve"> </w:t>
      </w:r>
      <w:r>
        <w:t>(</w:t>
      </w:r>
      <m:oMath>
        <m:sSub>
          <m:sSubPr>
            <m:ctrlPr>
              <w:rPr>
                <w:rFonts w:ascii="Cambria Math" w:hAnsi="Cambria Math"/>
              </w:rPr>
            </m:ctrlPr>
          </m:sSubPr>
          <m:e>
            <m:r>
              <w:rPr>
                <w:rFonts w:ascii="Cambria Math" w:hAnsi="Cambria Math"/>
              </w:rPr>
              <m:t>SS</m:t>
            </m:r>
          </m:e>
          <m:sub>
            <m:r>
              <m:rPr>
                <m:sty m:val="p"/>
              </m:rPr>
              <w:rPr>
                <w:rFonts w:ascii="Cambria Math" w:hAnsi="Cambria Math"/>
              </w:rPr>
              <m:t>95</m:t>
            </m:r>
          </m:sub>
        </m:sSub>
        <m:r>
          <m:rPr>
            <m:sty m:val="p"/>
          </m:rPr>
          <w:rPr>
            <w:rFonts w:ascii="Cambria Math" w:hAnsi="Cambria Math"/>
          </w:rPr>
          <m:t>)</m:t>
        </m:r>
      </m:oMath>
      <w:r w:rsidRPr="000F2580">
        <w:t>. Furthermore, the monthly mean of wind wave and swell wave parameters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0F2580">
        <w:t xml:space="preserve">, </w:t>
      </w:r>
      <m:oMath>
        <m:sSub>
          <m:sSubPr>
            <m:ctrlPr>
              <w:rPr>
                <w:rFonts w:ascii="Cambria Math" w:hAnsi="Cambria Math"/>
              </w:rPr>
            </m:ctrlPr>
          </m:sSubPr>
          <m:e>
            <m:r>
              <w:rPr>
                <w:rFonts w:ascii="Cambria Math" w:hAnsi="Cambria Math"/>
              </w:rPr>
              <m:t>T</m:t>
            </m:r>
          </m:e>
          <m:sub>
            <m:r>
              <w:rPr>
                <w:rFonts w:ascii="Cambria Math" w:hAnsi="Cambria Math"/>
              </w:rPr>
              <m:t>m</m:t>
            </m:r>
          </m:sub>
        </m:sSub>
      </m:oMath>
      <w:r w:rsidRPr="000F2580">
        <w:t xml:space="preserve">, </w:t>
      </w:r>
      <m:oMath>
        <m:sSub>
          <m:sSubPr>
            <m:ctrlPr>
              <w:rPr>
                <w:rFonts w:ascii="Cambria Math" w:hAnsi="Cambria Math"/>
              </w:rPr>
            </m:ctrlPr>
          </m:sSubPr>
          <m:e>
            <m:r>
              <w:rPr>
                <w:rFonts w:ascii="Cambria Math" w:hAnsi="Cambria Math"/>
              </w:rPr>
              <m:t>θ</m:t>
            </m:r>
          </m:e>
          <m:sub>
            <m:r>
              <w:rPr>
                <w:rFonts w:ascii="Cambria Math" w:hAnsi="Cambria Math"/>
              </w:rPr>
              <m:t>m</m:t>
            </m:r>
          </m:sub>
        </m:sSub>
      </m:oMath>
      <w:r w:rsidRPr="000F2580">
        <w:t xml:space="preserve">) </w:t>
      </w:r>
      <w:r>
        <w:t>were</w:t>
      </w:r>
      <w:r w:rsidRPr="000F2580">
        <w:t xml:space="preserve"> also </w:t>
      </w:r>
      <w:r w:rsidR="00B233EC">
        <w:t>estimated</w:t>
      </w:r>
      <w:r w:rsidR="00B233EC" w:rsidRPr="000F2580">
        <w:t xml:space="preserve"> </w:t>
      </w:r>
      <w:r w:rsidRPr="000F2580">
        <w:t>to investigate how those testing</w:t>
      </w:r>
      <w:r w:rsidR="003E58C1">
        <w:t xml:space="preserve"> fac</w:t>
      </w:r>
      <w:r w:rsidRPr="000F2580">
        <w:t>t</w:t>
      </w:r>
      <w:r w:rsidR="003E58C1">
        <w:t>o</w:t>
      </w:r>
      <w:r w:rsidRPr="000F2580">
        <w:t xml:space="preserve">rs impact the model skill in downscaling </w:t>
      </w:r>
      <w:r w:rsidR="003E58C1">
        <w:t xml:space="preserve">the </w:t>
      </w:r>
      <w:r w:rsidRPr="000F2580">
        <w:t>t</w:t>
      </w:r>
      <w:r w:rsidR="003E58C1">
        <w:t>wo</w:t>
      </w:r>
      <w:r w:rsidRPr="000F2580">
        <w:t xml:space="preserve"> wave components.</w:t>
      </w:r>
    </w:p>
    <w:p w14:paraId="4E6CD601" w14:textId="76C3C834" w:rsidR="00351EF1" w:rsidRDefault="00351EF1" w:rsidP="00351EF1">
      <w:pPr>
        <w:pStyle w:val="Paragraph"/>
      </w:pPr>
      <w:r w:rsidRPr="000F2580">
        <w:t xml:space="preserve">The closeness of model </w:t>
      </w:r>
      <w:r>
        <w:t>estimation</w:t>
      </w:r>
      <w:r w:rsidRPr="000F2580">
        <w:t xml:space="preserve">s to the reference values from ERA5 and CODEC could be assessed by several metrics. Here, we use Taylor diagrams </w:t>
      </w:r>
      <w:r w:rsidR="00B65149">
        <w:fldChar w:fldCharType="begin"/>
      </w:r>
      <w:r w:rsidR="00B65149">
        <w:instrText xml:space="preserve"> ADDIN ZOTERO_ITEM CSL_CITATION {"citationID":"g16Zhsic","properties":{"formattedCitation":"(Taylor 2001)","plainCitation":"(Taylor 2001)","noteIndex":0},"citationItems":[{"id":1290,"uris":["http://zotero.org/users/10288439/items/SRBQGSF3"],"itemData":{"id":1290,"type":"article-journal","abstract":"A diagram has been devised that can provide a concise statistical summary of how well patterns match each other in terms of their correlation, their root-mean-square difference, and the ratio of their variances. Although the form of this diagram is general, it is especially useful in evaluating complex models, such as those used to study geophysical phenomena. Examples are given showing that the diagram can be used to summarize the relative merits of a collection of different models or to track changes in performance of a model as it is modified. Methods are suggested for indicating on these diagrams the statistical significance of apparent differences and the degree to which observational uncertainty and unforced internal variability limit the expected agreement between model-simulated and observed behaviors. The geometric relationship between the statistics plotted on the diagram also provides some guidance for devising skill scores that appropriately weight among the various measures of pattern correspondence.","container-title":"Journal of Geophysical Research: Atmospheres","DOI":"10.1029/2000JD900719","ISSN":"2156-2202","issue":"D7","language":"en","note":"_eprint: https://onlinelibrary.wiley.com/doi/pdf/10.1029/2000JD900719\nrate: 4","page":"7183-7192","source":"Wiley Online Library","title":"Summarizing multiple aspects of model performance in a single diagram","volume":"106","author":[{"family":"Taylor","given":"Karl E."}],"issued":{"date-parts":[["2001"]]}}}],"schema":"https://github.com/citation-style-language/schema/raw/master/csl-citation.json"} </w:instrText>
      </w:r>
      <w:r w:rsidR="00B65149">
        <w:fldChar w:fldCharType="separate"/>
      </w:r>
      <w:r w:rsidR="00282A3B" w:rsidRPr="00282A3B">
        <w:t>(Taylor 2001)</w:t>
      </w:r>
      <w:r w:rsidR="00B65149">
        <w:fldChar w:fldCharType="end"/>
      </w:r>
      <w:r w:rsidRPr="000F2580">
        <w:t xml:space="preserve"> to facilitate the intercomparison of multiple models. Taylor diagrams are designed to visualise three complementary metrics: </w:t>
      </w:r>
      <m:oMath>
        <m:r>
          <w:rPr>
            <w:rFonts w:ascii="Cambria Math" w:hAnsi="Cambria Math"/>
          </w:rPr>
          <m:t>ρ</m:t>
        </m:r>
      </m:oMath>
      <w:r w:rsidRPr="000F2580">
        <w:t xml:space="preserve">, </w:t>
      </w:r>
      <w:r w:rsidR="003C2475">
        <w:t xml:space="preserve">RMSD, and </w:t>
      </w:r>
      <m:oMath>
        <m:r>
          <w:rPr>
            <w:rFonts w:ascii="Cambria Math" w:hAnsi="Cambria Math"/>
          </w:rPr>
          <m:t>σ</m:t>
        </m:r>
      </m:oMath>
      <w:r w:rsidRPr="000F2580">
        <w:t>. These statistics are interrelated with one another in a way that resembles the law of cosines, which allows them to be plotted on a 2D graph simultaneously.</w:t>
      </w:r>
    </w:p>
    <w:p w14:paraId="405ABC40" w14:textId="7ED68108" w:rsidR="00351EF1" w:rsidRDefault="00B233EC" w:rsidP="00351EF1">
      <w:pPr>
        <w:pStyle w:val="Paragraph"/>
      </w:pPr>
      <w:r w:rsidRPr="000F2580">
        <w:t>However</w:t>
      </w:r>
      <w:r>
        <w:t>,</w:t>
      </w:r>
      <w:r w:rsidR="00351EF1" w:rsidRPr="000F2580">
        <w:t xml:space="preserve"> the original Taylor diagram </w:t>
      </w:r>
      <w:r w:rsidR="00351EF1">
        <w:t>is</w:t>
      </w:r>
      <w:r w:rsidR="00351EF1" w:rsidRPr="000F2580">
        <w:t xml:space="preserve"> constructed for scalar quantities, such as wave height and period, and </w:t>
      </w:r>
      <w:r w:rsidR="00351EF1">
        <w:t>does not apply</w:t>
      </w:r>
      <w:r w:rsidR="00351EF1" w:rsidRPr="000F2580">
        <w:t xml:space="preserve"> to circular quantities like wave direction. To address this issue, a Vector Field Evaluation (VFE) diagram was proposed </w:t>
      </w:r>
      <w:r w:rsidR="00B65149">
        <w:fldChar w:fldCharType="begin"/>
      </w:r>
      <w:r w:rsidR="00B65149">
        <w:instrText xml:space="preserve"> ADDIN ZOTERO_ITEM CSL_CITATION {"citationID":"LxGptzQy","properties":{"formattedCitation":"(Xu et al. 2016)","plainCitation":"(Xu et al. 2016)","noteIndex":0},"citationItems":[{"id":1300,"uris":["http://zotero.org/users/10288439/items/CL2N3RSX"],"itemData":{"id":1300,"type":"article-journal","abstract":"Vector quantities, e.g., vector winds, play an extremely important role in climate systems. The energy and water exchanges between different regions are strongly dominated by wind, which in turn shapes the regional climate. Thus, how well climate models can simulate vector fields directly affects model performance in reproducing the nature of a regional climate. This paper devises a new diagram, termed the vector field evaluation (VFE) diagram, which is a generalized Taylor diagram and able to provide a concise evaluation of model performance in simulating vector fields. The diagram can measure how well two vector fields match each other in terms of three statistical variables, i.e., the vector similarity coefficient, root mean square length (RMSL), and root mean square vector difference (RMSVD). Similar to the Taylor diagram, the VFE diagram is especially useful for evaluating climate models. The pattern similarity of two vector fields is measured by a vector similarity coefficient (VSC) that is defined by the arithmetic mean of the inner product of normalized vector pairs. Examples are provided, showing that VSC can identify how close one vector field resembles another. Note that VSC can only describe the pattern similarity, and it does not reflect the systematic difference in the mean vector length between two vector fields. To measure the vector length, RMSL is included in the diagram. The third variable, RMSVD, is used to identify the magnitude of the overall difference between two vector fields. Examples show that the VFE diagram can clearly illustrate the extent to which the overall RMSVD is attributed to the systematic difference in RMSL and how much is due to the poor pattern similarity.","container-title":"Geoscientific Model Development","DOI":"10.5194/gmd-9-4365-2016","ISSN":"1991-959X","issue":"12","language":"English","note":"publisher: Copernicus GmbH\nrate: 4","page":"4365-4380","source":"Copernicus Online Journals","title":"A diagram for evaluating multiple aspects of model performance in simulating vector fields","volume":"9","author":[{"family":"Xu","given":"Zhongfeng"},{"family":"Hou","given":"Zhaolu"},{"family":"Han","given":"Ying"},{"family":"Guo","given":"Weidong"}],"issued":{"date-parts":[["2016",12,6]]}}}],"schema":"https://github.com/citation-style-language/schema/raw/master/csl-citation.json"} </w:instrText>
      </w:r>
      <w:r w:rsidR="00B65149">
        <w:fldChar w:fldCharType="separate"/>
      </w:r>
      <w:r w:rsidR="00282A3B" w:rsidRPr="00282A3B">
        <w:t>(Xu et al. 2016)</w:t>
      </w:r>
      <w:r w:rsidR="00B65149">
        <w:fldChar w:fldCharType="end"/>
      </w:r>
      <w:r w:rsidR="00351EF1" w:rsidRPr="000F2580">
        <w:t xml:space="preserve"> which is essentially a generalized form of the Taylor diagram for evaluating vector quantities. Likewise, three interrelated statistical metrics are visualized to compare vector fields: </w:t>
      </w:r>
      <w:r w:rsidR="00351EF1" w:rsidRPr="000F2580">
        <w:lastRenderedPageBreak/>
        <w:t>vector similarity coefficient, root mean square length (RMSL), and root mean square vector difference (RMSVD).</w:t>
      </w:r>
      <w:r w:rsidR="00351EF1">
        <w:t xml:space="preserve"> Detailed descriptions of these three statistics can be found in</w:t>
      </w:r>
      <w:r w:rsidR="00B65149">
        <w:t xml:space="preserve"> </w:t>
      </w:r>
      <w:r w:rsidR="00B65149">
        <w:fldChar w:fldCharType="begin"/>
      </w:r>
      <w:r w:rsidR="00654B0F">
        <w:instrText xml:space="preserve"> ADDIN ZOTERO_ITEM CSL_CITATION {"citationID":"A9hQPBpy","properties":{"custom":"Xu et al. (2016)","formattedCitation":"Xu et al. (2016)","plainCitation":"Xu et al. (2016)","noteIndex":0},"citationItems":[{"id":1300,"uris":["http://zotero.org/users/10288439/items/CL2N3RSX"],"itemData":{"id":1300,"type":"article-journal","abstract":"Vector quantities, e.g., vector winds, play an extremely important role in climate systems. The energy and water exchanges between different regions are strongly dominated by wind, which in turn shapes the regional climate. Thus, how well climate models can simulate vector fields directly affects model performance in reproducing the nature of a regional climate. This paper devises a new diagram, termed the vector field evaluation (VFE) diagram, which is a generalized Taylor diagram and able to provide a concise evaluation of model performance in simulating vector fields. The diagram can measure how well two vector fields match each other in terms of three statistical variables, i.e., the vector similarity coefficient, root mean square length (RMSL), and root mean square vector difference (RMSVD). Similar to the Taylor diagram, the VFE diagram is especially useful for evaluating climate models. The pattern similarity of two vector fields is measured by a vector similarity coefficient (VSC) that is defined by the arithmetic mean of the inner product of normalized vector pairs. Examples are provided, showing that VSC can identify how close one vector field resembles another. Note that VSC can only describe the pattern similarity, and it does not reflect the systematic difference in the mean vector length between two vector fields. To measure the vector length, RMSL is included in the diagram. The third variable, RMSVD, is used to identify the magnitude of the overall difference between two vector fields. Examples show that the VFE diagram can clearly illustrate the extent to which the overall RMSVD is attributed to the systematic difference in RMSL and how much is due to the poor pattern similarity.","container-title":"Geoscientific Model Development","DOI":"10.5194/gmd-9-4365-2016","ISSN":"1991-959X","issue":"12","language":"English","note":"publisher: Copernicus GmbH\nrate: 4","page":"4365-4380","source":"Copernicus Online Journals","title":"A diagram for evaluating multiple aspects of model performance in simulating vector fields","volume":"9","author":[{"family":"Xu","given":"Zhongfeng"},{"family":"Hou","given":"Zhaolu"},{"family":"Han","given":"Ying"},{"family":"Guo","given":"Weidong"}],"issued":{"date-parts":[["2016",12,6]]}}}],"schema":"https://github.com/citation-style-language/schema/raw/master/csl-citation.json"} </w:instrText>
      </w:r>
      <w:r w:rsidR="00B65149">
        <w:fldChar w:fldCharType="separate"/>
      </w:r>
      <w:r w:rsidR="00654B0F" w:rsidRPr="00654B0F">
        <w:t>Xu et al. (2016)</w:t>
      </w:r>
      <w:r w:rsidR="00B65149">
        <w:fldChar w:fldCharType="end"/>
      </w:r>
      <w:r w:rsidR="00351EF1">
        <w:t>.</w:t>
      </w:r>
      <w:r w:rsidR="00351EF1" w:rsidRPr="000F2580">
        <w:t xml:space="preserve"> Note that wave direction in our context is not a vector as it does not have magnitude. </w:t>
      </w:r>
      <w:r w:rsidR="00351EF1" w:rsidRPr="000F2580">
        <w:rPr>
          <w:rFonts w:hint="eastAsia"/>
        </w:rPr>
        <w:t>N</w:t>
      </w:r>
      <w:r w:rsidR="00351EF1" w:rsidRPr="000F2580">
        <w:t xml:space="preserve">onetheless, we can still use the VFE diagrams for evaluating wave directions by assuming the vector magnitude to be </w:t>
      </w:r>
      <w:r w:rsidR="00351EF1">
        <w:t>one</w:t>
      </w:r>
      <w:r w:rsidR="00351EF1" w:rsidRPr="000F2580">
        <w:t>.</w:t>
      </w:r>
      <w:r w:rsidR="00351EF1" w:rsidRPr="000F2580">
        <w:rPr>
          <w:rFonts w:hint="eastAsia"/>
        </w:rPr>
        <w:t xml:space="preserve"> As a result, the </w:t>
      </w:r>
      <w:r w:rsidR="00351EF1" w:rsidRPr="000F2580">
        <w:t>RMSL</w:t>
      </w:r>
      <w:r w:rsidR="00351EF1" w:rsidRPr="000F2580">
        <w:rPr>
          <w:rFonts w:hint="eastAsia"/>
        </w:rPr>
        <w:t xml:space="preserve"> for all models will be equal to </w:t>
      </w:r>
      <w:r w:rsidR="00351EF1">
        <w:t>one</w:t>
      </w:r>
      <w:r w:rsidR="00351EF1" w:rsidRPr="000F2580">
        <w:rPr>
          <w:rFonts w:hint="eastAsia"/>
        </w:rPr>
        <w:t xml:space="preserve"> since this </w:t>
      </w:r>
      <w:r w:rsidR="003E58C1">
        <w:t>parameter</w:t>
      </w:r>
      <w:r w:rsidR="00351EF1" w:rsidRPr="000F2580">
        <w:rPr>
          <w:rFonts w:hint="eastAsia"/>
        </w:rPr>
        <w:t xml:space="preserve"> measures the mean of vector </w:t>
      </w:r>
      <w:r w:rsidR="00351EF1" w:rsidRPr="000F2580">
        <w:t>magnitude</w:t>
      </w:r>
      <w:r w:rsidR="00351EF1" w:rsidRPr="000F2580">
        <w:rPr>
          <w:rFonts w:hint="eastAsia"/>
        </w:rPr>
        <w:t>.</w:t>
      </w:r>
      <w:r w:rsidR="00351EF1" w:rsidRPr="000F2580">
        <w:t xml:space="preserve"> The results will be discussed in Section</w:t>
      </w:r>
      <w:r w:rsidR="00351EF1">
        <w:t xml:space="preserve"> </w:t>
      </w:r>
      <w:r w:rsidR="000934F3">
        <w:t>3.3</w:t>
      </w:r>
      <w:r w:rsidR="00351EF1" w:rsidRPr="000F2580">
        <w:t>.</w:t>
      </w:r>
    </w:p>
    <w:p w14:paraId="05FEAEE4" w14:textId="35BE43D6" w:rsidR="00351EF1" w:rsidRPr="00351EF1" w:rsidRDefault="00351EF1" w:rsidP="00351EF1">
      <w:pPr>
        <w:pStyle w:val="Paragraph"/>
      </w:pPr>
      <w:bookmarkStart w:id="14" w:name="_Ref164763416"/>
      <w:r w:rsidRPr="004C45F9">
        <w:rPr>
          <w:b/>
          <w:bCs/>
        </w:rPr>
        <w:t xml:space="preserve">Table </w:t>
      </w:r>
      <w:bookmarkEnd w:id="14"/>
      <w:r w:rsidR="008176BC">
        <w:rPr>
          <w:b/>
          <w:bCs/>
        </w:rPr>
        <w:t>2</w:t>
      </w:r>
      <w:r w:rsidRPr="00351EF1">
        <w:t xml:space="preserve"> </w:t>
      </w:r>
      <w:r w:rsidR="003E58C1">
        <w:t>Factors</w:t>
      </w:r>
      <w:r w:rsidRPr="00351EF1">
        <w:t xml:space="preserve"> and their values tested in the sensitivity analysis. The values in bold are baseline values and are also used in the final model settings. The three spatial domains are shown in </w:t>
      </w:r>
      <w:r w:rsidR="00E53CFD">
        <w:t xml:space="preserve">Fig. </w:t>
      </w:r>
      <w:r w:rsidRPr="00351EF1">
        <w:t>S1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586"/>
      </w:tblGrid>
      <w:tr w:rsidR="00351EF1" w:rsidRPr="009F7C06" w14:paraId="54EAD097" w14:textId="77777777" w:rsidTr="004B50C1">
        <w:trPr>
          <w:trHeight w:val="201"/>
          <w:jc w:val="center"/>
        </w:trPr>
        <w:tc>
          <w:tcPr>
            <w:tcW w:w="2362" w:type="pct"/>
            <w:tcBorders>
              <w:top w:val="single" w:sz="12" w:space="0" w:color="000000"/>
              <w:bottom w:val="single" w:sz="4" w:space="0" w:color="000000"/>
            </w:tcBorders>
            <w:vAlign w:val="center"/>
          </w:tcPr>
          <w:p w14:paraId="16881EF2" w14:textId="4C783EB4" w:rsidR="00351EF1" w:rsidRPr="004C45F9" w:rsidRDefault="00351EF1" w:rsidP="004C45F9">
            <w:pPr>
              <w:pStyle w:val="Paragraph"/>
              <w:spacing w:line="240" w:lineRule="auto"/>
              <w:jc w:val="center"/>
            </w:pPr>
            <w:r w:rsidRPr="004C45F9">
              <w:t xml:space="preserve">Testing </w:t>
            </w:r>
            <w:r w:rsidR="003E58C1">
              <w:t>factors</w:t>
            </w:r>
          </w:p>
        </w:tc>
        <w:tc>
          <w:tcPr>
            <w:tcW w:w="2638" w:type="pct"/>
            <w:tcBorders>
              <w:top w:val="single" w:sz="12" w:space="0" w:color="000000"/>
              <w:bottom w:val="single" w:sz="4" w:space="0" w:color="000000"/>
            </w:tcBorders>
            <w:vAlign w:val="center"/>
          </w:tcPr>
          <w:p w14:paraId="7F17F3A4" w14:textId="1EFF6CCF" w:rsidR="00351EF1" w:rsidRPr="004C45F9" w:rsidRDefault="003E58C1" w:rsidP="004C45F9">
            <w:pPr>
              <w:pStyle w:val="Paragraph"/>
              <w:spacing w:line="240" w:lineRule="auto"/>
              <w:jc w:val="center"/>
            </w:pPr>
            <w:r>
              <w:t>V</w:t>
            </w:r>
            <w:r w:rsidR="00351EF1" w:rsidRPr="004C45F9">
              <w:t>alues</w:t>
            </w:r>
          </w:p>
        </w:tc>
      </w:tr>
      <w:tr w:rsidR="00351EF1" w:rsidRPr="009F7C06" w14:paraId="5A438FD2" w14:textId="77777777" w:rsidTr="004B50C1">
        <w:trPr>
          <w:trHeight w:val="20"/>
          <w:jc w:val="center"/>
        </w:trPr>
        <w:tc>
          <w:tcPr>
            <w:tcW w:w="2362" w:type="pct"/>
            <w:tcBorders>
              <w:top w:val="single" w:sz="4" w:space="0" w:color="000000"/>
            </w:tcBorders>
            <w:vAlign w:val="center"/>
          </w:tcPr>
          <w:p w14:paraId="4F510DFE" w14:textId="5EB45FA0" w:rsidR="00351EF1" w:rsidRPr="004C45F9" w:rsidRDefault="00351EF1" w:rsidP="004C45F9">
            <w:pPr>
              <w:pStyle w:val="Paragraph"/>
              <w:spacing w:line="240" w:lineRule="auto"/>
              <w:jc w:val="center"/>
            </w:pPr>
            <w:r w:rsidRPr="004C45F9">
              <w:t xml:space="preserve">Predictor </w:t>
            </w:r>
            <w:r w:rsidR="00EF1387">
              <w:t>variable</w:t>
            </w:r>
          </w:p>
        </w:tc>
        <w:tc>
          <w:tcPr>
            <w:tcW w:w="2638" w:type="pct"/>
            <w:tcBorders>
              <w:top w:val="single" w:sz="4" w:space="0" w:color="000000"/>
            </w:tcBorders>
            <w:vAlign w:val="center"/>
          </w:tcPr>
          <w:p w14:paraId="73929AA5" w14:textId="77777777" w:rsidR="00351EF1" w:rsidRPr="004C45F9" w:rsidRDefault="00351EF1" w:rsidP="004C45F9">
            <w:pPr>
              <w:pStyle w:val="Paragraph"/>
              <w:spacing w:line="240" w:lineRule="auto"/>
              <w:jc w:val="center"/>
            </w:pPr>
            <w:r w:rsidRPr="004C45F9">
              <w:t xml:space="preserve">SLP; SLPG; </w:t>
            </w:r>
            <w:r w:rsidRPr="004C45F9">
              <w:rPr>
                <w:b/>
                <w:bCs/>
              </w:rPr>
              <w:t>SLP and SLPG</w:t>
            </w:r>
          </w:p>
        </w:tc>
      </w:tr>
      <w:tr w:rsidR="00351EF1" w:rsidRPr="009F7C06" w14:paraId="26137D92" w14:textId="77777777" w:rsidTr="004B50C1">
        <w:trPr>
          <w:trHeight w:val="20"/>
          <w:jc w:val="center"/>
        </w:trPr>
        <w:tc>
          <w:tcPr>
            <w:tcW w:w="2362" w:type="pct"/>
            <w:vAlign w:val="center"/>
          </w:tcPr>
          <w:p w14:paraId="6CF14A12" w14:textId="77777777" w:rsidR="00351EF1" w:rsidRPr="004C45F9" w:rsidRDefault="00351EF1" w:rsidP="004C45F9">
            <w:pPr>
              <w:pStyle w:val="Paragraph"/>
              <w:spacing w:line="240" w:lineRule="auto"/>
              <w:jc w:val="center"/>
            </w:pPr>
            <w:bookmarkStart w:id="15" w:name="_Hlk165211724"/>
            <w:r w:rsidRPr="004C45F9">
              <w:t>Temporal coverage (days)</w:t>
            </w:r>
          </w:p>
        </w:tc>
        <w:tc>
          <w:tcPr>
            <w:tcW w:w="2638" w:type="pct"/>
            <w:vAlign w:val="center"/>
          </w:tcPr>
          <w:p w14:paraId="7FB38C1F" w14:textId="77777777" w:rsidR="00351EF1" w:rsidRPr="004C45F9" w:rsidRDefault="00351EF1" w:rsidP="004C45F9">
            <w:pPr>
              <w:pStyle w:val="Paragraph"/>
              <w:spacing w:line="240" w:lineRule="auto"/>
              <w:jc w:val="center"/>
            </w:pPr>
            <w:r w:rsidRPr="004C45F9">
              <w:t xml:space="preserve">1; 2; 3; </w:t>
            </w:r>
            <w:r w:rsidRPr="004C45F9">
              <w:rPr>
                <w:b/>
                <w:bCs/>
              </w:rPr>
              <w:t>4</w:t>
            </w:r>
            <w:r w:rsidRPr="004C45F9">
              <w:t>; 5</w:t>
            </w:r>
          </w:p>
        </w:tc>
      </w:tr>
      <w:bookmarkEnd w:id="15"/>
      <w:tr w:rsidR="00351EF1" w:rsidRPr="009F7C06" w14:paraId="783B7467" w14:textId="77777777" w:rsidTr="004B50C1">
        <w:trPr>
          <w:trHeight w:val="20"/>
          <w:jc w:val="center"/>
        </w:trPr>
        <w:tc>
          <w:tcPr>
            <w:tcW w:w="2362" w:type="pct"/>
            <w:vAlign w:val="center"/>
          </w:tcPr>
          <w:p w14:paraId="54C50AB4" w14:textId="77777777" w:rsidR="00351EF1" w:rsidRPr="004C45F9" w:rsidRDefault="00351EF1" w:rsidP="004C45F9">
            <w:pPr>
              <w:pStyle w:val="Paragraph"/>
              <w:spacing w:line="240" w:lineRule="auto"/>
              <w:jc w:val="center"/>
            </w:pPr>
            <w:r w:rsidRPr="004C45F9">
              <w:t>Spatial domain</w:t>
            </w:r>
          </w:p>
        </w:tc>
        <w:tc>
          <w:tcPr>
            <w:tcW w:w="2638" w:type="pct"/>
            <w:vAlign w:val="center"/>
          </w:tcPr>
          <w:p w14:paraId="26386BDE" w14:textId="0621168E" w:rsidR="00351EF1" w:rsidRPr="004C45F9" w:rsidRDefault="00351EF1" w:rsidP="004C45F9">
            <w:pPr>
              <w:pStyle w:val="Paragraph"/>
              <w:spacing w:line="240" w:lineRule="auto"/>
              <w:jc w:val="center"/>
            </w:pPr>
            <w:r w:rsidRPr="004C45F9">
              <w:t>Domain1 (50°W-40°E, 20°-80°N)</w:t>
            </w:r>
          </w:p>
          <w:p w14:paraId="5D8EDA45" w14:textId="3E6B08CC" w:rsidR="00351EF1" w:rsidRPr="004C45F9" w:rsidRDefault="00351EF1" w:rsidP="004C45F9">
            <w:pPr>
              <w:pStyle w:val="Paragraph"/>
              <w:spacing w:line="240" w:lineRule="auto"/>
              <w:jc w:val="center"/>
            </w:pPr>
            <w:r w:rsidRPr="004C45F9">
              <w:rPr>
                <w:b/>
                <w:bCs/>
              </w:rPr>
              <w:t>Domain2 (40°W-30°E, 26°-76°N)</w:t>
            </w:r>
          </w:p>
          <w:p w14:paraId="4C5872DD" w14:textId="77777777" w:rsidR="00351EF1" w:rsidRPr="004C45F9" w:rsidRDefault="00351EF1" w:rsidP="004C45F9">
            <w:pPr>
              <w:pStyle w:val="Paragraph"/>
              <w:spacing w:line="240" w:lineRule="auto"/>
              <w:jc w:val="center"/>
            </w:pPr>
            <w:r w:rsidRPr="004C45F9">
              <w:t>Domain3 (30°W-20°E, 30°-70°N)</w:t>
            </w:r>
          </w:p>
        </w:tc>
      </w:tr>
      <w:tr w:rsidR="00351EF1" w:rsidRPr="009F7C06" w14:paraId="19215772" w14:textId="77777777" w:rsidTr="004B50C1">
        <w:trPr>
          <w:trHeight w:val="20"/>
          <w:jc w:val="center"/>
        </w:trPr>
        <w:tc>
          <w:tcPr>
            <w:tcW w:w="2362" w:type="pct"/>
            <w:vAlign w:val="center"/>
          </w:tcPr>
          <w:p w14:paraId="1BED97BE" w14:textId="77777777" w:rsidR="00351EF1" w:rsidRPr="004C45F9" w:rsidRDefault="00351EF1" w:rsidP="004C45F9">
            <w:pPr>
              <w:pStyle w:val="Paragraph"/>
              <w:spacing w:line="240" w:lineRule="auto"/>
              <w:jc w:val="center"/>
            </w:pPr>
            <w:r w:rsidRPr="004C45F9">
              <w:t>Spatial resolution of predictors (°)</w:t>
            </w:r>
          </w:p>
        </w:tc>
        <w:tc>
          <w:tcPr>
            <w:tcW w:w="2638" w:type="pct"/>
            <w:vAlign w:val="center"/>
          </w:tcPr>
          <w:p w14:paraId="04E32579" w14:textId="77777777" w:rsidR="00351EF1" w:rsidRPr="004C45F9" w:rsidRDefault="00351EF1" w:rsidP="004C45F9">
            <w:pPr>
              <w:pStyle w:val="Paragraph"/>
              <w:spacing w:line="240" w:lineRule="auto"/>
              <w:jc w:val="center"/>
            </w:pPr>
            <w:r w:rsidRPr="004C45F9">
              <w:t xml:space="preserve">0.5; 1; </w:t>
            </w:r>
            <w:r w:rsidRPr="004C45F9">
              <w:rPr>
                <w:b/>
                <w:bCs/>
              </w:rPr>
              <w:t>2</w:t>
            </w:r>
          </w:p>
        </w:tc>
      </w:tr>
      <w:tr w:rsidR="00351EF1" w:rsidRPr="009F7C06" w14:paraId="010271CD" w14:textId="77777777" w:rsidTr="004B50C1">
        <w:trPr>
          <w:trHeight w:val="20"/>
          <w:jc w:val="center"/>
        </w:trPr>
        <w:tc>
          <w:tcPr>
            <w:tcW w:w="2362" w:type="pct"/>
            <w:vAlign w:val="center"/>
          </w:tcPr>
          <w:p w14:paraId="2F2464A4" w14:textId="77777777" w:rsidR="00351EF1" w:rsidRPr="004C45F9" w:rsidRDefault="00351EF1" w:rsidP="004C45F9">
            <w:pPr>
              <w:pStyle w:val="Paragraph"/>
              <w:spacing w:line="240" w:lineRule="auto"/>
              <w:jc w:val="center"/>
            </w:pPr>
            <w:r w:rsidRPr="004C45F9">
              <w:t>Number of weather types</w:t>
            </w:r>
          </w:p>
        </w:tc>
        <w:tc>
          <w:tcPr>
            <w:tcW w:w="2638" w:type="pct"/>
            <w:vAlign w:val="center"/>
          </w:tcPr>
          <w:p w14:paraId="2235B235" w14:textId="77777777" w:rsidR="00351EF1" w:rsidRPr="004C45F9" w:rsidRDefault="00351EF1" w:rsidP="004C45F9">
            <w:pPr>
              <w:pStyle w:val="Paragraph"/>
              <w:spacing w:line="240" w:lineRule="auto"/>
              <w:jc w:val="center"/>
            </w:pPr>
            <w:r w:rsidRPr="004C45F9">
              <w:t xml:space="preserve">16; 25; </w:t>
            </w:r>
            <w:r w:rsidRPr="004C45F9">
              <w:rPr>
                <w:b/>
                <w:bCs/>
              </w:rPr>
              <w:t>36</w:t>
            </w:r>
            <w:r w:rsidRPr="004C45F9">
              <w:t>; 49; 64</w:t>
            </w:r>
          </w:p>
        </w:tc>
      </w:tr>
      <w:tr w:rsidR="00351EF1" w:rsidRPr="009F7C06" w14:paraId="585E879C" w14:textId="77777777" w:rsidTr="004B50C1">
        <w:trPr>
          <w:trHeight w:val="20"/>
          <w:jc w:val="center"/>
        </w:trPr>
        <w:tc>
          <w:tcPr>
            <w:tcW w:w="2362" w:type="pct"/>
            <w:tcBorders>
              <w:bottom w:val="single" w:sz="12" w:space="0" w:color="000000"/>
            </w:tcBorders>
            <w:vAlign w:val="center"/>
          </w:tcPr>
          <w:p w14:paraId="55D47114" w14:textId="77777777" w:rsidR="00351EF1" w:rsidRPr="004C45F9" w:rsidRDefault="00351EF1" w:rsidP="004C45F9">
            <w:pPr>
              <w:pStyle w:val="Paragraph"/>
              <w:spacing w:line="240" w:lineRule="auto"/>
              <w:jc w:val="center"/>
            </w:pPr>
            <w:r w:rsidRPr="004C45F9">
              <w:rPr>
                <w:color w:val="000000" w:themeColor="text1"/>
                <w:spacing w:val="1"/>
              </w:rPr>
              <w:t xml:space="preserve">The weighting parameter </w:t>
            </w:r>
            <m:oMath>
              <m:r>
                <w:rPr>
                  <w:rFonts w:ascii="Cambria Math" w:hAnsi="Cambria Math"/>
                  <w:color w:val="000000" w:themeColor="text1"/>
                  <w:spacing w:val="1"/>
                </w:rPr>
                <m:t>α</m:t>
              </m:r>
            </m:oMath>
            <w:r w:rsidRPr="004C45F9">
              <w:rPr>
                <w:color w:val="000000" w:themeColor="text1"/>
                <w:spacing w:val="1"/>
              </w:rPr>
              <w:t xml:space="preserve"> in regression-guided classification</w:t>
            </w:r>
          </w:p>
        </w:tc>
        <w:tc>
          <w:tcPr>
            <w:tcW w:w="2638" w:type="pct"/>
            <w:tcBorders>
              <w:bottom w:val="single" w:sz="12" w:space="0" w:color="000000"/>
            </w:tcBorders>
            <w:vAlign w:val="center"/>
          </w:tcPr>
          <w:p w14:paraId="52030187" w14:textId="77777777" w:rsidR="00351EF1" w:rsidRPr="004C45F9" w:rsidRDefault="00351EF1" w:rsidP="004C45F9">
            <w:pPr>
              <w:pStyle w:val="Paragraph"/>
              <w:spacing w:line="240" w:lineRule="auto"/>
              <w:jc w:val="center"/>
            </w:pPr>
            <w:r w:rsidRPr="004C45F9">
              <w:t xml:space="preserve">0; 0.2; 0.4; </w:t>
            </w:r>
            <w:r w:rsidRPr="004C45F9">
              <w:rPr>
                <w:b/>
                <w:bCs/>
              </w:rPr>
              <w:t>0.6</w:t>
            </w:r>
            <w:r w:rsidRPr="004C45F9">
              <w:t>; 0.8; 1</w:t>
            </w:r>
          </w:p>
        </w:tc>
      </w:tr>
    </w:tbl>
    <w:p w14:paraId="4A9FE413" w14:textId="77777777" w:rsidR="00F5595F" w:rsidRDefault="00F5595F" w:rsidP="00351EF1">
      <w:pPr>
        <w:pStyle w:val="Paragraph"/>
        <w:rPr>
          <w:b/>
          <w:bCs/>
        </w:rPr>
      </w:pPr>
    </w:p>
    <w:p w14:paraId="0028F905" w14:textId="57F0C419" w:rsidR="00D63627" w:rsidRPr="00351EF1" w:rsidRDefault="008136F1" w:rsidP="00351EF1">
      <w:pPr>
        <w:pStyle w:val="Paragraph"/>
        <w:rPr>
          <w:b/>
          <w:bCs/>
        </w:rPr>
      </w:pPr>
      <w:r w:rsidRPr="00351EF1">
        <w:rPr>
          <w:b/>
          <w:bCs/>
        </w:rPr>
        <w:t xml:space="preserve">3 </w:t>
      </w:r>
      <w:r w:rsidR="004B3AC3" w:rsidRPr="00351EF1">
        <w:rPr>
          <w:b/>
          <w:bCs/>
        </w:rPr>
        <w:t>Result</w:t>
      </w:r>
      <w:r w:rsidR="00F87B9E" w:rsidRPr="00351EF1">
        <w:rPr>
          <w:b/>
          <w:bCs/>
        </w:rPr>
        <w:t>s</w:t>
      </w:r>
    </w:p>
    <w:p w14:paraId="404BA316" w14:textId="61E37119" w:rsidR="00D17153" w:rsidRPr="00DA52D3" w:rsidRDefault="00D17153" w:rsidP="00351EF1">
      <w:pPr>
        <w:pStyle w:val="Paragraph"/>
        <w:rPr>
          <w:b/>
          <w:bCs/>
        </w:rPr>
      </w:pPr>
      <w:r w:rsidRPr="00DA52D3">
        <w:rPr>
          <w:b/>
          <w:bCs/>
        </w:rPr>
        <w:t xml:space="preserve">3.1 </w:t>
      </w:r>
      <w:r w:rsidR="00351EF1" w:rsidRPr="00DA52D3">
        <w:rPr>
          <w:b/>
          <w:bCs/>
        </w:rPr>
        <w:t>Weather types and the</w:t>
      </w:r>
      <w:r w:rsidR="001007B9">
        <w:rPr>
          <w:b/>
          <w:bCs/>
        </w:rPr>
        <w:t>ir</w:t>
      </w:r>
      <w:r w:rsidR="00351EF1" w:rsidRPr="00DA52D3">
        <w:rPr>
          <w:b/>
          <w:bCs/>
        </w:rPr>
        <w:t xml:space="preserve"> associated distributions</w:t>
      </w:r>
    </w:p>
    <w:p w14:paraId="00E1864A" w14:textId="7B3D4579" w:rsidR="009E2BFB" w:rsidRDefault="009B4BE7" w:rsidP="004C45F9">
      <w:pPr>
        <w:pStyle w:val="Paragraph"/>
      </w:pPr>
      <w:r>
        <w:t>The first objective of the study is to</w:t>
      </w:r>
      <w:r w:rsidR="003F0455">
        <w:t xml:space="preserve"> develop a set of weather types to characterise the </w:t>
      </w:r>
      <w:r w:rsidR="003F0455">
        <w:lastRenderedPageBreak/>
        <w:t xml:space="preserve">synoptic conditions and their relationships with </w:t>
      </w:r>
      <w:r w:rsidR="002E6AB9">
        <w:t xml:space="preserve">local </w:t>
      </w:r>
      <w:r w:rsidR="003F0455">
        <w:t xml:space="preserve">wave climates and storm surge at </w:t>
      </w:r>
      <w:r w:rsidR="002E6AB9">
        <w:t>Hartlepool</w:t>
      </w:r>
      <w:r w:rsidR="003F0455">
        <w:t>.</w:t>
      </w:r>
      <w:r w:rsidR="002E6AB9">
        <w:t xml:space="preserve"> </w:t>
      </w:r>
      <w:r w:rsidR="004C45F9" w:rsidRPr="000F2580">
        <w:t xml:space="preserve">A set of 36 WTs was </w:t>
      </w:r>
      <w:r w:rsidR="002E6AB9">
        <w:t>generated</w:t>
      </w:r>
      <w:r w:rsidR="004C45F9" w:rsidRPr="000F2580">
        <w:t xml:space="preserve"> as the representative synoptic circulation patterns </w:t>
      </w:r>
      <w:r w:rsidR="00AC302F">
        <w:t>over the British Isles and the surrounding Atlantic and European region.</w:t>
      </w:r>
      <w:r w:rsidR="004C45F9" w:rsidRPr="000F2580">
        <w:t xml:space="preserve"> </w:t>
      </w:r>
      <w:r w:rsidR="00AC302F">
        <w:t>These</w:t>
      </w:r>
      <w:r w:rsidR="004C45F9" w:rsidRPr="000F2580">
        <w:t xml:space="preserve"> </w:t>
      </w:r>
      <w:r w:rsidR="00AC302F">
        <w:t>WTs are</w:t>
      </w:r>
      <w:r w:rsidR="004C45F9" w:rsidRPr="000F2580">
        <w:t xml:space="preserve"> displayed in a bi-dimensional lattice</w:t>
      </w:r>
      <w:r w:rsidR="00360B86">
        <w:t xml:space="preserve"> in Fig. 3</w:t>
      </w:r>
      <w:r w:rsidR="004C45F9" w:rsidRPr="000F2580">
        <w:t xml:space="preserve"> </w:t>
      </w:r>
      <w:r w:rsidR="00AC302F">
        <w:t>where</w:t>
      </w:r>
      <w:r w:rsidR="004C45F9" w:rsidRPr="000F2580">
        <w:t xml:space="preserve"> WTs </w:t>
      </w:r>
      <w:r w:rsidR="00360B86">
        <w:t>exhibiting</w:t>
      </w:r>
      <w:r w:rsidR="00360B86" w:rsidRPr="000F2580">
        <w:t xml:space="preserve"> </w:t>
      </w:r>
      <w:r w:rsidR="004C45F9" w:rsidRPr="000F2580">
        <w:t xml:space="preserve">similar spatial SLP patterns are </w:t>
      </w:r>
      <w:r w:rsidR="00360B86" w:rsidRPr="000F2580">
        <w:t>pl</w:t>
      </w:r>
      <w:r w:rsidR="00360B86">
        <w:t>aced</w:t>
      </w:r>
      <w:r w:rsidR="004C45F9" w:rsidRPr="000F2580">
        <w:t xml:space="preserve"> </w:t>
      </w:r>
      <w:r w:rsidR="00360B86">
        <w:t>in adjacent locations in the lattice</w:t>
      </w:r>
      <w:r w:rsidR="00360B86" w:rsidRPr="000F2580">
        <w:t xml:space="preserve"> </w:t>
      </w:r>
      <w:r w:rsidR="004C45F9" w:rsidRPr="000F2580">
        <w:t>for better visualization. The seasonal probability of occurrence for each WT is shown in</w:t>
      </w:r>
      <w:r w:rsidR="00E53CFD" w:rsidRPr="00E53CFD">
        <w:t xml:space="preserve"> </w:t>
      </w:r>
      <w:r w:rsidR="00E53CFD">
        <w:t>Fig. 4</w:t>
      </w:r>
      <w:r w:rsidR="004C45F9" w:rsidRPr="000F2580">
        <w:t xml:space="preserve">. WTs </w:t>
      </w:r>
      <w:r w:rsidR="004C45F9">
        <w:t>at</w:t>
      </w:r>
      <w:r w:rsidR="004C45F9" w:rsidRPr="000F2580">
        <w:t xml:space="preserve"> the top of the lattice are generally characteri</w:t>
      </w:r>
      <w:r w:rsidR="004C45F9">
        <w:t>s</w:t>
      </w:r>
      <w:r w:rsidR="004C45F9" w:rsidRPr="000F2580">
        <w:t>ed by a low-pressure system in the north and a high-pressure system in the south (</w:t>
      </w:r>
      <w:r w:rsidR="004C45F9" w:rsidRPr="00056048">
        <w:t>e.g.</w:t>
      </w:r>
      <w:r w:rsidR="004C45F9" w:rsidRPr="000F2580">
        <w:t xml:space="preserve">, WT1, 7, 25, and 31), </w:t>
      </w:r>
      <w:r w:rsidR="0014516E">
        <w:t>though</w:t>
      </w:r>
      <w:r w:rsidR="004C45F9" w:rsidRPr="000F2580">
        <w:t xml:space="preserve"> the location, size and intensity of these pressure systems vary </w:t>
      </w:r>
      <w:r w:rsidR="0014516E">
        <w:t>across</w:t>
      </w:r>
      <w:r w:rsidR="004C45F9" w:rsidRPr="000F2580">
        <w:t xml:space="preserve"> </w:t>
      </w:r>
      <w:r w:rsidR="000E0BA0">
        <w:t>different WTs</w:t>
      </w:r>
      <w:r w:rsidR="004C45F9" w:rsidRPr="000F2580">
        <w:t>. WTs with such strong pressure gradients are most likely to occur in winter months. On the other hand, WTs with weak pressure gradients (</w:t>
      </w:r>
      <w:r w:rsidR="004C45F9" w:rsidRPr="00056048">
        <w:t>e.g.</w:t>
      </w:r>
      <w:r w:rsidR="004C45F9" w:rsidRPr="000F2580">
        <w:t>, WT16, 22, and 28) are found in the middle of the lattice and have higher probabilities of occurrence during summer. Notice that weather conditions in summer can be described by much fewer WTs than those in other seasons</w:t>
      </w:r>
      <w:r w:rsidR="006550BC">
        <w:t xml:space="preserve"> (Fig. 4)</w:t>
      </w:r>
      <w:r w:rsidR="004C45F9" w:rsidRPr="000F2580">
        <w:t xml:space="preserve">, which </w:t>
      </w:r>
      <w:r w:rsidR="00F32DA6">
        <w:t>is</w:t>
      </w:r>
      <w:r w:rsidR="004C45F9" w:rsidRPr="000F2580">
        <w:t xml:space="preserve"> also observed in</w:t>
      </w:r>
      <w:r w:rsidR="00B65149">
        <w:t xml:space="preserve"> </w:t>
      </w:r>
      <w:r w:rsidR="00B65149">
        <w:fldChar w:fldCharType="begin"/>
      </w:r>
      <w:r w:rsidR="00654B0F">
        <w:instrText xml:space="preserve"> ADDIN ZOTERO_ITEM CSL_CITATION {"citationID":"vdbo08Cg","properties":{"custom":"Camus et al. (2014b)","formattedCitation":"Camus et al. (2014b)","plainCitation":"Camus et al. (2014b)","noteIndex":0},"citationItems":[{"id":246,"uris":["http://zotero.org/users/10288439/items/2U8Q7KBN"],"itemData":{"id":246,"type":"article-journal","container-title":"Journal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J."},{"family":"Medina","given":"Raúl"}],"issued":{"date-parts":[["2014",11]]}}}],"schema":"https://github.com/citation-style-language/schema/raw/master/csl-citation.json"} </w:instrText>
      </w:r>
      <w:r w:rsidR="00B65149">
        <w:fldChar w:fldCharType="separate"/>
      </w:r>
      <w:r w:rsidR="00654B0F" w:rsidRPr="00654B0F">
        <w:t>Camus et al. (2014b)</w:t>
      </w:r>
      <w:r w:rsidR="00B65149">
        <w:fldChar w:fldCharType="end"/>
      </w:r>
      <w:r w:rsidR="004C45F9" w:rsidRPr="000F2580">
        <w:t xml:space="preserve"> and </w:t>
      </w:r>
      <w:r w:rsidR="00B65149">
        <w:fldChar w:fldCharType="begin"/>
      </w:r>
      <w:r w:rsidR="00654B0F">
        <w:instrText xml:space="preserve"> ADDIN ZOTERO_ITEM CSL_CITATION {"citationID":"elnYzaOb","properties":{"custom":"Zhao et al. (2024)","formattedCitation":"Zhao et al. (2024)","plainCitation":"Zhao et al. (2024)","noteIndex":0},"citationItems":[{"id":1471,"uris":["http://zotero.org/users/10288439/items/54FX9DVV"],"itemData":{"id":1471,"type":"article-journal","abstract":"A comprehensive understanding of wave characteristics and their variability, based on reliable long-term wave data, is essential in the design, construction, operation and management in offshore and coastal applications. This study aims to downscale multivariate wave data in the Chinese marginal seas at different time scales by employing two weather-type statistical downscaling models. The calibration of both models involves the usage of historical data from ERA5 reanalysis, with sea level pressure and the squared sea level pressure gradient as the predictors and wave parameters as the predictands. The predictor definition considers the swell components in the local wave data. Both models categorize the atmospheric predictors into different weather types using the K-means algorithm (KMA), with and without regression-guided clustering (referred to as WTD-RG and WTD, respectively). Each weather type is associated with sea state parameters. The downscaled wave data from both models are validated against ERA5 data. The results show that both models can generally reproduce the wave statistics for the significant wave height, mean wave direction, mean wave energy flux, and 95th percentile of the significant wave height. However, the WTD-RG model performs better than the WTD model. Additionally, the ERA5 data reveal increasing trends in the mean significant wave height for most areas of the East China Sea and South China Sea and decreasing trends in the Bohai Sea, Yellow Sea, and Beibu Gulf from 1959 to 2021. These patterns are well captured by the WTD-RG model but not by the WTD model.","container-title":"Ocean Modelling","DOI":"10.1016/j.ocemod.2023.102297","ISSN":"1463-5003","journalAbbreviation":"Ocean Modelling","note":"rate: 4","page":"102297","source":"ScienceDirect","title":"Weather-type statistical downscaling for ocean wave climate in the Chinese marginal seas","volume":"187","author":[{"family":"Zhao","given":"Guangfeng"},{"family":"Li","given":"Delei"},{"family":"Camus","given":"Paula"},{"family":"Zhang","given":"Xinli"},{"family":"Qi","given":"Jifeng"},{"family":"Yin","given":"Baoshu"}],"issued":{"date-parts":[["2024",2,1]]}}}],"schema":"https://github.com/citation-style-language/schema/raw/master/csl-citation.json"} </w:instrText>
      </w:r>
      <w:r w:rsidR="00B65149">
        <w:fldChar w:fldCharType="separate"/>
      </w:r>
      <w:r w:rsidR="00654B0F" w:rsidRPr="00654B0F">
        <w:t>Zhao et al. (2024)</w:t>
      </w:r>
      <w:r w:rsidR="00B65149">
        <w:fldChar w:fldCharType="end"/>
      </w:r>
      <w:r w:rsidR="004C45F9" w:rsidRPr="000F2580">
        <w:t xml:space="preserve">. This indicates that the </w:t>
      </w:r>
      <w:r w:rsidR="00A04554">
        <w:t>summer</w:t>
      </w:r>
      <w:r w:rsidR="004C45F9" w:rsidRPr="000F2580">
        <w:t xml:space="preserve"> synoptic circulation patterns exhibit </w:t>
      </w:r>
      <w:r w:rsidR="00A04554">
        <w:t>less</w:t>
      </w:r>
      <w:r w:rsidR="004C45F9" w:rsidRPr="000F2580">
        <w:t xml:space="preserve"> varia</w:t>
      </w:r>
      <w:r w:rsidR="00837C0C">
        <w:t>tions</w:t>
      </w:r>
      <w:r w:rsidR="004C45F9" w:rsidRPr="000F2580">
        <w:t>.</w:t>
      </w:r>
    </w:p>
    <w:p w14:paraId="0F6D43AE" w14:textId="3A003FBC" w:rsidR="004C45F9" w:rsidRPr="004C45F9" w:rsidRDefault="00F211E3" w:rsidP="004C45F9">
      <w:pPr>
        <w:rPr>
          <w:lang w:val="en-GB" w:eastAsia="en-GB"/>
        </w:rPr>
      </w:pPr>
      <w:r>
        <w:rPr>
          <w:noProof/>
          <w:lang w:val="en-GB" w:eastAsia="en-GB"/>
        </w:rPr>
        <w:lastRenderedPageBreak/>
        <w:pict w14:anchorId="4EF19375">
          <v:shape id="_x0000_i1027" type="#_x0000_t75" style="width:435.75pt;height:366pt">
            <v:imagedata r:id="rId12" o:title="Figure 3"/>
          </v:shape>
        </w:pict>
      </w:r>
    </w:p>
    <w:p w14:paraId="2D53F466" w14:textId="6132A5D0" w:rsidR="004C45F9" w:rsidRDefault="004C45F9" w:rsidP="004C45F9">
      <w:pPr>
        <w:rPr>
          <w:lang w:val="en-GB" w:eastAsia="en-GB"/>
        </w:rPr>
      </w:pPr>
      <w:r w:rsidRPr="004C45F9">
        <w:rPr>
          <w:b/>
          <w:bCs/>
          <w:lang w:val="en-GB" w:eastAsia="en-GB"/>
        </w:rPr>
        <w:t>Fig. 3</w:t>
      </w:r>
      <w:r w:rsidRPr="004C45F9">
        <w:rPr>
          <w:lang w:val="en-GB" w:eastAsia="en-GB"/>
        </w:rPr>
        <w:t xml:space="preserve"> 36 WTs represented by SLP. WTs with similar patterns are placed in neighbouring locations</w:t>
      </w:r>
    </w:p>
    <w:p w14:paraId="2197BF96" w14:textId="6233A293" w:rsidR="004C45F9" w:rsidRDefault="00F211E3" w:rsidP="004C45F9">
      <w:pPr>
        <w:rPr>
          <w:lang w:val="en-GB" w:eastAsia="en-GB"/>
        </w:rPr>
      </w:pPr>
      <w:r>
        <w:rPr>
          <w:noProof/>
          <w:lang w:val="en-GB" w:eastAsia="en-GB"/>
        </w:rPr>
        <w:pict w14:anchorId="1CA50999">
          <v:shape id="_x0000_i1028" type="#_x0000_t75" style="width:415.5pt;height:129.75pt">
            <v:imagedata r:id="rId13" o:title="Seasonal Probability_600dpi"/>
          </v:shape>
        </w:pict>
      </w:r>
    </w:p>
    <w:p w14:paraId="4C865A9F" w14:textId="59CEF3B6" w:rsidR="004C45F9" w:rsidRDefault="004C45F9" w:rsidP="004C45F9">
      <w:pPr>
        <w:rPr>
          <w:lang w:val="en-GB" w:eastAsia="en-GB"/>
        </w:rPr>
      </w:pPr>
      <w:r w:rsidRPr="004C45F9">
        <w:rPr>
          <w:b/>
          <w:bCs/>
          <w:lang w:val="en-GB" w:eastAsia="en-GB"/>
        </w:rPr>
        <w:t>Fig. 4</w:t>
      </w:r>
      <w:r w:rsidRPr="004C45F9">
        <w:rPr>
          <w:lang w:val="en-GB" w:eastAsia="en-GB"/>
        </w:rPr>
        <w:t xml:space="preserve"> Seasonal probability of occurrence of each WT. Each cell in the box corresponds to the WT of the same location in Fig</w:t>
      </w:r>
      <w:r>
        <w:rPr>
          <w:lang w:val="en-GB" w:eastAsia="en-GB"/>
        </w:rPr>
        <w:t>.</w:t>
      </w:r>
      <w:r w:rsidRPr="004C45F9">
        <w:rPr>
          <w:lang w:val="en-GB" w:eastAsia="en-GB"/>
        </w:rPr>
        <w:t xml:space="preserve"> 3</w:t>
      </w:r>
    </w:p>
    <w:p w14:paraId="0E3554BD" w14:textId="345DF776" w:rsidR="004C45F9" w:rsidRDefault="004C45F9" w:rsidP="00DA52D3">
      <w:pPr>
        <w:pStyle w:val="Paragraph"/>
      </w:pPr>
      <w:r w:rsidRPr="000F2580">
        <w:t xml:space="preserve">Each individual WT is associated with unique distributions of sea state conditions. The </w:t>
      </w:r>
      <w:r w:rsidRPr="000F2580">
        <w:lastRenderedPageBreak/>
        <w:t xml:space="preserve">distribution of hourly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0F2580">
        <w:t xml:space="preserve"> for each WT is given in</w:t>
      </w:r>
      <w:r w:rsidRPr="000F2580">
        <w:fldChar w:fldCharType="begin"/>
      </w:r>
      <w:r w:rsidRPr="000F2580">
        <w:instrText xml:space="preserve"> REF _Ref164945042 \h </w:instrText>
      </w:r>
      <w:r>
        <w:instrText xml:space="preserve"> \* MERGEFORMAT </w:instrText>
      </w:r>
      <w:r w:rsidRPr="000F2580">
        <w:fldChar w:fldCharType="separate"/>
      </w:r>
      <w:r w:rsidR="00E53CFD" w:rsidRPr="00E53CFD">
        <w:t xml:space="preserve"> </w:t>
      </w:r>
      <w:r w:rsidR="00E53CFD">
        <w:t>Fig.</w:t>
      </w:r>
      <w:r w:rsidRPr="00FA66FB">
        <w:t xml:space="preserve"> 5</w:t>
      </w:r>
      <w:r w:rsidRPr="000F2580">
        <w:fldChar w:fldCharType="end"/>
      </w:r>
      <w:r w:rsidRPr="000F2580">
        <w:t>.</w:t>
      </w:r>
      <w:r>
        <w:t xml:space="preserve"> Some distributions are characterised by a narrow and high peak below 2 m, indicating </w:t>
      </w:r>
      <w:r w:rsidR="00232363">
        <w:t xml:space="preserve">mild </w:t>
      </w:r>
      <w:r>
        <w:t xml:space="preserve">wave </w:t>
      </w:r>
      <w:r w:rsidR="00922290">
        <w:t>climate</w:t>
      </w:r>
      <w:r>
        <w:t>. Widespread distributions with a long tail are also found for certain WTs</w:t>
      </w:r>
      <w:r w:rsidR="00A04554">
        <w:t>,</w:t>
      </w:r>
      <w:r>
        <w:t xml:space="preserve"> suggesting the potential of extreme wave conditions. </w:t>
      </w:r>
      <w:r w:rsidRPr="000F2580">
        <w:t xml:space="preserve">Together with other sea state parameters, these empirical distributions allow </w:t>
      </w:r>
      <w:r>
        <w:t>the</w:t>
      </w:r>
      <w:r w:rsidRPr="000F2580">
        <w:t xml:space="preserve"> investigat</w:t>
      </w:r>
      <w:r>
        <w:t>ion of</w:t>
      </w:r>
      <w:r w:rsidRPr="000F2580">
        <w:t xml:space="preserve"> the relationships between regional synoptic patterns and the local wave climates and surge response</w:t>
      </w:r>
      <w:r w:rsidR="00F218A4">
        <w:t xml:space="preserve"> at Hartlepool</w:t>
      </w:r>
      <w:r w:rsidRPr="000F2580">
        <w:t xml:space="preserve">. </w:t>
      </w:r>
      <w:r w:rsidR="00FD3E37">
        <w:t xml:space="preserve">We illustrate this by comparing </w:t>
      </w:r>
      <w:r>
        <w:t xml:space="preserve">two WTs with contrasting synoptic patterns </w:t>
      </w:r>
      <w:r w:rsidRPr="000F2580">
        <w:t>(</w:t>
      </w:r>
      <w:r w:rsidR="00E53CFD">
        <w:t>Fig. 6</w:t>
      </w:r>
      <w:r w:rsidRPr="000F2580">
        <w:t>).</w:t>
      </w:r>
      <w:r>
        <w:t xml:space="preserve"> </w:t>
      </w:r>
      <w:r w:rsidRPr="000F2580">
        <w:t xml:space="preserve">WT10 exhibits a high-pressure centre over the </w:t>
      </w:r>
      <w:r w:rsidR="00D83E00">
        <w:t>British Isles</w:t>
      </w:r>
      <w:r w:rsidRPr="000F2580">
        <w:t xml:space="preserve"> which results in waves mainly from the north with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0F2580">
        <w:t xml:space="preserve"> generally below 2 m (0.94 m on average)</w:t>
      </w:r>
      <w:r>
        <w:t xml:space="preserve">. In the </w:t>
      </w:r>
      <m:oMath>
        <m:sSub>
          <m:sSubPr>
            <m:ctrlPr>
              <w:rPr>
                <w:rFonts w:ascii="Cambria Math" w:hAnsi="Cambria Math"/>
              </w:rPr>
            </m:ctrlPr>
          </m:sSubPr>
          <m:e>
            <m:r>
              <w:rPr>
                <w:rFonts w:ascii="Cambria Math" w:hAnsi="Cambria Math"/>
              </w:rPr>
              <m:t>H</m:t>
            </m:r>
          </m:e>
          <m:sub>
            <m:r>
              <w:rPr>
                <w:rFonts w:ascii="Cambria Math" w:hAnsi="Cambria Math"/>
              </w:rPr>
              <m:t>s</m:t>
            </m:r>
          </m:sub>
        </m:sSub>
      </m:oMath>
      <w:r>
        <w:t>-</w:t>
      </w:r>
      <m:oMath>
        <m:sSub>
          <m:sSubPr>
            <m:ctrlPr>
              <w:rPr>
                <w:rFonts w:ascii="Cambria Math" w:hAnsi="Cambria Math"/>
              </w:rPr>
            </m:ctrlPr>
          </m:sSubPr>
          <m:e>
            <m:r>
              <w:rPr>
                <w:rFonts w:ascii="Cambria Math" w:hAnsi="Cambria Math"/>
              </w:rPr>
              <m:t>T</m:t>
            </m:r>
          </m:e>
          <m:sub>
            <m:r>
              <w:rPr>
                <w:rFonts w:ascii="Cambria Math" w:hAnsi="Cambria Math"/>
              </w:rPr>
              <m:t>p</m:t>
            </m:r>
          </m:sub>
        </m:sSub>
      </m:oMath>
      <w:r>
        <w:t xml:space="preserve"> joint distribution, two peaks can be observed which mainly differ in </w:t>
      </w:r>
      <m:oMath>
        <m:sSub>
          <m:sSubPr>
            <m:ctrlPr>
              <w:rPr>
                <w:rFonts w:ascii="Cambria Math" w:hAnsi="Cambria Math"/>
              </w:rPr>
            </m:ctrlPr>
          </m:sSubPr>
          <m:e>
            <m:r>
              <w:rPr>
                <w:rFonts w:ascii="Cambria Math" w:hAnsi="Cambria Math"/>
              </w:rPr>
              <m:t>T</m:t>
            </m:r>
          </m:e>
          <m:sub>
            <m:r>
              <w:rPr>
                <w:rFonts w:ascii="Cambria Math" w:hAnsi="Cambria Math"/>
              </w:rPr>
              <m:t>p</m:t>
            </m:r>
          </m:sub>
        </m:sSub>
      </m:oMath>
      <w:r>
        <w:t>, with one roughly at 6 s and the other at 10 s, representing wind wave</w:t>
      </w:r>
      <w:r w:rsidR="009679CD">
        <w:t>s</w:t>
      </w:r>
      <w:r>
        <w:t xml:space="preserve"> and swell</w:t>
      </w:r>
      <w:r w:rsidR="009679CD">
        <w:t>s</w:t>
      </w:r>
      <w:r>
        <w:t xml:space="preserve"> respectively. This highlights the significance of both wave components under this synoptic condition. </w:t>
      </w:r>
      <w:r w:rsidRPr="000F2580">
        <w:t xml:space="preserve">On the other hand, WT31 features a stronger-than-average pressure difference between the Icelandic Low and the Azores High. Under this condition, waves are mainly from the west with higher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0F2580">
        <w:t xml:space="preserve"> (1.55 m on average) and </w:t>
      </w:r>
      <w:r w:rsidR="00F41A23">
        <w:t xml:space="preserve">a defined </w:t>
      </w:r>
      <w:r>
        <w:t xml:space="preserve">peak in </w:t>
      </w:r>
      <m:oMath>
        <m:sSub>
          <m:sSubPr>
            <m:ctrlPr>
              <w:rPr>
                <w:rFonts w:ascii="Cambria Math" w:hAnsi="Cambria Math"/>
              </w:rPr>
            </m:ctrlPr>
          </m:sSubPr>
          <m:e>
            <m:r>
              <w:rPr>
                <w:rFonts w:ascii="Cambria Math" w:hAnsi="Cambria Math"/>
              </w:rPr>
              <m:t>T</m:t>
            </m:r>
          </m:e>
          <m:sub>
            <m:r>
              <w:rPr>
                <w:rFonts w:ascii="Cambria Math" w:hAnsi="Cambria Math"/>
              </w:rPr>
              <m:t>p</m:t>
            </m:r>
          </m:sub>
        </m:sSub>
      </m:oMath>
      <w:r w:rsidRPr="000F2580">
        <w:t xml:space="preserve"> </w:t>
      </w:r>
      <w:r>
        <w:t>at</w:t>
      </w:r>
      <w:r w:rsidRPr="000F2580">
        <w:t xml:space="preserve"> </w:t>
      </w:r>
      <w:r>
        <w:t>5</w:t>
      </w:r>
      <w:r w:rsidRPr="000F2580">
        <w:t xml:space="preserve">s, which </w:t>
      </w:r>
      <w:r>
        <w:t>suggests</w:t>
      </w:r>
      <w:r w:rsidRPr="000F2580">
        <w:t xml:space="preserve"> </w:t>
      </w:r>
      <w:r>
        <w:t xml:space="preserve">the presence of </w:t>
      </w:r>
      <w:r w:rsidRPr="000F2580">
        <w:t>strong wind wave</w:t>
      </w:r>
      <w:r>
        <w:t xml:space="preserve"> activity</w:t>
      </w:r>
      <w:r w:rsidRPr="000F2580">
        <w:t>. These two WTs also lead to very distinct surge behaviours. The surge distribution of WT10 has a more peaked shape</w:t>
      </w:r>
      <w:r>
        <w:t xml:space="preserve"> (</w:t>
      </w:r>
      <m:oMath>
        <m:r>
          <w:rPr>
            <w:rFonts w:ascii="Cambria Math" w:hAnsi="Cambria Math"/>
          </w:rPr>
          <m:t>σ</m:t>
        </m:r>
      </m:oMath>
      <w:r>
        <w:t>=0.14)</w:t>
      </w:r>
      <w:r w:rsidRPr="000F2580">
        <w:t xml:space="preserve"> which sits more on the negative side</w:t>
      </w:r>
      <w:r>
        <w:t xml:space="preserve"> (84% of the surge is negative)</w:t>
      </w:r>
      <w:r w:rsidRPr="000F2580">
        <w:t>, whereas the distribution of WT31 is more widespread</w:t>
      </w:r>
      <w:r>
        <w:t xml:space="preserve"> (</w:t>
      </w:r>
      <m:oMath>
        <m:r>
          <w:rPr>
            <w:rFonts w:ascii="Cambria Math" w:hAnsi="Cambria Math"/>
          </w:rPr>
          <m:t>σ</m:t>
        </m:r>
      </m:oMath>
      <w:r>
        <w:t>=0.33)</w:t>
      </w:r>
      <w:r w:rsidRPr="000F2580">
        <w:t xml:space="preserve"> and more on the positive side</w:t>
      </w:r>
      <w:r>
        <w:t xml:space="preserve"> (80% of the surge is positive)</w:t>
      </w:r>
      <w:r w:rsidRPr="000F2580">
        <w:t xml:space="preserve">. The contrast in wave and surge behaviours demonstrates how local </w:t>
      </w:r>
      <w:r w:rsidR="00C11D58">
        <w:t>sea state parameters</w:t>
      </w:r>
      <w:r w:rsidRPr="000F2580">
        <w:t xml:space="preserve"> </w:t>
      </w:r>
      <w:r w:rsidR="00C11D58">
        <w:t>are</w:t>
      </w:r>
      <w:r w:rsidRPr="000F2580">
        <w:t xml:space="preserve"> affected by different regional synoptic conditions.</w:t>
      </w:r>
    </w:p>
    <w:p w14:paraId="704C32D4" w14:textId="75183470" w:rsidR="004C45F9" w:rsidRDefault="00F211E3" w:rsidP="004C45F9">
      <w:pPr>
        <w:rPr>
          <w:lang w:val="en-GB" w:eastAsia="en-GB"/>
        </w:rPr>
      </w:pPr>
      <w:r>
        <w:rPr>
          <w:noProof/>
          <w:lang w:val="en-GB" w:eastAsia="en-GB"/>
        </w:rPr>
        <w:lastRenderedPageBreak/>
        <w:pict w14:anchorId="240DB777">
          <v:shape id="_x0000_i1029" type="#_x0000_t75" style="width:415.5pt;height:333pt">
            <v:imagedata r:id="rId14" o:title="FDistribution_Hs_Lon_-1_Lat_55_Daily_SLP_SLPG_KMA_6x6"/>
          </v:shape>
        </w:pict>
      </w:r>
    </w:p>
    <w:p w14:paraId="0B7E354C" w14:textId="56CE45F0" w:rsidR="004C45F9" w:rsidRPr="004C45F9" w:rsidRDefault="004C45F9" w:rsidP="004C45F9">
      <w:pPr>
        <w:rPr>
          <w:lang w:val="en-GB" w:eastAsia="en-GB"/>
        </w:rPr>
      </w:pPr>
      <w:r w:rsidRPr="004C45F9">
        <w:rPr>
          <w:b/>
          <w:bCs/>
          <w:lang w:val="en-GB" w:eastAsia="en-GB"/>
        </w:rPr>
        <w:t>Fig. 5</w:t>
      </w:r>
      <w:r w:rsidRPr="004C45F9">
        <w:rPr>
          <w:lang w:val="en-GB" w:eastAsia="en-GB"/>
        </w:rPr>
        <w:t xml:space="preserve"> The distribution of hourly </w:t>
      </w:r>
      <m:oMath>
        <m:sSub>
          <m:sSubPr>
            <m:ctrlPr>
              <w:rPr>
                <w:rFonts w:ascii="Cambria Math" w:hAnsi="Cambria Math"/>
                <w:i/>
                <w:lang w:val="en-GB" w:eastAsia="en-GB"/>
              </w:rPr>
            </m:ctrlPr>
          </m:sSubPr>
          <m:e>
            <m:r>
              <w:rPr>
                <w:rFonts w:ascii="Cambria Math" w:hAnsi="Cambria Math"/>
                <w:lang w:val="en-GB" w:eastAsia="en-GB"/>
              </w:rPr>
              <m:t>H</m:t>
            </m:r>
          </m:e>
          <m:sub>
            <m:r>
              <w:rPr>
                <w:rFonts w:ascii="Cambria Math" w:hAnsi="Cambria Math"/>
                <w:lang w:val="en-GB" w:eastAsia="en-GB"/>
              </w:rPr>
              <m:t>s</m:t>
            </m:r>
          </m:sub>
        </m:sSub>
      </m:oMath>
      <w:r w:rsidRPr="004C45F9">
        <w:rPr>
          <w:lang w:val="en-GB" w:eastAsia="en-GB"/>
        </w:rPr>
        <w:t xml:space="preserve"> </w:t>
      </w:r>
      <w:r w:rsidR="00A04554">
        <w:rPr>
          <w:lang w:val="en-GB" w:eastAsia="en-GB"/>
        </w:rPr>
        <w:t xml:space="preserve">at Hartlepool </w:t>
      </w:r>
      <w:r w:rsidRPr="004C45F9">
        <w:rPr>
          <w:lang w:val="en-GB" w:eastAsia="en-GB"/>
        </w:rPr>
        <w:t>for each WT (blue), along with the overall distribution of all 40 years of wave data (orange) for comparison</w:t>
      </w:r>
    </w:p>
    <w:p w14:paraId="6BD61252" w14:textId="630210BA" w:rsidR="00A90C97" w:rsidRPr="001A1FA4" w:rsidRDefault="00F211E3" w:rsidP="004C45F9">
      <w:pPr>
        <w:rPr>
          <w:lang w:val="en-GB" w:eastAsia="en-GB"/>
        </w:rPr>
      </w:pPr>
      <w:r>
        <w:rPr>
          <w:noProof/>
          <w:lang w:val="en-GB" w:eastAsia="en-GB"/>
        </w:rPr>
        <w:pict w14:anchorId="48EC8408">
          <v:shape id="_x0000_i1030" type="#_x0000_t75" style="width:434.25pt;height:182.25pt">
            <v:imagedata r:id="rId15" o:title="examples_WT_distribution2"/>
          </v:shape>
        </w:pict>
      </w:r>
    </w:p>
    <w:p w14:paraId="487B6C85" w14:textId="76181199" w:rsidR="00DD6BCA" w:rsidRDefault="004C45F9" w:rsidP="004C45F9">
      <w:pPr>
        <w:rPr>
          <w:lang w:val="en-GB" w:eastAsia="en-GB"/>
        </w:rPr>
      </w:pPr>
      <w:r w:rsidRPr="004C45F9">
        <w:rPr>
          <w:b/>
          <w:bCs/>
          <w:lang w:val="en-GB" w:eastAsia="en-GB"/>
        </w:rPr>
        <w:t>Fig. 6</w:t>
      </w:r>
      <w:r w:rsidRPr="004C45F9">
        <w:rPr>
          <w:lang w:val="en-GB" w:eastAsia="en-GB"/>
        </w:rPr>
        <w:t xml:space="preserve"> Two WTs and their associated distributions of local predictands</w:t>
      </w:r>
      <w:r w:rsidR="00A90C97">
        <w:rPr>
          <w:lang w:val="en-GB" w:eastAsia="en-GB"/>
        </w:rPr>
        <w:t xml:space="preserve"> at Hartlepool</w:t>
      </w:r>
      <w:r w:rsidRPr="004C45F9">
        <w:rPr>
          <w:lang w:val="en-GB" w:eastAsia="en-GB"/>
        </w:rPr>
        <w:t xml:space="preserve">. (a) The SLP pattern of WT10, with the probability of occurrence indicated. (b) The joint distribution of hourly </w:t>
      </w:r>
      <m:oMath>
        <m:sSub>
          <m:sSubPr>
            <m:ctrlPr>
              <w:rPr>
                <w:rFonts w:ascii="Cambria Math" w:hAnsi="Cambria Math"/>
                <w:i/>
                <w:lang w:val="en-GB" w:eastAsia="en-GB"/>
              </w:rPr>
            </m:ctrlPr>
          </m:sSubPr>
          <m:e>
            <m:r>
              <w:rPr>
                <w:rFonts w:ascii="Cambria Math" w:hAnsi="Cambria Math"/>
                <w:lang w:val="en-GB" w:eastAsia="en-GB"/>
              </w:rPr>
              <m:t>H</m:t>
            </m:r>
          </m:e>
          <m:sub>
            <m:r>
              <w:rPr>
                <w:rFonts w:ascii="Cambria Math" w:hAnsi="Cambria Math"/>
                <w:lang w:val="en-GB" w:eastAsia="en-GB"/>
              </w:rPr>
              <m:t>s</m:t>
            </m:r>
          </m:sub>
        </m:sSub>
      </m:oMath>
      <w:r w:rsidRPr="004C45F9">
        <w:rPr>
          <w:lang w:val="en-GB" w:eastAsia="en-GB"/>
        </w:rPr>
        <w:t xml:space="preserve"> and </w:t>
      </w:r>
      <m:oMath>
        <m:sSub>
          <m:sSubPr>
            <m:ctrlPr>
              <w:rPr>
                <w:rFonts w:ascii="Cambria Math" w:hAnsi="Cambria Math"/>
                <w:i/>
                <w:lang w:val="en-GB" w:eastAsia="en-GB"/>
              </w:rPr>
            </m:ctrlPr>
          </m:sSubPr>
          <m:e>
            <m:r>
              <w:rPr>
                <w:rFonts w:ascii="Cambria Math" w:hAnsi="Cambria Math"/>
                <w:lang w:val="en-GB" w:eastAsia="en-GB"/>
              </w:rPr>
              <m:t>T</m:t>
            </m:r>
          </m:e>
          <m:sub>
            <m:r>
              <w:rPr>
                <w:rFonts w:ascii="Cambria Math" w:hAnsi="Cambria Math"/>
                <w:lang w:val="en-GB" w:eastAsia="en-GB"/>
              </w:rPr>
              <m:t>p</m:t>
            </m:r>
          </m:sub>
        </m:sSub>
      </m:oMath>
      <w:r w:rsidRPr="004C45F9">
        <w:rPr>
          <w:lang w:val="en-GB" w:eastAsia="en-GB"/>
        </w:rPr>
        <w:t xml:space="preserve"> associated with WT10. (c) The joint distribution of </w:t>
      </w:r>
      <w:r w:rsidRPr="004C45F9">
        <w:rPr>
          <w:lang w:val="en-GB" w:eastAsia="en-GB"/>
        </w:rPr>
        <w:lastRenderedPageBreak/>
        <w:t xml:space="preserve">hourly </w:t>
      </w:r>
      <m:oMath>
        <m:sSub>
          <m:sSubPr>
            <m:ctrlPr>
              <w:rPr>
                <w:rFonts w:ascii="Cambria Math" w:hAnsi="Cambria Math"/>
                <w:i/>
                <w:lang w:val="en-GB" w:eastAsia="en-GB"/>
              </w:rPr>
            </m:ctrlPr>
          </m:sSubPr>
          <m:e>
            <m:r>
              <w:rPr>
                <w:rFonts w:ascii="Cambria Math" w:hAnsi="Cambria Math"/>
                <w:lang w:val="en-GB" w:eastAsia="en-GB"/>
              </w:rPr>
              <m:t>H</m:t>
            </m:r>
          </m:e>
          <m:sub>
            <m:r>
              <w:rPr>
                <w:rFonts w:ascii="Cambria Math" w:hAnsi="Cambria Math"/>
                <w:lang w:val="en-GB" w:eastAsia="en-GB"/>
              </w:rPr>
              <m:t>s</m:t>
            </m:r>
          </m:sub>
        </m:sSub>
      </m:oMath>
      <w:r>
        <w:rPr>
          <w:lang w:val="en-GB" w:eastAsia="en-GB"/>
        </w:rPr>
        <w:t xml:space="preserve"> </w:t>
      </w:r>
      <w:r w:rsidRPr="004C45F9">
        <w:rPr>
          <w:lang w:val="en-GB" w:eastAsia="en-GB"/>
        </w:rPr>
        <w:t xml:space="preserve">and </w:t>
      </w:r>
      <m:oMath>
        <m:sSub>
          <m:sSubPr>
            <m:ctrlPr>
              <w:rPr>
                <w:rFonts w:ascii="Cambria Math" w:hAnsi="Cambria Math"/>
                <w:i/>
                <w:lang w:val="en-GB" w:eastAsia="en-GB"/>
              </w:rPr>
            </m:ctrlPr>
          </m:sSubPr>
          <m:e>
            <m:r>
              <w:rPr>
                <w:rFonts w:ascii="Cambria Math" w:hAnsi="Cambria Math"/>
                <w:lang w:val="en-GB" w:eastAsia="en-GB"/>
              </w:rPr>
              <m:t>θ</m:t>
            </m:r>
          </m:e>
          <m:sub>
            <m:r>
              <w:rPr>
                <w:rFonts w:ascii="Cambria Math" w:hAnsi="Cambria Math"/>
                <w:lang w:val="en-GB" w:eastAsia="en-GB"/>
              </w:rPr>
              <m:t>m</m:t>
            </m:r>
          </m:sub>
        </m:sSub>
      </m:oMath>
      <w:r w:rsidRPr="004C45F9">
        <w:rPr>
          <w:lang w:val="en-GB" w:eastAsia="en-GB"/>
        </w:rPr>
        <w:t xml:space="preserve"> associated with WT10, represented by a wave rose. (d) The distribution of hourly storm surge associated with WT10, with the mean </w:t>
      </w:r>
      <w:r w:rsidRPr="004C45F9">
        <w:rPr>
          <w:i/>
          <w:iCs/>
          <w:lang w:val="en-GB" w:eastAsia="en-GB"/>
        </w:rPr>
        <w:t>μ</w:t>
      </w:r>
      <w:r w:rsidRPr="004C45F9">
        <w:rPr>
          <w:lang w:val="en-GB" w:eastAsia="en-GB"/>
        </w:rPr>
        <w:t xml:space="preserve"> and standard deviation </w:t>
      </w:r>
      <w:r w:rsidRPr="004C45F9">
        <w:rPr>
          <w:i/>
          <w:iCs/>
          <w:lang w:val="en-GB" w:eastAsia="en-GB"/>
        </w:rPr>
        <w:t>σ</w:t>
      </w:r>
      <w:r w:rsidRPr="004C45F9">
        <w:rPr>
          <w:lang w:val="en-GB" w:eastAsia="en-GB"/>
        </w:rPr>
        <w:t xml:space="preserve"> displayed. Similarly, panels (e) to (h) are for WT31</w:t>
      </w:r>
      <w:r w:rsidR="009B4BE7">
        <w:rPr>
          <w:lang w:val="en-GB" w:eastAsia="en-GB"/>
        </w:rPr>
        <w:t>.</w:t>
      </w:r>
    </w:p>
    <w:p w14:paraId="7FB0CBEE" w14:textId="77777777" w:rsidR="009B4BE7" w:rsidRPr="004C45F9" w:rsidRDefault="009B4BE7" w:rsidP="004C45F9">
      <w:pPr>
        <w:rPr>
          <w:lang w:val="en-GB" w:eastAsia="en-GB"/>
        </w:rPr>
      </w:pPr>
    </w:p>
    <w:p w14:paraId="447CF4B5" w14:textId="7F141BCD" w:rsidR="00E330A3" w:rsidRPr="00DA52D3" w:rsidRDefault="00351EF1" w:rsidP="004C45F9">
      <w:pPr>
        <w:pStyle w:val="Paragraph"/>
        <w:rPr>
          <w:b/>
          <w:bCs/>
        </w:rPr>
      </w:pPr>
      <w:r w:rsidRPr="00DA52D3">
        <w:rPr>
          <w:b/>
          <w:bCs/>
        </w:rPr>
        <w:t>3.2</w:t>
      </w:r>
      <w:r w:rsidRPr="00DA52D3">
        <w:rPr>
          <w:b/>
          <w:bCs/>
        </w:rPr>
        <w:tab/>
        <w:t>Validation of the weather typing model</w:t>
      </w:r>
    </w:p>
    <w:p w14:paraId="0880AE6D" w14:textId="7F0967AF" w:rsidR="00E60644" w:rsidRDefault="009B4BE7" w:rsidP="00E70EC0">
      <w:pPr>
        <w:pStyle w:val="Paragraph"/>
      </w:pPr>
      <w:r>
        <w:t xml:space="preserve">The second objective of the study is to </w:t>
      </w:r>
      <w:r w:rsidR="00D76531">
        <w:t>validate the weather typing model’s ability to downscale local multivariate wave climate and storm surge.</w:t>
      </w:r>
      <w:r>
        <w:t xml:space="preserve"> </w:t>
      </w:r>
      <w:r w:rsidR="004C45F9">
        <w:t xml:space="preserve">The model represented in </w:t>
      </w:r>
      <w:r w:rsidR="00E53CFD">
        <w:t xml:space="preserve">Fig. 3 </w:t>
      </w:r>
      <w:r w:rsidR="004C45F9">
        <w:t xml:space="preserve">is designed to balance its overall performance on </w:t>
      </w:r>
      <w:r w:rsidR="00514DC6">
        <w:t xml:space="preserve">different </w:t>
      </w:r>
      <w:r w:rsidR="004C45F9">
        <w:t xml:space="preserve">sea state </w:t>
      </w:r>
      <w:r w:rsidR="00514DC6">
        <w:t>parameter</w:t>
      </w:r>
      <w:r w:rsidR="004C45F9">
        <w:t xml:space="preserve">s. In </w:t>
      </w:r>
      <w:r w:rsidR="00E53CFD">
        <w:t>Fig. 7</w:t>
      </w:r>
      <w:r w:rsidR="004C45F9">
        <w:t xml:space="preserve">, the model’s ability to downscale </w:t>
      </w:r>
      <w:r w:rsidR="00FD68EF">
        <w:t xml:space="preserve">ten </w:t>
      </w:r>
      <w:r w:rsidR="004C45F9">
        <w:t xml:space="preserve">parameters is evaluated, including the monthly means of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4C45F9">
        <w:t xml:space="preserve">,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004C45F9">
        <w:t xml:space="preserve">,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004C45F9">
        <w:t xml:space="preserve">, </w:t>
      </w:r>
      <m:oMath>
        <m:sSub>
          <m:sSubPr>
            <m:ctrlPr>
              <w:rPr>
                <w:rFonts w:ascii="Cambria Math" w:hAnsi="Cambria Math"/>
                <w:i/>
              </w:rPr>
            </m:ctrlPr>
          </m:sSubPr>
          <m:e>
            <m:r>
              <w:rPr>
                <w:rFonts w:ascii="Cambria Math" w:hAnsi="Cambria Math"/>
              </w:rPr>
              <m:t>θ</m:t>
            </m:r>
          </m:e>
          <m:sub>
            <m:r>
              <w:rPr>
                <w:rFonts w:ascii="Cambria Math" w:hAnsi="Cambria Math"/>
              </w:rPr>
              <m:t>m</m:t>
            </m:r>
          </m:sub>
        </m:sSub>
      </m:oMath>
      <w:r w:rsidR="004C45F9">
        <w:t>, the monthly 95</w:t>
      </w:r>
      <w:r w:rsidR="004C45F9" w:rsidRPr="003E20F4">
        <w:rPr>
          <w:vertAlign w:val="superscript"/>
        </w:rPr>
        <w:t>th</w:t>
      </w:r>
      <w:r w:rsidR="004C45F9">
        <w:t xml:space="preserve"> </w:t>
      </w:r>
      <w:r w:rsidR="00FD68EF">
        <w:t>and 99</w:t>
      </w:r>
      <w:r w:rsidR="00FD68EF" w:rsidRPr="0081607A">
        <w:rPr>
          <w:vertAlign w:val="superscript"/>
        </w:rPr>
        <w:t>th</w:t>
      </w:r>
      <w:r w:rsidR="00FD68EF">
        <w:t xml:space="preserve"> </w:t>
      </w:r>
      <w:r w:rsidR="004C45F9">
        <w:t>percentile</w:t>
      </w:r>
      <w:r w:rsidR="00FD68EF">
        <w:t>s</w:t>
      </w:r>
      <w:r w:rsidR="004C45F9">
        <w:t xml:space="preserve"> of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1431F7">
        <w:t xml:space="preserve"> for total waves</w:t>
      </w:r>
      <w:r w:rsidR="004C45F9">
        <w:t xml:space="preserve"> (</w:t>
      </w:r>
      <m:oMath>
        <m:sSub>
          <m:sSubPr>
            <m:ctrlPr>
              <w:rPr>
                <w:rFonts w:ascii="Cambria Math" w:hAnsi="Cambria Math"/>
                <w:i/>
              </w:rPr>
            </m:ctrlPr>
          </m:sSubPr>
          <m:e>
            <m:r>
              <w:rPr>
                <w:rFonts w:ascii="Cambria Math" w:hAnsi="Cambria Math"/>
              </w:rPr>
              <m:t>H</m:t>
            </m:r>
          </m:e>
          <m:sub>
            <m:r>
              <w:rPr>
                <w:rFonts w:ascii="Cambria Math" w:hAnsi="Cambria Math"/>
              </w:rPr>
              <m:t>s95</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s99</m:t>
            </m:r>
          </m:sub>
        </m:sSub>
        <m:r>
          <w:rPr>
            <w:rFonts w:ascii="Cambria Math" w:hAnsi="Cambria Math"/>
          </w:rPr>
          <m:t>)</m:t>
        </m:r>
      </m:oMath>
      <w:r w:rsidR="004C45F9">
        <w:t xml:space="preserve"> and storm </w:t>
      </w:r>
      <w:r w:rsidR="001431F7">
        <w:t xml:space="preserve">surges </w:t>
      </w:r>
      <w:r w:rsidR="004C45F9">
        <w:t>(</w:t>
      </w:r>
      <m:oMath>
        <m:sSub>
          <m:sSubPr>
            <m:ctrlPr>
              <w:rPr>
                <w:rFonts w:ascii="Cambria Math" w:hAnsi="Cambria Math"/>
                <w:i/>
              </w:rPr>
            </m:ctrlPr>
          </m:sSubPr>
          <m:e>
            <m:r>
              <w:rPr>
                <w:rFonts w:ascii="Cambria Math" w:hAnsi="Cambria Math"/>
              </w:rPr>
              <m:t>SS</m:t>
            </m:r>
          </m:e>
          <m:sub>
            <m:r>
              <w:rPr>
                <w:rFonts w:ascii="Cambria Math" w:hAnsi="Cambria Math"/>
              </w:rPr>
              <m:t>95</m:t>
            </m:r>
          </m:sub>
        </m:sSub>
        <m:r>
          <w:rPr>
            <w:rFonts w:ascii="Cambria Math" w:hAnsi="Cambria Math"/>
          </w:rPr>
          <m:t xml:space="preserve">, </m:t>
        </m:r>
        <m:sSub>
          <m:sSubPr>
            <m:ctrlPr>
              <w:rPr>
                <w:rFonts w:ascii="Cambria Math" w:hAnsi="Cambria Math"/>
                <w:i/>
              </w:rPr>
            </m:ctrlPr>
          </m:sSubPr>
          <m:e>
            <m:r>
              <w:rPr>
                <w:rFonts w:ascii="Cambria Math" w:hAnsi="Cambria Math"/>
              </w:rPr>
              <m:t>SS</m:t>
            </m:r>
          </m:e>
          <m:sub>
            <m:r>
              <w:rPr>
                <w:rFonts w:ascii="Cambria Math" w:hAnsi="Cambria Math"/>
              </w:rPr>
              <m:t>99</m:t>
            </m:r>
          </m:sub>
        </m:sSub>
      </m:oMath>
      <w:r w:rsidR="004C45F9">
        <w:t>)</w:t>
      </w:r>
      <w:r w:rsidR="00FD68EF">
        <w:t xml:space="preserve">, and the annual </w:t>
      </w:r>
      <m:oMath>
        <m:sSub>
          <m:sSubPr>
            <m:ctrlPr>
              <w:rPr>
                <w:rFonts w:ascii="Cambria Math" w:hAnsi="Cambria Math"/>
                <w:i/>
              </w:rPr>
            </m:ctrlPr>
          </m:sSubPr>
          <m:e>
            <m:r>
              <w:rPr>
                <w:rFonts w:ascii="Cambria Math" w:hAnsi="Cambria Math"/>
              </w:rPr>
              <m:t>H</m:t>
            </m:r>
          </m:e>
          <m:sub>
            <m:r>
              <w:rPr>
                <w:rFonts w:ascii="Cambria Math" w:hAnsi="Cambria Math"/>
              </w:rPr>
              <m:t>s99</m:t>
            </m:r>
          </m:sub>
        </m:sSub>
      </m:oMath>
      <w:r w:rsidR="008637DC">
        <w:t xml:space="preserve"> and </w:t>
      </w:r>
      <m:oMath>
        <m:sSub>
          <m:sSubPr>
            <m:ctrlPr>
              <w:rPr>
                <w:rFonts w:ascii="Cambria Math" w:hAnsi="Cambria Math"/>
                <w:i/>
              </w:rPr>
            </m:ctrlPr>
          </m:sSubPr>
          <m:e>
            <m:r>
              <w:rPr>
                <w:rFonts w:ascii="Cambria Math" w:hAnsi="Cambria Math"/>
              </w:rPr>
              <m:t>SS</m:t>
            </m:r>
          </m:e>
          <m:sub>
            <m:r>
              <w:rPr>
                <w:rFonts w:ascii="Cambria Math" w:hAnsi="Cambria Math"/>
              </w:rPr>
              <m:t>99</m:t>
            </m:r>
          </m:sub>
        </m:sSub>
      </m:oMath>
      <w:r w:rsidR="004C45F9">
        <w:t xml:space="preserve">. </w:t>
      </w:r>
    </w:p>
    <w:p w14:paraId="5F5E32C9" w14:textId="5A02DB85" w:rsidR="004C45F9" w:rsidRDefault="001D6E2D" w:rsidP="00E70EC0">
      <w:pPr>
        <w:pStyle w:val="Paragraph"/>
      </w:pPr>
      <w:r>
        <w:t xml:space="preserve">For the </w:t>
      </w:r>
      <w:r w:rsidR="00A128D5">
        <w:t>four parameters</w:t>
      </w:r>
      <w:r w:rsidR="00DE7ED3">
        <w:t xml:space="preserve"> representing mean wave conditions</w:t>
      </w:r>
      <w:r w:rsidR="00A128D5">
        <w:t xml:space="preserve"> (Fig. </w:t>
      </w:r>
      <w:r w:rsidR="00354ECA">
        <w:t>7a-7d</w:t>
      </w:r>
      <w:r w:rsidR="00A128D5">
        <w:t>)</w:t>
      </w:r>
      <w:r w:rsidR="004C45F9">
        <w:t>, the model estimations agree well with the reference</w:t>
      </w:r>
      <w:r w:rsidR="00371710">
        <w:t xml:space="preserve"> values</w:t>
      </w:r>
      <w:r w:rsidR="004C45F9">
        <w:t xml:space="preserve"> </w:t>
      </w:r>
      <w:r w:rsidR="00A15485">
        <w:rPr>
          <w:lang w:val="en-US"/>
        </w:rPr>
        <w:t>from</w:t>
      </w:r>
      <w:r w:rsidR="004C45F9">
        <w:t xml:space="preserve"> ERA5 and CODEC with</w:t>
      </w:r>
      <w:r w:rsidR="00555639">
        <w:t xml:space="preserve"> </w:t>
      </w:r>
      <w:r w:rsidR="00011027">
        <w:t>relatively</w:t>
      </w:r>
      <w:r w:rsidR="00555639">
        <w:t xml:space="preserve"> high</w:t>
      </w:r>
      <w:r w:rsidR="004C45F9">
        <w:t xml:space="preserve"> </w:t>
      </w:r>
      <m:oMath>
        <m:r>
          <w:rPr>
            <w:rFonts w:ascii="Cambria Math" w:hAnsi="Cambria Math"/>
          </w:rPr>
          <m:t>ρ</m:t>
        </m:r>
      </m:oMath>
      <w:r w:rsidR="004C45F9">
        <w:t xml:space="preserve"> </w:t>
      </w:r>
      <w:r w:rsidR="00555639">
        <w:t>(</w:t>
      </w:r>
      <w:r w:rsidR="004C45F9">
        <w:t>0.8</w:t>
      </w:r>
      <w:r w:rsidR="00CD06CE">
        <w:t>7</w:t>
      </w:r>
      <w:r w:rsidR="00555639">
        <w:t>-</w:t>
      </w:r>
      <w:r w:rsidR="004C45F9">
        <w:t>0.94</w:t>
      </w:r>
      <w:r w:rsidR="00555639">
        <w:t>)</w:t>
      </w:r>
      <w:r w:rsidR="000C6DC3">
        <w:t>,</w:t>
      </w:r>
      <w:r w:rsidR="00555639">
        <w:t xml:space="preserve"> </w:t>
      </w:r>
      <w:r w:rsidR="00096A09">
        <w:t>low RMSD</w:t>
      </w:r>
      <w:r w:rsidR="000C6DC3">
        <w:t>,</w:t>
      </w:r>
      <w:r w:rsidR="00096A09">
        <w:t xml:space="preserve"> and</w:t>
      </w:r>
      <w:r w:rsidR="000C6DC3">
        <w:t xml:space="preserve"> low</w:t>
      </w:r>
      <w:r w:rsidR="00096A09">
        <w:t xml:space="preserve"> BIAS</w:t>
      </w:r>
      <w:r w:rsidR="0082353F">
        <w:t>.</w:t>
      </w:r>
      <w:r w:rsidR="004C45F9">
        <w:t xml:space="preserve"> The </w:t>
      </w:r>
      <w:r w:rsidR="009B4BE7">
        <w:t xml:space="preserve">wave </w:t>
      </w:r>
      <w:r w:rsidR="004C45F9">
        <w:t>direction appears to be the least accurate, with several points deviating from the 1:1 line</w:t>
      </w:r>
      <w:r w:rsidR="00EF3347">
        <w:t xml:space="preserve"> and the RMSD</w:t>
      </w:r>
      <w:r w:rsidR="00382674">
        <w:t xml:space="preserve"> reaching nearly 30</w:t>
      </w:r>
      <w:r w:rsidR="00382674" w:rsidRPr="009E698D">
        <w:rPr>
          <w:lang w:val="en-US"/>
        </w:rPr>
        <w:t>°</w:t>
      </w:r>
      <w:r w:rsidR="004C45F9">
        <w:t>, but the overall performance</w:t>
      </w:r>
      <w:r w:rsidR="00514DC6">
        <w:t xml:space="preserve"> </w:t>
      </w:r>
      <w:r w:rsidR="004C45F9">
        <w:t>remains good (</w:t>
      </w:r>
      <m:oMath>
        <m:sSub>
          <m:sSubPr>
            <m:ctrlPr>
              <w:rPr>
                <w:rFonts w:ascii="Cambria Math" w:hAnsi="Cambria Math"/>
                <w:i/>
              </w:rPr>
            </m:ctrlPr>
          </m:sSubPr>
          <m:e>
            <m:r>
              <w:rPr>
                <w:rFonts w:ascii="Cambria Math" w:hAnsi="Cambria Math"/>
              </w:rPr>
              <m:t>ρ</m:t>
            </m:r>
          </m:e>
          <m:sub>
            <m:r>
              <w:rPr>
                <w:rFonts w:ascii="Cambria Math" w:hAnsi="Cambria Math"/>
              </w:rPr>
              <m:t>cc</m:t>
            </m:r>
          </m:sub>
        </m:sSub>
      </m:oMath>
      <w:r w:rsidR="004C45F9">
        <w:t>=0.87</w:t>
      </w:r>
      <w:r w:rsidR="005A2255">
        <w:t>, BIAS=0.63</w:t>
      </w:r>
      <w:r w:rsidR="009E698D" w:rsidRPr="009E698D">
        <w:rPr>
          <w:lang w:val="en-US"/>
        </w:rPr>
        <w:t>°</w:t>
      </w:r>
      <w:r w:rsidR="004C45F9">
        <w:t xml:space="preserve">). </w:t>
      </w:r>
      <w:r w:rsidR="00442127">
        <w:t xml:space="preserve">Besides the mean conditions, </w:t>
      </w:r>
      <w:r w:rsidR="0090755B">
        <w:t>t</w:t>
      </w:r>
      <w:r w:rsidR="004B666C">
        <w:t xml:space="preserve">he </w:t>
      </w:r>
      <w:r w:rsidR="002F7836">
        <w:t xml:space="preserve">model’s </w:t>
      </w:r>
      <w:r w:rsidR="00A1645E">
        <w:t xml:space="preserve">ability to capture </w:t>
      </w:r>
      <w:r w:rsidR="006C2805">
        <w:t xml:space="preserve">more </w:t>
      </w:r>
      <w:r w:rsidR="00A1645E">
        <w:t>extreme</w:t>
      </w:r>
      <w:r w:rsidR="00E31508">
        <w:t xml:space="preserve"> conditions</w:t>
      </w:r>
      <w:r w:rsidR="006C2805">
        <w:t xml:space="preserve"> is </w:t>
      </w:r>
      <w:r w:rsidR="005E22B2">
        <w:t xml:space="preserve">crucial in </w:t>
      </w:r>
      <w:r w:rsidR="005E4247">
        <w:t xml:space="preserve">applications like </w:t>
      </w:r>
      <w:r w:rsidR="005E22B2">
        <w:t>coastal haza</w:t>
      </w:r>
      <w:r w:rsidR="00E64AE8">
        <w:t>rd</w:t>
      </w:r>
      <w:r w:rsidR="005E4247">
        <w:t xml:space="preserve"> assessments</w:t>
      </w:r>
      <w:r w:rsidR="003503F8">
        <w:t xml:space="preserve">. </w:t>
      </w:r>
      <w:r w:rsidR="00F80B85">
        <w:t xml:space="preserve">We </w:t>
      </w:r>
      <w:r w:rsidR="00742517">
        <w:t>selected the 95</w:t>
      </w:r>
      <w:r w:rsidR="00742517" w:rsidRPr="0081607A">
        <w:rPr>
          <w:vertAlign w:val="superscript"/>
        </w:rPr>
        <w:t>th</w:t>
      </w:r>
      <w:r w:rsidR="00742517">
        <w:t xml:space="preserve"> and 99</w:t>
      </w:r>
      <w:r w:rsidR="00742517" w:rsidRPr="0081607A">
        <w:rPr>
          <w:vertAlign w:val="superscript"/>
        </w:rPr>
        <w:t>th</w:t>
      </w:r>
      <w:r w:rsidR="00742517">
        <w:t xml:space="preserve"> percentiles at </w:t>
      </w:r>
      <w:r w:rsidR="000C6DC3">
        <w:t xml:space="preserve">monthly and annual scales </w:t>
      </w:r>
      <w:r w:rsidR="006E17DF">
        <w:t xml:space="preserve">to </w:t>
      </w:r>
      <w:r w:rsidR="00C93AAA">
        <w:t xml:space="preserve">represent </w:t>
      </w:r>
      <w:r w:rsidR="000C6DC3">
        <w:t>various</w:t>
      </w:r>
      <w:r w:rsidR="00C93AAA">
        <w:t xml:space="preserve"> extreme scenarios. The results </w:t>
      </w:r>
      <w:r w:rsidR="00094C2C">
        <w:t>suggest</w:t>
      </w:r>
      <w:r w:rsidR="00DA1EF0">
        <w:t xml:space="preserve"> </w:t>
      </w:r>
      <w:r w:rsidR="00094C2C">
        <w:t xml:space="preserve">good </w:t>
      </w:r>
      <w:r w:rsidR="008F73DF">
        <w:t xml:space="preserve">model </w:t>
      </w:r>
      <w:r w:rsidR="00094C2C">
        <w:t xml:space="preserve">performance in </w:t>
      </w:r>
      <w:r w:rsidR="00144D4E">
        <w:t>representing</w:t>
      </w:r>
      <w:r w:rsidR="00094C2C">
        <w:t xml:space="preserve"> extreme storm surges</w:t>
      </w:r>
      <w:r w:rsidR="00323A1E">
        <w:t xml:space="preserve">, </w:t>
      </w:r>
      <w:r w:rsidR="00323A1E" w:rsidRPr="00323A1E">
        <w:t>with relatively low RMSD (within ~</w:t>
      </w:r>
      <w:r w:rsidR="004B50C1">
        <w:t>0.</w:t>
      </w:r>
      <w:r w:rsidR="00323A1E" w:rsidRPr="00323A1E">
        <w:t>1 m)</w:t>
      </w:r>
      <w:r w:rsidR="002954E0">
        <w:t>.</w:t>
      </w:r>
      <w:r w:rsidR="00771584">
        <w:t xml:space="preserve"> </w:t>
      </w:r>
      <w:r w:rsidR="00771584" w:rsidRPr="00771584">
        <w:t xml:space="preserve">However, the performance for extreme wave events is less satisfactory compared to storm surge, as indicated by </w:t>
      </w:r>
      <w:r w:rsidR="00525083">
        <w:t xml:space="preserve">the </w:t>
      </w:r>
      <w:r w:rsidR="00144D4E">
        <w:t>broader</w:t>
      </w:r>
      <w:r w:rsidR="00771584" w:rsidRPr="00771584">
        <w:t xml:space="preserve"> scatter</w:t>
      </w:r>
      <w:r w:rsidR="00144D4E">
        <w:t>ing of</w:t>
      </w:r>
      <w:r w:rsidR="00771584" w:rsidRPr="00771584">
        <w:t xml:space="preserve"> data points</w:t>
      </w:r>
      <w:r w:rsidR="000C6DC3">
        <w:t xml:space="preserve">, lower </w:t>
      </w:r>
      <m:oMath>
        <m:r>
          <w:rPr>
            <w:rFonts w:ascii="Cambria Math" w:hAnsi="Cambria Math"/>
          </w:rPr>
          <m:t>ρ</m:t>
        </m:r>
      </m:oMath>
      <w:r w:rsidR="000C6DC3">
        <w:t>,</w:t>
      </w:r>
      <w:r w:rsidR="00771584" w:rsidRPr="00771584">
        <w:t xml:space="preserve"> and large</w:t>
      </w:r>
      <w:r w:rsidR="00144D4E">
        <w:t>r</w:t>
      </w:r>
      <w:r w:rsidR="00771584" w:rsidRPr="00771584">
        <w:t xml:space="preserve"> RMSD </w:t>
      </w:r>
      <w:r w:rsidR="005B7788">
        <w:t>(</w:t>
      </w:r>
      <w:r w:rsidR="00771584" w:rsidRPr="00771584">
        <w:t>Fig. 7f and 7i</w:t>
      </w:r>
      <w:r w:rsidR="005B7788">
        <w:t>)</w:t>
      </w:r>
      <w:r w:rsidR="00771584" w:rsidRPr="00771584">
        <w:t>.</w:t>
      </w:r>
      <w:r w:rsidR="00F17E49">
        <w:t xml:space="preserve"> </w:t>
      </w:r>
      <w:r w:rsidR="00D32A49">
        <w:t>In general, t</w:t>
      </w:r>
      <w:r w:rsidR="004C45F9">
        <w:t xml:space="preserve">he validation across a wide range of sea state parameters demonstrates the weather typing model’s </w:t>
      </w:r>
      <w:r w:rsidR="0099520C">
        <w:t xml:space="preserve">overall </w:t>
      </w:r>
      <w:r w:rsidR="004C45F9">
        <w:t xml:space="preserve">ability to downscale </w:t>
      </w:r>
      <w:r w:rsidR="00EF6C59">
        <w:t>local conditions of total waves</w:t>
      </w:r>
      <w:r w:rsidR="004C45F9">
        <w:t xml:space="preserve"> and storm surge</w:t>
      </w:r>
      <w:r w:rsidR="00EF6C59">
        <w:t>s</w:t>
      </w:r>
      <w:r w:rsidR="0099520C">
        <w:t xml:space="preserve">, with </w:t>
      </w:r>
      <w:r w:rsidR="008C20C1">
        <w:t xml:space="preserve">reduced accuracy in </w:t>
      </w:r>
      <w:r w:rsidR="00C67F27">
        <w:t xml:space="preserve">wave direction and </w:t>
      </w:r>
      <w:r w:rsidR="008C20C1">
        <w:t>extreme wave height.</w:t>
      </w:r>
    </w:p>
    <w:p w14:paraId="4FDE90FF" w14:textId="3AAC62EB" w:rsidR="00E70EC0" w:rsidRPr="00E70EC0" w:rsidRDefault="00F211E3" w:rsidP="00E70EC0">
      <w:pPr>
        <w:rPr>
          <w:lang w:val="en-GB" w:eastAsia="en-GB"/>
        </w:rPr>
      </w:pPr>
      <w:r>
        <w:rPr>
          <w:noProof/>
          <w:lang w:val="en-GB" w:eastAsia="en-GB"/>
        </w:rPr>
        <w:lastRenderedPageBreak/>
        <w:pict w14:anchorId="41072A81">
          <v:shape id="_x0000_i1031" type="#_x0000_t75" style="width:434.25pt;height:324.75pt">
            <v:imagedata r:id="rId16" o:title="baseline_model_validation_scatter_wind_swell_no_regression_v3"/>
          </v:shape>
        </w:pict>
      </w:r>
    </w:p>
    <w:p w14:paraId="7D404C30" w14:textId="025BB6E7" w:rsidR="004C45F9" w:rsidRDefault="004C45F9" w:rsidP="004C45F9">
      <w:pPr>
        <w:rPr>
          <w:lang w:val="en-GB" w:eastAsia="en-GB"/>
        </w:rPr>
      </w:pPr>
      <w:r w:rsidRPr="004C45F9">
        <w:rPr>
          <w:b/>
          <w:bCs/>
          <w:lang w:val="en-GB" w:eastAsia="en-GB"/>
        </w:rPr>
        <w:t>Fig. 7</w:t>
      </w:r>
      <w:r w:rsidRPr="004C45F9">
        <w:rPr>
          <w:lang w:val="en-GB" w:eastAsia="en-GB"/>
        </w:rPr>
        <w:t xml:space="preserve"> Density scatterplots of monthly</w:t>
      </w:r>
      <w:r w:rsidR="008E56BD">
        <w:rPr>
          <w:lang w:val="en-GB" w:eastAsia="en-GB"/>
        </w:rPr>
        <w:t xml:space="preserve"> (panels (a) to (h)) and annual (panels (i) and (j))</w:t>
      </w:r>
      <w:r w:rsidRPr="004C45F9">
        <w:rPr>
          <w:lang w:val="en-GB" w:eastAsia="en-GB"/>
        </w:rPr>
        <w:t xml:space="preserve"> sea state parameters in the period of 1979-2018 between model estimations and the corresponding reference</w:t>
      </w:r>
      <w:r w:rsidR="00D83E00">
        <w:rPr>
          <w:lang w:val="en-GB" w:eastAsia="en-GB"/>
        </w:rPr>
        <w:t xml:space="preserve"> values calculated</w:t>
      </w:r>
      <w:r w:rsidRPr="004C45F9">
        <w:rPr>
          <w:lang w:val="en-GB" w:eastAsia="en-GB"/>
        </w:rPr>
        <w:t xml:space="preserve"> from ERA5 and CODEC. The diagonal line in black is the 1:1 line.</w:t>
      </w:r>
      <w:r w:rsidR="00371710">
        <w:rPr>
          <w:lang w:val="en-GB" w:eastAsia="en-GB"/>
        </w:rPr>
        <w:t xml:space="preserve"> The </w:t>
      </w:r>
      <w:r w:rsidR="00447929">
        <w:rPr>
          <w:lang w:val="en-GB" w:eastAsia="en-GB"/>
        </w:rPr>
        <w:t xml:space="preserve">axes in </w:t>
      </w:r>
      <w:r w:rsidR="00592670">
        <w:rPr>
          <w:lang w:val="en-GB" w:eastAsia="en-GB"/>
        </w:rPr>
        <w:t>panel</w:t>
      </w:r>
      <w:r w:rsidR="00447929">
        <w:rPr>
          <w:lang w:val="en-GB" w:eastAsia="en-GB"/>
        </w:rPr>
        <w:t xml:space="preserve"> </w:t>
      </w:r>
      <w:r w:rsidR="00592670">
        <w:rPr>
          <w:lang w:val="en-GB" w:eastAsia="en-GB"/>
        </w:rPr>
        <w:t>(</w:t>
      </w:r>
      <w:r w:rsidR="008E56BD">
        <w:rPr>
          <w:lang w:val="en-GB" w:eastAsia="en-GB"/>
        </w:rPr>
        <w:t>d</w:t>
      </w:r>
      <w:r w:rsidR="00592670">
        <w:rPr>
          <w:lang w:val="en-GB" w:eastAsia="en-GB"/>
        </w:rPr>
        <w:t>)</w:t>
      </w:r>
      <w:r w:rsidR="00371710">
        <w:rPr>
          <w:lang w:val="en-GB" w:eastAsia="en-GB"/>
        </w:rPr>
        <w:t xml:space="preserve"> for </w:t>
      </w:r>
      <m:oMath>
        <m:sSub>
          <m:sSubPr>
            <m:ctrlPr>
              <w:rPr>
                <w:rFonts w:ascii="Cambria Math" w:hAnsi="Cambria Math"/>
                <w:i/>
              </w:rPr>
            </m:ctrlPr>
          </m:sSubPr>
          <m:e>
            <m:r>
              <w:rPr>
                <w:rFonts w:ascii="Cambria Math" w:hAnsi="Cambria Math"/>
              </w:rPr>
              <m:t>θ</m:t>
            </m:r>
          </m:e>
          <m:sub>
            <m:r>
              <w:rPr>
                <w:rFonts w:ascii="Cambria Math" w:hAnsi="Cambria Math"/>
              </w:rPr>
              <m:t>m</m:t>
            </m:r>
          </m:sub>
        </m:sSub>
      </m:oMath>
      <w:r w:rsidR="00371710">
        <w:t xml:space="preserve"> </w:t>
      </w:r>
      <w:r w:rsidR="00CC4AC7">
        <w:t>are</w:t>
      </w:r>
      <w:r w:rsidR="00371710">
        <w:t xml:space="preserve"> adjusted so that most data points are in the center of the figure.</w:t>
      </w:r>
      <w:r w:rsidRPr="004C45F9">
        <w:rPr>
          <w:lang w:val="en-GB" w:eastAsia="en-GB"/>
        </w:rPr>
        <w:t xml:space="preserve"> </w:t>
      </w:r>
      <w:r w:rsidR="00D144E2">
        <w:rPr>
          <w:lang w:val="en-GB" w:eastAsia="en-GB"/>
        </w:rPr>
        <w:t>Three</w:t>
      </w:r>
      <w:r w:rsidRPr="004C45F9">
        <w:rPr>
          <w:lang w:val="en-GB" w:eastAsia="en-GB"/>
        </w:rPr>
        <w:t xml:space="preserve"> metrics</w:t>
      </w:r>
      <w:r w:rsidR="00C77839">
        <w:rPr>
          <w:lang w:val="en-GB" w:eastAsia="en-GB"/>
        </w:rPr>
        <w:t xml:space="preserve"> (</w:t>
      </w:r>
      <m:oMath>
        <m:r>
          <w:rPr>
            <w:rFonts w:ascii="Cambria Math" w:hAnsi="Cambria Math"/>
            <w:lang w:val="en-GB" w:eastAsia="en-GB"/>
          </w:rPr>
          <m:t>ρ</m:t>
        </m:r>
      </m:oMath>
      <w:r w:rsidR="00C77839">
        <w:rPr>
          <w:lang w:val="en-GB" w:eastAsia="en-GB"/>
        </w:rPr>
        <w:t>, RMSD, and BIAS)</w:t>
      </w:r>
      <w:r w:rsidRPr="004C45F9">
        <w:rPr>
          <w:lang w:val="en-GB" w:eastAsia="en-GB"/>
        </w:rPr>
        <w:t xml:space="preserve"> are displayed to indicate model performance</w:t>
      </w:r>
      <w:r w:rsidR="00D76531">
        <w:rPr>
          <w:lang w:val="en-GB" w:eastAsia="en-GB"/>
        </w:rPr>
        <w:t xml:space="preserve">. </w:t>
      </w:r>
      <w:r w:rsidR="00CC4AC7">
        <w:rPr>
          <w:lang w:val="en-GB" w:eastAsia="en-GB"/>
        </w:rPr>
        <w:t xml:space="preserve">Circular statistics are used for </w:t>
      </w:r>
      <m:oMath>
        <m:sSub>
          <m:sSubPr>
            <m:ctrlPr>
              <w:rPr>
                <w:rFonts w:ascii="Cambria Math" w:hAnsi="Cambria Math"/>
                <w:i/>
              </w:rPr>
            </m:ctrlPr>
          </m:sSubPr>
          <m:e>
            <m:r>
              <w:rPr>
                <w:rFonts w:ascii="Cambria Math" w:hAnsi="Cambria Math"/>
              </w:rPr>
              <m:t>θ</m:t>
            </m:r>
          </m:e>
          <m:sub>
            <m:r>
              <w:rPr>
                <w:rFonts w:ascii="Cambria Math" w:hAnsi="Cambria Math"/>
              </w:rPr>
              <m:t>m</m:t>
            </m:r>
          </m:sub>
        </m:sSub>
      </m:oMath>
      <w:r w:rsidR="00CC4AC7">
        <w:rPr>
          <w:lang w:val="en-GB" w:eastAsia="en-GB"/>
        </w:rPr>
        <w:t xml:space="preserve">. </w:t>
      </w:r>
      <w:r w:rsidR="008E56BD">
        <w:rPr>
          <w:lang w:val="en-GB" w:eastAsia="en-GB"/>
        </w:rPr>
        <w:t xml:space="preserve">The colour bar only applies to monthly parameters. </w:t>
      </w:r>
      <w:r w:rsidR="00CC4AC7">
        <w:rPr>
          <w:lang w:val="en-GB" w:eastAsia="en-GB"/>
        </w:rPr>
        <w:t xml:space="preserve">See </w:t>
      </w:r>
      <w:r w:rsidR="00CC4AC7" w:rsidRPr="004C45F9">
        <w:rPr>
          <w:lang w:val="en-GB" w:eastAsia="en-GB"/>
        </w:rPr>
        <w:t>Section 2.3.2</w:t>
      </w:r>
      <w:r w:rsidR="00CC4AC7">
        <w:rPr>
          <w:lang w:val="en-GB" w:eastAsia="en-GB"/>
        </w:rPr>
        <w:t xml:space="preserve"> for detailed explanations</w:t>
      </w:r>
      <w:r w:rsidR="00452731">
        <w:rPr>
          <w:lang w:val="en-GB" w:eastAsia="en-GB"/>
        </w:rPr>
        <w:t xml:space="preserve"> on model validation</w:t>
      </w:r>
    </w:p>
    <w:p w14:paraId="0F3B0DF3" w14:textId="77777777" w:rsidR="00916BA7" w:rsidRDefault="00916BA7" w:rsidP="004C45F9">
      <w:pPr>
        <w:rPr>
          <w:lang w:val="en-GB" w:eastAsia="en-GB"/>
        </w:rPr>
      </w:pPr>
    </w:p>
    <w:p w14:paraId="3C91D2DE" w14:textId="1384741E" w:rsidR="00E70EC0" w:rsidRDefault="00E70EC0" w:rsidP="004C45F9">
      <w:pPr>
        <w:rPr>
          <w:lang w:eastAsia="en-GB"/>
        </w:rPr>
      </w:pPr>
      <w:r w:rsidRPr="00E70EC0">
        <w:t xml:space="preserve">Although the development of the weather typing model is guided by total wave conditions, it can also be applied to downscale wind wave and swell variables. Similar validation was conducted regarding the model’s skill in estimating the monthly means of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E70EC0">
        <w:t xml:space="preserve">, </w:t>
      </w:r>
      <m:oMath>
        <m:sSub>
          <m:sSubPr>
            <m:ctrlPr>
              <w:rPr>
                <w:rFonts w:ascii="Cambria Math" w:hAnsi="Cambria Math"/>
              </w:rPr>
            </m:ctrlPr>
          </m:sSubPr>
          <m:e>
            <m:r>
              <w:rPr>
                <w:rFonts w:ascii="Cambria Math" w:hAnsi="Cambria Math"/>
              </w:rPr>
              <m:t>T</m:t>
            </m:r>
          </m:e>
          <m:sub>
            <m:r>
              <w:rPr>
                <w:rFonts w:ascii="Cambria Math" w:hAnsi="Cambria Math"/>
              </w:rPr>
              <m:t>m</m:t>
            </m:r>
          </m:sub>
        </m:sSub>
      </m:oMath>
      <w:r w:rsidRPr="00E70EC0">
        <w:t xml:space="preserve">, and </w:t>
      </w:r>
      <m:oMath>
        <m:sSub>
          <m:sSubPr>
            <m:ctrlPr>
              <w:rPr>
                <w:rFonts w:ascii="Cambria Math" w:hAnsi="Cambria Math"/>
              </w:rPr>
            </m:ctrlPr>
          </m:sSubPr>
          <m:e>
            <m:r>
              <w:rPr>
                <w:rFonts w:ascii="Cambria Math" w:hAnsi="Cambria Math"/>
              </w:rPr>
              <m:t>θ</m:t>
            </m:r>
          </m:e>
          <m:sub>
            <m:r>
              <w:rPr>
                <w:rFonts w:ascii="Cambria Math" w:hAnsi="Cambria Math"/>
              </w:rPr>
              <m:t>m</m:t>
            </m:r>
          </m:sub>
        </m:sSub>
      </m:oMath>
      <w:r w:rsidRPr="00E70EC0">
        <w:t xml:space="preserve"> for wind wave and swell (</w:t>
      </w:r>
      <w:r w:rsidR="00E53CFD">
        <w:t>Fig. 8</w:t>
      </w:r>
      <w:r w:rsidRPr="00E70EC0">
        <w:t xml:space="preserve">). For both wave components, the estimations in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E70EC0">
        <w:t xml:space="preserve"> and </w:t>
      </w:r>
      <m:oMath>
        <m:sSub>
          <m:sSubPr>
            <m:ctrlPr>
              <w:rPr>
                <w:rFonts w:ascii="Cambria Math" w:hAnsi="Cambria Math"/>
              </w:rPr>
            </m:ctrlPr>
          </m:sSubPr>
          <m:e>
            <m:r>
              <w:rPr>
                <w:rFonts w:ascii="Cambria Math" w:hAnsi="Cambria Math"/>
              </w:rPr>
              <m:t>T</m:t>
            </m:r>
          </m:e>
          <m:sub>
            <m:r>
              <w:rPr>
                <w:rFonts w:ascii="Cambria Math" w:hAnsi="Cambria Math"/>
              </w:rPr>
              <m:t>m</m:t>
            </m:r>
          </m:sub>
        </m:sSub>
      </m:oMath>
      <w:r w:rsidRPr="00E70EC0">
        <w:t xml:space="preserve"> are almost as accurate as those for the total wave</w:t>
      </w:r>
      <w:r w:rsidR="00BE22D1">
        <w:t xml:space="preserve">. For </w:t>
      </w:r>
      <m:oMath>
        <m:sSub>
          <m:sSubPr>
            <m:ctrlPr>
              <w:rPr>
                <w:rFonts w:ascii="Cambria Math" w:hAnsi="Cambria Math"/>
              </w:rPr>
            </m:ctrlPr>
          </m:sSubPr>
          <m:e>
            <m:r>
              <w:rPr>
                <w:rFonts w:ascii="Cambria Math" w:hAnsi="Cambria Math"/>
              </w:rPr>
              <m:t>θ</m:t>
            </m:r>
          </m:e>
          <m:sub>
            <m:r>
              <w:rPr>
                <w:rFonts w:ascii="Cambria Math" w:hAnsi="Cambria Math"/>
              </w:rPr>
              <m:t>m</m:t>
            </m:r>
          </m:sub>
        </m:sSub>
      </m:oMath>
      <w:r w:rsidR="00BE22D1">
        <w:t xml:space="preserve">, the model performs much </w:t>
      </w:r>
      <w:r w:rsidR="00BE22D1">
        <w:lastRenderedPageBreak/>
        <w:t xml:space="preserve">better for swells </w:t>
      </w:r>
      <w:r w:rsidR="00BE22D1" w:rsidRPr="00E70EC0">
        <w:t>(</w:t>
      </w:r>
      <m:oMath>
        <m:r>
          <w:rPr>
            <w:rFonts w:ascii="Cambria Math" w:hAnsi="Cambria Math"/>
          </w:rPr>
          <m:t>ρ</m:t>
        </m:r>
      </m:oMath>
      <w:r w:rsidR="00BE22D1" w:rsidRPr="00E70EC0">
        <w:t>=0.88</w:t>
      </w:r>
      <w:r w:rsidR="00195DD7">
        <w:t>, RMSD=</w:t>
      </w:r>
      <w:r w:rsidR="00DC17BA">
        <w:t>14.20</w:t>
      </w:r>
      <w:r w:rsidR="00DC17BA" w:rsidRPr="00DC17BA">
        <w:t>°</w:t>
      </w:r>
      <w:r w:rsidR="00BE22D1" w:rsidRPr="00E70EC0">
        <w:t>)</w:t>
      </w:r>
      <w:r w:rsidR="00BE22D1">
        <w:t xml:space="preserve"> than </w:t>
      </w:r>
      <w:r w:rsidR="00CE6CD5">
        <w:t xml:space="preserve">for </w:t>
      </w:r>
      <w:r w:rsidR="00BE22D1">
        <w:t xml:space="preserve">wind waves </w:t>
      </w:r>
      <w:r w:rsidR="00BE22D1" w:rsidRPr="00E70EC0">
        <w:t>(</w:t>
      </w:r>
      <m:oMath>
        <m:r>
          <w:rPr>
            <w:rFonts w:ascii="Cambria Math" w:hAnsi="Cambria Math"/>
          </w:rPr>
          <m:t>ρ</m:t>
        </m:r>
      </m:oMath>
      <w:r w:rsidR="00BE22D1" w:rsidRPr="00E70EC0">
        <w:t>=0.72</w:t>
      </w:r>
      <w:r w:rsidR="00DC17BA">
        <w:t>, RMSD=</w:t>
      </w:r>
      <w:r w:rsidR="008348C5">
        <w:t>47.08</w:t>
      </w:r>
      <w:r w:rsidR="008348C5" w:rsidRPr="008348C5">
        <w:t>°</w:t>
      </w:r>
      <w:r w:rsidR="00BE22D1" w:rsidRPr="00E70EC0">
        <w:t xml:space="preserve">). </w:t>
      </w:r>
      <w:r w:rsidRPr="00E70EC0">
        <w:t xml:space="preserve">Note that wind wave </w:t>
      </w:r>
      <m:oMath>
        <m:sSub>
          <m:sSubPr>
            <m:ctrlPr>
              <w:rPr>
                <w:rFonts w:ascii="Cambria Math" w:hAnsi="Cambria Math"/>
              </w:rPr>
            </m:ctrlPr>
          </m:sSubPr>
          <m:e>
            <m:r>
              <w:rPr>
                <w:rFonts w:ascii="Cambria Math" w:hAnsi="Cambria Math"/>
              </w:rPr>
              <m:t>θ</m:t>
            </m:r>
          </m:e>
          <m:sub>
            <m:r>
              <w:rPr>
                <w:rFonts w:ascii="Cambria Math" w:hAnsi="Cambria Math"/>
              </w:rPr>
              <m:t>m</m:t>
            </m:r>
          </m:sub>
        </m:sSub>
      </m:oMath>
      <w:r w:rsidRPr="00E70EC0">
        <w:t xml:space="preserve"> is widely scattered and covers all possible directions whereas swells mainly come from the northeast</w:t>
      </w:r>
      <w:r w:rsidR="00CE6CD5">
        <w:t xml:space="preserve">. As a result, the higher variation of wind wave direction is harder </w:t>
      </w:r>
      <w:r w:rsidR="00284524">
        <w:t>for the model to reproduce</w:t>
      </w:r>
      <w:r w:rsidRPr="00E70EC0">
        <w:t xml:space="preserve">. </w:t>
      </w:r>
      <w:r w:rsidR="00C172E9">
        <w:t>Overall</w:t>
      </w:r>
      <w:r w:rsidRPr="00E70EC0">
        <w:t>, the model can</w:t>
      </w:r>
      <w:r w:rsidR="00CE6CD5">
        <w:t xml:space="preserve"> </w:t>
      </w:r>
      <w:r w:rsidRPr="00E70EC0">
        <w:t xml:space="preserve">downscale </w:t>
      </w:r>
      <w:r w:rsidR="00EF6C59">
        <w:t>the individual wind wave and swell</w:t>
      </w:r>
      <w:r w:rsidRPr="00E70EC0">
        <w:t xml:space="preserve"> components with </w:t>
      </w:r>
      <w:r w:rsidR="00CE6CD5">
        <w:t xml:space="preserve">reasonably </w:t>
      </w:r>
      <w:r w:rsidR="00C172E9">
        <w:t>good</w:t>
      </w:r>
      <w:r w:rsidRPr="00E70EC0">
        <w:t xml:space="preserve"> accurac</w:t>
      </w:r>
      <w:r w:rsidR="00C172E9">
        <w:t>y.</w:t>
      </w:r>
    </w:p>
    <w:p w14:paraId="6DA99C00" w14:textId="27125BBF" w:rsidR="00E70EC0" w:rsidRDefault="00F211E3" w:rsidP="004C45F9">
      <w:pPr>
        <w:rPr>
          <w:lang w:eastAsia="en-GB"/>
        </w:rPr>
      </w:pPr>
      <w:r>
        <w:rPr>
          <w:noProof/>
          <w:lang w:eastAsia="en-GB"/>
        </w:rPr>
        <w:pict w14:anchorId="07E26E30">
          <v:shape id="_x0000_i1032" type="#_x0000_t75" style="width:434.25pt;height:261.75pt">
            <v:imagedata r:id="rId17" o:title="baseline_model_validation_scatter_wind_swell_no_regression_v2"/>
          </v:shape>
        </w:pict>
      </w:r>
    </w:p>
    <w:p w14:paraId="2243A5BE" w14:textId="02AA7622" w:rsidR="00E70EC0" w:rsidRPr="00E70EC0" w:rsidRDefault="00E70EC0" w:rsidP="004C45F9">
      <w:pPr>
        <w:rPr>
          <w:lang w:val="en-GB" w:eastAsia="en-GB"/>
        </w:rPr>
      </w:pPr>
      <w:r w:rsidRPr="00E70EC0">
        <w:rPr>
          <w:b/>
          <w:bCs/>
          <w:lang w:val="en-GB" w:eastAsia="en-GB"/>
        </w:rPr>
        <w:t>Fig. 8</w:t>
      </w:r>
      <w:r w:rsidRPr="00E70EC0">
        <w:rPr>
          <w:lang w:val="en-GB" w:eastAsia="en-GB"/>
        </w:rPr>
        <w:t xml:space="preserve"> The same as Fig</w:t>
      </w:r>
      <w:r>
        <w:rPr>
          <w:lang w:val="en-GB" w:eastAsia="en-GB"/>
        </w:rPr>
        <w:t>.</w:t>
      </w:r>
      <w:r w:rsidR="00F211E3">
        <w:rPr>
          <w:lang w:val="en-GB" w:eastAsia="en-GB"/>
        </w:rPr>
        <w:t xml:space="preserve"> </w:t>
      </w:r>
      <w:r w:rsidRPr="00E70EC0">
        <w:rPr>
          <w:lang w:val="en-GB" w:eastAsia="en-GB"/>
        </w:rPr>
        <w:t xml:space="preserve">7, but for </w:t>
      </w:r>
      <w:r w:rsidR="007E21A6">
        <w:rPr>
          <w:lang w:val="en-GB" w:eastAsia="en-GB"/>
        </w:rPr>
        <w:t xml:space="preserve">monthly </w:t>
      </w:r>
      <w:r w:rsidR="00331E9B">
        <w:rPr>
          <w:lang w:val="en-GB" w:eastAsia="en-GB"/>
        </w:rPr>
        <w:t xml:space="preserve">averages of </w:t>
      </w:r>
      <w:r w:rsidRPr="00E70EC0">
        <w:rPr>
          <w:lang w:val="en-GB" w:eastAsia="en-GB"/>
        </w:rPr>
        <w:t>wind wave and swell parameters</w:t>
      </w:r>
    </w:p>
    <w:p w14:paraId="6FC071BC" w14:textId="77777777" w:rsidR="00DD6BCA" w:rsidRDefault="00DD6BCA" w:rsidP="004C45F9">
      <w:pPr>
        <w:pStyle w:val="Paragraph"/>
        <w:rPr>
          <w:b/>
          <w:bCs/>
        </w:rPr>
      </w:pPr>
    </w:p>
    <w:p w14:paraId="71DED897" w14:textId="58B9ECDB" w:rsidR="00AC4058" w:rsidRPr="00DA52D3" w:rsidRDefault="00351EF1" w:rsidP="004C45F9">
      <w:pPr>
        <w:pStyle w:val="Paragraph"/>
        <w:rPr>
          <w:b/>
          <w:bCs/>
        </w:rPr>
      </w:pPr>
      <w:r w:rsidRPr="00DA52D3">
        <w:rPr>
          <w:b/>
          <w:bCs/>
        </w:rPr>
        <w:t>3.3</w:t>
      </w:r>
      <w:r w:rsidRPr="00DA52D3">
        <w:rPr>
          <w:b/>
          <w:bCs/>
        </w:rPr>
        <w:tab/>
        <w:t>Sensitivity analysis</w:t>
      </w:r>
    </w:p>
    <w:p w14:paraId="63457260" w14:textId="040B2D61" w:rsidR="00E70EC0" w:rsidRDefault="009B4BE7" w:rsidP="00E70EC0">
      <w:pPr>
        <w:pStyle w:val="Paragraph"/>
      </w:pPr>
      <w:r>
        <w:t xml:space="preserve">The third objective of the study is to </w:t>
      </w:r>
      <w:r w:rsidR="00F50979">
        <w:t>investigate the impact of different factors on weather typing.</w:t>
      </w:r>
      <w:r>
        <w:t xml:space="preserve"> </w:t>
      </w:r>
      <w:r w:rsidR="00E70EC0">
        <w:t xml:space="preserve">The </w:t>
      </w:r>
      <w:r w:rsidR="00E70EC0" w:rsidRPr="000F2580">
        <w:t>performance</w:t>
      </w:r>
      <w:r w:rsidR="00E70EC0">
        <w:t xml:space="preserve"> of </w:t>
      </w:r>
      <w:r w:rsidR="004D223A">
        <w:t>SD</w:t>
      </w:r>
      <w:r w:rsidR="00F50979">
        <w:t xml:space="preserve"> method</w:t>
      </w:r>
      <w:r w:rsidR="004D223A">
        <w:t>s</w:t>
      </w:r>
      <w:r w:rsidR="00E70EC0">
        <w:t xml:space="preserve"> </w:t>
      </w:r>
      <w:r w:rsidR="00E70EC0" w:rsidRPr="000F2580">
        <w:t>largely depends on the quality of predictor definition, which includes the choice of predictor variables and how they are defined spatially and temporally. For weather</w:t>
      </w:r>
      <w:r w:rsidR="00F50979">
        <w:t>-</w:t>
      </w:r>
      <w:r w:rsidR="00E70EC0" w:rsidRPr="000F2580">
        <w:t>typ</w:t>
      </w:r>
      <w:r w:rsidR="00F50979">
        <w:t>e</w:t>
      </w:r>
      <w:r w:rsidR="00E70EC0" w:rsidRPr="000F2580">
        <w:t xml:space="preserve"> approaches, the number of WTs and other method-specific </w:t>
      </w:r>
      <w:r w:rsidR="00D03C7F">
        <w:t>facto</w:t>
      </w:r>
      <w:r w:rsidR="00E70EC0" w:rsidRPr="000F2580">
        <w:t xml:space="preserve">rs can also affect downscaling skills. In this section, several aspects of the model configuration are investigated in detail as to their impacts on downscaling different sea state parameters. </w:t>
      </w:r>
      <w:r w:rsidR="004D223A">
        <w:t>We use Taylor diagrams</w:t>
      </w:r>
      <w:r w:rsidR="00CB1E30">
        <w:t xml:space="preserve"> and </w:t>
      </w:r>
      <w:r w:rsidR="00CB1E30" w:rsidRPr="000F2580">
        <w:t>VFE diagram</w:t>
      </w:r>
      <w:r w:rsidR="00CB1E30">
        <w:t>s</w:t>
      </w:r>
      <w:r w:rsidR="004D223A">
        <w:t xml:space="preserve"> to visualise t</w:t>
      </w:r>
      <w:r w:rsidR="00E70EC0" w:rsidRPr="000F2580">
        <w:t xml:space="preserve">he </w:t>
      </w:r>
      <w:r w:rsidR="00E70EC0" w:rsidRPr="000F2580">
        <w:lastRenderedPageBreak/>
        <w:t>differences in model skills.</w:t>
      </w:r>
      <w:r w:rsidR="004D223A">
        <w:t xml:space="preserve"> In these diagrams,</w:t>
      </w:r>
      <w:r w:rsidR="00E70EC0" w:rsidRPr="000F2580">
        <w:t xml:space="preserve"> </w:t>
      </w:r>
      <w:r w:rsidR="004D223A">
        <w:t>m</w:t>
      </w:r>
      <w:r w:rsidR="00E70EC0" w:rsidRPr="000F2580">
        <w:t xml:space="preserve">odels with higher </w:t>
      </w:r>
      <m:oMath>
        <m:r>
          <w:rPr>
            <w:rFonts w:ascii="Cambria Math" w:hAnsi="Cambria Math" w:cs="Calibri"/>
          </w:rPr>
          <m:t>ρ</m:t>
        </m:r>
      </m:oMath>
      <w:r w:rsidR="00CB1E30">
        <w:t xml:space="preserve"> or </w:t>
      </w:r>
      <w:r w:rsidR="00E70EC0">
        <w:t>vector similarity coefficients</w:t>
      </w:r>
      <w:r w:rsidR="00E70EC0" w:rsidRPr="000F2580">
        <w:t>, lower RMSD</w:t>
      </w:r>
      <w:r w:rsidR="00CB1E30">
        <w:t xml:space="preserve"> or </w:t>
      </w:r>
      <w:r w:rsidR="00E70EC0">
        <w:t>RMSVD</w:t>
      </w:r>
      <w:r w:rsidR="00E70EC0" w:rsidRPr="000F2580">
        <w:t>, and standard deviations</w:t>
      </w:r>
      <w:r w:rsidR="00CB1E30">
        <w:t xml:space="preserve"> or </w:t>
      </w:r>
      <w:r w:rsidR="00E70EC0" w:rsidRPr="000F2580">
        <w:t>RMSL closer to the reference values are considered more accurate, which can be indicated by their proximity to the reference point</w:t>
      </w:r>
      <w:r w:rsidR="00F1445D">
        <w:t>s</w:t>
      </w:r>
      <w:r w:rsidR="00E70EC0" w:rsidRPr="000F2580">
        <w:t xml:space="preserve"> on the diagram.</w:t>
      </w:r>
    </w:p>
    <w:p w14:paraId="35DABBCC" w14:textId="77777777" w:rsidR="00DD6BCA" w:rsidRPr="00AF3A3D" w:rsidRDefault="00DD6BCA" w:rsidP="00DA52D3"/>
    <w:p w14:paraId="7C950441" w14:textId="2FBB31F8" w:rsidR="00351EF1" w:rsidRPr="00DA52D3" w:rsidRDefault="00351EF1" w:rsidP="00E53CFD">
      <w:pPr>
        <w:pStyle w:val="Paragraph"/>
        <w:rPr>
          <w:b/>
          <w:bCs/>
        </w:rPr>
      </w:pPr>
      <w:r w:rsidRPr="00DA52D3">
        <w:rPr>
          <w:b/>
          <w:bCs/>
        </w:rPr>
        <w:t>3.3.1</w:t>
      </w:r>
      <w:r w:rsidRPr="00DA52D3">
        <w:rPr>
          <w:b/>
          <w:bCs/>
        </w:rPr>
        <w:tab/>
        <w:t>Downscaling total wave and storm surge</w:t>
      </w:r>
    </w:p>
    <w:p w14:paraId="75AC1629" w14:textId="57FD50E3" w:rsidR="00E70EC0" w:rsidRDefault="00E70EC0" w:rsidP="00E70EC0">
      <w:pPr>
        <w:pStyle w:val="Paragraph"/>
      </w:pPr>
      <w:bookmarkStart w:id="16" w:name="_Hlk169792778"/>
      <w:r w:rsidRPr="004D3A5C">
        <w:t>First, we focus on the downscaling of total wave and storm surge conditions. In terms of predictor variables (</w:t>
      </w:r>
      <w:r w:rsidR="00E53CFD">
        <w:t>Fig. 9</w:t>
      </w:r>
      <w:r w:rsidRPr="004D3A5C">
        <w:t>), using the combination of SLP and SLPG as the predictor yields better model performance compared to using either one individually, indicating that both variables are related to the local wave and surge conditions. For temporal coverage (</w:t>
      </w:r>
      <w:r w:rsidR="00E53CFD">
        <w:t>Fig.</w:t>
      </w:r>
      <w:r w:rsidRPr="004D3A5C">
        <w:t xml:space="preserve"> S</w:t>
      </w:r>
      <w:r>
        <w:t>2</w:t>
      </w:r>
      <w:r w:rsidRPr="004D3A5C">
        <w:t xml:space="preserve">), models with 2 to 5 days generally exhibit comparable accuracy at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4D3A5C">
        <w:t xml:space="preserve">, </w:t>
      </w:r>
      <m:oMath>
        <m:sSub>
          <m:sSubPr>
            <m:ctrlPr>
              <w:rPr>
                <w:rFonts w:ascii="Cambria Math" w:hAnsi="Cambria Math"/>
              </w:rPr>
            </m:ctrlPr>
          </m:sSubPr>
          <m:e>
            <m:r>
              <w:rPr>
                <w:rFonts w:ascii="Cambria Math" w:hAnsi="Cambria Math"/>
              </w:rPr>
              <m:t>θ</m:t>
            </m:r>
          </m:e>
          <m:sub>
            <m:r>
              <w:rPr>
                <w:rFonts w:ascii="Cambria Math" w:hAnsi="Cambria Math"/>
              </w:rPr>
              <m:t>m</m:t>
            </m:r>
          </m:sub>
        </m:sSub>
      </m:oMath>
      <w:r w:rsidRPr="004D3A5C">
        <w:t xml:space="preserve">, and </w:t>
      </w:r>
      <m:oMath>
        <m:sSub>
          <m:sSubPr>
            <m:ctrlPr>
              <w:rPr>
                <w:rFonts w:ascii="Cambria Math" w:hAnsi="Cambria Math"/>
              </w:rPr>
            </m:ctrlPr>
          </m:sSubPr>
          <m:e>
            <m:r>
              <w:rPr>
                <w:rFonts w:ascii="Cambria Math" w:hAnsi="Cambria Math"/>
              </w:rPr>
              <m:t>SS</m:t>
            </m:r>
          </m:e>
          <m:sub>
            <m:r>
              <m:rPr>
                <m:sty m:val="p"/>
              </m:rPr>
              <w:rPr>
                <w:rFonts w:ascii="Cambria Math" w:hAnsi="Cambria Math"/>
              </w:rPr>
              <m:t>95</m:t>
            </m:r>
          </m:sub>
        </m:sSub>
      </m:oMath>
      <w:r w:rsidRPr="004D3A5C">
        <w:t xml:space="preserve">. However, the </w:t>
      </w:r>
      <w:r>
        <w:t>estimation</w:t>
      </w:r>
      <w:r w:rsidRPr="004D3A5C">
        <w:t xml:space="preserve">s of </w:t>
      </w:r>
      <m:oMath>
        <m:sSub>
          <m:sSubPr>
            <m:ctrlPr>
              <w:rPr>
                <w:rFonts w:ascii="Cambria Math" w:hAnsi="Cambria Math"/>
              </w:rPr>
            </m:ctrlPr>
          </m:sSubPr>
          <m:e>
            <m:r>
              <w:rPr>
                <w:rFonts w:ascii="Cambria Math" w:hAnsi="Cambria Math"/>
              </w:rPr>
              <m:t>T</m:t>
            </m:r>
          </m:e>
          <m:sub>
            <m:r>
              <w:rPr>
                <w:rFonts w:ascii="Cambria Math" w:hAnsi="Cambria Math"/>
              </w:rPr>
              <m:t>p</m:t>
            </m:r>
          </m:sub>
        </m:sSub>
      </m:oMath>
      <w:r w:rsidRPr="004D3A5C">
        <w:t xml:space="preserve"> improve significantly </w:t>
      </w:r>
      <w:r>
        <w:t>as</w:t>
      </w:r>
      <w:r w:rsidRPr="004D3A5C">
        <w:t xml:space="preserve"> </w:t>
      </w:r>
      <w:r>
        <w:t xml:space="preserve">more </w:t>
      </w:r>
      <w:r w:rsidRPr="001378CA">
        <w:t>preceding days</w:t>
      </w:r>
      <w:r>
        <w:t xml:space="preserve"> are included to define the predictor</w:t>
      </w:r>
      <w:r w:rsidRPr="004D3A5C">
        <w:t xml:space="preserve">, suggesting that </w:t>
      </w:r>
      <m:oMath>
        <m:sSub>
          <m:sSubPr>
            <m:ctrlPr>
              <w:rPr>
                <w:rFonts w:ascii="Cambria Math" w:hAnsi="Cambria Math"/>
              </w:rPr>
            </m:ctrlPr>
          </m:sSubPr>
          <m:e>
            <m:r>
              <w:rPr>
                <w:rFonts w:ascii="Cambria Math" w:hAnsi="Cambria Math"/>
              </w:rPr>
              <m:t>T</m:t>
            </m:r>
          </m:e>
          <m:sub>
            <m:r>
              <w:rPr>
                <w:rFonts w:ascii="Cambria Math" w:hAnsi="Cambria Math"/>
              </w:rPr>
              <m:t>p</m:t>
            </m:r>
          </m:sub>
        </m:sSub>
      </m:oMath>
      <w:r w:rsidRPr="004D3A5C">
        <w:t xml:space="preserve"> is sensitive to the amount of recent synoptic conditions captured by the daily WTs. Similar results are observed for spatial domain (</w:t>
      </w:r>
      <w:r w:rsidR="00E53CFD">
        <w:t xml:space="preserve">Fig. </w:t>
      </w:r>
      <w:r w:rsidRPr="004D3A5C">
        <w:t>S</w:t>
      </w:r>
      <w:r>
        <w:t>3</w:t>
      </w:r>
      <w:r w:rsidRPr="004D3A5C">
        <w:t>). The model with</w:t>
      </w:r>
      <w:r>
        <w:t xml:space="preserve"> a</w:t>
      </w:r>
      <w:r w:rsidRPr="004D3A5C">
        <w:t xml:space="preserve"> bigger domain </w:t>
      </w:r>
      <w:r>
        <w:t>perform</w:t>
      </w:r>
      <w:r w:rsidRPr="004D3A5C">
        <w:t>s</w:t>
      </w:r>
      <w:r>
        <w:t xml:space="preserve"> </w:t>
      </w:r>
      <w:r w:rsidRPr="004D3A5C">
        <w:t>marginally better</w:t>
      </w:r>
      <w:r>
        <w:t xml:space="preserve"> in</w:t>
      </w:r>
      <w:r w:rsidRPr="004D3A5C">
        <w:t xml:space="preserve"> </w:t>
      </w:r>
      <m:oMath>
        <m:sSub>
          <m:sSubPr>
            <m:ctrlPr>
              <w:rPr>
                <w:rFonts w:ascii="Cambria Math" w:hAnsi="Cambria Math"/>
              </w:rPr>
            </m:ctrlPr>
          </m:sSubPr>
          <m:e>
            <m:r>
              <w:rPr>
                <w:rFonts w:ascii="Cambria Math" w:hAnsi="Cambria Math"/>
              </w:rPr>
              <m:t>T</m:t>
            </m:r>
          </m:e>
          <m:sub>
            <m:r>
              <w:rPr>
                <w:rFonts w:ascii="Cambria Math" w:hAnsi="Cambria Math"/>
              </w:rPr>
              <m:t>p</m:t>
            </m:r>
          </m:sub>
        </m:sSub>
      </m:oMath>
      <w:r w:rsidRPr="004D3A5C">
        <w:t xml:space="preserve"> than that with </w:t>
      </w:r>
      <w:r>
        <w:t xml:space="preserve">a </w:t>
      </w:r>
      <w:r w:rsidRPr="004D3A5C">
        <w:t xml:space="preserve">smaller domain. For the other three parameters, there is no significant difference </w:t>
      </w:r>
      <w:r>
        <w:t>among</w:t>
      </w:r>
      <w:r w:rsidRPr="004D3A5C">
        <w:t xml:space="preserve"> </w:t>
      </w:r>
      <w:r w:rsidR="005F2038">
        <w:t>models with different values</w:t>
      </w:r>
      <w:r w:rsidRPr="004D3A5C">
        <w:t>.</w:t>
      </w:r>
    </w:p>
    <w:bookmarkEnd w:id="16"/>
    <w:p w14:paraId="5E2C52DD" w14:textId="759ACCA6" w:rsidR="00E70EC0" w:rsidRDefault="00F211E3" w:rsidP="00DF0264">
      <w:pPr>
        <w:spacing w:after="0"/>
        <w:rPr>
          <w:rFonts w:cs="Times New Roman"/>
          <w:szCs w:val="24"/>
          <w:lang w:val="en-GB"/>
        </w:rPr>
      </w:pPr>
      <w:r>
        <w:rPr>
          <w:rFonts w:cs="Times New Roman"/>
          <w:noProof/>
          <w:szCs w:val="24"/>
          <w:lang w:val="en-GB"/>
        </w:rPr>
        <w:lastRenderedPageBreak/>
        <w:pict w14:anchorId="0CC33184">
          <v:shape id="_x0000_i1033" type="#_x0000_t75" style="width:434.25pt;height:381.75pt">
            <v:imagedata r:id="rId18" o:title="level1_v3"/>
          </v:shape>
        </w:pict>
      </w:r>
    </w:p>
    <w:p w14:paraId="20B0D695" w14:textId="7DE90BEF" w:rsidR="00E70EC0" w:rsidRPr="00E70EC0" w:rsidRDefault="00E70EC0" w:rsidP="00E70EC0">
      <w:pPr>
        <w:pStyle w:val="Paragraph"/>
      </w:pPr>
      <w:r w:rsidRPr="0057572E">
        <w:rPr>
          <w:b/>
          <w:bCs/>
        </w:rPr>
        <w:t xml:space="preserve">Fig. </w:t>
      </w:r>
      <w:r w:rsidR="0057572E" w:rsidRPr="0057572E">
        <w:rPr>
          <w:b/>
          <w:bCs/>
        </w:rPr>
        <w:t>9</w:t>
      </w:r>
      <w:r w:rsidR="0057572E">
        <w:t xml:space="preserve"> </w:t>
      </w:r>
      <w:r w:rsidR="00CB1E30">
        <w:t>D</w:t>
      </w:r>
      <w:r w:rsidRPr="00E70EC0">
        <w:t>iagrams for comparing model performance in estimating total wave and storm surge conditions with different predictor variables</w:t>
      </w:r>
      <w:r w:rsidR="00E47E29">
        <w:t xml:space="preserve">. </w:t>
      </w:r>
      <w:r w:rsidR="00CB1E30">
        <w:t xml:space="preserve">Taylor diagrams are used for scalar quantities whereas the VFE diagrams are used for circular quantities. </w:t>
      </w:r>
      <w:r w:rsidR="00DE279D">
        <w:t xml:space="preserve">Each coloured dot represents a model with </w:t>
      </w:r>
      <w:r w:rsidR="008C59CC">
        <w:t xml:space="preserve">a </w:t>
      </w:r>
      <w:r w:rsidR="00DE279D">
        <w:t xml:space="preserve">different configuration. The black reference points are calculated based on ERA5 or CODEC. </w:t>
      </w:r>
      <w:r w:rsidR="00E47E29">
        <w:t>The correlation coefficient</w:t>
      </w:r>
      <w:r w:rsidR="00CB1E30">
        <w:t xml:space="preserve"> and vector similarity coefficient</w:t>
      </w:r>
      <w:r w:rsidR="00E47E29">
        <w:t xml:space="preserve"> </w:t>
      </w:r>
      <w:r w:rsidR="00CB1E30">
        <w:t>are</w:t>
      </w:r>
      <w:r w:rsidR="00E47E29">
        <w:t xml:space="preserve"> </w:t>
      </w:r>
      <w:r w:rsidR="008C59CC">
        <w:t>indicated by the</w:t>
      </w:r>
      <w:r w:rsidR="00E47E29">
        <w:t xml:space="preserve"> </w:t>
      </w:r>
      <w:r w:rsidR="00E47E29" w:rsidRPr="00E47E29">
        <w:t>azimuthal angle</w:t>
      </w:r>
      <w:r w:rsidR="00E47E29">
        <w:t xml:space="preserve"> (blue </w:t>
      </w:r>
      <w:r w:rsidR="006E24C5">
        <w:t xml:space="preserve">dash-dotted </w:t>
      </w:r>
      <w:r w:rsidR="00E47E29">
        <w:t>contours); the RMSD</w:t>
      </w:r>
      <w:r w:rsidR="00CB1E30">
        <w:t xml:space="preserve"> and RMSVD</w:t>
      </w:r>
      <w:r w:rsidR="00E47E29">
        <w:t xml:space="preserve"> </w:t>
      </w:r>
      <w:r w:rsidR="00CB1E30">
        <w:t>are</w:t>
      </w:r>
      <w:r w:rsidR="00E47E29">
        <w:t xml:space="preserve"> proportional to the distance between each coloured point and the reference point (</w:t>
      </w:r>
      <w:r w:rsidR="005825AD">
        <w:t>grey dashed contours); the standard deviation</w:t>
      </w:r>
      <w:r w:rsidR="00CB1E30">
        <w:t xml:space="preserve"> and the RMSL</w:t>
      </w:r>
      <w:r w:rsidR="005825AD">
        <w:t xml:space="preserve"> </w:t>
      </w:r>
      <w:r w:rsidR="00DE279D">
        <w:t>are</w:t>
      </w:r>
      <w:r w:rsidR="005825AD" w:rsidRPr="005825AD">
        <w:t xml:space="preserve"> proportional to the radial distance from the origin</w:t>
      </w:r>
      <w:r w:rsidR="005825AD">
        <w:t xml:space="preserve"> (black</w:t>
      </w:r>
      <w:r w:rsidR="006E24C5">
        <w:t xml:space="preserve"> dotted</w:t>
      </w:r>
      <w:r w:rsidR="005825AD">
        <w:t xml:space="preserve"> contours)</w:t>
      </w:r>
      <w:r w:rsidR="00E47E29">
        <w:t xml:space="preserve"> </w:t>
      </w:r>
    </w:p>
    <w:p w14:paraId="3D7A9E8B" w14:textId="7E316286" w:rsidR="009B4BE7" w:rsidRDefault="00F01D12" w:rsidP="00657533">
      <w:pPr>
        <w:pStyle w:val="Paragraph"/>
      </w:pPr>
      <w:r w:rsidRPr="007C4A57">
        <w:t xml:space="preserve">Regarding the spatial resolution of the atmospheric data used to define predictors, the model does not appear to be sensitive to this factor, as only a minor improvement in </w:t>
      </w:r>
      <m:oMath>
        <m:sSub>
          <m:sSubPr>
            <m:ctrlPr>
              <w:rPr>
                <w:rFonts w:ascii="Cambria Math" w:hAnsi="Cambria Math"/>
              </w:rPr>
            </m:ctrlPr>
          </m:sSubPr>
          <m:e>
            <m:r>
              <w:rPr>
                <w:rFonts w:ascii="Cambria Math" w:hAnsi="Cambria Math"/>
              </w:rPr>
              <m:t>θ</m:t>
            </m:r>
          </m:e>
          <m:sub>
            <m:r>
              <w:rPr>
                <w:rFonts w:ascii="Cambria Math" w:hAnsi="Cambria Math"/>
              </w:rPr>
              <m:t>m</m:t>
            </m:r>
          </m:sub>
        </m:sSub>
      </m:oMath>
      <w:r w:rsidRPr="007C4A57">
        <w:t xml:space="preserve"> is found </w:t>
      </w:r>
      <w:r w:rsidRPr="007C4A57">
        <w:lastRenderedPageBreak/>
        <w:t>when using finer-resolution data (</w:t>
      </w:r>
      <w:r w:rsidR="00E53CFD">
        <w:t>Fig.</w:t>
      </w:r>
      <w:r w:rsidRPr="007C4A57">
        <w:t xml:space="preserve"> S4).</w:t>
      </w:r>
      <w:r w:rsidR="006E24C5">
        <w:t xml:space="preserve"> This indicates the use of low-resolution data in weather typing can also produce robust results while maintaining a low computational cost.</w:t>
      </w:r>
      <w:r w:rsidRPr="007C4A57">
        <w:t xml:space="preserve"> In contrast, the estimations of all four predictands improve to varying degrees with a larger number of WTs, but this improvement becomes less pronounced as the number of WTs increases (</w:t>
      </w:r>
      <w:r w:rsidR="00E53CFD">
        <w:t xml:space="preserve">Fig. </w:t>
      </w:r>
      <w:r w:rsidRPr="007C4A57">
        <w:t xml:space="preserve">S5). Finally, the model performance turns out to be highly sensitive to the value of </w:t>
      </w:r>
      <m:oMath>
        <m:r>
          <w:rPr>
            <w:rFonts w:ascii="Cambria Math" w:hAnsi="Cambria Math"/>
          </w:rPr>
          <m:t>α</m:t>
        </m:r>
      </m:oMath>
      <w:r w:rsidRPr="007C4A57">
        <w:t xml:space="preserve"> (</w:t>
      </w:r>
      <w:r w:rsidR="00E53CFD">
        <w:t xml:space="preserve">Fig. </w:t>
      </w:r>
      <w:r w:rsidRPr="007C4A57">
        <w:t xml:space="preserve">S6), which represents the relative weight of local environmental information against atmospheric predictors in weather typing. The impact of </w:t>
      </w:r>
      <m:oMath>
        <m:r>
          <w:rPr>
            <w:rFonts w:ascii="Cambria Math" w:hAnsi="Cambria Math"/>
          </w:rPr>
          <m:t>α</m:t>
        </m:r>
      </m:oMath>
      <w:r w:rsidRPr="007C4A57">
        <w:t xml:space="preserve"> is not monotonic. For example,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7C4A57">
        <w:t xml:space="preserve"> is better reproduced as </w:t>
      </w:r>
      <m:oMath>
        <m:r>
          <w:rPr>
            <w:rFonts w:ascii="Cambria Math" w:hAnsi="Cambria Math"/>
          </w:rPr>
          <m:t>α</m:t>
        </m:r>
      </m:oMath>
      <w:r w:rsidRPr="007C4A57">
        <w:t xml:space="preserve"> increases from 0 to 0.6; for </w:t>
      </w:r>
      <m:oMath>
        <m:r>
          <w:rPr>
            <w:rFonts w:ascii="Cambria Math" w:hAnsi="Cambria Math"/>
          </w:rPr>
          <m:t>α</m:t>
        </m:r>
        <m:r>
          <m:rPr>
            <m:sty m:val="p"/>
          </m:rPr>
          <w:rPr>
            <w:rFonts w:ascii="Cambria Math" w:hAnsi="Cambria Math"/>
          </w:rPr>
          <m:t>&gt;0.6</m:t>
        </m:r>
      </m:oMath>
      <w:r w:rsidRPr="007C4A57">
        <w:t xml:space="preserve">, the model does not yield better results with a higher </w:t>
      </w:r>
      <m:oMath>
        <m:r>
          <w:rPr>
            <w:rFonts w:ascii="Cambria Math" w:hAnsi="Cambria Math"/>
          </w:rPr>
          <m:t>α</m:t>
        </m:r>
      </m:oMath>
      <w:r w:rsidRPr="007C4A57">
        <w:t>, even when the model becomes fully supervised (</w:t>
      </w:r>
      <m:oMath>
        <m:r>
          <w:rPr>
            <w:rFonts w:ascii="Cambria Math" w:hAnsi="Cambria Math"/>
          </w:rPr>
          <m:t>α</m:t>
        </m:r>
      </m:oMath>
      <w:r w:rsidRPr="007C4A57">
        <w:t xml:space="preserve">=1). This pattern is also observed for the remaining predictands, with different threshold values ranging between 0.4 and 0.6. Waves seem to be more sensitive to </w:t>
      </w:r>
      <m:oMath>
        <m:r>
          <w:rPr>
            <w:rFonts w:ascii="Cambria Math" w:hAnsi="Cambria Math"/>
          </w:rPr>
          <m:t>α</m:t>
        </m:r>
      </m:oMath>
      <w:r w:rsidRPr="007C4A57">
        <w:t xml:space="preserve"> than surges.</w:t>
      </w:r>
    </w:p>
    <w:p w14:paraId="45CAAFEB" w14:textId="77777777" w:rsidR="00DD6BCA" w:rsidRPr="00AF3A3D" w:rsidRDefault="00DD6BCA" w:rsidP="00DA52D3"/>
    <w:p w14:paraId="29EBBB39" w14:textId="42A7883B" w:rsidR="00351EF1" w:rsidRPr="00DA52D3" w:rsidRDefault="00351EF1" w:rsidP="00E53CFD">
      <w:pPr>
        <w:pStyle w:val="Paragraph"/>
        <w:rPr>
          <w:b/>
          <w:bCs/>
        </w:rPr>
      </w:pPr>
      <w:r w:rsidRPr="00DA52D3">
        <w:rPr>
          <w:b/>
          <w:bCs/>
        </w:rPr>
        <w:t>3.3.2</w:t>
      </w:r>
      <w:r w:rsidRPr="00DA52D3">
        <w:rPr>
          <w:b/>
          <w:bCs/>
        </w:rPr>
        <w:tab/>
        <w:t>Downscaling wind wave and swell</w:t>
      </w:r>
    </w:p>
    <w:p w14:paraId="2BD0A1AA" w14:textId="0AC75100" w:rsidR="00F01D12" w:rsidRPr="004D3A5C" w:rsidRDefault="00F01D12" w:rsidP="00F01D12">
      <w:pPr>
        <w:pStyle w:val="Paragraph"/>
      </w:pPr>
      <w:r w:rsidRPr="004D3A5C">
        <w:t xml:space="preserve">The model sensitivity in </w:t>
      </w:r>
      <w:r>
        <w:t>downscal</w:t>
      </w:r>
      <w:r w:rsidRPr="004D3A5C">
        <w:t xml:space="preserve">ing wind wave and swell is also evaluated to reveal how the impact of each testing </w:t>
      </w:r>
      <w:r w:rsidR="00F951E4">
        <w:t>factor</w:t>
      </w:r>
      <w:r w:rsidRPr="004D3A5C">
        <w:t xml:space="preserve"> differs between these two wave components. </w:t>
      </w:r>
      <w:bookmarkStart w:id="17" w:name="_Hlk174609160"/>
      <w:r w:rsidR="00000664">
        <w:t>For</w:t>
      </w:r>
      <w:r w:rsidRPr="004D3A5C">
        <w:t xml:space="preserve"> predictor variables</w:t>
      </w:r>
      <w:bookmarkEnd w:id="17"/>
      <w:r w:rsidRPr="004D3A5C">
        <w:t xml:space="preserve">, the model </w:t>
      </w:r>
      <w:r w:rsidR="00000664">
        <w:t xml:space="preserve">developed </w:t>
      </w:r>
      <w:r w:rsidRPr="004D3A5C">
        <w:t>with SLP and SLPG exhibits the best overall accuracy (</w:t>
      </w:r>
      <w:r w:rsidR="00E53CFD">
        <w:t>Fig. 10</w:t>
      </w:r>
      <w:r w:rsidRPr="004D3A5C">
        <w:t xml:space="preserve">). </w:t>
      </w:r>
      <w:r w:rsidR="00000664">
        <w:t>Considering the cases with a single variable</w:t>
      </w:r>
      <w:r w:rsidRPr="004D3A5C">
        <w:t xml:space="preserve">, using SLPG alone performs better than </w:t>
      </w:r>
      <w:r w:rsidR="00000664">
        <w:t xml:space="preserve">using </w:t>
      </w:r>
      <w:r w:rsidRPr="004D3A5C">
        <w:t xml:space="preserve">SLP in </w:t>
      </w:r>
      <w:r>
        <w:t>downscal</w:t>
      </w:r>
      <w:r w:rsidRPr="004D3A5C">
        <w:t>ing</w:t>
      </w:r>
      <w:r w:rsidR="00000664">
        <w:t xml:space="preserve"> wind wave</w:t>
      </w:r>
      <w:r w:rsidRPr="004D3A5C">
        <w:t xml:space="preserve"> </w:t>
      </w:r>
      <w:bookmarkStart w:id="18" w:name="_Hlk174609262"/>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4D3A5C">
        <w:t xml:space="preserve"> and </w:t>
      </w:r>
      <m:oMath>
        <m:sSub>
          <m:sSubPr>
            <m:ctrlPr>
              <w:rPr>
                <w:rFonts w:ascii="Cambria Math" w:hAnsi="Cambria Math"/>
              </w:rPr>
            </m:ctrlPr>
          </m:sSubPr>
          <m:e>
            <m:r>
              <w:rPr>
                <w:rFonts w:ascii="Cambria Math" w:hAnsi="Cambria Math"/>
              </w:rPr>
              <m:t>T</m:t>
            </m:r>
          </m:e>
          <m:sub>
            <m:r>
              <w:rPr>
                <w:rFonts w:ascii="Cambria Math" w:hAnsi="Cambria Math"/>
              </w:rPr>
              <m:t>m</m:t>
            </m:r>
          </m:sub>
        </m:sSub>
      </m:oMath>
      <w:bookmarkEnd w:id="18"/>
      <w:r w:rsidRPr="004D3A5C">
        <w:t xml:space="preserve">, with </w:t>
      </w:r>
      <w:r>
        <w:t>result</w:t>
      </w:r>
      <w:r w:rsidRPr="004D3A5C">
        <w:t>s nearly as accurate as th</w:t>
      </w:r>
      <w:r>
        <w:t>ose</w:t>
      </w:r>
      <w:r w:rsidRPr="004D3A5C">
        <w:t xml:space="preserve"> using both predictor variables. Conversely, for wind wave </w:t>
      </w:r>
      <m:oMath>
        <m:sSub>
          <m:sSubPr>
            <m:ctrlPr>
              <w:rPr>
                <w:rFonts w:ascii="Cambria Math" w:hAnsi="Cambria Math"/>
              </w:rPr>
            </m:ctrlPr>
          </m:sSubPr>
          <m:e>
            <m:r>
              <w:rPr>
                <w:rFonts w:ascii="Cambria Math" w:hAnsi="Cambria Math"/>
              </w:rPr>
              <m:t>θ</m:t>
            </m:r>
          </m:e>
          <m:sub>
            <m:r>
              <w:rPr>
                <w:rFonts w:ascii="Cambria Math" w:hAnsi="Cambria Math"/>
              </w:rPr>
              <m:t>m</m:t>
            </m:r>
          </m:sub>
        </m:sSub>
      </m:oMath>
      <w:r w:rsidRPr="004D3A5C">
        <w:t xml:space="preserve">, SLP is more beneficial than SLPG. Unlike wind waves, the difference between SLP and SLPG is not that pronounced in swell. In this case, using both variables is important </w:t>
      </w:r>
      <w:r w:rsidR="00FD38B1">
        <w:t>to achieve</w:t>
      </w:r>
      <w:r w:rsidRPr="004D3A5C">
        <w:t xml:space="preserve"> better model results.</w:t>
      </w:r>
    </w:p>
    <w:p w14:paraId="61676004" w14:textId="324DEF55" w:rsidR="00F01D12" w:rsidRDefault="00F01D12" w:rsidP="00E53CFD">
      <w:pPr>
        <w:pStyle w:val="Paragraph"/>
      </w:pPr>
      <w:r w:rsidRPr="004D3A5C">
        <w:t>In terms of temporal coverage (Fig</w:t>
      </w:r>
      <w:r w:rsidR="00E53CFD">
        <w:t xml:space="preserve">. </w:t>
      </w:r>
      <w:r w:rsidRPr="004D3A5C">
        <w:t>S</w:t>
      </w:r>
      <w:r>
        <w:t>7</w:t>
      </w:r>
      <w:r w:rsidRPr="004D3A5C">
        <w:t xml:space="preserve">), the optimal value varies across different predictands, but wind waves generally favour shorter days, while swell parameters tend to benefit from longer </w:t>
      </w:r>
      <w:r w:rsidR="00657533">
        <w:t>days.</w:t>
      </w:r>
      <w:r w:rsidRPr="004D3A5C">
        <w:t xml:space="preserve"> Specifically, wind wave </w:t>
      </w:r>
      <w:r w:rsidR="009679CD" w:rsidRPr="004D3A5C">
        <w:t>parameters</w:t>
      </w:r>
      <w:r w:rsidR="009679CD" w:rsidRPr="004D3A5C" w:rsidDel="00BE5FD9">
        <w:t xml:space="preserve"> </w:t>
      </w:r>
      <w:r w:rsidRPr="004D3A5C">
        <w:t xml:space="preserve">achieve the best accuracy with a 2-day coverage, and their accuracy gradually decreases with more days included. Swells are better estimated when the predictors are averaged over 3 to 5 days. Among all </w:t>
      </w:r>
      <w:r w:rsidRPr="004D3A5C">
        <w:lastRenderedPageBreak/>
        <w:t xml:space="preserve">predictands, the swell </w:t>
      </w:r>
      <m:oMath>
        <m:sSub>
          <m:sSubPr>
            <m:ctrlPr>
              <w:rPr>
                <w:rFonts w:ascii="Cambria Math" w:hAnsi="Cambria Math"/>
              </w:rPr>
            </m:ctrlPr>
          </m:sSubPr>
          <m:e>
            <m:r>
              <w:rPr>
                <w:rFonts w:ascii="Cambria Math" w:hAnsi="Cambria Math"/>
              </w:rPr>
              <m:t>T</m:t>
            </m:r>
          </m:e>
          <m:sub>
            <m:r>
              <w:rPr>
                <w:rFonts w:ascii="Cambria Math" w:hAnsi="Cambria Math"/>
              </w:rPr>
              <m:t>m</m:t>
            </m:r>
          </m:sub>
        </m:sSub>
      </m:oMath>
      <w:r w:rsidRPr="004D3A5C">
        <w:t xml:space="preserve"> seems to be the most sensitive. This predictand also exhibit</w:t>
      </w:r>
      <w:r>
        <w:t>s</w:t>
      </w:r>
      <w:r w:rsidRPr="004D3A5C">
        <w:t xml:space="preserve"> some sensitivity to </w:t>
      </w:r>
      <w:r>
        <w:t xml:space="preserve">the chosen </w:t>
      </w:r>
      <w:r w:rsidRPr="004D3A5C">
        <w:t xml:space="preserve">spatial domain, as indicated in </w:t>
      </w:r>
      <w:r w:rsidR="00E53CFD">
        <w:t>Fig.</w:t>
      </w:r>
      <w:r w:rsidRPr="004D3A5C">
        <w:t xml:space="preserve"> S</w:t>
      </w:r>
      <w:r>
        <w:t>8</w:t>
      </w:r>
      <w:r w:rsidRPr="004D3A5C">
        <w:t xml:space="preserve">. </w:t>
      </w:r>
      <w:r>
        <w:t>A l</w:t>
      </w:r>
      <w:r w:rsidRPr="004D3A5C">
        <w:t xml:space="preserve">arger domain leads to improved </w:t>
      </w:r>
      <w:r>
        <w:t>estimation</w:t>
      </w:r>
      <w:r w:rsidRPr="004D3A5C">
        <w:t xml:space="preserve">s for swell </w:t>
      </w:r>
      <m:oMath>
        <m:sSub>
          <m:sSubPr>
            <m:ctrlPr>
              <w:rPr>
                <w:rFonts w:ascii="Cambria Math" w:hAnsi="Cambria Math"/>
              </w:rPr>
            </m:ctrlPr>
          </m:sSubPr>
          <m:e>
            <m:r>
              <w:rPr>
                <w:rFonts w:ascii="Cambria Math" w:hAnsi="Cambria Math"/>
              </w:rPr>
              <m:t>T</m:t>
            </m:r>
          </m:e>
          <m:sub>
            <m:r>
              <w:rPr>
                <w:rFonts w:ascii="Cambria Math" w:hAnsi="Cambria Math"/>
              </w:rPr>
              <m:t>m</m:t>
            </m:r>
          </m:sub>
        </m:sSub>
      </m:oMath>
      <w:r>
        <w:t>,</w:t>
      </w:r>
      <w:r w:rsidRPr="004D3A5C">
        <w:t xml:space="preserve"> but the </w:t>
      </w:r>
      <w:r>
        <w:t>remaining</w:t>
      </w:r>
      <w:r w:rsidRPr="004D3A5C">
        <w:t xml:space="preserve"> predictands do not appear to be affected by </w:t>
      </w:r>
      <w:r w:rsidR="00FD38B1">
        <w:t xml:space="preserve">the </w:t>
      </w:r>
      <w:r w:rsidRPr="004D3A5C">
        <w:t xml:space="preserve">spatial </w:t>
      </w:r>
      <w:r>
        <w:t>extent</w:t>
      </w:r>
      <w:r w:rsidRPr="004D3A5C">
        <w:t>. Last</w:t>
      </w:r>
      <w:r>
        <w:t>ly</w:t>
      </w:r>
      <w:r w:rsidRPr="004D3A5C">
        <w:t>, the impact</w:t>
      </w:r>
      <w:r>
        <w:t>s</w:t>
      </w:r>
      <w:r w:rsidRPr="004D3A5C">
        <w:t xml:space="preserve"> of predictor resolution, </w:t>
      </w:r>
      <w:r w:rsidR="001C22A2">
        <w:t xml:space="preserve">the </w:t>
      </w:r>
      <w:r w:rsidRPr="004D3A5C">
        <w:t xml:space="preserve">number of WTs, and </w:t>
      </w:r>
      <w:r w:rsidR="001C22A2">
        <w:t xml:space="preserve">the </w:t>
      </w:r>
      <w:r w:rsidRPr="004D3A5C">
        <w:t xml:space="preserve">value of </w:t>
      </w:r>
      <m:oMath>
        <m:r>
          <w:rPr>
            <w:rFonts w:ascii="Cambria Math" w:hAnsi="Cambria Math"/>
          </w:rPr>
          <m:t>α</m:t>
        </m:r>
      </m:oMath>
      <w:r w:rsidRPr="004D3A5C">
        <w:t xml:space="preserve"> on wind wave and swell </w:t>
      </w:r>
      <w:r>
        <w:t>are</w:t>
      </w:r>
      <w:r w:rsidRPr="004D3A5C">
        <w:t xml:space="preserve"> similar to </w:t>
      </w:r>
      <w:r>
        <w:t xml:space="preserve">those on </w:t>
      </w:r>
      <w:r w:rsidR="001C22A2">
        <w:t xml:space="preserve">the </w:t>
      </w:r>
      <w:r w:rsidRPr="004D3A5C">
        <w:t>total wave</w:t>
      </w:r>
      <w:r>
        <w:t xml:space="preserve"> (</w:t>
      </w:r>
      <w:r w:rsidRPr="00E53CFD">
        <w:t>i.e.</w:t>
      </w:r>
      <w:r>
        <w:t>, without distinguishing wind from swell</w:t>
      </w:r>
      <w:r w:rsidR="00B65149">
        <w:t xml:space="preserve">; </w:t>
      </w:r>
      <w:r w:rsidR="00E53CFD">
        <w:t>Fig.</w:t>
      </w:r>
      <w:r w:rsidRPr="004D3A5C">
        <w:t xml:space="preserve"> S</w:t>
      </w:r>
      <w:r>
        <w:t>9-S11</w:t>
      </w:r>
      <w:r w:rsidRPr="004D3A5C">
        <w:t>).</w:t>
      </w:r>
    </w:p>
    <w:p w14:paraId="6E917DB7" w14:textId="49D83D77" w:rsidR="00F01D12" w:rsidRDefault="00F211E3" w:rsidP="00F01D12">
      <w:pPr>
        <w:spacing w:after="0"/>
      </w:pPr>
      <w:r>
        <w:rPr>
          <w:noProof/>
        </w:rPr>
        <w:pict w14:anchorId="52A5C240">
          <v:shape id="_x0000_i1034" type="#_x0000_t75" style="width:434.25pt;height:255.75pt">
            <v:imagedata r:id="rId19" o:title="wind_swell_level1_v3"/>
          </v:shape>
        </w:pict>
      </w:r>
    </w:p>
    <w:p w14:paraId="54112EEF" w14:textId="180F9EA3" w:rsidR="009B4BE7" w:rsidRDefault="00F01D12" w:rsidP="00C65C8D">
      <w:pPr>
        <w:spacing w:after="0"/>
        <w:rPr>
          <w:rFonts w:cs="Times New Roman"/>
          <w:szCs w:val="24"/>
          <w:lang w:val="en-GB"/>
        </w:rPr>
      </w:pPr>
      <w:r w:rsidRPr="0057572E">
        <w:rPr>
          <w:rFonts w:cs="Times New Roman"/>
          <w:b/>
          <w:bCs/>
          <w:szCs w:val="24"/>
          <w:lang w:val="en-GB"/>
        </w:rPr>
        <w:t>Fig. 10</w:t>
      </w:r>
      <w:r w:rsidRPr="00F01D12">
        <w:rPr>
          <w:rFonts w:cs="Times New Roman"/>
          <w:szCs w:val="24"/>
          <w:lang w:val="en-GB"/>
        </w:rPr>
        <w:t xml:space="preserve"> </w:t>
      </w:r>
      <w:r w:rsidR="00CB1E30">
        <w:rPr>
          <w:rFonts w:cs="Times New Roman"/>
          <w:szCs w:val="24"/>
          <w:lang w:val="en-GB"/>
        </w:rPr>
        <w:t>D</w:t>
      </w:r>
      <w:r w:rsidRPr="00F01D12">
        <w:rPr>
          <w:rFonts w:cs="Times New Roman"/>
          <w:szCs w:val="24"/>
          <w:lang w:val="en-GB"/>
        </w:rPr>
        <w:t>iagrams for comparing model performance in estimating wind wave and swell variables with different predictor variables</w:t>
      </w:r>
      <w:bookmarkStart w:id="19" w:name="OLE_LINK86"/>
      <w:bookmarkStart w:id="20" w:name="OLE_LINK87"/>
      <w:r w:rsidR="00DE279D">
        <w:rPr>
          <w:rFonts w:cs="Times New Roman"/>
          <w:szCs w:val="24"/>
          <w:lang w:val="en-GB"/>
        </w:rPr>
        <w:t xml:space="preserve">. </w:t>
      </w:r>
      <w:bookmarkStart w:id="21" w:name="_Hlk180413122"/>
      <w:r w:rsidR="004D314F">
        <w:rPr>
          <w:rFonts w:cs="Times New Roman"/>
          <w:szCs w:val="24"/>
          <w:lang w:val="en-GB"/>
        </w:rPr>
        <w:t>F</w:t>
      </w:r>
      <w:r w:rsidR="00DE279D">
        <w:rPr>
          <w:rFonts w:cs="Times New Roman"/>
          <w:szCs w:val="24"/>
          <w:lang w:val="en-GB"/>
        </w:rPr>
        <w:t>or detailed explanations</w:t>
      </w:r>
      <w:r w:rsidR="004D314F">
        <w:rPr>
          <w:rFonts w:cs="Times New Roman"/>
          <w:szCs w:val="24"/>
          <w:lang w:val="en-GB"/>
        </w:rPr>
        <w:t>, please refer to Fig. 9</w:t>
      </w:r>
      <w:bookmarkEnd w:id="21"/>
    </w:p>
    <w:p w14:paraId="7D9B609D" w14:textId="77777777" w:rsidR="00C65C8D" w:rsidRPr="00C65C8D" w:rsidRDefault="00C65C8D" w:rsidP="00C65C8D">
      <w:pPr>
        <w:spacing w:after="0"/>
        <w:rPr>
          <w:rFonts w:cs="Times New Roman"/>
          <w:szCs w:val="24"/>
          <w:lang w:val="en-GB"/>
        </w:rPr>
      </w:pPr>
    </w:p>
    <w:p w14:paraId="0CAE4C71" w14:textId="45D9EACA" w:rsidR="00351EF1" w:rsidRDefault="00351EF1" w:rsidP="00351EF1">
      <w:pPr>
        <w:pStyle w:val="Paragraph"/>
        <w:rPr>
          <w:b/>
          <w:bCs/>
        </w:rPr>
      </w:pPr>
      <w:r>
        <w:rPr>
          <w:b/>
          <w:bCs/>
        </w:rPr>
        <w:t>4</w:t>
      </w:r>
      <w:r w:rsidRPr="00351EF1">
        <w:rPr>
          <w:b/>
          <w:bCs/>
        </w:rPr>
        <w:t xml:space="preserve"> </w:t>
      </w:r>
      <w:r>
        <w:rPr>
          <w:b/>
          <w:bCs/>
        </w:rPr>
        <w:t>Discussion</w:t>
      </w:r>
    </w:p>
    <w:p w14:paraId="7DF20891" w14:textId="418E3117" w:rsidR="00154E7D" w:rsidRDefault="0047362D" w:rsidP="00154E7D">
      <w:pPr>
        <w:pStyle w:val="Paragraph"/>
      </w:pPr>
      <w:r>
        <w:t>In this paper</w:t>
      </w:r>
      <w:r w:rsidR="00E95AEC">
        <w:t>,</w:t>
      </w:r>
      <w:r>
        <w:t xml:space="preserve"> we applied a weather typing method to downscale local </w:t>
      </w:r>
      <w:r w:rsidRPr="00B93526">
        <w:t>hazard-related conditions</w:t>
      </w:r>
      <w:r>
        <w:t xml:space="preserve">, including wave climates and storm surges, at the </w:t>
      </w:r>
      <w:r w:rsidRPr="00ED5255">
        <w:t>Hartlepool nuclear power station</w:t>
      </w:r>
      <w:r>
        <w:t>.</w:t>
      </w:r>
      <w:r w:rsidR="001007B9">
        <w:t xml:space="preserve"> </w:t>
      </w:r>
      <w:r w:rsidR="00916BA7">
        <w:t xml:space="preserve">The weather types and their associated distributions </w:t>
      </w:r>
      <w:r w:rsidR="00E95AEC">
        <w:t>offer</w:t>
      </w:r>
      <w:r w:rsidR="00916BA7">
        <w:t xml:space="preserve"> valuable insights into the linkage between regional synoptic circulations and the local response of wave climate and storm surge. For example, the SLP pattern of WT31 (Fig. 6e) resembles the standard positive phase of NAO, which is characterised by strengthened westerlies. Such wind </w:t>
      </w:r>
      <w:r w:rsidR="00916BA7">
        <w:lastRenderedPageBreak/>
        <w:t xml:space="preserve">conditions result in waves mostly coming from the west (Fig. 6g) with larger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916BA7">
        <w:t xml:space="preserve"> than normal conditions (Fig. 5). These waves are mostly young wind seas because the fetch (e.g., the area of ocean over which the wind blows) west of our selected grid node is limited (Fig. 1). On the other hand, the regional atmospheric pressure at Hartlepool in WT31 is relatively low which leads to more positive surges (Fig. 6h) due to the inverse barometer effect </w:t>
      </w:r>
      <w:r w:rsidR="00916BA7">
        <w:fldChar w:fldCharType="begin"/>
      </w:r>
      <w:r w:rsidR="00916BA7">
        <w:instrText xml:space="preserve"> ADDIN ZOTERO_ITEM CSL_CITATION {"citationID":"2IRXegBD","properties":{"formattedCitation":"(Pugh and Woodworth 2014)","plainCitation":"(Pugh and Woodworth 2014)","noteIndex":0},"citationItems":[{"id":2005,"uris":["http://zotero.org/users/10288439/items/N7ULCIE3"],"itemData":{"id":2005,"type":"chapter","container-title":"Sea-Level Science: Understanding Tides, Surges, Tsunamis and Mean Sea-Level Changes","event-place":"Cambridge","ISBN":"978-1-107-02819-7","note":"DOI: 10.1017/CBO9781139235778.010","page":"155-188","publisher":"Cambridge University Press","publisher-place":"Cambridge","source":"Cambridge University Press","title":"Storm surges, meteotsunamis and other meteorological effects on sea level","URL":"https://www.cambridge.org/core/books/sealevel-science/storm-surges-meteotsunamis-and-other-meteorological-effects-on-sea-level/22AC2D4A3F5A489678CC096F56B80D8B","editor":[{"family":"Pugh","given":"David"},{"family":"Woodworth","given":"Philip"}],"accessed":{"date-parts":[["2024",8,21]]},"issued":{"date-parts":[["2014"]]}}}],"schema":"https://github.com/citation-style-language/schema/raw/master/csl-citation.json"} </w:instrText>
      </w:r>
      <w:r w:rsidR="00916BA7">
        <w:fldChar w:fldCharType="separate"/>
      </w:r>
      <w:r w:rsidR="00916BA7" w:rsidRPr="00AF5447">
        <w:t>(Pugh and Woodworth 2014)</w:t>
      </w:r>
      <w:r w:rsidR="00916BA7">
        <w:fldChar w:fldCharType="end"/>
      </w:r>
      <w:r w:rsidR="00916BA7">
        <w:t xml:space="preserve">. Additionally, the higher frequency of extreme storms in positive NAO phases </w:t>
      </w:r>
      <w:r w:rsidR="00916BA7">
        <w:fldChar w:fldCharType="begin"/>
      </w:r>
      <w:r w:rsidR="00916BA7">
        <w:instrText xml:space="preserve"> ADDIN ZOTERO_ITEM CSL_CITATION {"citationID":"2NUQylmf","properties":{"formattedCitation":"(Pinto et al. 2009)","plainCitation":"(Pinto et al. 2009)","noteIndex":0},"citationItems":[{"id":1637,"uris":["http://zotero.org/users/10288439/items/GI9XLNBS"],"itemData":{"id":1637,"type":"article-journal","abstract":"The occurrence of extreme cyclones is analysed in terms of their relationship to the NAO phase and the dominating environmental variables controlling their intensification. These are latent energy (equivalent potential temperature 850 hPa is used as an indicator), upper-air baroclinicity, horizontal divergence and jet stream strength. Cyclones over the North Atlantic are identified and tracked using a numerical algorithm, permitting a detailed analysis of their life cycles. Extreme cyclones are selected as the 10% most severe in terms of intensity. Investigations focus on the main strengthening phase of each cyclone. The environmental factors are related to the NAO, which affects the location and orientation of the cyclone tracks, thus explaining why extreme cyclones occur more (less) frequently during strong positive (negative) NAO phases. The enhanced number of extreme cyclones in positive NAO phases can be explained by the larger area with suitable growth conditions, which is better aligned with the cyclone tracks and is associated with increased cyclone life time and intensity. Moreover, strong intensification of cyclones is frequently linked to the occurrence of extreme values of growth factors in the immediate vicinity of the cyclone centre. Similar results are found for ECHAM5/OM1 for present day conditions, demonstrating that relationships between the environment factors and cyclones are also valid in the GCM. For future climate conditions (following the SRES A1B scenario), the results are similar, but a small increase of the frequency of extreme values is detected near the cyclone cores. On the other hand, total cyclone numbers decrease by 10% over the North Atlantic. An exception is the region near the British Isles, which features increased track density and intensity of extreme cyclones irrespective of the NAO phase. These changes are associated with an intensified jet stream close to Europe. Moreover, an enhanced frequency of explosive developments over the British Isles is found, leading to more frequent windstorms affecting Europe.","container-title":"Climate Dynamics","DOI":"10.1007/s00382-008-0396-4","ISSN":"1432-0894","issue":"5","journalAbbreviation":"Clim Dyn","language":"en","page":"711-737","source":"Springer Link","title":"Factors contributing to the development of extreme North Atlantic cyclones and their relationship with the NAO","volume":"32","author":[{"family":"Pinto","given":"Joaquim G."},{"family":"Zacharias","given":"Stefan"},{"family":"Fink","given":"Andreas H."},{"family":"Leckebusch","given":"Gregor C."},{"family":"Ulbrich","given":"Uwe"}],"issued":{"date-parts":[["2009",4,1]]}}}],"schema":"https://github.com/citation-style-language/schema/raw/master/csl-citation.json"} </w:instrText>
      </w:r>
      <w:r w:rsidR="00916BA7">
        <w:fldChar w:fldCharType="separate"/>
      </w:r>
      <w:r w:rsidR="00916BA7" w:rsidRPr="008A7BA2">
        <w:t>(Pinto et al. 2009)</w:t>
      </w:r>
      <w:r w:rsidR="00916BA7">
        <w:fldChar w:fldCharType="end"/>
      </w:r>
      <w:r w:rsidR="00916BA7">
        <w:t xml:space="preserve"> likely contributes to the increased probability of large surges.</w:t>
      </w:r>
    </w:p>
    <w:p w14:paraId="60CD255A" w14:textId="72B05A4D" w:rsidR="00916BA7" w:rsidRPr="00154E7D" w:rsidRDefault="00916BA7" w:rsidP="00760C68">
      <w:pPr>
        <w:pStyle w:val="Paragraph"/>
      </w:pPr>
      <w:r w:rsidRPr="00644F00">
        <w:t xml:space="preserve">In addition to providing intuitive understanding of the local impact of regional synoptic systems, the statistical relationships represented by the WTs and their corresponding empirical distributions are the foundation for predicting local sea state conditions in </w:t>
      </w:r>
      <w:r w:rsidR="00E95AEC" w:rsidRPr="00644F00">
        <w:t>practical</w:t>
      </w:r>
      <w:r w:rsidRPr="00644F00">
        <w:t xml:space="preserve"> applications. In this work, we validate</w:t>
      </w:r>
      <w:r w:rsidR="00E95AEC" w:rsidRPr="00644F00">
        <w:t>d</w:t>
      </w:r>
      <w:r w:rsidRPr="00644F00">
        <w:t xml:space="preserve"> the model’s ability to estimate multiple sea state parameters</w:t>
      </w:r>
      <w:r w:rsidR="00DB023A">
        <w:t>,</w:t>
      </w:r>
      <w:r w:rsidR="00414285">
        <w:t xml:space="preserve"> </w:t>
      </w:r>
      <w:r w:rsidR="006C520F">
        <w:t>includ</w:t>
      </w:r>
      <w:r w:rsidR="00B63A54">
        <w:t>ing</w:t>
      </w:r>
      <w:r w:rsidR="00DB023A">
        <w:t xml:space="preserve"> both the mean and extreme conditions.</w:t>
      </w:r>
      <w:r w:rsidR="00865726">
        <w:t xml:space="preserve"> </w:t>
      </w:r>
      <w:r w:rsidR="00307D8B" w:rsidRPr="00307D8B">
        <w:rPr>
          <w:lang w:val="en-US"/>
        </w:rPr>
        <w:t>While the model performs well in predicting mean wave conditions and extreme storm surges, its accuracy in estimating extreme wave height remains limited</w:t>
      </w:r>
      <w:r w:rsidR="009906F1">
        <w:rPr>
          <w:lang w:val="en-US"/>
        </w:rPr>
        <w:t xml:space="preserve">. </w:t>
      </w:r>
      <w:r w:rsidR="00361D0D">
        <w:rPr>
          <w:lang w:val="en-US"/>
        </w:rPr>
        <w:t xml:space="preserve">This limitation could stem from several </w:t>
      </w:r>
      <w:r w:rsidR="00F54A97">
        <w:rPr>
          <w:lang w:val="en-US"/>
        </w:rPr>
        <w:t>factors</w:t>
      </w:r>
      <w:r w:rsidR="00361D0D">
        <w:rPr>
          <w:lang w:val="en-US"/>
        </w:rPr>
        <w:t xml:space="preserve">: </w:t>
      </w:r>
      <w:r w:rsidR="00F54A97" w:rsidRPr="00F54A97">
        <w:rPr>
          <w:lang w:val="en-US"/>
        </w:rPr>
        <w:t xml:space="preserve">(1) the use of mean wave height rather than extreme conditions (such as daily maxima) in the regression-guided classification; (2) the model's dependence on historical extreme events associated with each WT, which is constrained by dataset length; and (3) the </w:t>
      </w:r>
      <w:r w:rsidR="0027108C">
        <w:rPr>
          <w:lang w:val="en-US"/>
        </w:rPr>
        <w:t>consideration</w:t>
      </w:r>
      <w:r w:rsidR="00F54A97" w:rsidRPr="00F54A97">
        <w:rPr>
          <w:lang w:val="en-US"/>
        </w:rPr>
        <w:t xml:space="preserve"> of all hourly values in</w:t>
      </w:r>
      <w:r w:rsidR="0027108C">
        <w:rPr>
          <w:lang w:val="en-US"/>
        </w:rPr>
        <w:t xml:space="preserve"> </w:t>
      </w:r>
      <w:r w:rsidR="00F54A97" w:rsidRPr="00F54A97">
        <w:rPr>
          <w:lang w:val="en-US"/>
        </w:rPr>
        <w:t>develop</w:t>
      </w:r>
      <w:r w:rsidR="0027108C">
        <w:rPr>
          <w:lang w:val="en-US"/>
        </w:rPr>
        <w:t>ing the empirical distributions</w:t>
      </w:r>
      <w:r w:rsidR="00F54A97" w:rsidRPr="00F54A97">
        <w:rPr>
          <w:lang w:val="en-US"/>
        </w:rPr>
        <w:t>, which may not suit extreme event model</w:t>
      </w:r>
      <w:r w:rsidR="0027108C">
        <w:rPr>
          <w:lang w:val="en-US"/>
        </w:rPr>
        <w:t>l</w:t>
      </w:r>
      <w:r w:rsidR="00F54A97" w:rsidRPr="00F54A97">
        <w:rPr>
          <w:lang w:val="en-US"/>
        </w:rPr>
        <w:t>ing</w:t>
      </w:r>
      <w:r w:rsidR="001B74CF" w:rsidRPr="001B74CF">
        <w:t>.</w:t>
      </w:r>
      <w:r w:rsidR="00AC224C">
        <w:t xml:space="preserve"> </w:t>
      </w:r>
      <w:r w:rsidR="00AC224C" w:rsidRPr="00AC224C">
        <w:t xml:space="preserve">A </w:t>
      </w:r>
      <w:r w:rsidR="00C10479">
        <w:t>potential</w:t>
      </w:r>
      <w:r w:rsidR="00AC224C" w:rsidRPr="00AC224C">
        <w:t xml:space="preserve"> way to improve performance on extremes is to</w:t>
      </w:r>
      <w:r w:rsidR="00417A33">
        <w:t xml:space="preserve"> focus on daily maximum predictands rather than all hourly values </w:t>
      </w:r>
      <w:r w:rsidR="00417A33" w:rsidRPr="00AC224C">
        <w:t>of each WT</w:t>
      </w:r>
      <w:r w:rsidR="00C10479">
        <w:t>,</w:t>
      </w:r>
      <w:r w:rsidR="00111F31">
        <w:t xml:space="preserve"> </w:t>
      </w:r>
      <w:r w:rsidR="00417A33">
        <w:t xml:space="preserve">fit </w:t>
      </w:r>
      <w:r w:rsidR="0027108C">
        <w:t>p</w:t>
      </w:r>
      <w:r w:rsidR="00417A33">
        <w:t>robability</w:t>
      </w:r>
      <w:r w:rsidR="00417A33" w:rsidRPr="00AC224C">
        <w:t xml:space="preserve"> distribution</w:t>
      </w:r>
      <w:r w:rsidR="00417A33">
        <w:t xml:space="preserve"> functions to model their potential of extreme</w:t>
      </w:r>
      <w:r w:rsidR="00C10479">
        <w:t>, and incorporate</w:t>
      </w:r>
      <w:r w:rsidR="00C10479" w:rsidRPr="00AC224C">
        <w:t xml:space="preserve"> th</w:t>
      </w:r>
      <w:r w:rsidR="00C10479">
        <w:t>e</w:t>
      </w:r>
      <w:r w:rsidR="00C10479" w:rsidRPr="00AC224C">
        <w:t>se fitted distributions in</w:t>
      </w:r>
      <w:r w:rsidR="00C10479">
        <w:t>to</w:t>
      </w:r>
      <w:r w:rsidR="00C10479" w:rsidRPr="00AC224C">
        <w:t xml:space="preserve"> model </w:t>
      </w:r>
      <w:r w:rsidR="00C10479">
        <w:t>simulation</w:t>
      </w:r>
      <w:r w:rsidR="00C10479" w:rsidRPr="00AC224C">
        <w:t xml:space="preserve">s instead of </w:t>
      </w:r>
      <w:r w:rsidR="00C10479">
        <w:t>relying on</w:t>
      </w:r>
      <w:r w:rsidR="00C10479" w:rsidRPr="00AC224C">
        <w:t xml:space="preserve"> empirical ones</w:t>
      </w:r>
      <w:r w:rsidR="00111F31">
        <w:t>.</w:t>
      </w:r>
      <w:r w:rsidR="0027108C">
        <w:t xml:space="preserve"> This approach has been successfully implemented by</w:t>
      </w:r>
      <w:r w:rsidR="00111F31">
        <w:t xml:space="preserve"> </w:t>
      </w:r>
      <w:r w:rsidR="00111F31">
        <w:fldChar w:fldCharType="begin"/>
      </w:r>
      <w:r w:rsidR="00111F31">
        <w:instrText xml:space="preserve"> ADDIN ZOTERO_ITEM CSL_CITATION {"citationID":"63FPVXRa","properties":{"custom":"Rueda et al. (2016) and Lucio et al. (2020)","formattedCitation":"Rueda et al. (2016) and Lucio et al. (2020)","plainCitation":"Rueda et al. (2016) and Lucio et al. (2020)","noteIndex":0},"citationItems":[{"id":879,"uris":["http://zotero.org/users/10288439/items/C3E7LQPS"],"itemData":{"id":879,"type":"article-journal","abstract":"Coastal floods often coincide with large waves, storm surge and tides. Thus, joint probability methods are needed to properly characterize extreme sea levels. This work introduces a statistical downscaling framework for multivariate extremes that relates the non-stationary behavior of coastal flooding events to the occurrence probability of daily weather patterns. The proposed method is based on recently-developed weather-type methods to predict extreme events (e.g., significant wave height, mean wave period, surge level) from large-scale sea-level pressure fields. For each weather type, variables of interest are modeled using Generalized Extreme Value (GEV) distributions and a Gaussian copula for modelling the interdependence between variables. The statistical dependence between consecutive days is addressed by defining a climate-based extremal index for each weather type. This work allows attribution of extreme events to specific weather conditions, enhancing the knowledge of climate-driven coastal flooding.","container-title":"Ocean Modelling","DOI":"10.1016/j.ocemod.2016.06.008","ISSN":"1463-5003","journalAbbreviation":"Ocean Modelling","language":"en","note":"rate: 3","page":"242-251","source":"ScienceDirect","title":"A multivariate extreme wave and storm surge climate emulator based on weather patterns","volume":"104","author":[{"family":"Rueda","given":"A."},{"family":"Camus","given":"P."},{"family":"Tomás","given":"A."},{"family":"Vitousek","given":"S."},{"family":"Méndez","given":"F. J."}],"issued":{"date-parts":[["2016",8,1]]}},"label":"page"},{"id":783,"uris":["http://zotero.org/users/10288439/items/9WR2XJAP"],"itemData":{"id":783,"type":"article-journal","abstract":"Port development – as key aspect of sustained economic growth – implies large investments in coastal structures, increasing the risk of structural failures and operational stoppages due to coastal hazards. Then, this paper presents a new approach to statistically characterize and simulate the long-term wave climate to be applied in port risk assessment methodologies in a context of uncertainty. As a starting-point, the weather types framework is used, relating the multivariate and non-stationary climate conditions in an ocean site (the so-called predictand) to continuous-time Markov process of large-scale sea-level pressure and sea-level pressure gradient fields (the so-called predictor). Based on the predictor–predictand relationship, a comprehensive framework composed by three interlinking stochastic models is developed. Firstly, a statistical model describing the predictor is introduced. It is based on identifying representative daily mean synoptic circulation patterns (the so-called Weather Types, WTs) and its probabilistic chronology model at monthly time-scale. Secondly, a multivariate statistical model for the daily predictand is characterized by Gaussian copulas at WT-scale. Thirdly, a multivariate statistical model for downscaling predictand variables to hourly time-scale from daily data is developed. The results highlight that the proposed methodology is a powerful tool for coastal structures applications because disruptive events inducing reliability, functionality and operability failures can be studied simultaneously. The proposed climate-emulator models the long-term wave climate at hourly time-resolution but with a properly and accurate extreme value distribution, taking into account that the local wave climate variables are cross-correlated (4-dimensional compound events), auto-correlated (at daily time-scale) and non-stationary (intra-annual variability). The model is applied at a location in the South West of the Mediterranean basin for emulating wave and storm surge drivers. A cross-validation procedure is applied to verify accuracy of the model, showing a good agreement of the simulated data with the validation samples.","container-title":"Coastal Engineering","DOI":"10.1016/j.coastaleng.2020.103771","ISSN":"0378-3839","journalAbbreviation":"Coastal Engineering","language":"en","page":"103771","source":"ScienceDirect","title":"Stochastic modeling of long-term wave climate based on weather patterns for coastal structures applications","volume":"161","author":[{"family":"Lucio","given":"D."},{"family":"Tomás","given":"A."},{"family":"Lara","given":"J. L."},{"family":"Camus","given":"P."},{"family":"Losada","given":"I. J."}],"issued":{"date-parts":[["2020",10,1]]}},"label":"page"}],"schema":"https://github.com/citation-style-language/schema/raw/master/csl-citation.json"} </w:instrText>
      </w:r>
      <w:r w:rsidR="00111F31">
        <w:fldChar w:fldCharType="separate"/>
      </w:r>
      <w:r w:rsidR="00111F31" w:rsidRPr="00111F31">
        <w:t>Rueda et al. (2016) and Lucio et al. (2020)</w:t>
      </w:r>
      <w:r w:rsidR="00111F31">
        <w:fldChar w:fldCharType="end"/>
      </w:r>
      <w:r w:rsidR="00111F31">
        <w:t xml:space="preserve"> </w:t>
      </w:r>
      <w:r w:rsidR="00C10479" w:rsidRPr="00C10479">
        <w:rPr>
          <w:lang w:val="en-US"/>
        </w:rPr>
        <w:t>in their stochastic weather emulators to better simulate extreme events</w:t>
      </w:r>
      <w:r w:rsidR="00760C68">
        <w:t xml:space="preserve">, and will be considered in our future work when the focus </w:t>
      </w:r>
      <w:r w:rsidR="00760C68" w:rsidRPr="00760C68">
        <w:rPr>
          <w:lang w:val="en-US"/>
        </w:rPr>
        <w:t>shifts to</w:t>
      </w:r>
      <w:r w:rsidR="00760C68">
        <w:rPr>
          <w:lang w:val="en-US"/>
        </w:rPr>
        <w:t xml:space="preserve"> </w:t>
      </w:r>
      <w:r w:rsidR="00760C68">
        <w:t xml:space="preserve">simulating the impact of extreme events. </w:t>
      </w:r>
      <w:r w:rsidR="00C10479">
        <w:t xml:space="preserve">In this </w:t>
      </w:r>
      <w:r w:rsidR="00760C68">
        <w:t>study</w:t>
      </w:r>
      <w:r w:rsidR="00C10479">
        <w:t xml:space="preserve">, the objective is </w:t>
      </w:r>
      <w:r w:rsidR="0027108C">
        <w:t xml:space="preserve">to </w:t>
      </w:r>
      <w:r w:rsidR="00760C68">
        <w:t>evaluate</w:t>
      </w:r>
      <w:r w:rsidR="0027108C">
        <w:t xml:space="preserve"> the overall capa</w:t>
      </w:r>
      <w:r w:rsidR="00760C68">
        <w:t>bility</w:t>
      </w:r>
      <w:r w:rsidR="0027108C">
        <w:t xml:space="preserve"> of the method</w:t>
      </w:r>
      <w:r w:rsidR="008A3667">
        <w:t>.</w:t>
      </w:r>
      <w:r w:rsidR="005C3685">
        <w:t xml:space="preserve"> </w:t>
      </w:r>
      <w:r w:rsidR="008A3667">
        <w:t>O</w:t>
      </w:r>
      <w:r w:rsidRPr="00644F00">
        <w:t>ur validation confirms the</w:t>
      </w:r>
      <w:r w:rsidR="008A3667">
        <w:t>se</w:t>
      </w:r>
      <w:r w:rsidRPr="00644F00">
        <w:t xml:space="preserve"> statistical relationships as reliable indicators of sea state </w:t>
      </w:r>
      <w:r w:rsidRPr="00644F00">
        <w:lastRenderedPageBreak/>
        <w:t xml:space="preserve">conditions associated with specific WTs, which enables proactive risk management. </w:t>
      </w:r>
      <w:r w:rsidR="009760DB">
        <w:t>For instance, w</w:t>
      </w:r>
      <w:r w:rsidRPr="00644F00">
        <w:t>hen weather forecasts predict WTs linked to elevated storm surge levels or intensified wave activity, nuclear power stations can implement timely preparedness measures to avoid or mitigate potential damages.</w:t>
      </w:r>
      <w:r>
        <w:t xml:space="preserve"> </w:t>
      </w:r>
    </w:p>
    <w:p w14:paraId="1F28F3AE" w14:textId="2D5B0893" w:rsidR="00F01D12" w:rsidRDefault="004C10FA" w:rsidP="00F01D12">
      <w:pPr>
        <w:pStyle w:val="Paragraph"/>
      </w:pPr>
      <w:r>
        <w:t>In t</w:t>
      </w:r>
      <w:r w:rsidR="00F01D12">
        <w:t>he sensitivity analysis</w:t>
      </w:r>
      <w:r>
        <w:t>,</w:t>
      </w:r>
      <w:r w:rsidR="00F01D12">
        <w:t xml:space="preserve"> </w:t>
      </w:r>
      <w:r>
        <w:t xml:space="preserve">we </w:t>
      </w:r>
      <w:r w:rsidR="00A82AA0">
        <w:t>evaluate</w:t>
      </w:r>
      <w:r w:rsidR="00E95AEC">
        <w:t>d</w:t>
      </w:r>
      <w:r w:rsidR="00F01D12">
        <w:t xml:space="preserve"> </w:t>
      </w:r>
      <w:r w:rsidR="00A82AA0">
        <w:t>the</w:t>
      </w:r>
      <w:r w:rsidR="00F01D12">
        <w:t xml:space="preserve"> importan</w:t>
      </w:r>
      <w:r w:rsidR="00A82AA0">
        <w:t>ce of different factors</w:t>
      </w:r>
      <w:r w:rsidR="00F01D12">
        <w:t xml:space="preserve"> to the downscaling </w:t>
      </w:r>
      <w:r>
        <w:t>of</w:t>
      </w:r>
      <w:r w:rsidR="00F01D12">
        <w:t xml:space="preserve"> local wave climates and storm surges. First, the selection of predictor variables is fundamental, as they should capture the primary driving mechanisms influencing the local predictands. Previous work has </w:t>
      </w:r>
      <w:r w:rsidR="0023428F">
        <w:t>used</w:t>
      </w:r>
      <w:r w:rsidR="00F01D12">
        <w:t xml:space="preserve"> regional SLP and SLPG to downscale local wave climates</w:t>
      </w:r>
      <w:r w:rsidR="00B65149">
        <w:t xml:space="preserve"> </w:t>
      </w:r>
      <w:r w:rsidR="00B65149">
        <w:fldChar w:fldCharType="begin"/>
      </w:r>
      <w:r w:rsidR="00B65149">
        <w:instrText xml:space="preserve"> ADDIN ZOTERO_ITEM CSL_CITATION {"citationID":"lT78YY4l","properties":{"formattedCitation":"(Wang et al. 2012; Casas-Prat et al. 2014; Camus et al. 2014b)","plainCitation":"(Wang et al. 2012; Casas-Prat et al. 2014; Camus et al. 2014b)","noteIndex":0},"citationItems":[{"id":1677,"uris":["http://zotero.org/users/10288439/items/IGJEJ5QX"],"itemData":{"id":1677,"type":"article-journal","abstract":"This study reports on the 1871–2010 trends in significant wave heights (Hs) in the North Atlantic, as statistically reconstructed from the 20th century reanalysis (20CR) ensemble of mean sea level pressure (SLP) fields. The 20CR SLP data set for the North Atlantic has been reported to be homogeneous since 1871, although it has discontinuities before 1949 in other regions. A multivariate regression model with lagged dependent variable is used to represent the SLP-Hsrelationship. It is calibrated and validated using the ERA-Interim reanalysis ofHs and SLP for the period 1981–2010.Trends in the reconstructed annual mean and maximum Hs are found to be consistent with those derived from two dynamical wave reanalysis data sets (MSC50 and ERA40), which indicates robustness of the trend estimates. The trend patterns of extreme Hsgenerally feature increases in the northeast North Atlantic with decreases in the mid-latitudes; but there are seasonal variations. The main features of the patterns of trends over the last half century or so are also seen in the last 140-yr period (1871–2010). However, the trend magnitudes are much greater in the last half century than in the 140 years.","container-title":"Geophysical Research Letters","DOI":"10.1029/2012GL053381","ISSN":"1944-8007","issue":"18","language":"en","license":"Published in 2012 by the American Geophysical Union","note":"_eprint: https://onlinelibrary.wiley.com/doi/pdf/10.1029/2012GL053381","source":"Wiley Online Library","title":"North Atlantic wave height trends as reconstructed from the 20th century reanalysis","URL":"https://onlinelibrary.wiley.com/doi/abs/10.1029/2012GL053381","volume":"39","author":[{"family":"Wang","given":"Xiaolan L."},{"family":"Feng","given":"Yang"},{"family":"Swail","given":"V. R."}],"accessed":{"date-parts":[["2024",4,29]]},"issued":{"date-parts":[["2012"]]}}},{"id":1133,"uris":["http://zotero.org/users/10288439/items/I5436KP7"],"itemData":{"id":1133,"type":"article-journal","abstract":"This study proposes a computationally inexpensive statistical method for modeling ocean wave heights, focusing particularly on modeling wave heights in near-shore areas. A multiple linear regression is used to predict significant wave heights (Hs) using predictors derived from the sea level pressure (SLP) field, including the use of squared SLP gradients to represent geostrophic winds. One time step lagged Hs is also included as a predictor, which could be interpreted as the first order derivative in the spectral energy balance governing equation. Further, based on the frequency/directional dispersion theory of waves, the swell component is accounted for by using a set of selected principal components derived from the squared SLP gradient vectors (including magnitudes and directions). The effect of non-Gaussian (non-negative) variables is also assessed by applying two types of transformation to the data. The proposed method is evaluated and shown to have good skills for the study area (Catalan coast). This method can be used to project possible future wave climate change for use in coastal impact assessment studies. It is used in this study to project the wave climate for the study area that corresponds to 5 sets of regional climate model (RCM) atmospheric projections, which were made by different RCMs forced by the same global circulation model (GCM), or by the same RCM forced by two GCMs. For the season analyzed (winter), the results show that the uncertainty due to using different GCMs to drive the same RCM is greater than that due to using different RCMs driven by the same GCM.","container-title":"Ocean Modelling","DOI":"10.1016/j.ocemod.2013.10.008","ISSN":"1463-5003","journalAbbreviation":"Ocean Modelling","language":"en","note":"rate: 3","page":"59-75","source":"ScienceDirect","title":"A physical-based statistical method for modeling ocean wave heights","volume":"73","author":[{"family":"Casas-Prat","given":"Mercè"},{"family":"Wang","given":"Xiaolan L."},{"family":"Sierra","given":"Joan P."}],"issued":{"date-parts":[["2014",1,1]]}}},{"id":246,"uris":["http://zotero.org/users/10288439/items/2U8Q7KBN"],"itemData":{"id":246,"type":"article-journal","container-title":"Journal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J."},{"family":"Medina","given":"Raúl"}],"issued":{"date-parts":[["2014",11]]}}}],"schema":"https://github.com/citation-style-language/schema/raw/master/csl-citation.json"} </w:instrText>
      </w:r>
      <w:r w:rsidR="00B65149">
        <w:fldChar w:fldCharType="separate"/>
      </w:r>
      <w:r w:rsidR="00282A3B" w:rsidRPr="00282A3B">
        <w:t>(Wang et al. 2012; Casas-Prat et al. 2014; Camus et al. 2014b)</w:t>
      </w:r>
      <w:r w:rsidR="00B65149">
        <w:fldChar w:fldCharType="end"/>
      </w:r>
      <w:r w:rsidR="00F01D12">
        <w:t xml:space="preserve"> as well as storm surges </w:t>
      </w:r>
      <w:r w:rsidR="00B65149">
        <w:fldChar w:fldCharType="begin"/>
      </w:r>
      <w:r w:rsidR="00B65149">
        <w:instrText xml:space="preserve"> ADDIN ZOTERO_ITEM CSL_CITATION {"citationID":"Ofp9pgjd","properties":{"formattedCitation":"(Rueda et al. 2016; Costa et al. 2020)","plainCitation":"(Rueda et al. 2016; Costa et al. 2020)","noteIndex":0},"citationItems":[{"id":879,"uris":["http://zotero.org/users/10288439/items/C3E7LQPS"],"itemData":{"id":879,"type":"article-journal","abstract":"Coastal floods often coincide with large waves, storm surge and tides. Thus, joint probability methods are needed to properly characterize extreme sea levels. This work introduces a statistical downscaling framework for multivariate extremes that relates the non-stationary behavior of coastal flooding events to the occurrence probability of daily weather patterns. The proposed method is based on recently-developed weather-type methods to predict extreme events (e.g., significant wave height, mean wave period, surge level) from large-scale sea-level pressure fields. For each weather type, variables of interest are modeled using Generalized Extreme Value (GEV) distributions and a Gaussian copula for modelling the interdependence between variables. The statistical dependence between consecutive days is addressed by defining a climate-based extremal index for each weather type. This work allows attribution of extreme events to specific weather conditions, enhancing the knowledge of climate-driven coastal flooding.","container-title":"Ocean Modelling","DOI":"10.1016/j.ocemod.2016.06.008","ISSN":"1463-5003","journalAbbreviation":"Ocean Modelling","language":"en","note":"rate: 3","page":"242-251","source":"ScienceDirect","title":"A multivariate extreme wave and storm surge climate emulator based on weather patterns","volume":"104","author":[{"family":"Rueda","given":"A."},{"family":"Camus","given":"P."},{"family":"Tomás","given":"A."},{"family":"Vitousek","given":"S."},{"family":"Méndez","given":"F. J."}],"issued":{"date-parts":[["2016",8,1]]}}},{"id":781,"uris":["http://zotero.org/users/10288439/items/DFY9R2ZT"],"itemData":{"id":781,"type":"article-journal","abstract":"Increasing our capacity to predict extreme storm surges is one of the key issues in terms of coastal flood risk prevention and adaptation. Dynamically forecasting storm surges is computationally expensive. Here, we focus on an alternative data-driven approach and set up a weather-type statistical downscaling for daily maximum storm surge (SS) prediction, using atmospheric hindcasts (CFSR and CFSv2) and 15 years of tidal gauge station measurements. We focus on predicting the storm surge at La Rochelle–La Pallice tidal gauge station. First, based on a sensitivity analysis to the various parameters of the weather-type approach, we find that the model configuration providing the best performance in SS prediction relies on a fully supervised classification using minimum daily sea level pressure (SLP) and maximum SLP gradient, with 1° resolution in the northeast Atlantic domain as the predictor. Second, we compare the resulting optimal model with the inverse barometer approach and other statistical models (multi-linear regression; semi-supervised and unsupervised weather-types based approaches). The optimal configuration provides more accurate predictions for extreme storm surges, but also the capacity to identify unusual atmospheric storm patterns that can lead to extreme storm surges, as the Xynthia storm for instance (a decrease in the maximum absolute error of 50%).","container-title":"Journal of Marine Science and Engineering","DOI":"10.3390/jmse8121028","ISSN":"2077-1312","issue":"12","language":"en","license":"http://creativecommons.org/licenses/by/3.0/","note":"number: 12\npublisher: Multidisciplinary Digital Publishing Institute\nrate: 5","page":"1028","source":"www.mdpi.com","title":"Statistical Prediction of Extreme Storm Surges Based on a Fully Supervised Weather-Type Downscaling Model","volume":"8","author":[{"family":"Costa","given":"Wagner"},{"family":"Idier","given":"Déborah"},{"family":"Rohmer","given":"Jérémy"},{"family":"Menendez","given":"Melisa"},{"family":"Camus","given":"Paula"}],"issued":{"date-parts":[["2020",12]]}}}],"schema":"https://github.com/citation-style-language/schema/raw/master/csl-citation.json"} </w:instrText>
      </w:r>
      <w:r w:rsidR="00B65149">
        <w:fldChar w:fldCharType="separate"/>
      </w:r>
      <w:r w:rsidR="00282A3B" w:rsidRPr="00282A3B">
        <w:t>(Rueda et al. 2016; Costa et al. 2020)</w:t>
      </w:r>
      <w:r w:rsidR="00B65149">
        <w:fldChar w:fldCharType="end"/>
      </w:r>
      <w:r w:rsidR="00F01D12">
        <w:t xml:space="preserve">. Our results demonstrate the added value of using both predictors in wave and surge downscaling, compared to using either one individually. SLPG is shown to be more relevant than SLP for estimating wind wave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F01D12">
        <w:t xml:space="preserve"> and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00F01D12">
        <w:t xml:space="preserve">. This is reasonable as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F01D12">
        <w:t xml:space="preserve"> can be estimated from wind speed in a fully developed sea state</w:t>
      </w:r>
      <w:r w:rsidR="00046D4A">
        <w:t xml:space="preserve"> </w:t>
      </w:r>
      <w:r w:rsidR="00046D4A">
        <w:fldChar w:fldCharType="begin"/>
      </w:r>
      <w:r w:rsidR="00046D4A">
        <w:instrText xml:space="preserve"> ADDIN ZOTERO_ITEM CSL_CITATION {"citationID":"AcCFlls6","properties":{"formattedCitation":"(Janssen et al. 2002)","plainCitation":"(Janssen et al. 2002)","noteIndex":0},"citationItems":[{"id":1890,"uris":["http://zotero.org/users/10288439/items/UTQA8NKN"],"itemData":{"id":1890,"type":"article-journal","container-title":"Advances in Fluid Mechanics","ISSN":"1353-808X","journalAbbreviation":"Advances in Fluid Mechanics","note":"publisher: COMPUTATIONAL MECHANICS PUBLICATIONS-WIT PRESS","page":"155-198","title":"Impact and feedback of ocean waves on the atmosphere","volume":"33","author":[{"family":"Janssen","given":"PAEM"},{"family":"Doyle","given":"James D"},{"family":"Bidlot","given":"J"},{"family":"Hansen","given":"Björn"},{"family":"Isaksen","given":"Lars"},{"family":"Viterbo","given":"Pedro"}],"issued":{"date-parts":[["2002"]]}}}],"schema":"https://github.com/citation-style-language/schema/raw/master/csl-citation.json"} </w:instrText>
      </w:r>
      <w:r w:rsidR="00046D4A">
        <w:fldChar w:fldCharType="separate"/>
      </w:r>
      <w:r w:rsidR="00282A3B" w:rsidRPr="00282A3B">
        <w:t>(Janssen et al. 2002)</w:t>
      </w:r>
      <w:r w:rsidR="00046D4A">
        <w:fldChar w:fldCharType="end"/>
      </w:r>
      <w:r w:rsidR="00F01D12">
        <w:t xml:space="preserve">, while SLPG is closely related to the geostrophic winds and is often used as a proxy for surface wind </w:t>
      </w:r>
      <w:r w:rsidR="00046D4A">
        <w:fldChar w:fldCharType="begin"/>
      </w:r>
      <w:r w:rsidR="00046D4A">
        <w:instrText xml:space="preserve"> ADDIN ZOTERO_ITEM CSL_CITATION {"citationID":"lxVTqsc8","properties":{"formattedCitation":"(Casas-Prat et al. 2014)","plainCitation":"(Casas-Prat et al. 2014)","noteIndex":0},"citationItems":[{"id":1133,"uris":["http://zotero.org/users/10288439/items/I5436KP7"],"itemData":{"id":1133,"type":"article-journal","abstract":"This study proposes a computationally inexpensive statistical method for modeling ocean wave heights, focusing particularly on modeling wave heights in near-shore areas. A multiple linear regression is used to predict significant wave heights (Hs) using predictors derived from the sea level pressure (SLP) field, including the use of squared SLP gradients to represent geostrophic winds. One time step lagged Hs is also included as a predictor, which could be interpreted as the first order derivative in the spectral energy balance governing equation. Further, based on the frequency/directional dispersion theory of waves, the swell component is accounted for by using a set of selected principal components derived from the squared SLP gradient vectors (including magnitudes and directions). The effect of non-Gaussian (non-negative) variables is also assessed by applying two types of transformation to the data. The proposed method is evaluated and shown to have good skills for the study area (Catalan coast). This method can be used to project possible future wave climate change for use in coastal impact assessment studies. It is used in this study to project the wave climate for the study area that corresponds to 5 sets of regional climate model (RCM) atmospheric projections, which were made by different RCMs forced by the same global circulation model (GCM), or by the same RCM forced by two GCMs. For the season analyzed (winter), the results show that the uncertainty due to using different GCMs to drive the same RCM is greater than that due to using different RCMs driven by the same GCM.","container-title":"Ocean Modelling","DOI":"10.1016/j.ocemod.2013.10.008","ISSN":"1463-5003","journalAbbreviation":"Ocean Modelling","language":"en","note":"rate: 3","page":"59-75","source":"ScienceDirect","title":"A physical-based statistical method for modeling ocean wave heights","volume":"73","author":[{"family":"Casas-Prat","given":"Mercè"},{"family":"Wang","given":"Xiaolan L."},{"family":"Sierra","given":"Joan P."}],"issued":{"date-parts":[["2014",1,1]]}}}],"schema":"https://github.com/citation-style-language/schema/raw/master/csl-citation.json"} </w:instrText>
      </w:r>
      <w:r w:rsidR="00046D4A">
        <w:fldChar w:fldCharType="separate"/>
      </w:r>
      <w:r w:rsidR="00282A3B" w:rsidRPr="00282A3B">
        <w:t>(Casas-Prat et al. 2014)</w:t>
      </w:r>
      <w:r w:rsidR="00046D4A">
        <w:fldChar w:fldCharType="end"/>
      </w:r>
      <w:r w:rsidR="00F01D12">
        <w:t xml:space="preserve">. On the other hand, SLPG is relatively less useful for wind wave direction </w:t>
      </w:r>
      <m:oMath>
        <m:sSub>
          <m:sSubPr>
            <m:ctrlPr>
              <w:rPr>
                <w:rFonts w:ascii="Cambria Math" w:hAnsi="Cambria Math"/>
                <w:i/>
              </w:rPr>
            </m:ctrlPr>
          </m:sSubPr>
          <m:e>
            <m:r>
              <w:rPr>
                <w:rFonts w:ascii="Cambria Math" w:hAnsi="Cambria Math"/>
              </w:rPr>
              <m:t>θ</m:t>
            </m:r>
          </m:e>
          <m:sub>
            <m:r>
              <w:rPr>
                <w:rFonts w:ascii="Cambria Math" w:hAnsi="Cambria Math"/>
              </w:rPr>
              <m:t>m</m:t>
            </m:r>
          </m:sub>
        </m:sSub>
      </m:oMath>
      <w:r w:rsidR="006C524D">
        <w:t>,</w:t>
      </w:r>
      <w:r w:rsidR="00F01D12">
        <w:t xml:space="preserve"> possibly because it relates to the magnitude of wind speed and lacks directional information. The explanatory power of wind has been demonstrated by </w:t>
      </w:r>
      <w:r w:rsidR="00046D4A">
        <w:fldChar w:fldCharType="begin"/>
      </w:r>
      <w:r w:rsidR="00654B0F">
        <w:instrText xml:space="preserve"> ADDIN ZOTERO_ITEM CSL_CITATION {"citationID":"VvHrsUVt","properties":{"custom":"Wang et al. (2010)","formattedCitation":"Wang et al. (2010)","plainCitation":"Wang et al. (2010)","noteIndex":0},"citationItems":[{"id":1689,"uris":["http://zotero.org/users/10288439/items/X2PF4UPX"],"itemData":{"id":1689,"type":"article-journal","abstract":"In this study, dynamical and statistical downscaling methods for estimating seasonal statistics of significant wave heights (SWH) were intercompared, with the downscaling results being evaluated against the ERA40 wave data in terms of climatological characteristics and interannual variability. It was also shown that biases in climate-model-simulated climate and variability of the atmospheric circulation (or predictors in general) can result in large biases in the estimated climate and variability of SWH (or the predictand in general), and that such biases can be effectively diminished by using standardized predictor quantities in statistical downscaling models. In dynamical downscaling, however, model variability biases remain to be dealt with, whereas the effects of model climate biases can be reduced to some extent by replacing the climate-model-simulated wind climate with the observed one. Therefore, the dynamical approach was found to be not as good as the statistical methods in terms of reproducing the observed climate and interannual variability of the predictand, although it bears substantial similarity to the statistical methods in terms of projected possible future changes. Also, it was shown that the observed interannual variability of seasonal statistics (including extremes) can be better reproduced by using 12-hourly, rather than seasonal, data in statistical downscaling. This stresses the importance of availability of higher-resolution data from climate model outputs. Nevertheless, a non-stationary extreme value model with covariates was found to be the best in reproducing the observed climate of extremes. All the statistical downscaling methods and the intercomparison results are applicable to other climate variables (not limited to ocean wave heights). Copyright © 2009 Crown in the right of Canada. Published by John Wiley &amp; Sons, Ltd.","container-title":"International Journal of Climatology","DOI":"10.1002/joc.1899","ISSN":"1097-0088","issue":"3","language":"en","note":"_eprint: https://onlinelibrary.wiley.com/doi/pdf/10.1002/joc.1899","page":"317-332","source":"Wiley Online Library","title":"Dynamical versus statistical downscaling methods for ocean wave heights","volume":"30","author":[{"family":"Wang","given":"Xiaolan L."},{"family":"Swail","given":"Val R."},{"family":"Cox","given":"Andrew"}],"issued":{"date-parts":[["2010"]]}}}],"schema":"https://github.com/citation-style-language/schema/raw/master/csl-citation.json"} </w:instrText>
      </w:r>
      <w:r w:rsidR="00046D4A">
        <w:fldChar w:fldCharType="separate"/>
      </w:r>
      <w:r w:rsidR="00654B0F" w:rsidRPr="00654B0F">
        <w:t>Wang et al. (2010)</w:t>
      </w:r>
      <w:r w:rsidR="00046D4A">
        <w:fldChar w:fldCharType="end"/>
      </w:r>
      <w:r w:rsidR="00F01D12">
        <w:t xml:space="preserve">, who suggested the use of the wind-based predictor alone is sufficient to represent the relationship between atmospheric conditions and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F01D12">
        <w:t>. However, SLP fields are less biased than wind in climate models</w:t>
      </w:r>
      <w:r w:rsidR="00046D4A">
        <w:t xml:space="preserve"> </w:t>
      </w:r>
      <w:r w:rsidR="00046D4A">
        <w:fldChar w:fldCharType="begin"/>
      </w:r>
      <w:r w:rsidR="00046D4A">
        <w:instrText xml:space="preserve"> ADDIN ZOTERO_ITEM CSL_CITATION {"citationID":"ub2KjF1t","properties":{"formattedCitation":"(Wang et al. 2010)","plainCitation":"(Wang et al. 2010)","noteIndex":0},"citationItems":[{"id":1689,"uris":["http://zotero.org/users/10288439/items/X2PF4UPX"],"itemData":{"id":1689,"type":"article-journal","abstract":"In this study, dynamical and statistical downscaling methods for estimating seasonal statistics of significant wave heights (SWH) were intercompared, with the downscaling results being evaluated against the ERA40 wave data in terms of climatological characteristics and interannual variability. It was also shown that biases in climate-model-simulated climate and variability of the atmospheric circulation (or predictors in general) can result in large biases in the estimated climate and variability of SWH (or the predictand in general), and that such biases can be effectively diminished by using standardized predictor quantities in statistical downscaling models. In dynamical downscaling, however, model variability biases remain to be dealt with, whereas the effects of model climate biases can be reduced to some extent by replacing the climate-model-simulated wind climate with the observed one. Therefore, the dynamical approach was found to be not as good as the statistical methods in terms of reproducing the observed climate and interannual variability of the predictand, although it bears substantial similarity to the statistical methods in terms of projected possible future changes. Also, it was shown that the observed interannual variability of seasonal statistics (including extremes) can be better reproduced by using 12-hourly, rather than seasonal, data in statistical downscaling. This stresses the importance of availability of higher-resolution data from climate model outputs. Nevertheless, a non-stationary extreme value model with covariates was found to be the best in reproducing the observed climate of extremes. All the statistical downscaling methods and the intercomparison results are applicable to other climate variables (not limited to ocean wave heights). Copyright © 2009 Crown in the right of Canada. Published by John Wiley &amp; Sons, Ltd.","container-title":"International Journal of Climatology","DOI":"10.1002/joc.1899","ISSN":"1097-0088","issue":"3","language":"en","note":"_eprint: https://onlinelibrary.wiley.com/doi/pdf/10.1002/joc.1899","page":"317-332","source":"Wiley Online Library","title":"Dynamical versus statistical downscaling methods for ocean wave heights","volume":"30","author":[{"family":"Wang","given":"Xiaolan L."},{"family":"Swail","given":"Val R."},{"family":"Cox","given":"Andrew"}],"issued":{"date-parts":[["2010"]]}}}],"schema":"https://github.com/citation-style-language/schema/raw/master/csl-citation.json"} </w:instrText>
      </w:r>
      <w:r w:rsidR="00046D4A">
        <w:fldChar w:fldCharType="separate"/>
      </w:r>
      <w:r w:rsidR="00282A3B" w:rsidRPr="00282A3B">
        <w:t>(Wang et al. 2010)</w:t>
      </w:r>
      <w:r w:rsidR="00046D4A">
        <w:fldChar w:fldCharType="end"/>
      </w:r>
      <w:r w:rsidR="00F01D12">
        <w:t>, which leads to the common use of SLP-based predictors in SD models</w:t>
      </w:r>
      <w:r w:rsidR="00046D4A">
        <w:t xml:space="preserve"> </w:t>
      </w:r>
      <w:r w:rsidR="00046D4A">
        <w:fldChar w:fldCharType="begin"/>
      </w:r>
      <w:r w:rsidR="00046D4A">
        <w:instrText xml:space="preserve"> ADDIN ZOTERO_ITEM CSL_CITATION {"citationID":"jvbGFsBY","properties":{"formattedCitation":"(Wang et al. 2012; Camus et al. 2014b; Neal et al. 2016)","plainCitation":"(Wang et al. 2012; Camus et al. 2014b; Neal et al. 2016)","noteIndex":0},"citationItems":[{"id":1677,"uris":["http://zotero.org/users/10288439/items/IGJEJ5QX"],"itemData":{"id":1677,"type":"article-journal","abstract":"This study reports on the 1871–2010 trends in significant wave heights (Hs) in the North Atlantic, as statistically reconstructed from the 20th century reanalysis (20CR) ensemble of mean sea level pressure (SLP) fields. The 20CR SLP data set for the North Atlantic has been reported to be homogeneous since 1871, although it has discontinuities before 1949 in other regions. A multivariate regression model with lagged dependent variable is used to represent the SLP-Hsrelationship. It is calibrated and validated using the ERA-Interim reanalysis ofHs and SLP for the period 1981–2010.Trends in the reconstructed annual mean and maximum Hs are found to be consistent with those derived from two dynamical wave reanalysis data sets (MSC50 and ERA40), which indicates robustness of the trend estimates. The trend patterns of extreme Hsgenerally feature increases in the northeast North Atlantic with decreases in the mid-latitudes; but there are seasonal variations. The main features of the patterns of trends over the last half century or so are also seen in the last 140-yr period (1871–2010). However, the trend magnitudes are much greater in the last half century than in the 140 years.","container-title":"Geophysical Research Letters","DOI":"10.1029/2012GL053381","ISSN":"1944-8007","issue":"18","language":"en","license":"Published in 2012 by the American Geophysical Union","note":"_eprint: https://onlinelibrary.wiley.com/doi/pdf/10.1029/2012GL053381","source":"Wiley Online Library","title":"North Atlantic wave height trends as reconstructed from the 20th century reanalysis","URL":"https://onlinelibrary.wiley.com/doi/abs/10.1029/2012GL053381","volume":"39","author":[{"family":"Wang","given":"Xiaolan L."},{"family":"Feng","given":"Yang"},{"family":"Swail","given":"V. R."}],"accessed":{"date-parts":[["2024",4,29]]},"issued":{"date-parts":[["2012"]]}}},{"id":246,"uris":["http://zotero.org/users/10288439/items/2U8Q7KBN"],"itemData":{"id":246,"type":"article-journal","container-title":"Journal of Geophysical Research: Oceans","DOI":"10.1002/2014JC010141","ISSN":"21699275","issue":"11","journalAbbreviation":"J. Geophys. Res. Oceans","language":"en","note":"rate: 5","page":"7389-7405","source":"DOI.org (Crossref)","title":"A weather-type statistical downscaling framework for ocean wave climate","volume":"119","author":[{"family":"Camus","given":"Paula"},{"family":"Menéndez","given":"Melisa"},{"family":"Méndez","given":"Fernando J."},{"family":"Izaguirre","given":"Cristina"},{"family":"Espejo","given":"Antonio"},{"family":"Cánovas","given":"Verónica"},{"family":"Pérez","given":"Jorge"},{"family":"Rueda","given":"Ana"},{"family":"Losada","given":"Inigo J."},{"family":"Medina","given":"Raúl"}],"issued":{"date-parts":[["2014",11]]}}},{"id":1268,"uris":["http://zotero.org/users/10288439/items/SRDF4845"],"itemData":{"id":1268,"type":"article-journal","abstract":"A method is presented for deriving weather patterns objectively over an area of interest, in this case the UK and surrounding European area. A set of 30 and eight patterns are derived through k-means clustering of daily mean sea level pressure (MSLP) data (1850–2003). These patterns have been designed for the purpose of post-processing forecast output from ensemble prediction systems and understanding how forecast models perform under different circulation types. The 30 weather patterns are designed for use in the medium-range and the eight weather patterns are designed for use in the monthly and seasonal timescales, or when there is low forecast confidence in the medium-range. Weather patterns are numbered according to their annual historic occurrences, with lower numbered patterns occurring most often. Lower numbered patterns occur more in summer (with weak MSLP anomalies) and higher numbered patterns occur more in winter (with strong MSLP anomalies). Weather patterns have been applied i</w:instrText>
      </w:r>
      <w:r w:rsidR="00046D4A" w:rsidRPr="00DA52D3">
        <w:rPr>
          <w:lang w:val="fr-FR"/>
        </w:rPr>
        <w:instrText xml:space="preserve">n a weather forecasting context, whereby ensemble members are assigned to the closest matching pattern definition. This provides a probabilistic insight into which patterns are most likely within the forecast range and summarises key aspects from the large volumes of data which ensembles provide. Verification of European Centre for Medium-Range Weather Forecasts medium-range ensemble forecasts for the set of eight weather patterns shows small forecast biases annually with some large variations seasonally. The most prominent seasonal variation shows the westerly (NAO+) pattern to over-forecast in summer and under-forecast in winter. Forecast skill was found to be better in winter than summer for most patterns.","container-title":"Meteorological Applications","DOI":"10.1002/met.1563","ISSN":"1469-8080","issue":"3","language":"en","license":"© 2016 Crown Copyright, Met Office. Meteorological Applications © 2016 Royal Meteorological Society","note":"_eprint: https://onlinelibrary.wiley.com/doi/pdf/10.1002/met.1563\nrate: 4","page":"389-400","source":"Wiley Online Library","title":"A flexible approach to defining weather patterns and their application in weather forecasting over Europe","volume":"23","author":[{"family":"Neal","given":"Robert"},{"family":"Fereday","given":"David"},{"family":"Crocker","given":"Ric"},{"family":"Comer","given":"Ruth E."}],"issued":{"date-parts":[["2016"]]}}}],"schema":"https://github.com/citation-style-language/schema/raw/master/csl-citation.json"} </w:instrText>
      </w:r>
      <w:r w:rsidR="00046D4A">
        <w:fldChar w:fldCharType="separate"/>
      </w:r>
      <w:r w:rsidR="00282A3B" w:rsidRPr="00DA52D3">
        <w:rPr>
          <w:lang w:val="fr-FR"/>
        </w:rPr>
        <w:t>(Wang et al. 2012; Camus et al. 2014b; Neal et al. 2016)</w:t>
      </w:r>
      <w:r w:rsidR="00046D4A">
        <w:fldChar w:fldCharType="end"/>
      </w:r>
      <w:r w:rsidR="00F01D12" w:rsidRPr="00DA52D3">
        <w:rPr>
          <w:lang w:val="fr-FR"/>
        </w:rPr>
        <w:t xml:space="preserve">. </w:t>
      </w:r>
      <w:r w:rsidR="00F01D12">
        <w:t xml:space="preserve">Variations in the definition of SLP-based predictors were found in the literature. For example, </w:t>
      </w:r>
      <w:r w:rsidR="00046D4A">
        <w:fldChar w:fldCharType="begin"/>
      </w:r>
      <w:r w:rsidR="00654B0F">
        <w:instrText xml:space="preserve"> ADDIN ZOTERO_ITEM CSL_CITATION {"citationID":"gCYNBw9N","properties":{"custom":"Costa et al. (2020)","formattedCitation":"Costa et al. (2020)","plainCitation":"Costa et al. (2020)","noteIndex":0},"citationItems":[{"id":781,"uris":["http://zotero.org/users/10288439/items/DFY9R2ZT"],"itemData":{"id":781,"type":"article-journal","abstract":"Increasing our capacity to predict extreme storm surges is one of the key issues in terms of coastal flood risk prevention and adaptation. Dynamically forecasting storm surges is computationally expensive. Here, we focus on an alternative data-driven approach and set up a weather-type statistical downscaling for daily maximum storm surge (SS) prediction, using atmospheric hindcasts (CFSR and CFSv2) and 15 years of tidal gauge station measurements. We focus on predicting the storm surge at La Rochelle–La Pallice tidal gauge station. First, based on a sensitivity analysis to the various parameters of the weather-type approach, we find that the model configuration providing the best performance in SS prediction relies on a fully supervised classification using minimum daily sea level pressure (SLP) and maximum SLP gradient, with 1° resolution in the northeast Atlantic domain as the predictor. Second, we compare the resulting optimal model with the inverse barometer approach and other statistical models (multi-linear regression; semi-supervised and unsupervised weather-types based approaches). The optimal configuration provides more accurate predictions for extreme storm surges, but also the capacity to identify unusual atmospheric storm patterns that can lead to extreme storm surges, as the Xynthia storm for instance (a decrease in the maximum absolute error of 50%).","container-title":"Journal of Marine Science and Engineering","DOI":"10.3390/jmse8121028","ISSN":"2077-1312","issue":"12","language":"en","license":"http://creativecommons.org/licenses/by/3.0/","note":"number: 12\npublisher: Multidisciplinary Digital Publishing Institute\nrate: 5","page":"1028","source":"www.mdpi.com","title":"Statistical Prediction of Extreme Storm Surges Based on a Fully Supervised Weather-Type Downscaling Model","volume":"8","author":[{"family":"Costa","given":"Wagner"},{"family":"Idier","given":"Déborah"},{"family":"Rohmer","given":"Jérémy"},{"family":"Menendez","given":"Melisa"},{"family":"Camus","given":"Paula"}],"issued":{"date-parts":[["2020",12]]}}}],"schema":"https://github.com/citation-style-language/schema/raw/master/csl-citation.json"} </w:instrText>
      </w:r>
      <w:r w:rsidR="00046D4A">
        <w:fldChar w:fldCharType="separate"/>
      </w:r>
      <w:r w:rsidR="00654B0F" w:rsidRPr="00654B0F">
        <w:t>Costa et al. (2020)</w:t>
      </w:r>
      <w:r w:rsidR="00046D4A">
        <w:fldChar w:fldCharType="end"/>
      </w:r>
      <w:r w:rsidR="00F01D12">
        <w:t xml:space="preserve"> used daily minimum SLP and daily maximum SLPG to downscale daily maximum storm surges. This definition is perhaps more suitable for extreme conditions than the commonly used mean values, although they did not present a comparison to that effect. Moreover, </w:t>
      </w:r>
      <w:r w:rsidR="00046D4A">
        <w:fldChar w:fldCharType="begin"/>
      </w:r>
      <w:r w:rsidR="00654B0F">
        <w:instrText xml:space="preserve"> ADDIN ZOTERO_ITEM CSL_CITATION {"citationID":"fbRXzwvr","properties":{"custom":"Wang et al. (2010)","formattedCitation":"Wang et al. (2010)","plainCitation":"Wang et al. (2010)","noteIndex":0},"citationItems":[{"id":1689,"uris":["http://zotero.org/users/10288439/items/X2PF4UPX"],"itemData":{"id":1689,"type":"article-journal","abstract":"In this study, dynamical and statistical downscaling methods for estimating seasonal statistics of significant wave heights (SWH) were intercompared, with the downscaling results being evaluated against the ERA40 wave data in terms of climatological characteristics and interannual variability. It was also shown that biases in climate-model-simulated climate and variability of the atmospheric circulation (or predictors in general) can result in large biases in the estimated climate and variability of SWH (or the predictand in general), and that such biases can be effectively diminished by using standardized predictor quantities in statistical downscaling models. In dynamical downscaling, however, model variability biases remain to be dealt with, whereas the effects of model climate biases can be reduced to some extent by replacing the climate-model-simulated wind climate with the observed one. Therefore, the dynamical approach was found to be not as good as the statistical methods in terms of reproducing the observed climate and interannual variability of the predictand, although it bears substantial similarity to the statistical methods in terms of projected possible future changes. Also, it was shown that the observed interannual variability of seasonal statistics (including extremes) can be better reproduced by using 12-hourly, rather than seasonal, data in statistical downscaling. This stresses the importance of availability of higher-resolution data from climate model outputs. Nevertheless, a non-stationary extreme value model with covariates was found to be the best in reproducing the observed climate of extremes. All the statistical downscaling methods and the intercomparison results are applicable to other climate variables (not limited to ocean wave heights). Copyright © 2009 Crown in the right of Canada. Published by John Wiley &amp; Sons, Ltd.","container-title":"International Journal of Climatology","DOI":"10.1002/joc.1899","ISSN":"1097-0088","issue":"3","language":"en","note":"_eprint: https://onlinelibrary.wiley.com/doi/pdf/10.1002/joc.1899","page":"317-332","source":"Wiley Online Library","title":"Dynamical versus statistical downscaling methods for ocean wave heights","volume":"30","author":[{"family":"Wang","given":"Xiaolan L."},{"family":"Swail","given":"Val R."},{"family":"Cox","given":"Andrew"}],"issued":{"date-parts":[["2010"]]}}}],"schema":"https://github.com/citation-style-language/schema/raw/master/csl-citation.json"} </w:instrText>
      </w:r>
      <w:r w:rsidR="00046D4A">
        <w:fldChar w:fldCharType="separate"/>
      </w:r>
      <w:r w:rsidR="00654B0F" w:rsidRPr="00654B0F">
        <w:t>Wang et al. (2010)</w:t>
      </w:r>
      <w:r w:rsidR="00046D4A">
        <w:fldChar w:fldCharType="end"/>
      </w:r>
      <w:r w:rsidR="00F01D12">
        <w:t xml:space="preserve"> suggested t</w:t>
      </w:r>
      <w:r w:rsidR="00F01D12" w:rsidRPr="007A3881">
        <w:t>he use of predictor anomalies</w:t>
      </w:r>
      <w:r w:rsidR="00F01D12">
        <w:t xml:space="preserve"> </w:t>
      </w:r>
      <w:r w:rsidR="00F01D12" w:rsidRPr="007A3881">
        <w:t>instead of predictor values</w:t>
      </w:r>
      <w:r w:rsidR="00F01D12">
        <w:t xml:space="preserve"> to</w:t>
      </w:r>
      <w:r w:rsidR="00F01D12" w:rsidRPr="007A3881">
        <w:t xml:space="preserve"> </w:t>
      </w:r>
      <w:r w:rsidR="00F01D12">
        <w:t>reduce</w:t>
      </w:r>
      <w:r w:rsidR="00F01D12" w:rsidRPr="007A3881">
        <w:t xml:space="preserve"> the effects of model climate bias</w:t>
      </w:r>
      <w:r w:rsidR="00F01D12">
        <w:t xml:space="preserve">. This adjustment is possibly equivalent </w:t>
      </w:r>
      <w:r w:rsidR="00F01D12">
        <w:lastRenderedPageBreak/>
        <w:t xml:space="preserve">to standardising the predictor, as </w:t>
      </w:r>
      <w:r w:rsidR="00F80D3E">
        <w:t xml:space="preserve">presented </w:t>
      </w:r>
      <w:r w:rsidR="00F01D12">
        <w:t>in our work.</w:t>
      </w:r>
      <w:r w:rsidR="00525806">
        <w:t xml:space="preserve"> The effect of these variations in predict</w:t>
      </w:r>
      <w:r w:rsidR="009850EB">
        <w:t>or</w:t>
      </w:r>
      <w:r w:rsidR="00525806">
        <w:t xml:space="preserve"> definition </w:t>
      </w:r>
      <w:r w:rsidR="009850EB">
        <w:t>is not within the scope of this research. Future work may consider these aspects by doing similar sensitivity analysis or fitting regression models to improve the predictor definition.</w:t>
      </w:r>
      <w:r w:rsidR="00525806">
        <w:t xml:space="preserve"> </w:t>
      </w:r>
    </w:p>
    <w:p w14:paraId="01192571" w14:textId="5822452F" w:rsidR="00F01D12" w:rsidRDefault="00F01D12" w:rsidP="00F01D12">
      <w:pPr>
        <w:pStyle w:val="Paragraph"/>
      </w:pPr>
      <w:r>
        <w:t xml:space="preserve">The spatial and temporal scales used to define predictors are also crucial factors to consider </w:t>
      </w:r>
      <w:r w:rsidR="00046D4A">
        <w:fldChar w:fldCharType="begin"/>
      </w:r>
      <w:r w:rsidR="00046D4A">
        <w:instrText xml:space="preserve"> ADDIN ZOTERO_ITEM CSL_CITATION {"citationID":"wYN33tXa","properties":{"formattedCitation":"(Camus et al. 2014a)","plainCitation":"(Camus et al. 2014a)","noteIndex":0},"citationItems":[{"id":607,"uris":["http://zotero.org/users/10288439/items/98TIAY6C"],"itemData":{"id":607,"type":"article-journal","abstract":"In this study, a method to obtain local wave predictor indices that take into account the wave generation process is described and applied to several locations. The method is based on a statistical model that relates significant wave height with an atmospheric predictor, defined by sea level pressure fields. The predictor is composed of a local and a regional part, representing the sea and the swell wave components, respectively. The spatial domain of the predictor is determined using the Evaluation of Source and Travel-time of wave Energy reaching a Local Area (ESTELA) method. The regional component of the predictor includes the recent historical atmospheric conditions responsible for the swell wave component at the target point. The regional predictor component has a historical temporal coverage (n-days) different to the local predictor component (daily coverage). Principal component analysis is applied to the daily predictor in order to detect the dominant variability patterns and their temporal coefficients. Multivariate regression model, fitted at daily scale for different n-days of the regional predictor, determines the optimum historical coverage. The monthly wave predictor indices are selected applying a regression model using the monthly values of the principal components of the daily predictor, with the optimum temporal coverage for the regional predictor. The daily predictor can be used in wave climate projections, while the monthly predictor can help to understand wave climate variability or long-term coastal morphodynamic anomalies.","container-title":"Ocean Dynamics","DOI":"10.1007/s10236-014-0737-2","ISSN":"1616-7228","issue":"7","journalAbbreviation":"Ocean Dynamics","language":"en","note":"rate: 4","page":"1025-1038","source":"Springer Link","title":"A method for finding the optimal predictor indices for local wave climate conditions","volume":"64","author":[{"family":"Camus","given":"Paula"},{"family":"Méndez","given":"Fernando J."},{"family":"Losada","given":"Inigo J."},{"family":"Menéndez","given":"Melisa"},{"family":"Espejo","given":"Antonio"},{"family":"Pérez","given":"Jorge"},{"family":"Rueda","given":"Ana"},{"family":"Guanche","given":"Yanira"}],"issued":{"date-parts":[["2014",7,1]]}}}],"schema":"https://github.com/citation-style-language/schema/raw/master/csl-citation.json"} </w:instrText>
      </w:r>
      <w:r w:rsidR="00046D4A">
        <w:fldChar w:fldCharType="separate"/>
      </w:r>
      <w:r w:rsidR="00282A3B" w:rsidRPr="00282A3B">
        <w:t>(Camus et al. 2014a)</w:t>
      </w:r>
      <w:r w:rsidR="00046D4A">
        <w:fldChar w:fldCharType="end"/>
      </w:r>
      <w:r w:rsidR="00837E0F">
        <w:t>.</w:t>
      </w:r>
      <w:r>
        <w:t xml:space="preserve"> </w:t>
      </w:r>
      <w:r w:rsidR="00837E0F">
        <w:t>W</w:t>
      </w:r>
      <w:r>
        <w:t>aves observed at the coast</w:t>
      </w:r>
      <w:r w:rsidR="00837E0F">
        <w:t xml:space="preserve"> usually comprise wind waves and swell waves. Swell waves</w:t>
      </w:r>
      <w:r>
        <w:t xml:space="preserve"> can be generated from a faraway location and the weather conditions responsible for developing those waves may have occurred several days prior. Similarly, storms that cause local surges can originate from a distant place, travel for several days before reaching the site, and last for some time. Consequently, synoptic conditions over the primary region of wave or storm generation and during the average travel time are often required to downscale local sea state conditions. In our case, most waves reaching Hartlepool originate from the North Sea, which is included in all three domains tested in the sensitivity analysis. This explains the marginal differences among their wave estimations, as a larger domain does not provide much more relevant information in this case. </w:t>
      </w:r>
      <w:r w:rsidR="004D6921">
        <w:t xml:space="preserve">For a given spatial domain, the waves generated at different locations do not arrive at the coast </w:t>
      </w:r>
      <w:r w:rsidR="00DD72EE">
        <w:t>at</w:t>
      </w:r>
      <w:r w:rsidR="004D6921">
        <w:t xml:space="preserve"> the same time.</w:t>
      </w:r>
      <w:r w:rsidR="00DD72EE">
        <w:t xml:space="preserve"> When we include more days of atmospheric conditions into the predictor definition, the waves generated further away from our site (and thus have longer travel time) are more likely to be captured. These waves are</w:t>
      </w:r>
      <w:r w:rsidR="00F30B0E">
        <w:t xml:space="preserve"> mostly</w:t>
      </w:r>
      <w:r w:rsidR="00DD72EE">
        <w:t xml:space="preserve"> swells</w:t>
      </w:r>
      <w:r w:rsidR="00F30B0E">
        <w:t>, which</w:t>
      </w:r>
      <w:r w:rsidR="00DD72EE">
        <w:t xml:space="preserve"> explain</w:t>
      </w:r>
      <w:r w:rsidR="00F30B0E">
        <w:t xml:space="preserve">s the improvement in swell parameters with longer temporal coverage. The increased accuracy in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00F30B0E">
        <w:t xml:space="preserve"> is also likely due to a better representation of swell. Wind waves, on the other hand, are more linked to short-term atmospheric conditions. When more days are included, the detailed information contained in those more recent days is smoothed out, leading to decreased model performance. </w:t>
      </w:r>
      <w:r w:rsidR="00A42397">
        <w:t>Consequently, t</w:t>
      </w:r>
      <w:r>
        <w:t>he optimal spatial domain and temporal coverage of predictors depends on the predictand of interest.</w:t>
      </w:r>
      <w:r w:rsidR="006510D0">
        <w:t xml:space="preserve"> </w:t>
      </w:r>
      <w:r>
        <w:t>To achieve the most accuracy for both wave components, one may consider using two</w:t>
      </w:r>
      <w:r w:rsidR="00172562">
        <w:t xml:space="preserve"> or more</w:t>
      </w:r>
      <w:r>
        <w:t xml:space="preserve"> predictors with different </w:t>
      </w:r>
      <w:r w:rsidR="00F500EF">
        <w:t>spatial and temporal definitions</w:t>
      </w:r>
      <w:r>
        <w:t xml:space="preserve"> </w:t>
      </w:r>
      <w:r w:rsidR="00046D4A">
        <w:fldChar w:fldCharType="begin"/>
      </w:r>
      <w:r w:rsidR="00046D4A">
        <w:instrText xml:space="preserve"> ADDIN ZOTERO_ITEM CSL_CITATION {"citationID":"8HWXikSz","properties":{"formattedCitation":"(Camus et al. 2014a; Hegermiller et al. 2017)","plainCitation":"(Camus et al. 2014a; Hegermiller et al. 2017)","noteIndex":0},"citationItems":[{"id":607,"uris":["http://zotero.org/users/10288439/items/98TIAY6C"],"itemData":{"id":607,"type":"article-journal","abstract":"In this study, a method to obtain local wave predictor indices that take into account the wave generation process is described and applied to several locations. The method is based on a statistical model that relates significant wave height with an atmospheric predictor, defined by sea level pressure fields. The predictor is composed of a local and a regional part, representing the sea and the swell wave components, respectively. The spatial domain of the predictor is determined using the Evaluation of Source and Travel-time of wave Energy reaching a Local Area (ESTELA) method. The regional component of the predictor includes the recent historical atmospheric conditions responsible for the swell wave component at the target point. The regional predictor component has a historical temporal coverage (n-days) different to the local predictor component (daily coverage). Principal component analysis is applied to the daily predictor in order to detect the dominant variability patterns and their temporal coefficients. Multivariate regression model, fitted at daily scale for different n-days of the regional predictor, determines the optimum historical coverage. The monthly wave predictor indices are selected applying a regression model using the monthly values of the principal components of the daily predictor, with the optimum temporal coverage for the regional predictor. The daily predictor can be used in wave climate projections, while the monthly predictor can help to understand wave climate variability or long-term coastal morphodynamic anomalies.","container-title":"Ocean Dynamics","DOI":"10.1007/s10236-014-0737-2","ISSN":"1616-7228","issue":"7","journalAbbreviation":"Ocean Dynamics","language":"en","note":"rate: 4","page":"1025-1038","source":"Springer Link","title":"A method for finding the optimal predictor indices for local wave climate conditions","volume":"64","author":[{"family":"Camus","given":"Paula"},{"family":"Méndez","given":"Fernando J."},{"family":"Losada","given":"Inigo J."},{"family":"Menéndez","given":"Melisa"},{"family":"Espejo","given":"Antonio"},{"family":"Pérez","given":"Jorge"},{"family":"Rueda","given":"Ana"},{"family":"Guanche","given":"Yanira"}],"issued":{"date-parts":[["2014",7,1]]}}},{"id":554,"uris":["http://zotero.org/users/10288439/items/3FNWVI4S"],"itemData":{"id":554,"type":"article-journal","abstract":"Abstract Characterization of wave climate by bulk wave parameters is insufficient for many coastal studies, including those focused on assessing coastal hazards and long-term wave climate influences on coastal evolution. This issue is particularly relevant for studies using statistical downscaling of atmospheric fields to local wave conditions, which are often multimodal in large ocean basins (e.g., Pacific Ocean). Swell may be generated in vastly different wave generation regions, yielding complex wave spectra that are inadequately represented by a single set of bulk wave parameters. Furthermore, the relationship between atmospheric systems and local wave conditions is complicated by variations in arrival time of wave groups from different parts of the basin. Here, this study addresses these two challenges by improving upon the spatiotemporal definition of the atmospheric predictor used in the statistical downscaling of local wave climate. The improved methodology separates the local wave spectrum into “wave families,” defined by spectral peaks and discrete generation regions, and relates atmospheric conditions in distant regions of the ocean basin to local wave conditions by incorporating travel times computed from effective energy flux across the ocean basin. When applied to locations with multimodal wave spectra, including Southern California and Trujillo, Peru, the new methodology improves the ability of the statistical model to project significant wave height, peak period, and direction for each wave family, retaining more information from the full wave spectrum. This work is the base of statistical downscaling by weather types, which has recently been applied to coastal flooding and morphodynamic applications.","container-title":"Journal of Physical Oceanography","DOI":"10.1175/JPO-D-16-0191.1","ISSN":"0022-3670, 1520-0485","issue":"2","language":"EN","note":"publisher: American Meteorological Society\nsection: Journal of Physical Oceanography\nrate: 4","page":"375-386","source":"journals.ametsoc.org","title":"A Multimodal Wave Spectrum–Based Approach for Statistical Downscaling of Local Wave Climate","volume":"47","author":[{"family":"Hegermiller","given":"C. A."},{"family":"Antolinez","given":"J. a. A."},{"family":"Rueda","given":"A."},{"family":"Camus","given":"P."},{"family":"Perez","given":"J."},{"family":"Erikson","given":"L. H."},{"family":"Barnard","given":"P. L."},{"family":"Mendez","given":"F. J."}],"issued":{"date-parts":[["2017",2,1]]}}}],"schema":"https://github.com/citation-style-language/schema/raw/master/csl-citation.json"} </w:instrText>
      </w:r>
      <w:r w:rsidR="00046D4A">
        <w:fldChar w:fldCharType="separate"/>
      </w:r>
      <w:r w:rsidR="00282A3B" w:rsidRPr="00282A3B">
        <w:t>(Camus et al. 2014a; Hegermiller et al. 2017)</w:t>
      </w:r>
      <w:r w:rsidR="00046D4A">
        <w:fldChar w:fldCharType="end"/>
      </w:r>
      <w:r>
        <w:t>.</w:t>
      </w:r>
      <w:r w:rsidR="00F500EF">
        <w:t xml:space="preserve"> </w:t>
      </w:r>
      <w:r w:rsidR="00E73B1E">
        <w:t>In areas experiencing multi-modal wave climate</w:t>
      </w:r>
      <w:r w:rsidR="00F82506">
        <w:t xml:space="preserve"> (e.g., in large ocean basins)</w:t>
      </w:r>
      <w:r w:rsidR="00E73B1E">
        <w:t xml:space="preserve">, such </w:t>
      </w:r>
      <w:r w:rsidR="00F82506">
        <w:lastRenderedPageBreak/>
        <w:t>consideration</w:t>
      </w:r>
      <w:r w:rsidR="00E73B1E">
        <w:t xml:space="preserve"> can be crucial to </w:t>
      </w:r>
      <w:r w:rsidR="00053BB7">
        <w:t xml:space="preserve">explicitly </w:t>
      </w:r>
      <w:r w:rsidR="00E73B1E">
        <w:t>account for wave</w:t>
      </w:r>
      <w:r w:rsidR="00F82506">
        <w:t>s generated at multiple discrete regions.</w:t>
      </w:r>
    </w:p>
    <w:p w14:paraId="3CBE219D" w14:textId="6BA57B70" w:rsidR="00F01D12" w:rsidRDefault="000F60CA" w:rsidP="00F01D12">
      <w:pPr>
        <w:pStyle w:val="Paragraph"/>
        <w:rPr>
          <w:lang w:eastAsia="zh-CN"/>
        </w:rPr>
      </w:pPr>
      <w:r>
        <w:t>Our results suggest that spatial resolution is not a critical factor in weather typing</w:t>
      </w:r>
      <w:r w:rsidR="00F01D12">
        <w:t>. U</w:t>
      </w:r>
      <w:r w:rsidR="00F01D12" w:rsidRPr="00BF13FE">
        <w:t xml:space="preserve">sing lower-resolution data can produce </w:t>
      </w:r>
      <w:r>
        <w:t>outcomes</w:t>
      </w:r>
      <w:r w:rsidR="00F01D12" w:rsidRPr="00BF13FE">
        <w:t xml:space="preserve"> that are as accurate</w:t>
      </w:r>
      <w:r w:rsidR="00F01D12">
        <w:t xml:space="preserve"> and robust</w:t>
      </w:r>
      <w:r w:rsidR="00F01D12" w:rsidRPr="00BF13FE">
        <w:t xml:space="preserve"> as those from higher-resolution data</w:t>
      </w:r>
      <w:r w:rsidR="00F01D12">
        <w:t xml:space="preserve">, which agrees with </w:t>
      </w:r>
      <w:r w:rsidR="00046D4A">
        <w:fldChar w:fldCharType="begin"/>
      </w:r>
      <w:r w:rsidR="00654B0F">
        <w:instrText xml:space="preserve"> ADDIN ZOTERO_ITEM CSL_CITATION {"citationID":"C76EWq5T","properties":{"custom":"Hegermiller et al. (2017)","formattedCitation":"Hegermiller et al. (2017)","plainCitation":"Hegermiller et al. (2017)","noteIndex":0},"citationItems":[{"id":554,"uris":["http://zotero.org/users/10288439/items/3FNWVI4S"],"itemData":{"id":554,"type":"article-journal","abstract":"Abstract Characterization of wave climate by bulk wave parameters is insufficient for many coastal studies, including those focused on assessing coastal hazards and long-term wave climate influences on coastal evolution. This issue is particularly relevant for studies using statistical downscaling of atmospheric fields to local wave conditions, which are often multimodal in large ocean basins (e.g., Pacific Ocean). Swell may be generated in vastly different wave generation regions, yielding complex wave spectra that are inadequately represented by a single set of bulk wave parameters. Furthermore, the relationship between atmospheric systems and local wave conditions is complicated by variations in arrival time of wave groups from different parts of the basin. Here, this study addresses these two challenges by improving upon the spatiotemporal definition of the atmospheric predictor used in the statistical downscaling of local wave climate. The improved methodology separates the local wave spectrum into “wave families,” defined by spectral peaks and discrete generation regions, and relates atmospheric conditions in distant regions of the ocean basin to local wave conditions by incorporating travel times computed from effective energy flux across the ocean basin. When applied to locations with multimodal wave spectra, including Southern California and Trujillo, Peru, the new methodology improves the ability of the statistical model to project significant wave height, peak period, and direction for each wave family, retaining more information from the full wave spectrum. This work is the base of statistical downscaling by weather types, which has recently been applied to coastal flooding and morphodynamic applications.","container-title":"Journal of Physical Oceanography","DOI":"10.1175/JPO-D-16-0191.1","ISSN":"0022-3670, 1520-0485","issue":"2","language":"EN","note":"publisher: American Meteorological Society\nsection: Journal of Physical Oceanography\nrate: 4","page":"375-386","source":"journals.ametsoc.org","title":"A Multimodal Wave Spectrum–Based Approach for Statistical Downscaling of Local Wave Climate","volume":"47","author":[{"family":"Hegermiller","given":"C. A."},{"family":"Antolinez","given":"J. a. A."},{"family":"Rueda","given":"A."},{"family":"Camus","given":"P."},{"family":"Perez","given":"J."},{"family":"Erikson","given":"L. H."},{"family":"Barnard","given":"P. L."},{"family":"Mendez","given":"F. J."}],"issued":{"date-parts":[["2017",2,1]]}}}],"schema":"https://github.com/citation-style-language/schema/raw/master/csl-citation.json"} </w:instrText>
      </w:r>
      <w:r w:rsidR="00046D4A">
        <w:fldChar w:fldCharType="separate"/>
      </w:r>
      <w:r w:rsidR="00654B0F" w:rsidRPr="00654B0F">
        <w:t>Hegermiller et al. (2017)</w:t>
      </w:r>
      <w:r w:rsidR="00046D4A">
        <w:fldChar w:fldCharType="end"/>
      </w:r>
      <w:r w:rsidR="00F01D12">
        <w:t>. This may indicate that processes occurring at finer spatial scales (</w:t>
      </w:r>
      <w:r w:rsidR="00F01D12" w:rsidRPr="00077044">
        <w:t>e.g.,</w:t>
      </w:r>
      <w:r w:rsidR="00F01D12">
        <w:t xml:space="preserve"> convective</w:t>
      </w:r>
      <w:r w:rsidR="005E19A4">
        <w:t>-</w:t>
      </w:r>
      <w:r w:rsidR="00F01D12">
        <w:t xml:space="preserve">scale features) are not particularly relevant to local sea state conditions, or that the weather typing method is unable to preserve such detailed information as the clustering tends to smooth </w:t>
      </w:r>
      <w:r w:rsidR="00CD4CE1">
        <w:t xml:space="preserve">these </w:t>
      </w:r>
      <w:r w:rsidR="00E95AEC">
        <w:t>out,</w:t>
      </w:r>
      <w:r w:rsidR="00F01D12">
        <w:t xml:space="preserve"> only leaving</w:t>
      </w:r>
      <w:r w:rsidR="00F01D12" w:rsidRPr="00AD4061">
        <w:t xml:space="preserve"> </w:t>
      </w:r>
      <w:r w:rsidR="00F01D12">
        <w:t>synoptic</w:t>
      </w:r>
      <w:r w:rsidR="005E19A4">
        <w:t>-</w:t>
      </w:r>
      <w:r w:rsidR="00F01D12">
        <w:t xml:space="preserve">scale patterns in the final WTs </w:t>
      </w:r>
      <w:r w:rsidR="00C65C8D">
        <w:t xml:space="preserve">(which is </w:t>
      </w:r>
      <w:r w:rsidR="00F01D12">
        <w:t>especially</w:t>
      </w:r>
      <w:r w:rsidR="00C65C8D">
        <w:t xml:space="preserve"> true</w:t>
      </w:r>
      <w:r w:rsidR="00F01D12">
        <w:t xml:space="preserve"> when the number of WT is small</w:t>
      </w:r>
      <w:r w:rsidR="00C65C8D">
        <w:t>)</w:t>
      </w:r>
      <w:r w:rsidR="00F01D12">
        <w:t xml:space="preserve">. In either situation, using higher-resolution data would introduce redundant information </w:t>
      </w:r>
      <w:r>
        <w:t>that increases computational costs</w:t>
      </w:r>
      <w:r w:rsidR="00F01D12">
        <w:t xml:space="preserve"> but does not entail better model performance.</w:t>
      </w:r>
      <w:r w:rsidR="001413D9">
        <w:t xml:space="preserve"> </w:t>
      </w:r>
      <w:r w:rsidR="00916BA7">
        <w:fldChar w:fldCharType="begin"/>
      </w:r>
      <w:r w:rsidR="00916BA7">
        <w:instrText xml:space="preserve"> ADDIN ZOTERO_ITEM CSL_CITATION {"citationID":"5Dqp0Hex","properties":{"custom":"Cid et al. (2017)","formattedCitation":"Cid et al. (2017)","plainCitation":"Cid et al. (2017)","noteIndex":0},"citationItems":[{"id":1399,"uris":["http://zotero.org/users/10288439/items/LXG28WMP"],"itemData":{"id":1399,"type":"article-journal","abstract":"Studying the effect of global patterns of wind and pressure gradients on the sea level variation (storm surge) is a key issue in understanding the recent climate change effect on the dynamical state of the ocean. The analysis of the spatial and temporal variability of storm surges from observations is a difficult task to accomplish since observations are not homogeneous in time, scarce in space, and moreover, their temporal coverage is limited. A recent global surge database developed by AVISO (DAC, Dynamic Atmospheric Correction) fulfilled the lack of data in terms of spatial coverage, but not regarding time extent, since it only includes the last two decades (1992–2014). In this work, we use the 20th Century Reanalysis V2 (20CR), which spans the years 1871 to 2010, to statistically reconstruct daily maximum surge levels at a global scale. A multivariate linear regression model is fitted between daily mean ERA-interim sea level pressure fields and daily maximum surge levels from DAC. Following, the statistical model is used to reconstruct daily surges using mean sea level pressure fields from 20CR. The verification of the statistical model shows good agreements between DAC levels and the reconstructed surge levels from the 20CR. The validation of the reconstructed surge with tide gauges, distributed throughout the domain, shows good accuracy both in terms of high correlations and small errors. A time series comparison is also depicted at specific tide gauges for the beginning of the 20th century, showing a high concordance. Therefore, this work provides to the scientific community, a daily database of maximum surge levels; which correspond to an extension of the DAC database, from 1871 to 2010. This database can be used to improve the knowledge on historical storm surge conditions, allowing the study of their temporal and spatial variability.","container-title":"Global and Planetary Change","DOI":"10.1016/j.gloplacha.2016.11.006","ISSN":"0921-8181","journalAbbreviation":"Global and Planetary Change","note":"rate: 3","page":"9-21","source":"ScienceDirect","title":"Global reconstructed daily surge levels from the 20th Century Reanalysis (1871–2010)","volume":"148","author":[{"family":"Cid","given":"Alba"},{"family":"Camus","given":"Paula"},{"family":"Castanedo","given":"Sonia"},{"family":"Méndez","given":"Fernando J."},{"family":"Medina","given":"Raúl"}],"issued":{"date-parts":[["2017",1,1]]}}}],"schema":"https://github.com/citation-style-language/schema/raw/master/csl-citation.json"} </w:instrText>
      </w:r>
      <w:r w:rsidR="00916BA7">
        <w:fldChar w:fldCharType="separate"/>
      </w:r>
      <w:r w:rsidR="00916BA7" w:rsidRPr="002C0B00">
        <w:t>Cid et al. (2017)</w:t>
      </w:r>
      <w:r w:rsidR="00916BA7">
        <w:fldChar w:fldCharType="end"/>
      </w:r>
      <w:r w:rsidR="00916BA7">
        <w:t xml:space="preserve"> found lower model skills in downscaling surges at semi-enclosed areas and suggested to use higher-resolution predictors. However, our findings confirm that the benefits of increasing the resolution can be minimal. In fact, the effect of local bathymetry </w:t>
      </w:r>
      <w:r w:rsidR="00916BA7">
        <w:rPr>
          <w:rFonts w:hint="eastAsia"/>
          <w:lang w:eastAsia="zh-CN"/>
        </w:rPr>
        <w:t>can</w:t>
      </w:r>
      <w:r w:rsidR="00916BA7">
        <w:rPr>
          <w:lang w:eastAsia="zh-CN"/>
        </w:rPr>
        <w:t xml:space="preserve"> </w:t>
      </w:r>
      <w:r w:rsidR="00916BA7">
        <w:rPr>
          <w:rFonts w:hint="eastAsia"/>
          <w:lang w:eastAsia="zh-CN"/>
        </w:rPr>
        <w:t xml:space="preserve">be </w:t>
      </w:r>
      <w:r w:rsidR="00916BA7">
        <w:rPr>
          <w:lang w:eastAsia="zh-CN"/>
        </w:rPr>
        <w:t>significant</w:t>
      </w:r>
      <w:r w:rsidR="00916BA7">
        <w:t xml:space="preserve"> in these shallow basins which is often unrelated to the synoptic conditions. In such cases, incorporating the impact of local features </w:t>
      </w:r>
      <w:r w:rsidR="00916BA7">
        <w:rPr>
          <w:rFonts w:hint="eastAsia"/>
          <w:lang w:eastAsia="zh-CN"/>
        </w:rPr>
        <w:t xml:space="preserve">into the model (e.g., by doing supervised classification in weather typing) </w:t>
      </w:r>
      <w:r w:rsidR="00916BA7">
        <w:rPr>
          <w:lang w:eastAsia="zh-CN"/>
        </w:rPr>
        <w:t>can be</w:t>
      </w:r>
      <w:r w:rsidR="00916BA7">
        <w:rPr>
          <w:rFonts w:hint="eastAsia"/>
          <w:lang w:eastAsia="zh-CN"/>
        </w:rPr>
        <w:t xml:space="preserve"> more </w:t>
      </w:r>
      <w:r w:rsidR="00916BA7">
        <w:rPr>
          <w:lang w:eastAsia="zh-CN"/>
        </w:rPr>
        <w:t>effective</w:t>
      </w:r>
      <w:r w:rsidR="00916BA7">
        <w:rPr>
          <w:rFonts w:hint="eastAsia"/>
          <w:lang w:eastAsia="zh-CN"/>
        </w:rPr>
        <w:t>.</w:t>
      </w:r>
    </w:p>
    <w:p w14:paraId="1988D36C" w14:textId="47586909" w:rsidR="00A30AA6" w:rsidRPr="00A30AA6" w:rsidRDefault="00F01D12" w:rsidP="00456ED5">
      <w:pPr>
        <w:pStyle w:val="Paragraph"/>
      </w:pPr>
      <w:r>
        <w:t xml:space="preserve">Decisions on the number of WTs are quite subjective, with previous studies choosing a wide range of values </w:t>
      </w:r>
      <w:r w:rsidR="00046D4A">
        <w:fldChar w:fldCharType="begin"/>
      </w:r>
      <w:r w:rsidR="005A6E68">
        <w:instrText xml:space="preserve"> ADDIN ZOTERO_ITEM CSL_CITATION {"citationID":"BSqPE2UQ","properties":{"formattedCitation":"(Camus et al. 2014a; Neal et al. 2016; Rueda et al. 2019)","plainCitation":"(Camus et al. 2014a; Neal et al. 2016; Rueda et al. 2019)","noteIndex":0},"citationItems":[{"id":607,"uris":["http://zotero.org/users/10288439/items/98TIAY6C"],"itemData":{"id":607,"type":"article-journal","abstract":"In this study, a method to obtain local wave predictor indices that take into account the wave generation process is described and applied to several locations. The method is based on a statistical model that relates significant wave height with an atmospheric predictor, defined by sea level pressure fields. The predictor is composed of a local and a regional part, representing the sea and the swell wave components, respectively. The spatial domain of the predictor is determined using the Evaluation of Source and Travel-time of wave Energy reaching a Local Area (ESTELA) method. The regional component of the predictor includes the recent historical atmospheric conditions responsible for the swell wave component at the target point. The regional predictor component has a historical temporal coverage (n-days) different to the local predictor component (daily coverage). Principal component analysis is applied to the daily predictor in order to detect the dominant variability patterns and their temporal coefficients. Multivariate regression model, fitted at daily scale for different n-days of the regional predictor, determines the optimum historical coverage. The monthly wave predictor indices are selected applying a regression model using the monthly values of the principal components of the daily predictor, with the optimum temporal coverage for the regional predictor. The daily predictor can be used in wave climate projections, while the monthly predictor can help to understand wave climate variability or long-term coastal morphodynamic anomalies.","container-title":"Ocean Dynamics","DOI":"10.1007/s10236-014-0737-2","ISSN":"1616-7228","issue":"7","journalAbbreviation":"Ocean Dynamics","language":"en","note":"rate: 4","page":"1025-1038","source":"Springer Link","title":"A method for finding the optimal predictor indices for local wave climate conditions","volume":"64","author":[{"family":"Camus","given":"Paula"},{"family":"Méndez","given":"Fernando J."},{"family":"Losada","given":"Inigo J."},{"family":"Menéndez","given":"Melisa"},{"family":"Espejo","given":"Antonio"},{"family":"Pérez","given":"Jorge"},{"family":"Rueda","given":"Ana"},{"family":"Guanche","given":"Yanira"}],"issued":{"date-parts":[["2014",7,1]]}}},{"id":1268,"uris":["http://zotero.org/users/10288439/items/SRDF4845"],"itemData":{"id":1268,"type":"article-journal","abstract":"A method is presented for deriving weather patterns objectively over an area of interest, in this case the UK and surrounding European area. A set of 30 and eight patterns are derived through k-means clustering of daily mean sea level pressure (MSLP) data (1850–2003). These patterns have been designed for the purpose of post-processing forecast output from ensemble prediction systems and understanding how forecast models perform under different circulation types. The 30 weather patterns are designed for use in the medium-range and the eight weather patterns are designed for use in the monthly and seasonal timescales, or when there is low forecast confidence in the medium-range. Weather patterns are numbered according to their annual historic occurrences, with lower numbered patterns occurring most often. Lower numbered patterns occur more in summer (with weak MSLP anomalies) and higher numbered patterns occur more in winter (with strong MSLP anomalies). Weather patterns have been applied in a weather forecasting context, whereby ensemble members are assigned to the closest matching pattern definition. This provides a probabilistic insight into which patterns are most likely within the forecast range and summarises key aspects from the large volumes of data which ensembles provide. Verification of European Centre for Medium-Range Weather Forecasts medium-range ensemble forecasts for the set of eight weather patterns shows small forecast biases annually with some large variations seasonally. The most prominent seasonal variation shows the westerly (NAO+) pattern to over-forecast in summer and under-forecast in winter. Forecast skill was found to be better in winter than summer for most patterns.","container-title":"Meteorological Applications","DOI":"10.1002/met.1563","ISSN":"1469-8080","issue":"3","language":"en","license":"© 2016 Crown Copyright, Met Office. Meteorological Applications © 2016 Royal Meteorological Society","note":"_eprint: https://onlinelibrary.wiley.com/doi/pdf/10.1002/met.1563\nrate: 4","page":"389-400","source":"Wiley Online Library","title":"A flexible approach to defining weather patterns and their application in weather forecasting over Europe","volume":"23","author":[{"family":"Neal","given":"Robert"},{"family":"Fereday","given":"David"},{"family":"Crocker","given":"Ric"},{"family":"Comer","given":"Ruth E."}],"issued":{"date-parts":[["2016"]]}}},{"id":869,"uris":["http://zotero.org/users/10288439/items/8WPQMHYD"],"itemData":{"id":869,"type":"article-journal","abstract":"Understanding marine climate variability is important for coastal planning and marine operations. It is also particularly challenging for complicated settings (e.g., islands) and data-poor regions. The aim of this work is to establish a relationship between daily synoptic atmospheric patterns, and w</w:instrText>
      </w:r>
      <w:r w:rsidR="005A6E68" w:rsidRPr="00DA52D3">
        <w:rPr>
          <w:lang w:val="fr-FR"/>
        </w:rPr>
        <w:instrText xml:space="preserve">ave and storm surge conditions around New Zealand waters, based on instrumental and reanalysis data. The daily predictor we developed is able to represent sea and swell wave conditions as well as storm surge variability over different temporal scales. However, when climate variability is analysed on a longer temporal period, based on the 20th century reanalysis, large inhomogeneities are found. This highlights the dangers related to assessing climate variability, especially in data-poor regions (such as New Zealand), where inhomogeneities could be interpreted as actual changes.","container-title":"International Journal of Climatology","DOI":"10.1002/joc.5912","ISSN":"1097-0088","issue":"3","language":"en","note":"_eprint: https://onlinelibrary.wiley.com/doi/pdf/10.1002/joc.5912\nrate: 3","page":"1777-1786","source":"Wiley Online Library","title":"Marine climate variability based on weather patterns for a complicated island setting: The New Zealand case","title-short":"Marine climate variability based on weather patterns for a complicated island setting","volume":"39","author":[{"family":"Rueda","given":"Ana"},{"family":"Cagigal","given":"Laura"},{"family":"Antolínez","given":"Jose A. A."},{"family":"Albuquerque","given":"Joao C."},{"family":"Castanedo","given":"Sonia"},{"family":"Coco","given":"Giovanni"},{"family":"Méndez","given":"Fernando J."}],"issued":{"date-parts":[["2019"]]}}}],"schema":"https://github.com/citation-style-language/schema/raw/master/csl-citation.json"} </w:instrText>
      </w:r>
      <w:r w:rsidR="00046D4A">
        <w:fldChar w:fldCharType="separate"/>
      </w:r>
      <w:r w:rsidR="00282A3B" w:rsidRPr="00DA52D3">
        <w:rPr>
          <w:lang w:val="fr-FR"/>
        </w:rPr>
        <w:t>(Camus et al. 2014a; Neal et al. 2016; Rueda et al. 2019)</w:t>
      </w:r>
      <w:r w:rsidR="00046D4A">
        <w:fldChar w:fldCharType="end"/>
      </w:r>
      <w:r w:rsidRPr="00DA52D3">
        <w:rPr>
          <w:lang w:val="fr-FR"/>
        </w:rPr>
        <w:t xml:space="preserve">. </w:t>
      </w:r>
      <w:r>
        <w:t>The choice represents a compromise between minimising</w:t>
      </w:r>
      <w:r w:rsidRPr="00711098">
        <w:t xml:space="preserve"> climate variability within each group and ensuring distinct characteristics across different </w:t>
      </w:r>
      <w:r>
        <w:t xml:space="preserve">clusters. Our results suggest that model improves as the number of WTs increases, possibly because more details in the </w:t>
      </w:r>
      <w:r w:rsidR="004362B2">
        <w:t xml:space="preserve">synoptic conditions </w:t>
      </w:r>
      <w:r>
        <w:t xml:space="preserve">are </w:t>
      </w:r>
      <w:r w:rsidR="00817559">
        <w:t xml:space="preserve">preserved and </w:t>
      </w:r>
      <w:r>
        <w:t xml:space="preserve">represented, but the improvement is less significant for larger numbers of WTs, which is also reported in </w:t>
      </w:r>
      <w:r w:rsidR="005A6E68">
        <w:fldChar w:fldCharType="begin"/>
      </w:r>
      <w:r w:rsidR="000879EF">
        <w:instrText xml:space="preserve"> ADDIN ZOTERO_ITEM CSL_CITATION {"citationID":"EyINixfB","properties":{"custom":"Ireland et al. (2024)","formattedCitation":"Ireland et al. (2024)","plainCitation":"Ireland et al. (2024)","noteIndex":0},"citationItems":[{"id":1553,"uris":["http://zotero.org/users/10288439/items/BLUGKMSB","http://zotero.org/users/10288439/items/GFGAYJS5"],"itemData":{"id":1553,"type":"article-journal","abstract":"Abstract\n            \n              This work aims to define a set of representative weather patterns for Sou</w:instrText>
      </w:r>
      <w:r w:rsidR="000879EF">
        <w:rPr>
          <w:rFonts w:hint="eastAsia"/>
        </w:rPr>
        <w:instrText>th Africa that can be utilized to support impact</w:instrText>
      </w:r>
      <w:r w:rsidR="000879EF">
        <w:rPr>
          <w:rFonts w:hint="eastAsia"/>
        </w:rPr>
        <w:instrText>‐</w:instrText>
      </w:r>
      <w:r w:rsidR="000879EF">
        <w:rPr>
          <w:rFonts w:hint="eastAsia"/>
        </w:rPr>
        <w:instrText xml:space="preserve">based forecasting of heatwave events. Sets of weather patterns have been generated using\n              k\n              </w:instrText>
      </w:r>
      <w:r w:rsidR="000879EF">
        <w:rPr>
          <w:rFonts w:hint="eastAsia"/>
        </w:rPr>
        <w:instrText>‐</w:instrText>
      </w:r>
      <w:r w:rsidR="000879EF">
        <w:rPr>
          <w:rFonts w:hint="eastAsia"/>
        </w:rPr>
        <w:instrText>means clustering on daily ERA5 reanalysis data between 1979 and 2020. Different patt</w:instrText>
      </w:r>
      <w:r w:rsidR="000879EF">
        <w:instrText>ern sets were generated by varying the clustering atmospheric variable, the spatial domain and the number of weather patterns. These weather patterns are evaluated using the explained variation score to assess their ability to represent the variability of</w:instrText>
      </w:r>
      <w:r w:rsidR="000879EF">
        <w:rPr>
          <w:rFonts w:hint="eastAsia"/>
        </w:rPr>
        <w:instrText xml:space="preserve"> the maximum daily 2m temperature (\n              T\n              max,2m\n              ). The results indicate that a set of 30 weather patterns generated using mean sea</w:instrText>
      </w:r>
      <w:r w:rsidR="000879EF">
        <w:rPr>
          <w:rFonts w:hint="eastAsia"/>
        </w:rPr>
        <w:instrText>‐</w:instrText>
      </w:r>
      <w:r w:rsidR="000879EF">
        <w:rPr>
          <w:rFonts w:hint="eastAsia"/>
        </w:rPr>
        <w:instrText>level pressure, with a clustering domain in the range 15</w:instrText>
      </w:r>
      <w:r w:rsidR="000879EF">
        <w:rPr>
          <w:rFonts w:hint="eastAsia"/>
        </w:rPr>
        <w:instrText>°–</w:instrText>
      </w:r>
      <w:r w:rsidR="000879EF">
        <w:rPr>
          <w:rFonts w:hint="eastAsia"/>
        </w:rPr>
        <w:instrText>34</w:instrText>
      </w:r>
      <w:r w:rsidR="000879EF">
        <w:rPr>
          <w:rFonts w:hint="eastAsia"/>
        </w:rPr>
        <w:instrText>°</w:instrText>
      </w:r>
      <w:r w:rsidR="000879EF">
        <w:rPr>
          <w:rFonts w:hint="eastAsia"/>
        </w:rPr>
        <w:instrText>E and 21</w:instrText>
      </w:r>
      <w:r w:rsidR="000879EF">
        <w:rPr>
          <w:rFonts w:hint="eastAsia"/>
        </w:rPr>
        <w:instrText>°–</w:instrText>
      </w:r>
      <w:r w:rsidR="000879EF">
        <w:rPr>
          <w:rFonts w:hint="eastAsia"/>
        </w:rPr>
        <w:instrText>36</w:instrText>
      </w:r>
      <w:r w:rsidR="000879EF">
        <w:rPr>
          <w:rFonts w:hint="eastAsia"/>
        </w:rPr>
        <w:instrText>°</w:instrText>
      </w:r>
      <w:r w:rsidR="000879EF">
        <w:rPr>
          <w:rFonts w:hint="eastAsia"/>
        </w:rPr>
        <w:instrText>S, provides a reasonable representation of\n              T\n              max,2m\n              variability across South Africa. The implementation of an appropriate weather pattern set into a medium</w:instrText>
      </w:r>
      <w:r w:rsidR="000879EF">
        <w:rPr>
          <w:rFonts w:hint="eastAsia"/>
        </w:rPr>
        <w:instrText>‐</w:instrText>
      </w:r>
      <w:r w:rsidR="000879EF">
        <w:rPr>
          <w:rFonts w:hint="eastAsia"/>
        </w:rPr>
        <w:instrText>range forecasting tool has the potential to extend the prediction of high</w:instrText>
      </w:r>
      <w:r w:rsidR="000879EF">
        <w:rPr>
          <w:rFonts w:hint="eastAsia"/>
        </w:rPr>
        <w:instrText>‐</w:instrText>
      </w:r>
      <w:r w:rsidR="000879EF">
        <w:rPr>
          <w:rFonts w:hint="eastAsia"/>
        </w:rPr>
        <w:instrText>impact weather events in South Africa, such as heatwaves, and also highlight specific impacts on the population, for example, food and water insecurity, heat exhaustion or energy and transport impacts.","container-title":"International Journal</w:instrText>
      </w:r>
      <w:r w:rsidR="000879EF">
        <w:instrText xml:space="preserve"> of Climatology","DOI":"10.1002/joc.8396","ISSN":"0899-8418, 1097-0088","journalAbbreviation":"Intl Journal of Climatology","language":"en","page":"joc.8396","source":"DOI.org (Crossref)","title":"Generating weather pattern definitions over &lt;span style=\"</w:instrText>
      </w:r>
      <w:r w:rsidR="000879EF">
        <w:rPr>
          <w:rFonts w:hint="eastAsia"/>
        </w:rPr>
        <w:instrText>font-variant:small-caps;\"&gt;South Africa&lt;/span&gt; suitable for future use in impact</w:instrText>
      </w:r>
      <w:r w:rsidR="000879EF">
        <w:rPr>
          <w:rFonts w:hint="eastAsia"/>
        </w:rPr>
        <w:instrText>‐</w:instrText>
      </w:r>
      <w:r w:rsidR="000879EF">
        <w:rPr>
          <w:rFonts w:hint="eastAsia"/>
        </w:rPr>
        <w:instrText>orientated medium</w:instrText>
      </w:r>
      <w:r w:rsidR="000879EF">
        <w:rPr>
          <w:rFonts w:hint="eastAsia"/>
        </w:rPr>
        <w:instrText>‐</w:instrText>
      </w:r>
      <w:r w:rsidR="000879EF">
        <w:rPr>
          <w:rFonts w:hint="eastAsia"/>
        </w:rPr>
        <w:instrText>range forecasting","title-short":"Generating weather pattern definitions over &lt;span style=\"font-variant","author":[{"family":"Ireland","given":"Lewis G."},</w:instrText>
      </w:r>
      <w:r w:rsidR="000879EF">
        <w:instrText xml:space="preserve">{"family":"Robbins","given":"Joanne"},{"family":"Neal","given":"Robert"},{"family":"Barciela","given":"Rosa"},{"family":"Gilbert","given":"Rebecca"}],"issued":{"date-parts":[["2024",2,13]]}}}],"schema":"https://github.com/citation-style-language/schema/raw/master/csl-citation.json"} </w:instrText>
      </w:r>
      <w:r w:rsidR="005A6E68">
        <w:fldChar w:fldCharType="separate"/>
      </w:r>
      <w:r w:rsidR="00654B0F" w:rsidRPr="00654B0F">
        <w:t>Ireland et al. (2024)</w:t>
      </w:r>
      <w:r w:rsidR="005A6E68">
        <w:fldChar w:fldCharType="end"/>
      </w:r>
      <w:r>
        <w:t xml:space="preserve">. In our analysis, the model with 64 WTs has the best accuracy. </w:t>
      </w:r>
      <w:r w:rsidR="00A30AA6">
        <w:t>However, i</w:t>
      </w:r>
      <w:r w:rsidR="00565728">
        <w:t xml:space="preserve">t </w:t>
      </w:r>
      <w:r w:rsidR="00A30AA6">
        <w:t>should be highlighted</w:t>
      </w:r>
      <w:r w:rsidR="00565728">
        <w:t xml:space="preserve"> that</w:t>
      </w:r>
      <w:r>
        <w:t xml:space="preserve"> having more WTs means each one is associated with fewer days</w:t>
      </w:r>
      <w:r w:rsidR="00565728">
        <w:t>. As</w:t>
      </w:r>
      <w:r>
        <w:t xml:space="preserve"> a result, the empirical distributions will be developed from </w:t>
      </w:r>
      <w:r w:rsidR="00565728">
        <w:t>a smaller amount of</w:t>
      </w:r>
      <w:r>
        <w:t xml:space="preserve"> data, making them less representative of the </w:t>
      </w:r>
      <w:r>
        <w:lastRenderedPageBreak/>
        <w:t>typical conditions caused by certain weather patterns</w:t>
      </w:r>
      <w:r w:rsidR="00B070AD">
        <w:t xml:space="preserve">, and perhaps </w:t>
      </w:r>
      <w:r w:rsidR="00801AA3">
        <w:t>more prone to overfitting.</w:t>
      </w:r>
      <w:r w:rsidR="00B070AD">
        <w:t xml:space="preserve"> </w:t>
      </w:r>
      <w:r w:rsidR="00916BA7">
        <w:t xml:space="preserve">In realistic applications, the number of WTs needs be manageable for efficient decision-making. For example, the weather regime forecasting tool applied in the UK Met Office is based on a set of 30 WTs </w:t>
      </w:r>
      <w:r w:rsidR="00916BA7">
        <w:fldChar w:fldCharType="begin"/>
      </w:r>
      <w:r w:rsidR="00916BA7">
        <w:instrText xml:space="preserve"> ADDIN ZOTERO_ITEM CSL_CITATION {"citationID":"vMh4rXYp","properties":{"formattedCitation":"(Neal et al. 2016)","plainCitation":"(Neal et al. 2016)","noteIndex":0},"citationItems":[{"id":1268,"uris":["http://zotero.org/users/10288439/items/SRDF4845"],"itemData":{"id":1268,"type":"article-journal","abstract":"A method is presented for deriving weather patterns objectively over an area of interest, in this case the UK and surrounding European area. A set of 30 and eight patterns are derived through k-means clustering of daily mean sea level pressure (MSLP) data (1850–2003). These patterns have been designed for the purpose of post-processing forecast output from ensemble prediction systems and understanding how forecast models perform under different circulation types. The 30 weather patterns are designed for use in the medium-range and the eight weather patterns are designed for use in the monthly and seasonal timescales, or when there is low forecast confidence in the medium-range. Weather patterns are numbered according to their annual historic occurrences, with lower numbered patterns occurring most often. Lower numbered patterns occur more in summer (with weak MSLP anomalies) and higher numbered patterns occur more in winter (with strong MSLP anomalies). Weather patterns have been applied in a weather forecasting context, whereby ensemble members are assigned to the closest matching pattern definition. This provides a probabilistic insight into which patterns are most likely within the forecast range and summarises key aspects from the large volumes of data which ensembles provide. Verification of European Centre for Medium-Range Weather Forecasts medium-range ensemble forecasts for the set of eight weather patterns shows small forecast biases annually with some large variations seasonally. The most prominent seasonal variation shows the westerly (NAO+) pattern to over-forecast in summer and under-forecast in winter. Forecast skill was found to be better in winter than summer for most patterns.","container-title":"Meteorological Applications","DOI":"10.1002/met.1563","ISSN":"1469-8080","issue":"3","language":"en","license":"© 2016 Crown Copyright, Met Office. Meteorological Applications © 2016 Royal Meteorological Society","note":"_eprint: https://onlinelibrary.wiley.com/doi/pdf/10.1002/met.1563\nrate: 4","page":"389-400","source":"Wiley Online Library","title":"A flexible approach to defining weather patterns and their application in weather forecasting over Europe","volume":"23","author":[{"family":"Neal","given":"Robert"},{"family":"Fereday","given":"David"},{"family":"Crocker","given":"Ric"},{"family":"Comer","given":"Ruth E."}],"issued":{"date-parts":[["2016"]]}}}],"schema":"https://github.com/citation-style-language/schema/raw/master/csl-citation.json"} </w:instrText>
      </w:r>
      <w:r w:rsidR="00916BA7">
        <w:fldChar w:fldCharType="separate"/>
      </w:r>
      <w:r w:rsidR="00916BA7" w:rsidRPr="00C07300">
        <w:t>(Neal et al. 2016)</w:t>
      </w:r>
      <w:r w:rsidR="00916BA7">
        <w:fldChar w:fldCharType="end"/>
      </w:r>
      <w:r w:rsidR="00916BA7">
        <w:t xml:space="preserve">. When combined with weather forecast outputs from ensemble prediction models, the forecasting tool can reduce the number of scenarios to a few weather types for further detailed analysis. </w:t>
      </w:r>
      <w:r w:rsidR="00456ED5">
        <w:t>Therefore</w:t>
      </w:r>
      <w:r w:rsidR="00A30AA6">
        <w:t>, we cho</w:t>
      </w:r>
      <w:r w:rsidR="00C07300">
        <w:t>o</w:t>
      </w:r>
      <w:r w:rsidR="00A30AA6">
        <w:t>se to use 36 WTs which can achieve comparable model performance</w:t>
      </w:r>
      <w:r w:rsidR="00473E3F">
        <w:t xml:space="preserve"> to 64 WTs</w:t>
      </w:r>
      <w:r w:rsidR="00A30AA6">
        <w:t xml:space="preserve"> but with fewer WTs and lower computational demand.</w:t>
      </w:r>
    </w:p>
    <w:p w14:paraId="3B8D38E4" w14:textId="085613B6" w:rsidR="001A3F70" w:rsidRDefault="00F01D12" w:rsidP="001A3F70">
      <w:pPr>
        <w:pStyle w:val="Paragraph"/>
      </w:pPr>
      <w:r>
        <w:t xml:space="preserve">Last, the impact of </w:t>
      </w:r>
      <m:oMath>
        <m:r>
          <w:rPr>
            <w:rFonts w:ascii="Cambria Math" w:hAnsi="Cambria Math"/>
          </w:rPr>
          <m:t>α</m:t>
        </m:r>
      </m:oMath>
      <w:r w:rsidRPr="005A6E68">
        <w:t xml:space="preserve"> is quite significant in weather typing, which is understandable as l</w:t>
      </w:r>
      <w:r w:rsidRPr="00D22E8B">
        <w:t xml:space="preserve">ocal </w:t>
      </w:r>
      <w:r>
        <w:t>sea state conditions</w:t>
      </w:r>
      <w:r w:rsidRPr="00D22E8B">
        <w:t xml:space="preserve"> </w:t>
      </w:r>
      <w:r>
        <w:t>are</w:t>
      </w:r>
      <w:r w:rsidRPr="00D22E8B">
        <w:t xml:space="preserve"> </w:t>
      </w:r>
      <w:r>
        <w:t xml:space="preserve">not only </w:t>
      </w:r>
      <w:r w:rsidRPr="00D22E8B">
        <w:t xml:space="preserve">a response to the atmospheric conditions but also </w:t>
      </w:r>
      <w:r>
        <w:t>influenced by</w:t>
      </w:r>
      <w:r w:rsidRPr="00D22E8B">
        <w:t xml:space="preserve"> local bathymetry and coastal morphology.</w:t>
      </w:r>
      <w:r>
        <w:t xml:space="preserve"> By incorporating the impact of these local processes, which </w:t>
      </w:r>
      <w:r w:rsidR="001D70F1">
        <w:t xml:space="preserve">are </w:t>
      </w:r>
      <w:r>
        <w:t xml:space="preserve">independent of the synoptic conditions, into the clustering process, the model is greatly improved. The improvement reaches its limit when </w:t>
      </w:r>
      <m:oMath>
        <m:r>
          <w:rPr>
            <w:rFonts w:ascii="Cambria Math" w:hAnsi="Cambria Math"/>
          </w:rPr>
          <m:t>α</m:t>
        </m:r>
      </m:oMath>
      <w:r w:rsidRPr="005A6E68">
        <w:t xml:space="preserve"> exceeds 0.4-0.6, depending on the specific predictands. Similar results were also obtained in </w:t>
      </w:r>
      <w:r w:rsidR="005A6E68" w:rsidRPr="005A6E68">
        <w:fldChar w:fldCharType="begin"/>
      </w:r>
      <w:r w:rsidR="00654B0F">
        <w:instrText xml:space="preserve"> ADDIN ZOTERO_ITEM CSL_CITATION {"citationID":"RHNxCC7m","properties":{"custom":"Camus et al. (2016)","formattedCitation":"Camus et al. (2016)","plainCitation":"Camus et al. (2016)","noteIndex":0},"citationItems":[{"id":411,"uris":["http://zotero.org/users/10288439/items/W39KXC6S"],"itemData":{"id":411,"type":"article-journal","abstract":"A regression-guided classification is implemented in statistical downscaling models based on weather types for downscaling multivariate wave climate and modelling extreme events. The semi-supervised method classifies the atmospheric circulation conditions (predictor) and the estimations from a regression model linking the circulation with local marine climate (filtered predictand). A weighted factor controls the influence of the predictor and predictand in the weather patterns to improve the performance of the classification to reflect local marine climate characteristics. In addition to the analysis of the variance explained by the predictor and the predictand, the selection of the optimal value of the weighted factor is based on the predictand response in order to avoid subjectivity in the solution. The statistical models using the guided classification are applied in the North Atlantic. The new technique reduces the dispersion of the multivariate predictand within weather types and improves the model skill to downscale waves and to reproduce extremes.","container-title":"Ocean Dynamics","DOI":"10.1007/s10236-016-1004-5","ISSN":"1616-7228","issue":"12","journalAbbreviation":"Ocean Dynamics","language":"en","note":"rate: 5","page":"1589-1601","source":"Springer Link","title":"An atmospheric-to-marine synoptic classification for statistical downscaling marine climate","volume":"66","author":[{"family":"Camus","given":"Paula"},{"family":"Rueda","given":"Ana"},{"family":"Méndez","given":"Fernando J."},{"family":"Losada","given":"Iñigo J."}],"issued":{"date-parts":[["2016",12,1]]}}}],"schema":"https://github.com/citation-style-language/schema/raw/master/csl-citation.json"} </w:instrText>
      </w:r>
      <w:r w:rsidR="005A6E68" w:rsidRPr="005A6E68">
        <w:fldChar w:fldCharType="separate"/>
      </w:r>
      <w:r w:rsidR="00654B0F" w:rsidRPr="00654B0F">
        <w:t>Camus et al. (2016)</w:t>
      </w:r>
      <w:r w:rsidR="005A6E68" w:rsidRPr="005A6E68">
        <w:fldChar w:fldCharType="end"/>
      </w:r>
      <w:r w:rsidRPr="005A6E68">
        <w:t xml:space="preserve">. </w:t>
      </w:r>
      <w:r>
        <w:t>Although we only include total waves and surges in</w:t>
      </w:r>
      <w:r w:rsidR="00F50979">
        <w:t xml:space="preserve"> the</w:t>
      </w:r>
      <w:r w:rsidR="00F50979">
        <w:rPr>
          <w:rFonts w:hint="eastAsia"/>
        </w:rPr>
        <w:t xml:space="preserve"> regression-guided classification</w:t>
      </w:r>
      <w:r>
        <w:t>, the benefit is not limited to those predictands and observed for wind wave and swell as well.</w:t>
      </w:r>
    </w:p>
    <w:p w14:paraId="6A7019D1" w14:textId="7AA93F95" w:rsidR="00542E46" w:rsidRDefault="00542E46" w:rsidP="00542E46">
      <w:pPr>
        <w:pStyle w:val="Paragraph"/>
      </w:pPr>
      <w:r>
        <w:t xml:space="preserve">These findings can support the broader application of weather typing models in other locations. For works concerning wave climate and/or storm surge, SLP-based predictors are sufficient to downscale a wide range of </w:t>
      </w:r>
      <w:r w:rsidR="00E95AEC">
        <w:t>variables</w:t>
      </w:r>
      <w:r>
        <w:t xml:space="preserve"> collectively in a single model. When applied to an enclosed sea similar to the North Sea, the spatial domain does not need to be extended far beyond the main ocean basin. If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t xml:space="preserve"> is the predictand of interest or swells are the dominant wave component, using a longer temporal coverage would be beneficial. The use of low-resolution data which still preserves the main synoptic-scale patterns would not significantly compromise model performance. The inclusion of local conditions to guide the classification of weather types is generally suggested, as it improves the overall model accuracy.  </w:t>
      </w:r>
    </w:p>
    <w:p w14:paraId="1AA24C93" w14:textId="77777777" w:rsidR="0047362D" w:rsidRPr="00842A6C" w:rsidRDefault="0047362D" w:rsidP="00DA52D3"/>
    <w:p w14:paraId="7F2F91EB" w14:textId="3784B2C9" w:rsidR="00351EF1" w:rsidRPr="00351EF1" w:rsidRDefault="00351EF1" w:rsidP="00351EF1">
      <w:pPr>
        <w:pStyle w:val="Paragraph"/>
        <w:rPr>
          <w:b/>
          <w:bCs/>
        </w:rPr>
      </w:pPr>
      <w:r w:rsidRPr="00351EF1">
        <w:rPr>
          <w:b/>
          <w:bCs/>
        </w:rPr>
        <w:t>5</w:t>
      </w:r>
      <w:r>
        <w:rPr>
          <w:b/>
          <w:bCs/>
        </w:rPr>
        <w:t xml:space="preserve"> </w:t>
      </w:r>
      <w:r w:rsidRPr="00351EF1">
        <w:rPr>
          <w:b/>
          <w:bCs/>
        </w:rPr>
        <w:t>Conclusions</w:t>
      </w:r>
    </w:p>
    <w:p w14:paraId="2CFCF6BD" w14:textId="57CC2D56" w:rsidR="00F01D12" w:rsidRDefault="00F01D12" w:rsidP="00F01D12">
      <w:pPr>
        <w:pStyle w:val="Paragraph"/>
      </w:pPr>
      <w:r>
        <w:t xml:space="preserve">In this </w:t>
      </w:r>
      <w:r w:rsidR="0047362D">
        <w:t>paper</w:t>
      </w:r>
      <w:r>
        <w:t>, we applied a weather typing approach to downscale local</w:t>
      </w:r>
      <w:r w:rsidR="002D46FB">
        <w:t>, coastal</w:t>
      </w:r>
      <w:r>
        <w:t xml:space="preserve"> hazard-related conditions at the Hartlepool nuclear power station. A set of 36 WTs was generated to characterise the variabilities of synoptic </w:t>
      </w:r>
      <w:r w:rsidRPr="000F2580">
        <w:t>circulation patterns</w:t>
      </w:r>
      <w:r>
        <w:t xml:space="preserve">. </w:t>
      </w:r>
      <w:r w:rsidR="00F16CA7">
        <w:t>Each WT is associated with empirical distributions of multivariate predictands which represent the statistical relationships</w:t>
      </w:r>
      <w:r>
        <w:t>. These relationships demonstrate how changes in synoptic patterns can result in distinct wave and surge responses. The validation prove</w:t>
      </w:r>
      <w:r w:rsidR="00E95AEC">
        <w:t>s</w:t>
      </w:r>
      <w:r>
        <w:t xml:space="preserve"> the model’s capability to downscale </w:t>
      </w:r>
      <w:r w:rsidR="006A7CE2">
        <w:t>multivariate sea state conditions</w:t>
      </w:r>
      <w:r>
        <w:t xml:space="preserve">, including </w:t>
      </w:r>
      <w:r w:rsidR="00C0222F">
        <w:t>the combined</w:t>
      </w:r>
      <w:r w:rsidR="00F75FB3">
        <w:t xml:space="preserve"> wind</w:t>
      </w:r>
      <w:r>
        <w:t xml:space="preserve"> wave</w:t>
      </w:r>
      <w:r w:rsidR="00F50979">
        <w:t>s</w:t>
      </w:r>
      <w:r w:rsidR="002D46FB">
        <w:t xml:space="preserve"> </w:t>
      </w:r>
      <w:r w:rsidR="00F75FB3">
        <w:t>and swell</w:t>
      </w:r>
      <w:r w:rsidR="00F50979">
        <w:t>s</w:t>
      </w:r>
      <w:r w:rsidR="00F75FB3">
        <w:t xml:space="preserve">, </w:t>
      </w:r>
      <w:r>
        <w:t>storm surges</w:t>
      </w:r>
      <w:r w:rsidR="00F75FB3">
        <w:t>, and the individual wind wave and swell components</w:t>
      </w:r>
      <w:r>
        <w:t xml:space="preserve">, with varying levels of accuracy. </w:t>
      </w:r>
      <w:r w:rsidR="00BA04AF" w:rsidRPr="00BA04AF">
        <w:rPr>
          <w:lang w:val="en-US"/>
        </w:rPr>
        <w:t>Wave direction, particularly wind wave direction, is less accurately estimated due to its high variability, making it more challenging to reproduce</w:t>
      </w:r>
      <w:r w:rsidR="00C27739">
        <w:t>.</w:t>
      </w:r>
      <w:r>
        <w:t xml:space="preserve"> We also </w:t>
      </w:r>
      <w:r w:rsidR="00023FBA">
        <w:t xml:space="preserve">demonstrate </w:t>
      </w:r>
      <w:r>
        <w:t>the model’s ability to downscale extreme conditions</w:t>
      </w:r>
      <w:r w:rsidR="00D57A90">
        <w:t xml:space="preserve"> of wave height and storm surge</w:t>
      </w:r>
      <w:r w:rsidR="00C27739">
        <w:t>, which is</w:t>
      </w:r>
      <w:r w:rsidR="00023FBA">
        <w:t xml:space="preserve"> </w:t>
      </w:r>
      <w:r w:rsidR="00023FBA" w:rsidRPr="00023FBA">
        <w:rPr>
          <w:lang w:val="en-US"/>
        </w:rPr>
        <w:t>particularly relevant for hazard assessments</w:t>
      </w:r>
      <w:r w:rsidR="00C27739">
        <w:t xml:space="preserve"> </w:t>
      </w:r>
      <w:r w:rsidR="00023FBA">
        <w:t>at</w:t>
      </w:r>
      <w:r w:rsidR="00D57A90">
        <w:t xml:space="preserve"> nuclear </w:t>
      </w:r>
      <w:r w:rsidR="00E57BF7">
        <w:t>power stations</w:t>
      </w:r>
      <w:r w:rsidR="00D57A90">
        <w:t>.</w:t>
      </w:r>
      <w:r w:rsidR="007F5B81">
        <w:t xml:space="preserve"> </w:t>
      </w:r>
      <w:r w:rsidR="00023FBA" w:rsidRPr="00023FBA">
        <w:rPr>
          <w:lang w:val="en-US"/>
        </w:rPr>
        <w:t>While the model performs well for extreme storm surge events, its accuracy in estimating extreme wave heights is comparatively lower.</w:t>
      </w:r>
    </w:p>
    <w:p w14:paraId="14993A59" w14:textId="77777777" w:rsidR="00A167DB" w:rsidRDefault="00F01D12" w:rsidP="005A6E68">
      <w:pPr>
        <w:pStyle w:val="Paragraph"/>
      </w:pPr>
      <w:r>
        <w:t>A series of</w:t>
      </w:r>
      <w:r w:rsidRPr="004A46B2">
        <w:t xml:space="preserve"> sensitivity analyses w</w:t>
      </w:r>
      <w:r>
        <w:t>as</w:t>
      </w:r>
      <w:r w:rsidRPr="004A46B2">
        <w:t xml:space="preserve"> undertaken to assess the significance of various parameters in </w:t>
      </w:r>
      <w:r>
        <w:t>downscaling</w:t>
      </w:r>
      <w:r w:rsidRPr="004A46B2">
        <w:t xml:space="preserve"> local wave and surge conditions.</w:t>
      </w:r>
      <w:r>
        <w:t xml:space="preserve"> We f</w:t>
      </w:r>
      <w:r w:rsidR="00F75FB3">
        <w:t>ind</w:t>
      </w:r>
      <w:r>
        <w:t xml:space="preserve"> that the choice of predictor variables is generally important for all predictands. The combination of SLP and SLPG as predictors outperforms using either one individually. The impact of temporal coverage can also be quite significant to certain wave parameters, such as </w:t>
      </w:r>
      <m:oMath>
        <m:sSub>
          <m:sSubPr>
            <m:ctrlPr>
              <w:rPr>
                <w:rFonts w:ascii="Cambria Math" w:hAnsi="Cambria Math"/>
              </w:rPr>
            </m:ctrlPr>
          </m:sSubPr>
          <m:e>
            <m:r>
              <w:rPr>
                <w:rFonts w:ascii="Cambria Math" w:hAnsi="Cambria Math"/>
              </w:rPr>
              <m:t>T</m:t>
            </m:r>
          </m:e>
          <m:sub>
            <m:r>
              <w:rPr>
                <w:rFonts w:ascii="Cambria Math" w:hAnsi="Cambria Math"/>
              </w:rPr>
              <m:t>p</m:t>
            </m:r>
          </m:sub>
        </m:sSub>
      </m:oMath>
      <w:r>
        <w:t xml:space="preserve"> and swell </w:t>
      </w:r>
      <m:oMath>
        <m:sSub>
          <m:sSubPr>
            <m:ctrlPr>
              <w:rPr>
                <w:rFonts w:ascii="Cambria Math" w:hAnsi="Cambria Math"/>
              </w:rPr>
            </m:ctrlPr>
          </m:sSubPr>
          <m:e>
            <m:r>
              <w:rPr>
                <w:rFonts w:ascii="Cambria Math" w:hAnsi="Cambria Math"/>
              </w:rPr>
              <m:t>T</m:t>
            </m:r>
          </m:e>
          <m:sub>
            <m:r>
              <w:rPr>
                <w:rFonts w:ascii="Cambria Math" w:hAnsi="Cambria Math"/>
              </w:rPr>
              <m:t>m</m:t>
            </m:r>
          </m:sub>
        </m:sSub>
      </m:oMath>
      <w:r>
        <w:t xml:space="preserve">. Model performance is not very sensitive to spatial domain, as long as the atmospheric conditions over the main region of wave and storm generation are included. Similarly, the impact of the spatial resolution of predictors is negligible. Last, increasing the number of WTs and the value of </w:t>
      </w:r>
      <m:oMath>
        <m:r>
          <w:rPr>
            <w:rFonts w:ascii="Cambria Math" w:hAnsi="Cambria Math"/>
          </w:rPr>
          <m:t>α</m:t>
        </m:r>
      </m:oMath>
      <w:r>
        <w:t xml:space="preserve"> can improve the model performance to a certain extent.</w:t>
      </w:r>
    </w:p>
    <w:p w14:paraId="36EE9092" w14:textId="071D99E8" w:rsidR="00182368" w:rsidRDefault="000A2B1B" w:rsidP="00C27739">
      <w:pPr>
        <w:pStyle w:val="Paragraph"/>
      </w:pPr>
      <w:r>
        <w:t xml:space="preserve">While our findings stem from a case study in Hartlepool, their relevance extends beyond </w:t>
      </w:r>
      <w:r>
        <w:lastRenderedPageBreak/>
        <w:t xml:space="preserve">this </w:t>
      </w:r>
      <w:r w:rsidR="009C682E">
        <w:t>specific area</w:t>
      </w:r>
      <w:r>
        <w:t>.</w:t>
      </w:r>
      <w:r w:rsidR="00542E46">
        <w:t xml:space="preserve"> Our research offers insights that can inform the development of weather typing models for broader applications, particularly in defining predictors and optimizing model configurations.</w:t>
      </w:r>
      <w:r w:rsidR="00E2509E">
        <w:t xml:space="preserve"> </w:t>
      </w:r>
      <w:r w:rsidR="00542E46">
        <w:t>The empirical distributions are the foundation for evaluating potential flooding and erosion hazards. They can help identify WTs with higher probabilities of local extreme wave climates and storm surge conditions so that the nuclear station can implement preparedness measures once such WTs are anticipated in the short term. Furthermore, these empirical distributions can be used as boundary conditions in dynamical downscaling to simulate the hazards resulted from the corresponding WTs. This will be the focus of our future work, where we aim to provide probabilistic assessments of coastal hazard exposure at nuclear power stations, contributing to more effective risk management and mitigation strategies.</w:t>
      </w:r>
    </w:p>
    <w:p w14:paraId="619FA60E" w14:textId="77777777" w:rsidR="00954FD3" w:rsidRPr="00660C49" w:rsidRDefault="00954FD3" w:rsidP="00DF0264">
      <w:pPr>
        <w:spacing w:after="0"/>
        <w:rPr>
          <w:rFonts w:eastAsia="SimSun" w:cs="Times New Roman"/>
          <w:kern w:val="2"/>
          <w:szCs w:val="24"/>
        </w:rPr>
      </w:pPr>
    </w:p>
    <w:p w14:paraId="39C25D39" w14:textId="17AC8726" w:rsidR="005667A9" w:rsidRDefault="002D2C54" w:rsidP="00933084">
      <w:pPr>
        <w:pStyle w:val="Paragraph"/>
      </w:pPr>
      <w:r w:rsidRPr="00933084">
        <w:rPr>
          <w:b/>
          <w:bCs/>
        </w:rPr>
        <w:t>Acknowledgements</w:t>
      </w:r>
      <w:r w:rsidR="009E0CD3" w:rsidRPr="00933084">
        <w:rPr>
          <w:b/>
          <w:bCs/>
        </w:rPr>
        <w:t>:</w:t>
      </w:r>
      <w:r w:rsidR="009E0CD3" w:rsidRPr="00933084">
        <w:t xml:space="preserve"> </w:t>
      </w:r>
      <w:r w:rsidR="004B3062" w:rsidRPr="00933084">
        <w:t>We</w:t>
      </w:r>
      <w:r w:rsidR="001C2824" w:rsidRPr="00933084">
        <w:t xml:space="preserve"> would like to thank </w:t>
      </w:r>
      <w:r w:rsidR="00827466" w:rsidRPr="00933084">
        <w:t>the European Centre for Medium-Range Weather Forecasts</w:t>
      </w:r>
      <w:r w:rsidR="004B3062" w:rsidRPr="00933084">
        <w:t xml:space="preserve"> (ECMWF)</w:t>
      </w:r>
      <w:r w:rsidR="00827466" w:rsidRPr="00933084">
        <w:t>,</w:t>
      </w:r>
      <w:r w:rsidR="001C2824" w:rsidRPr="00933084">
        <w:t xml:space="preserve"> </w:t>
      </w:r>
      <w:r w:rsidR="00827466" w:rsidRPr="00933084">
        <w:t>British Oceanographic Data Center</w:t>
      </w:r>
      <w:r w:rsidR="004B3062" w:rsidRPr="00933084">
        <w:t xml:space="preserve"> (BODC)</w:t>
      </w:r>
      <w:r w:rsidR="00827466" w:rsidRPr="00933084">
        <w:t>, and Center for Environment Fisheries and Aquaculture Science</w:t>
      </w:r>
      <w:r w:rsidR="004B3062" w:rsidRPr="00933084">
        <w:t xml:space="preserve"> (CEFAS)</w:t>
      </w:r>
      <w:r w:rsidR="00827466" w:rsidRPr="00933084">
        <w:t xml:space="preserve"> for </w:t>
      </w:r>
      <w:r w:rsidR="004B3062" w:rsidRPr="00933084">
        <w:t>providing</w:t>
      </w:r>
      <w:r w:rsidR="00827466" w:rsidRPr="00933084">
        <w:t xml:space="preserve"> the atmospheric, storm surge, and wave data </w:t>
      </w:r>
      <w:r w:rsidR="004B3062" w:rsidRPr="00933084">
        <w:t>used in this research</w:t>
      </w:r>
      <w:r w:rsidR="00827466" w:rsidRPr="00933084">
        <w:t>.</w:t>
      </w:r>
      <w:r w:rsidR="004B3062" w:rsidRPr="00933084">
        <w:t xml:space="preserve"> We would also like to thank Luke J. Jenkins for kindly providing the code and assistance to calculate the non-tidal component of sea level.</w:t>
      </w:r>
    </w:p>
    <w:p w14:paraId="16EC2D55" w14:textId="77777777" w:rsidR="00933084" w:rsidRPr="00933084" w:rsidRDefault="00933084" w:rsidP="00933084">
      <w:pPr>
        <w:rPr>
          <w:lang w:val="en-GB" w:eastAsia="en-GB"/>
        </w:rPr>
      </w:pPr>
    </w:p>
    <w:p w14:paraId="49409462" w14:textId="1BA7C0C1" w:rsidR="00F63DA2" w:rsidRDefault="005667A9" w:rsidP="00933084">
      <w:pPr>
        <w:pStyle w:val="Paragraph"/>
      </w:pPr>
      <w:r w:rsidRPr="00933084">
        <w:rPr>
          <w:b/>
          <w:bCs/>
        </w:rPr>
        <w:t>Funding:</w:t>
      </w:r>
      <w:r w:rsidRPr="00933084">
        <w:t xml:space="preserve"> </w:t>
      </w:r>
      <w:r w:rsidR="0030118F" w:rsidRPr="00933084">
        <w:t>Zehua Zhong is funded through the INSPIRE Doctoral Training Partnership by the Natural Environment Research Council (NERC) (NE/S007210/1</w:t>
      </w:r>
      <w:r w:rsidR="00EB2704">
        <w:t xml:space="preserve">; project reference: </w:t>
      </w:r>
      <w:r w:rsidR="00EB2704" w:rsidRPr="00EB2704">
        <w:t>2740403</w:t>
      </w:r>
      <w:r w:rsidR="0030118F" w:rsidRPr="00933084">
        <w:t>)</w:t>
      </w:r>
      <w:r w:rsidR="004B3062" w:rsidRPr="00933084">
        <w:t xml:space="preserve">, and co-sponsored by </w:t>
      </w:r>
      <w:r w:rsidR="00232692">
        <w:t>EDF Energy.</w:t>
      </w:r>
    </w:p>
    <w:p w14:paraId="0C84E417" w14:textId="77777777" w:rsidR="00933084" w:rsidRPr="00933084" w:rsidRDefault="00933084" w:rsidP="00933084">
      <w:pPr>
        <w:rPr>
          <w:lang w:val="en-GB" w:eastAsia="en-GB"/>
        </w:rPr>
      </w:pPr>
    </w:p>
    <w:p w14:paraId="54A914BE" w14:textId="7F7EC6C5" w:rsidR="00C36CA7" w:rsidRDefault="00C36CA7" w:rsidP="00933084">
      <w:pPr>
        <w:pStyle w:val="Paragraph"/>
        <w:rPr>
          <w:rStyle w:val="fontstyle01"/>
          <w:rFonts w:ascii="Times New Roman" w:hAnsi="Times New Roman"/>
          <w:bCs/>
          <w:sz w:val="24"/>
          <w:szCs w:val="24"/>
        </w:rPr>
      </w:pPr>
      <w:r w:rsidRPr="00C36CA7">
        <w:rPr>
          <w:rStyle w:val="fontstyle01"/>
          <w:rFonts w:ascii="Times New Roman" w:hAnsi="Times New Roman"/>
          <w:b/>
          <w:sz w:val="24"/>
          <w:szCs w:val="24"/>
        </w:rPr>
        <w:t>Author Contribution</w:t>
      </w:r>
      <w:r w:rsidR="005667A9">
        <w:rPr>
          <w:rStyle w:val="fontstyle01"/>
          <w:rFonts w:ascii="Times New Roman" w:hAnsi="Times New Roman"/>
          <w:b/>
          <w:sz w:val="24"/>
          <w:szCs w:val="24"/>
        </w:rPr>
        <w:t>s</w:t>
      </w:r>
      <w:r w:rsidRPr="00C36CA7">
        <w:rPr>
          <w:rStyle w:val="fontstyle01"/>
          <w:rFonts w:ascii="Times New Roman" w:hAnsi="Times New Roman"/>
          <w:b/>
          <w:sz w:val="24"/>
          <w:szCs w:val="24"/>
        </w:rPr>
        <w:t>:</w:t>
      </w:r>
      <w:r w:rsidR="00FE6E0A">
        <w:rPr>
          <w:rStyle w:val="fontstyle01"/>
          <w:rFonts w:ascii="Times New Roman" w:hAnsi="Times New Roman"/>
          <w:b/>
          <w:sz w:val="24"/>
          <w:szCs w:val="24"/>
        </w:rPr>
        <w:t xml:space="preserve"> </w:t>
      </w:r>
      <w:r w:rsidR="00FE6E0A" w:rsidRPr="00C86F20">
        <w:rPr>
          <w:rStyle w:val="fontstyle01"/>
          <w:rFonts w:ascii="Times New Roman" w:hAnsi="Times New Roman"/>
          <w:b/>
          <w:sz w:val="24"/>
          <w:szCs w:val="24"/>
        </w:rPr>
        <w:t>Zehua Zhong</w:t>
      </w:r>
      <w:r w:rsidR="00FE6E0A">
        <w:rPr>
          <w:rStyle w:val="fontstyle01"/>
          <w:rFonts w:ascii="Times New Roman" w:hAnsi="Times New Roman"/>
          <w:bCs/>
          <w:sz w:val="24"/>
          <w:szCs w:val="24"/>
        </w:rPr>
        <w:t>: Conceptualization, Data curation, Formal analysis, Investigation,</w:t>
      </w:r>
      <w:r w:rsidR="00C86F20" w:rsidRPr="00C86F20">
        <w:t xml:space="preserve"> </w:t>
      </w:r>
      <w:r w:rsidR="00C86F20">
        <w:t>Software,</w:t>
      </w:r>
      <w:r w:rsidR="00FE6E0A">
        <w:rPr>
          <w:rStyle w:val="fontstyle01"/>
          <w:rFonts w:ascii="Times New Roman" w:hAnsi="Times New Roman"/>
          <w:bCs/>
          <w:sz w:val="24"/>
          <w:szCs w:val="24"/>
        </w:rPr>
        <w:t xml:space="preserve"> Validation, Visualization, Writing</w:t>
      </w:r>
      <w:r w:rsidR="00437301">
        <w:rPr>
          <w:rStyle w:val="fontstyle01"/>
          <w:rFonts w:ascii="Times New Roman" w:hAnsi="Times New Roman"/>
          <w:bCs/>
          <w:sz w:val="24"/>
          <w:szCs w:val="24"/>
        </w:rPr>
        <w:t xml:space="preserve"> </w:t>
      </w:r>
      <w:r w:rsidR="00FE6E0A">
        <w:rPr>
          <w:rStyle w:val="fontstyle01"/>
          <w:rFonts w:ascii="Times New Roman" w:hAnsi="Times New Roman"/>
          <w:bCs/>
          <w:sz w:val="24"/>
          <w:szCs w:val="24"/>
        </w:rPr>
        <w:t>-</w:t>
      </w:r>
      <w:r w:rsidR="00437301">
        <w:rPr>
          <w:rStyle w:val="fontstyle01"/>
          <w:rFonts w:ascii="Times New Roman" w:hAnsi="Times New Roman"/>
          <w:bCs/>
          <w:sz w:val="24"/>
          <w:szCs w:val="24"/>
        </w:rPr>
        <w:t xml:space="preserve"> </w:t>
      </w:r>
      <w:r w:rsidR="00FE6E0A">
        <w:rPr>
          <w:rStyle w:val="fontstyle01"/>
          <w:rFonts w:ascii="Times New Roman" w:hAnsi="Times New Roman"/>
          <w:bCs/>
          <w:sz w:val="24"/>
          <w:szCs w:val="24"/>
        </w:rPr>
        <w:t>original draft</w:t>
      </w:r>
      <w:r w:rsidR="00C86F20">
        <w:rPr>
          <w:rStyle w:val="fontstyle01"/>
          <w:rFonts w:ascii="Times New Roman" w:hAnsi="Times New Roman"/>
          <w:bCs/>
          <w:sz w:val="24"/>
          <w:szCs w:val="24"/>
        </w:rPr>
        <w:t>, Writing - review &amp; editing</w:t>
      </w:r>
      <w:r w:rsidR="00437301">
        <w:rPr>
          <w:rStyle w:val="fontstyle01"/>
          <w:rFonts w:ascii="Times New Roman" w:hAnsi="Times New Roman"/>
          <w:bCs/>
          <w:sz w:val="24"/>
          <w:szCs w:val="24"/>
        </w:rPr>
        <w:t>.</w:t>
      </w:r>
      <w:r w:rsidR="00FE6E0A">
        <w:rPr>
          <w:rStyle w:val="fontstyle01"/>
          <w:rFonts w:ascii="Times New Roman" w:hAnsi="Times New Roman"/>
          <w:bCs/>
          <w:sz w:val="24"/>
          <w:szCs w:val="24"/>
        </w:rPr>
        <w:t xml:space="preserve"> </w:t>
      </w:r>
      <w:r w:rsidR="00FE6E0A" w:rsidRPr="00C86F20">
        <w:rPr>
          <w:rStyle w:val="fontstyle01"/>
          <w:rFonts w:ascii="Times New Roman" w:hAnsi="Times New Roman"/>
          <w:b/>
          <w:sz w:val="24"/>
          <w:szCs w:val="24"/>
        </w:rPr>
        <w:t>Hachem Kassem</w:t>
      </w:r>
      <w:r w:rsidR="00FE6E0A">
        <w:rPr>
          <w:rStyle w:val="fontstyle01"/>
          <w:rFonts w:ascii="Times New Roman" w:hAnsi="Times New Roman"/>
          <w:bCs/>
          <w:sz w:val="24"/>
          <w:szCs w:val="24"/>
        </w:rPr>
        <w:t xml:space="preserve">: Conceptualization, Funding acquisition, </w:t>
      </w:r>
      <w:r w:rsidR="00437301">
        <w:rPr>
          <w:rStyle w:val="fontstyle01"/>
          <w:rFonts w:ascii="Times New Roman" w:hAnsi="Times New Roman"/>
          <w:bCs/>
          <w:sz w:val="24"/>
          <w:szCs w:val="24"/>
        </w:rPr>
        <w:t xml:space="preserve">Supervision, Writing - review &amp; editing. </w:t>
      </w:r>
      <w:r w:rsidR="00437301" w:rsidRPr="00C86F20">
        <w:rPr>
          <w:b/>
          <w:bCs/>
        </w:rPr>
        <w:t>Ivan D. Haigh</w:t>
      </w:r>
      <w:r w:rsidR="00437301">
        <w:t>:</w:t>
      </w:r>
      <w:r w:rsidR="00437301" w:rsidRPr="00437301">
        <w:rPr>
          <w:rStyle w:val="fontstyle01"/>
          <w:rFonts w:ascii="Times New Roman" w:hAnsi="Times New Roman"/>
          <w:bCs/>
          <w:sz w:val="24"/>
          <w:szCs w:val="24"/>
        </w:rPr>
        <w:t xml:space="preserve"> </w:t>
      </w:r>
      <w:r w:rsidR="00437301">
        <w:rPr>
          <w:rStyle w:val="fontstyle01"/>
          <w:rFonts w:ascii="Times New Roman" w:hAnsi="Times New Roman"/>
          <w:bCs/>
          <w:sz w:val="24"/>
          <w:szCs w:val="24"/>
        </w:rPr>
        <w:t xml:space="preserve">Supervision, Writing - review &amp; editing. </w:t>
      </w:r>
      <w:r w:rsidR="00437301" w:rsidRPr="00C86F20">
        <w:rPr>
          <w:b/>
          <w:bCs/>
        </w:rPr>
        <w:t xml:space="preserve">Dafni E. </w:t>
      </w:r>
      <w:r w:rsidR="00437301" w:rsidRPr="00C86F20">
        <w:rPr>
          <w:b/>
          <w:bCs/>
        </w:rPr>
        <w:lastRenderedPageBreak/>
        <w:t>Sifnioti</w:t>
      </w:r>
      <w:r w:rsidR="00437301">
        <w:t xml:space="preserve">: </w:t>
      </w:r>
      <w:r w:rsidR="00437301">
        <w:rPr>
          <w:rStyle w:val="fontstyle01"/>
          <w:rFonts w:ascii="Times New Roman" w:hAnsi="Times New Roman"/>
          <w:bCs/>
          <w:sz w:val="24"/>
          <w:szCs w:val="24"/>
        </w:rPr>
        <w:t xml:space="preserve">Funding acquisition, Supervision, Writing - review &amp; editing. </w:t>
      </w:r>
      <w:r w:rsidR="00437301" w:rsidRPr="00C86F20">
        <w:rPr>
          <w:b/>
          <w:bCs/>
        </w:rPr>
        <w:t>Ben Gouldby</w:t>
      </w:r>
      <w:r w:rsidR="00437301">
        <w:t xml:space="preserve">: </w:t>
      </w:r>
      <w:r w:rsidR="00437301">
        <w:rPr>
          <w:rStyle w:val="fontstyle01"/>
          <w:rFonts w:ascii="Times New Roman" w:hAnsi="Times New Roman"/>
          <w:bCs/>
          <w:sz w:val="24"/>
          <w:szCs w:val="24"/>
        </w:rPr>
        <w:t xml:space="preserve">Supervision, Writing - review &amp; editing. </w:t>
      </w:r>
      <w:r w:rsidR="00437301" w:rsidRPr="00C86F20">
        <w:rPr>
          <w:b/>
          <w:bCs/>
        </w:rPr>
        <w:t>Ye Liu</w:t>
      </w:r>
      <w:r w:rsidR="00437301">
        <w:t xml:space="preserve">: </w:t>
      </w:r>
      <w:r w:rsidR="00437301">
        <w:rPr>
          <w:rStyle w:val="fontstyle01"/>
          <w:rFonts w:ascii="Times New Roman" w:hAnsi="Times New Roman"/>
          <w:bCs/>
          <w:sz w:val="24"/>
          <w:szCs w:val="24"/>
        </w:rPr>
        <w:t xml:space="preserve">Supervision, Writing - review &amp; editing. </w:t>
      </w:r>
      <w:r w:rsidR="00437301" w:rsidRPr="00C86F20">
        <w:rPr>
          <w:b/>
          <w:bCs/>
        </w:rPr>
        <w:t>Paula Camus</w:t>
      </w:r>
      <w:r w:rsidR="00437301">
        <w:t xml:space="preserve">: Methodology, Software, </w:t>
      </w:r>
      <w:r w:rsidR="00C86F20">
        <w:rPr>
          <w:rStyle w:val="fontstyle01"/>
          <w:rFonts w:ascii="Times New Roman" w:hAnsi="Times New Roman"/>
          <w:bCs/>
          <w:sz w:val="24"/>
          <w:szCs w:val="24"/>
        </w:rPr>
        <w:t>Writing - review &amp; editing.</w:t>
      </w:r>
    </w:p>
    <w:p w14:paraId="0E595F37" w14:textId="77777777" w:rsidR="00933084" w:rsidRPr="00933084" w:rsidRDefault="00933084" w:rsidP="00933084">
      <w:pPr>
        <w:rPr>
          <w:lang w:val="en-GB" w:eastAsia="en-GB"/>
        </w:rPr>
      </w:pPr>
    </w:p>
    <w:p w14:paraId="62D2A985" w14:textId="21B46E90" w:rsidR="0008111F" w:rsidRDefault="00C62D56" w:rsidP="00FB25E7">
      <w:pPr>
        <w:pStyle w:val="Paragraph"/>
        <w:rPr>
          <w:rFonts w:eastAsia="DengXian"/>
          <w:color w:val="231F20"/>
        </w:rPr>
      </w:pPr>
      <w:r w:rsidRPr="00660C49">
        <w:rPr>
          <w:rStyle w:val="fontstyle01"/>
          <w:rFonts w:ascii="Times New Roman" w:hAnsi="Times New Roman"/>
          <w:b/>
          <w:sz w:val="24"/>
          <w:szCs w:val="24"/>
        </w:rPr>
        <w:t>Data Availability:</w:t>
      </w:r>
      <w:r w:rsidRPr="00660C49">
        <w:rPr>
          <w:rStyle w:val="fontstyle01"/>
          <w:rFonts w:ascii="Times New Roman" w:hAnsi="Times New Roman"/>
          <w:sz w:val="24"/>
          <w:szCs w:val="24"/>
        </w:rPr>
        <w:t xml:space="preserve"> </w:t>
      </w:r>
      <w:r w:rsidR="00693149" w:rsidRPr="007E3AF9">
        <w:rPr>
          <w:rFonts w:eastAsia="DengXian"/>
          <w:color w:val="231F20"/>
        </w:rPr>
        <w:t>The SLP and wave climate data from ERA5 reanalysis, and the still water level data from CODEC are publicly available</w:t>
      </w:r>
      <w:r w:rsidR="00693149">
        <w:rPr>
          <w:rFonts w:eastAsia="DengXian"/>
          <w:color w:val="231F20"/>
        </w:rPr>
        <w:t xml:space="preserve"> </w:t>
      </w:r>
      <w:r w:rsidR="007347A4" w:rsidRPr="007347A4">
        <w:rPr>
          <w:rFonts w:eastAsia="DengXian"/>
          <w:color w:val="231F20"/>
        </w:rPr>
        <w:t>at the Climate Data Store of the Copernicus Climate Change Service</w:t>
      </w:r>
      <w:r w:rsidR="007347A4">
        <w:rPr>
          <w:rFonts w:eastAsia="DengXian"/>
          <w:color w:val="231F20"/>
        </w:rPr>
        <w:t xml:space="preserve"> at</w:t>
      </w:r>
      <w:r w:rsidR="007347A4" w:rsidRPr="007347A4">
        <w:rPr>
          <w:rFonts w:eastAsia="DengXian"/>
          <w:color w:val="231F20"/>
        </w:rPr>
        <w:t xml:space="preserve"> </w:t>
      </w:r>
      <w:hyperlink r:id="rId20" w:history="1">
        <w:r w:rsidR="00FB25E7" w:rsidRPr="00F377E4">
          <w:rPr>
            <w:rStyle w:val="Hyperlink"/>
            <w:rFonts w:eastAsia="DengXian"/>
          </w:rPr>
          <w:t>https://cds.climate.copernicus.eu/</w:t>
        </w:r>
      </w:hyperlink>
      <w:r w:rsidR="00FB25E7">
        <w:rPr>
          <w:rFonts w:eastAsia="DengXian"/>
          <w:color w:val="231F20"/>
        </w:rPr>
        <w:t xml:space="preserve"> (</w:t>
      </w:r>
      <w:r w:rsidR="00FB25E7" w:rsidRPr="00FB25E7">
        <w:rPr>
          <w:rFonts w:eastAsia="DengXian"/>
          <w:color w:val="231F20"/>
        </w:rPr>
        <w:t>DOI: 10.24381/cds.adbb2d47</w:t>
      </w:r>
      <w:r w:rsidR="00FB25E7">
        <w:rPr>
          <w:rFonts w:eastAsia="DengXian"/>
          <w:color w:val="231F20"/>
        </w:rPr>
        <w:t>)</w:t>
      </w:r>
      <w:r w:rsidR="00693149" w:rsidRPr="007E3AF9">
        <w:rPr>
          <w:rFonts w:eastAsia="DengXian"/>
          <w:color w:val="231F20"/>
        </w:rPr>
        <w:t>. Tide gauge observations from the UK National Tide Gauge Network are available at</w:t>
      </w:r>
      <w:r w:rsidR="00693149">
        <w:rPr>
          <w:rFonts w:eastAsia="DengXian"/>
          <w:color w:val="231F20"/>
        </w:rPr>
        <w:t xml:space="preserve"> </w:t>
      </w:r>
      <w:hyperlink r:id="rId21" w:history="1">
        <w:r w:rsidR="00FB25E7" w:rsidRPr="00F377E4">
          <w:rPr>
            <w:rStyle w:val="Hyperlink"/>
            <w:rFonts w:eastAsia="DengXian"/>
          </w:rPr>
          <w:t>https://www.bodc.ac.uk/data/hosted_data_systems/sea_level/uk_tide_gauge_network/</w:t>
        </w:r>
      </w:hyperlink>
      <w:r w:rsidR="00FB25E7">
        <w:rPr>
          <w:rFonts w:eastAsia="DengXian"/>
          <w:color w:val="231F20"/>
        </w:rPr>
        <w:t xml:space="preserve"> (</w:t>
      </w:r>
      <w:r w:rsidR="00FB25E7" w:rsidRPr="00FB25E7">
        <w:rPr>
          <w:rFonts w:eastAsia="DengXian"/>
          <w:color w:val="231F20"/>
        </w:rPr>
        <w:t>DOI: 10.24381/cds.a6d42d60</w:t>
      </w:r>
      <w:r w:rsidR="00FB25E7">
        <w:rPr>
          <w:rFonts w:eastAsia="DengXian"/>
          <w:color w:val="231F20"/>
        </w:rPr>
        <w:t>)</w:t>
      </w:r>
      <w:r w:rsidR="00693149" w:rsidRPr="007E3AF9">
        <w:rPr>
          <w:rFonts w:eastAsia="DengXian"/>
          <w:color w:val="231F20"/>
        </w:rPr>
        <w:t xml:space="preserve">. </w:t>
      </w:r>
      <w:r w:rsidR="00693149">
        <w:rPr>
          <w:rFonts w:eastAsia="DengXian"/>
          <w:color w:val="231F20"/>
        </w:rPr>
        <w:t xml:space="preserve">The </w:t>
      </w:r>
      <w:r w:rsidR="00693149" w:rsidRPr="007E3AF9">
        <w:rPr>
          <w:rFonts w:eastAsia="DengXian"/>
          <w:color w:val="231F20"/>
        </w:rPr>
        <w:t>C</w:t>
      </w:r>
      <w:r w:rsidR="0037456B">
        <w:rPr>
          <w:rFonts w:eastAsia="DengXian"/>
          <w:color w:val="231F20"/>
        </w:rPr>
        <w:t>EFAS</w:t>
      </w:r>
      <w:r w:rsidR="007347A4">
        <w:rPr>
          <w:rFonts w:eastAsia="DengXian"/>
          <w:color w:val="231F20"/>
        </w:rPr>
        <w:t xml:space="preserve"> WaveNet</w:t>
      </w:r>
      <w:r w:rsidR="00693149">
        <w:rPr>
          <w:rFonts w:eastAsia="DengXian"/>
          <w:color w:val="231F20"/>
        </w:rPr>
        <w:t xml:space="preserve"> buoy data can be downloaded at </w:t>
      </w:r>
      <w:hyperlink r:id="rId22" w:history="1">
        <w:r w:rsidR="00FB25E7" w:rsidRPr="00F377E4">
          <w:rPr>
            <w:rStyle w:val="Hyperlink"/>
          </w:rPr>
          <w:t>https://www.cefas.co.uk/data-and-publications/wavenet/</w:t>
        </w:r>
      </w:hyperlink>
      <w:r w:rsidR="00FB25E7">
        <w:t xml:space="preserve"> </w:t>
      </w:r>
      <w:r w:rsidR="00FB25E7" w:rsidRPr="00FB25E7">
        <w:rPr>
          <w:color w:val="231F20"/>
        </w:rPr>
        <w:t>(DOI:</w:t>
      </w:r>
      <w:r w:rsidR="00FB25E7" w:rsidRPr="00FB25E7">
        <w:rPr>
          <w:rFonts w:eastAsia="DengXian"/>
          <w:color w:val="231F20"/>
        </w:rPr>
        <w:t xml:space="preserve"> </w:t>
      </w:r>
      <w:r w:rsidR="00FB25E7" w:rsidRPr="00FB25E7">
        <w:rPr>
          <w:color w:val="231F20"/>
        </w:rPr>
        <w:t>10.14466/CefasDataHub.11)</w:t>
      </w:r>
      <w:r w:rsidR="00693149">
        <w:rPr>
          <w:rFonts w:eastAsia="DengXian"/>
          <w:color w:val="231F20"/>
        </w:rPr>
        <w:t>.</w:t>
      </w:r>
    </w:p>
    <w:p w14:paraId="34C1C043" w14:textId="77777777" w:rsidR="00933084" w:rsidRPr="00933084" w:rsidRDefault="00933084" w:rsidP="00933084">
      <w:pPr>
        <w:rPr>
          <w:lang w:val="en-GB" w:eastAsia="en-GB"/>
        </w:rPr>
      </w:pPr>
    </w:p>
    <w:p w14:paraId="06BFD4A8" w14:textId="4B102ACF" w:rsidR="004C722B" w:rsidRPr="004C011F" w:rsidRDefault="00EE6A36" w:rsidP="00933084">
      <w:pPr>
        <w:pStyle w:val="Paragraph"/>
        <w:rPr>
          <w:rFonts w:eastAsia="DengXian"/>
          <w:color w:val="231F20"/>
        </w:rPr>
      </w:pPr>
      <w:r w:rsidRPr="004C011F">
        <w:rPr>
          <w:rFonts w:eastAsia="DengXian"/>
          <w:b/>
          <w:bCs/>
          <w:color w:val="231F20"/>
        </w:rPr>
        <w:t>Declarations</w:t>
      </w:r>
      <w:r w:rsidRPr="004C011F">
        <w:rPr>
          <w:rFonts w:eastAsia="DengXian" w:hint="eastAsia"/>
          <w:b/>
          <w:bCs/>
          <w:color w:val="231F20"/>
        </w:rPr>
        <w:t>:</w:t>
      </w:r>
      <w:r w:rsidR="00FD227D" w:rsidRPr="004C011F">
        <w:rPr>
          <w:rFonts w:eastAsia="DengXian"/>
          <w:color w:val="231F20"/>
        </w:rPr>
        <w:t xml:space="preserve"> The authors have no competing interests to declare that are relevant to the content of this article.</w:t>
      </w:r>
    </w:p>
    <w:p w14:paraId="6B05E62D" w14:textId="1E3320C2" w:rsidR="00DD6BCA" w:rsidRDefault="00DD6BCA">
      <w:pPr>
        <w:spacing w:line="259" w:lineRule="auto"/>
        <w:jc w:val="left"/>
        <w:rPr>
          <w:lang w:val="en-GB" w:eastAsia="en-GB"/>
        </w:rPr>
      </w:pPr>
    </w:p>
    <w:bookmarkEnd w:id="19"/>
    <w:bookmarkEnd w:id="20"/>
    <w:p w14:paraId="5313182E" w14:textId="452D0C18" w:rsidR="000A65BF" w:rsidRPr="00660C49" w:rsidRDefault="00D16CA6" w:rsidP="00933084">
      <w:pPr>
        <w:pStyle w:val="Paragraph"/>
        <w:rPr>
          <w:b/>
          <w:bCs/>
        </w:rPr>
      </w:pPr>
      <w:r w:rsidRPr="00933084">
        <w:rPr>
          <w:b/>
          <w:color w:val="231F20"/>
        </w:rPr>
        <w:t>References</w:t>
      </w:r>
    </w:p>
    <w:p w14:paraId="5F175F20" w14:textId="77777777" w:rsidR="00111F31" w:rsidRPr="00111F31" w:rsidRDefault="001A4754" w:rsidP="00111F31">
      <w:pPr>
        <w:pStyle w:val="Bibliography"/>
        <w:rPr>
          <w:rFonts w:cs="Times New Roman"/>
        </w:rPr>
      </w:pPr>
      <w:r>
        <w:fldChar w:fldCharType="begin"/>
      </w:r>
      <w:r w:rsidR="004D3A5B">
        <w:instrText xml:space="preserve"> ADDIN ZOTERO_BIBL {"uncited":[],"omitted":[],"custom":[]} CSL_BIBLIOGRAPHY </w:instrText>
      </w:r>
      <w:r>
        <w:fldChar w:fldCharType="separate"/>
      </w:r>
      <w:r w:rsidR="00111F31" w:rsidRPr="00111F31">
        <w:rPr>
          <w:rFonts w:cs="Times New Roman"/>
        </w:rPr>
        <w:t>Anderson D, Rueda A, Cagigal L, et al (2019) Time‐Varying Emulator for Short and Long‐Term Analysis of Coastal Flood Hazard Potential. J Geophys Res Oceans 124:9209–9234. https://doi.org/10.1029/2019JC015312</w:t>
      </w:r>
    </w:p>
    <w:p w14:paraId="1EA92BD7" w14:textId="77777777" w:rsidR="00111F31" w:rsidRPr="00111F31" w:rsidRDefault="00111F31" w:rsidP="00111F31">
      <w:pPr>
        <w:pStyle w:val="Bibliography"/>
        <w:rPr>
          <w:rFonts w:cs="Times New Roman"/>
        </w:rPr>
      </w:pPr>
      <w:r w:rsidRPr="00111F31">
        <w:rPr>
          <w:rFonts w:cs="Times New Roman"/>
        </w:rPr>
        <w:t>Berens P (2009) CircStat: A MATLAB Toolbox for Circular Statistics. Journal of Statistical Software 31:1–21. https://doi.org/10.18637/jss.v031.i10</w:t>
      </w:r>
    </w:p>
    <w:p w14:paraId="5B038915" w14:textId="77777777" w:rsidR="00111F31" w:rsidRPr="00111F31" w:rsidRDefault="00111F31" w:rsidP="00111F31">
      <w:pPr>
        <w:pStyle w:val="Bibliography"/>
        <w:rPr>
          <w:rFonts w:cs="Times New Roman"/>
        </w:rPr>
      </w:pPr>
      <w:r w:rsidRPr="00111F31">
        <w:rPr>
          <w:rFonts w:cs="Times New Roman"/>
        </w:rPr>
        <w:t>Bhowmik RD, Sankarasubramanian A (2019) Limitations of univariate linear bias correction in yielding cross-correlation between monthly precipitation and temperature. International Journal of Climatology 39:4479–4496. https://doi.org/10.1002/joc.6086</w:t>
      </w:r>
    </w:p>
    <w:p w14:paraId="31AECA63" w14:textId="77777777" w:rsidR="00111F31" w:rsidRPr="00111F31" w:rsidRDefault="00111F31" w:rsidP="00111F31">
      <w:pPr>
        <w:pStyle w:val="Bibliography"/>
        <w:rPr>
          <w:rFonts w:cs="Times New Roman"/>
        </w:rPr>
      </w:pPr>
      <w:r w:rsidRPr="00111F31">
        <w:rPr>
          <w:rFonts w:cs="Times New Roman"/>
        </w:rPr>
        <w:t>Cagigal L, Rueda A, Anderson D, et al (2020) A multivariate, stochastic, climate-based wave emulator for shoreline change modelling. Ocean Modelling 154:101695. https://doi.org/10.1016/j.ocemod.2020.101695</w:t>
      </w:r>
    </w:p>
    <w:p w14:paraId="1997170D" w14:textId="77777777" w:rsidR="00111F31" w:rsidRPr="00111F31" w:rsidRDefault="00111F31" w:rsidP="00111F31">
      <w:pPr>
        <w:pStyle w:val="Bibliography"/>
        <w:rPr>
          <w:rFonts w:cs="Times New Roman"/>
        </w:rPr>
      </w:pPr>
      <w:r w:rsidRPr="00111F31">
        <w:rPr>
          <w:rFonts w:cs="Times New Roman"/>
        </w:rPr>
        <w:lastRenderedPageBreak/>
        <w:t>Camus P, Méndez FJ, Losada IJ, et al (2014a) A method for finding the optimal predictor indices for local wave climate conditions. Ocean Dynamics 64:1025–1038. https://doi.org/10.1007/s10236-014-0737-2</w:t>
      </w:r>
    </w:p>
    <w:p w14:paraId="545C1474" w14:textId="77777777" w:rsidR="00111F31" w:rsidRPr="00111F31" w:rsidRDefault="00111F31" w:rsidP="00111F31">
      <w:pPr>
        <w:pStyle w:val="Bibliography"/>
        <w:rPr>
          <w:rFonts w:cs="Times New Roman"/>
        </w:rPr>
      </w:pPr>
      <w:r w:rsidRPr="00111F31">
        <w:rPr>
          <w:rFonts w:cs="Times New Roman"/>
        </w:rPr>
        <w:t>Camus P, Mendez FJ, Medina R, Cofiño AS (2011) Analysis of clustering and selection algorithms for the study of multivariate wave climate. Coastal Engineering 58:453–462. https://doi.org/10.1016/j.coastaleng.2011.02.003</w:t>
      </w:r>
    </w:p>
    <w:p w14:paraId="6B8991F6" w14:textId="77777777" w:rsidR="00111F31" w:rsidRPr="00111F31" w:rsidRDefault="00111F31" w:rsidP="00111F31">
      <w:pPr>
        <w:pStyle w:val="Bibliography"/>
        <w:rPr>
          <w:rFonts w:cs="Times New Roman"/>
        </w:rPr>
      </w:pPr>
      <w:r w:rsidRPr="00111F31">
        <w:rPr>
          <w:rFonts w:cs="Times New Roman"/>
        </w:rPr>
        <w:t>Camus P, Menéndez M, Méndez FJ, et al (2014b) A weather-type statistical downscaling framework for ocean wave climate. J Geophys Res Oceans 119:7389–7405. https://doi.org/10.1002/2014JC010141</w:t>
      </w:r>
    </w:p>
    <w:p w14:paraId="17B172D2" w14:textId="77777777" w:rsidR="00111F31" w:rsidRPr="00111F31" w:rsidRDefault="00111F31" w:rsidP="00111F31">
      <w:pPr>
        <w:pStyle w:val="Bibliography"/>
        <w:rPr>
          <w:rFonts w:cs="Times New Roman"/>
        </w:rPr>
      </w:pPr>
      <w:r w:rsidRPr="00111F31">
        <w:rPr>
          <w:rFonts w:cs="Times New Roman"/>
        </w:rPr>
        <w:t>Camus P, Rueda A, Méndez FJ, Losada IJ (2016) An atmospheric-to-marine synoptic classification for statistical downscaling marine climate. Ocean Dynamics 66:1589–1601. https://doi.org/10.1007/s10236-016-1004-5</w:t>
      </w:r>
    </w:p>
    <w:p w14:paraId="0D8E9DDC" w14:textId="77777777" w:rsidR="00111F31" w:rsidRPr="00111F31" w:rsidRDefault="00111F31" w:rsidP="00111F31">
      <w:pPr>
        <w:pStyle w:val="Bibliography"/>
        <w:rPr>
          <w:rFonts w:cs="Times New Roman"/>
        </w:rPr>
      </w:pPr>
      <w:r w:rsidRPr="00111F31">
        <w:rPr>
          <w:rFonts w:cs="Times New Roman"/>
        </w:rPr>
        <w:t>Cannon AJ (2012) Regression-Guided Clustering: A Semisupervised Method for Circulation-to-Environment Synoptic Classification. Journal of Applied Meteorology and Climatology 51:185–190. https://doi.org/10.1175/JAMC-D-11-0155.1</w:t>
      </w:r>
    </w:p>
    <w:p w14:paraId="334AC3E9" w14:textId="77777777" w:rsidR="00111F31" w:rsidRPr="00111F31" w:rsidRDefault="00111F31" w:rsidP="00111F31">
      <w:pPr>
        <w:pStyle w:val="Bibliography"/>
        <w:rPr>
          <w:rFonts w:cs="Times New Roman"/>
        </w:rPr>
      </w:pPr>
      <w:r w:rsidRPr="00111F31">
        <w:rPr>
          <w:rFonts w:cs="Times New Roman"/>
        </w:rPr>
        <w:t>Casas-Prat M, Wang XL, Sierra JP (2014) A physical-based statistical method for modeling ocean wave heights. Ocean Modelling 73:59–75. https://doi.org/10.1016/j.ocemod.2013.10.008</w:t>
      </w:r>
    </w:p>
    <w:p w14:paraId="564A83F4" w14:textId="77777777" w:rsidR="00111F31" w:rsidRPr="00111F31" w:rsidRDefault="00111F31" w:rsidP="00111F31">
      <w:pPr>
        <w:pStyle w:val="Bibliography"/>
        <w:rPr>
          <w:rFonts w:cs="Times New Roman"/>
        </w:rPr>
      </w:pPr>
      <w:r w:rsidRPr="00111F31">
        <w:rPr>
          <w:rFonts w:cs="Times New Roman"/>
        </w:rPr>
        <w:t>Cid A, Camus P, Castanedo S, et al (2017) Global reconstructed daily surge levels from the 20th Century Reanalysis (1871–2010). Global and Planetary Change 148:9–21. https://doi.org/10.1016/j.gloplacha.2016.11.006</w:t>
      </w:r>
    </w:p>
    <w:p w14:paraId="03B51E55" w14:textId="77777777" w:rsidR="00111F31" w:rsidRPr="00111F31" w:rsidRDefault="00111F31" w:rsidP="00111F31">
      <w:pPr>
        <w:pStyle w:val="Bibliography"/>
        <w:rPr>
          <w:rFonts w:cs="Times New Roman"/>
        </w:rPr>
      </w:pPr>
      <w:r w:rsidRPr="00111F31">
        <w:rPr>
          <w:rFonts w:cs="Times New Roman"/>
        </w:rPr>
        <w:t>Codiga D (2024) UTide Unified Tidal Analysis and Prediction Functions</w:t>
      </w:r>
    </w:p>
    <w:p w14:paraId="56594B90" w14:textId="77777777" w:rsidR="00111F31" w:rsidRPr="00111F31" w:rsidRDefault="00111F31" w:rsidP="00111F31">
      <w:pPr>
        <w:pStyle w:val="Bibliography"/>
        <w:rPr>
          <w:rFonts w:cs="Times New Roman"/>
        </w:rPr>
      </w:pPr>
      <w:r w:rsidRPr="00111F31">
        <w:rPr>
          <w:rFonts w:cs="Times New Roman"/>
        </w:rPr>
        <w:t>Costa W, Idier D, Rohmer J, et al (2020) Statistical Prediction of Extreme Storm Surges Based on a Fully Supervised Weather-Type Downscaling Model. Journal of Marine Science and Engineering 8:1028. https://doi.org/10.3390/jmse8121028</w:t>
      </w:r>
    </w:p>
    <w:p w14:paraId="3AB4C55B" w14:textId="77777777" w:rsidR="00111F31" w:rsidRPr="00111F31" w:rsidRDefault="00111F31" w:rsidP="00111F31">
      <w:pPr>
        <w:pStyle w:val="Bibliography"/>
        <w:rPr>
          <w:rFonts w:cs="Times New Roman"/>
        </w:rPr>
      </w:pPr>
      <w:r w:rsidRPr="00111F31">
        <w:rPr>
          <w:rFonts w:cs="Times New Roman"/>
        </w:rPr>
        <w:t>Fanti V, Ferreira Ó, Kümmerer V, Loureiro C (2023) Improved estimates of extreme wave conditions in coastal areas from calibrated global reanalyses. Commun Earth Environ 4:1–11. https://doi.org/10.1038/s43247-023-00819-0</w:t>
      </w:r>
    </w:p>
    <w:p w14:paraId="4403F911" w14:textId="77777777" w:rsidR="00111F31" w:rsidRPr="00111F31" w:rsidRDefault="00111F31" w:rsidP="00111F31">
      <w:pPr>
        <w:pStyle w:val="Bibliography"/>
        <w:rPr>
          <w:rFonts w:cs="Times New Roman"/>
        </w:rPr>
      </w:pPr>
      <w:r w:rsidRPr="00111F31">
        <w:rPr>
          <w:rFonts w:cs="Times New Roman"/>
        </w:rPr>
        <w:t>Fowler HJ, Blenkinsop S, Tebaldi C (2007) Linking climate change modelling to impacts studies: recent advances in downscaling techniques for hydrological modelling. International Journal of Climatology 27:1547–1578. https://doi.org/10.1002/joc.1556</w:t>
      </w:r>
    </w:p>
    <w:p w14:paraId="6776E62D" w14:textId="77777777" w:rsidR="00111F31" w:rsidRPr="00111F31" w:rsidRDefault="00111F31" w:rsidP="00111F31">
      <w:pPr>
        <w:pStyle w:val="Bibliography"/>
        <w:rPr>
          <w:rFonts w:cs="Times New Roman"/>
        </w:rPr>
      </w:pPr>
      <w:r w:rsidRPr="00111F31">
        <w:rPr>
          <w:rFonts w:cs="Times New Roman"/>
        </w:rPr>
        <w:lastRenderedPageBreak/>
        <w:t>Gaur A, Simonovic SP (2019) Chapter 4 - Introduction to Physical Scaling: A Model Aimed to Bridge the Gap Between Statistical and Dynamic Downscaling Approaches. In: Teegavarapu R (ed) Trends and Changes in Hydroclimatic Variables. Elsevier, pp 199–273</w:t>
      </w:r>
    </w:p>
    <w:p w14:paraId="576946DB" w14:textId="77777777" w:rsidR="00111F31" w:rsidRPr="00111F31" w:rsidRDefault="00111F31" w:rsidP="00111F31">
      <w:pPr>
        <w:pStyle w:val="Bibliography"/>
        <w:rPr>
          <w:rFonts w:cs="Times New Roman"/>
        </w:rPr>
      </w:pPr>
      <w:r w:rsidRPr="00111F31">
        <w:rPr>
          <w:rFonts w:cs="Times New Roman"/>
        </w:rPr>
        <w:t>Gouldby B, Méndez FJ, Guanche Y, et al (2014) A methodology for deriving extreme nearshore sea conditions for structural design and flood risk analysis. Coastal Engineering 88:15–26. https://doi.org/10.1016/j.coastaleng.2014.01.012</w:t>
      </w:r>
    </w:p>
    <w:p w14:paraId="7CD018B8" w14:textId="77777777" w:rsidR="00111F31" w:rsidRPr="00111F31" w:rsidRDefault="00111F31" w:rsidP="00111F31">
      <w:pPr>
        <w:pStyle w:val="Bibliography"/>
        <w:rPr>
          <w:rFonts w:cs="Times New Roman"/>
        </w:rPr>
      </w:pPr>
      <w:r w:rsidRPr="00111F31">
        <w:rPr>
          <w:rFonts w:cs="Times New Roman"/>
        </w:rPr>
        <w:t>Hastie T, Tibshirani R, Friedman J (2009) The Elements of Statistical Learning: Data Mining, Inference, and Prediction. Springer, New York, NY</w:t>
      </w:r>
    </w:p>
    <w:p w14:paraId="565150E4" w14:textId="77777777" w:rsidR="00111F31" w:rsidRPr="00111F31" w:rsidRDefault="00111F31" w:rsidP="00111F31">
      <w:pPr>
        <w:pStyle w:val="Bibliography"/>
        <w:rPr>
          <w:rFonts w:cs="Times New Roman"/>
        </w:rPr>
      </w:pPr>
      <w:r w:rsidRPr="00111F31">
        <w:rPr>
          <w:rFonts w:cs="Times New Roman"/>
        </w:rPr>
        <w:t>Hegermiller CA, Antolinez J a. A, Rueda A, et al (2017) A Multimodal Wave Spectrum–Based Approach for Statistical Downscaling of Local Wave Climate. Journal of Physical Oceanography 47:375–386. https://doi.org/10.1175/JPO-D-16-0191.1</w:t>
      </w:r>
    </w:p>
    <w:p w14:paraId="08991306" w14:textId="77777777" w:rsidR="00111F31" w:rsidRPr="00111F31" w:rsidRDefault="00111F31" w:rsidP="00111F31">
      <w:pPr>
        <w:pStyle w:val="Bibliography"/>
        <w:rPr>
          <w:rFonts w:cs="Times New Roman"/>
        </w:rPr>
      </w:pPr>
      <w:r w:rsidRPr="00111F31">
        <w:rPr>
          <w:rFonts w:cs="Times New Roman"/>
        </w:rPr>
        <w:t>Hersbach H, Bell B, Berrisford P, et al (2020) The ERA5 global reanalysis. Quarterly Journal of the Royal Meteorological Society 146:1999–2049. https://doi.org/10.1002/qj.3803</w:t>
      </w:r>
    </w:p>
    <w:p w14:paraId="737B78A3" w14:textId="77777777" w:rsidR="00111F31" w:rsidRPr="00111F31" w:rsidRDefault="00111F31" w:rsidP="00111F31">
      <w:pPr>
        <w:pStyle w:val="Bibliography"/>
        <w:rPr>
          <w:rFonts w:cs="Times New Roman"/>
        </w:rPr>
      </w:pPr>
      <w:r w:rsidRPr="00111F31">
        <w:rPr>
          <w:rFonts w:cs="Times New Roman"/>
        </w:rPr>
        <w:t xml:space="preserve">Ireland LG, Robbins J, Neal R, et al (2024) Generating weather pattern definitions over </w:t>
      </w:r>
      <w:r w:rsidRPr="00111F31">
        <w:rPr>
          <w:rFonts w:cs="Times New Roman"/>
          <w:smallCaps/>
        </w:rPr>
        <w:t>South Africa</w:t>
      </w:r>
      <w:r w:rsidRPr="00111F31">
        <w:rPr>
          <w:rFonts w:cs="Times New Roman"/>
        </w:rPr>
        <w:t xml:space="preserve"> suitable for future use in impact‐orientated medium‐range forecasting. Intl Journal of Climatology joc.8396. https://doi.org/10.1002/joc.8396</w:t>
      </w:r>
    </w:p>
    <w:p w14:paraId="62CFEC8A" w14:textId="77777777" w:rsidR="00111F31" w:rsidRPr="00111F31" w:rsidRDefault="00111F31" w:rsidP="00111F31">
      <w:pPr>
        <w:pStyle w:val="Bibliography"/>
        <w:rPr>
          <w:rFonts w:cs="Times New Roman"/>
        </w:rPr>
      </w:pPr>
      <w:r w:rsidRPr="00111F31">
        <w:rPr>
          <w:rFonts w:cs="Times New Roman"/>
        </w:rPr>
        <w:t>Janssen P, Doyle JD, Bidlot J, et al (2002) Impact and feedback of ocean waves on the atmosphere. Advances in Fluid Mechanics 33:155–198</w:t>
      </w:r>
    </w:p>
    <w:p w14:paraId="5DB2568D" w14:textId="77777777" w:rsidR="00111F31" w:rsidRPr="00111F31" w:rsidRDefault="00111F31" w:rsidP="00111F31">
      <w:pPr>
        <w:pStyle w:val="Bibliography"/>
        <w:rPr>
          <w:rFonts w:cs="Times New Roman"/>
        </w:rPr>
      </w:pPr>
      <w:r w:rsidRPr="00111F31">
        <w:rPr>
          <w:rFonts w:cs="Times New Roman"/>
        </w:rPr>
        <w:t>Jenkins LJ, Haigh ID, Camus P, et al (2023) The temporal clustering of storm surge, wave height, and high sea level exceedances around the UK coastline. Nat Hazards 115:1761–1797. https://doi.org/10.1007/s11069-022-05617-z</w:t>
      </w:r>
    </w:p>
    <w:p w14:paraId="1DAF590F" w14:textId="77777777" w:rsidR="00111F31" w:rsidRPr="00111F31" w:rsidRDefault="00111F31" w:rsidP="00111F31">
      <w:pPr>
        <w:pStyle w:val="Bibliography"/>
        <w:rPr>
          <w:rFonts w:cs="Times New Roman"/>
        </w:rPr>
      </w:pPr>
      <w:r w:rsidRPr="00111F31">
        <w:rPr>
          <w:rFonts w:cs="Times New Roman"/>
        </w:rPr>
        <w:t>Jolliffe IT, Cadima J (2016) Principal component analysis: a review and recent developments. Philos Trans A Math Phys Eng Sci 374:20150202. https://doi.org/10.1098/rsta.2015.0202</w:t>
      </w:r>
    </w:p>
    <w:p w14:paraId="6AF85543" w14:textId="77777777" w:rsidR="00111F31" w:rsidRPr="00111F31" w:rsidRDefault="00111F31" w:rsidP="00111F31">
      <w:pPr>
        <w:pStyle w:val="Bibliography"/>
        <w:rPr>
          <w:rFonts w:cs="Times New Roman"/>
        </w:rPr>
      </w:pPr>
      <w:r w:rsidRPr="00111F31">
        <w:rPr>
          <w:rFonts w:cs="Times New Roman"/>
        </w:rPr>
        <w:t>Leonard M, Westra S, Phatak A, et al (2014) A compound event framework for understanding extreme impacts. WIREs Climate Change 5:113–128. https://doi.org/10.1002/wcc.252</w:t>
      </w:r>
    </w:p>
    <w:p w14:paraId="53EBC9C0" w14:textId="77777777" w:rsidR="00111F31" w:rsidRPr="00111F31" w:rsidRDefault="00111F31" w:rsidP="00111F31">
      <w:pPr>
        <w:pStyle w:val="Bibliography"/>
        <w:rPr>
          <w:rFonts w:cs="Times New Roman"/>
        </w:rPr>
      </w:pPr>
      <w:r w:rsidRPr="00111F31">
        <w:rPr>
          <w:rFonts w:cs="Times New Roman"/>
        </w:rPr>
        <w:t>Lucio D, Tomás A, Lara JL, et al (2020) Stochastic modeling of long-term wave climate based on weather patterns for coastal structures applications. Coastal Engineering 161:103771. https://doi.org/10.1016/j.coastaleng.2020.103771</w:t>
      </w:r>
    </w:p>
    <w:p w14:paraId="17A79F7F" w14:textId="77777777" w:rsidR="00111F31" w:rsidRPr="00111F31" w:rsidRDefault="00111F31" w:rsidP="00111F31">
      <w:pPr>
        <w:pStyle w:val="Bibliography"/>
        <w:rPr>
          <w:rFonts w:cs="Times New Roman"/>
        </w:rPr>
      </w:pPr>
      <w:r w:rsidRPr="00111F31">
        <w:rPr>
          <w:rFonts w:cs="Times New Roman"/>
        </w:rPr>
        <w:t xml:space="preserve">Masselink G, Russell P, Rennie A, et al (2020) Impacts of climate change on coastal geomorphology and coastal erosion relevant to the coastal and marine environment </w:t>
      </w:r>
      <w:r w:rsidRPr="00111F31">
        <w:rPr>
          <w:rFonts w:cs="Times New Roman"/>
        </w:rPr>
        <w:lastRenderedPageBreak/>
        <w:t>around the UK. MCCIP Science Review 2020 32 pages. https://doi.org/10.14465/2020.ARC08.CGM</w:t>
      </w:r>
    </w:p>
    <w:p w14:paraId="149E8F53" w14:textId="77777777" w:rsidR="00111F31" w:rsidRPr="00111F31" w:rsidRDefault="00111F31" w:rsidP="00111F31">
      <w:pPr>
        <w:pStyle w:val="Bibliography"/>
        <w:rPr>
          <w:rFonts w:cs="Times New Roman"/>
        </w:rPr>
      </w:pPr>
      <w:r w:rsidRPr="00111F31">
        <w:rPr>
          <w:rFonts w:cs="Times New Roman"/>
        </w:rPr>
        <w:t>Muis S, Apecechea MI, Dullaart J, et al (2020) A High-Resolution Global Dataset of Extreme Sea Levels, Tides, and Storm Surges, Including Future Projections. Frontiers in Marine Science 7:. https://doi.org/10.3389/fmars.2020.00263</w:t>
      </w:r>
    </w:p>
    <w:p w14:paraId="21ED21DF" w14:textId="77777777" w:rsidR="00111F31" w:rsidRPr="00111F31" w:rsidRDefault="00111F31" w:rsidP="00111F31">
      <w:pPr>
        <w:pStyle w:val="Bibliography"/>
        <w:rPr>
          <w:rFonts w:cs="Times New Roman"/>
        </w:rPr>
      </w:pPr>
      <w:r w:rsidRPr="00111F31">
        <w:rPr>
          <w:rFonts w:cs="Times New Roman"/>
        </w:rPr>
        <w:t>Neal R, Dankers R, Saulter A, et al (2018) Use of probabilistic medium- to long-range weather-pattern forecasts for identifying periods with an increased likelihood of coastal flooding around the UK. Meteorological Applications 25:534–547. https://doi.org/10.1002/met.1719</w:t>
      </w:r>
    </w:p>
    <w:p w14:paraId="21391CC3" w14:textId="77777777" w:rsidR="00111F31" w:rsidRPr="00111F31" w:rsidRDefault="00111F31" w:rsidP="00111F31">
      <w:pPr>
        <w:pStyle w:val="Bibliography"/>
        <w:rPr>
          <w:rFonts w:cs="Times New Roman"/>
        </w:rPr>
      </w:pPr>
      <w:r w:rsidRPr="00111F31">
        <w:rPr>
          <w:rFonts w:cs="Times New Roman"/>
        </w:rPr>
        <w:t>Neal R, Fereday D, Crocker R, Comer RE (2016) A flexible approach to defining weather patterns and their application in weather forecasting over Europe. Meteorological Applications 23:389–400. https://doi.org/10.1002/met.1563</w:t>
      </w:r>
    </w:p>
    <w:p w14:paraId="271139E3" w14:textId="77777777" w:rsidR="00111F31" w:rsidRPr="00111F31" w:rsidRDefault="00111F31" w:rsidP="00111F31">
      <w:pPr>
        <w:pStyle w:val="Bibliography"/>
        <w:rPr>
          <w:rFonts w:cs="Times New Roman"/>
        </w:rPr>
      </w:pPr>
      <w:r w:rsidRPr="00111F31">
        <w:rPr>
          <w:rFonts w:cs="Times New Roman"/>
        </w:rPr>
        <w:t>Odériz I, Silva R, Mortlock TR, Mori N (2020) El Niño‐Southern Oscillation Impacts on Global Wave Climate and Potential Coastal Hazards. J Geophys Res Oceans 125:. https://doi.org/10.1029/2020JC016464</w:t>
      </w:r>
    </w:p>
    <w:p w14:paraId="5AE67329" w14:textId="77777777" w:rsidR="00111F31" w:rsidRPr="00111F31" w:rsidRDefault="00111F31" w:rsidP="00111F31">
      <w:pPr>
        <w:pStyle w:val="Bibliography"/>
        <w:rPr>
          <w:rFonts w:cs="Times New Roman"/>
        </w:rPr>
      </w:pPr>
      <w:r w:rsidRPr="00111F31">
        <w:rPr>
          <w:rFonts w:cs="Times New Roman"/>
        </w:rPr>
        <w:t>Pinto JG, Zacharias S, Fink AH, et al (2009) Factors contributing to the development of extreme North Atlantic cyclones and their relationship with the NAO. Clim Dyn 32:711–737. https://doi.org/10.1007/s00382-008-0396-4</w:t>
      </w:r>
    </w:p>
    <w:p w14:paraId="55DCC07D" w14:textId="77777777" w:rsidR="00111F31" w:rsidRPr="00111F31" w:rsidRDefault="00111F31" w:rsidP="00111F31">
      <w:pPr>
        <w:pStyle w:val="Bibliography"/>
        <w:rPr>
          <w:rFonts w:cs="Times New Roman"/>
        </w:rPr>
      </w:pPr>
      <w:r w:rsidRPr="00111F31">
        <w:rPr>
          <w:rFonts w:cs="Times New Roman"/>
        </w:rPr>
        <w:t>Pugh D, Woodworth P (eds) (2014) Storm surges, meteotsunamis and other meteorological effects on sea level. In: Sea-Level Science: Understanding Tides, Surges, Tsunamis and Mean Sea-Level Changes. Cambridge University Press, Cambridge, pp 155–188</w:t>
      </w:r>
    </w:p>
    <w:p w14:paraId="10D15806" w14:textId="77777777" w:rsidR="00111F31" w:rsidRPr="00111F31" w:rsidRDefault="00111F31" w:rsidP="00111F31">
      <w:pPr>
        <w:pStyle w:val="Bibliography"/>
        <w:rPr>
          <w:rFonts w:cs="Times New Roman"/>
        </w:rPr>
      </w:pPr>
      <w:r w:rsidRPr="00111F31">
        <w:rPr>
          <w:rFonts w:cs="Times New Roman"/>
        </w:rPr>
        <w:t>Rueda A, Cagigal L, Antolínez JAA, et al (2019) Marine climate variability based on weather patterns for a complicated island setting: The New Zealand case. International Journal of Climatology 39:1777–1786. https://doi.org/10.1002/joc.5912</w:t>
      </w:r>
    </w:p>
    <w:p w14:paraId="4A2AA523" w14:textId="77777777" w:rsidR="00111F31" w:rsidRPr="00111F31" w:rsidRDefault="00111F31" w:rsidP="00111F31">
      <w:pPr>
        <w:pStyle w:val="Bibliography"/>
        <w:rPr>
          <w:rFonts w:cs="Times New Roman"/>
        </w:rPr>
      </w:pPr>
      <w:r w:rsidRPr="00111F31">
        <w:rPr>
          <w:rFonts w:cs="Times New Roman"/>
        </w:rPr>
        <w:t>Rueda A, Camus P, Tomás A, et al (2016) A multivariate extreme wave and storm surge climate emulator based on weather patterns. Ocean Modelling 104:242–251. https://doi.org/10.1016/j.ocemod.2016.06.008</w:t>
      </w:r>
    </w:p>
    <w:p w14:paraId="610E0A14" w14:textId="77777777" w:rsidR="00111F31" w:rsidRPr="00111F31" w:rsidRDefault="00111F31" w:rsidP="00111F31">
      <w:pPr>
        <w:pStyle w:val="Bibliography"/>
        <w:rPr>
          <w:rFonts w:cs="Times New Roman"/>
        </w:rPr>
      </w:pPr>
      <w:r w:rsidRPr="00111F31">
        <w:rPr>
          <w:rFonts w:cs="Times New Roman"/>
        </w:rPr>
        <w:t>Schoof JT (2013) Statistical Downscaling in Climatology. Geography Compass 7:249–265. https://doi.org/10.1111/gec3.12036</w:t>
      </w:r>
    </w:p>
    <w:p w14:paraId="72A57D5A" w14:textId="77777777" w:rsidR="00111F31" w:rsidRPr="00111F31" w:rsidRDefault="00111F31" w:rsidP="00111F31">
      <w:pPr>
        <w:pStyle w:val="Bibliography"/>
        <w:rPr>
          <w:rFonts w:cs="Times New Roman"/>
        </w:rPr>
      </w:pPr>
      <w:r w:rsidRPr="00111F31">
        <w:rPr>
          <w:rFonts w:cs="Times New Roman"/>
        </w:rPr>
        <w:t>Scott T, McCarroll RJ, Masselink G, et al (2021) Role of Atmospheric Indices in Describing Inshore Directional Wave Climate in the United Kingdom and Ireland. Earth’s Future 9:e2020EF001625. https://doi.org/10.1029/2020EF001625</w:t>
      </w:r>
    </w:p>
    <w:p w14:paraId="51C6C89A" w14:textId="77777777" w:rsidR="00111F31" w:rsidRPr="00111F31" w:rsidRDefault="00111F31" w:rsidP="00111F31">
      <w:pPr>
        <w:pStyle w:val="Bibliography"/>
        <w:rPr>
          <w:rFonts w:cs="Times New Roman"/>
        </w:rPr>
      </w:pPr>
      <w:r w:rsidRPr="00111F31">
        <w:rPr>
          <w:rFonts w:cs="Times New Roman"/>
        </w:rPr>
        <w:lastRenderedPageBreak/>
        <w:t>Snarey M, Terrett NK, Willett P, Wilton DJ (1997) Comparison of algorithms for dissimilarity-based compound selection. Journal of Molecular Graphics and Modelling 15:372–385. https://doi.org/10.1016/S1093-3263(98)00008-4</w:t>
      </w:r>
    </w:p>
    <w:p w14:paraId="520A8CCB" w14:textId="77777777" w:rsidR="00111F31" w:rsidRPr="00111F31" w:rsidRDefault="00111F31" w:rsidP="00111F31">
      <w:pPr>
        <w:pStyle w:val="Bibliography"/>
        <w:rPr>
          <w:rFonts w:cs="Times New Roman"/>
        </w:rPr>
      </w:pPr>
      <w:r w:rsidRPr="00111F31">
        <w:rPr>
          <w:rFonts w:cs="Times New Roman"/>
        </w:rPr>
        <w:t>Taylor KE (2001) Summarizing multiple aspects of model performance in a single diagram. Journal of Geophysical Research: Atmospheres 106:7183–7192. https://doi.org/10.1029/2000JD900719</w:t>
      </w:r>
    </w:p>
    <w:p w14:paraId="79C82135" w14:textId="77777777" w:rsidR="00111F31" w:rsidRPr="00111F31" w:rsidRDefault="00111F31" w:rsidP="00111F31">
      <w:pPr>
        <w:pStyle w:val="Bibliography"/>
        <w:rPr>
          <w:rFonts w:cs="Times New Roman"/>
        </w:rPr>
      </w:pPr>
      <w:r w:rsidRPr="00111F31">
        <w:rPr>
          <w:rFonts w:cs="Times New Roman"/>
        </w:rPr>
        <w:t>The WAMDI Group (1988) The WAM Model—A Third Generation Ocean Wave Prediction Model</w:t>
      </w:r>
    </w:p>
    <w:p w14:paraId="0DAEE9D0" w14:textId="77777777" w:rsidR="00111F31" w:rsidRPr="00111F31" w:rsidRDefault="00111F31" w:rsidP="00111F31">
      <w:pPr>
        <w:pStyle w:val="Bibliography"/>
        <w:rPr>
          <w:rFonts w:cs="Times New Roman"/>
        </w:rPr>
      </w:pPr>
      <w:r w:rsidRPr="00111F31">
        <w:rPr>
          <w:rFonts w:cs="Times New Roman"/>
        </w:rPr>
        <w:t>Toimil A, Losada IJ, Camus P, Díaz-Simal P (2017) Managing coastal erosion under climate change at the regional scale. Coastal Engineering 128:106–122. https://doi.org/10.1016/j.coastaleng.2017.08.004</w:t>
      </w:r>
    </w:p>
    <w:p w14:paraId="0A4C9846" w14:textId="77777777" w:rsidR="00111F31" w:rsidRPr="00111F31" w:rsidRDefault="00111F31" w:rsidP="00111F31">
      <w:pPr>
        <w:pStyle w:val="Bibliography"/>
        <w:rPr>
          <w:rFonts w:cs="Times New Roman"/>
        </w:rPr>
      </w:pPr>
      <w:r w:rsidRPr="00111F31">
        <w:rPr>
          <w:rFonts w:cs="Times New Roman"/>
        </w:rPr>
        <w:t>Vousdoukas MI, Mentaschi L, Voukouvalas E, et al (2018) Global probabilistic projections of extreme sea levels show intensification of coastal flood hazard. Nat Commun 9:2360. https://doi.org/10.1038/s41467-018-04692-w</w:t>
      </w:r>
    </w:p>
    <w:p w14:paraId="377A6263" w14:textId="77777777" w:rsidR="00111F31" w:rsidRPr="00111F31" w:rsidRDefault="00111F31" w:rsidP="00111F31">
      <w:pPr>
        <w:pStyle w:val="Bibliography"/>
        <w:rPr>
          <w:rFonts w:cs="Times New Roman"/>
        </w:rPr>
      </w:pPr>
      <w:r w:rsidRPr="00111F31">
        <w:rPr>
          <w:rFonts w:cs="Times New Roman"/>
        </w:rPr>
        <w:t>Vousdoukas MI, Ranasinghe R, Mentaschi L, et al (2020) Sandy coastlines under threat of erosion. Nat Clim Chang 10:260–263. https://doi.org/10.1038/s41558-020-0697-0</w:t>
      </w:r>
    </w:p>
    <w:p w14:paraId="6D1D4934" w14:textId="77777777" w:rsidR="00111F31" w:rsidRPr="00111F31" w:rsidRDefault="00111F31" w:rsidP="00111F31">
      <w:pPr>
        <w:pStyle w:val="Bibliography"/>
        <w:rPr>
          <w:rFonts w:cs="Times New Roman"/>
        </w:rPr>
      </w:pPr>
      <w:r w:rsidRPr="00111F31">
        <w:rPr>
          <w:rFonts w:cs="Times New Roman"/>
        </w:rPr>
        <w:t>Wahl T, Mudersbach C, Jensen J (2011) Assessing the hydrodynamic boundary conditions for risk analyses in coastal areas: a stochastic storm surge model. Natural Hazards and Earth System Sciences 11:2925–2939. https://doi.org/10.5194/nhess-11-2925-2011</w:t>
      </w:r>
    </w:p>
    <w:p w14:paraId="178E368C" w14:textId="77777777" w:rsidR="00111F31" w:rsidRPr="00111F31" w:rsidRDefault="00111F31" w:rsidP="00111F31">
      <w:pPr>
        <w:pStyle w:val="Bibliography"/>
        <w:rPr>
          <w:rFonts w:cs="Times New Roman"/>
        </w:rPr>
      </w:pPr>
      <w:r w:rsidRPr="00111F31">
        <w:rPr>
          <w:rFonts w:cs="Times New Roman"/>
        </w:rPr>
        <w:t>Wang XL, Feng Y, Swail VR (2012) North Atlantic wave height trends as reconstructed from the 20th century reanalysis. Geophysical Research Letters 39:. https://doi.org/10.1029/2012GL053381</w:t>
      </w:r>
    </w:p>
    <w:p w14:paraId="45CF46A4" w14:textId="77777777" w:rsidR="00111F31" w:rsidRPr="00111F31" w:rsidRDefault="00111F31" w:rsidP="00111F31">
      <w:pPr>
        <w:pStyle w:val="Bibliography"/>
        <w:rPr>
          <w:rFonts w:cs="Times New Roman"/>
        </w:rPr>
      </w:pPr>
      <w:r w:rsidRPr="00111F31">
        <w:rPr>
          <w:rFonts w:cs="Times New Roman"/>
        </w:rPr>
        <w:t>Wang XL, Swail VR (2006) Climate change signal and uncertainty in projections of ocean wave heights. Clim Dyn 26:109–126. https://doi.org/10.1007/s00382-005-0080-x</w:t>
      </w:r>
    </w:p>
    <w:p w14:paraId="3BD5DABE" w14:textId="77777777" w:rsidR="00111F31" w:rsidRPr="00111F31" w:rsidRDefault="00111F31" w:rsidP="00111F31">
      <w:pPr>
        <w:pStyle w:val="Bibliography"/>
        <w:rPr>
          <w:rFonts w:cs="Times New Roman"/>
        </w:rPr>
      </w:pPr>
      <w:r w:rsidRPr="00111F31">
        <w:rPr>
          <w:rFonts w:cs="Times New Roman"/>
        </w:rPr>
        <w:t>Wang XL, Swail VR, Cox A (2010) Dynamical versus statistical downscaling methods for ocean wave heights. International Journal of Climatology 30:317–332. https://doi.org/10.1002/joc.1899</w:t>
      </w:r>
    </w:p>
    <w:p w14:paraId="16358AB6" w14:textId="77777777" w:rsidR="00111F31" w:rsidRPr="00111F31" w:rsidRDefault="00111F31" w:rsidP="00111F31">
      <w:pPr>
        <w:pStyle w:val="Bibliography"/>
        <w:rPr>
          <w:rFonts w:cs="Times New Roman"/>
        </w:rPr>
      </w:pPr>
      <w:r w:rsidRPr="00111F31">
        <w:rPr>
          <w:rFonts w:cs="Times New Roman"/>
        </w:rPr>
        <w:t>Wilby RL, Wigley TML (1997) Downscaling general circulation model output: a review of methods and limitations. Progress in Physical Geography: Earth and Environment 21:530–548. https://doi.org/10.1177/030913339702100403</w:t>
      </w:r>
    </w:p>
    <w:p w14:paraId="1F1719DF" w14:textId="77777777" w:rsidR="00111F31" w:rsidRPr="00111F31" w:rsidRDefault="00111F31" w:rsidP="00111F31">
      <w:pPr>
        <w:pStyle w:val="Bibliography"/>
        <w:rPr>
          <w:rFonts w:cs="Times New Roman"/>
        </w:rPr>
      </w:pPr>
      <w:r w:rsidRPr="00111F31">
        <w:rPr>
          <w:rFonts w:cs="Times New Roman"/>
        </w:rPr>
        <w:t>Xu Z, Hou Z, Han Y, Guo W (2016) A diagram for evaluating multiple aspects of model performance in simulating vector fields. Geoscientific Model Development 9:4365–4380. https://doi.org/10.5194/gmd-9-4365-2016</w:t>
      </w:r>
    </w:p>
    <w:p w14:paraId="54484ADD" w14:textId="77777777" w:rsidR="00111F31" w:rsidRPr="00111F31" w:rsidRDefault="00111F31" w:rsidP="00111F31">
      <w:pPr>
        <w:pStyle w:val="Bibliography"/>
        <w:rPr>
          <w:rFonts w:cs="Times New Roman"/>
        </w:rPr>
      </w:pPr>
      <w:r w:rsidRPr="00111F31">
        <w:rPr>
          <w:rFonts w:cs="Times New Roman"/>
        </w:rPr>
        <w:lastRenderedPageBreak/>
        <w:t>Zhao G, Li D, Camus P, et al (2024) Weather-type statistical downscaling for ocean wave climate in the Chinese marginal seas. Ocean Modelling 187:102297. https://doi.org/10.1016/j.ocemod.2023.102297</w:t>
      </w:r>
    </w:p>
    <w:p w14:paraId="3489EA95" w14:textId="119C50E9" w:rsidR="00CB60FF" w:rsidRPr="009A7D9F" w:rsidRDefault="001A4754" w:rsidP="00085EEF">
      <w:pPr>
        <w:pStyle w:val="ref"/>
        <w:ind w:left="662" w:hangingChars="276" w:hanging="662"/>
      </w:pPr>
      <w:r>
        <w:fldChar w:fldCharType="end"/>
      </w:r>
    </w:p>
    <w:sectPr w:rsidR="00CB60FF" w:rsidRPr="009A7D9F" w:rsidSect="00EC55D4">
      <w:footerReference w:type="default" r:id="rId23"/>
      <w:pgSz w:w="11906" w:h="16838" w:code="9"/>
      <w:pgMar w:top="1440" w:right="1416" w:bottom="1440" w:left="1797" w:header="851" w:footer="992" w:gutter="0"/>
      <w:lnNumType w:countBy="1" w:restart="continuous"/>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8CB90" w14:textId="77777777" w:rsidR="00E53893" w:rsidRDefault="00E53893" w:rsidP="000C41CC">
      <w:r>
        <w:separator/>
      </w:r>
    </w:p>
  </w:endnote>
  <w:endnote w:type="continuationSeparator" w:id="0">
    <w:p w14:paraId="091A50BD" w14:textId="77777777" w:rsidR="00E53893" w:rsidRDefault="00E53893" w:rsidP="000C4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MinionPro-Regular">
    <w:altName w:val="Cambria"/>
    <w:panose1 w:val="00000000000000000000"/>
    <w:charset w:val="00"/>
    <w:family w:val="roman"/>
    <w:notTrueType/>
    <w:pitch w:val="default"/>
  </w:font>
  <w:font w:name="EuclidSymbol">
    <w:altName w:val="Times New Roman"/>
    <w:panose1 w:val="00000000000000000000"/>
    <w:charset w:val="00"/>
    <w:family w:val="roman"/>
    <w:notTrueType/>
    <w:pitch w:val="default"/>
  </w:font>
  <w:font w:name="CMR10">
    <w:altName w:val="Times New Roman"/>
    <w:panose1 w:val="00000000000000000000"/>
    <w:charset w:val="00"/>
    <w:family w:val="roman"/>
    <w:notTrueType/>
    <w:pitch w:val="default"/>
  </w:font>
  <w:font w:name="FangSong">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393432314"/>
      <w:docPartObj>
        <w:docPartGallery w:val="Page Numbers (Bottom of Page)"/>
        <w:docPartUnique/>
      </w:docPartObj>
    </w:sdtPr>
    <w:sdtContent>
      <w:p w14:paraId="68DDF11E" w14:textId="65701AD0" w:rsidR="00135A83" w:rsidRDefault="00135A83">
        <w:pPr>
          <w:pStyle w:val="Footer"/>
          <w:jc w:val="right"/>
        </w:pPr>
        <w:r>
          <w:fldChar w:fldCharType="begin"/>
        </w:r>
        <w:r>
          <w:instrText>PAGE   \* MERGEFORMAT</w:instrText>
        </w:r>
        <w:r>
          <w:fldChar w:fldCharType="separate"/>
        </w:r>
        <w:r w:rsidR="00A00CF0" w:rsidRPr="00A00CF0">
          <w:rPr>
            <w:noProof/>
            <w:lang w:val="zh-CN"/>
          </w:rPr>
          <w:t>2</w:t>
        </w:r>
        <w:r>
          <w:fldChar w:fldCharType="end"/>
        </w:r>
      </w:p>
    </w:sdtContent>
  </w:sdt>
  <w:p w14:paraId="2CCF3EDF" w14:textId="07ABE788" w:rsidR="00135A83" w:rsidRDefault="00135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709AB" w14:textId="77777777" w:rsidR="00E53893" w:rsidRDefault="00E53893" w:rsidP="000C41CC">
      <w:r>
        <w:separator/>
      </w:r>
    </w:p>
  </w:footnote>
  <w:footnote w:type="continuationSeparator" w:id="0">
    <w:p w14:paraId="1094EEFB" w14:textId="77777777" w:rsidR="00E53893" w:rsidRDefault="00E53893" w:rsidP="000C4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singleLevel"/>
    <w:tmpl w:val="0000000C"/>
    <w:lvl w:ilvl="0">
      <w:start w:val="1"/>
      <w:numFmt w:val="decimal"/>
      <w:lvlText w:val="%1."/>
      <w:lvlJc w:val="left"/>
      <w:pPr>
        <w:tabs>
          <w:tab w:val="num" w:pos="425"/>
        </w:tabs>
        <w:ind w:left="425" w:hanging="425"/>
      </w:pPr>
    </w:lvl>
  </w:abstractNum>
  <w:abstractNum w:abstractNumId="1" w15:restartNumberingAfterBreak="0">
    <w:nsid w:val="00B54C3C"/>
    <w:multiLevelType w:val="hybridMultilevel"/>
    <w:tmpl w:val="CC16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57DA2"/>
    <w:multiLevelType w:val="hybridMultilevel"/>
    <w:tmpl w:val="5426C9D8"/>
    <w:lvl w:ilvl="0" w:tplc="380A5F4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18AC286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5C10C0"/>
    <w:multiLevelType w:val="multilevel"/>
    <w:tmpl w:val="A70AC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7B4D95"/>
    <w:multiLevelType w:val="hybridMultilevel"/>
    <w:tmpl w:val="EA1CBE66"/>
    <w:lvl w:ilvl="0" w:tplc="6562E2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8615A8C"/>
    <w:multiLevelType w:val="hybridMultilevel"/>
    <w:tmpl w:val="D5C8DD54"/>
    <w:lvl w:ilvl="0" w:tplc="979A7F3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CA53D27"/>
    <w:multiLevelType w:val="hybridMultilevel"/>
    <w:tmpl w:val="F5FA1104"/>
    <w:lvl w:ilvl="0" w:tplc="408A64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54F3B59"/>
    <w:multiLevelType w:val="multilevel"/>
    <w:tmpl w:val="FF54B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780903"/>
    <w:multiLevelType w:val="multilevel"/>
    <w:tmpl w:val="D4426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6345C3"/>
    <w:multiLevelType w:val="hybridMultilevel"/>
    <w:tmpl w:val="99FE2C08"/>
    <w:lvl w:ilvl="0" w:tplc="95C40F84">
      <w:start w:val="1"/>
      <w:numFmt w:val="lowerLetter"/>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8237663"/>
    <w:multiLevelType w:val="hybridMultilevel"/>
    <w:tmpl w:val="FC586B42"/>
    <w:lvl w:ilvl="0" w:tplc="DE8EA9A0">
      <w:start w:val="1"/>
      <w:numFmt w:val="lowerLetter"/>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2" w15:restartNumberingAfterBreak="0">
    <w:nsid w:val="6FDE755F"/>
    <w:multiLevelType w:val="hybridMultilevel"/>
    <w:tmpl w:val="FA80B70C"/>
    <w:lvl w:ilvl="0" w:tplc="FE00F956">
      <w:start w:val="1"/>
      <w:numFmt w:val="lowerLetter"/>
      <w:lvlText w:val="%1)"/>
      <w:lvlJc w:val="left"/>
      <w:pPr>
        <w:ind w:left="1020" w:hanging="360"/>
      </w:pPr>
    </w:lvl>
    <w:lvl w:ilvl="1" w:tplc="010202AA">
      <w:start w:val="1"/>
      <w:numFmt w:val="lowerLetter"/>
      <w:lvlText w:val="%2)"/>
      <w:lvlJc w:val="left"/>
      <w:pPr>
        <w:ind w:left="1020" w:hanging="360"/>
      </w:pPr>
    </w:lvl>
    <w:lvl w:ilvl="2" w:tplc="884092A2">
      <w:start w:val="1"/>
      <w:numFmt w:val="lowerLetter"/>
      <w:lvlText w:val="%3)"/>
      <w:lvlJc w:val="left"/>
      <w:pPr>
        <w:ind w:left="1020" w:hanging="360"/>
      </w:pPr>
    </w:lvl>
    <w:lvl w:ilvl="3" w:tplc="FED2417E">
      <w:start w:val="1"/>
      <w:numFmt w:val="lowerLetter"/>
      <w:lvlText w:val="%4)"/>
      <w:lvlJc w:val="left"/>
      <w:pPr>
        <w:ind w:left="1020" w:hanging="360"/>
      </w:pPr>
    </w:lvl>
    <w:lvl w:ilvl="4" w:tplc="E9363C92">
      <w:start w:val="1"/>
      <w:numFmt w:val="lowerLetter"/>
      <w:lvlText w:val="%5)"/>
      <w:lvlJc w:val="left"/>
      <w:pPr>
        <w:ind w:left="1020" w:hanging="360"/>
      </w:pPr>
    </w:lvl>
    <w:lvl w:ilvl="5" w:tplc="308860C8">
      <w:start w:val="1"/>
      <w:numFmt w:val="lowerLetter"/>
      <w:lvlText w:val="%6)"/>
      <w:lvlJc w:val="left"/>
      <w:pPr>
        <w:ind w:left="1020" w:hanging="360"/>
      </w:pPr>
    </w:lvl>
    <w:lvl w:ilvl="6" w:tplc="536A78C0">
      <w:start w:val="1"/>
      <w:numFmt w:val="lowerLetter"/>
      <w:lvlText w:val="%7)"/>
      <w:lvlJc w:val="left"/>
      <w:pPr>
        <w:ind w:left="1020" w:hanging="360"/>
      </w:pPr>
    </w:lvl>
    <w:lvl w:ilvl="7" w:tplc="E2E8768E">
      <w:start w:val="1"/>
      <w:numFmt w:val="lowerLetter"/>
      <w:lvlText w:val="%8)"/>
      <w:lvlJc w:val="left"/>
      <w:pPr>
        <w:ind w:left="1020" w:hanging="360"/>
      </w:pPr>
    </w:lvl>
    <w:lvl w:ilvl="8" w:tplc="867A72E6">
      <w:start w:val="1"/>
      <w:numFmt w:val="lowerLetter"/>
      <w:lvlText w:val="%9)"/>
      <w:lvlJc w:val="left"/>
      <w:pPr>
        <w:ind w:left="1020" w:hanging="360"/>
      </w:pPr>
    </w:lvl>
  </w:abstractNum>
  <w:abstractNum w:abstractNumId="13" w15:restartNumberingAfterBreak="0">
    <w:nsid w:val="762C3AFC"/>
    <w:multiLevelType w:val="hybridMultilevel"/>
    <w:tmpl w:val="63344DA4"/>
    <w:lvl w:ilvl="0" w:tplc="D18A34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260118"/>
    <w:multiLevelType w:val="hybridMultilevel"/>
    <w:tmpl w:val="B0F05298"/>
    <w:lvl w:ilvl="0" w:tplc="78E430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53133623">
    <w:abstractNumId w:val="8"/>
  </w:num>
  <w:num w:numId="2" w16cid:durableId="655454100">
    <w:abstractNumId w:val="10"/>
  </w:num>
  <w:num w:numId="3" w16cid:durableId="252133009">
    <w:abstractNumId w:val="9"/>
  </w:num>
  <w:num w:numId="4" w16cid:durableId="2133743579">
    <w:abstractNumId w:val="4"/>
  </w:num>
  <w:num w:numId="5" w16cid:durableId="501089389">
    <w:abstractNumId w:val="5"/>
  </w:num>
  <w:num w:numId="6" w16cid:durableId="2143037512">
    <w:abstractNumId w:val="14"/>
  </w:num>
  <w:num w:numId="7" w16cid:durableId="1974691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6217078">
    <w:abstractNumId w:val="13"/>
  </w:num>
  <w:num w:numId="9" w16cid:durableId="1227180134">
    <w:abstractNumId w:val="0"/>
    <w:lvlOverride w:ilvl="0">
      <w:startOverride w:val="1"/>
    </w:lvlOverride>
  </w:num>
  <w:num w:numId="10" w16cid:durableId="1568177595">
    <w:abstractNumId w:val="11"/>
  </w:num>
  <w:num w:numId="11" w16cid:durableId="977223156">
    <w:abstractNumId w:val="6"/>
  </w:num>
  <w:num w:numId="12" w16cid:durableId="1108282844">
    <w:abstractNumId w:val="7"/>
  </w:num>
  <w:num w:numId="13" w16cid:durableId="1803309131">
    <w:abstractNumId w:val="3"/>
  </w:num>
  <w:num w:numId="14" w16cid:durableId="681782418">
    <w:abstractNumId w:val="12"/>
  </w:num>
  <w:num w:numId="15" w16cid:durableId="1640959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2tLQwNjU1MjExtDBU0lEKTi0uzszPAykwtqgFAAUbz4MtAAAA"/>
  </w:docVars>
  <w:rsids>
    <w:rsidRoot w:val="00172A27"/>
    <w:rsid w:val="000000DF"/>
    <w:rsid w:val="00000144"/>
    <w:rsid w:val="000001A6"/>
    <w:rsid w:val="0000064D"/>
    <w:rsid w:val="00000664"/>
    <w:rsid w:val="00000E87"/>
    <w:rsid w:val="0000111E"/>
    <w:rsid w:val="000012EA"/>
    <w:rsid w:val="000013BC"/>
    <w:rsid w:val="00001841"/>
    <w:rsid w:val="0000189F"/>
    <w:rsid w:val="00001B81"/>
    <w:rsid w:val="00001C55"/>
    <w:rsid w:val="00001D0E"/>
    <w:rsid w:val="00001D66"/>
    <w:rsid w:val="00001F4C"/>
    <w:rsid w:val="00002643"/>
    <w:rsid w:val="00002801"/>
    <w:rsid w:val="00002963"/>
    <w:rsid w:val="0000296B"/>
    <w:rsid w:val="00002C68"/>
    <w:rsid w:val="00002DE0"/>
    <w:rsid w:val="00002F66"/>
    <w:rsid w:val="00003003"/>
    <w:rsid w:val="0000310A"/>
    <w:rsid w:val="0000311D"/>
    <w:rsid w:val="00003157"/>
    <w:rsid w:val="00003228"/>
    <w:rsid w:val="00003381"/>
    <w:rsid w:val="00003AC1"/>
    <w:rsid w:val="00003B30"/>
    <w:rsid w:val="00003CC0"/>
    <w:rsid w:val="00003F93"/>
    <w:rsid w:val="00004003"/>
    <w:rsid w:val="0000409A"/>
    <w:rsid w:val="00004137"/>
    <w:rsid w:val="000046ED"/>
    <w:rsid w:val="000047C3"/>
    <w:rsid w:val="0000496E"/>
    <w:rsid w:val="00004BCE"/>
    <w:rsid w:val="00005208"/>
    <w:rsid w:val="00005244"/>
    <w:rsid w:val="0000572C"/>
    <w:rsid w:val="000057C9"/>
    <w:rsid w:val="00005B13"/>
    <w:rsid w:val="00005CE2"/>
    <w:rsid w:val="00005D5B"/>
    <w:rsid w:val="00005F93"/>
    <w:rsid w:val="000066BB"/>
    <w:rsid w:val="000067F5"/>
    <w:rsid w:val="00007C1C"/>
    <w:rsid w:val="00010017"/>
    <w:rsid w:val="000103D5"/>
    <w:rsid w:val="00010402"/>
    <w:rsid w:val="00010445"/>
    <w:rsid w:val="0001078B"/>
    <w:rsid w:val="00010830"/>
    <w:rsid w:val="0001096E"/>
    <w:rsid w:val="00010A8F"/>
    <w:rsid w:val="00010E5C"/>
    <w:rsid w:val="00010E8B"/>
    <w:rsid w:val="00010E96"/>
    <w:rsid w:val="00010EE8"/>
    <w:rsid w:val="00011027"/>
    <w:rsid w:val="000112EA"/>
    <w:rsid w:val="00011368"/>
    <w:rsid w:val="000115EB"/>
    <w:rsid w:val="000117B0"/>
    <w:rsid w:val="00011893"/>
    <w:rsid w:val="0001234D"/>
    <w:rsid w:val="00012A3C"/>
    <w:rsid w:val="00012BA0"/>
    <w:rsid w:val="00012C0A"/>
    <w:rsid w:val="00012E7C"/>
    <w:rsid w:val="000132A9"/>
    <w:rsid w:val="0001369F"/>
    <w:rsid w:val="00013D05"/>
    <w:rsid w:val="00013E4B"/>
    <w:rsid w:val="0001405D"/>
    <w:rsid w:val="0001421A"/>
    <w:rsid w:val="00014A13"/>
    <w:rsid w:val="00014A60"/>
    <w:rsid w:val="000150BE"/>
    <w:rsid w:val="0001513D"/>
    <w:rsid w:val="00015385"/>
    <w:rsid w:val="0001565E"/>
    <w:rsid w:val="00015B19"/>
    <w:rsid w:val="00015C21"/>
    <w:rsid w:val="000160C3"/>
    <w:rsid w:val="0001655C"/>
    <w:rsid w:val="0001698A"/>
    <w:rsid w:val="00016A82"/>
    <w:rsid w:val="0001705E"/>
    <w:rsid w:val="0001724B"/>
    <w:rsid w:val="000172FC"/>
    <w:rsid w:val="000175EB"/>
    <w:rsid w:val="00017BD8"/>
    <w:rsid w:val="0002002E"/>
    <w:rsid w:val="000204D7"/>
    <w:rsid w:val="000207E5"/>
    <w:rsid w:val="00020CC2"/>
    <w:rsid w:val="00020D17"/>
    <w:rsid w:val="00020E0F"/>
    <w:rsid w:val="00020E18"/>
    <w:rsid w:val="00021881"/>
    <w:rsid w:val="000219F2"/>
    <w:rsid w:val="00021A97"/>
    <w:rsid w:val="00022749"/>
    <w:rsid w:val="000228B5"/>
    <w:rsid w:val="00022991"/>
    <w:rsid w:val="0002324D"/>
    <w:rsid w:val="000235BA"/>
    <w:rsid w:val="000236ED"/>
    <w:rsid w:val="000237D6"/>
    <w:rsid w:val="00023A3F"/>
    <w:rsid w:val="00023B9B"/>
    <w:rsid w:val="00023C0D"/>
    <w:rsid w:val="00023C2A"/>
    <w:rsid w:val="00023FBA"/>
    <w:rsid w:val="00024053"/>
    <w:rsid w:val="00024675"/>
    <w:rsid w:val="0002484A"/>
    <w:rsid w:val="00024AC0"/>
    <w:rsid w:val="00025137"/>
    <w:rsid w:val="00025404"/>
    <w:rsid w:val="00025536"/>
    <w:rsid w:val="00025B15"/>
    <w:rsid w:val="00026D1F"/>
    <w:rsid w:val="000270F5"/>
    <w:rsid w:val="00027AD2"/>
    <w:rsid w:val="00027D48"/>
    <w:rsid w:val="00027F06"/>
    <w:rsid w:val="00027F3A"/>
    <w:rsid w:val="00030154"/>
    <w:rsid w:val="000302CC"/>
    <w:rsid w:val="00030CE1"/>
    <w:rsid w:val="000314E2"/>
    <w:rsid w:val="00031678"/>
    <w:rsid w:val="00031FBE"/>
    <w:rsid w:val="000322CA"/>
    <w:rsid w:val="00032896"/>
    <w:rsid w:val="00032A8F"/>
    <w:rsid w:val="00032BC9"/>
    <w:rsid w:val="0003303B"/>
    <w:rsid w:val="00033769"/>
    <w:rsid w:val="0003382F"/>
    <w:rsid w:val="000340D8"/>
    <w:rsid w:val="00034149"/>
    <w:rsid w:val="000341A1"/>
    <w:rsid w:val="000341C5"/>
    <w:rsid w:val="0003467E"/>
    <w:rsid w:val="00034A39"/>
    <w:rsid w:val="00034B3F"/>
    <w:rsid w:val="00034C06"/>
    <w:rsid w:val="00034D56"/>
    <w:rsid w:val="0003534E"/>
    <w:rsid w:val="0003536E"/>
    <w:rsid w:val="000357E1"/>
    <w:rsid w:val="000359EF"/>
    <w:rsid w:val="00036450"/>
    <w:rsid w:val="000368D8"/>
    <w:rsid w:val="00036A35"/>
    <w:rsid w:val="00037231"/>
    <w:rsid w:val="0003745D"/>
    <w:rsid w:val="000375A8"/>
    <w:rsid w:val="0004024B"/>
    <w:rsid w:val="00040270"/>
    <w:rsid w:val="0004028A"/>
    <w:rsid w:val="000408E2"/>
    <w:rsid w:val="00040B61"/>
    <w:rsid w:val="00041824"/>
    <w:rsid w:val="000418C8"/>
    <w:rsid w:val="0004191D"/>
    <w:rsid w:val="00041951"/>
    <w:rsid w:val="00041E45"/>
    <w:rsid w:val="000426EA"/>
    <w:rsid w:val="000429B4"/>
    <w:rsid w:val="00042A6C"/>
    <w:rsid w:val="000435DB"/>
    <w:rsid w:val="000438AE"/>
    <w:rsid w:val="00044022"/>
    <w:rsid w:val="000446E6"/>
    <w:rsid w:val="00044760"/>
    <w:rsid w:val="000449F3"/>
    <w:rsid w:val="00044B15"/>
    <w:rsid w:val="00044F54"/>
    <w:rsid w:val="00044FA3"/>
    <w:rsid w:val="00045031"/>
    <w:rsid w:val="000453FA"/>
    <w:rsid w:val="00045401"/>
    <w:rsid w:val="00045760"/>
    <w:rsid w:val="00045850"/>
    <w:rsid w:val="00045F81"/>
    <w:rsid w:val="0004655C"/>
    <w:rsid w:val="000468B1"/>
    <w:rsid w:val="00046A74"/>
    <w:rsid w:val="00046B99"/>
    <w:rsid w:val="00046D4A"/>
    <w:rsid w:val="00046D50"/>
    <w:rsid w:val="00047088"/>
    <w:rsid w:val="000471D1"/>
    <w:rsid w:val="00047256"/>
    <w:rsid w:val="00047525"/>
    <w:rsid w:val="0004764C"/>
    <w:rsid w:val="000477D1"/>
    <w:rsid w:val="00047BAF"/>
    <w:rsid w:val="00047C13"/>
    <w:rsid w:val="00050316"/>
    <w:rsid w:val="000503E5"/>
    <w:rsid w:val="000508E5"/>
    <w:rsid w:val="00050C94"/>
    <w:rsid w:val="00050D0E"/>
    <w:rsid w:val="00050D24"/>
    <w:rsid w:val="00051213"/>
    <w:rsid w:val="00051838"/>
    <w:rsid w:val="00051DB3"/>
    <w:rsid w:val="00051EE3"/>
    <w:rsid w:val="00051EE4"/>
    <w:rsid w:val="00051F43"/>
    <w:rsid w:val="00051F91"/>
    <w:rsid w:val="00051FED"/>
    <w:rsid w:val="000528A6"/>
    <w:rsid w:val="000529A0"/>
    <w:rsid w:val="00052AB6"/>
    <w:rsid w:val="00052B37"/>
    <w:rsid w:val="00052BA7"/>
    <w:rsid w:val="00052C78"/>
    <w:rsid w:val="00053067"/>
    <w:rsid w:val="000533DA"/>
    <w:rsid w:val="00053413"/>
    <w:rsid w:val="00053858"/>
    <w:rsid w:val="00053BB7"/>
    <w:rsid w:val="00053C3F"/>
    <w:rsid w:val="00053DAC"/>
    <w:rsid w:val="00053E36"/>
    <w:rsid w:val="00054139"/>
    <w:rsid w:val="000546FF"/>
    <w:rsid w:val="00054B07"/>
    <w:rsid w:val="00054DF4"/>
    <w:rsid w:val="00054FF9"/>
    <w:rsid w:val="0005502E"/>
    <w:rsid w:val="000550D7"/>
    <w:rsid w:val="0005522D"/>
    <w:rsid w:val="00055255"/>
    <w:rsid w:val="000554C6"/>
    <w:rsid w:val="000555CA"/>
    <w:rsid w:val="00055739"/>
    <w:rsid w:val="00055B20"/>
    <w:rsid w:val="00056048"/>
    <w:rsid w:val="00056257"/>
    <w:rsid w:val="0005629E"/>
    <w:rsid w:val="0005640A"/>
    <w:rsid w:val="000570C2"/>
    <w:rsid w:val="0005717E"/>
    <w:rsid w:val="00057323"/>
    <w:rsid w:val="00057572"/>
    <w:rsid w:val="000577A4"/>
    <w:rsid w:val="000577F1"/>
    <w:rsid w:val="00057CF4"/>
    <w:rsid w:val="000600B7"/>
    <w:rsid w:val="00060323"/>
    <w:rsid w:val="0006043E"/>
    <w:rsid w:val="000604C2"/>
    <w:rsid w:val="00060DB7"/>
    <w:rsid w:val="00060F1C"/>
    <w:rsid w:val="0006112F"/>
    <w:rsid w:val="00061471"/>
    <w:rsid w:val="00061745"/>
    <w:rsid w:val="0006191F"/>
    <w:rsid w:val="0006208C"/>
    <w:rsid w:val="00062271"/>
    <w:rsid w:val="0006275F"/>
    <w:rsid w:val="00062D3D"/>
    <w:rsid w:val="00062E2C"/>
    <w:rsid w:val="00062F19"/>
    <w:rsid w:val="000633CD"/>
    <w:rsid w:val="000639A2"/>
    <w:rsid w:val="00063B25"/>
    <w:rsid w:val="00063CCD"/>
    <w:rsid w:val="000640DC"/>
    <w:rsid w:val="0006460F"/>
    <w:rsid w:val="00065460"/>
    <w:rsid w:val="0006573D"/>
    <w:rsid w:val="000657EA"/>
    <w:rsid w:val="00065935"/>
    <w:rsid w:val="00065A83"/>
    <w:rsid w:val="00066139"/>
    <w:rsid w:val="000661BF"/>
    <w:rsid w:val="000665E5"/>
    <w:rsid w:val="000666ED"/>
    <w:rsid w:val="00066764"/>
    <w:rsid w:val="00066AA4"/>
    <w:rsid w:val="00066C0B"/>
    <w:rsid w:val="00067AF0"/>
    <w:rsid w:val="000702B5"/>
    <w:rsid w:val="00070B95"/>
    <w:rsid w:val="00070D65"/>
    <w:rsid w:val="00071501"/>
    <w:rsid w:val="00071B8D"/>
    <w:rsid w:val="00071DF7"/>
    <w:rsid w:val="00071F86"/>
    <w:rsid w:val="00072138"/>
    <w:rsid w:val="00072259"/>
    <w:rsid w:val="00072621"/>
    <w:rsid w:val="00072DE1"/>
    <w:rsid w:val="00072F86"/>
    <w:rsid w:val="00073734"/>
    <w:rsid w:val="000738C7"/>
    <w:rsid w:val="00073962"/>
    <w:rsid w:val="00073E50"/>
    <w:rsid w:val="00073F2E"/>
    <w:rsid w:val="000741CB"/>
    <w:rsid w:val="000743B1"/>
    <w:rsid w:val="000746E6"/>
    <w:rsid w:val="000747F5"/>
    <w:rsid w:val="00074C12"/>
    <w:rsid w:val="00074DAB"/>
    <w:rsid w:val="00074F7C"/>
    <w:rsid w:val="00075248"/>
    <w:rsid w:val="00075261"/>
    <w:rsid w:val="00075A89"/>
    <w:rsid w:val="00075A9E"/>
    <w:rsid w:val="00076255"/>
    <w:rsid w:val="000764F3"/>
    <w:rsid w:val="0007661A"/>
    <w:rsid w:val="00076875"/>
    <w:rsid w:val="00076C08"/>
    <w:rsid w:val="00076C0D"/>
    <w:rsid w:val="00076C34"/>
    <w:rsid w:val="00076C64"/>
    <w:rsid w:val="00076ED9"/>
    <w:rsid w:val="00077044"/>
    <w:rsid w:val="000778C3"/>
    <w:rsid w:val="000779F0"/>
    <w:rsid w:val="00077AEF"/>
    <w:rsid w:val="00077CE3"/>
    <w:rsid w:val="0008004E"/>
    <w:rsid w:val="000801FE"/>
    <w:rsid w:val="000802A3"/>
    <w:rsid w:val="000803A0"/>
    <w:rsid w:val="00080A2F"/>
    <w:rsid w:val="00080B41"/>
    <w:rsid w:val="00080B59"/>
    <w:rsid w:val="00080B5A"/>
    <w:rsid w:val="00080B64"/>
    <w:rsid w:val="00080B6C"/>
    <w:rsid w:val="00080E3D"/>
    <w:rsid w:val="00080E64"/>
    <w:rsid w:val="00080F0B"/>
    <w:rsid w:val="00080F2C"/>
    <w:rsid w:val="0008111F"/>
    <w:rsid w:val="000811D8"/>
    <w:rsid w:val="0008134F"/>
    <w:rsid w:val="0008157C"/>
    <w:rsid w:val="00081BE4"/>
    <w:rsid w:val="00082135"/>
    <w:rsid w:val="00082334"/>
    <w:rsid w:val="00082B91"/>
    <w:rsid w:val="00082BF8"/>
    <w:rsid w:val="00082C3C"/>
    <w:rsid w:val="00082C7E"/>
    <w:rsid w:val="000830A6"/>
    <w:rsid w:val="000834FD"/>
    <w:rsid w:val="00083610"/>
    <w:rsid w:val="00083752"/>
    <w:rsid w:val="0008380C"/>
    <w:rsid w:val="000838BC"/>
    <w:rsid w:val="00083DDE"/>
    <w:rsid w:val="000841F9"/>
    <w:rsid w:val="000842E3"/>
    <w:rsid w:val="0008534A"/>
    <w:rsid w:val="0008557B"/>
    <w:rsid w:val="000857E1"/>
    <w:rsid w:val="0008582F"/>
    <w:rsid w:val="00085CD7"/>
    <w:rsid w:val="00085EEF"/>
    <w:rsid w:val="000861FF"/>
    <w:rsid w:val="000866FD"/>
    <w:rsid w:val="0008673E"/>
    <w:rsid w:val="00086794"/>
    <w:rsid w:val="00086A16"/>
    <w:rsid w:val="00086B78"/>
    <w:rsid w:val="00086C6C"/>
    <w:rsid w:val="00086CE5"/>
    <w:rsid w:val="00086E4D"/>
    <w:rsid w:val="00087188"/>
    <w:rsid w:val="00087387"/>
    <w:rsid w:val="000876C7"/>
    <w:rsid w:val="000879EF"/>
    <w:rsid w:val="00087B14"/>
    <w:rsid w:val="00087B84"/>
    <w:rsid w:val="00087D0B"/>
    <w:rsid w:val="00090207"/>
    <w:rsid w:val="00090834"/>
    <w:rsid w:val="000908E9"/>
    <w:rsid w:val="000911D7"/>
    <w:rsid w:val="0009137D"/>
    <w:rsid w:val="00091462"/>
    <w:rsid w:val="00091A2E"/>
    <w:rsid w:val="00091B43"/>
    <w:rsid w:val="0009222E"/>
    <w:rsid w:val="00092597"/>
    <w:rsid w:val="00092A58"/>
    <w:rsid w:val="00092DE7"/>
    <w:rsid w:val="00093097"/>
    <w:rsid w:val="000934F3"/>
    <w:rsid w:val="00093DFD"/>
    <w:rsid w:val="00094114"/>
    <w:rsid w:val="000944EC"/>
    <w:rsid w:val="0009451B"/>
    <w:rsid w:val="0009466C"/>
    <w:rsid w:val="00094992"/>
    <w:rsid w:val="00094C2C"/>
    <w:rsid w:val="0009523B"/>
    <w:rsid w:val="000958F4"/>
    <w:rsid w:val="00095900"/>
    <w:rsid w:val="0009594F"/>
    <w:rsid w:val="000962FD"/>
    <w:rsid w:val="0009630A"/>
    <w:rsid w:val="000963E7"/>
    <w:rsid w:val="0009647E"/>
    <w:rsid w:val="0009651A"/>
    <w:rsid w:val="000967F3"/>
    <w:rsid w:val="00096A09"/>
    <w:rsid w:val="000973F5"/>
    <w:rsid w:val="000977AE"/>
    <w:rsid w:val="00097CC2"/>
    <w:rsid w:val="00097D08"/>
    <w:rsid w:val="00097D84"/>
    <w:rsid w:val="00097DEB"/>
    <w:rsid w:val="000A04C8"/>
    <w:rsid w:val="000A062E"/>
    <w:rsid w:val="000A0659"/>
    <w:rsid w:val="000A0708"/>
    <w:rsid w:val="000A10AF"/>
    <w:rsid w:val="000A12F8"/>
    <w:rsid w:val="000A1342"/>
    <w:rsid w:val="000A15B3"/>
    <w:rsid w:val="000A185E"/>
    <w:rsid w:val="000A1A02"/>
    <w:rsid w:val="000A1BF8"/>
    <w:rsid w:val="000A226D"/>
    <w:rsid w:val="000A2283"/>
    <w:rsid w:val="000A256C"/>
    <w:rsid w:val="000A2772"/>
    <w:rsid w:val="000A28F3"/>
    <w:rsid w:val="000A2B1B"/>
    <w:rsid w:val="000A2DAB"/>
    <w:rsid w:val="000A2DED"/>
    <w:rsid w:val="000A2EB3"/>
    <w:rsid w:val="000A2EE0"/>
    <w:rsid w:val="000A2F94"/>
    <w:rsid w:val="000A306C"/>
    <w:rsid w:val="000A31D9"/>
    <w:rsid w:val="000A32D1"/>
    <w:rsid w:val="000A348C"/>
    <w:rsid w:val="000A34A3"/>
    <w:rsid w:val="000A35D1"/>
    <w:rsid w:val="000A380C"/>
    <w:rsid w:val="000A3A12"/>
    <w:rsid w:val="000A3F9F"/>
    <w:rsid w:val="000A3FC9"/>
    <w:rsid w:val="000A4260"/>
    <w:rsid w:val="000A467D"/>
    <w:rsid w:val="000A46FD"/>
    <w:rsid w:val="000A4C7C"/>
    <w:rsid w:val="000A4D9C"/>
    <w:rsid w:val="000A4FD3"/>
    <w:rsid w:val="000A5437"/>
    <w:rsid w:val="000A583D"/>
    <w:rsid w:val="000A59DB"/>
    <w:rsid w:val="000A607E"/>
    <w:rsid w:val="000A6118"/>
    <w:rsid w:val="000A61F6"/>
    <w:rsid w:val="000A65BF"/>
    <w:rsid w:val="000A6619"/>
    <w:rsid w:val="000A6F65"/>
    <w:rsid w:val="000A6FA1"/>
    <w:rsid w:val="000A79A7"/>
    <w:rsid w:val="000A7BC3"/>
    <w:rsid w:val="000B08CD"/>
    <w:rsid w:val="000B0B2B"/>
    <w:rsid w:val="000B0E64"/>
    <w:rsid w:val="000B10D1"/>
    <w:rsid w:val="000B164C"/>
    <w:rsid w:val="000B1C0D"/>
    <w:rsid w:val="000B20E7"/>
    <w:rsid w:val="000B225E"/>
    <w:rsid w:val="000B24D1"/>
    <w:rsid w:val="000B25BF"/>
    <w:rsid w:val="000B2936"/>
    <w:rsid w:val="000B2DD4"/>
    <w:rsid w:val="000B2E1F"/>
    <w:rsid w:val="000B3224"/>
    <w:rsid w:val="000B345C"/>
    <w:rsid w:val="000B35E5"/>
    <w:rsid w:val="000B3732"/>
    <w:rsid w:val="000B3841"/>
    <w:rsid w:val="000B3885"/>
    <w:rsid w:val="000B3A57"/>
    <w:rsid w:val="000B3D15"/>
    <w:rsid w:val="000B4AD6"/>
    <w:rsid w:val="000B5153"/>
    <w:rsid w:val="000B51E7"/>
    <w:rsid w:val="000B62AF"/>
    <w:rsid w:val="000B69C1"/>
    <w:rsid w:val="000B779D"/>
    <w:rsid w:val="000B7910"/>
    <w:rsid w:val="000B7934"/>
    <w:rsid w:val="000B797B"/>
    <w:rsid w:val="000B7B99"/>
    <w:rsid w:val="000B7CC5"/>
    <w:rsid w:val="000C0316"/>
    <w:rsid w:val="000C065C"/>
    <w:rsid w:val="000C0662"/>
    <w:rsid w:val="000C13FF"/>
    <w:rsid w:val="000C1C77"/>
    <w:rsid w:val="000C1D11"/>
    <w:rsid w:val="000C1E19"/>
    <w:rsid w:val="000C217C"/>
    <w:rsid w:val="000C2236"/>
    <w:rsid w:val="000C2409"/>
    <w:rsid w:val="000C25B8"/>
    <w:rsid w:val="000C289C"/>
    <w:rsid w:val="000C2A85"/>
    <w:rsid w:val="000C2FF4"/>
    <w:rsid w:val="000C34D3"/>
    <w:rsid w:val="000C3573"/>
    <w:rsid w:val="000C39DE"/>
    <w:rsid w:val="000C3C78"/>
    <w:rsid w:val="000C3C99"/>
    <w:rsid w:val="000C3CD6"/>
    <w:rsid w:val="000C41CC"/>
    <w:rsid w:val="000C4320"/>
    <w:rsid w:val="000C4EC5"/>
    <w:rsid w:val="000C4FFF"/>
    <w:rsid w:val="000C53A7"/>
    <w:rsid w:val="000C5868"/>
    <w:rsid w:val="000C5896"/>
    <w:rsid w:val="000C5AF9"/>
    <w:rsid w:val="000C5B28"/>
    <w:rsid w:val="000C5D12"/>
    <w:rsid w:val="000C6185"/>
    <w:rsid w:val="000C6495"/>
    <w:rsid w:val="000C66C9"/>
    <w:rsid w:val="000C66D6"/>
    <w:rsid w:val="000C68D0"/>
    <w:rsid w:val="000C6A64"/>
    <w:rsid w:val="000C6DC3"/>
    <w:rsid w:val="000C75AB"/>
    <w:rsid w:val="000C75F3"/>
    <w:rsid w:val="000C7650"/>
    <w:rsid w:val="000C78E3"/>
    <w:rsid w:val="000C7A7D"/>
    <w:rsid w:val="000C7C27"/>
    <w:rsid w:val="000C7D68"/>
    <w:rsid w:val="000D023E"/>
    <w:rsid w:val="000D1200"/>
    <w:rsid w:val="000D16FD"/>
    <w:rsid w:val="000D1C2A"/>
    <w:rsid w:val="000D1D43"/>
    <w:rsid w:val="000D1FC7"/>
    <w:rsid w:val="000D1FDA"/>
    <w:rsid w:val="000D212B"/>
    <w:rsid w:val="000D216E"/>
    <w:rsid w:val="000D22E7"/>
    <w:rsid w:val="000D26B2"/>
    <w:rsid w:val="000D2797"/>
    <w:rsid w:val="000D291D"/>
    <w:rsid w:val="000D2930"/>
    <w:rsid w:val="000D2935"/>
    <w:rsid w:val="000D297D"/>
    <w:rsid w:val="000D2BA7"/>
    <w:rsid w:val="000D2FA5"/>
    <w:rsid w:val="000D3078"/>
    <w:rsid w:val="000D3178"/>
    <w:rsid w:val="000D35EF"/>
    <w:rsid w:val="000D361B"/>
    <w:rsid w:val="000D3989"/>
    <w:rsid w:val="000D3AC3"/>
    <w:rsid w:val="000D3AE2"/>
    <w:rsid w:val="000D3B41"/>
    <w:rsid w:val="000D3C6E"/>
    <w:rsid w:val="000D3D5B"/>
    <w:rsid w:val="000D403E"/>
    <w:rsid w:val="000D4653"/>
    <w:rsid w:val="000D47A3"/>
    <w:rsid w:val="000D4ABD"/>
    <w:rsid w:val="000D4B03"/>
    <w:rsid w:val="000D5129"/>
    <w:rsid w:val="000D5B10"/>
    <w:rsid w:val="000D6111"/>
    <w:rsid w:val="000D61C8"/>
    <w:rsid w:val="000D62FC"/>
    <w:rsid w:val="000D65E9"/>
    <w:rsid w:val="000D68D7"/>
    <w:rsid w:val="000D690D"/>
    <w:rsid w:val="000D6BCF"/>
    <w:rsid w:val="000D73DE"/>
    <w:rsid w:val="000D742D"/>
    <w:rsid w:val="000D7751"/>
    <w:rsid w:val="000D7B22"/>
    <w:rsid w:val="000E01D6"/>
    <w:rsid w:val="000E037B"/>
    <w:rsid w:val="000E06BD"/>
    <w:rsid w:val="000E0798"/>
    <w:rsid w:val="000E0BA0"/>
    <w:rsid w:val="000E0E91"/>
    <w:rsid w:val="000E127E"/>
    <w:rsid w:val="000E12CD"/>
    <w:rsid w:val="000E14F8"/>
    <w:rsid w:val="000E178E"/>
    <w:rsid w:val="000E1AF0"/>
    <w:rsid w:val="000E1B5B"/>
    <w:rsid w:val="000E2D77"/>
    <w:rsid w:val="000E2D7C"/>
    <w:rsid w:val="000E2E75"/>
    <w:rsid w:val="000E2ECA"/>
    <w:rsid w:val="000E3106"/>
    <w:rsid w:val="000E3518"/>
    <w:rsid w:val="000E3E97"/>
    <w:rsid w:val="000E3EB0"/>
    <w:rsid w:val="000E41F8"/>
    <w:rsid w:val="000E43E0"/>
    <w:rsid w:val="000E4567"/>
    <w:rsid w:val="000E45B7"/>
    <w:rsid w:val="000E4A9A"/>
    <w:rsid w:val="000E4B94"/>
    <w:rsid w:val="000E4C28"/>
    <w:rsid w:val="000E4DA1"/>
    <w:rsid w:val="000E508D"/>
    <w:rsid w:val="000E5515"/>
    <w:rsid w:val="000E552C"/>
    <w:rsid w:val="000E55BB"/>
    <w:rsid w:val="000E5F30"/>
    <w:rsid w:val="000E6438"/>
    <w:rsid w:val="000E6536"/>
    <w:rsid w:val="000E6863"/>
    <w:rsid w:val="000E7770"/>
    <w:rsid w:val="000E7D4B"/>
    <w:rsid w:val="000E7E8A"/>
    <w:rsid w:val="000E7F25"/>
    <w:rsid w:val="000E7F72"/>
    <w:rsid w:val="000F03D9"/>
    <w:rsid w:val="000F0AD4"/>
    <w:rsid w:val="000F0F42"/>
    <w:rsid w:val="000F12C3"/>
    <w:rsid w:val="000F132C"/>
    <w:rsid w:val="000F1D11"/>
    <w:rsid w:val="000F1E4E"/>
    <w:rsid w:val="000F21D9"/>
    <w:rsid w:val="000F2272"/>
    <w:rsid w:val="000F2741"/>
    <w:rsid w:val="000F2B54"/>
    <w:rsid w:val="000F2D28"/>
    <w:rsid w:val="000F2FCD"/>
    <w:rsid w:val="000F30A2"/>
    <w:rsid w:val="000F3185"/>
    <w:rsid w:val="000F36DA"/>
    <w:rsid w:val="000F3783"/>
    <w:rsid w:val="000F3838"/>
    <w:rsid w:val="000F3865"/>
    <w:rsid w:val="000F402C"/>
    <w:rsid w:val="000F4274"/>
    <w:rsid w:val="000F4292"/>
    <w:rsid w:val="000F4313"/>
    <w:rsid w:val="000F437E"/>
    <w:rsid w:val="000F450D"/>
    <w:rsid w:val="000F4697"/>
    <w:rsid w:val="000F4A7B"/>
    <w:rsid w:val="000F4CCA"/>
    <w:rsid w:val="000F4CF8"/>
    <w:rsid w:val="000F4D47"/>
    <w:rsid w:val="000F5064"/>
    <w:rsid w:val="000F5380"/>
    <w:rsid w:val="000F5629"/>
    <w:rsid w:val="000F58B8"/>
    <w:rsid w:val="000F5B79"/>
    <w:rsid w:val="000F5BD6"/>
    <w:rsid w:val="000F5EAF"/>
    <w:rsid w:val="000F5F1B"/>
    <w:rsid w:val="000F60CA"/>
    <w:rsid w:val="000F6241"/>
    <w:rsid w:val="000F6251"/>
    <w:rsid w:val="000F6484"/>
    <w:rsid w:val="000F64F4"/>
    <w:rsid w:val="000F64F5"/>
    <w:rsid w:val="000F6631"/>
    <w:rsid w:val="000F6739"/>
    <w:rsid w:val="000F67F6"/>
    <w:rsid w:val="000F6A83"/>
    <w:rsid w:val="000F6B81"/>
    <w:rsid w:val="000F6CBE"/>
    <w:rsid w:val="000F6D9C"/>
    <w:rsid w:val="000F6DEE"/>
    <w:rsid w:val="000F767A"/>
    <w:rsid w:val="000F7681"/>
    <w:rsid w:val="000F76B8"/>
    <w:rsid w:val="000F7F23"/>
    <w:rsid w:val="001004DE"/>
    <w:rsid w:val="001005C8"/>
    <w:rsid w:val="001005EF"/>
    <w:rsid w:val="00100674"/>
    <w:rsid w:val="00100706"/>
    <w:rsid w:val="001007B9"/>
    <w:rsid w:val="001012F4"/>
    <w:rsid w:val="001014A8"/>
    <w:rsid w:val="00101AC7"/>
    <w:rsid w:val="00101C61"/>
    <w:rsid w:val="00101C81"/>
    <w:rsid w:val="00101E45"/>
    <w:rsid w:val="00102C64"/>
    <w:rsid w:val="00102E9D"/>
    <w:rsid w:val="00103A79"/>
    <w:rsid w:val="00103B25"/>
    <w:rsid w:val="00103B56"/>
    <w:rsid w:val="00103DD6"/>
    <w:rsid w:val="00103FB9"/>
    <w:rsid w:val="0010410A"/>
    <w:rsid w:val="001041A3"/>
    <w:rsid w:val="001048E8"/>
    <w:rsid w:val="00104A46"/>
    <w:rsid w:val="00104A56"/>
    <w:rsid w:val="00104C98"/>
    <w:rsid w:val="00104EB1"/>
    <w:rsid w:val="00104FBC"/>
    <w:rsid w:val="00105000"/>
    <w:rsid w:val="00105100"/>
    <w:rsid w:val="0010510A"/>
    <w:rsid w:val="0010523B"/>
    <w:rsid w:val="001052B1"/>
    <w:rsid w:val="0010571A"/>
    <w:rsid w:val="00105AC2"/>
    <w:rsid w:val="00105D24"/>
    <w:rsid w:val="00105D60"/>
    <w:rsid w:val="00105DC1"/>
    <w:rsid w:val="00105EEC"/>
    <w:rsid w:val="00105FC5"/>
    <w:rsid w:val="001060C8"/>
    <w:rsid w:val="001066F3"/>
    <w:rsid w:val="00106727"/>
    <w:rsid w:val="00106846"/>
    <w:rsid w:val="00106894"/>
    <w:rsid w:val="00106CDF"/>
    <w:rsid w:val="00106D52"/>
    <w:rsid w:val="00106E7E"/>
    <w:rsid w:val="00106FEF"/>
    <w:rsid w:val="00107232"/>
    <w:rsid w:val="0010738D"/>
    <w:rsid w:val="001073E1"/>
    <w:rsid w:val="00107443"/>
    <w:rsid w:val="001076F3"/>
    <w:rsid w:val="00107D19"/>
    <w:rsid w:val="00107D95"/>
    <w:rsid w:val="00107E27"/>
    <w:rsid w:val="00107FCC"/>
    <w:rsid w:val="0011035E"/>
    <w:rsid w:val="001104B1"/>
    <w:rsid w:val="00110506"/>
    <w:rsid w:val="00110AAB"/>
    <w:rsid w:val="00110EE2"/>
    <w:rsid w:val="00110F7F"/>
    <w:rsid w:val="001110D6"/>
    <w:rsid w:val="0011148C"/>
    <w:rsid w:val="00111498"/>
    <w:rsid w:val="001118B1"/>
    <w:rsid w:val="00111F31"/>
    <w:rsid w:val="001123F6"/>
    <w:rsid w:val="0011260C"/>
    <w:rsid w:val="0011264A"/>
    <w:rsid w:val="0011274B"/>
    <w:rsid w:val="00112925"/>
    <w:rsid w:val="00112A66"/>
    <w:rsid w:val="00112C69"/>
    <w:rsid w:val="00112C91"/>
    <w:rsid w:val="001134A2"/>
    <w:rsid w:val="001134C2"/>
    <w:rsid w:val="00113A97"/>
    <w:rsid w:val="00113B43"/>
    <w:rsid w:val="00113C88"/>
    <w:rsid w:val="00113C9B"/>
    <w:rsid w:val="00113F81"/>
    <w:rsid w:val="00114755"/>
    <w:rsid w:val="00114B0D"/>
    <w:rsid w:val="00115100"/>
    <w:rsid w:val="001157F3"/>
    <w:rsid w:val="00115D36"/>
    <w:rsid w:val="00115F3C"/>
    <w:rsid w:val="0011655A"/>
    <w:rsid w:val="001165FC"/>
    <w:rsid w:val="0011687A"/>
    <w:rsid w:val="00116A37"/>
    <w:rsid w:val="00116B79"/>
    <w:rsid w:val="00116BCA"/>
    <w:rsid w:val="00116CD7"/>
    <w:rsid w:val="00116F2A"/>
    <w:rsid w:val="00117184"/>
    <w:rsid w:val="0011733F"/>
    <w:rsid w:val="001173C8"/>
    <w:rsid w:val="00117751"/>
    <w:rsid w:val="001178B8"/>
    <w:rsid w:val="00117C77"/>
    <w:rsid w:val="00117CEE"/>
    <w:rsid w:val="00117D99"/>
    <w:rsid w:val="00117E8B"/>
    <w:rsid w:val="00117EBC"/>
    <w:rsid w:val="00117ED2"/>
    <w:rsid w:val="001207F6"/>
    <w:rsid w:val="001209CA"/>
    <w:rsid w:val="00120A16"/>
    <w:rsid w:val="00120D94"/>
    <w:rsid w:val="00120F23"/>
    <w:rsid w:val="00121201"/>
    <w:rsid w:val="0012123D"/>
    <w:rsid w:val="00121243"/>
    <w:rsid w:val="001215DD"/>
    <w:rsid w:val="00121623"/>
    <w:rsid w:val="00121AF6"/>
    <w:rsid w:val="00121D55"/>
    <w:rsid w:val="00121E12"/>
    <w:rsid w:val="00122012"/>
    <w:rsid w:val="0012204D"/>
    <w:rsid w:val="00122263"/>
    <w:rsid w:val="001227D1"/>
    <w:rsid w:val="00122BC8"/>
    <w:rsid w:val="00122C9C"/>
    <w:rsid w:val="00122DC4"/>
    <w:rsid w:val="00123398"/>
    <w:rsid w:val="00123D0E"/>
    <w:rsid w:val="0012433F"/>
    <w:rsid w:val="00124715"/>
    <w:rsid w:val="00124DC6"/>
    <w:rsid w:val="00125059"/>
    <w:rsid w:val="00125329"/>
    <w:rsid w:val="00125896"/>
    <w:rsid w:val="00125A0A"/>
    <w:rsid w:val="00125B9C"/>
    <w:rsid w:val="00125CA1"/>
    <w:rsid w:val="00125F93"/>
    <w:rsid w:val="00126350"/>
    <w:rsid w:val="0012678A"/>
    <w:rsid w:val="00126C5A"/>
    <w:rsid w:val="00126F46"/>
    <w:rsid w:val="00127217"/>
    <w:rsid w:val="0012774A"/>
    <w:rsid w:val="00127879"/>
    <w:rsid w:val="0012793E"/>
    <w:rsid w:val="00127B4E"/>
    <w:rsid w:val="00127EE4"/>
    <w:rsid w:val="001307BF"/>
    <w:rsid w:val="00130DA8"/>
    <w:rsid w:val="001310A1"/>
    <w:rsid w:val="00131234"/>
    <w:rsid w:val="00131C2E"/>
    <w:rsid w:val="00131D37"/>
    <w:rsid w:val="00131E84"/>
    <w:rsid w:val="0013243E"/>
    <w:rsid w:val="00132745"/>
    <w:rsid w:val="00132C6E"/>
    <w:rsid w:val="00133109"/>
    <w:rsid w:val="0013318B"/>
    <w:rsid w:val="0013346A"/>
    <w:rsid w:val="0013376B"/>
    <w:rsid w:val="001338D8"/>
    <w:rsid w:val="00133A0C"/>
    <w:rsid w:val="00133A41"/>
    <w:rsid w:val="00133ABD"/>
    <w:rsid w:val="00133AE8"/>
    <w:rsid w:val="00133B35"/>
    <w:rsid w:val="00133BF4"/>
    <w:rsid w:val="00133F57"/>
    <w:rsid w:val="00133FA4"/>
    <w:rsid w:val="0013497F"/>
    <w:rsid w:val="00134980"/>
    <w:rsid w:val="00134A14"/>
    <w:rsid w:val="00134A47"/>
    <w:rsid w:val="00134D77"/>
    <w:rsid w:val="00134EF5"/>
    <w:rsid w:val="00135126"/>
    <w:rsid w:val="00135162"/>
    <w:rsid w:val="001352A6"/>
    <w:rsid w:val="001353ED"/>
    <w:rsid w:val="001358FD"/>
    <w:rsid w:val="00135A83"/>
    <w:rsid w:val="00135EF4"/>
    <w:rsid w:val="00135F27"/>
    <w:rsid w:val="0013651F"/>
    <w:rsid w:val="001367BB"/>
    <w:rsid w:val="001368AA"/>
    <w:rsid w:val="001368DE"/>
    <w:rsid w:val="001376F4"/>
    <w:rsid w:val="0013783F"/>
    <w:rsid w:val="00137A9D"/>
    <w:rsid w:val="00137C93"/>
    <w:rsid w:val="00137D47"/>
    <w:rsid w:val="00140136"/>
    <w:rsid w:val="0014031E"/>
    <w:rsid w:val="001403A3"/>
    <w:rsid w:val="0014063C"/>
    <w:rsid w:val="00140C9D"/>
    <w:rsid w:val="00140D89"/>
    <w:rsid w:val="001413D9"/>
    <w:rsid w:val="00141596"/>
    <w:rsid w:val="00141894"/>
    <w:rsid w:val="00141896"/>
    <w:rsid w:val="0014194A"/>
    <w:rsid w:val="001419D1"/>
    <w:rsid w:val="00141B10"/>
    <w:rsid w:val="00141BDD"/>
    <w:rsid w:val="0014247E"/>
    <w:rsid w:val="00142C22"/>
    <w:rsid w:val="00142CD4"/>
    <w:rsid w:val="00142D20"/>
    <w:rsid w:val="001431F7"/>
    <w:rsid w:val="0014381F"/>
    <w:rsid w:val="001438F9"/>
    <w:rsid w:val="001439E3"/>
    <w:rsid w:val="001439F8"/>
    <w:rsid w:val="00143AFC"/>
    <w:rsid w:val="00143EBE"/>
    <w:rsid w:val="00143FBE"/>
    <w:rsid w:val="0014404C"/>
    <w:rsid w:val="0014414F"/>
    <w:rsid w:val="00144473"/>
    <w:rsid w:val="00144A40"/>
    <w:rsid w:val="00144BE7"/>
    <w:rsid w:val="00144BFA"/>
    <w:rsid w:val="00144D4E"/>
    <w:rsid w:val="00145067"/>
    <w:rsid w:val="001450FB"/>
    <w:rsid w:val="0014516E"/>
    <w:rsid w:val="0014561E"/>
    <w:rsid w:val="0014568E"/>
    <w:rsid w:val="00145894"/>
    <w:rsid w:val="00145D8A"/>
    <w:rsid w:val="001462B1"/>
    <w:rsid w:val="00146537"/>
    <w:rsid w:val="0014660D"/>
    <w:rsid w:val="00146883"/>
    <w:rsid w:val="00147172"/>
    <w:rsid w:val="001471BE"/>
    <w:rsid w:val="00147523"/>
    <w:rsid w:val="0014769F"/>
    <w:rsid w:val="0014791C"/>
    <w:rsid w:val="00147A30"/>
    <w:rsid w:val="00147C02"/>
    <w:rsid w:val="0015002E"/>
    <w:rsid w:val="001500C3"/>
    <w:rsid w:val="001500F6"/>
    <w:rsid w:val="001505EF"/>
    <w:rsid w:val="001508B4"/>
    <w:rsid w:val="00150BA9"/>
    <w:rsid w:val="00150F6C"/>
    <w:rsid w:val="001513F1"/>
    <w:rsid w:val="00151796"/>
    <w:rsid w:val="0015187D"/>
    <w:rsid w:val="00151CAB"/>
    <w:rsid w:val="00151F42"/>
    <w:rsid w:val="0015220D"/>
    <w:rsid w:val="001522D6"/>
    <w:rsid w:val="0015238C"/>
    <w:rsid w:val="00152705"/>
    <w:rsid w:val="00152D75"/>
    <w:rsid w:val="001531D5"/>
    <w:rsid w:val="001532C0"/>
    <w:rsid w:val="0015332F"/>
    <w:rsid w:val="0015337B"/>
    <w:rsid w:val="001533BB"/>
    <w:rsid w:val="00153429"/>
    <w:rsid w:val="001539CA"/>
    <w:rsid w:val="00153B41"/>
    <w:rsid w:val="00153D9F"/>
    <w:rsid w:val="00154A8A"/>
    <w:rsid w:val="00154B07"/>
    <w:rsid w:val="00154D5A"/>
    <w:rsid w:val="00154E7D"/>
    <w:rsid w:val="00154F1D"/>
    <w:rsid w:val="00154F35"/>
    <w:rsid w:val="001550FA"/>
    <w:rsid w:val="0015538E"/>
    <w:rsid w:val="00155508"/>
    <w:rsid w:val="001556AD"/>
    <w:rsid w:val="00155A7C"/>
    <w:rsid w:val="00155C9B"/>
    <w:rsid w:val="00155ED6"/>
    <w:rsid w:val="00156094"/>
    <w:rsid w:val="00156942"/>
    <w:rsid w:val="001571D1"/>
    <w:rsid w:val="001579F4"/>
    <w:rsid w:val="00157F3A"/>
    <w:rsid w:val="0016039D"/>
    <w:rsid w:val="001606CE"/>
    <w:rsid w:val="00160F8C"/>
    <w:rsid w:val="001614AB"/>
    <w:rsid w:val="001618CC"/>
    <w:rsid w:val="00161BB9"/>
    <w:rsid w:val="00161C18"/>
    <w:rsid w:val="00161C26"/>
    <w:rsid w:val="00161F38"/>
    <w:rsid w:val="001626B9"/>
    <w:rsid w:val="001628DA"/>
    <w:rsid w:val="00162967"/>
    <w:rsid w:val="00162C0C"/>
    <w:rsid w:val="00163326"/>
    <w:rsid w:val="001635AC"/>
    <w:rsid w:val="00163827"/>
    <w:rsid w:val="0016390D"/>
    <w:rsid w:val="00163B7D"/>
    <w:rsid w:val="00164179"/>
    <w:rsid w:val="0016437A"/>
    <w:rsid w:val="00164870"/>
    <w:rsid w:val="0016488A"/>
    <w:rsid w:val="00164FD6"/>
    <w:rsid w:val="001650A3"/>
    <w:rsid w:val="001659D7"/>
    <w:rsid w:val="00165E27"/>
    <w:rsid w:val="0016636E"/>
    <w:rsid w:val="001663FF"/>
    <w:rsid w:val="00166593"/>
    <w:rsid w:val="001665BE"/>
    <w:rsid w:val="00166647"/>
    <w:rsid w:val="00166692"/>
    <w:rsid w:val="00166722"/>
    <w:rsid w:val="00166CAA"/>
    <w:rsid w:val="00166DCE"/>
    <w:rsid w:val="00167197"/>
    <w:rsid w:val="00167963"/>
    <w:rsid w:val="00167B2D"/>
    <w:rsid w:val="00167B44"/>
    <w:rsid w:val="00167CEE"/>
    <w:rsid w:val="001707D5"/>
    <w:rsid w:val="00170932"/>
    <w:rsid w:val="001709F2"/>
    <w:rsid w:val="00170E65"/>
    <w:rsid w:val="0017117F"/>
    <w:rsid w:val="001711C2"/>
    <w:rsid w:val="001717EA"/>
    <w:rsid w:val="00171C9C"/>
    <w:rsid w:val="00172150"/>
    <w:rsid w:val="00172389"/>
    <w:rsid w:val="001724EA"/>
    <w:rsid w:val="00172562"/>
    <w:rsid w:val="0017270C"/>
    <w:rsid w:val="00172890"/>
    <w:rsid w:val="00172A27"/>
    <w:rsid w:val="00172F79"/>
    <w:rsid w:val="00173110"/>
    <w:rsid w:val="0017325D"/>
    <w:rsid w:val="001732E6"/>
    <w:rsid w:val="001732EB"/>
    <w:rsid w:val="001736BC"/>
    <w:rsid w:val="0017396C"/>
    <w:rsid w:val="00173B48"/>
    <w:rsid w:val="001740D6"/>
    <w:rsid w:val="001740D7"/>
    <w:rsid w:val="0017492D"/>
    <w:rsid w:val="00174E5E"/>
    <w:rsid w:val="00174EF7"/>
    <w:rsid w:val="00175698"/>
    <w:rsid w:val="0017584F"/>
    <w:rsid w:val="00175A06"/>
    <w:rsid w:val="00175D73"/>
    <w:rsid w:val="00175D94"/>
    <w:rsid w:val="0017631E"/>
    <w:rsid w:val="00176411"/>
    <w:rsid w:val="00176857"/>
    <w:rsid w:val="001775DD"/>
    <w:rsid w:val="0017766D"/>
    <w:rsid w:val="00177AAE"/>
    <w:rsid w:val="00177D48"/>
    <w:rsid w:val="00177E8E"/>
    <w:rsid w:val="00180418"/>
    <w:rsid w:val="0018042A"/>
    <w:rsid w:val="0018067B"/>
    <w:rsid w:val="00180909"/>
    <w:rsid w:val="00180F3D"/>
    <w:rsid w:val="0018148D"/>
    <w:rsid w:val="00181617"/>
    <w:rsid w:val="001816B0"/>
    <w:rsid w:val="00181718"/>
    <w:rsid w:val="00181877"/>
    <w:rsid w:val="00181C26"/>
    <w:rsid w:val="00181E41"/>
    <w:rsid w:val="00181EC6"/>
    <w:rsid w:val="00181F19"/>
    <w:rsid w:val="00181F3E"/>
    <w:rsid w:val="0018212C"/>
    <w:rsid w:val="00182178"/>
    <w:rsid w:val="001822E2"/>
    <w:rsid w:val="00182368"/>
    <w:rsid w:val="00182659"/>
    <w:rsid w:val="0018281E"/>
    <w:rsid w:val="001828EC"/>
    <w:rsid w:val="001830DD"/>
    <w:rsid w:val="001834D2"/>
    <w:rsid w:val="001834DF"/>
    <w:rsid w:val="00183521"/>
    <w:rsid w:val="001838E8"/>
    <w:rsid w:val="00183930"/>
    <w:rsid w:val="00183940"/>
    <w:rsid w:val="00183B53"/>
    <w:rsid w:val="00183F39"/>
    <w:rsid w:val="00183FED"/>
    <w:rsid w:val="001841AC"/>
    <w:rsid w:val="001844A8"/>
    <w:rsid w:val="001846CF"/>
    <w:rsid w:val="001849DF"/>
    <w:rsid w:val="00185015"/>
    <w:rsid w:val="0018504A"/>
    <w:rsid w:val="00185158"/>
    <w:rsid w:val="0018548C"/>
    <w:rsid w:val="001854C8"/>
    <w:rsid w:val="001859ED"/>
    <w:rsid w:val="00186B1C"/>
    <w:rsid w:val="00186B8B"/>
    <w:rsid w:val="00186C68"/>
    <w:rsid w:val="00186F93"/>
    <w:rsid w:val="00187089"/>
    <w:rsid w:val="00187624"/>
    <w:rsid w:val="001877F7"/>
    <w:rsid w:val="00187812"/>
    <w:rsid w:val="00187D7A"/>
    <w:rsid w:val="001901F3"/>
    <w:rsid w:val="001904C3"/>
    <w:rsid w:val="001904E1"/>
    <w:rsid w:val="0019087B"/>
    <w:rsid w:val="001908A5"/>
    <w:rsid w:val="00190941"/>
    <w:rsid w:val="0019095F"/>
    <w:rsid w:val="00190B3D"/>
    <w:rsid w:val="00191B83"/>
    <w:rsid w:val="00191F7B"/>
    <w:rsid w:val="001923CF"/>
    <w:rsid w:val="0019275A"/>
    <w:rsid w:val="00192780"/>
    <w:rsid w:val="00192A37"/>
    <w:rsid w:val="00192FA2"/>
    <w:rsid w:val="00193063"/>
    <w:rsid w:val="001930CC"/>
    <w:rsid w:val="0019376E"/>
    <w:rsid w:val="00193778"/>
    <w:rsid w:val="00193A45"/>
    <w:rsid w:val="001940C5"/>
    <w:rsid w:val="001940F4"/>
    <w:rsid w:val="001941FD"/>
    <w:rsid w:val="0019449F"/>
    <w:rsid w:val="0019457C"/>
    <w:rsid w:val="001948E5"/>
    <w:rsid w:val="001949EA"/>
    <w:rsid w:val="00194E4D"/>
    <w:rsid w:val="00195830"/>
    <w:rsid w:val="001959FC"/>
    <w:rsid w:val="00195B66"/>
    <w:rsid w:val="00195C91"/>
    <w:rsid w:val="00195DD7"/>
    <w:rsid w:val="00195F4E"/>
    <w:rsid w:val="00196004"/>
    <w:rsid w:val="00196070"/>
    <w:rsid w:val="001964C0"/>
    <w:rsid w:val="00196655"/>
    <w:rsid w:val="00196CCD"/>
    <w:rsid w:val="00196CDC"/>
    <w:rsid w:val="00196D43"/>
    <w:rsid w:val="00196D54"/>
    <w:rsid w:val="0019768A"/>
    <w:rsid w:val="00197C52"/>
    <w:rsid w:val="00197F7C"/>
    <w:rsid w:val="001A006C"/>
    <w:rsid w:val="001A0317"/>
    <w:rsid w:val="001A0422"/>
    <w:rsid w:val="001A0726"/>
    <w:rsid w:val="001A0791"/>
    <w:rsid w:val="001A08D7"/>
    <w:rsid w:val="001A0C13"/>
    <w:rsid w:val="001A0FD7"/>
    <w:rsid w:val="001A15F9"/>
    <w:rsid w:val="001A16C5"/>
    <w:rsid w:val="001A1A11"/>
    <w:rsid w:val="001A1B61"/>
    <w:rsid w:val="001A1FA4"/>
    <w:rsid w:val="001A28BE"/>
    <w:rsid w:val="001A2CFD"/>
    <w:rsid w:val="001A32B1"/>
    <w:rsid w:val="001A3871"/>
    <w:rsid w:val="001A3F39"/>
    <w:rsid w:val="001A3F70"/>
    <w:rsid w:val="001A41BB"/>
    <w:rsid w:val="001A4275"/>
    <w:rsid w:val="001A4754"/>
    <w:rsid w:val="001A4E5B"/>
    <w:rsid w:val="001A538F"/>
    <w:rsid w:val="001A54C2"/>
    <w:rsid w:val="001A57E8"/>
    <w:rsid w:val="001A586B"/>
    <w:rsid w:val="001A5871"/>
    <w:rsid w:val="001A5B1F"/>
    <w:rsid w:val="001A5D72"/>
    <w:rsid w:val="001A5F75"/>
    <w:rsid w:val="001A5F99"/>
    <w:rsid w:val="001A5FBC"/>
    <w:rsid w:val="001A6310"/>
    <w:rsid w:val="001A64CF"/>
    <w:rsid w:val="001A64E2"/>
    <w:rsid w:val="001A6501"/>
    <w:rsid w:val="001A6824"/>
    <w:rsid w:val="001A6933"/>
    <w:rsid w:val="001A694F"/>
    <w:rsid w:val="001A6A82"/>
    <w:rsid w:val="001A6A93"/>
    <w:rsid w:val="001A7055"/>
    <w:rsid w:val="001A72C5"/>
    <w:rsid w:val="001A7546"/>
    <w:rsid w:val="001A79D0"/>
    <w:rsid w:val="001A7C18"/>
    <w:rsid w:val="001A7DD5"/>
    <w:rsid w:val="001B0104"/>
    <w:rsid w:val="001B0228"/>
    <w:rsid w:val="001B0312"/>
    <w:rsid w:val="001B0548"/>
    <w:rsid w:val="001B057A"/>
    <w:rsid w:val="001B05CE"/>
    <w:rsid w:val="001B07ED"/>
    <w:rsid w:val="001B09E8"/>
    <w:rsid w:val="001B0AA6"/>
    <w:rsid w:val="001B0DEC"/>
    <w:rsid w:val="001B122A"/>
    <w:rsid w:val="001B17C4"/>
    <w:rsid w:val="001B19FB"/>
    <w:rsid w:val="001B1CDE"/>
    <w:rsid w:val="001B2362"/>
    <w:rsid w:val="001B271E"/>
    <w:rsid w:val="001B2A81"/>
    <w:rsid w:val="001B2DDA"/>
    <w:rsid w:val="001B3138"/>
    <w:rsid w:val="001B3258"/>
    <w:rsid w:val="001B338E"/>
    <w:rsid w:val="001B3644"/>
    <w:rsid w:val="001B3BC5"/>
    <w:rsid w:val="001B3E45"/>
    <w:rsid w:val="001B40E9"/>
    <w:rsid w:val="001B44D8"/>
    <w:rsid w:val="001B453E"/>
    <w:rsid w:val="001B46CC"/>
    <w:rsid w:val="001B4742"/>
    <w:rsid w:val="001B4775"/>
    <w:rsid w:val="001B493B"/>
    <w:rsid w:val="001B4A42"/>
    <w:rsid w:val="001B4A57"/>
    <w:rsid w:val="001B4ABA"/>
    <w:rsid w:val="001B531F"/>
    <w:rsid w:val="001B5372"/>
    <w:rsid w:val="001B5442"/>
    <w:rsid w:val="001B5737"/>
    <w:rsid w:val="001B5862"/>
    <w:rsid w:val="001B59A3"/>
    <w:rsid w:val="001B5A77"/>
    <w:rsid w:val="001B6296"/>
    <w:rsid w:val="001B641B"/>
    <w:rsid w:val="001B6BE2"/>
    <w:rsid w:val="001B74CF"/>
    <w:rsid w:val="001B76FF"/>
    <w:rsid w:val="001C0430"/>
    <w:rsid w:val="001C0503"/>
    <w:rsid w:val="001C05E4"/>
    <w:rsid w:val="001C0690"/>
    <w:rsid w:val="001C0992"/>
    <w:rsid w:val="001C0C25"/>
    <w:rsid w:val="001C12D3"/>
    <w:rsid w:val="001C133F"/>
    <w:rsid w:val="001C15A0"/>
    <w:rsid w:val="001C1E87"/>
    <w:rsid w:val="001C1ED0"/>
    <w:rsid w:val="001C1F0C"/>
    <w:rsid w:val="001C2166"/>
    <w:rsid w:val="001C22A2"/>
    <w:rsid w:val="001C237B"/>
    <w:rsid w:val="001C247B"/>
    <w:rsid w:val="001C272C"/>
    <w:rsid w:val="001C2824"/>
    <w:rsid w:val="001C2CBB"/>
    <w:rsid w:val="001C2FAD"/>
    <w:rsid w:val="001C302F"/>
    <w:rsid w:val="001C3919"/>
    <w:rsid w:val="001C3E5D"/>
    <w:rsid w:val="001C4155"/>
    <w:rsid w:val="001C44C4"/>
    <w:rsid w:val="001C4863"/>
    <w:rsid w:val="001C4F7D"/>
    <w:rsid w:val="001C5541"/>
    <w:rsid w:val="001C5659"/>
    <w:rsid w:val="001C5996"/>
    <w:rsid w:val="001C59F3"/>
    <w:rsid w:val="001C5B34"/>
    <w:rsid w:val="001C5CDA"/>
    <w:rsid w:val="001C5E73"/>
    <w:rsid w:val="001C61D1"/>
    <w:rsid w:val="001C65D7"/>
    <w:rsid w:val="001C65F1"/>
    <w:rsid w:val="001C66EA"/>
    <w:rsid w:val="001C67D9"/>
    <w:rsid w:val="001C68D1"/>
    <w:rsid w:val="001C6F1F"/>
    <w:rsid w:val="001C7417"/>
    <w:rsid w:val="001C7830"/>
    <w:rsid w:val="001C7909"/>
    <w:rsid w:val="001C7B59"/>
    <w:rsid w:val="001C7CEB"/>
    <w:rsid w:val="001C7DF2"/>
    <w:rsid w:val="001C7FEE"/>
    <w:rsid w:val="001D0066"/>
    <w:rsid w:val="001D09E6"/>
    <w:rsid w:val="001D13C0"/>
    <w:rsid w:val="001D13E6"/>
    <w:rsid w:val="001D16C6"/>
    <w:rsid w:val="001D18EE"/>
    <w:rsid w:val="001D1918"/>
    <w:rsid w:val="001D19FB"/>
    <w:rsid w:val="001D1B69"/>
    <w:rsid w:val="001D1DAF"/>
    <w:rsid w:val="001D1E49"/>
    <w:rsid w:val="001D248D"/>
    <w:rsid w:val="001D25AD"/>
    <w:rsid w:val="001D25D7"/>
    <w:rsid w:val="001D2706"/>
    <w:rsid w:val="001D27B2"/>
    <w:rsid w:val="001D28FA"/>
    <w:rsid w:val="001D3017"/>
    <w:rsid w:val="001D3215"/>
    <w:rsid w:val="001D3807"/>
    <w:rsid w:val="001D3C16"/>
    <w:rsid w:val="001D3DAB"/>
    <w:rsid w:val="001D42BA"/>
    <w:rsid w:val="001D45B6"/>
    <w:rsid w:val="001D5370"/>
    <w:rsid w:val="001D53C3"/>
    <w:rsid w:val="001D5420"/>
    <w:rsid w:val="001D543F"/>
    <w:rsid w:val="001D576A"/>
    <w:rsid w:val="001D5934"/>
    <w:rsid w:val="001D5B43"/>
    <w:rsid w:val="001D5B94"/>
    <w:rsid w:val="001D5E05"/>
    <w:rsid w:val="001D5F6B"/>
    <w:rsid w:val="001D6911"/>
    <w:rsid w:val="001D6962"/>
    <w:rsid w:val="001D6E2D"/>
    <w:rsid w:val="001D70F1"/>
    <w:rsid w:val="001D7805"/>
    <w:rsid w:val="001D791F"/>
    <w:rsid w:val="001D796E"/>
    <w:rsid w:val="001D7A93"/>
    <w:rsid w:val="001E006E"/>
    <w:rsid w:val="001E02CE"/>
    <w:rsid w:val="001E053D"/>
    <w:rsid w:val="001E0980"/>
    <w:rsid w:val="001E0C7C"/>
    <w:rsid w:val="001E1321"/>
    <w:rsid w:val="001E15DD"/>
    <w:rsid w:val="001E1777"/>
    <w:rsid w:val="001E1E22"/>
    <w:rsid w:val="001E1E6F"/>
    <w:rsid w:val="001E1F53"/>
    <w:rsid w:val="001E1FC3"/>
    <w:rsid w:val="001E20BC"/>
    <w:rsid w:val="001E2377"/>
    <w:rsid w:val="001E266F"/>
    <w:rsid w:val="001E2A71"/>
    <w:rsid w:val="001E2AAB"/>
    <w:rsid w:val="001E2C80"/>
    <w:rsid w:val="001E2DE0"/>
    <w:rsid w:val="001E3147"/>
    <w:rsid w:val="001E36FE"/>
    <w:rsid w:val="001E43CC"/>
    <w:rsid w:val="001E4996"/>
    <w:rsid w:val="001E4C7C"/>
    <w:rsid w:val="001E54EB"/>
    <w:rsid w:val="001E55FA"/>
    <w:rsid w:val="001E5911"/>
    <w:rsid w:val="001E5D96"/>
    <w:rsid w:val="001E5ED1"/>
    <w:rsid w:val="001E5F6A"/>
    <w:rsid w:val="001E60B6"/>
    <w:rsid w:val="001E60BA"/>
    <w:rsid w:val="001E63FB"/>
    <w:rsid w:val="001E65F2"/>
    <w:rsid w:val="001E6718"/>
    <w:rsid w:val="001E6DCF"/>
    <w:rsid w:val="001E6EE7"/>
    <w:rsid w:val="001E6F81"/>
    <w:rsid w:val="001E6F8F"/>
    <w:rsid w:val="001E740A"/>
    <w:rsid w:val="001E7458"/>
    <w:rsid w:val="001E75D9"/>
    <w:rsid w:val="001E77B2"/>
    <w:rsid w:val="001E7924"/>
    <w:rsid w:val="001E79E6"/>
    <w:rsid w:val="001E7CC7"/>
    <w:rsid w:val="001F01A5"/>
    <w:rsid w:val="001F045C"/>
    <w:rsid w:val="001F0712"/>
    <w:rsid w:val="001F0769"/>
    <w:rsid w:val="001F0E25"/>
    <w:rsid w:val="001F10BE"/>
    <w:rsid w:val="001F1158"/>
    <w:rsid w:val="001F1A4D"/>
    <w:rsid w:val="001F1BCE"/>
    <w:rsid w:val="001F1D53"/>
    <w:rsid w:val="001F1F97"/>
    <w:rsid w:val="001F2864"/>
    <w:rsid w:val="001F28F7"/>
    <w:rsid w:val="001F2BFA"/>
    <w:rsid w:val="001F2C78"/>
    <w:rsid w:val="001F2CA6"/>
    <w:rsid w:val="001F350D"/>
    <w:rsid w:val="001F369A"/>
    <w:rsid w:val="001F39E8"/>
    <w:rsid w:val="001F3B17"/>
    <w:rsid w:val="001F4081"/>
    <w:rsid w:val="001F4132"/>
    <w:rsid w:val="001F48BB"/>
    <w:rsid w:val="001F4E61"/>
    <w:rsid w:val="001F4F04"/>
    <w:rsid w:val="001F51CE"/>
    <w:rsid w:val="001F5260"/>
    <w:rsid w:val="001F58C7"/>
    <w:rsid w:val="001F5FFA"/>
    <w:rsid w:val="001F6036"/>
    <w:rsid w:val="001F6656"/>
    <w:rsid w:val="001F66CF"/>
    <w:rsid w:val="001F6705"/>
    <w:rsid w:val="001F6C7A"/>
    <w:rsid w:val="001F7266"/>
    <w:rsid w:val="001F735A"/>
    <w:rsid w:val="001F7AFA"/>
    <w:rsid w:val="001F7CA7"/>
    <w:rsid w:val="001F7EEA"/>
    <w:rsid w:val="00200439"/>
    <w:rsid w:val="002005E1"/>
    <w:rsid w:val="00200770"/>
    <w:rsid w:val="00200B4C"/>
    <w:rsid w:val="002010EF"/>
    <w:rsid w:val="002012F7"/>
    <w:rsid w:val="002013A3"/>
    <w:rsid w:val="002018D5"/>
    <w:rsid w:val="00201BC9"/>
    <w:rsid w:val="00201FAD"/>
    <w:rsid w:val="00201FBD"/>
    <w:rsid w:val="00201FFD"/>
    <w:rsid w:val="00202030"/>
    <w:rsid w:val="002021E2"/>
    <w:rsid w:val="002022BD"/>
    <w:rsid w:val="0020244E"/>
    <w:rsid w:val="00203301"/>
    <w:rsid w:val="00203594"/>
    <w:rsid w:val="00203A68"/>
    <w:rsid w:val="00203B71"/>
    <w:rsid w:val="00203F96"/>
    <w:rsid w:val="00203FA4"/>
    <w:rsid w:val="0020478B"/>
    <w:rsid w:val="00204941"/>
    <w:rsid w:val="002049F3"/>
    <w:rsid w:val="00204F98"/>
    <w:rsid w:val="00205C11"/>
    <w:rsid w:val="00205D02"/>
    <w:rsid w:val="00205D24"/>
    <w:rsid w:val="00205F07"/>
    <w:rsid w:val="0020633F"/>
    <w:rsid w:val="00206708"/>
    <w:rsid w:val="00206B21"/>
    <w:rsid w:val="00206C37"/>
    <w:rsid w:val="00206C90"/>
    <w:rsid w:val="00206CAC"/>
    <w:rsid w:val="00206F6F"/>
    <w:rsid w:val="002073EE"/>
    <w:rsid w:val="00207966"/>
    <w:rsid w:val="0021054D"/>
    <w:rsid w:val="0021069E"/>
    <w:rsid w:val="00210988"/>
    <w:rsid w:val="00210C10"/>
    <w:rsid w:val="00210F54"/>
    <w:rsid w:val="00211066"/>
    <w:rsid w:val="00211440"/>
    <w:rsid w:val="00211919"/>
    <w:rsid w:val="00212138"/>
    <w:rsid w:val="00212186"/>
    <w:rsid w:val="0021220B"/>
    <w:rsid w:val="002123FB"/>
    <w:rsid w:val="0021247F"/>
    <w:rsid w:val="0021284D"/>
    <w:rsid w:val="00212B0F"/>
    <w:rsid w:val="00212DA6"/>
    <w:rsid w:val="00212DAA"/>
    <w:rsid w:val="00212DF6"/>
    <w:rsid w:val="00212E41"/>
    <w:rsid w:val="00212EF2"/>
    <w:rsid w:val="0021348D"/>
    <w:rsid w:val="002134B5"/>
    <w:rsid w:val="00213E14"/>
    <w:rsid w:val="00213EB9"/>
    <w:rsid w:val="0021438D"/>
    <w:rsid w:val="0021455F"/>
    <w:rsid w:val="0021464C"/>
    <w:rsid w:val="00214AC1"/>
    <w:rsid w:val="00214AC9"/>
    <w:rsid w:val="00214E53"/>
    <w:rsid w:val="00214F22"/>
    <w:rsid w:val="0021543A"/>
    <w:rsid w:val="002154EC"/>
    <w:rsid w:val="002158D3"/>
    <w:rsid w:val="00215C60"/>
    <w:rsid w:val="00215C88"/>
    <w:rsid w:val="00215FFD"/>
    <w:rsid w:val="00216269"/>
    <w:rsid w:val="00216A6D"/>
    <w:rsid w:val="00216BF6"/>
    <w:rsid w:val="00216C7C"/>
    <w:rsid w:val="00216DBF"/>
    <w:rsid w:val="00217267"/>
    <w:rsid w:val="00217880"/>
    <w:rsid w:val="00217991"/>
    <w:rsid w:val="00217C8F"/>
    <w:rsid w:val="00217FDA"/>
    <w:rsid w:val="0022076D"/>
    <w:rsid w:val="00221040"/>
    <w:rsid w:val="00221058"/>
    <w:rsid w:val="002213A6"/>
    <w:rsid w:val="00221548"/>
    <w:rsid w:val="00221FFD"/>
    <w:rsid w:val="002227C0"/>
    <w:rsid w:val="00222962"/>
    <w:rsid w:val="002229E3"/>
    <w:rsid w:val="00222D74"/>
    <w:rsid w:val="002234C4"/>
    <w:rsid w:val="00223701"/>
    <w:rsid w:val="002237EB"/>
    <w:rsid w:val="00224124"/>
    <w:rsid w:val="00224489"/>
    <w:rsid w:val="00224B09"/>
    <w:rsid w:val="00224FDD"/>
    <w:rsid w:val="00225099"/>
    <w:rsid w:val="0022553E"/>
    <w:rsid w:val="00225644"/>
    <w:rsid w:val="00225A40"/>
    <w:rsid w:val="00225B01"/>
    <w:rsid w:val="002262CC"/>
    <w:rsid w:val="00226342"/>
    <w:rsid w:val="00226454"/>
    <w:rsid w:val="00226C54"/>
    <w:rsid w:val="00226DE3"/>
    <w:rsid w:val="0022702E"/>
    <w:rsid w:val="0022725E"/>
    <w:rsid w:val="002278F7"/>
    <w:rsid w:val="00227A45"/>
    <w:rsid w:val="00227B40"/>
    <w:rsid w:val="00227F6C"/>
    <w:rsid w:val="00230611"/>
    <w:rsid w:val="00230775"/>
    <w:rsid w:val="0023115D"/>
    <w:rsid w:val="002313A1"/>
    <w:rsid w:val="00231488"/>
    <w:rsid w:val="00231536"/>
    <w:rsid w:val="002318C0"/>
    <w:rsid w:val="00231C53"/>
    <w:rsid w:val="00231C8B"/>
    <w:rsid w:val="00231D8F"/>
    <w:rsid w:val="00231FD6"/>
    <w:rsid w:val="00232194"/>
    <w:rsid w:val="002322F7"/>
    <w:rsid w:val="00232301"/>
    <w:rsid w:val="00232363"/>
    <w:rsid w:val="0023247D"/>
    <w:rsid w:val="00232692"/>
    <w:rsid w:val="0023339E"/>
    <w:rsid w:val="0023340C"/>
    <w:rsid w:val="0023363E"/>
    <w:rsid w:val="00233AED"/>
    <w:rsid w:val="00233B42"/>
    <w:rsid w:val="00233D23"/>
    <w:rsid w:val="002340DC"/>
    <w:rsid w:val="0023428F"/>
    <w:rsid w:val="0023439B"/>
    <w:rsid w:val="0023481C"/>
    <w:rsid w:val="00234853"/>
    <w:rsid w:val="00234B1B"/>
    <w:rsid w:val="00234BA4"/>
    <w:rsid w:val="00234E9D"/>
    <w:rsid w:val="00235645"/>
    <w:rsid w:val="0023566A"/>
    <w:rsid w:val="00235AF2"/>
    <w:rsid w:val="00235B1F"/>
    <w:rsid w:val="00235D5A"/>
    <w:rsid w:val="00235ECA"/>
    <w:rsid w:val="00236C86"/>
    <w:rsid w:val="00236CD4"/>
    <w:rsid w:val="00237609"/>
    <w:rsid w:val="0023782B"/>
    <w:rsid w:val="00237877"/>
    <w:rsid w:val="00237911"/>
    <w:rsid w:val="00237BE7"/>
    <w:rsid w:val="00237C12"/>
    <w:rsid w:val="00237C71"/>
    <w:rsid w:val="002400F6"/>
    <w:rsid w:val="00240351"/>
    <w:rsid w:val="00240516"/>
    <w:rsid w:val="00240552"/>
    <w:rsid w:val="00240650"/>
    <w:rsid w:val="0024066F"/>
    <w:rsid w:val="002407F1"/>
    <w:rsid w:val="00240F6A"/>
    <w:rsid w:val="0024117B"/>
    <w:rsid w:val="00241369"/>
    <w:rsid w:val="00241474"/>
    <w:rsid w:val="002414F9"/>
    <w:rsid w:val="002416FB"/>
    <w:rsid w:val="0024188D"/>
    <w:rsid w:val="002418F3"/>
    <w:rsid w:val="00241D89"/>
    <w:rsid w:val="00241E58"/>
    <w:rsid w:val="0024205F"/>
    <w:rsid w:val="002422B7"/>
    <w:rsid w:val="00242531"/>
    <w:rsid w:val="002425C2"/>
    <w:rsid w:val="00242752"/>
    <w:rsid w:val="002429D4"/>
    <w:rsid w:val="00242D3F"/>
    <w:rsid w:val="002430E4"/>
    <w:rsid w:val="002430F3"/>
    <w:rsid w:val="002432AE"/>
    <w:rsid w:val="0024382C"/>
    <w:rsid w:val="00243A14"/>
    <w:rsid w:val="00243ACB"/>
    <w:rsid w:val="00243C79"/>
    <w:rsid w:val="00243FA3"/>
    <w:rsid w:val="00244D25"/>
    <w:rsid w:val="002453B0"/>
    <w:rsid w:val="00245552"/>
    <w:rsid w:val="00245A5F"/>
    <w:rsid w:val="0024622A"/>
    <w:rsid w:val="002466BE"/>
    <w:rsid w:val="00246822"/>
    <w:rsid w:val="00246A9C"/>
    <w:rsid w:val="00246ADB"/>
    <w:rsid w:val="00246C77"/>
    <w:rsid w:val="00246D14"/>
    <w:rsid w:val="00246D67"/>
    <w:rsid w:val="00246D78"/>
    <w:rsid w:val="00246E0D"/>
    <w:rsid w:val="00246F0E"/>
    <w:rsid w:val="0024778D"/>
    <w:rsid w:val="002477E2"/>
    <w:rsid w:val="00247919"/>
    <w:rsid w:val="00247F3C"/>
    <w:rsid w:val="00247FEF"/>
    <w:rsid w:val="00250375"/>
    <w:rsid w:val="00250826"/>
    <w:rsid w:val="0025097D"/>
    <w:rsid w:val="002509CB"/>
    <w:rsid w:val="002509E4"/>
    <w:rsid w:val="00250B7F"/>
    <w:rsid w:val="00250CB4"/>
    <w:rsid w:val="00250D6C"/>
    <w:rsid w:val="002510A5"/>
    <w:rsid w:val="00251147"/>
    <w:rsid w:val="0025114A"/>
    <w:rsid w:val="00251245"/>
    <w:rsid w:val="00251267"/>
    <w:rsid w:val="002513A8"/>
    <w:rsid w:val="002513F5"/>
    <w:rsid w:val="00251B5A"/>
    <w:rsid w:val="00251D32"/>
    <w:rsid w:val="0025264F"/>
    <w:rsid w:val="002527ED"/>
    <w:rsid w:val="002528F6"/>
    <w:rsid w:val="002529A2"/>
    <w:rsid w:val="00252A42"/>
    <w:rsid w:val="00252B74"/>
    <w:rsid w:val="00252CC2"/>
    <w:rsid w:val="00253062"/>
    <w:rsid w:val="002530C6"/>
    <w:rsid w:val="002531DD"/>
    <w:rsid w:val="002535C3"/>
    <w:rsid w:val="0025362E"/>
    <w:rsid w:val="00253691"/>
    <w:rsid w:val="00253894"/>
    <w:rsid w:val="00253B82"/>
    <w:rsid w:val="00253FFD"/>
    <w:rsid w:val="00254053"/>
    <w:rsid w:val="00254559"/>
    <w:rsid w:val="0025488E"/>
    <w:rsid w:val="002552C3"/>
    <w:rsid w:val="002552D5"/>
    <w:rsid w:val="002552ED"/>
    <w:rsid w:val="00255462"/>
    <w:rsid w:val="00255579"/>
    <w:rsid w:val="002555B9"/>
    <w:rsid w:val="0025592F"/>
    <w:rsid w:val="00255A6D"/>
    <w:rsid w:val="00256143"/>
    <w:rsid w:val="00256189"/>
    <w:rsid w:val="00256482"/>
    <w:rsid w:val="0025687E"/>
    <w:rsid w:val="00256900"/>
    <w:rsid w:val="00256991"/>
    <w:rsid w:val="00256C17"/>
    <w:rsid w:val="00256CBB"/>
    <w:rsid w:val="0025722F"/>
    <w:rsid w:val="00257781"/>
    <w:rsid w:val="00257D8E"/>
    <w:rsid w:val="002604DD"/>
    <w:rsid w:val="00260923"/>
    <w:rsid w:val="00260BF4"/>
    <w:rsid w:val="00260DC2"/>
    <w:rsid w:val="00260E18"/>
    <w:rsid w:val="00261000"/>
    <w:rsid w:val="002610D0"/>
    <w:rsid w:val="002613E0"/>
    <w:rsid w:val="00261EC5"/>
    <w:rsid w:val="00262608"/>
    <w:rsid w:val="00262CA5"/>
    <w:rsid w:val="00263D31"/>
    <w:rsid w:val="00263EF4"/>
    <w:rsid w:val="002641F6"/>
    <w:rsid w:val="0026461C"/>
    <w:rsid w:val="00264873"/>
    <w:rsid w:val="00264DB1"/>
    <w:rsid w:val="00265B89"/>
    <w:rsid w:val="00265C0E"/>
    <w:rsid w:val="00265D15"/>
    <w:rsid w:val="00265FBD"/>
    <w:rsid w:val="002669EB"/>
    <w:rsid w:val="00267005"/>
    <w:rsid w:val="002671C8"/>
    <w:rsid w:val="0026726E"/>
    <w:rsid w:val="00267717"/>
    <w:rsid w:val="0026780C"/>
    <w:rsid w:val="0026785F"/>
    <w:rsid w:val="002679A9"/>
    <w:rsid w:val="00267E8D"/>
    <w:rsid w:val="002702DF"/>
    <w:rsid w:val="002702F7"/>
    <w:rsid w:val="00270A63"/>
    <w:rsid w:val="00270BF9"/>
    <w:rsid w:val="00270CF8"/>
    <w:rsid w:val="00270E9C"/>
    <w:rsid w:val="0027108C"/>
    <w:rsid w:val="00271383"/>
    <w:rsid w:val="002713A4"/>
    <w:rsid w:val="00272300"/>
    <w:rsid w:val="00272328"/>
    <w:rsid w:val="00272386"/>
    <w:rsid w:val="002723D5"/>
    <w:rsid w:val="002724BE"/>
    <w:rsid w:val="0027262C"/>
    <w:rsid w:val="0027270F"/>
    <w:rsid w:val="00272A19"/>
    <w:rsid w:val="00272F65"/>
    <w:rsid w:val="00273041"/>
    <w:rsid w:val="002738D3"/>
    <w:rsid w:val="0027398F"/>
    <w:rsid w:val="00273DD1"/>
    <w:rsid w:val="00273EED"/>
    <w:rsid w:val="00274912"/>
    <w:rsid w:val="00274EEE"/>
    <w:rsid w:val="00275065"/>
    <w:rsid w:val="00275216"/>
    <w:rsid w:val="0027552F"/>
    <w:rsid w:val="00275814"/>
    <w:rsid w:val="00275DB2"/>
    <w:rsid w:val="00276161"/>
    <w:rsid w:val="002765B9"/>
    <w:rsid w:val="00276630"/>
    <w:rsid w:val="00276C44"/>
    <w:rsid w:val="00276DA4"/>
    <w:rsid w:val="00277062"/>
    <w:rsid w:val="00277857"/>
    <w:rsid w:val="002778DA"/>
    <w:rsid w:val="00280036"/>
    <w:rsid w:val="00280065"/>
    <w:rsid w:val="002803B0"/>
    <w:rsid w:val="00280971"/>
    <w:rsid w:val="00280C27"/>
    <w:rsid w:val="00280FEB"/>
    <w:rsid w:val="00281058"/>
    <w:rsid w:val="002810BE"/>
    <w:rsid w:val="00281275"/>
    <w:rsid w:val="002813C4"/>
    <w:rsid w:val="0028164D"/>
    <w:rsid w:val="00281709"/>
    <w:rsid w:val="00281932"/>
    <w:rsid w:val="0028194F"/>
    <w:rsid w:val="00281D12"/>
    <w:rsid w:val="00281D83"/>
    <w:rsid w:val="002825E2"/>
    <w:rsid w:val="002827E8"/>
    <w:rsid w:val="00282A3B"/>
    <w:rsid w:val="00282AE4"/>
    <w:rsid w:val="00282B7A"/>
    <w:rsid w:val="00282E05"/>
    <w:rsid w:val="002837C5"/>
    <w:rsid w:val="002838FA"/>
    <w:rsid w:val="00283A1A"/>
    <w:rsid w:val="00283B39"/>
    <w:rsid w:val="00283C0F"/>
    <w:rsid w:val="00283DFA"/>
    <w:rsid w:val="00283FD7"/>
    <w:rsid w:val="002842D7"/>
    <w:rsid w:val="00284524"/>
    <w:rsid w:val="0028486F"/>
    <w:rsid w:val="00284BBB"/>
    <w:rsid w:val="002854BF"/>
    <w:rsid w:val="002855B9"/>
    <w:rsid w:val="0028575D"/>
    <w:rsid w:val="002858B1"/>
    <w:rsid w:val="00285E85"/>
    <w:rsid w:val="0028617C"/>
    <w:rsid w:val="002862C8"/>
    <w:rsid w:val="00286572"/>
    <w:rsid w:val="0028687A"/>
    <w:rsid w:val="00286AC9"/>
    <w:rsid w:val="00286D22"/>
    <w:rsid w:val="00286F61"/>
    <w:rsid w:val="0028743E"/>
    <w:rsid w:val="0028764A"/>
    <w:rsid w:val="00287723"/>
    <w:rsid w:val="002877FD"/>
    <w:rsid w:val="002878AF"/>
    <w:rsid w:val="00287ADE"/>
    <w:rsid w:val="002901B0"/>
    <w:rsid w:val="0029057D"/>
    <w:rsid w:val="002905D9"/>
    <w:rsid w:val="002907ED"/>
    <w:rsid w:val="00291BB9"/>
    <w:rsid w:val="002920B6"/>
    <w:rsid w:val="0029221A"/>
    <w:rsid w:val="0029227F"/>
    <w:rsid w:val="00292809"/>
    <w:rsid w:val="00292893"/>
    <w:rsid w:val="00292BF1"/>
    <w:rsid w:val="00292C09"/>
    <w:rsid w:val="00292D40"/>
    <w:rsid w:val="0029301E"/>
    <w:rsid w:val="002937AD"/>
    <w:rsid w:val="002939EA"/>
    <w:rsid w:val="00293B88"/>
    <w:rsid w:val="00293E1F"/>
    <w:rsid w:val="0029430D"/>
    <w:rsid w:val="002944B7"/>
    <w:rsid w:val="002949C9"/>
    <w:rsid w:val="00294A05"/>
    <w:rsid w:val="00294A25"/>
    <w:rsid w:val="00294F93"/>
    <w:rsid w:val="002950B7"/>
    <w:rsid w:val="002954E0"/>
    <w:rsid w:val="002957EC"/>
    <w:rsid w:val="00295F31"/>
    <w:rsid w:val="00296130"/>
    <w:rsid w:val="002961BF"/>
    <w:rsid w:val="002961FA"/>
    <w:rsid w:val="00296258"/>
    <w:rsid w:val="00296269"/>
    <w:rsid w:val="002964E1"/>
    <w:rsid w:val="0029664A"/>
    <w:rsid w:val="00297D09"/>
    <w:rsid w:val="00297D9D"/>
    <w:rsid w:val="002A00C6"/>
    <w:rsid w:val="002A040B"/>
    <w:rsid w:val="002A05AE"/>
    <w:rsid w:val="002A07EA"/>
    <w:rsid w:val="002A083F"/>
    <w:rsid w:val="002A08A0"/>
    <w:rsid w:val="002A1081"/>
    <w:rsid w:val="002A1B04"/>
    <w:rsid w:val="002A1B09"/>
    <w:rsid w:val="002A218E"/>
    <w:rsid w:val="002A21BE"/>
    <w:rsid w:val="002A2236"/>
    <w:rsid w:val="002A233E"/>
    <w:rsid w:val="002A2515"/>
    <w:rsid w:val="002A2CB6"/>
    <w:rsid w:val="002A2DD4"/>
    <w:rsid w:val="002A2EC3"/>
    <w:rsid w:val="002A2F5C"/>
    <w:rsid w:val="002A30A1"/>
    <w:rsid w:val="002A363A"/>
    <w:rsid w:val="002A37C6"/>
    <w:rsid w:val="002A3880"/>
    <w:rsid w:val="002A3C42"/>
    <w:rsid w:val="002A4088"/>
    <w:rsid w:val="002A419B"/>
    <w:rsid w:val="002A4252"/>
    <w:rsid w:val="002A46DD"/>
    <w:rsid w:val="002A5219"/>
    <w:rsid w:val="002A523F"/>
    <w:rsid w:val="002A52E8"/>
    <w:rsid w:val="002A5564"/>
    <w:rsid w:val="002A5EB2"/>
    <w:rsid w:val="002A5FE8"/>
    <w:rsid w:val="002A6476"/>
    <w:rsid w:val="002A6A17"/>
    <w:rsid w:val="002A6F86"/>
    <w:rsid w:val="002A7515"/>
    <w:rsid w:val="002A79B0"/>
    <w:rsid w:val="002A79F2"/>
    <w:rsid w:val="002A7F84"/>
    <w:rsid w:val="002B0666"/>
    <w:rsid w:val="002B06A8"/>
    <w:rsid w:val="002B06F4"/>
    <w:rsid w:val="002B0E53"/>
    <w:rsid w:val="002B1119"/>
    <w:rsid w:val="002B1184"/>
    <w:rsid w:val="002B171E"/>
    <w:rsid w:val="002B17A8"/>
    <w:rsid w:val="002B1BCC"/>
    <w:rsid w:val="002B2545"/>
    <w:rsid w:val="002B25F6"/>
    <w:rsid w:val="002B2841"/>
    <w:rsid w:val="002B2A9C"/>
    <w:rsid w:val="002B2B38"/>
    <w:rsid w:val="002B2DCE"/>
    <w:rsid w:val="002B3265"/>
    <w:rsid w:val="002B3510"/>
    <w:rsid w:val="002B3531"/>
    <w:rsid w:val="002B35DA"/>
    <w:rsid w:val="002B366D"/>
    <w:rsid w:val="002B36D3"/>
    <w:rsid w:val="002B3F89"/>
    <w:rsid w:val="002B3FFF"/>
    <w:rsid w:val="002B4055"/>
    <w:rsid w:val="002B4215"/>
    <w:rsid w:val="002B46F4"/>
    <w:rsid w:val="002B4DB4"/>
    <w:rsid w:val="002B4F32"/>
    <w:rsid w:val="002B53B3"/>
    <w:rsid w:val="002B566D"/>
    <w:rsid w:val="002B5955"/>
    <w:rsid w:val="002B6152"/>
    <w:rsid w:val="002B64BE"/>
    <w:rsid w:val="002B67E4"/>
    <w:rsid w:val="002B6A64"/>
    <w:rsid w:val="002B6AA2"/>
    <w:rsid w:val="002B6B82"/>
    <w:rsid w:val="002B6F0F"/>
    <w:rsid w:val="002B75BC"/>
    <w:rsid w:val="002B7601"/>
    <w:rsid w:val="002B7809"/>
    <w:rsid w:val="002B79AC"/>
    <w:rsid w:val="002B7B07"/>
    <w:rsid w:val="002B7D80"/>
    <w:rsid w:val="002B7F30"/>
    <w:rsid w:val="002C0550"/>
    <w:rsid w:val="002C07DC"/>
    <w:rsid w:val="002C09BB"/>
    <w:rsid w:val="002C0B00"/>
    <w:rsid w:val="002C0C7C"/>
    <w:rsid w:val="002C0F9B"/>
    <w:rsid w:val="002C156F"/>
    <w:rsid w:val="002C1C4B"/>
    <w:rsid w:val="002C1C7F"/>
    <w:rsid w:val="002C1CDE"/>
    <w:rsid w:val="002C1CFA"/>
    <w:rsid w:val="002C1F4E"/>
    <w:rsid w:val="002C203D"/>
    <w:rsid w:val="002C23B4"/>
    <w:rsid w:val="002C2615"/>
    <w:rsid w:val="002C272A"/>
    <w:rsid w:val="002C2875"/>
    <w:rsid w:val="002C2B2C"/>
    <w:rsid w:val="002C2EAD"/>
    <w:rsid w:val="002C3020"/>
    <w:rsid w:val="002C32F1"/>
    <w:rsid w:val="002C35D3"/>
    <w:rsid w:val="002C38EC"/>
    <w:rsid w:val="002C3A97"/>
    <w:rsid w:val="002C3D4A"/>
    <w:rsid w:val="002C3ECA"/>
    <w:rsid w:val="002C3EFE"/>
    <w:rsid w:val="002C3F19"/>
    <w:rsid w:val="002C4A2D"/>
    <w:rsid w:val="002C4EE7"/>
    <w:rsid w:val="002C4EF6"/>
    <w:rsid w:val="002C50D3"/>
    <w:rsid w:val="002C517C"/>
    <w:rsid w:val="002C518E"/>
    <w:rsid w:val="002C54B7"/>
    <w:rsid w:val="002C56A7"/>
    <w:rsid w:val="002C5776"/>
    <w:rsid w:val="002C5B9A"/>
    <w:rsid w:val="002C5BAC"/>
    <w:rsid w:val="002C5DBA"/>
    <w:rsid w:val="002C5EBE"/>
    <w:rsid w:val="002C6205"/>
    <w:rsid w:val="002C6368"/>
    <w:rsid w:val="002C64AE"/>
    <w:rsid w:val="002C64BB"/>
    <w:rsid w:val="002C6A27"/>
    <w:rsid w:val="002C6EE1"/>
    <w:rsid w:val="002C72B2"/>
    <w:rsid w:val="002C74ED"/>
    <w:rsid w:val="002C7889"/>
    <w:rsid w:val="002C794E"/>
    <w:rsid w:val="002C7B81"/>
    <w:rsid w:val="002C7FCC"/>
    <w:rsid w:val="002D01CF"/>
    <w:rsid w:val="002D0203"/>
    <w:rsid w:val="002D069B"/>
    <w:rsid w:val="002D06AF"/>
    <w:rsid w:val="002D094F"/>
    <w:rsid w:val="002D0AE1"/>
    <w:rsid w:val="002D0B41"/>
    <w:rsid w:val="002D138C"/>
    <w:rsid w:val="002D1A07"/>
    <w:rsid w:val="002D1B31"/>
    <w:rsid w:val="002D1C99"/>
    <w:rsid w:val="002D1E8A"/>
    <w:rsid w:val="002D1FA2"/>
    <w:rsid w:val="002D270D"/>
    <w:rsid w:val="002D27F7"/>
    <w:rsid w:val="002D28B1"/>
    <w:rsid w:val="002D28F7"/>
    <w:rsid w:val="002D2A41"/>
    <w:rsid w:val="002D2C54"/>
    <w:rsid w:val="002D2CC0"/>
    <w:rsid w:val="002D2DAA"/>
    <w:rsid w:val="002D30BF"/>
    <w:rsid w:val="002D36C3"/>
    <w:rsid w:val="002D3DB9"/>
    <w:rsid w:val="002D3DBF"/>
    <w:rsid w:val="002D4092"/>
    <w:rsid w:val="002D426D"/>
    <w:rsid w:val="002D4365"/>
    <w:rsid w:val="002D44A7"/>
    <w:rsid w:val="002D46FB"/>
    <w:rsid w:val="002D4C41"/>
    <w:rsid w:val="002D5793"/>
    <w:rsid w:val="002D5DAC"/>
    <w:rsid w:val="002D5EA8"/>
    <w:rsid w:val="002D65A1"/>
    <w:rsid w:val="002D663E"/>
    <w:rsid w:val="002D69DB"/>
    <w:rsid w:val="002D6D9B"/>
    <w:rsid w:val="002D7054"/>
    <w:rsid w:val="002D7256"/>
    <w:rsid w:val="002D738A"/>
    <w:rsid w:val="002D73C0"/>
    <w:rsid w:val="002D74D3"/>
    <w:rsid w:val="002D75AF"/>
    <w:rsid w:val="002D7792"/>
    <w:rsid w:val="002D78F3"/>
    <w:rsid w:val="002D7AB2"/>
    <w:rsid w:val="002D7AE1"/>
    <w:rsid w:val="002E0370"/>
    <w:rsid w:val="002E0AD3"/>
    <w:rsid w:val="002E0C75"/>
    <w:rsid w:val="002E0DC2"/>
    <w:rsid w:val="002E129D"/>
    <w:rsid w:val="002E12B9"/>
    <w:rsid w:val="002E1521"/>
    <w:rsid w:val="002E1754"/>
    <w:rsid w:val="002E1766"/>
    <w:rsid w:val="002E1C7A"/>
    <w:rsid w:val="002E229D"/>
    <w:rsid w:val="002E255C"/>
    <w:rsid w:val="002E26B1"/>
    <w:rsid w:val="002E2932"/>
    <w:rsid w:val="002E2DB8"/>
    <w:rsid w:val="002E2E5A"/>
    <w:rsid w:val="002E2F09"/>
    <w:rsid w:val="002E3777"/>
    <w:rsid w:val="002E394E"/>
    <w:rsid w:val="002E3D3B"/>
    <w:rsid w:val="002E41C5"/>
    <w:rsid w:val="002E430C"/>
    <w:rsid w:val="002E4956"/>
    <w:rsid w:val="002E4B5B"/>
    <w:rsid w:val="002E4F16"/>
    <w:rsid w:val="002E4F83"/>
    <w:rsid w:val="002E52DD"/>
    <w:rsid w:val="002E56C7"/>
    <w:rsid w:val="002E57E4"/>
    <w:rsid w:val="002E5854"/>
    <w:rsid w:val="002E5B34"/>
    <w:rsid w:val="002E5D72"/>
    <w:rsid w:val="002E5F68"/>
    <w:rsid w:val="002E63AA"/>
    <w:rsid w:val="002E64FD"/>
    <w:rsid w:val="002E6AB9"/>
    <w:rsid w:val="002E6B7D"/>
    <w:rsid w:val="002E6CA8"/>
    <w:rsid w:val="002E6EB1"/>
    <w:rsid w:val="002E70B3"/>
    <w:rsid w:val="002E73A8"/>
    <w:rsid w:val="002E79B7"/>
    <w:rsid w:val="002E7C36"/>
    <w:rsid w:val="002E7CAF"/>
    <w:rsid w:val="002F0086"/>
    <w:rsid w:val="002F0939"/>
    <w:rsid w:val="002F0ABA"/>
    <w:rsid w:val="002F0AE8"/>
    <w:rsid w:val="002F11CC"/>
    <w:rsid w:val="002F1B28"/>
    <w:rsid w:val="002F1B59"/>
    <w:rsid w:val="002F2008"/>
    <w:rsid w:val="002F2049"/>
    <w:rsid w:val="002F20C0"/>
    <w:rsid w:val="002F22C1"/>
    <w:rsid w:val="002F2378"/>
    <w:rsid w:val="002F25D6"/>
    <w:rsid w:val="002F26AC"/>
    <w:rsid w:val="002F2897"/>
    <w:rsid w:val="002F299A"/>
    <w:rsid w:val="002F2AB1"/>
    <w:rsid w:val="002F2DFE"/>
    <w:rsid w:val="002F2E57"/>
    <w:rsid w:val="002F348B"/>
    <w:rsid w:val="002F34A4"/>
    <w:rsid w:val="002F3D4F"/>
    <w:rsid w:val="002F3F21"/>
    <w:rsid w:val="002F40BC"/>
    <w:rsid w:val="002F4203"/>
    <w:rsid w:val="002F49A5"/>
    <w:rsid w:val="002F49C4"/>
    <w:rsid w:val="002F4C5C"/>
    <w:rsid w:val="002F588E"/>
    <w:rsid w:val="002F5D8B"/>
    <w:rsid w:val="002F6171"/>
    <w:rsid w:val="002F669B"/>
    <w:rsid w:val="002F6755"/>
    <w:rsid w:val="002F6FE9"/>
    <w:rsid w:val="002F70D0"/>
    <w:rsid w:val="002F7836"/>
    <w:rsid w:val="002F7AFD"/>
    <w:rsid w:val="002F7B53"/>
    <w:rsid w:val="002F7D49"/>
    <w:rsid w:val="002F7E6E"/>
    <w:rsid w:val="003000D0"/>
    <w:rsid w:val="003003E7"/>
    <w:rsid w:val="003006FF"/>
    <w:rsid w:val="0030094B"/>
    <w:rsid w:val="00300AB3"/>
    <w:rsid w:val="00300F9C"/>
    <w:rsid w:val="00301032"/>
    <w:rsid w:val="00301053"/>
    <w:rsid w:val="00301062"/>
    <w:rsid w:val="0030118F"/>
    <w:rsid w:val="0030164D"/>
    <w:rsid w:val="00301751"/>
    <w:rsid w:val="00301A24"/>
    <w:rsid w:val="00301C72"/>
    <w:rsid w:val="00301E27"/>
    <w:rsid w:val="00302194"/>
    <w:rsid w:val="00302309"/>
    <w:rsid w:val="00302371"/>
    <w:rsid w:val="00302404"/>
    <w:rsid w:val="003029B8"/>
    <w:rsid w:val="003029F9"/>
    <w:rsid w:val="00302F12"/>
    <w:rsid w:val="00302FE2"/>
    <w:rsid w:val="0030326A"/>
    <w:rsid w:val="003035DF"/>
    <w:rsid w:val="00303604"/>
    <w:rsid w:val="00303AB6"/>
    <w:rsid w:val="00303B14"/>
    <w:rsid w:val="00303B57"/>
    <w:rsid w:val="00303DE2"/>
    <w:rsid w:val="00303FA2"/>
    <w:rsid w:val="00303FEB"/>
    <w:rsid w:val="003040B8"/>
    <w:rsid w:val="003041AB"/>
    <w:rsid w:val="00304337"/>
    <w:rsid w:val="003044B3"/>
    <w:rsid w:val="00304729"/>
    <w:rsid w:val="003048A5"/>
    <w:rsid w:val="00304C19"/>
    <w:rsid w:val="00304E97"/>
    <w:rsid w:val="00305180"/>
    <w:rsid w:val="00305705"/>
    <w:rsid w:val="00305D1F"/>
    <w:rsid w:val="00305F26"/>
    <w:rsid w:val="003062E3"/>
    <w:rsid w:val="00306472"/>
    <w:rsid w:val="00306B27"/>
    <w:rsid w:val="00306B5F"/>
    <w:rsid w:val="00306D71"/>
    <w:rsid w:val="00307164"/>
    <w:rsid w:val="003071CA"/>
    <w:rsid w:val="00307511"/>
    <w:rsid w:val="00307585"/>
    <w:rsid w:val="00307850"/>
    <w:rsid w:val="00307AE5"/>
    <w:rsid w:val="00307D8B"/>
    <w:rsid w:val="0031003D"/>
    <w:rsid w:val="00310126"/>
    <w:rsid w:val="0031029E"/>
    <w:rsid w:val="0031041F"/>
    <w:rsid w:val="00310EAF"/>
    <w:rsid w:val="00310FAF"/>
    <w:rsid w:val="0031177D"/>
    <w:rsid w:val="00311C03"/>
    <w:rsid w:val="00311DA5"/>
    <w:rsid w:val="0031244F"/>
    <w:rsid w:val="00312603"/>
    <w:rsid w:val="0031260E"/>
    <w:rsid w:val="00312D65"/>
    <w:rsid w:val="00312F5C"/>
    <w:rsid w:val="003132AB"/>
    <w:rsid w:val="003132F3"/>
    <w:rsid w:val="00313316"/>
    <w:rsid w:val="003136B8"/>
    <w:rsid w:val="00313826"/>
    <w:rsid w:val="00313EEF"/>
    <w:rsid w:val="003140CD"/>
    <w:rsid w:val="00314380"/>
    <w:rsid w:val="003144A0"/>
    <w:rsid w:val="00314553"/>
    <w:rsid w:val="003147B4"/>
    <w:rsid w:val="00314DD4"/>
    <w:rsid w:val="00315179"/>
    <w:rsid w:val="003151E9"/>
    <w:rsid w:val="0031579D"/>
    <w:rsid w:val="00315E15"/>
    <w:rsid w:val="00316013"/>
    <w:rsid w:val="0031644A"/>
    <w:rsid w:val="00316A50"/>
    <w:rsid w:val="00316C69"/>
    <w:rsid w:val="00316D07"/>
    <w:rsid w:val="00317038"/>
    <w:rsid w:val="00317129"/>
    <w:rsid w:val="003174B7"/>
    <w:rsid w:val="00320366"/>
    <w:rsid w:val="0032055A"/>
    <w:rsid w:val="003206F6"/>
    <w:rsid w:val="00320B3B"/>
    <w:rsid w:val="00320CA0"/>
    <w:rsid w:val="0032111F"/>
    <w:rsid w:val="00321325"/>
    <w:rsid w:val="0032139C"/>
    <w:rsid w:val="003214D0"/>
    <w:rsid w:val="003218DF"/>
    <w:rsid w:val="00321BDB"/>
    <w:rsid w:val="00321EB5"/>
    <w:rsid w:val="003220CA"/>
    <w:rsid w:val="003223B7"/>
    <w:rsid w:val="00322497"/>
    <w:rsid w:val="003225D7"/>
    <w:rsid w:val="003227D7"/>
    <w:rsid w:val="00322DEC"/>
    <w:rsid w:val="00322E4B"/>
    <w:rsid w:val="00322FC7"/>
    <w:rsid w:val="0032322E"/>
    <w:rsid w:val="0032328D"/>
    <w:rsid w:val="00323A1E"/>
    <w:rsid w:val="003240B7"/>
    <w:rsid w:val="003240F1"/>
    <w:rsid w:val="003243C2"/>
    <w:rsid w:val="00324457"/>
    <w:rsid w:val="0032491C"/>
    <w:rsid w:val="003250F5"/>
    <w:rsid w:val="003253B5"/>
    <w:rsid w:val="0032585D"/>
    <w:rsid w:val="00325877"/>
    <w:rsid w:val="00325B90"/>
    <w:rsid w:val="00325BAE"/>
    <w:rsid w:val="00325BCC"/>
    <w:rsid w:val="00325BEF"/>
    <w:rsid w:val="00325C3D"/>
    <w:rsid w:val="00326175"/>
    <w:rsid w:val="00326BF5"/>
    <w:rsid w:val="00326F68"/>
    <w:rsid w:val="00327094"/>
    <w:rsid w:val="00327497"/>
    <w:rsid w:val="00327527"/>
    <w:rsid w:val="003275BE"/>
    <w:rsid w:val="00327750"/>
    <w:rsid w:val="0032796B"/>
    <w:rsid w:val="00327AA0"/>
    <w:rsid w:val="00330033"/>
    <w:rsid w:val="0033022E"/>
    <w:rsid w:val="003302DF"/>
    <w:rsid w:val="0033051E"/>
    <w:rsid w:val="00330775"/>
    <w:rsid w:val="003309C0"/>
    <w:rsid w:val="00330D78"/>
    <w:rsid w:val="00330E44"/>
    <w:rsid w:val="00331291"/>
    <w:rsid w:val="003312B7"/>
    <w:rsid w:val="00331758"/>
    <w:rsid w:val="00331828"/>
    <w:rsid w:val="00331884"/>
    <w:rsid w:val="00331E9B"/>
    <w:rsid w:val="00331ED6"/>
    <w:rsid w:val="00332190"/>
    <w:rsid w:val="003322DB"/>
    <w:rsid w:val="00332D79"/>
    <w:rsid w:val="00332D9B"/>
    <w:rsid w:val="00332ECB"/>
    <w:rsid w:val="00332F4D"/>
    <w:rsid w:val="003331D2"/>
    <w:rsid w:val="0033329F"/>
    <w:rsid w:val="00333455"/>
    <w:rsid w:val="003336BF"/>
    <w:rsid w:val="00333C0A"/>
    <w:rsid w:val="00334535"/>
    <w:rsid w:val="0033480A"/>
    <w:rsid w:val="00334EB3"/>
    <w:rsid w:val="00334F24"/>
    <w:rsid w:val="003352C5"/>
    <w:rsid w:val="003353CE"/>
    <w:rsid w:val="00335602"/>
    <w:rsid w:val="003356F7"/>
    <w:rsid w:val="0033577B"/>
    <w:rsid w:val="003358CF"/>
    <w:rsid w:val="0033596B"/>
    <w:rsid w:val="00335D15"/>
    <w:rsid w:val="00336085"/>
    <w:rsid w:val="00336229"/>
    <w:rsid w:val="00336394"/>
    <w:rsid w:val="003364CF"/>
    <w:rsid w:val="00337180"/>
    <w:rsid w:val="00337181"/>
    <w:rsid w:val="00337A36"/>
    <w:rsid w:val="00337AFF"/>
    <w:rsid w:val="00337CFC"/>
    <w:rsid w:val="003402B6"/>
    <w:rsid w:val="00340301"/>
    <w:rsid w:val="00340A7A"/>
    <w:rsid w:val="00340BCB"/>
    <w:rsid w:val="00340D49"/>
    <w:rsid w:val="0034113F"/>
    <w:rsid w:val="003411DB"/>
    <w:rsid w:val="003415AC"/>
    <w:rsid w:val="00341CA2"/>
    <w:rsid w:val="00341E17"/>
    <w:rsid w:val="003423CC"/>
    <w:rsid w:val="003423EC"/>
    <w:rsid w:val="00342509"/>
    <w:rsid w:val="003428BC"/>
    <w:rsid w:val="00342A35"/>
    <w:rsid w:val="00343A1A"/>
    <w:rsid w:val="00343A97"/>
    <w:rsid w:val="00343D3A"/>
    <w:rsid w:val="00343FBA"/>
    <w:rsid w:val="003442DF"/>
    <w:rsid w:val="00344726"/>
    <w:rsid w:val="00344E42"/>
    <w:rsid w:val="00345197"/>
    <w:rsid w:val="0034535A"/>
    <w:rsid w:val="00345854"/>
    <w:rsid w:val="00345A5F"/>
    <w:rsid w:val="00345BE9"/>
    <w:rsid w:val="00345C0E"/>
    <w:rsid w:val="00345C87"/>
    <w:rsid w:val="00345F7D"/>
    <w:rsid w:val="0034640E"/>
    <w:rsid w:val="003467DB"/>
    <w:rsid w:val="00346840"/>
    <w:rsid w:val="003468A9"/>
    <w:rsid w:val="00346917"/>
    <w:rsid w:val="00346991"/>
    <w:rsid w:val="0034767A"/>
    <w:rsid w:val="0034767D"/>
    <w:rsid w:val="0035005F"/>
    <w:rsid w:val="003501F6"/>
    <w:rsid w:val="003503F8"/>
    <w:rsid w:val="003505AB"/>
    <w:rsid w:val="003505ED"/>
    <w:rsid w:val="00350AF1"/>
    <w:rsid w:val="00351049"/>
    <w:rsid w:val="003510BF"/>
    <w:rsid w:val="0035121C"/>
    <w:rsid w:val="0035122E"/>
    <w:rsid w:val="00351AFC"/>
    <w:rsid w:val="00351BC8"/>
    <w:rsid w:val="00351E15"/>
    <w:rsid w:val="00351EF1"/>
    <w:rsid w:val="00351F01"/>
    <w:rsid w:val="003520FA"/>
    <w:rsid w:val="0035241B"/>
    <w:rsid w:val="00352441"/>
    <w:rsid w:val="00352E0E"/>
    <w:rsid w:val="00352F93"/>
    <w:rsid w:val="003530D0"/>
    <w:rsid w:val="0035342B"/>
    <w:rsid w:val="00353A1E"/>
    <w:rsid w:val="00353C32"/>
    <w:rsid w:val="00353F8E"/>
    <w:rsid w:val="00354ECA"/>
    <w:rsid w:val="00354FBB"/>
    <w:rsid w:val="00356185"/>
    <w:rsid w:val="003561A7"/>
    <w:rsid w:val="003562BE"/>
    <w:rsid w:val="003563B6"/>
    <w:rsid w:val="003563CF"/>
    <w:rsid w:val="00356642"/>
    <w:rsid w:val="00356894"/>
    <w:rsid w:val="003568B1"/>
    <w:rsid w:val="003569B3"/>
    <w:rsid w:val="00356E48"/>
    <w:rsid w:val="00357459"/>
    <w:rsid w:val="00357595"/>
    <w:rsid w:val="00357866"/>
    <w:rsid w:val="003579D2"/>
    <w:rsid w:val="00357AC6"/>
    <w:rsid w:val="00357B92"/>
    <w:rsid w:val="00357BF3"/>
    <w:rsid w:val="00357E87"/>
    <w:rsid w:val="00357FF1"/>
    <w:rsid w:val="003600F4"/>
    <w:rsid w:val="0036052F"/>
    <w:rsid w:val="003606DE"/>
    <w:rsid w:val="00360836"/>
    <w:rsid w:val="00360B86"/>
    <w:rsid w:val="00360BAC"/>
    <w:rsid w:val="00360C67"/>
    <w:rsid w:val="00361257"/>
    <w:rsid w:val="00361495"/>
    <w:rsid w:val="00361D0D"/>
    <w:rsid w:val="00361E64"/>
    <w:rsid w:val="00361FDC"/>
    <w:rsid w:val="00362406"/>
    <w:rsid w:val="00362EDA"/>
    <w:rsid w:val="0036346F"/>
    <w:rsid w:val="00363ADD"/>
    <w:rsid w:val="00364118"/>
    <w:rsid w:val="0036421C"/>
    <w:rsid w:val="003642E9"/>
    <w:rsid w:val="0036434B"/>
    <w:rsid w:val="00364490"/>
    <w:rsid w:val="00364739"/>
    <w:rsid w:val="00364A83"/>
    <w:rsid w:val="00364DCA"/>
    <w:rsid w:val="00365019"/>
    <w:rsid w:val="003650D2"/>
    <w:rsid w:val="00365217"/>
    <w:rsid w:val="003658CA"/>
    <w:rsid w:val="0036592E"/>
    <w:rsid w:val="0036605C"/>
    <w:rsid w:val="0036608C"/>
    <w:rsid w:val="003660CA"/>
    <w:rsid w:val="0036618A"/>
    <w:rsid w:val="0036655A"/>
    <w:rsid w:val="00366CFC"/>
    <w:rsid w:val="00366D08"/>
    <w:rsid w:val="003674B3"/>
    <w:rsid w:val="00367C22"/>
    <w:rsid w:val="003702E4"/>
    <w:rsid w:val="003702F8"/>
    <w:rsid w:val="003703F3"/>
    <w:rsid w:val="00370920"/>
    <w:rsid w:val="003709CE"/>
    <w:rsid w:val="00370B43"/>
    <w:rsid w:val="00370D7A"/>
    <w:rsid w:val="00370FDA"/>
    <w:rsid w:val="00371453"/>
    <w:rsid w:val="003715BE"/>
    <w:rsid w:val="00371710"/>
    <w:rsid w:val="003718C2"/>
    <w:rsid w:val="003719B9"/>
    <w:rsid w:val="00371EC6"/>
    <w:rsid w:val="00371F71"/>
    <w:rsid w:val="00372443"/>
    <w:rsid w:val="00372478"/>
    <w:rsid w:val="00372585"/>
    <w:rsid w:val="003727F0"/>
    <w:rsid w:val="00372B63"/>
    <w:rsid w:val="00372BC1"/>
    <w:rsid w:val="00372C8B"/>
    <w:rsid w:val="0037313C"/>
    <w:rsid w:val="0037375A"/>
    <w:rsid w:val="00373905"/>
    <w:rsid w:val="003739F8"/>
    <w:rsid w:val="00373ABA"/>
    <w:rsid w:val="00373F85"/>
    <w:rsid w:val="00374394"/>
    <w:rsid w:val="00374495"/>
    <w:rsid w:val="0037456B"/>
    <w:rsid w:val="0037556D"/>
    <w:rsid w:val="00375BC4"/>
    <w:rsid w:val="00375DB4"/>
    <w:rsid w:val="003766E9"/>
    <w:rsid w:val="00376C5C"/>
    <w:rsid w:val="00376ED3"/>
    <w:rsid w:val="00376F34"/>
    <w:rsid w:val="0037704C"/>
    <w:rsid w:val="0037722A"/>
    <w:rsid w:val="00377E22"/>
    <w:rsid w:val="00380115"/>
    <w:rsid w:val="003807C1"/>
    <w:rsid w:val="003807F7"/>
    <w:rsid w:val="00380850"/>
    <w:rsid w:val="0038093A"/>
    <w:rsid w:val="0038098E"/>
    <w:rsid w:val="00380AA6"/>
    <w:rsid w:val="00380B01"/>
    <w:rsid w:val="003810AE"/>
    <w:rsid w:val="003819A5"/>
    <w:rsid w:val="003819D9"/>
    <w:rsid w:val="00381BD7"/>
    <w:rsid w:val="00381D9D"/>
    <w:rsid w:val="00382450"/>
    <w:rsid w:val="003825D2"/>
    <w:rsid w:val="00382674"/>
    <w:rsid w:val="003826DC"/>
    <w:rsid w:val="00382965"/>
    <w:rsid w:val="00382CD8"/>
    <w:rsid w:val="00382CE0"/>
    <w:rsid w:val="00383140"/>
    <w:rsid w:val="00383303"/>
    <w:rsid w:val="003834CF"/>
    <w:rsid w:val="00383795"/>
    <w:rsid w:val="00383A37"/>
    <w:rsid w:val="00383C65"/>
    <w:rsid w:val="00383D96"/>
    <w:rsid w:val="00383F0B"/>
    <w:rsid w:val="00383FB8"/>
    <w:rsid w:val="003841BF"/>
    <w:rsid w:val="0038438B"/>
    <w:rsid w:val="00384D2A"/>
    <w:rsid w:val="00384F51"/>
    <w:rsid w:val="00384F59"/>
    <w:rsid w:val="00385291"/>
    <w:rsid w:val="003853D0"/>
    <w:rsid w:val="00385428"/>
    <w:rsid w:val="0038544C"/>
    <w:rsid w:val="003856C7"/>
    <w:rsid w:val="00385AEE"/>
    <w:rsid w:val="00385B82"/>
    <w:rsid w:val="003862C2"/>
    <w:rsid w:val="0038652F"/>
    <w:rsid w:val="00386666"/>
    <w:rsid w:val="003866CE"/>
    <w:rsid w:val="003869B7"/>
    <w:rsid w:val="00386BA6"/>
    <w:rsid w:val="00386F37"/>
    <w:rsid w:val="00387097"/>
    <w:rsid w:val="00387656"/>
    <w:rsid w:val="00387A2B"/>
    <w:rsid w:val="00387A82"/>
    <w:rsid w:val="00387D7B"/>
    <w:rsid w:val="00387E4F"/>
    <w:rsid w:val="00387EEB"/>
    <w:rsid w:val="00390292"/>
    <w:rsid w:val="00390595"/>
    <w:rsid w:val="00390755"/>
    <w:rsid w:val="00390B7B"/>
    <w:rsid w:val="00390F23"/>
    <w:rsid w:val="0039100A"/>
    <w:rsid w:val="0039131D"/>
    <w:rsid w:val="003918E5"/>
    <w:rsid w:val="003928BE"/>
    <w:rsid w:val="00392A47"/>
    <w:rsid w:val="00392BE2"/>
    <w:rsid w:val="00392DF5"/>
    <w:rsid w:val="00393350"/>
    <w:rsid w:val="00393763"/>
    <w:rsid w:val="00393852"/>
    <w:rsid w:val="00393F04"/>
    <w:rsid w:val="003941E7"/>
    <w:rsid w:val="0039425C"/>
    <w:rsid w:val="003945DB"/>
    <w:rsid w:val="00394ACB"/>
    <w:rsid w:val="003953B0"/>
    <w:rsid w:val="00395EA5"/>
    <w:rsid w:val="00396504"/>
    <w:rsid w:val="0039666B"/>
    <w:rsid w:val="003966AD"/>
    <w:rsid w:val="00396789"/>
    <w:rsid w:val="00396B6B"/>
    <w:rsid w:val="00396D1F"/>
    <w:rsid w:val="00397046"/>
    <w:rsid w:val="00397165"/>
    <w:rsid w:val="0039786B"/>
    <w:rsid w:val="003978B5"/>
    <w:rsid w:val="00397967"/>
    <w:rsid w:val="00397A88"/>
    <w:rsid w:val="00397C37"/>
    <w:rsid w:val="00397D7F"/>
    <w:rsid w:val="003A0024"/>
    <w:rsid w:val="003A0140"/>
    <w:rsid w:val="003A020C"/>
    <w:rsid w:val="003A047F"/>
    <w:rsid w:val="003A078F"/>
    <w:rsid w:val="003A07F2"/>
    <w:rsid w:val="003A08C8"/>
    <w:rsid w:val="003A0CD6"/>
    <w:rsid w:val="003A0D83"/>
    <w:rsid w:val="003A0DB7"/>
    <w:rsid w:val="003A1086"/>
    <w:rsid w:val="003A153B"/>
    <w:rsid w:val="003A15F7"/>
    <w:rsid w:val="003A1644"/>
    <w:rsid w:val="003A1938"/>
    <w:rsid w:val="003A1EDE"/>
    <w:rsid w:val="003A20AB"/>
    <w:rsid w:val="003A27DB"/>
    <w:rsid w:val="003A2B56"/>
    <w:rsid w:val="003A2D9D"/>
    <w:rsid w:val="003A3176"/>
    <w:rsid w:val="003A34F0"/>
    <w:rsid w:val="003A3CD6"/>
    <w:rsid w:val="003A3ED8"/>
    <w:rsid w:val="003A4040"/>
    <w:rsid w:val="003A409F"/>
    <w:rsid w:val="003A422B"/>
    <w:rsid w:val="003A4A07"/>
    <w:rsid w:val="003A6633"/>
    <w:rsid w:val="003A67EA"/>
    <w:rsid w:val="003A6813"/>
    <w:rsid w:val="003A68FE"/>
    <w:rsid w:val="003A7250"/>
    <w:rsid w:val="003A7784"/>
    <w:rsid w:val="003A79D1"/>
    <w:rsid w:val="003A7BC1"/>
    <w:rsid w:val="003A7E09"/>
    <w:rsid w:val="003A7E29"/>
    <w:rsid w:val="003A7F58"/>
    <w:rsid w:val="003B00C8"/>
    <w:rsid w:val="003B01A4"/>
    <w:rsid w:val="003B048A"/>
    <w:rsid w:val="003B04E5"/>
    <w:rsid w:val="003B065B"/>
    <w:rsid w:val="003B084C"/>
    <w:rsid w:val="003B0CDB"/>
    <w:rsid w:val="003B0EF6"/>
    <w:rsid w:val="003B129A"/>
    <w:rsid w:val="003B19C7"/>
    <w:rsid w:val="003B1A1B"/>
    <w:rsid w:val="003B21AF"/>
    <w:rsid w:val="003B21E0"/>
    <w:rsid w:val="003B21E1"/>
    <w:rsid w:val="003B21EC"/>
    <w:rsid w:val="003B2256"/>
    <w:rsid w:val="003B25DB"/>
    <w:rsid w:val="003B2A0A"/>
    <w:rsid w:val="003B2FFE"/>
    <w:rsid w:val="003B3940"/>
    <w:rsid w:val="003B39BC"/>
    <w:rsid w:val="003B3B40"/>
    <w:rsid w:val="003B3CED"/>
    <w:rsid w:val="003B3E09"/>
    <w:rsid w:val="003B3E46"/>
    <w:rsid w:val="003B4471"/>
    <w:rsid w:val="003B46DF"/>
    <w:rsid w:val="003B490C"/>
    <w:rsid w:val="003B4C49"/>
    <w:rsid w:val="003B4E16"/>
    <w:rsid w:val="003B4F67"/>
    <w:rsid w:val="003B5514"/>
    <w:rsid w:val="003B56A8"/>
    <w:rsid w:val="003B576A"/>
    <w:rsid w:val="003B57C0"/>
    <w:rsid w:val="003B5E04"/>
    <w:rsid w:val="003B5E64"/>
    <w:rsid w:val="003B66F8"/>
    <w:rsid w:val="003B6C5F"/>
    <w:rsid w:val="003B6E35"/>
    <w:rsid w:val="003B6F67"/>
    <w:rsid w:val="003B71A4"/>
    <w:rsid w:val="003B7254"/>
    <w:rsid w:val="003B72D1"/>
    <w:rsid w:val="003B76CC"/>
    <w:rsid w:val="003B771D"/>
    <w:rsid w:val="003B7876"/>
    <w:rsid w:val="003B787C"/>
    <w:rsid w:val="003B7C82"/>
    <w:rsid w:val="003C02E3"/>
    <w:rsid w:val="003C038F"/>
    <w:rsid w:val="003C04D0"/>
    <w:rsid w:val="003C061B"/>
    <w:rsid w:val="003C0985"/>
    <w:rsid w:val="003C0EB0"/>
    <w:rsid w:val="003C12D9"/>
    <w:rsid w:val="003C149C"/>
    <w:rsid w:val="003C1692"/>
    <w:rsid w:val="003C1884"/>
    <w:rsid w:val="003C197D"/>
    <w:rsid w:val="003C1BFF"/>
    <w:rsid w:val="003C2164"/>
    <w:rsid w:val="003C2475"/>
    <w:rsid w:val="003C2619"/>
    <w:rsid w:val="003C2ACC"/>
    <w:rsid w:val="003C3023"/>
    <w:rsid w:val="003C43A7"/>
    <w:rsid w:val="003C4499"/>
    <w:rsid w:val="003C4512"/>
    <w:rsid w:val="003C46F7"/>
    <w:rsid w:val="003C47D2"/>
    <w:rsid w:val="003C4D95"/>
    <w:rsid w:val="003C4EDB"/>
    <w:rsid w:val="003C525F"/>
    <w:rsid w:val="003C52C3"/>
    <w:rsid w:val="003C5301"/>
    <w:rsid w:val="003C554F"/>
    <w:rsid w:val="003C55CE"/>
    <w:rsid w:val="003C56DB"/>
    <w:rsid w:val="003C572E"/>
    <w:rsid w:val="003C5C7D"/>
    <w:rsid w:val="003C5DA5"/>
    <w:rsid w:val="003C60BB"/>
    <w:rsid w:val="003C6181"/>
    <w:rsid w:val="003C64C5"/>
    <w:rsid w:val="003C6B50"/>
    <w:rsid w:val="003C6C1B"/>
    <w:rsid w:val="003C7131"/>
    <w:rsid w:val="003C74F6"/>
    <w:rsid w:val="003C754A"/>
    <w:rsid w:val="003C7D26"/>
    <w:rsid w:val="003C7D88"/>
    <w:rsid w:val="003C7DF1"/>
    <w:rsid w:val="003D05CB"/>
    <w:rsid w:val="003D06F7"/>
    <w:rsid w:val="003D0B08"/>
    <w:rsid w:val="003D0C6B"/>
    <w:rsid w:val="003D1547"/>
    <w:rsid w:val="003D164C"/>
    <w:rsid w:val="003D1C46"/>
    <w:rsid w:val="003D21AF"/>
    <w:rsid w:val="003D237C"/>
    <w:rsid w:val="003D2767"/>
    <w:rsid w:val="003D280F"/>
    <w:rsid w:val="003D3D89"/>
    <w:rsid w:val="003D3DA7"/>
    <w:rsid w:val="003D3E75"/>
    <w:rsid w:val="003D4111"/>
    <w:rsid w:val="003D4306"/>
    <w:rsid w:val="003D450E"/>
    <w:rsid w:val="003D49C6"/>
    <w:rsid w:val="003D4A75"/>
    <w:rsid w:val="003D5402"/>
    <w:rsid w:val="003D58A8"/>
    <w:rsid w:val="003D5923"/>
    <w:rsid w:val="003D59F4"/>
    <w:rsid w:val="003D5CD5"/>
    <w:rsid w:val="003D5F86"/>
    <w:rsid w:val="003D6081"/>
    <w:rsid w:val="003D68B8"/>
    <w:rsid w:val="003D7062"/>
    <w:rsid w:val="003D714F"/>
    <w:rsid w:val="003D7348"/>
    <w:rsid w:val="003D735A"/>
    <w:rsid w:val="003D74B4"/>
    <w:rsid w:val="003D7696"/>
    <w:rsid w:val="003D76F3"/>
    <w:rsid w:val="003D7B80"/>
    <w:rsid w:val="003D7D26"/>
    <w:rsid w:val="003D7E9C"/>
    <w:rsid w:val="003E03EA"/>
    <w:rsid w:val="003E0517"/>
    <w:rsid w:val="003E05EC"/>
    <w:rsid w:val="003E0AED"/>
    <w:rsid w:val="003E0F06"/>
    <w:rsid w:val="003E1057"/>
    <w:rsid w:val="003E1175"/>
    <w:rsid w:val="003E1387"/>
    <w:rsid w:val="003E2035"/>
    <w:rsid w:val="003E21DD"/>
    <w:rsid w:val="003E2370"/>
    <w:rsid w:val="003E238A"/>
    <w:rsid w:val="003E2601"/>
    <w:rsid w:val="003E28A4"/>
    <w:rsid w:val="003E2960"/>
    <w:rsid w:val="003E2F14"/>
    <w:rsid w:val="003E351E"/>
    <w:rsid w:val="003E371B"/>
    <w:rsid w:val="003E377B"/>
    <w:rsid w:val="003E3B82"/>
    <w:rsid w:val="003E3E8F"/>
    <w:rsid w:val="003E4683"/>
    <w:rsid w:val="003E4B61"/>
    <w:rsid w:val="003E58C1"/>
    <w:rsid w:val="003E5A58"/>
    <w:rsid w:val="003E602D"/>
    <w:rsid w:val="003E6155"/>
    <w:rsid w:val="003E63B7"/>
    <w:rsid w:val="003E68CB"/>
    <w:rsid w:val="003E68FF"/>
    <w:rsid w:val="003E6F15"/>
    <w:rsid w:val="003E736D"/>
    <w:rsid w:val="003E7380"/>
    <w:rsid w:val="003E7508"/>
    <w:rsid w:val="003E7539"/>
    <w:rsid w:val="003E7755"/>
    <w:rsid w:val="003E79E6"/>
    <w:rsid w:val="003E7BA4"/>
    <w:rsid w:val="003E7F84"/>
    <w:rsid w:val="003F0425"/>
    <w:rsid w:val="003F0455"/>
    <w:rsid w:val="003F04EB"/>
    <w:rsid w:val="003F065A"/>
    <w:rsid w:val="003F0B6E"/>
    <w:rsid w:val="003F0CD6"/>
    <w:rsid w:val="003F0CFF"/>
    <w:rsid w:val="003F108F"/>
    <w:rsid w:val="003F11B9"/>
    <w:rsid w:val="003F1231"/>
    <w:rsid w:val="003F1329"/>
    <w:rsid w:val="003F135A"/>
    <w:rsid w:val="003F14AB"/>
    <w:rsid w:val="003F1728"/>
    <w:rsid w:val="003F1B8F"/>
    <w:rsid w:val="003F20E5"/>
    <w:rsid w:val="003F22E2"/>
    <w:rsid w:val="003F2582"/>
    <w:rsid w:val="003F2695"/>
    <w:rsid w:val="003F27D3"/>
    <w:rsid w:val="003F2C5F"/>
    <w:rsid w:val="003F2CA6"/>
    <w:rsid w:val="003F2CB1"/>
    <w:rsid w:val="003F3084"/>
    <w:rsid w:val="003F3963"/>
    <w:rsid w:val="003F3A0C"/>
    <w:rsid w:val="003F3A65"/>
    <w:rsid w:val="003F3A7C"/>
    <w:rsid w:val="003F3F67"/>
    <w:rsid w:val="003F3F6B"/>
    <w:rsid w:val="003F4215"/>
    <w:rsid w:val="003F4293"/>
    <w:rsid w:val="003F4545"/>
    <w:rsid w:val="003F458E"/>
    <w:rsid w:val="003F4BD8"/>
    <w:rsid w:val="003F4D28"/>
    <w:rsid w:val="003F4FA5"/>
    <w:rsid w:val="003F541E"/>
    <w:rsid w:val="003F5AC0"/>
    <w:rsid w:val="003F5BC1"/>
    <w:rsid w:val="003F5D0F"/>
    <w:rsid w:val="003F5D7C"/>
    <w:rsid w:val="003F6641"/>
    <w:rsid w:val="003F665A"/>
    <w:rsid w:val="003F666D"/>
    <w:rsid w:val="003F68A5"/>
    <w:rsid w:val="003F6C52"/>
    <w:rsid w:val="003F6C58"/>
    <w:rsid w:val="003F6DA9"/>
    <w:rsid w:val="003F703A"/>
    <w:rsid w:val="003F7095"/>
    <w:rsid w:val="003F72CC"/>
    <w:rsid w:val="003F7315"/>
    <w:rsid w:val="003F734F"/>
    <w:rsid w:val="003F78C0"/>
    <w:rsid w:val="003F7B2C"/>
    <w:rsid w:val="003F7B57"/>
    <w:rsid w:val="004002E9"/>
    <w:rsid w:val="00400427"/>
    <w:rsid w:val="0040051F"/>
    <w:rsid w:val="00400996"/>
    <w:rsid w:val="00400B96"/>
    <w:rsid w:val="00400C52"/>
    <w:rsid w:val="00400E2B"/>
    <w:rsid w:val="00400FF2"/>
    <w:rsid w:val="00401022"/>
    <w:rsid w:val="0040158D"/>
    <w:rsid w:val="00401663"/>
    <w:rsid w:val="004016C5"/>
    <w:rsid w:val="00401A6F"/>
    <w:rsid w:val="00402202"/>
    <w:rsid w:val="00402217"/>
    <w:rsid w:val="0040230D"/>
    <w:rsid w:val="004025E5"/>
    <w:rsid w:val="00402E7A"/>
    <w:rsid w:val="00402EEC"/>
    <w:rsid w:val="00402F07"/>
    <w:rsid w:val="004030CB"/>
    <w:rsid w:val="004031D7"/>
    <w:rsid w:val="004034C9"/>
    <w:rsid w:val="00403CAD"/>
    <w:rsid w:val="00403CF3"/>
    <w:rsid w:val="00404463"/>
    <w:rsid w:val="00404525"/>
    <w:rsid w:val="00404681"/>
    <w:rsid w:val="00404B27"/>
    <w:rsid w:val="00404C5B"/>
    <w:rsid w:val="00404CD2"/>
    <w:rsid w:val="00404F6D"/>
    <w:rsid w:val="004052A1"/>
    <w:rsid w:val="00405729"/>
    <w:rsid w:val="004057F7"/>
    <w:rsid w:val="00405C58"/>
    <w:rsid w:val="00406427"/>
    <w:rsid w:val="004065B8"/>
    <w:rsid w:val="004069B8"/>
    <w:rsid w:val="00406E4A"/>
    <w:rsid w:val="00406F47"/>
    <w:rsid w:val="00407057"/>
    <w:rsid w:val="0040712E"/>
    <w:rsid w:val="00407509"/>
    <w:rsid w:val="00407554"/>
    <w:rsid w:val="0040784C"/>
    <w:rsid w:val="004079CE"/>
    <w:rsid w:val="00407ACC"/>
    <w:rsid w:val="00410022"/>
    <w:rsid w:val="00410288"/>
    <w:rsid w:val="0041071A"/>
    <w:rsid w:val="0041080C"/>
    <w:rsid w:val="00410ABB"/>
    <w:rsid w:val="00410E5F"/>
    <w:rsid w:val="00411471"/>
    <w:rsid w:val="00411C1E"/>
    <w:rsid w:val="00411DEE"/>
    <w:rsid w:val="00411E1D"/>
    <w:rsid w:val="00411E23"/>
    <w:rsid w:val="00411FE8"/>
    <w:rsid w:val="0041204F"/>
    <w:rsid w:val="004120F2"/>
    <w:rsid w:val="00412206"/>
    <w:rsid w:val="004124F2"/>
    <w:rsid w:val="00412741"/>
    <w:rsid w:val="00412B7B"/>
    <w:rsid w:val="00412CC7"/>
    <w:rsid w:val="00412EB0"/>
    <w:rsid w:val="00412F5D"/>
    <w:rsid w:val="004131FC"/>
    <w:rsid w:val="0041368E"/>
    <w:rsid w:val="00413779"/>
    <w:rsid w:val="00414285"/>
    <w:rsid w:val="004145A9"/>
    <w:rsid w:val="004146C8"/>
    <w:rsid w:val="00414895"/>
    <w:rsid w:val="00414A5D"/>
    <w:rsid w:val="00414AE4"/>
    <w:rsid w:val="00414BFF"/>
    <w:rsid w:val="00414DC5"/>
    <w:rsid w:val="004150CD"/>
    <w:rsid w:val="00415311"/>
    <w:rsid w:val="00415886"/>
    <w:rsid w:val="00415D7C"/>
    <w:rsid w:val="00415E0A"/>
    <w:rsid w:val="00415E47"/>
    <w:rsid w:val="00416170"/>
    <w:rsid w:val="00416276"/>
    <w:rsid w:val="004163ED"/>
    <w:rsid w:val="004165D8"/>
    <w:rsid w:val="0041686B"/>
    <w:rsid w:val="004168C7"/>
    <w:rsid w:val="00416952"/>
    <w:rsid w:val="00416EC3"/>
    <w:rsid w:val="00417048"/>
    <w:rsid w:val="004171E3"/>
    <w:rsid w:val="00417610"/>
    <w:rsid w:val="00417A33"/>
    <w:rsid w:val="00417B25"/>
    <w:rsid w:val="00417D45"/>
    <w:rsid w:val="0042044F"/>
    <w:rsid w:val="004204B9"/>
    <w:rsid w:val="004206BC"/>
    <w:rsid w:val="0042096D"/>
    <w:rsid w:val="00420D1E"/>
    <w:rsid w:val="00420DDF"/>
    <w:rsid w:val="00420F1E"/>
    <w:rsid w:val="0042106C"/>
    <w:rsid w:val="0042141D"/>
    <w:rsid w:val="00421E4D"/>
    <w:rsid w:val="00422782"/>
    <w:rsid w:val="00422790"/>
    <w:rsid w:val="00422AD4"/>
    <w:rsid w:val="0042338A"/>
    <w:rsid w:val="004233D7"/>
    <w:rsid w:val="00423463"/>
    <w:rsid w:val="00423641"/>
    <w:rsid w:val="004239A1"/>
    <w:rsid w:val="00423C08"/>
    <w:rsid w:val="00423F34"/>
    <w:rsid w:val="004241A7"/>
    <w:rsid w:val="004243BE"/>
    <w:rsid w:val="0042449B"/>
    <w:rsid w:val="004244E1"/>
    <w:rsid w:val="00424DF3"/>
    <w:rsid w:val="004256EF"/>
    <w:rsid w:val="004257CD"/>
    <w:rsid w:val="00425D26"/>
    <w:rsid w:val="00425D8F"/>
    <w:rsid w:val="00425F7B"/>
    <w:rsid w:val="004265E2"/>
    <w:rsid w:val="00426739"/>
    <w:rsid w:val="00426927"/>
    <w:rsid w:val="00426B54"/>
    <w:rsid w:val="00426CA2"/>
    <w:rsid w:val="004270F1"/>
    <w:rsid w:val="00427382"/>
    <w:rsid w:val="00430155"/>
    <w:rsid w:val="00430187"/>
    <w:rsid w:val="0043024E"/>
    <w:rsid w:val="00430507"/>
    <w:rsid w:val="004305C2"/>
    <w:rsid w:val="0043062C"/>
    <w:rsid w:val="00430D57"/>
    <w:rsid w:val="00430E24"/>
    <w:rsid w:val="00430F3C"/>
    <w:rsid w:val="00430FDA"/>
    <w:rsid w:val="00430FEA"/>
    <w:rsid w:val="00431044"/>
    <w:rsid w:val="004311F9"/>
    <w:rsid w:val="00431237"/>
    <w:rsid w:val="004312DF"/>
    <w:rsid w:val="004318C9"/>
    <w:rsid w:val="00431A0C"/>
    <w:rsid w:val="00431B26"/>
    <w:rsid w:val="0043200B"/>
    <w:rsid w:val="004320F9"/>
    <w:rsid w:val="004321AA"/>
    <w:rsid w:val="0043253A"/>
    <w:rsid w:val="00432637"/>
    <w:rsid w:val="004326BD"/>
    <w:rsid w:val="00432843"/>
    <w:rsid w:val="004328E7"/>
    <w:rsid w:val="0043295C"/>
    <w:rsid w:val="00432B70"/>
    <w:rsid w:val="00432B92"/>
    <w:rsid w:val="00432E7A"/>
    <w:rsid w:val="004330E4"/>
    <w:rsid w:val="00433122"/>
    <w:rsid w:val="00433419"/>
    <w:rsid w:val="00433E1D"/>
    <w:rsid w:val="00433FA3"/>
    <w:rsid w:val="00434339"/>
    <w:rsid w:val="0043474F"/>
    <w:rsid w:val="004347EE"/>
    <w:rsid w:val="00434AE9"/>
    <w:rsid w:val="00434EC9"/>
    <w:rsid w:val="00434FE9"/>
    <w:rsid w:val="00435533"/>
    <w:rsid w:val="0043564C"/>
    <w:rsid w:val="00435A51"/>
    <w:rsid w:val="00435B67"/>
    <w:rsid w:val="00435D92"/>
    <w:rsid w:val="004362B2"/>
    <w:rsid w:val="004366E5"/>
    <w:rsid w:val="004369C4"/>
    <w:rsid w:val="00436C11"/>
    <w:rsid w:val="00436C66"/>
    <w:rsid w:val="00436D11"/>
    <w:rsid w:val="00436DDD"/>
    <w:rsid w:val="00436E59"/>
    <w:rsid w:val="004371C4"/>
    <w:rsid w:val="00437301"/>
    <w:rsid w:val="00437432"/>
    <w:rsid w:val="004374EE"/>
    <w:rsid w:val="00437666"/>
    <w:rsid w:val="004378A4"/>
    <w:rsid w:val="00437AC6"/>
    <w:rsid w:val="00437E46"/>
    <w:rsid w:val="00440107"/>
    <w:rsid w:val="004407DE"/>
    <w:rsid w:val="00440966"/>
    <w:rsid w:val="004409ED"/>
    <w:rsid w:val="00441609"/>
    <w:rsid w:val="00441768"/>
    <w:rsid w:val="004419BC"/>
    <w:rsid w:val="00441B26"/>
    <w:rsid w:val="00441CAD"/>
    <w:rsid w:val="00442127"/>
    <w:rsid w:val="00443010"/>
    <w:rsid w:val="004432E6"/>
    <w:rsid w:val="0044366E"/>
    <w:rsid w:val="00444012"/>
    <w:rsid w:val="004440AD"/>
    <w:rsid w:val="00444215"/>
    <w:rsid w:val="0044428F"/>
    <w:rsid w:val="00444481"/>
    <w:rsid w:val="004446B3"/>
    <w:rsid w:val="00445048"/>
    <w:rsid w:val="004454F9"/>
    <w:rsid w:val="00445875"/>
    <w:rsid w:val="00445E5E"/>
    <w:rsid w:val="0044612A"/>
    <w:rsid w:val="004463CF"/>
    <w:rsid w:val="00446A6F"/>
    <w:rsid w:val="00446C38"/>
    <w:rsid w:val="00446DBA"/>
    <w:rsid w:val="00446EF5"/>
    <w:rsid w:val="004473FC"/>
    <w:rsid w:val="00447459"/>
    <w:rsid w:val="004476A1"/>
    <w:rsid w:val="0044781B"/>
    <w:rsid w:val="00447929"/>
    <w:rsid w:val="00447E98"/>
    <w:rsid w:val="0045010B"/>
    <w:rsid w:val="004505A8"/>
    <w:rsid w:val="0045079E"/>
    <w:rsid w:val="00450840"/>
    <w:rsid w:val="004509A0"/>
    <w:rsid w:val="00450EE4"/>
    <w:rsid w:val="0045107A"/>
    <w:rsid w:val="0045130E"/>
    <w:rsid w:val="00451397"/>
    <w:rsid w:val="004515C9"/>
    <w:rsid w:val="0045165E"/>
    <w:rsid w:val="00451690"/>
    <w:rsid w:val="00451820"/>
    <w:rsid w:val="00451866"/>
    <w:rsid w:val="0045201B"/>
    <w:rsid w:val="00452731"/>
    <w:rsid w:val="00452A2C"/>
    <w:rsid w:val="00452A9E"/>
    <w:rsid w:val="004530B8"/>
    <w:rsid w:val="00453450"/>
    <w:rsid w:val="00453499"/>
    <w:rsid w:val="00453756"/>
    <w:rsid w:val="0045382B"/>
    <w:rsid w:val="0045395C"/>
    <w:rsid w:val="00453B64"/>
    <w:rsid w:val="00453BCF"/>
    <w:rsid w:val="00453BEA"/>
    <w:rsid w:val="0045449E"/>
    <w:rsid w:val="00454C2C"/>
    <w:rsid w:val="00454C92"/>
    <w:rsid w:val="00454CD1"/>
    <w:rsid w:val="00454D3B"/>
    <w:rsid w:val="00455122"/>
    <w:rsid w:val="00455D01"/>
    <w:rsid w:val="00455F94"/>
    <w:rsid w:val="00456077"/>
    <w:rsid w:val="0045673B"/>
    <w:rsid w:val="0045684E"/>
    <w:rsid w:val="0045699D"/>
    <w:rsid w:val="00456A2C"/>
    <w:rsid w:val="00456BAA"/>
    <w:rsid w:val="00456C49"/>
    <w:rsid w:val="00456DE7"/>
    <w:rsid w:val="00456ED5"/>
    <w:rsid w:val="00456F48"/>
    <w:rsid w:val="00456FA0"/>
    <w:rsid w:val="00457086"/>
    <w:rsid w:val="004575F6"/>
    <w:rsid w:val="0045781E"/>
    <w:rsid w:val="00457A02"/>
    <w:rsid w:val="00457B77"/>
    <w:rsid w:val="00457F9B"/>
    <w:rsid w:val="0046022A"/>
    <w:rsid w:val="00460675"/>
    <w:rsid w:val="00460B83"/>
    <w:rsid w:val="004614A5"/>
    <w:rsid w:val="0046166F"/>
    <w:rsid w:val="004616C5"/>
    <w:rsid w:val="004616D9"/>
    <w:rsid w:val="00461E4C"/>
    <w:rsid w:val="004622B1"/>
    <w:rsid w:val="004623B4"/>
    <w:rsid w:val="00462603"/>
    <w:rsid w:val="004627A7"/>
    <w:rsid w:val="00462891"/>
    <w:rsid w:val="004629CB"/>
    <w:rsid w:val="004629F6"/>
    <w:rsid w:val="004630D3"/>
    <w:rsid w:val="0046335F"/>
    <w:rsid w:val="004635F2"/>
    <w:rsid w:val="0046360B"/>
    <w:rsid w:val="0046389A"/>
    <w:rsid w:val="00463A20"/>
    <w:rsid w:val="00464113"/>
    <w:rsid w:val="004642CE"/>
    <w:rsid w:val="00464398"/>
    <w:rsid w:val="004647BC"/>
    <w:rsid w:val="004648AC"/>
    <w:rsid w:val="00464A90"/>
    <w:rsid w:val="00464CC2"/>
    <w:rsid w:val="00464D86"/>
    <w:rsid w:val="00464FF9"/>
    <w:rsid w:val="004650EF"/>
    <w:rsid w:val="00465E7D"/>
    <w:rsid w:val="0046629D"/>
    <w:rsid w:val="0046631A"/>
    <w:rsid w:val="00466328"/>
    <w:rsid w:val="00466369"/>
    <w:rsid w:val="00466395"/>
    <w:rsid w:val="004663A5"/>
    <w:rsid w:val="004663ED"/>
    <w:rsid w:val="004669F7"/>
    <w:rsid w:val="00466A86"/>
    <w:rsid w:val="00466AE0"/>
    <w:rsid w:val="00466BAA"/>
    <w:rsid w:val="00466E63"/>
    <w:rsid w:val="00466F4D"/>
    <w:rsid w:val="00466F59"/>
    <w:rsid w:val="00466FF2"/>
    <w:rsid w:val="004671B6"/>
    <w:rsid w:val="004678F9"/>
    <w:rsid w:val="00467B9F"/>
    <w:rsid w:val="00467FA4"/>
    <w:rsid w:val="00470294"/>
    <w:rsid w:val="00470357"/>
    <w:rsid w:val="004712EF"/>
    <w:rsid w:val="004715C7"/>
    <w:rsid w:val="00472142"/>
    <w:rsid w:val="00472301"/>
    <w:rsid w:val="0047272A"/>
    <w:rsid w:val="0047299B"/>
    <w:rsid w:val="00472B12"/>
    <w:rsid w:val="0047304F"/>
    <w:rsid w:val="00473337"/>
    <w:rsid w:val="0047362D"/>
    <w:rsid w:val="0047375F"/>
    <w:rsid w:val="00473A09"/>
    <w:rsid w:val="00473DD0"/>
    <w:rsid w:val="00473E3F"/>
    <w:rsid w:val="00473EFB"/>
    <w:rsid w:val="00473F29"/>
    <w:rsid w:val="0047417B"/>
    <w:rsid w:val="004746C9"/>
    <w:rsid w:val="004746F7"/>
    <w:rsid w:val="00474999"/>
    <w:rsid w:val="00474A51"/>
    <w:rsid w:val="00474A70"/>
    <w:rsid w:val="00474E8F"/>
    <w:rsid w:val="004751B3"/>
    <w:rsid w:val="00475670"/>
    <w:rsid w:val="00475EE3"/>
    <w:rsid w:val="00475F8D"/>
    <w:rsid w:val="00475FAB"/>
    <w:rsid w:val="004762A4"/>
    <w:rsid w:val="004764FD"/>
    <w:rsid w:val="0047657D"/>
    <w:rsid w:val="0047689B"/>
    <w:rsid w:val="00476A0B"/>
    <w:rsid w:val="00476B2D"/>
    <w:rsid w:val="004771B7"/>
    <w:rsid w:val="00477944"/>
    <w:rsid w:val="00477C5F"/>
    <w:rsid w:val="00480032"/>
    <w:rsid w:val="0048096F"/>
    <w:rsid w:val="00480B8F"/>
    <w:rsid w:val="00480E09"/>
    <w:rsid w:val="004814C9"/>
    <w:rsid w:val="004819DD"/>
    <w:rsid w:val="00481BB8"/>
    <w:rsid w:val="004820BF"/>
    <w:rsid w:val="0048258E"/>
    <w:rsid w:val="00482A07"/>
    <w:rsid w:val="00482CFA"/>
    <w:rsid w:val="00483737"/>
    <w:rsid w:val="004837AF"/>
    <w:rsid w:val="00483CC6"/>
    <w:rsid w:val="00484009"/>
    <w:rsid w:val="004843D6"/>
    <w:rsid w:val="004845BE"/>
    <w:rsid w:val="004848FD"/>
    <w:rsid w:val="00484B3E"/>
    <w:rsid w:val="00485763"/>
    <w:rsid w:val="004859B4"/>
    <w:rsid w:val="00485BF9"/>
    <w:rsid w:val="00485C59"/>
    <w:rsid w:val="00485C6C"/>
    <w:rsid w:val="00485F79"/>
    <w:rsid w:val="00485FCD"/>
    <w:rsid w:val="0048680B"/>
    <w:rsid w:val="0048706A"/>
    <w:rsid w:val="004870B0"/>
    <w:rsid w:val="00487355"/>
    <w:rsid w:val="00487395"/>
    <w:rsid w:val="004876E7"/>
    <w:rsid w:val="00487771"/>
    <w:rsid w:val="00487823"/>
    <w:rsid w:val="00487A3B"/>
    <w:rsid w:val="00487E5D"/>
    <w:rsid w:val="00487F6B"/>
    <w:rsid w:val="004900A2"/>
    <w:rsid w:val="004902E3"/>
    <w:rsid w:val="004904F5"/>
    <w:rsid w:val="00490638"/>
    <w:rsid w:val="00490B17"/>
    <w:rsid w:val="00490EF0"/>
    <w:rsid w:val="00491681"/>
    <w:rsid w:val="004918E0"/>
    <w:rsid w:val="004918E5"/>
    <w:rsid w:val="004921B1"/>
    <w:rsid w:val="004922F3"/>
    <w:rsid w:val="00492412"/>
    <w:rsid w:val="0049275C"/>
    <w:rsid w:val="00492882"/>
    <w:rsid w:val="004929B1"/>
    <w:rsid w:val="00492A16"/>
    <w:rsid w:val="00492A17"/>
    <w:rsid w:val="0049453A"/>
    <w:rsid w:val="00494E6A"/>
    <w:rsid w:val="00494F50"/>
    <w:rsid w:val="00495DFC"/>
    <w:rsid w:val="004961E5"/>
    <w:rsid w:val="00496488"/>
    <w:rsid w:val="00496969"/>
    <w:rsid w:val="00496E25"/>
    <w:rsid w:val="0049724C"/>
    <w:rsid w:val="00497868"/>
    <w:rsid w:val="00497A9B"/>
    <w:rsid w:val="00497E73"/>
    <w:rsid w:val="004A015B"/>
    <w:rsid w:val="004A0712"/>
    <w:rsid w:val="004A09B9"/>
    <w:rsid w:val="004A0BA2"/>
    <w:rsid w:val="004A0F2F"/>
    <w:rsid w:val="004A1092"/>
    <w:rsid w:val="004A11F5"/>
    <w:rsid w:val="004A1330"/>
    <w:rsid w:val="004A136B"/>
    <w:rsid w:val="004A199C"/>
    <w:rsid w:val="004A19D4"/>
    <w:rsid w:val="004A1C0F"/>
    <w:rsid w:val="004A1D5D"/>
    <w:rsid w:val="004A1EDA"/>
    <w:rsid w:val="004A2764"/>
    <w:rsid w:val="004A2896"/>
    <w:rsid w:val="004A3352"/>
    <w:rsid w:val="004A380D"/>
    <w:rsid w:val="004A3B22"/>
    <w:rsid w:val="004A4126"/>
    <w:rsid w:val="004A45AF"/>
    <w:rsid w:val="004A47E1"/>
    <w:rsid w:val="004A4D15"/>
    <w:rsid w:val="004A4FF8"/>
    <w:rsid w:val="004A5054"/>
    <w:rsid w:val="004A555A"/>
    <w:rsid w:val="004A5683"/>
    <w:rsid w:val="004A59B0"/>
    <w:rsid w:val="004A5B6B"/>
    <w:rsid w:val="004A5BFB"/>
    <w:rsid w:val="004A5D1C"/>
    <w:rsid w:val="004A5E33"/>
    <w:rsid w:val="004A5F4C"/>
    <w:rsid w:val="004A5F61"/>
    <w:rsid w:val="004A60A7"/>
    <w:rsid w:val="004A625E"/>
    <w:rsid w:val="004A666B"/>
    <w:rsid w:val="004A668F"/>
    <w:rsid w:val="004A6A68"/>
    <w:rsid w:val="004A6C5F"/>
    <w:rsid w:val="004A6F2F"/>
    <w:rsid w:val="004A6FB5"/>
    <w:rsid w:val="004A7107"/>
    <w:rsid w:val="004A725F"/>
    <w:rsid w:val="004A7854"/>
    <w:rsid w:val="004A7968"/>
    <w:rsid w:val="004A7D8F"/>
    <w:rsid w:val="004B053D"/>
    <w:rsid w:val="004B0E03"/>
    <w:rsid w:val="004B1481"/>
    <w:rsid w:val="004B1560"/>
    <w:rsid w:val="004B1960"/>
    <w:rsid w:val="004B1A35"/>
    <w:rsid w:val="004B1B1D"/>
    <w:rsid w:val="004B1B83"/>
    <w:rsid w:val="004B1BD3"/>
    <w:rsid w:val="004B1C4D"/>
    <w:rsid w:val="004B256B"/>
    <w:rsid w:val="004B25FA"/>
    <w:rsid w:val="004B2649"/>
    <w:rsid w:val="004B2A4E"/>
    <w:rsid w:val="004B3062"/>
    <w:rsid w:val="004B33A2"/>
    <w:rsid w:val="004B33B1"/>
    <w:rsid w:val="004B33EA"/>
    <w:rsid w:val="004B34BD"/>
    <w:rsid w:val="004B37AB"/>
    <w:rsid w:val="004B3AC3"/>
    <w:rsid w:val="004B3B52"/>
    <w:rsid w:val="004B3FA1"/>
    <w:rsid w:val="004B4243"/>
    <w:rsid w:val="004B4750"/>
    <w:rsid w:val="004B4A61"/>
    <w:rsid w:val="004B4DC5"/>
    <w:rsid w:val="004B50C1"/>
    <w:rsid w:val="004B53E4"/>
    <w:rsid w:val="004B56E3"/>
    <w:rsid w:val="004B5A2C"/>
    <w:rsid w:val="004B5C3A"/>
    <w:rsid w:val="004B5C3E"/>
    <w:rsid w:val="004B5ECA"/>
    <w:rsid w:val="004B5FB8"/>
    <w:rsid w:val="004B5FC2"/>
    <w:rsid w:val="004B60AA"/>
    <w:rsid w:val="004B666C"/>
    <w:rsid w:val="004B6B41"/>
    <w:rsid w:val="004B6E66"/>
    <w:rsid w:val="004B6F47"/>
    <w:rsid w:val="004B7029"/>
    <w:rsid w:val="004B75D8"/>
    <w:rsid w:val="004B75DC"/>
    <w:rsid w:val="004B76EA"/>
    <w:rsid w:val="004B772C"/>
    <w:rsid w:val="004B7CB0"/>
    <w:rsid w:val="004C0091"/>
    <w:rsid w:val="004C00C2"/>
    <w:rsid w:val="004C011F"/>
    <w:rsid w:val="004C08A9"/>
    <w:rsid w:val="004C0EBA"/>
    <w:rsid w:val="004C0FDD"/>
    <w:rsid w:val="004C105F"/>
    <w:rsid w:val="004C10B1"/>
    <w:rsid w:val="004C10FA"/>
    <w:rsid w:val="004C192D"/>
    <w:rsid w:val="004C1BA6"/>
    <w:rsid w:val="004C1C9A"/>
    <w:rsid w:val="004C2638"/>
    <w:rsid w:val="004C2BF3"/>
    <w:rsid w:val="004C2D83"/>
    <w:rsid w:val="004C3108"/>
    <w:rsid w:val="004C333F"/>
    <w:rsid w:val="004C336A"/>
    <w:rsid w:val="004C3583"/>
    <w:rsid w:val="004C3A43"/>
    <w:rsid w:val="004C3E16"/>
    <w:rsid w:val="004C41C3"/>
    <w:rsid w:val="004C41DB"/>
    <w:rsid w:val="004C435E"/>
    <w:rsid w:val="004C45F9"/>
    <w:rsid w:val="004C479C"/>
    <w:rsid w:val="004C530D"/>
    <w:rsid w:val="004C539B"/>
    <w:rsid w:val="004C698B"/>
    <w:rsid w:val="004C6B06"/>
    <w:rsid w:val="004C6B9B"/>
    <w:rsid w:val="004C6CC2"/>
    <w:rsid w:val="004C6E6D"/>
    <w:rsid w:val="004C7015"/>
    <w:rsid w:val="004C7155"/>
    <w:rsid w:val="004C7222"/>
    <w:rsid w:val="004C722B"/>
    <w:rsid w:val="004C7662"/>
    <w:rsid w:val="004C7722"/>
    <w:rsid w:val="004C7794"/>
    <w:rsid w:val="004C780A"/>
    <w:rsid w:val="004C78B7"/>
    <w:rsid w:val="004C7A56"/>
    <w:rsid w:val="004C7B99"/>
    <w:rsid w:val="004D03F4"/>
    <w:rsid w:val="004D0529"/>
    <w:rsid w:val="004D06E6"/>
    <w:rsid w:val="004D098D"/>
    <w:rsid w:val="004D0CC5"/>
    <w:rsid w:val="004D0E39"/>
    <w:rsid w:val="004D15CA"/>
    <w:rsid w:val="004D189B"/>
    <w:rsid w:val="004D19BC"/>
    <w:rsid w:val="004D223A"/>
    <w:rsid w:val="004D24CB"/>
    <w:rsid w:val="004D2550"/>
    <w:rsid w:val="004D261A"/>
    <w:rsid w:val="004D2734"/>
    <w:rsid w:val="004D2A4E"/>
    <w:rsid w:val="004D2D09"/>
    <w:rsid w:val="004D314F"/>
    <w:rsid w:val="004D35FE"/>
    <w:rsid w:val="004D3645"/>
    <w:rsid w:val="004D3970"/>
    <w:rsid w:val="004D3A5B"/>
    <w:rsid w:val="004D3FB1"/>
    <w:rsid w:val="004D464B"/>
    <w:rsid w:val="004D55BF"/>
    <w:rsid w:val="004D5CE0"/>
    <w:rsid w:val="004D6501"/>
    <w:rsid w:val="004D6921"/>
    <w:rsid w:val="004D6CF9"/>
    <w:rsid w:val="004D70B0"/>
    <w:rsid w:val="004D740E"/>
    <w:rsid w:val="004D76B1"/>
    <w:rsid w:val="004D7A08"/>
    <w:rsid w:val="004D7E13"/>
    <w:rsid w:val="004D7F16"/>
    <w:rsid w:val="004E0112"/>
    <w:rsid w:val="004E0662"/>
    <w:rsid w:val="004E067A"/>
    <w:rsid w:val="004E0964"/>
    <w:rsid w:val="004E0972"/>
    <w:rsid w:val="004E0B7B"/>
    <w:rsid w:val="004E0DC0"/>
    <w:rsid w:val="004E0E8E"/>
    <w:rsid w:val="004E192E"/>
    <w:rsid w:val="004E1CC3"/>
    <w:rsid w:val="004E29E4"/>
    <w:rsid w:val="004E2C1F"/>
    <w:rsid w:val="004E2E88"/>
    <w:rsid w:val="004E2EA1"/>
    <w:rsid w:val="004E2EF1"/>
    <w:rsid w:val="004E2FC3"/>
    <w:rsid w:val="004E3233"/>
    <w:rsid w:val="004E32F7"/>
    <w:rsid w:val="004E3350"/>
    <w:rsid w:val="004E39CB"/>
    <w:rsid w:val="004E3A6E"/>
    <w:rsid w:val="004E3BA8"/>
    <w:rsid w:val="004E40C6"/>
    <w:rsid w:val="004E41A9"/>
    <w:rsid w:val="004E46EC"/>
    <w:rsid w:val="004E4A28"/>
    <w:rsid w:val="004E4AB4"/>
    <w:rsid w:val="004E4AFB"/>
    <w:rsid w:val="004E4E27"/>
    <w:rsid w:val="004E51E9"/>
    <w:rsid w:val="004E523C"/>
    <w:rsid w:val="004E52F2"/>
    <w:rsid w:val="004E53CF"/>
    <w:rsid w:val="004E563B"/>
    <w:rsid w:val="004E58B8"/>
    <w:rsid w:val="004E63EB"/>
    <w:rsid w:val="004E6497"/>
    <w:rsid w:val="004E653E"/>
    <w:rsid w:val="004E675D"/>
    <w:rsid w:val="004F005C"/>
    <w:rsid w:val="004F026B"/>
    <w:rsid w:val="004F06F5"/>
    <w:rsid w:val="004F0815"/>
    <w:rsid w:val="004F081C"/>
    <w:rsid w:val="004F0821"/>
    <w:rsid w:val="004F0901"/>
    <w:rsid w:val="004F0AE0"/>
    <w:rsid w:val="004F0B85"/>
    <w:rsid w:val="004F0E8D"/>
    <w:rsid w:val="004F0F1D"/>
    <w:rsid w:val="004F148F"/>
    <w:rsid w:val="004F189B"/>
    <w:rsid w:val="004F1F05"/>
    <w:rsid w:val="004F1FAF"/>
    <w:rsid w:val="004F1FE3"/>
    <w:rsid w:val="004F32EB"/>
    <w:rsid w:val="004F3471"/>
    <w:rsid w:val="004F3A7E"/>
    <w:rsid w:val="004F3B3F"/>
    <w:rsid w:val="004F4111"/>
    <w:rsid w:val="004F4CA1"/>
    <w:rsid w:val="004F5694"/>
    <w:rsid w:val="004F58D9"/>
    <w:rsid w:val="004F5A2F"/>
    <w:rsid w:val="004F60FC"/>
    <w:rsid w:val="004F6337"/>
    <w:rsid w:val="004F6393"/>
    <w:rsid w:val="004F63AF"/>
    <w:rsid w:val="004F6938"/>
    <w:rsid w:val="004F6AEF"/>
    <w:rsid w:val="004F6EDD"/>
    <w:rsid w:val="004F6EDE"/>
    <w:rsid w:val="004F72BE"/>
    <w:rsid w:val="004F76E1"/>
    <w:rsid w:val="004F7B03"/>
    <w:rsid w:val="005005CB"/>
    <w:rsid w:val="005007AF"/>
    <w:rsid w:val="005010F4"/>
    <w:rsid w:val="005012F4"/>
    <w:rsid w:val="00501B49"/>
    <w:rsid w:val="00501D88"/>
    <w:rsid w:val="00501E8B"/>
    <w:rsid w:val="00501F80"/>
    <w:rsid w:val="0050206E"/>
    <w:rsid w:val="005025E4"/>
    <w:rsid w:val="0050276E"/>
    <w:rsid w:val="0050289E"/>
    <w:rsid w:val="00502CD8"/>
    <w:rsid w:val="00503040"/>
    <w:rsid w:val="00503749"/>
    <w:rsid w:val="00503D82"/>
    <w:rsid w:val="00503E16"/>
    <w:rsid w:val="00503E49"/>
    <w:rsid w:val="00504117"/>
    <w:rsid w:val="005041A7"/>
    <w:rsid w:val="005041B6"/>
    <w:rsid w:val="00504284"/>
    <w:rsid w:val="00504C02"/>
    <w:rsid w:val="00504C34"/>
    <w:rsid w:val="00504E23"/>
    <w:rsid w:val="00504EA7"/>
    <w:rsid w:val="00505666"/>
    <w:rsid w:val="00505868"/>
    <w:rsid w:val="00505901"/>
    <w:rsid w:val="00505C68"/>
    <w:rsid w:val="00505C70"/>
    <w:rsid w:val="005062B8"/>
    <w:rsid w:val="00506412"/>
    <w:rsid w:val="005070EA"/>
    <w:rsid w:val="005077DF"/>
    <w:rsid w:val="00507D2E"/>
    <w:rsid w:val="00507F36"/>
    <w:rsid w:val="00510A68"/>
    <w:rsid w:val="00510DFA"/>
    <w:rsid w:val="00511868"/>
    <w:rsid w:val="00511AB1"/>
    <w:rsid w:val="00511F2F"/>
    <w:rsid w:val="00512002"/>
    <w:rsid w:val="00512190"/>
    <w:rsid w:val="00512561"/>
    <w:rsid w:val="005128B7"/>
    <w:rsid w:val="00512962"/>
    <w:rsid w:val="005129A3"/>
    <w:rsid w:val="005129D7"/>
    <w:rsid w:val="00512A38"/>
    <w:rsid w:val="00512D26"/>
    <w:rsid w:val="00512D6F"/>
    <w:rsid w:val="00512E67"/>
    <w:rsid w:val="00512EDA"/>
    <w:rsid w:val="00512F6F"/>
    <w:rsid w:val="0051301B"/>
    <w:rsid w:val="0051323F"/>
    <w:rsid w:val="0051352E"/>
    <w:rsid w:val="005135B5"/>
    <w:rsid w:val="005136F7"/>
    <w:rsid w:val="00513794"/>
    <w:rsid w:val="005137F8"/>
    <w:rsid w:val="00513A1B"/>
    <w:rsid w:val="00514543"/>
    <w:rsid w:val="00514886"/>
    <w:rsid w:val="00514DC6"/>
    <w:rsid w:val="005150DF"/>
    <w:rsid w:val="00515640"/>
    <w:rsid w:val="00515AD7"/>
    <w:rsid w:val="005160E2"/>
    <w:rsid w:val="00516838"/>
    <w:rsid w:val="00516AE8"/>
    <w:rsid w:val="00516CD0"/>
    <w:rsid w:val="00516D96"/>
    <w:rsid w:val="00516E02"/>
    <w:rsid w:val="00516F5B"/>
    <w:rsid w:val="0051746E"/>
    <w:rsid w:val="00517789"/>
    <w:rsid w:val="00520065"/>
    <w:rsid w:val="005209DE"/>
    <w:rsid w:val="00520AFA"/>
    <w:rsid w:val="005213EA"/>
    <w:rsid w:val="00521431"/>
    <w:rsid w:val="005215F7"/>
    <w:rsid w:val="00521713"/>
    <w:rsid w:val="005219D4"/>
    <w:rsid w:val="00521F12"/>
    <w:rsid w:val="005232D2"/>
    <w:rsid w:val="0052339F"/>
    <w:rsid w:val="005237AB"/>
    <w:rsid w:val="00523B1F"/>
    <w:rsid w:val="00523C2E"/>
    <w:rsid w:val="00523C6E"/>
    <w:rsid w:val="00523F5E"/>
    <w:rsid w:val="00524BAC"/>
    <w:rsid w:val="00524D8E"/>
    <w:rsid w:val="00525083"/>
    <w:rsid w:val="005254DE"/>
    <w:rsid w:val="00525806"/>
    <w:rsid w:val="005259E7"/>
    <w:rsid w:val="00526276"/>
    <w:rsid w:val="0052629C"/>
    <w:rsid w:val="0052641C"/>
    <w:rsid w:val="005267B6"/>
    <w:rsid w:val="005269F6"/>
    <w:rsid w:val="00526BDC"/>
    <w:rsid w:val="00526FF4"/>
    <w:rsid w:val="005273F6"/>
    <w:rsid w:val="005277FE"/>
    <w:rsid w:val="00527842"/>
    <w:rsid w:val="00527AD1"/>
    <w:rsid w:val="00527D2D"/>
    <w:rsid w:val="0053074D"/>
    <w:rsid w:val="00530B75"/>
    <w:rsid w:val="00530C13"/>
    <w:rsid w:val="00530CAD"/>
    <w:rsid w:val="00531A04"/>
    <w:rsid w:val="00531B8C"/>
    <w:rsid w:val="00531CD3"/>
    <w:rsid w:val="00532709"/>
    <w:rsid w:val="00532EC7"/>
    <w:rsid w:val="005331B3"/>
    <w:rsid w:val="0053369E"/>
    <w:rsid w:val="005336F4"/>
    <w:rsid w:val="0053370B"/>
    <w:rsid w:val="005339CC"/>
    <w:rsid w:val="00533DF7"/>
    <w:rsid w:val="00533F84"/>
    <w:rsid w:val="00534036"/>
    <w:rsid w:val="005340BD"/>
    <w:rsid w:val="005340FA"/>
    <w:rsid w:val="00534422"/>
    <w:rsid w:val="00534AD2"/>
    <w:rsid w:val="0053502E"/>
    <w:rsid w:val="005352A9"/>
    <w:rsid w:val="005354B7"/>
    <w:rsid w:val="00535890"/>
    <w:rsid w:val="00535A19"/>
    <w:rsid w:val="00535F3C"/>
    <w:rsid w:val="00535F60"/>
    <w:rsid w:val="00535F7C"/>
    <w:rsid w:val="005367CF"/>
    <w:rsid w:val="00536AF2"/>
    <w:rsid w:val="00536F2F"/>
    <w:rsid w:val="00537000"/>
    <w:rsid w:val="00537143"/>
    <w:rsid w:val="0053730E"/>
    <w:rsid w:val="005373E1"/>
    <w:rsid w:val="00537777"/>
    <w:rsid w:val="005378FC"/>
    <w:rsid w:val="00537B1E"/>
    <w:rsid w:val="00537BC9"/>
    <w:rsid w:val="00537D8B"/>
    <w:rsid w:val="00537D94"/>
    <w:rsid w:val="005401F1"/>
    <w:rsid w:val="00540AF5"/>
    <w:rsid w:val="00540C0B"/>
    <w:rsid w:val="00540CEA"/>
    <w:rsid w:val="00540E38"/>
    <w:rsid w:val="0054119B"/>
    <w:rsid w:val="0054139C"/>
    <w:rsid w:val="00541480"/>
    <w:rsid w:val="005414A0"/>
    <w:rsid w:val="00541532"/>
    <w:rsid w:val="005417E2"/>
    <w:rsid w:val="005419BA"/>
    <w:rsid w:val="00541AF1"/>
    <w:rsid w:val="005421B2"/>
    <w:rsid w:val="00542446"/>
    <w:rsid w:val="00542BD8"/>
    <w:rsid w:val="00542CC8"/>
    <w:rsid w:val="00542D80"/>
    <w:rsid w:val="00542E46"/>
    <w:rsid w:val="005433A3"/>
    <w:rsid w:val="0054356B"/>
    <w:rsid w:val="005436E8"/>
    <w:rsid w:val="005438DD"/>
    <w:rsid w:val="0054421E"/>
    <w:rsid w:val="005442F6"/>
    <w:rsid w:val="00544397"/>
    <w:rsid w:val="005446CA"/>
    <w:rsid w:val="005447FC"/>
    <w:rsid w:val="00544D52"/>
    <w:rsid w:val="005450D3"/>
    <w:rsid w:val="005455B2"/>
    <w:rsid w:val="005456DC"/>
    <w:rsid w:val="00545DA2"/>
    <w:rsid w:val="0054615B"/>
    <w:rsid w:val="00546261"/>
    <w:rsid w:val="00546322"/>
    <w:rsid w:val="0054663A"/>
    <w:rsid w:val="005467D1"/>
    <w:rsid w:val="005469ED"/>
    <w:rsid w:val="00546A90"/>
    <w:rsid w:val="00546AA0"/>
    <w:rsid w:val="00546B35"/>
    <w:rsid w:val="00546D70"/>
    <w:rsid w:val="00546F0B"/>
    <w:rsid w:val="00547292"/>
    <w:rsid w:val="00547471"/>
    <w:rsid w:val="00547549"/>
    <w:rsid w:val="00547870"/>
    <w:rsid w:val="00550547"/>
    <w:rsid w:val="00550717"/>
    <w:rsid w:val="00550B75"/>
    <w:rsid w:val="00550C3B"/>
    <w:rsid w:val="00550D3E"/>
    <w:rsid w:val="00550D54"/>
    <w:rsid w:val="005513AC"/>
    <w:rsid w:val="0055157C"/>
    <w:rsid w:val="00551F0B"/>
    <w:rsid w:val="005521A2"/>
    <w:rsid w:val="005527C7"/>
    <w:rsid w:val="005528E2"/>
    <w:rsid w:val="00552A56"/>
    <w:rsid w:val="00552B20"/>
    <w:rsid w:val="00552B89"/>
    <w:rsid w:val="00552C17"/>
    <w:rsid w:val="00552D3D"/>
    <w:rsid w:val="0055310E"/>
    <w:rsid w:val="0055319C"/>
    <w:rsid w:val="005531CE"/>
    <w:rsid w:val="00553307"/>
    <w:rsid w:val="0055350D"/>
    <w:rsid w:val="00553AD6"/>
    <w:rsid w:val="00553D67"/>
    <w:rsid w:val="00553D95"/>
    <w:rsid w:val="00554523"/>
    <w:rsid w:val="00554746"/>
    <w:rsid w:val="00554DB9"/>
    <w:rsid w:val="00554E23"/>
    <w:rsid w:val="00554EEC"/>
    <w:rsid w:val="005550A9"/>
    <w:rsid w:val="00555639"/>
    <w:rsid w:val="00555874"/>
    <w:rsid w:val="005558C7"/>
    <w:rsid w:val="00555B2D"/>
    <w:rsid w:val="00555FAD"/>
    <w:rsid w:val="00556021"/>
    <w:rsid w:val="00556212"/>
    <w:rsid w:val="005563A1"/>
    <w:rsid w:val="00556415"/>
    <w:rsid w:val="00556FE7"/>
    <w:rsid w:val="00557916"/>
    <w:rsid w:val="00557942"/>
    <w:rsid w:val="00557AC2"/>
    <w:rsid w:val="00557AE9"/>
    <w:rsid w:val="00557BBC"/>
    <w:rsid w:val="00560183"/>
    <w:rsid w:val="005602F4"/>
    <w:rsid w:val="005605C7"/>
    <w:rsid w:val="00560634"/>
    <w:rsid w:val="00560E00"/>
    <w:rsid w:val="00560F84"/>
    <w:rsid w:val="0056126E"/>
    <w:rsid w:val="0056135B"/>
    <w:rsid w:val="00561568"/>
    <w:rsid w:val="005616EF"/>
    <w:rsid w:val="00561975"/>
    <w:rsid w:val="005619B9"/>
    <w:rsid w:val="00561A11"/>
    <w:rsid w:val="00561A77"/>
    <w:rsid w:val="00561B14"/>
    <w:rsid w:val="00561B24"/>
    <w:rsid w:val="00561BED"/>
    <w:rsid w:val="00561C1B"/>
    <w:rsid w:val="0056206F"/>
    <w:rsid w:val="00562194"/>
    <w:rsid w:val="0056221C"/>
    <w:rsid w:val="0056248B"/>
    <w:rsid w:val="00562636"/>
    <w:rsid w:val="0056281B"/>
    <w:rsid w:val="00562837"/>
    <w:rsid w:val="00562F9D"/>
    <w:rsid w:val="0056315D"/>
    <w:rsid w:val="0056355E"/>
    <w:rsid w:val="005636C4"/>
    <w:rsid w:val="00563752"/>
    <w:rsid w:val="00563FAF"/>
    <w:rsid w:val="00564000"/>
    <w:rsid w:val="0056436B"/>
    <w:rsid w:val="005644B5"/>
    <w:rsid w:val="0056461A"/>
    <w:rsid w:val="00564977"/>
    <w:rsid w:val="00564A5E"/>
    <w:rsid w:val="00564B03"/>
    <w:rsid w:val="00564DEE"/>
    <w:rsid w:val="00564FE7"/>
    <w:rsid w:val="00565126"/>
    <w:rsid w:val="0056527E"/>
    <w:rsid w:val="00565621"/>
    <w:rsid w:val="00565728"/>
    <w:rsid w:val="00565AE9"/>
    <w:rsid w:val="00565C92"/>
    <w:rsid w:val="0056614D"/>
    <w:rsid w:val="00566624"/>
    <w:rsid w:val="005667A9"/>
    <w:rsid w:val="005667EE"/>
    <w:rsid w:val="005669FE"/>
    <w:rsid w:val="00566F7B"/>
    <w:rsid w:val="0056726B"/>
    <w:rsid w:val="00567616"/>
    <w:rsid w:val="0056786E"/>
    <w:rsid w:val="00567A23"/>
    <w:rsid w:val="005700C4"/>
    <w:rsid w:val="005706AC"/>
    <w:rsid w:val="005706B5"/>
    <w:rsid w:val="0057093F"/>
    <w:rsid w:val="00570B9E"/>
    <w:rsid w:val="00570E51"/>
    <w:rsid w:val="00570F13"/>
    <w:rsid w:val="00571269"/>
    <w:rsid w:val="00571A0D"/>
    <w:rsid w:val="00571CD8"/>
    <w:rsid w:val="00571D29"/>
    <w:rsid w:val="00572055"/>
    <w:rsid w:val="00572A40"/>
    <w:rsid w:val="00572C97"/>
    <w:rsid w:val="00572DDC"/>
    <w:rsid w:val="00572E15"/>
    <w:rsid w:val="00572E39"/>
    <w:rsid w:val="00573437"/>
    <w:rsid w:val="005736AA"/>
    <w:rsid w:val="00573F5A"/>
    <w:rsid w:val="00574078"/>
    <w:rsid w:val="0057430A"/>
    <w:rsid w:val="0057447D"/>
    <w:rsid w:val="00574996"/>
    <w:rsid w:val="00574E0B"/>
    <w:rsid w:val="00574EA6"/>
    <w:rsid w:val="00575318"/>
    <w:rsid w:val="00575423"/>
    <w:rsid w:val="0057572A"/>
    <w:rsid w:val="0057572E"/>
    <w:rsid w:val="00575B57"/>
    <w:rsid w:val="00575FC6"/>
    <w:rsid w:val="005760AD"/>
    <w:rsid w:val="00576155"/>
    <w:rsid w:val="00576276"/>
    <w:rsid w:val="005762F5"/>
    <w:rsid w:val="005763A6"/>
    <w:rsid w:val="00576685"/>
    <w:rsid w:val="005771C6"/>
    <w:rsid w:val="00577355"/>
    <w:rsid w:val="00577538"/>
    <w:rsid w:val="00577C50"/>
    <w:rsid w:val="00577CD8"/>
    <w:rsid w:val="00577D19"/>
    <w:rsid w:val="00577DCB"/>
    <w:rsid w:val="00577EF4"/>
    <w:rsid w:val="00580172"/>
    <w:rsid w:val="00580A81"/>
    <w:rsid w:val="00581071"/>
    <w:rsid w:val="00581254"/>
    <w:rsid w:val="0058129B"/>
    <w:rsid w:val="00581790"/>
    <w:rsid w:val="00581824"/>
    <w:rsid w:val="005819F8"/>
    <w:rsid w:val="00581A2F"/>
    <w:rsid w:val="00581D8C"/>
    <w:rsid w:val="00582201"/>
    <w:rsid w:val="00582288"/>
    <w:rsid w:val="005825AD"/>
    <w:rsid w:val="0058293B"/>
    <w:rsid w:val="00582DCB"/>
    <w:rsid w:val="00583294"/>
    <w:rsid w:val="00583653"/>
    <w:rsid w:val="00583716"/>
    <w:rsid w:val="0058376F"/>
    <w:rsid w:val="005837D3"/>
    <w:rsid w:val="005838CE"/>
    <w:rsid w:val="005839DE"/>
    <w:rsid w:val="00583DC8"/>
    <w:rsid w:val="00583FD1"/>
    <w:rsid w:val="0058403F"/>
    <w:rsid w:val="005843E9"/>
    <w:rsid w:val="0058446A"/>
    <w:rsid w:val="0058464D"/>
    <w:rsid w:val="00584DA8"/>
    <w:rsid w:val="00585B7A"/>
    <w:rsid w:val="00585BE9"/>
    <w:rsid w:val="00585F40"/>
    <w:rsid w:val="00585F59"/>
    <w:rsid w:val="00586447"/>
    <w:rsid w:val="00586531"/>
    <w:rsid w:val="0058653C"/>
    <w:rsid w:val="005866E7"/>
    <w:rsid w:val="005867D3"/>
    <w:rsid w:val="00586FE8"/>
    <w:rsid w:val="0058708F"/>
    <w:rsid w:val="00587656"/>
    <w:rsid w:val="0059007F"/>
    <w:rsid w:val="00590624"/>
    <w:rsid w:val="00590810"/>
    <w:rsid w:val="00590BC8"/>
    <w:rsid w:val="00591138"/>
    <w:rsid w:val="0059146F"/>
    <w:rsid w:val="005915AC"/>
    <w:rsid w:val="005916FF"/>
    <w:rsid w:val="00591E3B"/>
    <w:rsid w:val="0059200C"/>
    <w:rsid w:val="0059226F"/>
    <w:rsid w:val="00592670"/>
    <w:rsid w:val="005928A7"/>
    <w:rsid w:val="005929B3"/>
    <w:rsid w:val="00592A7A"/>
    <w:rsid w:val="00592B4E"/>
    <w:rsid w:val="00592C71"/>
    <w:rsid w:val="00592CD8"/>
    <w:rsid w:val="00593049"/>
    <w:rsid w:val="005930E9"/>
    <w:rsid w:val="0059314B"/>
    <w:rsid w:val="005934F4"/>
    <w:rsid w:val="00593A45"/>
    <w:rsid w:val="00593C44"/>
    <w:rsid w:val="00593C6B"/>
    <w:rsid w:val="00593D01"/>
    <w:rsid w:val="005944E7"/>
    <w:rsid w:val="00594A87"/>
    <w:rsid w:val="00594AF7"/>
    <w:rsid w:val="00594B41"/>
    <w:rsid w:val="00595444"/>
    <w:rsid w:val="00595AC2"/>
    <w:rsid w:val="00595D35"/>
    <w:rsid w:val="00595EFB"/>
    <w:rsid w:val="0059649F"/>
    <w:rsid w:val="00596767"/>
    <w:rsid w:val="00596AEA"/>
    <w:rsid w:val="00596B1C"/>
    <w:rsid w:val="00596C7C"/>
    <w:rsid w:val="00596F46"/>
    <w:rsid w:val="005971B7"/>
    <w:rsid w:val="00597289"/>
    <w:rsid w:val="005973F3"/>
    <w:rsid w:val="00597AA7"/>
    <w:rsid w:val="00597D6D"/>
    <w:rsid w:val="00597EB8"/>
    <w:rsid w:val="005A0465"/>
    <w:rsid w:val="005A060C"/>
    <w:rsid w:val="005A08D5"/>
    <w:rsid w:val="005A0AF2"/>
    <w:rsid w:val="005A0E6E"/>
    <w:rsid w:val="005A106F"/>
    <w:rsid w:val="005A10E3"/>
    <w:rsid w:val="005A1194"/>
    <w:rsid w:val="005A1234"/>
    <w:rsid w:val="005A165D"/>
    <w:rsid w:val="005A1701"/>
    <w:rsid w:val="005A203C"/>
    <w:rsid w:val="005A20DD"/>
    <w:rsid w:val="005A20F0"/>
    <w:rsid w:val="005A2255"/>
    <w:rsid w:val="005A2442"/>
    <w:rsid w:val="005A27F9"/>
    <w:rsid w:val="005A28C5"/>
    <w:rsid w:val="005A28D0"/>
    <w:rsid w:val="005A2E1E"/>
    <w:rsid w:val="005A3300"/>
    <w:rsid w:val="005A38BC"/>
    <w:rsid w:val="005A398D"/>
    <w:rsid w:val="005A3A1B"/>
    <w:rsid w:val="005A3C01"/>
    <w:rsid w:val="005A3D5C"/>
    <w:rsid w:val="005A4005"/>
    <w:rsid w:val="005A4194"/>
    <w:rsid w:val="005A4356"/>
    <w:rsid w:val="005A4357"/>
    <w:rsid w:val="005A4381"/>
    <w:rsid w:val="005A4599"/>
    <w:rsid w:val="005A56DC"/>
    <w:rsid w:val="005A58BF"/>
    <w:rsid w:val="005A5A3F"/>
    <w:rsid w:val="005A5DEC"/>
    <w:rsid w:val="005A66C9"/>
    <w:rsid w:val="005A682F"/>
    <w:rsid w:val="005A6902"/>
    <w:rsid w:val="005A6E40"/>
    <w:rsid w:val="005A6E68"/>
    <w:rsid w:val="005A6EAB"/>
    <w:rsid w:val="005A7014"/>
    <w:rsid w:val="005A7252"/>
    <w:rsid w:val="005A732E"/>
    <w:rsid w:val="005A7622"/>
    <w:rsid w:val="005A7644"/>
    <w:rsid w:val="005A78EE"/>
    <w:rsid w:val="005A79D6"/>
    <w:rsid w:val="005A7B9C"/>
    <w:rsid w:val="005A7EC4"/>
    <w:rsid w:val="005B0579"/>
    <w:rsid w:val="005B0662"/>
    <w:rsid w:val="005B078A"/>
    <w:rsid w:val="005B082B"/>
    <w:rsid w:val="005B0C15"/>
    <w:rsid w:val="005B0D9D"/>
    <w:rsid w:val="005B150D"/>
    <w:rsid w:val="005B1645"/>
    <w:rsid w:val="005B1ACE"/>
    <w:rsid w:val="005B1B14"/>
    <w:rsid w:val="005B1C3E"/>
    <w:rsid w:val="005B1DC1"/>
    <w:rsid w:val="005B1F0F"/>
    <w:rsid w:val="005B2344"/>
    <w:rsid w:val="005B23E3"/>
    <w:rsid w:val="005B2504"/>
    <w:rsid w:val="005B2B01"/>
    <w:rsid w:val="005B2DE2"/>
    <w:rsid w:val="005B2EBE"/>
    <w:rsid w:val="005B3774"/>
    <w:rsid w:val="005B4037"/>
    <w:rsid w:val="005B427A"/>
    <w:rsid w:val="005B501F"/>
    <w:rsid w:val="005B5A19"/>
    <w:rsid w:val="005B5A24"/>
    <w:rsid w:val="005B5A32"/>
    <w:rsid w:val="005B5BE7"/>
    <w:rsid w:val="005B5F85"/>
    <w:rsid w:val="005B62F0"/>
    <w:rsid w:val="005B6488"/>
    <w:rsid w:val="005B686B"/>
    <w:rsid w:val="005B6E62"/>
    <w:rsid w:val="005B7070"/>
    <w:rsid w:val="005B7331"/>
    <w:rsid w:val="005B7746"/>
    <w:rsid w:val="005B7788"/>
    <w:rsid w:val="005B77A7"/>
    <w:rsid w:val="005C00E8"/>
    <w:rsid w:val="005C0827"/>
    <w:rsid w:val="005C0923"/>
    <w:rsid w:val="005C0C0C"/>
    <w:rsid w:val="005C1187"/>
    <w:rsid w:val="005C1B00"/>
    <w:rsid w:val="005C1D25"/>
    <w:rsid w:val="005C1E76"/>
    <w:rsid w:val="005C1F62"/>
    <w:rsid w:val="005C1FE0"/>
    <w:rsid w:val="005C204B"/>
    <w:rsid w:val="005C24F7"/>
    <w:rsid w:val="005C2635"/>
    <w:rsid w:val="005C2C1C"/>
    <w:rsid w:val="005C2CE8"/>
    <w:rsid w:val="005C2D00"/>
    <w:rsid w:val="005C2D0E"/>
    <w:rsid w:val="005C2E0C"/>
    <w:rsid w:val="005C2E13"/>
    <w:rsid w:val="005C30B0"/>
    <w:rsid w:val="005C3285"/>
    <w:rsid w:val="005C3685"/>
    <w:rsid w:val="005C36C4"/>
    <w:rsid w:val="005C37C1"/>
    <w:rsid w:val="005C39B6"/>
    <w:rsid w:val="005C3C8C"/>
    <w:rsid w:val="005C3E25"/>
    <w:rsid w:val="005C400D"/>
    <w:rsid w:val="005C43BE"/>
    <w:rsid w:val="005C4427"/>
    <w:rsid w:val="005C45C7"/>
    <w:rsid w:val="005C48D1"/>
    <w:rsid w:val="005C4BB5"/>
    <w:rsid w:val="005C4D4E"/>
    <w:rsid w:val="005C50A9"/>
    <w:rsid w:val="005C5453"/>
    <w:rsid w:val="005C5A63"/>
    <w:rsid w:val="005C5AB6"/>
    <w:rsid w:val="005C5CCD"/>
    <w:rsid w:val="005C5EA9"/>
    <w:rsid w:val="005C61F2"/>
    <w:rsid w:val="005C693C"/>
    <w:rsid w:val="005C6960"/>
    <w:rsid w:val="005C6AD4"/>
    <w:rsid w:val="005C6B50"/>
    <w:rsid w:val="005C6C4C"/>
    <w:rsid w:val="005C6EC2"/>
    <w:rsid w:val="005C70E5"/>
    <w:rsid w:val="005C754D"/>
    <w:rsid w:val="005C78A3"/>
    <w:rsid w:val="005C79DC"/>
    <w:rsid w:val="005C7B05"/>
    <w:rsid w:val="005C7B5D"/>
    <w:rsid w:val="005C7D6A"/>
    <w:rsid w:val="005D0356"/>
    <w:rsid w:val="005D0697"/>
    <w:rsid w:val="005D0755"/>
    <w:rsid w:val="005D0762"/>
    <w:rsid w:val="005D083A"/>
    <w:rsid w:val="005D09A9"/>
    <w:rsid w:val="005D0CD4"/>
    <w:rsid w:val="005D0CD8"/>
    <w:rsid w:val="005D14F3"/>
    <w:rsid w:val="005D16D9"/>
    <w:rsid w:val="005D1BAE"/>
    <w:rsid w:val="005D1D28"/>
    <w:rsid w:val="005D264F"/>
    <w:rsid w:val="005D27B0"/>
    <w:rsid w:val="005D297E"/>
    <w:rsid w:val="005D2A6D"/>
    <w:rsid w:val="005D2BC0"/>
    <w:rsid w:val="005D2D25"/>
    <w:rsid w:val="005D2EDD"/>
    <w:rsid w:val="005D2F94"/>
    <w:rsid w:val="005D34F3"/>
    <w:rsid w:val="005D37D6"/>
    <w:rsid w:val="005D3993"/>
    <w:rsid w:val="005D3CA7"/>
    <w:rsid w:val="005D3D58"/>
    <w:rsid w:val="005D3E48"/>
    <w:rsid w:val="005D3F2C"/>
    <w:rsid w:val="005D410F"/>
    <w:rsid w:val="005D42B7"/>
    <w:rsid w:val="005D4612"/>
    <w:rsid w:val="005D4778"/>
    <w:rsid w:val="005D4972"/>
    <w:rsid w:val="005D4B02"/>
    <w:rsid w:val="005D4BBD"/>
    <w:rsid w:val="005D4CA0"/>
    <w:rsid w:val="005D4CDE"/>
    <w:rsid w:val="005D4DC1"/>
    <w:rsid w:val="005D5139"/>
    <w:rsid w:val="005D52A3"/>
    <w:rsid w:val="005D572B"/>
    <w:rsid w:val="005D58C4"/>
    <w:rsid w:val="005D5CD3"/>
    <w:rsid w:val="005D6343"/>
    <w:rsid w:val="005D6692"/>
    <w:rsid w:val="005D6B6E"/>
    <w:rsid w:val="005D6F7F"/>
    <w:rsid w:val="005D740A"/>
    <w:rsid w:val="005D75B4"/>
    <w:rsid w:val="005D766F"/>
    <w:rsid w:val="005D7B71"/>
    <w:rsid w:val="005D7B7C"/>
    <w:rsid w:val="005D7C66"/>
    <w:rsid w:val="005D7D6D"/>
    <w:rsid w:val="005D7DB4"/>
    <w:rsid w:val="005D7E09"/>
    <w:rsid w:val="005D7E69"/>
    <w:rsid w:val="005D7F91"/>
    <w:rsid w:val="005E015D"/>
    <w:rsid w:val="005E0224"/>
    <w:rsid w:val="005E0273"/>
    <w:rsid w:val="005E04E3"/>
    <w:rsid w:val="005E070D"/>
    <w:rsid w:val="005E07A8"/>
    <w:rsid w:val="005E098D"/>
    <w:rsid w:val="005E0BAC"/>
    <w:rsid w:val="005E1078"/>
    <w:rsid w:val="005E13E2"/>
    <w:rsid w:val="005E1553"/>
    <w:rsid w:val="005E1871"/>
    <w:rsid w:val="005E1895"/>
    <w:rsid w:val="005E18C0"/>
    <w:rsid w:val="005E18D9"/>
    <w:rsid w:val="005E19A4"/>
    <w:rsid w:val="005E1BDC"/>
    <w:rsid w:val="005E1EA7"/>
    <w:rsid w:val="005E208F"/>
    <w:rsid w:val="005E2170"/>
    <w:rsid w:val="005E22B2"/>
    <w:rsid w:val="005E251D"/>
    <w:rsid w:val="005E2828"/>
    <w:rsid w:val="005E2999"/>
    <w:rsid w:val="005E3323"/>
    <w:rsid w:val="005E372E"/>
    <w:rsid w:val="005E3AA6"/>
    <w:rsid w:val="005E3BC6"/>
    <w:rsid w:val="005E3C69"/>
    <w:rsid w:val="005E3D05"/>
    <w:rsid w:val="005E422D"/>
    <w:rsid w:val="005E4247"/>
    <w:rsid w:val="005E46F5"/>
    <w:rsid w:val="005E5630"/>
    <w:rsid w:val="005E589C"/>
    <w:rsid w:val="005E5A9E"/>
    <w:rsid w:val="005E5B22"/>
    <w:rsid w:val="005E5D1C"/>
    <w:rsid w:val="005E5F55"/>
    <w:rsid w:val="005E60A7"/>
    <w:rsid w:val="005E6798"/>
    <w:rsid w:val="005E69F8"/>
    <w:rsid w:val="005E6B7F"/>
    <w:rsid w:val="005E73D5"/>
    <w:rsid w:val="005E7813"/>
    <w:rsid w:val="005E790B"/>
    <w:rsid w:val="005E7D15"/>
    <w:rsid w:val="005E7D66"/>
    <w:rsid w:val="005E7EB6"/>
    <w:rsid w:val="005F0097"/>
    <w:rsid w:val="005F01FB"/>
    <w:rsid w:val="005F0200"/>
    <w:rsid w:val="005F05FC"/>
    <w:rsid w:val="005F0A59"/>
    <w:rsid w:val="005F0B64"/>
    <w:rsid w:val="005F0BF0"/>
    <w:rsid w:val="005F10D8"/>
    <w:rsid w:val="005F111E"/>
    <w:rsid w:val="005F134C"/>
    <w:rsid w:val="005F193A"/>
    <w:rsid w:val="005F1968"/>
    <w:rsid w:val="005F1B1C"/>
    <w:rsid w:val="005F1D0F"/>
    <w:rsid w:val="005F1DA0"/>
    <w:rsid w:val="005F1DB3"/>
    <w:rsid w:val="005F2038"/>
    <w:rsid w:val="005F2238"/>
    <w:rsid w:val="005F2B01"/>
    <w:rsid w:val="005F2B3A"/>
    <w:rsid w:val="005F2CE8"/>
    <w:rsid w:val="005F3367"/>
    <w:rsid w:val="005F3699"/>
    <w:rsid w:val="005F390A"/>
    <w:rsid w:val="005F3A24"/>
    <w:rsid w:val="005F3D9F"/>
    <w:rsid w:val="005F3E11"/>
    <w:rsid w:val="005F41DF"/>
    <w:rsid w:val="005F4481"/>
    <w:rsid w:val="005F49C3"/>
    <w:rsid w:val="005F4EC8"/>
    <w:rsid w:val="005F546B"/>
    <w:rsid w:val="005F5628"/>
    <w:rsid w:val="005F5771"/>
    <w:rsid w:val="005F5950"/>
    <w:rsid w:val="005F5E1D"/>
    <w:rsid w:val="005F632F"/>
    <w:rsid w:val="005F64B6"/>
    <w:rsid w:val="005F68D8"/>
    <w:rsid w:val="005F6936"/>
    <w:rsid w:val="005F6945"/>
    <w:rsid w:val="005F6A05"/>
    <w:rsid w:val="005F6F17"/>
    <w:rsid w:val="005F70A1"/>
    <w:rsid w:val="005F712B"/>
    <w:rsid w:val="005F7281"/>
    <w:rsid w:val="005F740E"/>
    <w:rsid w:val="006001E4"/>
    <w:rsid w:val="006006E0"/>
    <w:rsid w:val="00600BFA"/>
    <w:rsid w:val="00600ED5"/>
    <w:rsid w:val="00600EF9"/>
    <w:rsid w:val="00600F14"/>
    <w:rsid w:val="0060101C"/>
    <w:rsid w:val="00601986"/>
    <w:rsid w:val="00601B1B"/>
    <w:rsid w:val="00601B2B"/>
    <w:rsid w:val="00601C3B"/>
    <w:rsid w:val="00601D1E"/>
    <w:rsid w:val="00602105"/>
    <w:rsid w:val="00602156"/>
    <w:rsid w:val="006024E0"/>
    <w:rsid w:val="00602A8E"/>
    <w:rsid w:val="00602CEC"/>
    <w:rsid w:val="00602F76"/>
    <w:rsid w:val="00602FC2"/>
    <w:rsid w:val="0060338D"/>
    <w:rsid w:val="0060354A"/>
    <w:rsid w:val="0060362D"/>
    <w:rsid w:val="006036BA"/>
    <w:rsid w:val="00603AD8"/>
    <w:rsid w:val="00603CE3"/>
    <w:rsid w:val="00604590"/>
    <w:rsid w:val="00604A56"/>
    <w:rsid w:val="00604B72"/>
    <w:rsid w:val="00604BAD"/>
    <w:rsid w:val="00604C4D"/>
    <w:rsid w:val="00604D6B"/>
    <w:rsid w:val="00604F94"/>
    <w:rsid w:val="006050FB"/>
    <w:rsid w:val="00605254"/>
    <w:rsid w:val="006057B7"/>
    <w:rsid w:val="00605802"/>
    <w:rsid w:val="006058CE"/>
    <w:rsid w:val="0060596F"/>
    <w:rsid w:val="00605972"/>
    <w:rsid w:val="00605A6E"/>
    <w:rsid w:val="00605C1F"/>
    <w:rsid w:val="00605E53"/>
    <w:rsid w:val="00605F38"/>
    <w:rsid w:val="00606769"/>
    <w:rsid w:val="006068AA"/>
    <w:rsid w:val="00607078"/>
    <w:rsid w:val="006073A3"/>
    <w:rsid w:val="006075D9"/>
    <w:rsid w:val="00607752"/>
    <w:rsid w:val="00607FE4"/>
    <w:rsid w:val="006103B2"/>
    <w:rsid w:val="0061060F"/>
    <w:rsid w:val="0061066C"/>
    <w:rsid w:val="00610AD8"/>
    <w:rsid w:val="00610CDE"/>
    <w:rsid w:val="00610EFA"/>
    <w:rsid w:val="006110AB"/>
    <w:rsid w:val="006113DC"/>
    <w:rsid w:val="006114F6"/>
    <w:rsid w:val="006124DF"/>
    <w:rsid w:val="006128E9"/>
    <w:rsid w:val="006129FC"/>
    <w:rsid w:val="00612FD2"/>
    <w:rsid w:val="006135D8"/>
    <w:rsid w:val="006135F2"/>
    <w:rsid w:val="00614462"/>
    <w:rsid w:val="0061446E"/>
    <w:rsid w:val="0061498F"/>
    <w:rsid w:val="00614D26"/>
    <w:rsid w:val="006150B4"/>
    <w:rsid w:val="006153A6"/>
    <w:rsid w:val="00615420"/>
    <w:rsid w:val="006155B1"/>
    <w:rsid w:val="00615640"/>
    <w:rsid w:val="00615643"/>
    <w:rsid w:val="00615CA8"/>
    <w:rsid w:val="00615CA9"/>
    <w:rsid w:val="00615E9B"/>
    <w:rsid w:val="006160A3"/>
    <w:rsid w:val="00616604"/>
    <w:rsid w:val="0061664B"/>
    <w:rsid w:val="00616950"/>
    <w:rsid w:val="00616D01"/>
    <w:rsid w:val="0061707B"/>
    <w:rsid w:val="00617664"/>
    <w:rsid w:val="00617BA0"/>
    <w:rsid w:val="00617C2B"/>
    <w:rsid w:val="00617C38"/>
    <w:rsid w:val="00617C6B"/>
    <w:rsid w:val="00617D85"/>
    <w:rsid w:val="00617EAB"/>
    <w:rsid w:val="006200D4"/>
    <w:rsid w:val="0062022E"/>
    <w:rsid w:val="00620283"/>
    <w:rsid w:val="00620566"/>
    <w:rsid w:val="00620B83"/>
    <w:rsid w:val="00620E2D"/>
    <w:rsid w:val="00620F5C"/>
    <w:rsid w:val="006214D1"/>
    <w:rsid w:val="0062151B"/>
    <w:rsid w:val="006216B5"/>
    <w:rsid w:val="00621711"/>
    <w:rsid w:val="00621B02"/>
    <w:rsid w:val="00621CF7"/>
    <w:rsid w:val="00621D77"/>
    <w:rsid w:val="00622966"/>
    <w:rsid w:val="00622C31"/>
    <w:rsid w:val="00622CCB"/>
    <w:rsid w:val="00622DC9"/>
    <w:rsid w:val="00622F9C"/>
    <w:rsid w:val="0062322E"/>
    <w:rsid w:val="00623396"/>
    <w:rsid w:val="006235B1"/>
    <w:rsid w:val="00623A3C"/>
    <w:rsid w:val="00623BF2"/>
    <w:rsid w:val="00623DAB"/>
    <w:rsid w:val="00623FBE"/>
    <w:rsid w:val="006241D2"/>
    <w:rsid w:val="006248B4"/>
    <w:rsid w:val="00624AF4"/>
    <w:rsid w:val="00624BD8"/>
    <w:rsid w:val="00624CAF"/>
    <w:rsid w:val="00624DEF"/>
    <w:rsid w:val="00624E5E"/>
    <w:rsid w:val="006252CB"/>
    <w:rsid w:val="00625A9D"/>
    <w:rsid w:val="00625D4B"/>
    <w:rsid w:val="00625EA5"/>
    <w:rsid w:val="0062674D"/>
    <w:rsid w:val="0062697E"/>
    <w:rsid w:val="006269A6"/>
    <w:rsid w:val="00626DAA"/>
    <w:rsid w:val="00626F55"/>
    <w:rsid w:val="00626F87"/>
    <w:rsid w:val="00627030"/>
    <w:rsid w:val="00627045"/>
    <w:rsid w:val="0062714C"/>
    <w:rsid w:val="00627521"/>
    <w:rsid w:val="00627602"/>
    <w:rsid w:val="00627758"/>
    <w:rsid w:val="0062775F"/>
    <w:rsid w:val="00627BF4"/>
    <w:rsid w:val="00630051"/>
    <w:rsid w:val="006311D5"/>
    <w:rsid w:val="006311FC"/>
    <w:rsid w:val="006314E9"/>
    <w:rsid w:val="0063193E"/>
    <w:rsid w:val="00631C3E"/>
    <w:rsid w:val="00631CE4"/>
    <w:rsid w:val="00631D9E"/>
    <w:rsid w:val="00631F58"/>
    <w:rsid w:val="00632569"/>
    <w:rsid w:val="00632A13"/>
    <w:rsid w:val="00632CDF"/>
    <w:rsid w:val="00632E5C"/>
    <w:rsid w:val="00633D9F"/>
    <w:rsid w:val="006340EA"/>
    <w:rsid w:val="00634571"/>
    <w:rsid w:val="00634991"/>
    <w:rsid w:val="00634AC6"/>
    <w:rsid w:val="00634DA3"/>
    <w:rsid w:val="00634F86"/>
    <w:rsid w:val="0063527B"/>
    <w:rsid w:val="006353DF"/>
    <w:rsid w:val="0063574E"/>
    <w:rsid w:val="006358D8"/>
    <w:rsid w:val="00635B2C"/>
    <w:rsid w:val="00635D32"/>
    <w:rsid w:val="00636989"/>
    <w:rsid w:val="00636B27"/>
    <w:rsid w:val="00637019"/>
    <w:rsid w:val="00637294"/>
    <w:rsid w:val="006374D8"/>
    <w:rsid w:val="00637B52"/>
    <w:rsid w:val="00637D1F"/>
    <w:rsid w:val="00640314"/>
    <w:rsid w:val="00640645"/>
    <w:rsid w:val="006409A9"/>
    <w:rsid w:val="00640B68"/>
    <w:rsid w:val="00640D33"/>
    <w:rsid w:val="006414C7"/>
    <w:rsid w:val="00641628"/>
    <w:rsid w:val="006417AD"/>
    <w:rsid w:val="0064187C"/>
    <w:rsid w:val="0064216A"/>
    <w:rsid w:val="00642634"/>
    <w:rsid w:val="0064285D"/>
    <w:rsid w:val="006429E9"/>
    <w:rsid w:val="00642AD8"/>
    <w:rsid w:val="00642B3E"/>
    <w:rsid w:val="00642BB5"/>
    <w:rsid w:val="00643174"/>
    <w:rsid w:val="0064368A"/>
    <w:rsid w:val="00643CB3"/>
    <w:rsid w:val="00643E7F"/>
    <w:rsid w:val="006440C3"/>
    <w:rsid w:val="006443B7"/>
    <w:rsid w:val="00644741"/>
    <w:rsid w:val="006447C0"/>
    <w:rsid w:val="006448FB"/>
    <w:rsid w:val="00644925"/>
    <w:rsid w:val="00644B3E"/>
    <w:rsid w:val="00644DD9"/>
    <w:rsid w:val="00644F00"/>
    <w:rsid w:val="006456D2"/>
    <w:rsid w:val="00645971"/>
    <w:rsid w:val="00645BA4"/>
    <w:rsid w:val="00645BC2"/>
    <w:rsid w:val="00645E46"/>
    <w:rsid w:val="006462CA"/>
    <w:rsid w:val="00646325"/>
    <w:rsid w:val="00646442"/>
    <w:rsid w:val="00646627"/>
    <w:rsid w:val="00646760"/>
    <w:rsid w:val="0064694B"/>
    <w:rsid w:val="00646ABE"/>
    <w:rsid w:val="00646F8C"/>
    <w:rsid w:val="00646FDF"/>
    <w:rsid w:val="00647304"/>
    <w:rsid w:val="00647914"/>
    <w:rsid w:val="006479D5"/>
    <w:rsid w:val="00647A54"/>
    <w:rsid w:val="00647F71"/>
    <w:rsid w:val="006506B6"/>
    <w:rsid w:val="00650909"/>
    <w:rsid w:val="00650998"/>
    <w:rsid w:val="00650A23"/>
    <w:rsid w:val="00650FA0"/>
    <w:rsid w:val="006510D0"/>
    <w:rsid w:val="006511A5"/>
    <w:rsid w:val="006513BD"/>
    <w:rsid w:val="0065141D"/>
    <w:rsid w:val="006515AB"/>
    <w:rsid w:val="0065164F"/>
    <w:rsid w:val="006518B6"/>
    <w:rsid w:val="00651A11"/>
    <w:rsid w:val="00651A91"/>
    <w:rsid w:val="00651BD7"/>
    <w:rsid w:val="00651BFB"/>
    <w:rsid w:val="00652269"/>
    <w:rsid w:val="00652508"/>
    <w:rsid w:val="00652726"/>
    <w:rsid w:val="00652759"/>
    <w:rsid w:val="0065291F"/>
    <w:rsid w:val="0065295F"/>
    <w:rsid w:val="00652D4B"/>
    <w:rsid w:val="00653119"/>
    <w:rsid w:val="006531E9"/>
    <w:rsid w:val="006534BF"/>
    <w:rsid w:val="006537AF"/>
    <w:rsid w:val="00653A73"/>
    <w:rsid w:val="00653AA9"/>
    <w:rsid w:val="00653EC6"/>
    <w:rsid w:val="0065404E"/>
    <w:rsid w:val="00654B0F"/>
    <w:rsid w:val="00654C25"/>
    <w:rsid w:val="006550BC"/>
    <w:rsid w:val="0065517B"/>
    <w:rsid w:val="006557BD"/>
    <w:rsid w:val="00655833"/>
    <w:rsid w:val="00655E8A"/>
    <w:rsid w:val="00656142"/>
    <w:rsid w:val="006564B6"/>
    <w:rsid w:val="00656ADF"/>
    <w:rsid w:val="00656C05"/>
    <w:rsid w:val="00656EBC"/>
    <w:rsid w:val="00656FED"/>
    <w:rsid w:val="006570BA"/>
    <w:rsid w:val="006571EA"/>
    <w:rsid w:val="00657533"/>
    <w:rsid w:val="0065791C"/>
    <w:rsid w:val="0065792B"/>
    <w:rsid w:val="006579F8"/>
    <w:rsid w:val="00657F3F"/>
    <w:rsid w:val="006601BC"/>
    <w:rsid w:val="00660C49"/>
    <w:rsid w:val="00661012"/>
    <w:rsid w:val="00661071"/>
    <w:rsid w:val="006611E6"/>
    <w:rsid w:val="006611FA"/>
    <w:rsid w:val="0066132B"/>
    <w:rsid w:val="0066140A"/>
    <w:rsid w:val="00661597"/>
    <w:rsid w:val="00661688"/>
    <w:rsid w:val="00661815"/>
    <w:rsid w:val="006618D2"/>
    <w:rsid w:val="00661940"/>
    <w:rsid w:val="00661E07"/>
    <w:rsid w:val="006623D9"/>
    <w:rsid w:val="00662A49"/>
    <w:rsid w:val="00662A4C"/>
    <w:rsid w:val="00663939"/>
    <w:rsid w:val="00663C1E"/>
    <w:rsid w:val="00663D42"/>
    <w:rsid w:val="00663E14"/>
    <w:rsid w:val="0066431F"/>
    <w:rsid w:val="00664363"/>
    <w:rsid w:val="00664CC1"/>
    <w:rsid w:val="00664E45"/>
    <w:rsid w:val="006651D6"/>
    <w:rsid w:val="00665245"/>
    <w:rsid w:val="00665B60"/>
    <w:rsid w:val="00666723"/>
    <w:rsid w:val="0066684F"/>
    <w:rsid w:val="00666CDB"/>
    <w:rsid w:val="00666F17"/>
    <w:rsid w:val="006671A7"/>
    <w:rsid w:val="00667251"/>
    <w:rsid w:val="006675F7"/>
    <w:rsid w:val="0066767D"/>
    <w:rsid w:val="0066795C"/>
    <w:rsid w:val="006679AE"/>
    <w:rsid w:val="00667E0D"/>
    <w:rsid w:val="00667F38"/>
    <w:rsid w:val="0067048C"/>
    <w:rsid w:val="0067077A"/>
    <w:rsid w:val="00670B34"/>
    <w:rsid w:val="00670B5A"/>
    <w:rsid w:val="00670BC7"/>
    <w:rsid w:val="00670E8C"/>
    <w:rsid w:val="00670F19"/>
    <w:rsid w:val="0067135B"/>
    <w:rsid w:val="00671824"/>
    <w:rsid w:val="00671C37"/>
    <w:rsid w:val="00673045"/>
    <w:rsid w:val="006735C4"/>
    <w:rsid w:val="006737A4"/>
    <w:rsid w:val="00673AB4"/>
    <w:rsid w:val="0067433A"/>
    <w:rsid w:val="006743C6"/>
    <w:rsid w:val="00674579"/>
    <w:rsid w:val="006745E6"/>
    <w:rsid w:val="006749EB"/>
    <w:rsid w:val="00674E99"/>
    <w:rsid w:val="00675511"/>
    <w:rsid w:val="00675591"/>
    <w:rsid w:val="006759A9"/>
    <w:rsid w:val="00675A8A"/>
    <w:rsid w:val="00675AFB"/>
    <w:rsid w:val="00675C47"/>
    <w:rsid w:val="00675FE4"/>
    <w:rsid w:val="00676ACA"/>
    <w:rsid w:val="0067709F"/>
    <w:rsid w:val="00677267"/>
    <w:rsid w:val="0067730B"/>
    <w:rsid w:val="006773A2"/>
    <w:rsid w:val="006775AC"/>
    <w:rsid w:val="0067786A"/>
    <w:rsid w:val="00677B4C"/>
    <w:rsid w:val="00677DB2"/>
    <w:rsid w:val="00677EFE"/>
    <w:rsid w:val="0068013C"/>
    <w:rsid w:val="00680516"/>
    <w:rsid w:val="0068089A"/>
    <w:rsid w:val="006808B7"/>
    <w:rsid w:val="00680ABE"/>
    <w:rsid w:val="00680BAD"/>
    <w:rsid w:val="00680CA8"/>
    <w:rsid w:val="0068101D"/>
    <w:rsid w:val="0068119B"/>
    <w:rsid w:val="0068136A"/>
    <w:rsid w:val="006814DC"/>
    <w:rsid w:val="00681687"/>
    <w:rsid w:val="0068188F"/>
    <w:rsid w:val="00681AC9"/>
    <w:rsid w:val="00681AFE"/>
    <w:rsid w:val="00682198"/>
    <w:rsid w:val="006824A6"/>
    <w:rsid w:val="006824DC"/>
    <w:rsid w:val="00682DDC"/>
    <w:rsid w:val="00682EB9"/>
    <w:rsid w:val="00683150"/>
    <w:rsid w:val="006831D8"/>
    <w:rsid w:val="00683874"/>
    <w:rsid w:val="00683A59"/>
    <w:rsid w:val="00683CFE"/>
    <w:rsid w:val="00683DAC"/>
    <w:rsid w:val="00683F11"/>
    <w:rsid w:val="006840D6"/>
    <w:rsid w:val="00684276"/>
    <w:rsid w:val="006844C2"/>
    <w:rsid w:val="006844D1"/>
    <w:rsid w:val="00684530"/>
    <w:rsid w:val="006845D3"/>
    <w:rsid w:val="0068467F"/>
    <w:rsid w:val="006848A4"/>
    <w:rsid w:val="00684B84"/>
    <w:rsid w:val="00684B99"/>
    <w:rsid w:val="00685080"/>
    <w:rsid w:val="006850FA"/>
    <w:rsid w:val="006855B1"/>
    <w:rsid w:val="00685750"/>
    <w:rsid w:val="00685F23"/>
    <w:rsid w:val="00685FF9"/>
    <w:rsid w:val="00686131"/>
    <w:rsid w:val="006863B1"/>
    <w:rsid w:val="00686531"/>
    <w:rsid w:val="00686ABF"/>
    <w:rsid w:val="00686B5C"/>
    <w:rsid w:val="00686BE5"/>
    <w:rsid w:val="00687157"/>
    <w:rsid w:val="00687548"/>
    <w:rsid w:val="00687A2C"/>
    <w:rsid w:val="00687CB9"/>
    <w:rsid w:val="00690CFB"/>
    <w:rsid w:val="00690E22"/>
    <w:rsid w:val="00690E3D"/>
    <w:rsid w:val="0069113F"/>
    <w:rsid w:val="00691213"/>
    <w:rsid w:val="006913D7"/>
    <w:rsid w:val="006914A0"/>
    <w:rsid w:val="00691C4B"/>
    <w:rsid w:val="00691C60"/>
    <w:rsid w:val="0069252F"/>
    <w:rsid w:val="006925F2"/>
    <w:rsid w:val="0069291D"/>
    <w:rsid w:val="00692930"/>
    <w:rsid w:val="00692A56"/>
    <w:rsid w:val="00692AD6"/>
    <w:rsid w:val="00692FD1"/>
    <w:rsid w:val="00693149"/>
    <w:rsid w:val="00693A27"/>
    <w:rsid w:val="00693B79"/>
    <w:rsid w:val="00693CDC"/>
    <w:rsid w:val="00693DBD"/>
    <w:rsid w:val="00693E54"/>
    <w:rsid w:val="0069417E"/>
    <w:rsid w:val="00694647"/>
    <w:rsid w:val="00694794"/>
    <w:rsid w:val="00694CBA"/>
    <w:rsid w:val="006951A5"/>
    <w:rsid w:val="006953AB"/>
    <w:rsid w:val="006954B1"/>
    <w:rsid w:val="00695C65"/>
    <w:rsid w:val="006960FF"/>
    <w:rsid w:val="006966D8"/>
    <w:rsid w:val="00696815"/>
    <w:rsid w:val="00696AEB"/>
    <w:rsid w:val="00696C36"/>
    <w:rsid w:val="00697631"/>
    <w:rsid w:val="00697908"/>
    <w:rsid w:val="006A00A1"/>
    <w:rsid w:val="006A04B5"/>
    <w:rsid w:val="006A0563"/>
    <w:rsid w:val="006A05F3"/>
    <w:rsid w:val="006A0966"/>
    <w:rsid w:val="006A0A05"/>
    <w:rsid w:val="006A10AD"/>
    <w:rsid w:val="006A12D1"/>
    <w:rsid w:val="006A14DD"/>
    <w:rsid w:val="006A17B0"/>
    <w:rsid w:val="006A1982"/>
    <w:rsid w:val="006A1FF3"/>
    <w:rsid w:val="006A251D"/>
    <w:rsid w:val="006A276F"/>
    <w:rsid w:val="006A3239"/>
    <w:rsid w:val="006A35CF"/>
    <w:rsid w:val="006A393E"/>
    <w:rsid w:val="006A3A9A"/>
    <w:rsid w:val="006A4CF5"/>
    <w:rsid w:val="006A4D01"/>
    <w:rsid w:val="006A53B4"/>
    <w:rsid w:val="006A5786"/>
    <w:rsid w:val="006A57AD"/>
    <w:rsid w:val="006A5B8C"/>
    <w:rsid w:val="006A61D0"/>
    <w:rsid w:val="006A61F7"/>
    <w:rsid w:val="006A70F3"/>
    <w:rsid w:val="006A7237"/>
    <w:rsid w:val="006A7CE2"/>
    <w:rsid w:val="006A7D8C"/>
    <w:rsid w:val="006A7ECC"/>
    <w:rsid w:val="006B0442"/>
    <w:rsid w:val="006B0832"/>
    <w:rsid w:val="006B0939"/>
    <w:rsid w:val="006B0A34"/>
    <w:rsid w:val="006B0DDC"/>
    <w:rsid w:val="006B1273"/>
    <w:rsid w:val="006B149A"/>
    <w:rsid w:val="006B1791"/>
    <w:rsid w:val="006B1823"/>
    <w:rsid w:val="006B1870"/>
    <w:rsid w:val="006B1C77"/>
    <w:rsid w:val="006B2093"/>
    <w:rsid w:val="006B21B4"/>
    <w:rsid w:val="006B22C8"/>
    <w:rsid w:val="006B2462"/>
    <w:rsid w:val="006B25CC"/>
    <w:rsid w:val="006B2DE6"/>
    <w:rsid w:val="006B309E"/>
    <w:rsid w:val="006B3204"/>
    <w:rsid w:val="006B3213"/>
    <w:rsid w:val="006B4091"/>
    <w:rsid w:val="006B41B5"/>
    <w:rsid w:val="006B42D8"/>
    <w:rsid w:val="006B4440"/>
    <w:rsid w:val="006B448A"/>
    <w:rsid w:val="006B4CF3"/>
    <w:rsid w:val="006B4D51"/>
    <w:rsid w:val="006B4E1F"/>
    <w:rsid w:val="006B50EE"/>
    <w:rsid w:val="006B50F6"/>
    <w:rsid w:val="006B55B8"/>
    <w:rsid w:val="006B5947"/>
    <w:rsid w:val="006B59A4"/>
    <w:rsid w:val="006B5AA9"/>
    <w:rsid w:val="006B5B38"/>
    <w:rsid w:val="006B5E08"/>
    <w:rsid w:val="006B5F7B"/>
    <w:rsid w:val="006B60B0"/>
    <w:rsid w:val="006B63BB"/>
    <w:rsid w:val="006B6464"/>
    <w:rsid w:val="006B6465"/>
    <w:rsid w:val="006B690B"/>
    <w:rsid w:val="006B7303"/>
    <w:rsid w:val="006B755C"/>
    <w:rsid w:val="006B78AE"/>
    <w:rsid w:val="006C05B0"/>
    <w:rsid w:val="006C0840"/>
    <w:rsid w:val="006C0BB8"/>
    <w:rsid w:val="006C12CD"/>
    <w:rsid w:val="006C16A8"/>
    <w:rsid w:val="006C17AD"/>
    <w:rsid w:val="006C1CC2"/>
    <w:rsid w:val="006C1FDC"/>
    <w:rsid w:val="006C2598"/>
    <w:rsid w:val="006C2805"/>
    <w:rsid w:val="006C294B"/>
    <w:rsid w:val="006C2F74"/>
    <w:rsid w:val="006C2FC2"/>
    <w:rsid w:val="006C3182"/>
    <w:rsid w:val="006C32A0"/>
    <w:rsid w:val="006C336B"/>
    <w:rsid w:val="006C3432"/>
    <w:rsid w:val="006C368D"/>
    <w:rsid w:val="006C381B"/>
    <w:rsid w:val="006C4112"/>
    <w:rsid w:val="006C46ED"/>
    <w:rsid w:val="006C4A42"/>
    <w:rsid w:val="006C4E31"/>
    <w:rsid w:val="006C520F"/>
    <w:rsid w:val="006C524D"/>
    <w:rsid w:val="006C53A0"/>
    <w:rsid w:val="006C55F4"/>
    <w:rsid w:val="006C5769"/>
    <w:rsid w:val="006C5A15"/>
    <w:rsid w:val="006C5AD5"/>
    <w:rsid w:val="006C5C15"/>
    <w:rsid w:val="006C5CA0"/>
    <w:rsid w:val="006C5D42"/>
    <w:rsid w:val="006C5F6E"/>
    <w:rsid w:val="006C682A"/>
    <w:rsid w:val="006C6DF0"/>
    <w:rsid w:val="006C6FBB"/>
    <w:rsid w:val="006C7726"/>
    <w:rsid w:val="006C7809"/>
    <w:rsid w:val="006C7FCE"/>
    <w:rsid w:val="006D0126"/>
    <w:rsid w:val="006D0308"/>
    <w:rsid w:val="006D05F3"/>
    <w:rsid w:val="006D08FB"/>
    <w:rsid w:val="006D091B"/>
    <w:rsid w:val="006D0D7C"/>
    <w:rsid w:val="006D112D"/>
    <w:rsid w:val="006D125C"/>
    <w:rsid w:val="006D1330"/>
    <w:rsid w:val="006D157C"/>
    <w:rsid w:val="006D1789"/>
    <w:rsid w:val="006D188C"/>
    <w:rsid w:val="006D1FD4"/>
    <w:rsid w:val="006D2198"/>
    <w:rsid w:val="006D239B"/>
    <w:rsid w:val="006D23FA"/>
    <w:rsid w:val="006D2715"/>
    <w:rsid w:val="006D28C6"/>
    <w:rsid w:val="006D2D4A"/>
    <w:rsid w:val="006D2FC9"/>
    <w:rsid w:val="006D2FCD"/>
    <w:rsid w:val="006D3112"/>
    <w:rsid w:val="006D317B"/>
    <w:rsid w:val="006D34A2"/>
    <w:rsid w:val="006D458A"/>
    <w:rsid w:val="006D469B"/>
    <w:rsid w:val="006D4717"/>
    <w:rsid w:val="006D4782"/>
    <w:rsid w:val="006D4A8E"/>
    <w:rsid w:val="006D4BC9"/>
    <w:rsid w:val="006D4D1A"/>
    <w:rsid w:val="006D4DB9"/>
    <w:rsid w:val="006D5155"/>
    <w:rsid w:val="006D55C4"/>
    <w:rsid w:val="006D56D3"/>
    <w:rsid w:val="006D59A6"/>
    <w:rsid w:val="006D5E85"/>
    <w:rsid w:val="006D5F25"/>
    <w:rsid w:val="006D6093"/>
    <w:rsid w:val="006D665F"/>
    <w:rsid w:val="006D6900"/>
    <w:rsid w:val="006D6EA9"/>
    <w:rsid w:val="006D7089"/>
    <w:rsid w:val="006D711B"/>
    <w:rsid w:val="006D77B5"/>
    <w:rsid w:val="006D77F1"/>
    <w:rsid w:val="006D7918"/>
    <w:rsid w:val="006E07A7"/>
    <w:rsid w:val="006E0800"/>
    <w:rsid w:val="006E0E2A"/>
    <w:rsid w:val="006E10EB"/>
    <w:rsid w:val="006E14F7"/>
    <w:rsid w:val="006E17DF"/>
    <w:rsid w:val="006E1FF4"/>
    <w:rsid w:val="006E2073"/>
    <w:rsid w:val="006E24C5"/>
    <w:rsid w:val="006E28D8"/>
    <w:rsid w:val="006E2C7B"/>
    <w:rsid w:val="006E2FDC"/>
    <w:rsid w:val="006E311B"/>
    <w:rsid w:val="006E3404"/>
    <w:rsid w:val="006E4116"/>
    <w:rsid w:val="006E427E"/>
    <w:rsid w:val="006E44C1"/>
    <w:rsid w:val="006E44CF"/>
    <w:rsid w:val="006E4577"/>
    <w:rsid w:val="006E48F7"/>
    <w:rsid w:val="006E49F0"/>
    <w:rsid w:val="006E4B2B"/>
    <w:rsid w:val="006E4C65"/>
    <w:rsid w:val="006E4D98"/>
    <w:rsid w:val="006E51B2"/>
    <w:rsid w:val="006E5484"/>
    <w:rsid w:val="006E5763"/>
    <w:rsid w:val="006E59EB"/>
    <w:rsid w:val="006E5EF5"/>
    <w:rsid w:val="006E64DA"/>
    <w:rsid w:val="006E662F"/>
    <w:rsid w:val="006E664D"/>
    <w:rsid w:val="006E679C"/>
    <w:rsid w:val="006E6820"/>
    <w:rsid w:val="006E68D9"/>
    <w:rsid w:val="006E6AAF"/>
    <w:rsid w:val="006E6B0A"/>
    <w:rsid w:val="006E6C9E"/>
    <w:rsid w:val="006E6CEE"/>
    <w:rsid w:val="006E6F60"/>
    <w:rsid w:val="006E7041"/>
    <w:rsid w:val="006E707D"/>
    <w:rsid w:val="006E7166"/>
    <w:rsid w:val="006E76DC"/>
    <w:rsid w:val="006E7D41"/>
    <w:rsid w:val="006E7F1B"/>
    <w:rsid w:val="006F0524"/>
    <w:rsid w:val="006F0962"/>
    <w:rsid w:val="006F09C6"/>
    <w:rsid w:val="006F0D34"/>
    <w:rsid w:val="006F0E63"/>
    <w:rsid w:val="006F0F5A"/>
    <w:rsid w:val="006F10A7"/>
    <w:rsid w:val="006F16E8"/>
    <w:rsid w:val="006F175B"/>
    <w:rsid w:val="006F1796"/>
    <w:rsid w:val="006F194F"/>
    <w:rsid w:val="006F1CCD"/>
    <w:rsid w:val="006F1D28"/>
    <w:rsid w:val="006F1D84"/>
    <w:rsid w:val="006F1EAC"/>
    <w:rsid w:val="006F2021"/>
    <w:rsid w:val="006F25D9"/>
    <w:rsid w:val="006F26D7"/>
    <w:rsid w:val="006F3BBB"/>
    <w:rsid w:val="006F3C77"/>
    <w:rsid w:val="006F3CAD"/>
    <w:rsid w:val="006F3F41"/>
    <w:rsid w:val="006F4481"/>
    <w:rsid w:val="006F4CAA"/>
    <w:rsid w:val="006F4D6B"/>
    <w:rsid w:val="006F5038"/>
    <w:rsid w:val="006F524B"/>
    <w:rsid w:val="006F5498"/>
    <w:rsid w:val="006F586D"/>
    <w:rsid w:val="006F5A67"/>
    <w:rsid w:val="006F5C73"/>
    <w:rsid w:val="006F5CD2"/>
    <w:rsid w:val="006F61D6"/>
    <w:rsid w:val="006F71FB"/>
    <w:rsid w:val="006F749F"/>
    <w:rsid w:val="006F7514"/>
    <w:rsid w:val="006F7575"/>
    <w:rsid w:val="00700185"/>
    <w:rsid w:val="00700267"/>
    <w:rsid w:val="007009DF"/>
    <w:rsid w:val="00700D5F"/>
    <w:rsid w:val="00700F8C"/>
    <w:rsid w:val="007013E7"/>
    <w:rsid w:val="007017E2"/>
    <w:rsid w:val="00701B8C"/>
    <w:rsid w:val="00702254"/>
    <w:rsid w:val="0070227B"/>
    <w:rsid w:val="007024C0"/>
    <w:rsid w:val="00702537"/>
    <w:rsid w:val="00702CF6"/>
    <w:rsid w:val="00702FFD"/>
    <w:rsid w:val="00703270"/>
    <w:rsid w:val="00703636"/>
    <w:rsid w:val="00703743"/>
    <w:rsid w:val="007048A8"/>
    <w:rsid w:val="00704B46"/>
    <w:rsid w:val="00704B86"/>
    <w:rsid w:val="00704BF6"/>
    <w:rsid w:val="00704E19"/>
    <w:rsid w:val="0070513A"/>
    <w:rsid w:val="00705208"/>
    <w:rsid w:val="007052E6"/>
    <w:rsid w:val="00705887"/>
    <w:rsid w:val="007059B0"/>
    <w:rsid w:val="00705C66"/>
    <w:rsid w:val="00706637"/>
    <w:rsid w:val="007067A8"/>
    <w:rsid w:val="007068C7"/>
    <w:rsid w:val="007068C8"/>
    <w:rsid w:val="00707122"/>
    <w:rsid w:val="007077EE"/>
    <w:rsid w:val="0070786D"/>
    <w:rsid w:val="007079F7"/>
    <w:rsid w:val="00707AA7"/>
    <w:rsid w:val="00707CC3"/>
    <w:rsid w:val="00707E3C"/>
    <w:rsid w:val="00710316"/>
    <w:rsid w:val="00710970"/>
    <w:rsid w:val="00710E4A"/>
    <w:rsid w:val="00711210"/>
    <w:rsid w:val="007112CA"/>
    <w:rsid w:val="0071133B"/>
    <w:rsid w:val="0071134C"/>
    <w:rsid w:val="00711609"/>
    <w:rsid w:val="007116D2"/>
    <w:rsid w:val="007119E5"/>
    <w:rsid w:val="00711EAB"/>
    <w:rsid w:val="007120F4"/>
    <w:rsid w:val="007126C3"/>
    <w:rsid w:val="007128CF"/>
    <w:rsid w:val="00712BBE"/>
    <w:rsid w:val="00713744"/>
    <w:rsid w:val="0071376A"/>
    <w:rsid w:val="007137B0"/>
    <w:rsid w:val="00713BB4"/>
    <w:rsid w:val="00713C34"/>
    <w:rsid w:val="00713D76"/>
    <w:rsid w:val="00713F84"/>
    <w:rsid w:val="007141B6"/>
    <w:rsid w:val="00714599"/>
    <w:rsid w:val="00714D78"/>
    <w:rsid w:val="00714DF9"/>
    <w:rsid w:val="0071527D"/>
    <w:rsid w:val="007155AF"/>
    <w:rsid w:val="00715639"/>
    <w:rsid w:val="00715658"/>
    <w:rsid w:val="007159D5"/>
    <w:rsid w:val="00715BE7"/>
    <w:rsid w:val="00715BF6"/>
    <w:rsid w:val="00715C53"/>
    <w:rsid w:val="00715D6E"/>
    <w:rsid w:val="0071627F"/>
    <w:rsid w:val="007166E1"/>
    <w:rsid w:val="007169F9"/>
    <w:rsid w:val="00716CED"/>
    <w:rsid w:val="00716F76"/>
    <w:rsid w:val="0071758D"/>
    <w:rsid w:val="007177E6"/>
    <w:rsid w:val="00717C5E"/>
    <w:rsid w:val="00717D1A"/>
    <w:rsid w:val="0072004D"/>
    <w:rsid w:val="007202B4"/>
    <w:rsid w:val="0072098E"/>
    <w:rsid w:val="00720B33"/>
    <w:rsid w:val="0072101D"/>
    <w:rsid w:val="00721198"/>
    <w:rsid w:val="00721315"/>
    <w:rsid w:val="007213ED"/>
    <w:rsid w:val="007215BB"/>
    <w:rsid w:val="007217E2"/>
    <w:rsid w:val="007219F1"/>
    <w:rsid w:val="00721DCA"/>
    <w:rsid w:val="00721DE1"/>
    <w:rsid w:val="00721E80"/>
    <w:rsid w:val="0072202E"/>
    <w:rsid w:val="00722154"/>
    <w:rsid w:val="007223B2"/>
    <w:rsid w:val="007223E6"/>
    <w:rsid w:val="007223EF"/>
    <w:rsid w:val="00722632"/>
    <w:rsid w:val="00722BE7"/>
    <w:rsid w:val="00722D77"/>
    <w:rsid w:val="00722E05"/>
    <w:rsid w:val="00722F11"/>
    <w:rsid w:val="00722F70"/>
    <w:rsid w:val="00723383"/>
    <w:rsid w:val="00723403"/>
    <w:rsid w:val="007237F4"/>
    <w:rsid w:val="0072386D"/>
    <w:rsid w:val="007238F4"/>
    <w:rsid w:val="00723B3A"/>
    <w:rsid w:val="00723DB9"/>
    <w:rsid w:val="00723FCE"/>
    <w:rsid w:val="00723FED"/>
    <w:rsid w:val="007245A0"/>
    <w:rsid w:val="00724788"/>
    <w:rsid w:val="007247D5"/>
    <w:rsid w:val="00724902"/>
    <w:rsid w:val="00724D27"/>
    <w:rsid w:val="0072552E"/>
    <w:rsid w:val="00725597"/>
    <w:rsid w:val="00725A3C"/>
    <w:rsid w:val="00725B73"/>
    <w:rsid w:val="0072614F"/>
    <w:rsid w:val="00726483"/>
    <w:rsid w:val="0072688C"/>
    <w:rsid w:val="00726E86"/>
    <w:rsid w:val="00727543"/>
    <w:rsid w:val="00727AEA"/>
    <w:rsid w:val="00727AFC"/>
    <w:rsid w:val="00727BB5"/>
    <w:rsid w:val="00727C4D"/>
    <w:rsid w:val="00727EEA"/>
    <w:rsid w:val="00730152"/>
    <w:rsid w:val="00730380"/>
    <w:rsid w:val="00730BB6"/>
    <w:rsid w:val="00730C1A"/>
    <w:rsid w:val="007310CE"/>
    <w:rsid w:val="0073117B"/>
    <w:rsid w:val="00731E19"/>
    <w:rsid w:val="0073205F"/>
    <w:rsid w:val="0073222A"/>
    <w:rsid w:val="00732236"/>
    <w:rsid w:val="0073240F"/>
    <w:rsid w:val="007329F2"/>
    <w:rsid w:val="00732AC6"/>
    <w:rsid w:val="00732DB8"/>
    <w:rsid w:val="00732DD8"/>
    <w:rsid w:val="00732EDA"/>
    <w:rsid w:val="00732F1E"/>
    <w:rsid w:val="0073342D"/>
    <w:rsid w:val="00733538"/>
    <w:rsid w:val="007337CB"/>
    <w:rsid w:val="00733975"/>
    <w:rsid w:val="00733A36"/>
    <w:rsid w:val="007342B1"/>
    <w:rsid w:val="007347A4"/>
    <w:rsid w:val="007348E8"/>
    <w:rsid w:val="00734958"/>
    <w:rsid w:val="00734BC7"/>
    <w:rsid w:val="00734C2A"/>
    <w:rsid w:val="00734C82"/>
    <w:rsid w:val="00734D36"/>
    <w:rsid w:val="0073525E"/>
    <w:rsid w:val="00735532"/>
    <w:rsid w:val="0073585E"/>
    <w:rsid w:val="00735C0D"/>
    <w:rsid w:val="00735C59"/>
    <w:rsid w:val="00736113"/>
    <w:rsid w:val="00736583"/>
    <w:rsid w:val="007372D8"/>
    <w:rsid w:val="007373AA"/>
    <w:rsid w:val="0073759B"/>
    <w:rsid w:val="00737AC8"/>
    <w:rsid w:val="007400CF"/>
    <w:rsid w:val="0074011C"/>
    <w:rsid w:val="00740784"/>
    <w:rsid w:val="00741161"/>
    <w:rsid w:val="00741394"/>
    <w:rsid w:val="00741677"/>
    <w:rsid w:val="00741731"/>
    <w:rsid w:val="00741771"/>
    <w:rsid w:val="0074193F"/>
    <w:rsid w:val="00741B45"/>
    <w:rsid w:val="00741FFC"/>
    <w:rsid w:val="00742517"/>
    <w:rsid w:val="00742741"/>
    <w:rsid w:val="00742C91"/>
    <w:rsid w:val="00743294"/>
    <w:rsid w:val="007432B6"/>
    <w:rsid w:val="00743553"/>
    <w:rsid w:val="0074398B"/>
    <w:rsid w:val="00743DB5"/>
    <w:rsid w:val="007442E0"/>
    <w:rsid w:val="00744429"/>
    <w:rsid w:val="007445D4"/>
    <w:rsid w:val="00744A0C"/>
    <w:rsid w:val="00744A6F"/>
    <w:rsid w:val="00744BB1"/>
    <w:rsid w:val="00744D8F"/>
    <w:rsid w:val="00744E57"/>
    <w:rsid w:val="00745029"/>
    <w:rsid w:val="00745083"/>
    <w:rsid w:val="007450FC"/>
    <w:rsid w:val="0074527E"/>
    <w:rsid w:val="007454D5"/>
    <w:rsid w:val="00745A8B"/>
    <w:rsid w:val="00745BBC"/>
    <w:rsid w:val="00745FAC"/>
    <w:rsid w:val="0074607D"/>
    <w:rsid w:val="00746950"/>
    <w:rsid w:val="00746BF8"/>
    <w:rsid w:val="00746C4B"/>
    <w:rsid w:val="00746D61"/>
    <w:rsid w:val="00746F5C"/>
    <w:rsid w:val="00747126"/>
    <w:rsid w:val="00747243"/>
    <w:rsid w:val="0074729E"/>
    <w:rsid w:val="00747AF3"/>
    <w:rsid w:val="0075003B"/>
    <w:rsid w:val="00750105"/>
    <w:rsid w:val="0075033A"/>
    <w:rsid w:val="0075062F"/>
    <w:rsid w:val="0075069C"/>
    <w:rsid w:val="00750E66"/>
    <w:rsid w:val="007516DF"/>
    <w:rsid w:val="00751916"/>
    <w:rsid w:val="00751D65"/>
    <w:rsid w:val="0075201E"/>
    <w:rsid w:val="007525FB"/>
    <w:rsid w:val="007527E6"/>
    <w:rsid w:val="00752856"/>
    <w:rsid w:val="007528E6"/>
    <w:rsid w:val="00752916"/>
    <w:rsid w:val="00752AFD"/>
    <w:rsid w:val="00752B82"/>
    <w:rsid w:val="00752D77"/>
    <w:rsid w:val="00752FD6"/>
    <w:rsid w:val="00753069"/>
    <w:rsid w:val="00753866"/>
    <w:rsid w:val="00753918"/>
    <w:rsid w:val="00753A9B"/>
    <w:rsid w:val="00753C53"/>
    <w:rsid w:val="00754ADB"/>
    <w:rsid w:val="007554CF"/>
    <w:rsid w:val="00755553"/>
    <w:rsid w:val="007558F2"/>
    <w:rsid w:val="00755D51"/>
    <w:rsid w:val="0075601C"/>
    <w:rsid w:val="007566AB"/>
    <w:rsid w:val="007567BD"/>
    <w:rsid w:val="00756866"/>
    <w:rsid w:val="00756883"/>
    <w:rsid w:val="00756967"/>
    <w:rsid w:val="00756EAF"/>
    <w:rsid w:val="00756F92"/>
    <w:rsid w:val="00756F97"/>
    <w:rsid w:val="007572B7"/>
    <w:rsid w:val="00757749"/>
    <w:rsid w:val="00757AAC"/>
    <w:rsid w:val="00757E60"/>
    <w:rsid w:val="007608C3"/>
    <w:rsid w:val="007608C4"/>
    <w:rsid w:val="00760C68"/>
    <w:rsid w:val="00760CD9"/>
    <w:rsid w:val="00761043"/>
    <w:rsid w:val="007611C0"/>
    <w:rsid w:val="007612B2"/>
    <w:rsid w:val="0076146D"/>
    <w:rsid w:val="0076149D"/>
    <w:rsid w:val="007614F8"/>
    <w:rsid w:val="00761556"/>
    <w:rsid w:val="00761E8C"/>
    <w:rsid w:val="00761FF0"/>
    <w:rsid w:val="007620B7"/>
    <w:rsid w:val="00762257"/>
    <w:rsid w:val="0076286D"/>
    <w:rsid w:val="00762A98"/>
    <w:rsid w:val="00762C31"/>
    <w:rsid w:val="00763710"/>
    <w:rsid w:val="00763715"/>
    <w:rsid w:val="00763973"/>
    <w:rsid w:val="00763E9E"/>
    <w:rsid w:val="00763F62"/>
    <w:rsid w:val="0076406B"/>
    <w:rsid w:val="007642D2"/>
    <w:rsid w:val="007643CC"/>
    <w:rsid w:val="00764766"/>
    <w:rsid w:val="00764D5E"/>
    <w:rsid w:val="00765149"/>
    <w:rsid w:val="007651C8"/>
    <w:rsid w:val="00765864"/>
    <w:rsid w:val="00765F17"/>
    <w:rsid w:val="00766287"/>
    <w:rsid w:val="00766588"/>
    <w:rsid w:val="007665B0"/>
    <w:rsid w:val="00766602"/>
    <w:rsid w:val="0076675D"/>
    <w:rsid w:val="00766C70"/>
    <w:rsid w:val="00766D5C"/>
    <w:rsid w:val="00767349"/>
    <w:rsid w:val="007675E8"/>
    <w:rsid w:val="007676DC"/>
    <w:rsid w:val="00767886"/>
    <w:rsid w:val="007678BB"/>
    <w:rsid w:val="007678CB"/>
    <w:rsid w:val="00767A2F"/>
    <w:rsid w:val="00767A45"/>
    <w:rsid w:val="00767D14"/>
    <w:rsid w:val="00767D44"/>
    <w:rsid w:val="00767F21"/>
    <w:rsid w:val="00767F92"/>
    <w:rsid w:val="007701E5"/>
    <w:rsid w:val="007701F5"/>
    <w:rsid w:val="00770255"/>
    <w:rsid w:val="00770722"/>
    <w:rsid w:val="007707CD"/>
    <w:rsid w:val="007711AB"/>
    <w:rsid w:val="007713F6"/>
    <w:rsid w:val="00771584"/>
    <w:rsid w:val="00771B20"/>
    <w:rsid w:val="00771ECD"/>
    <w:rsid w:val="007720D7"/>
    <w:rsid w:val="007722C3"/>
    <w:rsid w:val="00772356"/>
    <w:rsid w:val="00772482"/>
    <w:rsid w:val="00772C83"/>
    <w:rsid w:val="00772D70"/>
    <w:rsid w:val="00772F6D"/>
    <w:rsid w:val="00773343"/>
    <w:rsid w:val="007734A5"/>
    <w:rsid w:val="00773765"/>
    <w:rsid w:val="00773A04"/>
    <w:rsid w:val="007742C1"/>
    <w:rsid w:val="007743DE"/>
    <w:rsid w:val="0077457C"/>
    <w:rsid w:val="0077464E"/>
    <w:rsid w:val="00774970"/>
    <w:rsid w:val="00774E9B"/>
    <w:rsid w:val="00774EC0"/>
    <w:rsid w:val="007754D7"/>
    <w:rsid w:val="00775525"/>
    <w:rsid w:val="007757FF"/>
    <w:rsid w:val="00775817"/>
    <w:rsid w:val="00775AFB"/>
    <w:rsid w:val="00776011"/>
    <w:rsid w:val="00776D08"/>
    <w:rsid w:val="00776F9C"/>
    <w:rsid w:val="007774CA"/>
    <w:rsid w:val="00777BA6"/>
    <w:rsid w:val="00777DE5"/>
    <w:rsid w:val="00780189"/>
    <w:rsid w:val="00780280"/>
    <w:rsid w:val="0078055B"/>
    <w:rsid w:val="007806A9"/>
    <w:rsid w:val="00780E40"/>
    <w:rsid w:val="00780E44"/>
    <w:rsid w:val="0078117E"/>
    <w:rsid w:val="00781571"/>
    <w:rsid w:val="007815C8"/>
    <w:rsid w:val="00781863"/>
    <w:rsid w:val="00781BEC"/>
    <w:rsid w:val="00781BFB"/>
    <w:rsid w:val="00781C3E"/>
    <w:rsid w:val="0078264A"/>
    <w:rsid w:val="00782A26"/>
    <w:rsid w:val="00782FC7"/>
    <w:rsid w:val="00782FD2"/>
    <w:rsid w:val="00783049"/>
    <w:rsid w:val="00783972"/>
    <w:rsid w:val="00783A02"/>
    <w:rsid w:val="00783E75"/>
    <w:rsid w:val="00784324"/>
    <w:rsid w:val="00784481"/>
    <w:rsid w:val="0078462E"/>
    <w:rsid w:val="0078464B"/>
    <w:rsid w:val="0078495A"/>
    <w:rsid w:val="007850FA"/>
    <w:rsid w:val="007859AB"/>
    <w:rsid w:val="00785A16"/>
    <w:rsid w:val="00785B0A"/>
    <w:rsid w:val="00785E23"/>
    <w:rsid w:val="00786172"/>
    <w:rsid w:val="0078656B"/>
    <w:rsid w:val="00786D8F"/>
    <w:rsid w:val="00786F47"/>
    <w:rsid w:val="00786F63"/>
    <w:rsid w:val="0078702F"/>
    <w:rsid w:val="007871AF"/>
    <w:rsid w:val="00787201"/>
    <w:rsid w:val="0078738F"/>
    <w:rsid w:val="0078755C"/>
    <w:rsid w:val="00787876"/>
    <w:rsid w:val="007879AD"/>
    <w:rsid w:val="00787B32"/>
    <w:rsid w:val="00787FDE"/>
    <w:rsid w:val="007903C4"/>
    <w:rsid w:val="0079075E"/>
    <w:rsid w:val="007911E5"/>
    <w:rsid w:val="0079144C"/>
    <w:rsid w:val="0079172F"/>
    <w:rsid w:val="0079179B"/>
    <w:rsid w:val="00791960"/>
    <w:rsid w:val="00792CCD"/>
    <w:rsid w:val="00792E4C"/>
    <w:rsid w:val="00792F21"/>
    <w:rsid w:val="00793834"/>
    <w:rsid w:val="00793894"/>
    <w:rsid w:val="007938A8"/>
    <w:rsid w:val="00794422"/>
    <w:rsid w:val="00794A4E"/>
    <w:rsid w:val="00794F8D"/>
    <w:rsid w:val="0079500A"/>
    <w:rsid w:val="00795063"/>
    <w:rsid w:val="0079523F"/>
    <w:rsid w:val="007961E2"/>
    <w:rsid w:val="00796359"/>
    <w:rsid w:val="007965D4"/>
    <w:rsid w:val="0079661E"/>
    <w:rsid w:val="007967CD"/>
    <w:rsid w:val="00796E76"/>
    <w:rsid w:val="007975C0"/>
    <w:rsid w:val="00797690"/>
    <w:rsid w:val="00797A3E"/>
    <w:rsid w:val="00797BCC"/>
    <w:rsid w:val="00797BF7"/>
    <w:rsid w:val="00797D7D"/>
    <w:rsid w:val="007A010D"/>
    <w:rsid w:val="007A025B"/>
    <w:rsid w:val="007A0459"/>
    <w:rsid w:val="007A0A01"/>
    <w:rsid w:val="007A0BD1"/>
    <w:rsid w:val="007A1035"/>
    <w:rsid w:val="007A1395"/>
    <w:rsid w:val="007A1BE5"/>
    <w:rsid w:val="007A20EB"/>
    <w:rsid w:val="007A2172"/>
    <w:rsid w:val="007A24E4"/>
    <w:rsid w:val="007A255C"/>
    <w:rsid w:val="007A2757"/>
    <w:rsid w:val="007A2AEB"/>
    <w:rsid w:val="007A2BDD"/>
    <w:rsid w:val="007A2D58"/>
    <w:rsid w:val="007A2E5E"/>
    <w:rsid w:val="007A31B0"/>
    <w:rsid w:val="007A3443"/>
    <w:rsid w:val="007A3DBF"/>
    <w:rsid w:val="007A3E26"/>
    <w:rsid w:val="007A3EDD"/>
    <w:rsid w:val="007A40DC"/>
    <w:rsid w:val="007A4377"/>
    <w:rsid w:val="007A4F7F"/>
    <w:rsid w:val="007A5868"/>
    <w:rsid w:val="007A63BB"/>
    <w:rsid w:val="007A650D"/>
    <w:rsid w:val="007A6587"/>
    <w:rsid w:val="007A6861"/>
    <w:rsid w:val="007A69C4"/>
    <w:rsid w:val="007A6B4B"/>
    <w:rsid w:val="007A6D51"/>
    <w:rsid w:val="007A7542"/>
    <w:rsid w:val="007A75CC"/>
    <w:rsid w:val="007A7746"/>
    <w:rsid w:val="007A7CF3"/>
    <w:rsid w:val="007A7F46"/>
    <w:rsid w:val="007A7F6B"/>
    <w:rsid w:val="007B0734"/>
    <w:rsid w:val="007B0794"/>
    <w:rsid w:val="007B081D"/>
    <w:rsid w:val="007B0B3A"/>
    <w:rsid w:val="007B0D5E"/>
    <w:rsid w:val="007B0EDC"/>
    <w:rsid w:val="007B1482"/>
    <w:rsid w:val="007B15F7"/>
    <w:rsid w:val="007B1758"/>
    <w:rsid w:val="007B182B"/>
    <w:rsid w:val="007B197F"/>
    <w:rsid w:val="007B1C46"/>
    <w:rsid w:val="007B23D3"/>
    <w:rsid w:val="007B273F"/>
    <w:rsid w:val="007B2A96"/>
    <w:rsid w:val="007B2F60"/>
    <w:rsid w:val="007B327E"/>
    <w:rsid w:val="007B44A3"/>
    <w:rsid w:val="007B4D16"/>
    <w:rsid w:val="007B4D52"/>
    <w:rsid w:val="007B4D95"/>
    <w:rsid w:val="007B5033"/>
    <w:rsid w:val="007B51E8"/>
    <w:rsid w:val="007B5758"/>
    <w:rsid w:val="007B57D9"/>
    <w:rsid w:val="007B57F0"/>
    <w:rsid w:val="007B5CDB"/>
    <w:rsid w:val="007B5D98"/>
    <w:rsid w:val="007B5DBB"/>
    <w:rsid w:val="007B6109"/>
    <w:rsid w:val="007B64D7"/>
    <w:rsid w:val="007B6639"/>
    <w:rsid w:val="007B685E"/>
    <w:rsid w:val="007B6D82"/>
    <w:rsid w:val="007B6FDC"/>
    <w:rsid w:val="007B7667"/>
    <w:rsid w:val="007B76A4"/>
    <w:rsid w:val="007B79CB"/>
    <w:rsid w:val="007B7CB4"/>
    <w:rsid w:val="007B7F41"/>
    <w:rsid w:val="007B7F99"/>
    <w:rsid w:val="007C046C"/>
    <w:rsid w:val="007C08CC"/>
    <w:rsid w:val="007C08F1"/>
    <w:rsid w:val="007C0F0D"/>
    <w:rsid w:val="007C1025"/>
    <w:rsid w:val="007C121D"/>
    <w:rsid w:val="007C123D"/>
    <w:rsid w:val="007C1633"/>
    <w:rsid w:val="007C1766"/>
    <w:rsid w:val="007C1774"/>
    <w:rsid w:val="007C17B5"/>
    <w:rsid w:val="007C1803"/>
    <w:rsid w:val="007C1B02"/>
    <w:rsid w:val="007C1B2C"/>
    <w:rsid w:val="007C25FE"/>
    <w:rsid w:val="007C2634"/>
    <w:rsid w:val="007C27FD"/>
    <w:rsid w:val="007C286C"/>
    <w:rsid w:val="007C2AB1"/>
    <w:rsid w:val="007C2D82"/>
    <w:rsid w:val="007C2FAE"/>
    <w:rsid w:val="007C2FDC"/>
    <w:rsid w:val="007C30C3"/>
    <w:rsid w:val="007C3759"/>
    <w:rsid w:val="007C3819"/>
    <w:rsid w:val="007C42D2"/>
    <w:rsid w:val="007C43B3"/>
    <w:rsid w:val="007C4702"/>
    <w:rsid w:val="007C4E0E"/>
    <w:rsid w:val="007C4FFA"/>
    <w:rsid w:val="007C50E2"/>
    <w:rsid w:val="007C50F8"/>
    <w:rsid w:val="007C5189"/>
    <w:rsid w:val="007C53A8"/>
    <w:rsid w:val="007C552A"/>
    <w:rsid w:val="007C5649"/>
    <w:rsid w:val="007C56C5"/>
    <w:rsid w:val="007C5871"/>
    <w:rsid w:val="007C5A38"/>
    <w:rsid w:val="007C5E55"/>
    <w:rsid w:val="007C63C1"/>
    <w:rsid w:val="007C6ADD"/>
    <w:rsid w:val="007C6BB6"/>
    <w:rsid w:val="007C6D41"/>
    <w:rsid w:val="007C70FC"/>
    <w:rsid w:val="007C72C3"/>
    <w:rsid w:val="007C76E6"/>
    <w:rsid w:val="007C7B7C"/>
    <w:rsid w:val="007C7F71"/>
    <w:rsid w:val="007D0462"/>
    <w:rsid w:val="007D0E8F"/>
    <w:rsid w:val="007D1528"/>
    <w:rsid w:val="007D19D3"/>
    <w:rsid w:val="007D1AA1"/>
    <w:rsid w:val="007D1BD7"/>
    <w:rsid w:val="007D1CD9"/>
    <w:rsid w:val="007D1DE6"/>
    <w:rsid w:val="007D1F72"/>
    <w:rsid w:val="007D252C"/>
    <w:rsid w:val="007D284E"/>
    <w:rsid w:val="007D298C"/>
    <w:rsid w:val="007D2CB7"/>
    <w:rsid w:val="007D2D43"/>
    <w:rsid w:val="007D2F8C"/>
    <w:rsid w:val="007D3471"/>
    <w:rsid w:val="007D3951"/>
    <w:rsid w:val="007D42A9"/>
    <w:rsid w:val="007D4552"/>
    <w:rsid w:val="007D4594"/>
    <w:rsid w:val="007D45C6"/>
    <w:rsid w:val="007D46EF"/>
    <w:rsid w:val="007D49D6"/>
    <w:rsid w:val="007D4C48"/>
    <w:rsid w:val="007D4D9B"/>
    <w:rsid w:val="007D4F52"/>
    <w:rsid w:val="007D50D7"/>
    <w:rsid w:val="007D51AF"/>
    <w:rsid w:val="007D51C1"/>
    <w:rsid w:val="007D5315"/>
    <w:rsid w:val="007D54D1"/>
    <w:rsid w:val="007D54EE"/>
    <w:rsid w:val="007D574E"/>
    <w:rsid w:val="007D57BD"/>
    <w:rsid w:val="007D58AE"/>
    <w:rsid w:val="007D5C40"/>
    <w:rsid w:val="007D5CF6"/>
    <w:rsid w:val="007D61F0"/>
    <w:rsid w:val="007D6331"/>
    <w:rsid w:val="007D6631"/>
    <w:rsid w:val="007D6B79"/>
    <w:rsid w:val="007D6E63"/>
    <w:rsid w:val="007D7162"/>
    <w:rsid w:val="007D7178"/>
    <w:rsid w:val="007D7186"/>
    <w:rsid w:val="007E008C"/>
    <w:rsid w:val="007E0653"/>
    <w:rsid w:val="007E0A95"/>
    <w:rsid w:val="007E0DDF"/>
    <w:rsid w:val="007E1016"/>
    <w:rsid w:val="007E149A"/>
    <w:rsid w:val="007E16C8"/>
    <w:rsid w:val="007E19C8"/>
    <w:rsid w:val="007E1A33"/>
    <w:rsid w:val="007E1D9B"/>
    <w:rsid w:val="007E1FF4"/>
    <w:rsid w:val="007E21A6"/>
    <w:rsid w:val="007E21E7"/>
    <w:rsid w:val="007E2238"/>
    <w:rsid w:val="007E27F8"/>
    <w:rsid w:val="007E2D51"/>
    <w:rsid w:val="007E2F43"/>
    <w:rsid w:val="007E3093"/>
    <w:rsid w:val="007E30D1"/>
    <w:rsid w:val="007E3261"/>
    <w:rsid w:val="007E3529"/>
    <w:rsid w:val="007E35A4"/>
    <w:rsid w:val="007E363B"/>
    <w:rsid w:val="007E3943"/>
    <w:rsid w:val="007E39BC"/>
    <w:rsid w:val="007E3E87"/>
    <w:rsid w:val="007E40E2"/>
    <w:rsid w:val="007E48E7"/>
    <w:rsid w:val="007E4E12"/>
    <w:rsid w:val="007E5104"/>
    <w:rsid w:val="007E53C0"/>
    <w:rsid w:val="007E59D1"/>
    <w:rsid w:val="007E5F0E"/>
    <w:rsid w:val="007E608A"/>
    <w:rsid w:val="007E6119"/>
    <w:rsid w:val="007E6AC0"/>
    <w:rsid w:val="007E6B5E"/>
    <w:rsid w:val="007E71F7"/>
    <w:rsid w:val="007E7711"/>
    <w:rsid w:val="007E79FB"/>
    <w:rsid w:val="007F0062"/>
    <w:rsid w:val="007F0570"/>
    <w:rsid w:val="007F068B"/>
    <w:rsid w:val="007F088F"/>
    <w:rsid w:val="007F0B60"/>
    <w:rsid w:val="007F1353"/>
    <w:rsid w:val="007F1678"/>
    <w:rsid w:val="007F1679"/>
    <w:rsid w:val="007F18CD"/>
    <w:rsid w:val="007F1BDD"/>
    <w:rsid w:val="007F1F19"/>
    <w:rsid w:val="007F2020"/>
    <w:rsid w:val="007F2688"/>
    <w:rsid w:val="007F297B"/>
    <w:rsid w:val="007F2CE4"/>
    <w:rsid w:val="007F2F95"/>
    <w:rsid w:val="007F33EC"/>
    <w:rsid w:val="007F3471"/>
    <w:rsid w:val="007F366A"/>
    <w:rsid w:val="007F3BCD"/>
    <w:rsid w:val="007F3CBD"/>
    <w:rsid w:val="007F4119"/>
    <w:rsid w:val="007F4B2D"/>
    <w:rsid w:val="007F4C17"/>
    <w:rsid w:val="007F51F0"/>
    <w:rsid w:val="007F56FE"/>
    <w:rsid w:val="007F570F"/>
    <w:rsid w:val="007F5A66"/>
    <w:rsid w:val="007F5B2C"/>
    <w:rsid w:val="007F5B81"/>
    <w:rsid w:val="007F5F75"/>
    <w:rsid w:val="007F6173"/>
    <w:rsid w:val="007F67E9"/>
    <w:rsid w:val="007F6EF8"/>
    <w:rsid w:val="007F6F8A"/>
    <w:rsid w:val="007F73F4"/>
    <w:rsid w:val="007F7684"/>
    <w:rsid w:val="007F7ABA"/>
    <w:rsid w:val="007F7C06"/>
    <w:rsid w:val="007F7C36"/>
    <w:rsid w:val="007F7CEC"/>
    <w:rsid w:val="007F7E70"/>
    <w:rsid w:val="008002BB"/>
    <w:rsid w:val="008002FA"/>
    <w:rsid w:val="008005BD"/>
    <w:rsid w:val="00800C48"/>
    <w:rsid w:val="00800E9A"/>
    <w:rsid w:val="00801106"/>
    <w:rsid w:val="008014F7"/>
    <w:rsid w:val="00801AA3"/>
    <w:rsid w:val="00801D1B"/>
    <w:rsid w:val="008028F1"/>
    <w:rsid w:val="00802B23"/>
    <w:rsid w:val="00802CF2"/>
    <w:rsid w:val="008033F0"/>
    <w:rsid w:val="00803403"/>
    <w:rsid w:val="008035E4"/>
    <w:rsid w:val="00803FA8"/>
    <w:rsid w:val="00804B0B"/>
    <w:rsid w:val="00804B0E"/>
    <w:rsid w:val="00804BAB"/>
    <w:rsid w:val="00805815"/>
    <w:rsid w:val="0080593F"/>
    <w:rsid w:val="00805ABF"/>
    <w:rsid w:val="00805F95"/>
    <w:rsid w:val="008060A9"/>
    <w:rsid w:val="00806105"/>
    <w:rsid w:val="008062BD"/>
    <w:rsid w:val="00806C37"/>
    <w:rsid w:val="00806FA7"/>
    <w:rsid w:val="00810274"/>
    <w:rsid w:val="008104D0"/>
    <w:rsid w:val="00810E76"/>
    <w:rsid w:val="00810F2B"/>
    <w:rsid w:val="00811117"/>
    <w:rsid w:val="00811A62"/>
    <w:rsid w:val="00811B8F"/>
    <w:rsid w:val="008123BE"/>
    <w:rsid w:val="0081268B"/>
    <w:rsid w:val="008126F0"/>
    <w:rsid w:val="00812A36"/>
    <w:rsid w:val="00812B20"/>
    <w:rsid w:val="00812BE7"/>
    <w:rsid w:val="00812CE2"/>
    <w:rsid w:val="00813313"/>
    <w:rsid w:val="008134EF"/>
    <w:rsid w:val="008136F1"/>
    <w:rsid w:val="00813A62"/>
    <w:rsid w:val="00813C5A"/>
    <w:rsid w:val="00813C93"/>
    <w:rsid w:val="00813C9E"/>
    <w:rsid w:val="0081417E"/>
    <w:rsid w:val="00814245"/>
    <w:rsid w:val="008143A1"/>
    <w:rsid w:val="0081501F"/>
    <w:rsid w:val="0081530F"/>
    <w:rsid w:val="00815396"/>
    <w:rsid w:val="008157CC"/>
    <w:rsid w:val="00815E7C"/>
    <w:rsid w:val="0081607A"/>
    <w:rsid w:val="00816400"/>
    <w:rsid w:val="008164E2"/>
    <w:rsid w:val="0081705A"/>
    <w:rsid w:val="00817559"/>
    <w:rsid w:val="008176BC"/>
    <w:rsid w:val="0081793C"/>
    <w:rsid w:val="008179A3"/>
    <w:rsid w:val="00817C08"/>
    <w:rsid w:val="00817CCA"/>
    <w:rsid w:val="00817F20"/>
    <w:rsid w:val="0082006A"/>
    <w:rsid w:val="00820545"/>
    <w:rsid w:val="00820675"/>
    <w:rsid w:val="00820A37"/>
    <w:rsid w:val="00820D3D"/>
    <w:rsid w:val="0082115C"/>
    <w:rsid w:val="008213E0"/>
    <w:rsid w:val="00821660"/>
    <w:rsid w:val="00821ACF"/>
    <w:rsid w:val="00821C35"/>
    <w:rsid w:val="008223E6"/>
    <w:rsid w:val="0082270F"/>
    <w:rsid w:val="00822AB6"/>
    <w:rsid w:val="00822B0C"/>
    <w:rsid w:val="00822EB5"/>
    <w:rsid w:val="00823150"/>
    <w:rsid w:val="008233C0"/>
    <w:rsid w:val="0082353F"/>
    <w:rsid w:val="00823B3F"/>
    <w:rsid w:val="00823D63"/>
    <w:rsid w:val="00823DD1"/>
    <w:rsid w:val="0082433A"/>
    <w:rsid w:val="008244CC"/>
    <w:rsid w:val="00824606"/>
    <w:rsid w:val="0082485E"/>
    <w:rsid w:val="00824C7A"/>
    <w:rsid w:val="00824E0C"/>
    <w:rsid w:val="008250BE"/>
    <w:rsid w:val="008251E2"/>
    <w:rsid w:val="008254A6"/>
    <w:rsid w:val="008254B9"/>
    <w:rsid w:val="008254F6"/>
    <w:rsid w:val="00825670"/>
    <w:rsid w:val="0082580A"/>
    <w:rsid w:val="0082595A"/>
    <w:rsid w:val="0082595C"/>
    <w:rsid w:val="00825A38"/>
    <w:rsid w:val="00825CE9"/>
    <w:rsid w:val="008269E1"/>
    <w:rsid w:val="00826A99"/>
    <w:rsid w:val="00826F9A"/>
    <w:rsid w:val="0082721F"/>
    <w:rsid w:val="008272E1"/>
    <w:rsid w:val="0082730B"/>
    <w:rsid w:val="00827466"/>
    <w:rsid w:val="00827DB2"/>
    <w:rsid w:val="00827F4B"/>
    <w:rsid w:val="00827FA4"/>
    <w:rsid w:val="00827FE3"/>
    <w:rsid w:val="008300CE"/>
    <w:rsid w:val="00830550"/>
    <w:rsid w:val="00830592"/>
    <w:rsid w:val="00830845"/>
    <w:rsid w:val="00830E75"/>
    <w:rsid w:val="008310B6"/>
    <w:rsid w:val="0083146F"/>
    <w:rsid w:val="0083149B"/>
    <w:rsid w:val="00831837"/>
    <w:rsid w:val="00831986"/>
    <w:rsid w:val="00831C03"/>
    <w:rsid w:val="008322E9"/>
    <w:rsid w:val="008326B5"/>
    <w:rsid w:val="00832C83"/>
    <w:rsid w:val="008331B9"/>
    <w:rsid w:val="00833234"/>
    <w:rsid w:val="00833309"/>
    <w:rsid w:val="00833774"/>
    <w:rsid w:val="00833B1C"/>
    <w:rsid w:val="00833EB1"/>
    <w:rsid w:val="0083423C"/>
    <w:rsid w:val="008344E1"/>
    <w:rsid w:val="00834601"/>
    <w:rsid w:val="00834790"/>
    <w:rsid w:val="0083482E"/>
    <w:rsid w:val="008348C5"/>
    <w:rsid w:val="00834E0F"/>
    <w:rsid w:val="00834E88"/>
    <w:rsid w:val="0083519C"/>
    <w:rsid w:val="0083576C"/>
    <w:rsid w:val="00835839"/>
    <w:rsid w:val="00835E14"/>
    <w:rsid w:val="00835F27"/>
    <w:rsid w:val="008361E7"/>
    <w:rsid w:val="00836214"/>
    <w:rsid w:val="0083643C"/>
    <w:rsid w:val="008364B5"/>
    <w:rsid w:val="008365D9"/>
    <w:rsid w:val="0083666C"/>
    <w:rsid w:val="0083685E"/>
    <w:rsid w:val="00836A54"/>
    <w:rsid w:val="00836BAB"/>
    <w:rsid w:val="00836D18"/>
    <w:rsid w:val="00836DE2"/>
    <w:rsid w:val="008374C8"/>
    <w:rsid w:val="0083788A"/>
    <w:rsid w:val="00837C0C"/>
    <w:rsid w:val="00837C75"/>
    <w:rsid w:val="00837E0F"/>
    <w:rsid w:val="00837E10"/>
    <w:rsid w:val="00837F17"/>
    <w:rsid w:val="00837FB6"/>
    <w:rsid w:val="008400D9"/>
    <w:rsid w:val="008406AC"/>
    <w:rsid w:val="00840816"/>
    <w:rsid w:val="00840DF4"/>
    <w:rsid w:val="00841256"/>
    <w:rsid w:val="008414BA"/>
    <w:rsid w:val="008415B9"/>
    <w:rsid w:val="008415F6"/>
    <w:rsid w:val="00841C90"/>
    <w:rsid w:val="00842A6C"/>
    <w:rsid w:val="00842E26"/>
    <w:rsid w:val="0084333E"/>
    <w:rsid w:val="00843418"/>
    <w:rsid w:val="0084356B"/>
    <w:rsid w:val="00843795"/>
    <w:rsid w:val="008438CC"/>
    <w:rsid w:val="00843A5A"/>
    <w:rsid w:val="00843D2D"/>
    <w:rsid w:val="00844066"/>
    <w:rsid w:val="0084453C"/>
    <w:rsid w:val="00844625"/>
    <w:rsid w:val="00844C29"/>
    <w:rsid w:val="00845173"/>
    <w:rsid w:val="008451FF"/>
    <w:rsid w:val="008457D2"/>
    <w:rsid w:val="00845ABF"/>
    <w:rsid w:val="0084612E"/>
    <w:rsid w:val="008463CA"/>
    <w:rsid w:val="00846401"/>
    <w:rsid w:val="008468C2"/>
    <w:rsid w:val="00846A21"/>
    <w:rsid w:val="00847135"/>
    <w:rsid w:val="008474AF"/>
    <w:rsid w:val="008479B1"/>
    <w:rsid w:val="00847B0E"/>
    <w:rsid w:val="00850319"/>
    <w:rsid w:val="0085036B"/>
    <w:rsid w:val="00850A6E"/>
    <w:rsid w:val="00850F4D"/>
    <w:rsid w:val="00851209"/>
    <w:rsid w:val="0085124E"/>
    <w:rsid w:val="008512C0"/>
    <w:rsid w:val="0085144E"/>
    <w:rsid w:val="00851700"/>
    <w:rsid w:val="00851902"/>
    <w:rsid w:val="00851AA4"/>
    <w:rsid w:val="008524ED"/>
    <w:rsid w:val="00852927"/>
    <w:rsid w:val="00852A74"/>
    <w:rsid w:val="00852D32"/>
    <w:rsid w:val="00852F0E"/>
    <w:rsid w:val="008531DC"/>
    <w:rsid w:val="0085350D"/>
    <w:rsid w:val="00853D7D"/>
    <w:rsid w:val="00853F7E"/>
    <w:rsid w:val="008541BA"/>
    <w:rsid w:val="008544E0"/>
    <w:rsid w:val="008545B0"/>
    <w:rsid w:val="0085462C"/>
    <w:rsid w:val="00854ECD"/>
    <w:rsid w:val="00854FBB"/>
    <w:rsid w:val="008551B0"/>
    <w:rsid w:val="0085542D"/>
    <w:rsid w:val="00855545"/>
    <w:rsid w:val="00855866"/>
    <w:rsid w:val="008559B0"/>
    <w:rsid w:val="00855D58"/>
    <w:rsid w:val="00855FA5"/>
    <w:rsid w:val="00856094"/>
    <w:rsid w:val="00856291"/>
    <w:rsid w:val="008566DC"/>
    <w:rsid w:val="00856706"/>
    <w:rsid w:val="0085677A"/>
    <w:rsid w:val="00856A82"/>
    <w:rsid w:val="008574F7"/>
    <w:rsid w:val="00857B6F"/>
    <w:rsid w:val="00857C47"/>
    <w:rsid w:val="00857F08"/>
    <w:rsid w:val="00860600"/>
    <w:rsid w:val="00860722"/>
    <w:rsid w:val="0086087C"/>
    <w:rsid w:val="00860C88"/>
    <w:rsid w:val="00860E83"/>
    <w:rsid w:val="00860F82"/>
    <w:rsid w:val="00860FD3"/>
    <w:rsid w:val="00861678"/>
    <w:rsid w:val="0086167F"/>
    <w:rsid w:val="008619B9"/>
    <w:rsid w:val="00861F17"/>
    <w:rsid w:val="00862489"/>
    <w:rsid w:val="0086288C"/>
    <w:rsid w:val="008630E0"/>
    <w:rsid w:val="0086366C"/>
    <w:rsid w:val="008637DC"/>
    <w:rsid w:val="0086383B"/>
    <w:rsid w:val="00863918"/>
    <w:rsid w:val="00863CC6"/>
    <w:rsid w:val="00863D56"/>
    <w:rsid w:val="00863F83"/>
    <w:rsid w:val="00864076"/>
    <w:rsid w:val="008643D4"/>
    <w:rsid w:val="00864736"/>
    <w:rsid w:val="00864C6C"/>
    <w:rsid w:val="00865726"/>
    <w:rsid w:val="0086573E"/>
    <w:rsid w:val="00865D66"/>
    <w:rsid w:val="00865EC0"/>
    <w:rsid w:val="008660AA"/>
    <w:rsid w:val="008663C9"/>
    <w:rsid w:val="00866693"/>
    <w:rsid w:val="008666CA"/>
    <w:rsid w:val="008669AC"/>
    <w:rsid w:val="00866D28"/>
    <w:rsid w:val="00866E27"/>
    <w:rsid w:val="008670AA"/>
    <w:rsid w:val="00867CA8"/>
    <w:rsid w:val="008705AF"/>
    <w:rsid w:val="0087074A"/>
    <w:rsid w:val="00870A15"/>
    <w:rsid w:val="00870A6C"/>
    <w:rsid w:val="00870ABD"/>
    <w:rsid w:val="00870F2C"/>
    <w:rsid w:val="00871084"/>
    <w:rsid w:val="0087125F"/>
    <w:rsid w:val="008714DA"/>
    <w:rsid w:val="00871699"/>
    <w:rsid w:val="00871764"/>
    <w:rsid w:val="008717B6"/>
    <w:rsid w:val="008718B8"/>
    <w:rsid w:val="00871B45"/>
    <w:rsid w:val="00871CB3"/>
    <w:rsid w:val="008721C2"/>
    <w:rsid w:val="00872368"/>
    <w:rsid w:val="0087250C"/>
    <w:rsid w:val="0087258F"/>
    <w:rsid w:val="008725D4"/>
    <w:rsid w:val="0087279F"/>
    <w:rsid w:val="008729C0"/>
    <w:rsid w:val="00872B40"/>
    <w:rsid w:val="00872BED"/>
    <w:rsid w:val="00872C94"/>
    <w:rsid w:val="00872D24"/>
    <w:rsid w:val="00872ECF"/>
    <w:rsid w:val="008731F2"/>
    <w:rsid w:val="00873399"/>
    <w:rsid w:val="00873653"/>
    <w:rsid w:val="0087385D"/>
    <w:rsid w:val="00873B9E"/>
    <w:rsid w:val="00874142"/>
    <w:rsid w:val="00874389"/>
    <w:rsid w:val="00874772"/>
    <w:rsid w:val="00874805"/>
    <w:rsid w:val="0087498C"/>
    <w:rsid w:val="00874A61"/>
    <w:rsid w:val="00874C5E"/>
    <w:rsid w:val="00874CB5"/>
    <w:rsid w:val="00874FF5"/>
    <w:rsid w:val="008750F4"/>
    <w:rsid w:val="008755D0"/>
    <w:rsid w:val="0087589B"/>
    <w:rsid w:val="00875A79"/>
    <w:rsid w:val="00875D26"/>
    <w:rsid w:val="00875DB8"/>
    <w:rsid w:val="00875DF9"/>
    <w:rsid w:val="00875E7A"/>
    <w:rsid w:val="00875FE2"/>
    <w:rsid w:val="0087639D"/>
    <w:rsid w:val="008764A6"/>
    <w:rsid w:val="00876529"/>
    <w:rsid w:val="0087673F"/>
    <w:rsid w:val="00876775"/>
    <w:rsid w:val="008769DC"/>
    <w:rsid w:val="00876CFC"/>
    <w:rsid w:val="00876F89"/>
    <w:rsid w:val="0087700C"/>
    <w:rsid w:val="008777A4"/>
    <w:rsid w:val="0087790B"/>
    <w:rsid w:val="00877D44"/>
    <w:rsid w:val="008801BA"/>
    <w:rsid w:val="00880712"/>
    <w:rsid w:val="00880A0A"/>
    <w:rsid w:val="00880E8F"/>
    <w:rsid w:val="00881F18"/>
    <w:rsid w:val="00882B11"/>
    <w:rsid w:val="0088380E"/>
    <w:rsid w:val="00883AD7"/>
    <w:rsid w:val="00884CF3"/>
    <w:rsid w:val="00884CF8"/>
    <w:rsid w:val="00884D85"/>
    <w:rsid w:val="00884FAD"/>
    <w:rsid w:val="0088510E"/>
    <w:rsid w:val="008852FC"/>
    <w:rsid w:val="00885E3F"/>
    <w:rsid w:val="008862E7"/>
    <w:rsid w:val="0088630E"/>
    <w:rsid w:val="0088687C"/>
    <w:rsid w:val="0088691E"/>
    <w:rsid w:val="00886A19"/>
    <w:rsid w:val="00886C43"/>
    <w:rsid w:val="00886D14"/>
    <w:rsid w:val="00886D2D"/>
    <w:rsid w:val="008872D3"/>
    <w:rsid w:val="0088732D"/>
    <w:rsid w:val="0088752D"/>
    <w:rsid w:val="008879E5"/>
    <w:rsid w:val="00887A24"/>
    <w:rsid w:val="00890003"/>
    <w:rsid w:val="00890072"/>
    <w:rsid w:val="008900CF"/>
    <w:rsid w:val="008908BD"/>
    <w:rsid w:val="00890DDD"/>
    <w:rsid w:val="008910F8"/>
    <w:rsid w:val="0089113A"/>
    <w:rsid w:val="008911E9"/>
    <w:rsid w:val="00891334"/>
    <w:rsid w:val="00891970"/>
    <w:rsid w:val="00891FFE"/>
    <w:rsid w:val="00892568"/>
    <w:rsid w:val="00892790"/>
    <w:rsid w:val="008927F4"/>
    <w:rsid w:val="00892CAA"/>
    <w:rsid w:val="00892E33"/>
    <w:rsid w:val="00892FAE"/>
    <w:rsid w:val="0089319A"/>
    <w:rsid w:val="008934E8"/>
    <w:rsid w:val="0089353C"/>
    <w:rsid w:val="00893540"/>
    <w:rsid w:val="00893545"/>
    <w:rsid w:val="00893722"/>
    <w:rsid w:val="008937A4"/>
    <w:rsid w:val="008938F0"/>
    <w:rsid w:val="00893955"/>
    <w:rsid w:val="00893973"/>
    <w:rsid w:val="00893B79"/>
    <w:rsid w:val="00894256"/>
    <w:rsid w:val="0089465B"/>
    <w:rsid w:val="00894702"/>
    <w:rsid w:val="00894AD5"/>
    <w:rsid w:val="00894B20"/>
    <w:rsid w:val="00894C5F"/>
    <w:rsid w:val="00894D6B"/>
    <w:rsid w:val="00894EA8"/>
    <w:rsid w:val="00894FE1"/>
    <w:rsid w:val="00895231"/>
    <w:rsid w:val="00895320"/>
    <w:rsid w:val="00895329"/>
    <w:rsid w:val="008954D5"/>
    <w:rsid w:val="00895541"/>
    <w:rsid w:val="008959FB"/>
    <w:rsid w:val="00895C79"/>
    <w:rsid w:val="00895E06"/>
    <w:rsid w:val="008962C3"/>
    <w:rsid w:val="008965F7"/>
    <w:rsid w:val="008966CA"/>
    <w:rsid w:val="00896F5E"/>
    <w:rsid w:val="00896F6A"/>
    <w:rsid w:val="008970F2"/>
    <w:rsid w:val="008973D0"/>
    <w:rsid w:val="0089777C"/>
    <w:rsid w:val="00897BA8"/>
    <w:rsid w:val="00897C2E"/>
    <w:rsid w:val="008A01C0"/>
    <w:rsid w:val="008A0216"/>
    <w:rsid w:val="008A042C"/>
    <w:rsid w:val="008A0659"/>
    <w:rsid w:val="008A084F"/>
    <w:rsid w:val="008A11A4"/>
    <w:rsid w:val="008A11BA"/>
    <w:rsid w:val="008A1307"/>
    <w:rsid w:val="008A17C9"/>
    <w:rsid w:val="008A1A4F"/>
    <w:rsid w:val="008A1B2E"/>
    <w:rsid w:val="008A1B68"/>
    <w:rsid w:val="008A21D0"/>
    <w:rsid w:val="008A247A"/>
    <w:rsid w:val="008A26CC"/>
    <w:rsid w:val="008A29A6"/>
    <w:rsid w:val="008A2C19"/>
    <w:rsid w:val="008A2CE3"/>
    <w:rsid w:val="008A2D34"/>
    <w:rsid w:val="008A2FDA"/>
    <w:rsid w:val="008A31C2"/>
    <w:rsid w:val="008A33F8"/>
    <w:rsid w:val="008A3667"/>
    <w:rsid w:val="008A3792"/>
    <w:rsid w:val="008A3ACE"/>
    <w:rsid w:val="008A3BAB"/>
    <w:rsid w:val="008A4413"/>
    <w:rsid w:val="008A443E"/>
    <w:rsid w:val="008A44FE"/>
    <w:rsid w:val="008A4643"/>
    <w:rsid w:val="008A4A9B"/>
    <w:rsid w:val="008A4B3F"/>
    <w:rsid w:val="008A503D"/>
    <w:rsid w:val="008A5089"/>
    <w:rsid w:val="008A516E"/>
    <w:rsid w:val="008A5C92"/>
    <w:rsid w:val="008A5C9F"/>
    <w:rsid w:val="008A5E01"/>
    <w:rsid w:val="008A61CA"/>
    <w:rsid w:val="008A6594"/>
    <w:rsid w:val="008A660C"/>
    <w:rsid w:val="008A674B"/>
    <w:rsid w:val="008A69AA"/>
    <w:rsid w:val="008A6A59"/>
    <w:rsid w:val="008A736A"/>
    <w:rsid w:val="008A7870"/>
    <w:rsid w:val="008A7A3C"/>
    <w:rsid w:val="008A7BA2"/>
    <w:rsid w:val="008B026D"/>
    <w:rsid w:val="008B0552"/>
    <w:rsid w:val="008B08EB"/>
    <w:rsid w:val="008B0997"/>
    <w:rsid w:val="008B0BE3"/>
    <w:rsid w:val="008B0E57"/>
    <w:rsid w:val="008B0E90"/>
    <w:rsid w:val="008B0FAF"/>
    <w:rsid w:val="008B1065"/>
    <w:rsid w:val="008B10F1"/>
    <w:rsid w:val="008B1530"/>
    <w:rsid w:val="008B1782"/>
    <w:rsid w:val="008B1C7E"/>
    <w:rsid w:val="008B21E6"/>
    <w:rsid w:val="008B24CE"/>
    <w:rsid w:val="008B24E1"/>
    <w:rsid w:val="008B25BB"/>
    <w:rsid w:val="008B2605"/>
    <w:rsid w:val="008B279E"/>
    <w:rsid w:val="008B2C00"/>
    <w:rsid w:val="008B2CAE"/>
    <w:rsid w:val="008B2E17"/>
    <w:rsid w:val="008B346E"/>
    <w:rsid w:val="008B386F"/>
    <w:rsid w:val="008B3993"/>
    <w:rsid w:val="008B39DF"/>
    <w:rsid w:val="008B434E"/>
    <w:rsid w:val="008B48A1"/>
    <w:rsid w:val="008B5008"/>
    <w:rsid w:val="008B512F"/>
    <w:rsid w:val="008B5173"/>
    <w:rsid w:val="008B52FC"/>
    <w:rsid w:val="008B540D"/>
    <w:rsid w:val="008B56C3"/>
    <w:rsid w:val="008B58B0"/>
    <w:rsid w:val="008B5BCD"/>
    <w:rsid w:val="008B5C6F"/>
    <w:rsid w:val="008B62DF"/>
    <w:rsid w:val="008B678D"/>
    <w:rsid w:val="008B69AD"/>
    <w:rsid w:val="008B6AC3"/>
    <w:rsid w:val="008B6E9C"/>
    <w:rsid w:val="008B6F21"/>
    <w:rsid w:val="008B7074"/>
    <w:rsid w:val="008B74A3"/>
    <w:rsid w:val="008B77CE"/>
    <w:rsid w:val="008B7BFE"/>
    <w:rsid w:val="008C05CC"/>
    <w:rsid w:val="008C0985"/>
    <w:rsid w:val="008C0B37"/>
    <w:rsid w:val="008C0BF1"/>
    <w:rsid w:val="008C0BFC"/>
    <w:rsid w:val="008C1168"/>
    <w:rsid w:val="008C11C1"/>
    <w:rsid w:val="008C14BC"/>
    <w:rsid w:val="008C17F6"/>
    <w:rsid w:val="008C1885"/>
    <w:rsid w:val="008C18CA"/>
    <w:rsid w:val="008C1B40"/>
    <w:rsid w:val="008C1C9B"/>
    <w:rsid w:val="008C1E84"/>
    <w:rsid w:val="008C20B4"/>
    <w:rsid w:val="008C20C1"/>
    <w:rsid w:val="008C23B4"/>
    <w:rsid w:val="008C26DF"/>
    <w:rsid w:val="008C2A3C"/>
    <w:rsid w:val="008C2BFF"/>
    <w:rsid w:val="008C2EB9"/>
    <w:rsid w:val="008C3216"/>
    <w:rsid w:val="008C344D"/>
    <w:rsid w:val="008C3723"/>
    <w:rsid w:val="008C395A"/>
    <w:rsid w:val="008C4695"/>
    <w:rsid w:val="008C477E"/>
    <w:rsid w:val="008C4BC3"/>
    <w:rsid w:val="008C51EF"/>
    <w:rsid w:val="008C53DB"/>
    <w:rsid w:val="008C5512"/>
    <w:rsid w:val="008C5652"/>
    <w:rsid w:val="008C57C7"/>
    <w:rsid w:val="008C59CC"/>
    <w:rsid w:val="008C5A5B"/>
    <w:rsid w:val="008C5ECD"/>
    <w:rsid w:val="008C6AAA"/>
    <w:rsid w:val="008C6BF4"/>
    <w:rsid w:val="008C6F23"/>
    <w:rsid w:val="008C719B"/>
    <w:rsid w:val="008C726B"/>
    <w:rsid w:val="008C72B2"/>
    <w:rsid w:val="008C73C9"/>
    <w:rsid w:val="008C7856"/>
    <w:rsid w:val="008C79A9"/>
    <w:rsid w:val="008D0095"/>
    <w:rsid w:val="008D05CD"/>
    <w:rsid w:val="008D077E"/>
    <w:rsid w:val="008D0A69"/>
    <w:rsid w:val="008D0AAB"/>
    <w:rsid w:val="008D0C92"/>
    <w:rsid w:val="008D0D98"/>
    <w:rsid w:val="008D0DAF"/>
    <w:rsid w:val="008D0E79"/>
    <w:rsid w:val="008D0FC7"/>
    <w:rsid w:val="008D0FCC"/>
    <w:rsid w:val="008D0FEB"/>
    <w:rsid w:val="008D1383"/>
    <w:rsid w:val="008D13B2"/>
    <w:rsid w:val="008D1A6E"/>
    <w:rsid w:val="008D1C42"/>
    <w:rsid w:val="008D1D93"/>
    <w:rsid w:val="008D2393"/>
    <w:rsid w:val="008D2783"/>
    <w:rsid w:val="008D2A3D"/>
    <w:rsid w:val="008D2DC3"/>
    <w:rsid w:val="008D30D4"/>
    <w:rsid w:val="008D3120"/>
    <w:rsid w:val="008D329A"/>
    <w:rsid w:val="008D3765"/>
    <w:rsid w:val="008D391B"/>
    <w:rsid w:val="008D3979"/>
    <w:rsid w:val="008D3B21"/>
    <w:rsid w:val="008D3B3A"/>
    <w:rsid w:val="008D3C04"/>
    <w:rsid w:val="008D3DB3"/>
    <w:rsid w:val="008D3DBB"/>
    <w:rsid w:val="008D3F16"/>
    <w:rsid w:val="008D3FB5"/>
    <w:rsid w:val="008D4620"/>
    <w:rsid w:val="008D5260"/>
    <w:rsid w:val="008D5423"/>
    <w:rsid w:val="008D5507"/>
    <w:rsid w:val="008D5793"/>
    <w:rsid w:val="008D5A2D"/>
    <w:rsid w:val="008D5AED"/>
    <w:rsid w:val="008D6488"/>
    <w:rsid w:val="008D6501"/>
    <w:rsid w:val="008D6A23"/>
    <w:rsid w:val="008D709C"/>
    <w:rsid w:val="008D74E1"/>
    <w:rsid w:val="008D7692"/>
    <w:rsid w:val="008D7B2F"/>
    <w:rsid w:val="008D7E4E"/>
    <w:rsid w:val="008E0072"/>
    <w:rsid w:val="008E00FD"/>
    <w:rsid w:val="008E035F"/>
    <w:rsid w:val="008E0490"/>
    <w:rsid w:val="008E09F0"/>
    <w:rsid w:val="008E0A3A"/>
    <w:rsid w:val="008E1280"/>
    <w:rsid w:val="008E1DE8"/>
    <w:rsid w:val="008E225C"/>
    <w:rsid w:val="008E2547"/>
    <w:rsid w:val="008E26AC"/>
    <w:rsid w:val="008E2ACE"/>
    <w:rsid w:val="008E2BB7"/>
    <w:rsid w:val="008E2D12"/>
    <w:rsid w:val="008E30F3"/>
    <w:rsid w:val="008E3A85"/>
    <w:rsid w:val="008E3F24"/>
    <w:rsid w:val="008E4836"/>
    <w:rsid w:val="008E48EC"/>
    <w:rsid w:val="008E4ADC"/>
    <w:rsid w:val="008E4B42"/>
    <w:rsid w:val="008E4D5E"/>
    <w:rsid w:val="008E511E"/>
    <w:rsid w:val="008E52FC"/>
    <w:rsid w:val="008E541F"/>
    <w:rsid w:val="008E56BD"/>
    <w:rsid w:val="008E578D"/>
    <w:rsid w:val="008E5D07"/>
    <w:rsid w:val="008E5E10"/>
    <w:rsid w:val="008E5EDC"/>
    <w:rsid w:val="008E65AA"/>
    <w:rsid w:val="008E673C"/>
    <w:rsid w:val="008E6E05"/>
    <w:rsid w:val="008E70F3"/>
    <w:rsid w:val="008E73E3"/>
    <w:rsid w:val="008E76A0"/>
    <w:rsid w:val="008E7A57"/>
    <w:rsid w:val="008E7A85"/>
    <w:rsid w:val="008F0115"/>
    <w:rsid w:val="008F02AB"/>
    <w:rsid w:val="008F02CA"/>
    <w:rsid w:val="008F05A6"/>
    <w:rsid w:val="008F0619"/>
    <w:rsid w:val="008F0A30"/>
    <w:rsid w:val="008F0C9B"/>
    <w:rsid w:val="008F0F80"/>
    <w:rsid w:val="008F10C0"/>
    <w:rsid w:val="008F11EA"/>
    <w:rsid w:val="008F14D6"/>
    <w:rsid w:val="008F1648"/>
    <w:rsid w:val="008F18B2"/>
    <w:rsid w:val="008F1ADE"/>
    <w:rsid w:val="008F1F5C"/>
    <w:rsid w:val="008F2214"/>
    <w:rsid w:val="008F2903"/>
    <w:rsid w:val="008F3457"/>
    <w:rsid w:val="008F3691"/>
    <w:rsid w:val="008F3996"/>
    <w:rsid w:val="008F3A69"/>
    <w:rsid w:val="008F41A0"/>
    <w:rsid w:val="008F4679"/>
    <w:rsid w:val="008F4AFB"/>
    <w:rsid w:val="008F4B8F"/>
    <w:rsid w:val="008F4FC7"/>
    <w:rsid w:val="008F550B"/>
    <w:rsid w:val="008F5BC8"/>
    <w:rsid w:val="008F5EBF"/>
    <w:rsid w:val="008F5F81"/>
    <w:rsid w:val="008F60DB"/>
    <w:rsid w:val="008F622E"/>
    <w:rsid w:val="008F62EC"/>
    <w:rsid w:val="008F65E2"/>
    <w:rsid w:val="008F6758"/>
    <w:rsid w:val="008F6DC5"/>
    <w:rsid w:val="008F7206"/>
    <w:rsid w:val="008F7228"/>
    <w:rsid w:val="008F735B"/>
    <w:rsid w:val="008F73DF"/>
    <w:rsid w:val="008F73F0"/>
    <w:rsid w:val="008F751B"/>
    <w:rsid w:val="008F774A"/>
    <w:rsid w:val="008F77A1"/>
    <w:rsid w:val="008F79FF"/>
    <w:rsid w:val="008F7B23"/>
    <w:rsid w:val="008F7C5D"/>
    <w:rsid w:val="008F7E86"/>
    <w:rsid w:val="009004CB"/>
    <w:rsid w:val="0090087F"/>
    <w:rsid w:val="009009B8"/>
    <w:rsid w:val="00900BA5"/>
    <w:rsid w:val="00900C3A"/>
    <w:rsid w:val="00900E83"/>
    <w:rsid w:val="00900FA3"/>
    <w:rsid w:val="00901118"/>
    <w:rsid w:val="00901BDF"/>
    <w:rsid w:val="00901C2D"/>
    <w:rsid w:val="009020DF"/>
    <w:rsid w:val="009021F0"/>
    <w:rsid w:val="00902730"/>
    <w:rsid w:val="00902F62"/>
    <w:rsid w:val="00903083"/>
    <w:rsid w:val="00903128"/>
    <w:rsid w:val="00903452"/>
    <w:rsid w:val="009038E3"/>
    <w:rsid w:val="0090390D"/>
    <w:rsid w:val="00903AAD"/>
    <w:rsid w:val="009043A5"/>
    <w:rsid w:val="00904494"/>
    <w:rsid w:val="00904904"/>
    <w:rsid w:val="00904DC8"/>
    <w:rsid w:val="00904FD0"/>
    <w:rsid w:val="0090513F"/>
    <w:rsid w:val="00905A6D"/>
    <w:rsid w:val="00905AB3"/>
    <w:rsid w:val="00905BED"/>
    <w:rsid w:val="00905C3D"/>
    <w:rsid w:val="00905D05"/>
    <w:rsid w:val="009061A9"/>
    <w:rsid w:val="00906337"/>
    <w:rsid w:val="0090672B"/>
    <w:rsid w:val="00906B16"/>
    <w:rsid w:val="00906BA4"/>
    <w:rsid w:val="00906D38"/>
    <w:rsid w:val="00906F06"/>
    <w:rsid w:val="00906F0C"/>
    <w:rsid w:val="00907172"/>
    <w:rsid w:val="0090755B"/>
    <w:rsid w:val="00907963"/>
    <w:rsid w:val="009079B8"/>
    <w:rsid w:val="00907B0D"/>
    <w:rsid w:val="009103E5"/>
    <w:rsid w:val="0091078E"/>
    <w:rsid w:val="009107B5"/>
    <w:rsid w:val="009109FD"/>
    <w:rsid w:val="009114B0"/>
    <w:rsid w:val="00911AF5"/>
    <w:rsid w:val="00911D77"/>
    <w:rsid w:val="009123AA"/>
    <w:rsid w:val="00912492"/>
    <w:rsid w:val="009125AA"/>
    <w:rsid w:val="00912856"/>
    <w:rsid w:val="00912C32"/>
    <w:rsid w:val="00912EF2"/>
    <w:rsid w:val="009130E1"/>
    <w:rsid w:val="009130E6"/>
    <w:rsid w:val="009133A6"/>
    <w:rsid w:val="0091383C"/>
    <w:rsid w:val="00913CE4"/>
    <w:rsid w:val="009143AE"/>
    <w:rsid w:val="00914FFA"/>
    <w:rsid w:val="00915A65"/>
    <w:rsid w:val="00915BA0"/>
    <w:rsid w:val="00915BBC"/>
    <w:rsid w:val="00915C5E"/>
    <w:rsid w:val="00915EC3"/>
    <w:rsid w:val="00915EDD"/>
    <w:rsid w:val="00915FF4"/>
    <w:rsid w:val="00916092"/>
    <w:rsid w:val="009160B3"/>
    <w:rsid w:val="0091628D"/>
    <w:rsid w:val="009162C6"/>
    <w:rsid w:val="0091644E"/>
    <w:rsid w:val="00916685"/>
    <w:rsid w:val="00916BA7"/>
    <w:rsid w:val="0091752E"/>
    <w:rsid w:val="00917563"/>
    <w:rsid w:val="009176F1"/>
    <w:rsid w:val="00917C45"/>
    <w:rsid w:val="00917C7B"/>
    <w:rsid w:val="00917ED2"/>
    <w:rsid w:val="0092013B"/>
    <w:rsid w:val="0092036E"/>
    <w:rsid w:val="00920529"/>
    <w:rsid w:val="00920C2C"/>
    <w:rsid w:val="00920E1C"/>
    <w:rsid w:val="00920EEA"/>
    <w:rsid w:val="00920F29"/>
    <w:rsid w:val="00921469"/>
    <w:rsid w:val="00921EB0"/>
    <w:rsid w:val="00922239"/>
    <w:rsid w:val="00922290"/>
    <w:rsid w:val="00922561"/>
    <w:rsid w:val="00922FA4"/>
    <w:rsid w:val="0092331A"/>
    <w:rsid w:val="009234E3"/>
    <w:rsid w:val="0092354B"/>
    <w:rsid w:val="0092359E"/>
    <w:rsid w:val="009235E4"/>
    <w:rsid w:val="00923A71"/>
    <w:rsid w:val="00923AFE"/>
    <w:rsid w:val="00923B94"/>
    <w:rsid w:val="00924091"/>
    <w:rsid w:val="0092430E"/>
    <w:rsid w:val="009248C4"/>
    <w:rsid w:val="00924BC5"/>
    <w:rsid w:val="00924CC8"/>
    <w:rsid w:val="0092512C"/>
    <w:rsid w:val="009251F0"/>
    <w:rsid w:val="00925613"/>
    <w:rsid w:val="00925947"/>
    <w:rsid w:val="00925A5A"/>
    <w:rsid w:val="00925BFE"/>
    <w:rsid w:val="00925EB1"/>
    <w:rsid w:val="009269DC"/>
    <w:rsid w:val="00926A03"/>
    <w:rsid w:val="00926AF1"/>
    <w:rsid w:val="00926CCA"/>
    <w:rsid w:val="00926FC7"/>
    <w:rsid w:val="009270CB"/>
    <w:rsid w:val="00927349"/>
    <w:rsid w:val="00930682"/>
    <w:rsid w:val="00930768"/>
    <w:rsid w:val="00930952"/>
    <w:rsid w:val="00930ADC"/>
    <w:rsid w:val="00930DDC"/>
    <w:rsid w:val="00930FA6"/>
    <w:rsid w:val="00930FB7"/>
    <w:rsid w:val="009313BF"/>
    <w:rsid w:val="0093187D"/>
    <w:rsid w:val="00931956"/>
    <w:rsid w:val="009319CF"/>
    <w:rsid w:val="00931B8C"/>
    <w:rsid w:val="009320E0"/>
    <w:rsid w:val="0093247E"/>
    <w:rsid w:val="009327D2"/>
    <w:rsid w:val="0093280C"/>
    <w:rsid w:val="0093299B"/>
    <w:rsid w:val="00932CA7"/>
    <w:rsid w:val="00932EFC"/>
    <w:rsid w:val="00933084"/>
    <w:rsid w:val="00933307"/>
    <w:rsid w:val="00933437"/>
    <w:rsid w:val="00933796"/>
    <w:rsid w:val="009338CF"/>
    <w:rsid w:val="009339CC"/>
    <w:rsid w:val="00933B9E"/>
    <w:rsid w:val="00933BAE"/>
    <w:rsid w:val="00934093"/>
    <w:rsid w:val="00934220"/>
    <w:rsid w:val="00934294"/>
    <w:rsid w:val="009345F7"/>
    <w:rsid w:val="009347FE"/>
    <w:rsid w:val="00934F42"/>
    <w:rsid w:val="00935212"/>
    <w:rsid w:val="009352A7"/>
    <w:rsid w:val="009353B1"/>
    <w:rsid w:val="009353CB"/>
    <w:rsid w:val="009356BA"/>
    <w:rsid w:val="00935972"/>
    <w:rsid w:val="009359EC"/>
    <w:rsid w:val="00935BD9"/>
    <w:rsid w:val="00935F65"/>
    <w:rsid w:val="009365B7"/>
    <w:rsid w:val="00936653"/>
    <w:rsid w:val="00936735"/>
    <w:rsid w:val="009369FE"/>
    <w:rsid w:val="009371E9"/>
    <w:rsid w:val="009376EF"/>
    <w:rsid w:val="0093790D"/>
    <w:rsid w:val="00937DF6"/>
    <w:rsid w:val="00937E49"/>
    <w:rsid w:val="0094047A"/>
    <w:rsid w:val="009404FD"/>
    <w:rsid w:val="00941503"/>
    <w:rsid w:val="00941792"/>
    <w:rsid w:val="009428CE"/>
    <w:rsid w:val="009429E7"/>
    <w:rsid w:val="00942BDD"/>
    <w:rsid w:val="00942C27"/>
    <w:rsid w:val="00942CB4"/>
    <w:rsid w:val="00943114"/>
    <w:rsid w:val="00943846"/>
    <w:rsid w:val="00943898"/>
    <w:rsid w:val="00943EAC"/>
    <w:rsid w:val="00943FF4"/>
    <w:rsid w:val="00944084"/>
    <w:rsid w:val="009444F3"/>
    <w:rsid w:val="00944E6E"/>
    <w:rsid w:val="00945185"/>
    <w:rsid w:val="009456C3"/>
    <w:rsid w:val="00945A79"/>
    <w:rsid w:val="00945C09"/>
    <w:rsid w:val="00945C9B"/>
    <w:rsid w:val="00945D19"/>
    <w:rsid w:val="00945E7D"/>
    <w:rsid w:val="00945EFA"/>
    <w:rsid w:val="009460AF"/>
    <w:rsid w:val="00946120"/>
    <w:rsid w:val="009462A8"/>
    <w:rsid w:val="00946955"/>
    <w:rsid w:val="00946B0A"/>
    <w:rsid w:val="00946B98"/>
    <w:rsid w:val="00947430"/>
    <w:rsid w:val="009474EE"/>
    <w:rsid w:val="00947A58"/>
    <w:rsid w:val="00947ABF"/>
    <w:rsid w:val="00947BE9"/>
    <w:rsid w:val="00947EBB"/>
    <w:rsid w:val="009507BE"/>
    <w:rsid w:val="00951334"/>
    <w:rsid w:val="00951404"/>
    <w:rsid w:val="009514B0"/>
    <w:rsid w:val="0095182D"/>
    <w:rsid w:val="009522BF"/>
    <w:rsid w:val="0095236C"/>
    <w:rsid w:val="0095245B"/>
    <w:rsid w:val="009529B8"/>
    <w:rsid w:val="00952F3E"/>
    <w:rsid w:val="00952FA4"/>
    <w:rsid w:val="00952FB3"/>
    <w:rsid w:val="0095339C"/>
    <w:rsid w:val="00953AB1"/>
    <w:rsid w:val="00953B9B"/>
    <w:rsid w:val="00953CED"/>
    <w:rsid w:val="00953D61"/>
    <w:rsid w:val="00953E4E"/>
    <w:rsid w:val="009540E5"/>
    <w:rsid w:val="00954BC3"/>
    <w:rsid w:val="00954FD3"/>
    <w:rsid w:val="0095503E"/>
    <w:rsid w:val="00955049"/>
    <w:rsid w:val="00955154"/>
    <w:rsid w:val="00955175"/>
    <w:rsid w:val="0095541D"/>
    <w:rsid w:val="009557A0"/>
    <w:rsid w:val="009558A1"/>
    <w:rsid w:val="009559D0"/>
    <w:rsid w:val="00955F3F"/>
    <w:rsid w:val="00956179"/>
    <w:rsid w:val="009561E8"/>
    <w:rsid w:val="009562D6"/>
    <w:rsid w:val="00956628"/>
    <w:rsid w:val="009566EE"/>
    <w:rsid w:val="009567D4"/>
    <w:rsid w:val="00956D6A"/>
    <w:rsid w:val="00956E80"/>
    <w:rsid w:val="0095727D"/>
    <w:rsid w:val="00957286"/>
    <w:rsid w:val="009578DD"/>
    <w:rsid w:val="00957B49"/>
    <w:rsid w:val="00957B9C"/>
    <w:rsid w:val="00957DD3"/>
    <w:rsid w:val="00960116"/>
    <w:rsid w:val="00960406"/>
    <w:rsid w:val="0096054D"/>
    <w:rsid w:val="009606DE"/>
    <w:rsid w:val="00960AD4"/>
    <w:rsid w:val="00960EA6"/>
    <w:rsid w:val="00961183"/>
    <w:rsid w:val="009617EB"/>
    <w:rsid w:val="00961CF0"/>
    <w:rsid w:val="00961CF7"/>
    <w:rsid w:val="00961DDD"/>
    <w:rsid w:val="00962285"/>
    <w:rsid w:val="0096237B"/>
    <w:rsid w:val="00962435"/>
    <w:rsid w:val="00962837"/>
    <w:rsid w:val="00962872"/>
    <w:rsid w:val="00962CF0"/>
    <w:rsid w:val="009633E2"/>
    <w:rsid w:val="00963419"/>
    <w:rsid w:val="0096386D"/>
    <w:rsid w:val="009638FE"/>
    <w:rsid w:val="00963E40"/>
    <w:rsid w:val="009640F3"/>
    <w:rsid w:val="00964979"/>
    <w:rsid w:val="00965565"/>
    <w:rsid w:val="00965605"/>
    <w:rsid w:val="0096589A"/>
    <w:rsid w:val="00965C6E"/>
    <w:rsid w:val="00965FB5"/>
    <w:rsid w:val="009662F1"/>
    <w:rsid w:val="009668AD"/>
    <w:rsid w:val="0096697E"/>
    <w:rsid w:val="00966FD1"/>
    <w:rsid w:val="009670AB"/>
    <w:rsid w:val="00967334"/>
    <w:rsid w:val="009675B2"/>
    <w:rsid w:val="00967861"/>
    <w:rsid w:val="00967982"/>
    <w:rsid w:val="009679CD"/>
    <w:rsid w:val="00967D8E"/>
    <w:rsid w:val="0097002F"/>
    <w:rsid w:val="0097037D"/>
    <w:rsid w:val="00970685"/>
    <w:rsid w:val="00970C9D"/>
    <w:rsid w:val="0097165B"/>
    <w:rsid w:val="0097184B"/>
    <w:rsid w:val="00971CA7"/>
    <w:rsid w:val="00972042"/>
    <w:rsid w:val="00972154"/>
    <w:rsid w:val="009723B4"/>
    <w:rsid w:val="0097249F"/>
    <w:rsid w:val="009725C7"/>
    <w:rsid w:val="00972876"/>
    <w:rsid w:val="009729A1"/>
    <w:rsid w:val="00972D9B"/>
    <w:rsid w:val="00972EED"/>
    <w:rsid w:val="0097330F"/>
    <w:rsid w:val="00973376"/>
    <w:rsid w:val="009735C6"/>
    <w:rsid w:val="00973A27"/>
    <w:rsid w:val="00973B1E"/>
    <w:rsid w:val="009740B9"/>
    <w:rsid w:val="00974212"/>
    <w:rsid w:val="009742AB"/>
    <w:rsid w:val="0097465E"/>
    <w:rsid w:val="0097469B"/>
    <w:rsid w:val="00974838"/>
    <w:rsid w:val="009748E6"/>
    <w:rsid w:val="00974A04"/>
    <w:rsid w:val="00975048"/>
    <w:rsid w:val="00975169"/>
    <w:rsid w:val="00975270"/>
    <w:rsid w:val="009752E6"/>
    <w:rsid w:val="0097532C"/>
    <w:rsid w:val="0097535E"/>
    <w:rsid w:val="00976084"/>
    <w:rsid w:val="009760DB"/>
    <w:rsid w:val="00976A7F"/>
    <w:rsid w:val="00976C7E"/>
    <w:rsid w:val="00976F29"/>
    <w:rsid w:val="009770C5"/>
    <w:rsid w:val="009771D0"/>
    <w:rsid w:val="009771F9"/>
    <w:rsid w:val="00977627"/>
    <w:rsid w:val="0097791A"/>
    <w:rsid w:val="00977BB5"/>
    <w:rsid w:val="00980259"/>
    <w:rsid w:val="009803BF"/>
    <w:rsid w:val="009805B3"/>
    <w:rsid w:val="0098062B"/>
    <w:rsid w:val="009807A2"/>
    <w:rsid w:val="009808F6"/>
    <w:rsid w:val="009811C4"/>
    <w:rsid w:val="00981305"/>
    <w:rsid w:val="0098144B"/>
    <w:rsid w:val="00981895"/>
    <w:rsid w:val="0098199F"/>
    <w:rsid w:val="00981B62"/>
    <w:rsid w:val="00981CDC"/>
    <w:rsid w:val="00981EEC"/>
    <w:rsid w:val="00981F4C"/>
    <w:rsid w:val="00982103"/>
    <w:rsid w:val="009821B4"/>
    <w:rsid w:val="00982BDA"/>
    <w:rsid w:val="00982D82"/>
    <w:rsid w:val="0098301C"/>
    <w:rsid w:val="009833D7"/>
    <w:rsid w:val="00983559"/>
    <w:rsid w:val="0098373C"/>
    <w:rsid w:val="00983A46"/>
    <w:rsid w:val="00983AB3"/>
    <w:rsid w:val="00983D45"/>
    <w:rsid w:val="00983E06"/>
    <w:rsid w:val="009840EF"/>
    <w:rsid w:val="00984715"/>
    <w:rsid w:val="00984830"/>
    <w:rsid w:val="009849EE"/>
    <w:rsid w:val="00984B05"/>
    <w:rsid w:val="00984B6B"/>
    <w:rsid w:val="009850EB"/>
    <w:rsid w:val="00985203"/>
    <w:rsid w:val="0098522B"/>
    <w:rsid w:val="0098525A"/>
    <w:rsid w:val="0098531A"/>
    <w:rsid w:val="009853B2"/>
    <w:rsid w:val="009853D4"/>
    <w:rsid w:val="00985AB6"/>
    <w:rsid w:val="00985D3D"/>
    <w:rsid w:val="00985EC9"/>
    <w:rsid w:val="009863F4"/>
    <w:rsid w:val="009866A3"/>
    <w:rsid w:val="00986DEB"/>
    <w:rsid w:val="00986FCA"/>
    <w:rsid w:val="00987582"/>
    <w:rsid w:val="00987DC2"/>
    <w:rsid w:val="0099018E"/>
    <w:rsid w:val="009906F1"/>
    <w:rsid w:val="0099070C"/>
    <w:rsid w:val="009907AC"/>
    <w:rsid w:val="0099088A"/>
    <w:rsid w:val="00990902"/>
    <w:rsid w:val="00990A90"/>
    <w:rsid w:val="00990B61"/>
    <w:rsid w:val="009915F0"/>
    <w:rsid w:val="0099160C"/>
    <w:rsid w:val="00991CA9"/>
    <w:rsid w:val="00991D66"/>
    <w:rsid w:val="009922B2"/>
    <w:rsid w:val="00992302"/>
    <w:rsid w:val="00992500"/>
    <w:rsid w:val="00992884"/>
    <w:rsid w:val="009928FE"/>
    <w:rsid w:val="00992902"/>
    <w:rsid w:val="009929A8"/>
    <w:rsid w:val="00992A18"/>
    <w:rsid w:val="00992ABA"/>
    <w:rsid w:val="00992D23"/>
    <w:rsid w:val="00993060"/>
    <w:rsid w:val="00993563"/>
    <w:rsid w:val="009937B0"/>
    <w:rsid w:val="00993822"/>
    <w:rsid w:val="00993C3F"/>
    <w:rsid w:val="00994173"/>
    <w:rsid w:val="0099436A"/>
    <w:rsid w:val="00994A98"/>
    <w:rsid w:val="0099509C"/>
    <w:rsid w:val="00995200"/>
    <w:rsid w:val="0099520C"/>
    <w:rsid w:val="00995345"/>
    <w:rsid w:val="009957DB"/>
    <w:rsid w:val="00995A04"/>
    <w:rsid w:val="00995DEF"/>
    <w:rsid w:val="00996121"/>
    <w:rsid w:val="00996505"/>
    <w:rsid w:val="00996599"/>
    <w:rsid w:val="009967A1"/>
    <w:rsid w:val="00996854"/>
    <w:rsid w:val="00996CA4"/>
    <w:rsid w:val="00996D69"/>
    <w:rsid w:val="009973E6"/>
    <w:rsid w:val="009975E3"/>
    <w:rsid w:val="00997875"/>
    <w:rsid w:val="00997A24"/>
    <w:rsid w:val="00997B42"/>
    <w:rsid w:val="00997FEA"/>
    <w:rsid w:val="009A0024"/>
    <w:rsid w:val="009A011C"/>
    <w:rsid w:val="009A0634"/>
    <w:rsid w:val="009A08E1"/>
    <w:rsid w:val="009A0ABA"/>
    <w:rsid w:val="009A0B5A"/>
    <w:rsid w:val="009A0FEB"/>
    <w:rsid w:val="009A108D"/>
    <w:rsid w:val="009A16D8"/>
    <w:rsid w:val="009A1998"/>
    <w:rsid w:val="009A1A51"/>
    <w:rsid w:val="009A1BB8"/>
    <w:rsid w:val="009A1F40"/>
    <w:rsid w:val="009A2A10"/>
    <w:rsid w:val="009A2B84"/>
    <w:rsid w:val="009A2E53"/>
    <w:rsid w:val="009A2F06"/>
    <w:rsid w:val="009A3063"/>
    <w:rsid w:val="009A30C9"/>
    <w:rsid w:val="009A34EE"/>
    <w:rsid w:val="009A403C"/>
    <w:rsid w:val="009A43D3"/>
    <w:rsid w:val="009A45AC"/>
    <w:rsid w:val="009A464C"/>
    <w:rsid w:val="009A49CF"/>
    <w:rsid w:val="009A4C9A"/>
    <w:rsid w:val="009A4F3B"/>
    <w:rsid w:val="009A52BA"/>
    <w:rsid w:val="009A5781"/>
    <w:rsid w:val="009A5A45"/>
    <w:rsid w:val="009A5B6E"/>
    <w:rsid w:val="009A60BA"/>
    <w:rsid w:val="009A6354"/>
    <w:rsid w:val="009A674B"/>
    <w:rsid w:val="009A6911"/>
    <w:rsid w:val="009A6BB2"/>
    <w:rsid w:val="009A6C8D"/>
    <w:rsid w:val="009A6D59"/>
    <w:rsid w:val="009A6E6A"/>
    <w:rsid w:val="009A72B2"/>
    <w:rsid w:val="009A732A"/>
    <w:rsid w:val="009A7452"/>
    <w:rsid w:val="009A7467"/>
    <w:rsid w:val="009A75D8"/>
    <w:rsid w:val="009A7661"/>
    <w:rsid w:val="009A7C42"/>
    <w:rsid w:val="009A7D4A"/>
    <w:rsid w:val="009A7D9F"/>
    <w:rsid w:val="009B003A"/>
    <w:rsid w:val="009B00CD"/>
    <w:rsid w:val="009B0451"/>
    <w:rsid w:val="009B095D"/>
    <w:rsid w:val="009B1256"/>
    <w:rsid w:val="009B160D"/>
    <w:rsid w:val="009B1646"/>
    <w:rsid w:val="009B1685"/>
    <w:rsid w:val="009B197E"/>
    <w:rsid w:val="009B19E8"/>
    <w:rsid w:val="009B1B22"/>
    <w:rsid w:val="009B1F91"/>
    <w:rsid w:val="009B1FFD"/>
    <w:rsid w:val="009B20BE"/>
    <w:rsid w:val="009B2552"/>
    <w:rsid w:val="009B26EE"/>
    <w:rsid w:val="009B27B2"/>
    <w:rsid w:val="009B2B44"/>
    <w:rsid w:val="009B2C0B"/>
    <w:rsid w:val="009B2FD3"/>
    <w:rsid w:val="009B36E5"/>
    <w:rsid w:val="009B389A"/>
    <w:rsid w:val="009B3CCA"/>
    <w:rsid w:val="009B421D"/>
    <w:rsid w:val="009B4BE7"/>
    <w:rsid w:val="009B4CC4"/>
    <w:rsid w:val="009B4D57"/>
    <w:rsid w:val="009B4E4D"/>
    <w:rsid w:val="009B4EDE"/>
    <w:rsid w:val="009B5492"/>
    <w:rsid w:val="009B54D4"/>
    <w:rsid w:val="009B5547"/>
    <w:rsid w:val="009B5C83"/>
    <w:rsid w:val="009B6148"/>
    <w:rsid w:val="009B614B"/>
    <w:rsid w:val="009B614F"/>
    <w:rsid w:val="009B6DCD"/>
    <w:rsid w:val="009B7297"/>
    <w:rsid w:val="009B7680"/>
    <w:rsid w:val="009B78A1"/>
    <w:rsid w:val="009B7DB6"/>
    <w:rsid w:val="009B7F34"/>
    <w:rsid w:val="009C005D"/>
    <w:rsid w:val="009C00F7"/>
    <w:rsid w:val="009C08D7"/>
    <w:rsid w:val="009C0AD3"/>
    <w:rsid w:val="009C0CB6"/>
    <w:rsid w:val="009C12B1"/>
    <w:rsid w:val="009C1817"/>
    <w:rsid w:val="009C1B6C"/>
    <w:rsid w:val="009C232B"/>
    <w:rsid w:val="009C244E"/>
    <w:rsid w:val="009C27D9"/>
    <w:rsid w:val="009C2C54"/>
    <w:rsid w:val="009C3008"/>
    <w:rsid w:val="009C3648"/>
    <w:rsid w:val="009C3860"/>
    <w:rsid w:val="009C4A3E"/>
    <w:rsid w:val="009C4B43"/>
    <w:rsid w:val="009C4EC2"/>
    <w:rsid w:val="009C535D"/>
    <w:rsid w:val="009C614A"/>
    <w:rsid w:val="009C6175"/>
    <w:rsid w:val="009C64D1"/>
    <w:rsid w:val="009C67A7"/>
    <w:rsid w:val="009C67CC"/>
    <w:rsid w:val="009C682E"/>
    <w:rsid w:val="009C688B"/>
    <w:rsid w:val="009C69AB"/>
    <w:rsid w:val="009C6B78"/>
    <w:rsid w:val="009C6E3F"/>
    <w:rsid w:val="009C728F"/>
    <w:rsid w:val="009C754B"/>
    <w:rsid w:val="009C784C"/>
    <w:rsid w:val="009C7AB7"/>
    <w:rsid w:val="009C7BC1"/>
    <w:rsid w:val="009C7C24"/>
    <w:rsid w:val="009D003F"/>
    <w:rsid w:val="009D0121"/>
    <w:rsid w:val="009D053A"/>
    <w:rsid w:val="009D08F3"/>
    <w:rsid w:val="009D0A89"/>
    <w:rsid w:val="009D0BF5"/>
    <w:rsid w:val="009D0C62"/>
    <w:rsid w:val="009D0DA0"/>
    <w:rsid w:val="009D0EA0"/>
    <w:rsid w:val="009D0F31"/>
    <w:rsid w:val="009D146A"/>
    <w:rsid w:val="009D180C"/>
    <w:rsid w:val="009D1B9F"/>
    <w:rsid w:val="009D1BE4"/>
    <w:rsid w:val="009D1D92"/>
    <w:rsid w:val="009D1EC4"/>
    <w:rsid w:val="009D251C"/>
    <w:rsid w:val="009D25E0"/>
    <w:rsid w:val="009D2828"/>
    <w:rsid w:val="009D29A8"/>
    <w:rsid w:val="009D2ECF"/>
    <w:rsid w:val="009D3044"/>
    <w:rsid w:val="009D35DF"/>
    <w:rsid w:val="009D3864"/>
    <w:rsid w:val="009D3866"/>
    <w:rsid w:val="009D3A24"/>
    <w:rsid w:val="009D3A52"/>
    <w:rsid w:val="009D43F4"/>
    <w:rsid w:val="009D4477"/>
    <w:rsid w:val="009D4662"/>
    <w:rsid w:val="009D4A4D"/>
    <w:rsid w:val="009D4C74"/>
    <w:rsid w:val="009D5850"/>
    <w:rsid w:val="009D5BF2"/>
    <w:rsid w:val="009D5CDB"/>
    <w:rsid w:val="009D607D"/>
    <w:rsid w:val="009D665B"/>
    <w:rsid w:val="009D6799"/>
    <w:rsid w:val="009D6A0E"/>
    <w:rsid w:val="009D6BE8"/>
    <w:rsid w:val="009D6FAA"/>
    <w:rsid w:val="009D6FFE"/>
    <w:rsid w:val="009D745C"/>
    <w:rsid w:val="009D7A25"/>
    <w:rsid w:val="009D7A67"/>
    <w:rsid w:val="009D7A93"/>
    <w:rsid w:val="009E00E1"/>
    <w:rsid w:val="009E0120"/>
    <w:rsid w:val="009E05B0"/>
    <w:rsid w:val="009E0CD3"/>
    <w:rsid w:val="009E0D4E"/>
    <w:rsid w:val="009E1330"/>
    <w:rsid w:val="009E15F8"/>
    <w:rsid w:val="009E173E"/>
    <w:rsid w:val="009E1BC7"/>
    <w:rsid w:val="009E1C14"/>
    <w:rsid w:val="009E1C92"/>
    <w:rsid w:val="009E1D39"/>
    <w:rsid w:val="009E1D5C"/>
    <w:rsid w:val="009E22C3"/>
    <w:rsid w:val="009E29BD"/>
    <w:rsid w:val="009E2A8D"/>
    <w:rsid w:val="009E2BFB"/>
    <w:rsid w:val="009E2CAA"/>
    <w:rsid w:val="009E2D4C"/>
    <w:rsid w:val="009E3080"/>
    <w:rsid w:val="009E3310"/>
    <w:rsid w:val="009E3839"/>
    <w:rsid w:val="009E3ABB"/>
    <w:rsid w:val="009E3C61"/>
    <w:rsid w:val="009E4327"/>
    <w:rsid w:val="009E45BD"/>
    <w:rsid w:val="009E45DB"/>
    <w:rsid w:val="009E46D0"/>
    <w:rsid w:val="009E47AC"/>
    <w:rsid w:val="009E4E60"/>
    <w:rsid w:val="009E5377"/>
    <w:rsid w:val="009E5B23"/>
    <w:rsid w:val="009E66E0"/>
    <w:rsid w:val="009E6958"/>
    <w:rsid w:val="009E697B"/>
    <w:rsid w:val="009E698D"/>
    <w:rsid w:val="009E6AC8"/>
    <w:rsid w:val="009E6D12"/>
    <w:rsid w:val="009E6DC0"/>
    <w:rsid w:val="009E6E96"/>
    <w:rsid w:val="009E760A"/>
    <w:rsid w:val="009E7676"/>
    <w:rsid w:val="009E776E"/>
    <w:rsid w:val="009E7773"/>
    <w:rsid w:val="009E7C8A"/>
    <w:rsid w:val="009E7CB4"/>
    <w:rsid w:val="009F000F"/>
    <w:rsid w:val="009F0261"/>
    <w:rsid w:val="009F0930"/>
    <w:rsid w:val="009F0ABD"/>
    <w:rsid w:val="009F0D05"/>
    <w:rsid w:val="009F1216"/>
    <w:rsid w:val="009F14E2"/>
    <w:rsid w:val="009F179F"/>
    <w:rsid w:val="009F1947"/>
    <w:rsid w:val="009F218E"/>
    <w:rsid w:val="009F23B7"/>
    <w:rsid w:val="009F24CE"/>
    <w:rsid w:val="009F2A61"/>
    <w:rsid w:val="009F306D"/>
    <w:rsid w:val="009F3200"/>
    <w:rsid w:val="009F32E3"/>
    <w:rsid w:val="009F3419"/>
    <w:rsid w:val="009F366D"/>
    <w:rsid w:val="009F39F9"/>
    <w:rsid w:val="009F3A36"/>
    <w:rsid w:val="009F3CA9"/>
    <w:rsid w:val="009F3FEA"/>
    <w:rsid w:val="009F415C"/>
    <w:rsid w:val="009F435F"/>
    <w:rsid w:val="009F48FF"/>
    <w:rsid w:val="009F4C10"/>
    <w:rsid w:val="009F4CD2"/>
    <w:rsid w:val="009F4E37"/>
    <w:rsid w:val="009F4F80"/>
    <w:rsid w:val="009F5009"/>
    <w:rsid w:val="009F516D"/>
    <w:rsid w:val="009F523E"/>
    <w:rsid w:val="009F57B7"/>
    <w:rsid w:val="009F58DB"/>
    <w:rsid w:val="009F5CF8"/>
    <w:rsid w:val="009F5D54"/>
    <w:rsid w:val="009F5D6D"/>
    <w:rsid w:val="009F5E24"/>
    <w:rsid w:val="009F654F"/>
    <w:rsid w:val="009F659B"/>
    <w:rsid w:val="009F668C"/>
    <w:rsid w:val="009F69C5"/>
    <w:rsid w:val="009F6A37"/>
    <w:rsid w:val="009F6E24"/>
    <w:rsid w:val="009F7252"/>
    <w:rsid w:val="009F7638"/>
    <w:rsid w:val="009F77C5"/>
    <w:rsid w:val="009F77ED"/>
    <w:rsid w:val="009F7D96"/>
    <w:rsid w:val="00A001F0"/>
    <w:rsid w:val="00A004CC"/>
    <w:rsid w:val="00A00CF0"/>
    <w:rsid w:val="00A01070"/>
    <w:rsid w:val="00A01295"/>
    <w:rsid w:val="00A0132A"/>
    <w:rsid w:val="00A01515"/>
    <w:rsid w:val="00A02040"/>
    <w:rsid w:val="00A0213E"/>
    <w:rsid w:val="00A02339"/>
    <w:rsid w:val="00A02C7E"/>
    <w:rsid w:val="00A03025"/>
    <w:rsid w:val="00A03332"/>
    <w:rsid w:val="00A03355"/>
    <w:rsid w:val="00A033A4"/>
    <w:rsid w:val="00A034F1"/>
    <w:rsid w:val="00A03547"/>
    <w:rsid w:val="00A0381E"/>
    <w:rsid w:val="00A03E81"/>
    <w:rsid w:val="00A04139"/>
    <w:rsid w:val="00A04554"/>
    <w:rsid w:val="00A0468F"/>
    <w:rsid w:val="00A0479B"/>
    <w:rsid w:val="00A04829"/>
    <w:rsid w:val="00A04EAC"/>
    <w:rsid w:val="00A05185"/>
    <w:rsid w:val="00A0547D"/>
    <w:rsid w:val="00A05490"/>
    <w:rsid w:val="00A05496"/>
    <w:rsid w:val="00A05618"/>
    <w:rsid w:val="00A05B72"/>
    <w:rsid w:val="00A05E75"/>
    <w:rsid w:val="00A05F0D"/>
    <w:rsid w:val="00A062B7"/>
    <w:rsid w:val="00A063F4"/>
    <w:rsid w:val="00A06C04"/>
    <w:rsid w:val="00A079A9"/>
    <w:rsid w:val="00A07B31"/>
    <w:rsid w:val="00A07D08"/>
    <w:rsid w:val="00A10390"/>
    <w:rsid w:val="00A103A9"/>
    <w:rsid w:val="00A105F4"/>
    <w:rsid w:val="00A10D03"/>
    <w:rsid w:val="00A112E8"/>
    <w:rsid w:val="00A1134F"/>
    <w:rsid w:val="00A11517"/>
    <w:rsid w:val="00A1155D"/>
    <w:rsid w:val="00A11771"/>
    <w:rsid w:val="00A119FA"/>
    <w:rsid w:val="00A11ACA"/>
    <w:rsid w:val="00A11CD4"/>
    <w:rsid w:val="00A12095"/>
    <w:rsid w:val="00A1222A"/>
    <w:rsid w:val="00A12510"/>
    <w:rsid w:val="00A128D5"/>
    <w:rsid w:val="00A129E2"/>
    <w:rsid w:val="00A12BF2"/>
    <w:rsid w:val="00A12CC4"/>
    <w:rsid w:val="00A12DEA"/>
    <w:rsid w:val="00A12F24"/>
    <w:rsid w:val="00A133FE"/>
    <w:rsid w:val="00A139CD"/>
    <w:rsid w:val="00A13CF8"/>
    <w:rsid w:val="00A13FBF"/>
    <w:rsid w:val="00A13FD5"/>
    <w:rsid w:val="00A14BD0"/>
    <w:rsid w:val="00A14DEB"/>
    <w:rsid w:val="00A15146"/>
    <w:rsid w:val="00A152B0"/>
    <w:rsid w:val="00A15485"/>
    <w:rsid w:val="00A15990"/>
    <w:rsid w:val="00A15C4D"/>
    <w:rsid w:val="00A162BA"/>
    <w:rsid w:val="00A1645E"/>
    <w:rsid w:val="00A167DB"/>
    <w:rsid w:val="00A16B6E"/>
    <w:rsid w:val="00A16F33"/>
    <w:rsid w:val="00A16F77"/>
    <w:rsid w:val="00A171E1"/>
    <w:rsid w:val="00A17605"/>
    <w:rsid w:val="00A17629"/>
    <w:rsid w:val="00A1796C"/>
    <w:rsid w:val="00A179DD"/>
    <w:rsid w:val="00A17BF5"/>
    <w:rsid w:val="00A17C7B"/>
    <w:rsid w:val="00A17E16"/>
    <w:rsid w:val="00A2021E"/>
    <w:rsid w:val="00A20540"/>
    <w:rsid w:val="00A20545"/>
    <w:rsid w:val="00A20A74"/>
    <w:rsid w:val="00A20C12"/>
    <w:rsid w:val="00A21026"/>
    <w:rsid w:val="00A212B1"/>
    <w:rsid w:val="00A213B2"/>
    <w:rsid w:val="00A2147C"/>
    <w:rsid w:val="00A21D20"/>
    <w:rsid w:val="00A21DFC"/>
    <w:rsid w:val="00A22100"/>
    <w:rsid w:val="00A22295"/>
    <w:rsid w:val="00A22502"/>
    <w:rsid w:val="00A22B06"/>
    <w:rsid w:val="00A22C16"/>
    <w:rsid w:val="00A22E03"/>
    <w:rsid w:val="00A22EBB"/>
    <w:rsid w:val="00A2327E"/>
    <w:rsid w:val="00A2338E"/>
    <w:rsid w:val="00A233A7"/>
    <w:rsid w:val="00A233D6"/>
    <w:rsid w:val="00A234C9"/>
    <w:rsid w:val="00A24E1C"/>
    <w:rsid w:val="00A24E89"/>
    <w:rsid w:val="00A25B65"/>
    <w:rsid w:val="00A25FBE"/>
    <w:rsid w:val="00A26101"/>
    <w:rsid w:val="00A263CD"/>
    <w:rsid w:val="00A2669D"/>
    <w:rsid w:val="00A26A25"/>
    <w:rsid w:val="00A26A64"/>
    <w:rsid w:val="00A26E65"/>
    <w:rsid w:val="00A26EF2"/>
    <w:rsid w:val="00A27134"/>
    <w:rsid w:val="00A27178"/>
    <w:rsid w:val="00A27321"/>
    <w:rsid w:val="00A27350"/>
    <w:rsid w:val="00A276C5"/>
    <w:rsid w:val="00A278AA"/>
    <w:rsid w:val="00A27940"/>
    <w:rsid w:val="00A27DFB"/>
    <w:rsid w:val="00A300F3"/>
    <w:rsid w:val="00A304A0"/>
    <w:rsid w:val="00A3073B"/>
    <w:rsid w:val="00A307A3"/>
    <w:rsid w:val="00A30AA6"/>
    <w:rsid w:val="00A313C3"/>
    <w:rsid w:val="00A318E6"/>
    <w:rsid w:val="00A31A83"/>
    <w:rsid w:val="00A32011"/>
    <w:rsid w:val="00A3243F"/>
    <w:rsid w:val="00A325CE"/>
    <w:rsid w:val="00A32E8D"/>
    <w:rsid w:val="00A330FC"/>
    <w:rsid w:val="00A33530"/>
    <w:rsid w:val="00A33B6D"/>
    <w:rsid w:val="00A33EB3"/>
    <w:rsid w:val="00A33EBC"/>
    <w:rsid w:val="00A34339"/>
    <w:rsid w:val="00A34429"/>
    <w:rsid w:val="00A34590"/>
    <w:rsid w:val="00A34A05"/>
    <w:rsid w:val="00A34B8F"/>
    <w:rsid w:val="00A34F7B"/>
    <w:rsid w:val="00A35233"/>
    <w:rsid w:val="00A3541F"/>
    <w:rsid w:val="00A35701"/>
    <w:rsid w:val="00A35924"/>
    <w:rsid w:val="00A35C12"/>
    <w:rsid w:val="00A35CBC"/>
    <w:rsid w:val="00A35F40"/>
    <w:rsid w:val="00A35F47"/>
    <w:rsid w:val="00A3620F"/>
    <w:rsid w:val="00A36997"/>
    <w:rsid w:val="00A36B7F"/>
    <w:rsid w:val="00A36D59"/>
    <w:rsid w:val="00A36D8F"/>
    <w:rsid w:val="00A36DDB"/>
    <w:rsid w:val="00A36DEC"/>
    <w:rsid w:val="00A36FC9"/>
    <w:rsid w:val="00A37408"/>
    <w:rsid w:val="00A374CE"/>
    <w:rsid w:val="00A375A4"/>
    <w:rsid w:val="00A37807"/>
    <w:rsid w:val="00A37B1F"/>
    <w:rsid w:val="00A402E4"/>
    <w:rsid w:val="00A403AC"/>
    <w:rsid w:val="00A4080A"/>
    <w:rsid w:val="00A40AFF"/>
    <w:rsid w:val="00A4119A"/>
    <w:rsid w:val="00A4124F"/>
    <w:rsid w:val="00A412C8"/>
    <w:rsid w:val="00A41335"/>
    <w:rsid w:val="00A4140F"/>
    <w:rsid w:val="00A417CA"/>
    <w:rsid w:val="00A418B0"/>
    <w:rsid w:val="00A41DDA"/>
    <w:rsid w:val="00A42054"/>
    <w:rsid w:val="00A42397"/>
    <w:rsid w:val="00A42425"/>
    <w:rsid w:val="00A42475"/>
    <w:rsid w:val="00A433A2"/>
    <w:rsid w:val="00A43F6D"/>
    <w:rsid w:val="00A441A2"/>
    <w:rsid w:val="00A44423"/>
    <w:rsid w:val="00A446B7"/>
    <w:rsid w:val="00A44A50"/>
    <w:rsid w:val="00A44B24"/>
    <w:rsid w:val="00A44FD8"/>
    <w:rsid w:val="00A45124"/>
    <w:rsid w:val="00A45196"/>
    <w:rsid w:val="00A452B1"/>
    <w:rsid w:val="00A45336"/>
    <w:rsid w:val="00A45378"/>
    <w:rsid w:val="00A454E9"/>
    <w:rsid w:val="00A4585E"/>
    <w:rsid w:val="00A45BAD"/>
    <w:rsid w:val="00A45CC9"/>
    <w:rsid w:val="00A45D34"/>
    <w:rsid w:val="00A45E02"/>
    <w:rsid w:val="00A45FDC"/>
    <w:rsid w:val="00A46093"/>
    <w:rsid w:val="00A460FE"/>
    <w:rsid w:val="00A46210"/>
    <w:rsid w:val="00A46648"/>
    <w:rsid w:val="00A469A9"/>
    <w:rsid w:val="00A46A46"/>
    <w:rsid w:val="00A46CE2"/>
    <w:rsid w:val="00A47699"/>
    <w:rsid w:val="00A47842"/>
    <w:rsid w:val="00A47894"/>
    <w:rsid w:val="00A47A34"/>
    <w:rsid w:val="00A47E4A"/>
    <w:rsid w:val="00A502E9"/>
    <w:rsid w:val="00A503D3"/>
    <w:rsid w:val="00A505A4"/>
    <w:rsid w:val="00A506D8"/>
    <w:rsid w:val="00A5091F"/>
    <w:rsid w:val="00A511D2"/>
    <w:rsid w:val="00A518B4"/>
    <w:rsid w:val="00A51A5F"/>
    <w:rsid w:val="00A51EDC"/>
    <w:rsid w:val="00A51F66"/>
    <w:rsid w:val="00A52434"/>
    <w:rsid w:val="00A5275A"/>
    <w:rsid w:val="00A52D42"/>
    <w:rsid w:val="00A53130"/>
    <w:rsid w:val="00A531D4"/>
    <w:rsid w:val="00A53319"/>
    <w:rsid w:val="00A53389"/>
    <w:rsid w:val="00A535E4"/>
    <w:rsid w:val="00A536C3"/>
    <w:rsid w:val="00A53BCE"/>
    <w:rsid w:val="00A5425D"/>
    <w:rsid w:val="00A545AE"/>
    <w:rsid w:val="00A545D0"/>
    <w:rsid w:val="00A54793"/>
    <w:rsid w:val="00A54C50"/>
    <w:rsid w:val="00A55441"/>
    <w:rsid w:val="00A55AED"/>
    <w:rsid w:val="00A55C06"/>
    <w:rsid w:val="00A5689C"/>
    <w:rsid w:val="00A569CD"/>
    <w:rsid w:val="00A56C3D"/>
    <w:rsid w:val="00A56D29"/>
    <w:rsid w:val="00A56F9F"/>
    <w:rsid w:val="00A56FDA"/>
    <w:rsid w:val="00A57042"/>
    <w:rsid w:val="00A5755C"/>
    <w:rsid w:val="00A576CE"/>
    <w:rsid w:val="00A577C6"/>
    <w:rsid w:val="00A57907"/>
    <w:rsid w:val="00A57A13"/>
    <w:rsid w:val="00A57B9B"/>
    <w:rsid w:val="00A57C63"/>
    <w:rsid w:val="00A57D43"/>
    <w:rsid w:val="00A57EA4"/>
    <w:rsid w:val="00A57F00"/>
    <w:rsid w:val="00A60117"/>
    <w:rsid w:val="00A601FF"/>
    <w:rsid w:val="00A6056D"/>
    <w:rsid w:val="00A6101C"/>
    <w:rsid w:val="00A61341"/>
    <w:rsid w:val="00A61558"/>
    <w:rsid w:val="00A61F5A"/>
    <w:rsid w:val="00A61F67"/>
    <w:rsid w:val="00A62338"/>
    <w:rsid w:val="00A62765"/>
    <w:rsid w:val="00A629B0"/>
    <w:rsid w:val="00A62ABB"/>
    <w:rsid w:val="00A62AF6"/>
    <w:rsid w:val="00A62C5A"/>
    <w:rsid w:val="00A6329F"/>
    <w:rsid w:val="00A639D2"/>
    <w:rsid w:val="00A63DA7"/>
    <w:rsid w:val="00A63E19"/>
    <w:rsid w:val="00A63FA7"/>
    <w:rsid w:val="00A6424F"/>
    <w:rsid w:val="00A646A2"/>
    <w:rsid w:val="00A64973"/>
    <w:rsid w:val="00A64A3A"/>
    <w:rsid w:val="00A64AE1"/>
    <w:rsid w:val="00A64C9C"/>
    <w:rsid w:val="00A650B2"/>
    <w:rsid w:val="00A654B6"/>
    <w:rsid w:val="00A65949"/>
    <w:rsid w:val="00A659A7"/>
    <w:rsid w:val="00A65E59"/>
    <w:rsid w:val="00A66191"/>
    <w:rsid w:val="00A665B8"/>
    <w:rsid w:val="00A666C9"/>
    <w:rsid w:val="00A6677C"/>
    <w:rsid w:val="00A6678D"/>
    <w:rsid w:val="00A667E3"/>
    <w:rsid w:val="00A66AB1"/>
    <w:rsid w:val="00A66F73"/>
    <w:rsid w:val="00A670B6"/>
    <w:rsid w:val="00A670E6"/>
    <w:rsid w:val="00A6723D"/>
    <w:rsid w:val="00A67FCC"/>
    <w:rsid w:val="00A70111"/>
    <w:rsid w:val="00A704FE"/>
    <w:rsid w:val="00A70AAC"/>
    <w:rsid w:val="00A70C37"/>
    <w:rsid w:val="00A71445"/>
    <w:rsid w:val="00A71623"/>
    <w:rsid w:val="00A7165F"/>
    <w:rsid w:val="00A71682"/>
    <w:rsid w:val="00A71C7D"/>
    <w:rsid w:val="00A71CAB"/>
    <w:rsid w:val="00A71D60"/>
    <w:rsid w:val="00A71EF7"/>
    <w:rsid w:val="00A72831"/>
    <w:rsid w:val="00A72D4E"/>
    <w:rsid w:val="00A73124"/>
    <w:rsid w:val="00A73251"/>
    <w:rsid w:val="00A73465"/>
    <w:rsid w:val="00A73588"/>
    <w:rsid w:val="00A7381A"/>
    <w:rsid w:val="00A73FA8"/>
    <w:rsid w:val="00A748FA"/>
    <w:rsid w:val="00A74969"/>
    <w:rsid w:val="00A74A90"/>
    <w:rsid w:val="00A74BA1"/>
    <w:rsid w:val="00A74FB0"/>
    <w:rsid w:val="00A74FF5"/>
    <w:rsid w:val="00A751C1"/>
    <w:rsid w:val="00A75254"/>
    <w:rsid w:val="00A752A8"/>
    <w:rsid w:val="00A75442"/>
    <w:rsid w:val="00A75972"/>
    <w:rsid w:val="00A75A5C"/>
    <w:rsid w:val="00A75B6D"/>
    <w:rsid w:val="00A75E59"/>
    <w:rsid w:val="00A75EE8"/>
    <w:rsid w:val="00A76052"/>
    <w:rsid w:val="00A763BD"/>
    <w:rsid w:val="00A765BA"/>
    <w:rsid w:val="00A76676"/>
    <w:rsid w:val="00A766EC"/>
    <w:rsid w:val="00A76A3A"/>
    <w:rsid w:val="00A76FE9"/>
    <w:rsid w:val="00A770F9"/>
    <w:rsid w:val="00A77246"/>
    <w:rsid w:val="00A77817"/>
    <w:rsid w:val="00A80423"/>
    <w:rsid w:val="00A8057D"/>
    <w:rsid w:val="00A8064D"/>
    <w:rsid w:val="00A80D8F"/>
    <w:rsid w:val="00A825C2"/>
    <w:rsid w:val="00A827DD"/>
    <w:rsid w:val="00A82931"/>
    <w:rsid w:val="00A829CA"/>
    <w:rsid w:val="00A829D4"/>
    <w:rsid w:val="00A82AA0"/>
    <w:rsid w:val="00A82AFA"/>
    <w:rsid w:val="00A82E32"/>
    <w:rsid w:val="00A82FC9"/>
    <w:rsid w:val="00A83107"/>
    <w:rsid w:val="00A837A4"/>
    <w:rsid w:val="00A83B16"/>
    <w:rsid w:val="00A83CBA"/>
    <w:rsid w:val="00A84455"/>
    <w:rsid w:val="00A84611"/>
    <w:rsid w:val="00A8473F"/>
    <w:rsid w:val="00A84793"/>
    <w:rsid w:val="00A8488D"/>
    <w:rsid w:val="00A848BE"/>
    <w:rsid w:val="00A848DC"/>
    <w:rsid w:val="00A84D15"/>
    <w:rsid w:val="00A850AE"/>
    <w:rsid w:val="00A85135"/>
    <w:rsid w:val="00A8569E"/>
    <w:rsid w:val="00A85AB7"/>
    <w:rsid w:val="00A85BB0"/>
    <w:rsid w:val="00A86155"/>
    <w:rsid w:val="00A8658C"/>
    <w:rsid w:val="00A86B7F"/>
    <w:rsid w:val="00A86D63"/>
    <w:rsid w:val="00A86E8B"/>
    <w:rsid w:val="00A86EDE"/>
    <w:rsid w:val="00A8711D"/>
    <w:rsid w:val="00A875A6"/>
    <w:rsid w:val="00A87933"/>
    <w:rsid w:val="00A87C18"/>
    <w:rsid w:val="00A87F23"/>
    <w:rsid w:val="00A90077"/>
    <w:rsid w:val="00A9008B"/>
    <w:rsid w:val="00A90C97"/>
    <w:rsid w:val="00A91D96"/>
    <w:rsid w:val="00A923CF"/>
    <w:rsid w:val="00A92419"/>
    <w:rsid w:val="00A92EA3"/>
    <w:rsid w:val="00A93611"/>
    <w:rsid w:val="00A9376E"/>
    <w:rsid w:val="00A939D5"/>
    <w:rsid w:val="00A93A72"/>
    <w:rsid w:val="00A93B49"/>
    <w:rsid w:val="00A93F74"/>
    <w:rsid w:val="00A940CE"/>
    <w:rsid w:val="00A94240"/>
    <w:rsid w:val="00A9450C"/>
    <w:rsid w:val="00A94878"/>
    <w:rsid w:val="00A94EA4"/>
    <w:rsid w:val="00A94F58"/>
    <w:rsid w:val="00A94F84"/>
    <w:rsid w:val="00A9537C"/>
    <w:rsid w:val="00A959D8"/>
    <w:rsid w:val="00A95A6D"/>
    <w:rsid w:val="00A95D37"/>
    <w:rsid w:val="00A95D4B"/>
    <w:rsid w:val="00A962CF"/>
    <w:rsid w:val="00A965E1"/>
    <w:rsid w:val="00A96631"/>
    <w:rsid w:val="00A96656"/>
    <w:rsid w:val="00A96B4F"/>
    <w:rsid w:val="00A96C9F"/>
    <w:rsid w:val="00A96E76"/>
    <w:rsid w:val="00A9799F"/>
    <w:rsid w:val="00A979E9"/>
    <w:rsid w:val="00A97C70"/>
    <w:rsid w:val="00A97DC0"/>
    <w:rsid w:val="00AA0888"/>
    <w:rsid w:val="00AA08D4"/>
    <w:rsid w:val="00AA0E58"/>
    <w:rsid w:val="00AA1258"/>
    <w:rsid w:val="00AA12DA"/>
    <w:rsid w:val="00AA1946"/>
    <w:rsid w:val="00AA194E"/>
    <w:rsid w:val="00AA1C89"/>
    <w:rsid w:val="00AA1CE9"/>
    <w:rsid w:val="00AA1DAC"/>
    <w:rsid w:val="00AA20D1"/>
    <w:rsid w:val="00AA21F2"/>
    <w:rsid w:val="00AA25B1"/>
    <w:rsid w:val="00AA352E"/>
    <w:rsid w:val="00AA36FC"/>
    <w:rsid w:val="00AA3AEA"/>
    <w:rsid w:val="00AA3E28"/>
    <w:rsid w:val="00AA4215"/>
    <w:rsid w:val="00AA453F"/>
    <w:rsid w:val="00AA476A"/>
    <w:rsid w:val="00AA4887"/>
    <w:rsid w:val="00AA552E"/>
    <w:rsid w:val="00AA5572"/>
    <w:rsid w:val="00AA5E47"/>
    <w:rsid w:val="00AA5E66"/>
    <w:rsid w:val="00AA5EC8"/>
    <w:rsid w:val="00AA5F7F"/>
    <w:rsid w:val="00AA601E"/>
    <w:rsid w:val="00AA6123"/>
    <w:rsid w:val="00AA6334"/>
    <w:rsid w:val="00AA649C"/>
    <w:rsid w:val="00AA65F7"/>
    <w:rsid w:val="00AA6645"/>
    <w:rsid w:val="00AA687C"/>
    <w:rsid w:val="00AA718C"/>
    <w:rsid w:val="00AA72A4"/>
    <w:rsid w:val="00AA782F"/>
    <w:rsid w:val="00AA78C6"/>
    <w:rsid w:val="00AA7BD2"/>
    <w:rsid w:val="00AB013E"/>
    <w:rsid w:val="00AB04ED"/>
    <w:rsid w:val="00AB06DE"/>
    <w:rsid w:val="00AB092F"/>
    <w:rsid w:val="00AB0A3A"/>
    <w:rsid w:val="00AB0ACB"/>
    <w:rsid w:val="00AB1250"/>
    <w:rsid w:val="00AB134A"/>
    <w:rsid w:val="00AB147C"/>
    <w:rsid w:val="00AB150E"/>
    <w:rsid w:val="00AB1790"/>
    <w:rsid w:val="00AB1CA7"/>
    <w:rsid w:val="00AB1DD9"/>
    <w:rsid w:val="00AB1EC6"/>
    <w:rsid w:val="00AB1EFA"/>
    <w:rsid w:val="00AB22BA"/>
    <w:rsid w:val="00AB2D02"/>
    <w:rsid w:val="00AB2FA3"/>
    <w:rsid w:val="00AB3515"/>
    <w:rsid w:val="00AB358C"/>
    <w:rsid w:val="00AB3BB3"/>
    <w:rsid w:val="00AB3C7A"/>
    <w:rsid w:val="00AB3CC7"/>
    <w:rsid w:val="00AB3D16"/>
    <w:rsid w:val="00AB4011"/>
    <w:rsid w:val="00AB4811"/>
    <w:rsid w:val="00AB4DF3"/>
    <w:rsid w:val="00AB4F21"/>
    <w:rsid w:val="00AB513F"/>
    <w:rsid w:val="00AB528F"/>
    <w:rsid w:val="00AB53FC"/>
    <w:rsid w:val="00AB6145"/>
    <w:rsid w:val="00AB63A8"/>
    <w:rsid w:val="00AB6BAD"/>
    <w:rsid w:val="00AB6C5E"/>
    <w:rsid w:val="00AB6F0D"/>
    <w:rsid w:val="00AB6F0F"/>
    <w:rsid w:val="00AB709A"/>
    <w:rsid w:val="00AB7205"/>
    <w:rsid w:val="00AB7216"/>
    <w:rsid w:val="00AB7585"/>
    <w:rsid w:val="00AB7AA3"/>
    <w:rsid w:val="00AC03B6"/>
    <w:rsid w:val="00AC0782"/>
    <w:rsid w:val="00AC08A9"/>
    <w:rsid w:val="00AC0ACD"/>
    <w:rsid w:val="00AC0C22"/>
    <w:rsid w:val="00AC0C63"/>
    <w:rsid w:val="00AC0DF6"/>
    <w:rsid w:val="00AC1244"/>
    <w:rsid w:val="00AC135B"/>
    <w:rsid w:val="00AC1911"/>
    <w:rsid w:val="00AC1915"/>
    <w:rsid w:val="00AC1BF9"/>
    <w:rsid w:val="00AC1F92"/>
    <w:rsid w:val="00AC1FC5"/>
    <w:rsid w:val="00AC224C"/>
    <w:rsid w:val="00AC22B3"/>
    <w:rsid w:val="00AC24E6"/>
    <w:rsid w:val="00AC2633"/>
    <w:rsid w:val="00AC2A98"/>
    <w:rsid w:val="00AC2C40"/>
    <w:rsid w:val="00AC2FC8"/>
    <w:rsid w:val="00AC2FE3"/>
    <w:rsid w:val="00AC302F"/>
    <w:rsid w:val="00AC36DE"/>
    <w:rsid w:val="00AC3793"/>
    <w:rsid w:val="00AC39F1"/>
    <w:rsid w:val="00AC4058"/>
    <w:rsid w:val="00AC4546"/>
    <w:rsid w:val="00AC4709"/>
    <w:rsid w:val="00AC4763"/>
    <w:rsid w:val="00AC4ADF"/>
    <w:rsid w:val="00AC4BB4"/>
    <w:rsid w:val="00AC4C99"/>
    <w:rsid w:val="00AC4F32"/>
    <w:rsid w:val="00AC552B"/>
    <w:rsid w:val="00AC55D0"/>
    <w:rsid w:val="00AC579E"/>
    <w:rsid w:val="00AC5B10"/>
    <w:rsid w:val="00AC5BF1"/>
    <w:rsid w:val="00AC5D73"/>
    <w:rsid w:val="00AC6022"/>
    <w:rsid w:val="00AC626B"/>
    <w:rsid w:val="00AC6294"/>
    <w:rsid w:val="00AC674E"/>
    <w:rsid w:val="00AC69AE"/>
    <w:rsid w:val="00AC6C87"/>
    <w:rsid w:val="00AC6DF2"/>
    <w:rsid w:val="00AC713C"/>
    <w:rsid w:val="00AC726C"/>
    <w:rsid w:val="00AC727E"/>
    <w:rsid w:val="00AC7430"/>
    <w:rsid w:val="00AC76BB"/>
    <w:rsid w:val="00AC78A8"/>
    <w:rsid w:val="00AC78D8"/>
    <w:rsid w:val="00AC7B08"/>
    <w:rsid w:val="00AC7B21"/>
    <w:rsid w:val="00AC7FF7"/>
    <w:rsid w:val="00AD00A7"/>
    <w:rsid w:val="00AD0863"/>
    <w:rsid w:val="00AD0B85"/>
    <w:rsid w:val="00AD0E02"/>
    <w:rsid w:val="00AD19F2"/>
    <w:rsid w:val="00AD1A79"/>
    <w:rsid w:val="00AD28B5"/>
    <w:rsid w:val="00AD2B27"/>
    <w:rsid w:val="00AD2C19"/>
    <w:rsid w:val="00AD2E6D"/>
    <w:rsid w:val="00AD353B"/>
    <w:rsid w:val="00AD36E8"/>
    <w:rsid w:val="00AD3C5B"/>
    <w:rsid w:val="00AD3D7E"/>
    <w:rsid w:val="00AD41AB"/>
    <w:rsid w:val="00AD481A"/>
    <w:rsid w:val="00AD4B92"/>
    <w:rsid w:val="00AD4C41"/>
    <w:rsid w:val="00AD4D7C"/>
    <w:rsid w:val="00AD4F01"/>
    <w:rsid w:val="00AD4F95"/>
    <w:rsid w:val="00AD5172"/>
    <w:rsid w:val="00AD55D5"/>
    <w:rsid w:val="00AD5689"/>
    <w:rsid w:val="00AD56E1"/>
    <w:rsid w:val="00AD57A6"/>
    <w:rsid w:val="00AD6047"/>
    <w:rsid w:val="00AD61F6"/>
    <w:rsid w:val="00AD6258"/>
    <w:rsid w:val="00AD6268"/>
    <w:rsid w:val="00AD6383"/>
    <w:rsid w:val="00AD6BEE"/>
    <w:rsid w:val="00AD72FD"/>
    <w:rsid w:val="00AD7629"/>
    <w:rsid w:val="00AD7675"/>
    <w:rsid w:val="00AD7BE4"/>
    <w:rsid w:val="00AD7D2A"/>
    <w:rsid w:val="00AD7E50"/>
    <w:rsid w:val="00AD7E86"/>
    <w:rsid w:val="00AD7EA7"/>
    <w:rsid w:val="00AD7EFA"/>
    <w:rsid w:val="00AE0311"/>
    <w:rsid w:val="00AE03F0"/>
    <w:rsid w:val="00AE041E"/>
    <w:rsid w:val="00AE083A"/>
    <w:rsid w:val="00AE0F83"/>
    <w:rsid w:val="00AE10FE"/>
    <w:rsid w:val="00AE129D"/>
    <w:rsid w:val="00AE1454"/>
    <w:rsid w:val="00AE1545"/>
    <w:rsid w:val="00AE175D"/>
    <w:rsid w:val="00AE1A73"/>
    <w:rsid w:val="00AE1AD3"/>
    <w:rsid w:val="00AE2881"/>
    <w:rsid w:val="00AE2A5A"/>
    <w:rsid w:val="00AE2A88"/>
    <w:rsid w:val="00AE2DF4"/>
    <w:rsid w:val="00AE2EA5"/>
    <w:rsid w:val="00AE34B0"/>
    <w:rsid w:val="00AE3746"/>
    <w:rsid w:val="00AE3830"/>
    <w:rsid w:val="00AE3865"/>
    <w:rsid w:val="00AE38DD"/>
    <w:rsid w:val="00AE3941"/>
    <w:rsid w:val="00AE3BA8"/>
    <w:rsid w:val="00AE3D6D"/>
    <w:rsid w:val="00AE3DE5"/>
    <w:rsid w:val="00AE3EDD"/>
    <w:rsid w:val="00AE486E"/>
    <w:rsid w:val="00AE49DA"/>
    <w:rsid w:val="00AE4D46"/>
    <w:rsid w:val="00AE53DF"/>
    <w:rsid w:val="00AE54F7"/>
    <w:rsid w:val="00AE57A0"/>
    <w:rsid w:val="00AE59E1"/>
    <w:rsid w:val="00AE5AB8"/>
    <w:rsid w:val="00AE6049"/>
    <w:rsid w:val="00AE60AD"/>
    <w:rsid w:val="00AE64E0"/>
    <w:rsid w:val="00AE651A"/>
    <w:rsid w:val="00AE694B"/>
    <w:rsid w:val="00AE71B4"/>
    <w:rsid w:val="00AE71EC"/>
    <w:rsid w:val="00AE75FA"/>
    <w:rsid w:val="00AE7650"/>
    <w:rsid w:val="00AE7EC7"/>
    <w:rsid w:val="00AF0919"/>
    <w:rsid w:val="00AF0F50"/>
    <w:rsid w:val="00AF12F4"/>
    <w:rsid w:val="00AF14D7"/>
    <w:rsid w:val="00AF15D6"/>
    <w:rsid w:val="00AF17AC"/>
    <w:rsid w:val="00AF1C4B"/>
    <w:rsid w:val="00AF1C9E"/>
    <w:rsid w:val="00AF1E1D"/>
    <w:rsid w:val="00AF1E67"/>
    <w:rsid w:val="00AF2098"/>
    <w:rsid w:val="00AF20F6"/>
    <w:rsid w:val="00AF2223"/>
    <w:rsid w:val="00AF22BB"/>
    <w:rsid w:val="00AF24D0"/>
    <w:rsid w:val="00AF24E2"/>
    <w:rsid w:val="00AF2509"/>
    <w:rsid w:val="00AF250C"/>
    <w:rsid w:val="00AF2CB5"/>
    <w:rsid w:val="00AF2D52"/>
    <w:rsid w:val="00AF340F"/>
    <w:rsid w:val="00AF3657"/>
    <w:rsid w:val="00AF3679"/>
    <w:rsid w:val="00AF36F2"/>
    <w:rsid w:val="00AF36FA"/>
    <w:rsid w:val="00AF3A3D"/>
    <w:rsid w:val="00AF3AC3"/>
    <w:rsid w:val="00AF3AEF"/>
    <w:rsid w:val="00AF3BD3"/>
    <w:rsid w:val="00AF3C07"/>
    <w:rsid w:val="00AF417C"/>
    <w:rsid w:val="00AF4854"/>
    <w:rsid w:val="00AF49D1"/>
    <w:rsid w:val="00AF4ADC"/>
    <w:rsid w:val="00AF4AFF"/>
    <w:rsid w:val="00AF4B85"/>
    <w:rsid w:val="00AF4EEB"/>
    <w:rsid w:val="00AF5447"/>
    <w:rsid w:val="00AF5719"/>
    <w:rsid w:val="00AF5848"/>
    <w:rsid w:val="00AF58AC"/>
    <w:rsid w:val="00AF5C02"/>
    <w:rsid w:val="00AF5FD6"/>
    <w:rsid w:val="00AF60EE"/>
    <w:rsid w:val="00AF65ED"/>
    <w:rsid w:val="00AF6938"/>
    <w:rsid w:val="00AF6A52"/>
    <w:rsid w:val="00AF72AC"/>
    <w:rsid w:val="00AF7360"/>
    <w:rsid w:val="00AF74BE"/>
    <w:rsid w:val="00AF754F"/>
    <w:rsid w:val="00AF7817"/>
    <w:rsid w:val="00AF789C"/>
    <w:rsid w:val="00AF7B43"/>
    <w:rsid w:val="00B00009"/>
    <w:rsid w:val="00B00361"/>
    <w:rsid w:val="00B0057B"/>
    <w:rsid w:val="00B00889"/>
    <w:rsid w:val="00B00941"/>
    <w:rsid w:val="00B00F43"/>
    <w:rsid w:val="00B0120C"/>
    <w:rsid w:val="00B01316"/>
    <w:rsid w:val="00B01436"/>
    <w:rsid w:val="00B0157F"/>
    <w:rsid w:val="00B015B4"/>
    <w:rsid w:val="00B015D9"/>
    <w:rsid w:val="00B019F2"/>
    <w:rsid w:val="00B02086"/>
    <w:rsid w:val="00B0220D"/>
    <w:rsid w:val="00B0275A"/>
    <w:rsid w:val="00B0278F"/>
    <w:rsid w:val="00B02A39"/>
    <w:rsid w:val="00B02AF6"/>
    <w:rsid w:val="00B0333E"/>
    <w:rsid w:val="00B03552"/>
    <w:rsid w:val="00B03A03"/>
    <w:rsid w:val="00B03A6C"/>
    <w:rsid w:val="00B045F2"/>
    <w:rsid w:val="00B04754"/>
    <w:rsid w:val="00B0480E"/>
    <w:rsid w:val="00B04934"/>
    <w:rsid w:val="00B04993"/>
    <w:rsid w:val="00B04C81"/>
    <w:rsid w:val="00B04F05"/>
    <w:rsid w:val="00B04F6E"/>
    <w:rsid w:val="00B051F9"/>
    <w:rsid w:val="00B05332"/>
    <w:rsid w:val="00B053E7"/>
    <w:rsid w:val="00B053FC"/>
    <w:rsid w:val="00B05742"/>
    <w:rsid w:val="00B06A4B"/>
    <w:rsid w:val="00B070A9"/>
    <w:rsid w:val="00B070AD"/>
    <w:rsid w:val="00B07394"/>
    <w:rsid w:val="00B074F7"/>
    <w:rsid w:val="00B105BC"/>
    <w:rsid w:val="00B1062C"/>
    <w:rsid w:val="00B10645"/>
    <w:rsid w:val="00B10A4F"/>
    <w:rsid w:val="00B10CE5"/>
    <w:rsid w:val="00B10F14"/>
    <w:rsid w:val="00B1115B"/>
    <w:rsid w:val="00B114DA"/>
    <w:rsid w:val="00B117FD"/>
    <w:rsid w:val="00B11853"/>
    <w:rsid w:val="00B125F3"/>
    <w:rsid w:val="00B129CD"/>
    <w:rsid w:val="00B12CED"/>
    <w:rsid w:val="00B12DA3"/>
    <w:rsid w:val="00B13225"/>
    <w:rsid w:val="00B135C9"/>
    <w:rsid w:val="00B135E7"/>
    <w:rsid w:val="00B139FC"/>
    <w:rsid w:val="00B13E43"/>
    <w:rsid w:val="00B14852"/>
    <w:rsid w:val="00B14AF5"/>
    <w:rsid w:val="00B15489"/>
    <w:rsid w:val="00B154CC"/>
    <w:rsid w:val="00B1598A"/>
    <w:rsid w:val="00B15AF0"/>
    <w:rsid w:val="00B15B2F"/>
    <w:rsid w:val="00B15C4D"/>
    <w:rsid w:val="00B15DA3"/>
    <w:rsid w:val="00B15E5B"/>
    <w:rsid w:val="00B15E96"/>
    <w:rsid w:val="00B16132"/>
    <w:rsid w:val="00B1630F"/>
    <w:rsid w:val="00B1660A"/>
    <w:rsid w:val="00B16A8B"/>
    <w:rsid w:val="00B16EAB"/>
    <w:rsid w:val="00B170C4"/>
    <w:rsid w:val="00B17422"/>
    <w:rsid w:val="00B175EB"/>
    <w:rsid w:val="00B179A6"/>
    <w:rsid w:val="00B179A9"/>
    <w:rsid w:val="00B17B3D"/>
    <w:rsid w:val="00B20057"/>
    <w:rsid w:val="00B20696"/>
    <w:rsid w:val="00B20D5E"/>
    <w:rsid w:val="00B2121D"/>
    <w:rsid w:val="00B218A8"/>
    <w:rsid w:val="00B21988"/>
    <w:rsid w:val="00B21F38"/>
    <w:rsid w:val="00B21FEA"/>
    <w:rsid w:val="00B221D5"/>
    <w:rsid w:val="00B22832"/>
    <w:rsid w:val="00B228C5"/>
    <w:rsid w:val="00B229B3"/>
    <w:rsid w:val="00B22B0F"/>
    <w:rsid w:val="00B22BA5"/>
    <w:rsid w:val="00B22C0A"/>
    <w:rsid w:val="00B233EC"/>
    <w:rsid w:val="00B234F1"/>
    <w:rsid w:val="00B23ADF"/>
    <w:rsid w:val="00B23B9C"/>
    <w:rsid w:val="00B244F7"/>
    <w:rsid w:val="00B24A1A"/>
    <w:rsid w:val="00B24C30"/>
    <w:rsid w:val="00B24CA2"/>
    <w:rsid w:val="00B2562A"/>
    <w:rsid w:val="00B2599D"/>
    <w:rsid w:val="00B25DA3"/>
    <w:rsid w:val="00B25F63"/>
    <w:rsid w:val="00B26610"/>
    <w:rsid w:val="00B26F40"/>
    <w:rsid w:val="00B26F5D"/>
    <w:rsid w:val="00B2709B"/>
    <w:rsid w:val="00B27423"/>
    <w:rsid w:val="00B27C3D"/>
    <w:rsid w:val="00B27C84"/>
    <w:rsid w:val="00B27EF1"/>
    <w:rsid w:val="00B30460"/>
    <w:rsid w:val="00B30850"/>
    <w:rsid w:val="00B30BBC"/>
    <w:rsid w:val="00B31002"/>
    <w:rsid w:val="00B3110A"/>
    <w:rsid w:val="00B313BE"/>
    <w:rsid w:val="00B317F6"/>
    <w:rsid w:val="00B31FA2"/>
    <w:rsid w:val="00B32268"/>
    <w:rsid w:val="00B32BF4"/>
    <w:rsid w:val="00B32C35"/>
    <w:rsid w:val="00B32DC6"/>
    <w:rsid w:val="00B32E6B"/>
    <w:rsid w:val="00B32F4F"/>
    <w:rsid w:val="00B32FF2"/>
    <w:rsid w:val="00B3308D"/>
    <w:rsid w:val="00B33718"/>
    <w:rsid w:val="00B33A55"/>
    <w:rsid w:val="00B33BC5"/>
    <w:rsid w:val="00B33DB0"/>
    <w:rsid w:val="00B345D9"/>
    <w:rsid w:val="00B34687"/>
    <w:rsid w:val="00B346A1"/>
    <w:rsid w:val="00B346AF"/>
    <w:rsid w:val="00B34B6D"/>
    <w:rsid w:val="00B353FE"/>
    <w:rsid w:val="00B35429"/>
    <w:rsid w:val="00B35570"/>
    <w:rsid w:val="00B35966"/>
    <w:rsid w:val="00B35D1D"/>
    <w:rsid w:val="00B3602E"/>
    <w:rsid w:val="00B363C1"/>
    <w:rsid w:val="00B36573"/>
    <w:rsid w:val="00B3658E"/>
    <w:rsid w:val="00B3665C"/>
    <w:rsid w:val="00B36885"/>
    <w:rsid w:val="00B36D89"/>
    <w:rsid w:val="00B36DD0"/>
    <w:rsid w:val="00B374AA"/>
    <w:rsid w:val="00B374BB"/>
    <w:rsid w:val="00B3756A"/>
    <w:rsid w:val="00B378FF"/>
    <w:rsid w:val="00B37B4E"/>
    <w:rsid w:val="00B37E58"/>
    <w:rsid w:val="00B4001F"/>
    <w:rsid w:val="00B40682"/>
    <w:rsid w:val="00B407E3"/>
    <w:rsid w:val="00B40A7E"/>
    <w:rsid w:val="00B40F7C"/>
    <w:rsid w:val="00B411E8"/>
    <w:rsid w:val="00B413B5"/>
    <w:rsid w:val="00B4149F"/>
    <w:rsid w:val="00B414CC"/>
    <w:rsid w:val="00B417F3"/>
    <w:rsid w:val="00B41AD5"/>
    <w:rsid w:val="00B41F7A"/>
    <w:rsid w:val="00B421C8"/>
    <w:rsid w:val="00B4242A"/>
    <w:rsid w:val="00B42FD8"/>
    <w:rsid w:val="00B433B0"/>
    <w:rsid w:val="00B43BD1"/>
    <w:rsid w:val="00B43DFA"/>
    <w:rsid w:val="00B43E4E"/>
    <w:rsid w:val="00B44186"/>
    <w:rsid w:val="00B445E4"/>
    <w:rsid w:val="00B4485E"/>
    <w:rsid w:val="00B45265"/>
    <w:rsid w:val="00B456D3"/>
    <w:rsid w:val="00B45AE4"/>
    <w:rsid w:val="00B45F57"/>
    <w:rsid w:val="00B45FF6"/>
    <w:rsid w:val="00B460CB"/>
    <w:rsid w:val="00B4639B"/>
    <w:rsid w:val="00B466EC"/>
    <w:rsid w:val="00B4679F"/>
    <w:rsid w:val="00B46898"/>
    <w:rsid w:val="00B46D2B"/>
    <w:rsid w:val="00B46E53"/>
    <w:rsid w:val="00B47013"/>
    <w:rsid w:val="00B47AFB"/>
    <w:rsid w:val="00B47F3F"/>
    <w:rsid w:val="00B47F81"/>
    <w:rsid w:val="00B50156"/>
    <w:rsid w:val="00B5030A"/>
    <w:rsid w:val="00B50575"/>
    <w:rsid w:val="00B507EA"/>
    <w:rsid w:val="00B509E9"/>
    <w:rsid w:val="00B50F4D"/>
    <w:rsid w:val="00B51016"/>
    <w:rsid w:val="00B51205"/>
    <w:rsid w:val="00B51270"/>
    <w:rsid w:val="00B512EF"/>
    <w:rsid w:val="00B512F5"/>
    <w:rsid w:val="00B512F9"/>
    <w:rsid w:val="00B51313"/>
    <w:rsid w:val="00B515D6"/>
    <w:rsid w:val="00B51694"/>
    <w:rsid w:val="00B516B8"/>
    <w:rsid w:val="00B519CE"/>
    <w:rsid w:val="00B51D89"/>
    <w:rsid w:val="00B51FFC"/>
    <w:rsid w:val="00B52079"/>
    <w:rsid w:val="00B5217A"/>
    <w:rsid w:val="00B5219B"/>
    <w:rsid w:val="00B5238A"/>
    <w:rsid w:val="00B52790"/>
    <w:rsid w:val="00B5295F"/>
    <w:rsid w:val="00B529AC"/>
    <w:rsid w:val="00B52ADB"/>
    <w:rsid w:val="00B52CC9"/>
    <w:rsid w:val="00B53473"/>
    <w:rsid w:val="00B53BA3"/>
    <w:rsid w:val="00B53CBE"/>
    <w:rsid w:val="00B53E10"/>
    <w:rsid w:val="00B54278"/>
    <w:rsid w:val="00B546BB"/>
    <w:rsid w:val="00B5489D"/>
    <w:rsid w:val="00B54B7E"/>
    <w:rsid w:val="00B54D8E"/>
    <w:rsid w:val="00B551B3"/>
    <w:rsid w:val="00B55326"/>
    <w:rsid w:val="00B55462"/>
    <w:rsid w:val="00B5573E"/>
    <w:rsid w:val="00B55822"/>
    <w:rsid w:val="00B55AB7"/>
    <w:rsid w:val="00B55B1A"/>
    <w:rsid w:val="00B55B1E"/>
    <w:rsid w:val="00B55CDF"/>
    <w:rsid w:val="00B55E66"/>
    <w:rsid w:val="00B56132"/>
    <w:rsid w:val="00B56AC0"/>
    <w:rsid w:val="00B5723F"/>
    <w:rsid w:val="00B57281"/>
    <w:rsid w:val="00B57A40"/>
    <w:rsid w:val="00B57ADE"/>
    <w:rsid w:val="00B57B4F"/>
    <w:rsid w:val="00B57F7B"/>
    <w:rsid w:val="00B600DC"/>
    <w:rsid w:val="00B605CD"/>
    <w:rsid w:val="00B60826"/>
    <w:rsid w:val="00B60C42"/>
    <w:rsid w:val="00B61494"/>
    <w:rsid w:val="00B6188B"/>
    <w:rsid w:val="00B61C49"/>
    <w:rsid w:val="00B61E68"/>
    <w:rsid w:val="00B61E78"/>
    <w:rsid w:val="00B62018"/>
    <w:rsid w:val="00B621C6"/>
    <w:rsid w:val="00B622CC"/>
    <w:rsid w:val="00B622DB"/>
    <w:rsid w:val="00B62767"/>
    <w:rsid w:val="00B627C5"/>
    <w:rsid w:val="00B629A8"/>
    <w:rsid w:val="00B62A3A"/>
    <w:rsid w:val="00B62A4E"/>
    <w:rsid w:val="00B62D37"/>
    <w:rsid w:val="00B62DDD"/>
    <w:rsid w:val="00B62F1D"/>
    <w:rsid w:val="00B630D6"/>
    <w:rsid w:val="00B6314D"/>
    <w:rsid w:val="00B632CF"/>
    <w:rsid w:val="00B63A21"/>
    <w:rsid w:val="00B63A54"/>
    <w:rsid w:val="00B63AB8"/>
    <w:rsid w:val="00B63B36"/>
    <w:rsid w:val="00B63E5E"/>
    <w:rsid w:val="00B63F94"/>
    <w:rsid w:val="00B649F4"/>
    <w:rsid w:val="00B64CDA"/>
    <w:rsid w:val="00B64D8A"/>
    <w:rsid w:val="00B65149"/>
    <w:rsid w:val="00B659AF"/>
    <w:rsid w:val="00B65D5E"/>
    <w:rsid w:val="00B65E2E"/>
    <w:rsid w:val="00B65EFA"/>
    <w:rsid w:val="00B664C3"/>
    <w:rsid w:val="00B66917"/>
    <w:rsid w:val="00B66990"/>
    <w:rsid w:val="00B66B50"/>
    <w:rsid w:val="00B67323"/>
    <w:rsid w:val="00B67335"/>
    <w:rsid w:val="00B67488"/>
    <w:rsid w:val="00B67835"/>
    <w:rsid w:val="00B67967"/>
    <w:rsid w:val="00B67A4E"/>
    <w:rsid w:val="00B67D15"/>
    <w:rsid w:val="00B67DCB"/>
    <w:rsid w:val="00B67F0B"/>
    <w:rsid w:val="00B703F6"/>
    <w:rsid w:val="00B70454"/>
    <w:rsid w:val="00B704F4"/>
    <w:rsid w:val="00B7063F"/>
    <w:rsid w:val="00B706F4"/>
    <w:rsid w:val="00B70A16"/>
    <w:rsid w:val="00B70B9A"/>
    <w:rsid w:val="00B70E69"/>
    <w:rsid w:val="00B71071"/>
    <w:rsid w:val="00B711AA"/>
    <w:rsid w:val="00B7124D"/>
    <w:rsid w:val="00B7128C"/>
    <w:rsid w:val="00B7156B"/>
    <w:rsid w:val="00B715A7"/>
    <w:rsid w:val="00B71630"/>
    <w:rsid w:val="00B71A69"/>
    <w:rsid w:val="00B71E3D"/>
    <w:rsid w:val="00B71F7A"/>
    <w:rsid w:val="00B721F7"/>
    <w:rsid w:val="00B722B4"/>
    <w:rsid w:val="00B7241C"/>
    <w:rsid w:val="00B72570"/>
    <w:rsid w:val="00B7265F"/>
    <w:rsid w:val="00B728F5"/>
    <w:rsid w:val="00B72AB1"/>
    <w:rsid w:val="00B738F7"/>
    <w:rsid w:val="00B739AE"/>
    <w:rsid w:val="00B739C7"/>
    <w:rsid w:val="00B73AD8"/>
    <w:rsid w:val="00B73F68"/>
    <w:rsid w:val="00B746BF"/>
    <w:rsid w:val="00B75BA7"/>
    <w:rsid w:val="00B762AE"/>
    <w:rsid w:val="00B76E2C"/>
    <w:rsid w:val="00B76E8D"/>
    <w:rsid w:val="00B77328"/>
    <w:rsid w:val="00B773BC"/>
    <w:rsid w:val="00B77441"/>
    <w:rsid w:val="00B779A4"/>
    <w:rsid w:val="00B77C82"/>
    <w:rsid w:val="00B80185"/>
    <w:rsid w:val="00B804C1"/>
    <w:rsid w:val="00B80CED"/>
    <w:rsid w:val="00B8116D"/>
    <w:rsid w:val="00B8123D"/>
    <w:rsid w:val="00B81333"/>
    <w:rsid w:val="00B817BA"/>
    <w:rsid w:val="00B81AC6"/>
    <w:rsid w:val="00B820CB"/>
    <w:rsid w:val="00B822CA"/>
    <w:rsid w:val="00B82BA3"/>
    <w:rsid w:val="00B8344E"/>
    <w:rsid w:val="00B83921"/>
    <w:rsid w:val="00B83963"/>
    <w:rsid w:val="00B83B18"/>
    <w:rsid w:val="00B83B26"/>
    <w:rsid w:val="00B83D1A"/>
    <w:rsid w:val="00B83E17"/>
    <w:rsid w:val="00B840F0"/>
    <w:rsid w:val="00B84387"/>
    <w:rsid w:val="00B8440A"/>
    <w:rsid w:val="00B8469C"/>
    <w:rsid w:val="00B84789"/>
    <w:rsid w:val="00B84BA3"/>
    <w:rsid w:val="00B84C04"/>
    <w:rsid w:val="00B84C60"/>
    <w:rsid w:val="00B84F5E"/>
    <w:rsid w:val="00B85135"/>
    <w:rsid w:val="00B8589E"/>
    <w:rsid w:val="00B85C45"/>
    <w:rsid w:val="00B85C9E"/>
    <w:rsid w:val="00B85D67"/>
    <w:rsid w:val="00B86126"/>
    <w:rsid w:val="00B86443"/>
    <w:rsid w:val="00B86707"/>
    <w:rsid w:val="00B86931"/>
    <w:rsid w:val="00B87538"/>
    <w:rsid w:val="00B876DB"/>
    <w:rsid w:val="00B87860"/>
    <w:rsid w:val="00B87AA3"/>
    <w:rsid w:val="00B87C7B"/>
    <w:rsid w:val="00B87DD6"/>
    <w:rsid w:val="00B905A6"/>
    <w:rsid w:val="00B90769"/>
    <w:rsid w:val="00B90B62"/>
    <w:rsid w:val="00B90C2B"/>
    <w:rsid w:val="00B90DD2"/>
    <w:rsid w:val="00B90DE6"/>
    <w:rsid w:val="00B9102F"/>
    <w:rsid w:val="00B91643"/>
    <w:rsid w:val="00B91B9E"/>
    <w:rsid w:val="00B923A0"/>
    <w:rsid w:val="00B925AB"/>
    <w:rsid w:val="00B92A61"/>
    <w:rsid w:val="00B92A9D"/>
    <w:rsid w:val="00B92B08"/>
    <w:rsid w:val="00B92EE8"/>
    <w:rsid w:val="00B92FB9"/>
    <w:rsid w:val="00B931CB"/>
    <w:rsid w:val="00B932A2"/>
    <w:rsid w:val="00B93545"/>
    <w:rsid w:val="00B93650"/>
    <w:rsid w:val="00B9374D"/>
    <w:rsid w:val="00B937CD"/>
    <w:rsid w:val="00B93CB9"/>
    <w:rsid w:val="00B93E51"/>
    <w:rsid w:val="00B9421A"/>
    <w:rsid w:val="00B94611"/>
    <w:rsid w:val="00B946EE"/>
    <w:rsid w:val="00B94D54"/>
    <w:rsid w:val="00B94F29"/>
    <w:rsid w:val="00B95410"/>
    <w:rsid w:val="00B95473"/>
    <w:rsid w:val="00B95627"/>
    <w:rsid w:val="00B95642"/>
    <w:rsid w:val="00B958A5"/>
    <w:rsid w:val="00B95A1E"/>
    <w:rsid w:val="00B95E23"/>
    <w:rsid w:val="00B964EA"/>
    <w:rsid w:val="00B9669E"/>
    <w:rsid w:val="00B96C51"/>
    <w:rsid w:val="00B971D8"/>
    <w:rsid w:val="00B97293"/>
    <w:rsid w:val="00B9765E"/>
    <w:rsid w:val="00B977C3"/>
    <w:rsid w:val="00B978FC"/>
    <w:rsid w:val="00BA0238"/>
    <w:rsid w:val="00BA04AF"/>
    <w:rsid w:val="00BA0565"/>
    <w:rsid w:val="00BA06D1"/>
    <w:rsid w:val="00BA0942"/>
    <w:rsid w:val="00BA0A3F"/>
    <w:rsid w:val="00BA0D03"/>
    <w:rsid w:val="00BA0D52"/>
    <w:rsid w:val="00BA0EA1"/>
    <w:rsid w:val="00BA0EF2"/>
    <w:rsid w:val="00BA11ED"/>
    <w:rsid w:val="00BA14F7"/>
    <w:rsid w:val="00BA1605"/>
    <w:rsid w:val="00BA1826"/>
    <w:rsid w:val="00BA1BA4"/>
    <w:rsid w:val="00BA1C28"/>
    <w:rsid w:val="00BA2368"/>
    <w:rsid w:val="00BA2726"/>
    <w:rsid w:val="00BA277B"/>
    <w:rsid w:val="00BA2E97"/>
    <w:rsid w:val="00BA2FBE"/>
    <w:rsid w:val="00BA32F9"/>
    <w:rsid w:val="00BA3537"/>
    <w:rsid w:val="00BA3839"/>
    <w:rsid w:val="00BA3C0D"/>
    <w:rsid w:val="00BA3CEF"/>
    <w:rsid w:val="00BA3D28"/>
    <w:rsid w:val="00BA411E"/>
    <w:rsid w:val="00BA461B"/>
    <w:rsid w:val="00BA4ABE"/>
    <w:rsid w:val="00BA512B"/>
    <w:rsid w:val="00BA51B0"/>
    <w:rsid w:val="00BA52F0"/>
    <w:rsid w:val="00BA5485"/>
    <w:rsid w:val="00BA6108"/>
    <w:rsid w:val="00BA658E"/>
    <w:rsid w:val="00BA6691"/>
    <w:rsid w:val="00BA6706"/>
    <w:rsid w:val="00BA6743"/>
    <w:rsid w:val="00BA6B7E"/>
    <w:rsid w:val="00BA6E1B"/>
    <w:rsid w:val="00BA6E7E"/>
    <w:rsid w:val="00BA7515"/>
    <w:rsid w:val="00BA7716"/>
    <w:rsid w:val="00BA777B"/>
    <w:rsid w:val="00BA7BA2"/>
    <w:rsid w:val="00BA7C77"/>
    <w:rsid w:val="00BA7CE1"/>
    <w:rsid w:val="00BB033E"/>
    <w:rsid w:val="00BB044C"/>
    <w:rsid w:val="00BB06E3"/>
    <w:rsid w:val="00BB0BB4"/>
    <w:rsid w:val="00BB1274"/>
    <w:rsid w:val="00BB1472"/>
    <w:rsid w:val="00BB182A"/>
    <w:rsid w:val="00BB1BC5"/>
    <w:rsid w:val="00BB1FBC"/>
    <w:rsid w:val="00BB2225"/>
    <w:rsid w:val="00BB2295"/>
    <w:rsid w:val="00BB236C"/>
    <w:rsid w:val="00BB2410"/>
    <w:rsid w:val="00BB29DD"/>
    <w:rsid w:val="00BB2BCF"/>
    <w:rsid w:val="00BB2D32"/>
    <w:rsid w:val="00BB36E3"/>
    <w:rsid w:val="00BB3746"/>
    <w:rsid w:val="00BB3A26"/>
    <w:rsid w:val="00BB3C9B"/>
    <w:rsid w:val="00BB3D13"/>
    <w:rsid w:val="00BB3F0C"/>
    <w:rsid w:val="00BB4167"/>
    <w:rsid w:val="00BB4CB9"/>
    <w:rsid w:val="00BB53C5"/>
    <w:rsid w:val="00BB5A2C"/>
    <w:rsid w:val="00BB60AD"/>
    <w:rsid w:val="00BB61B5"/>
    <w:rsid w:val="00BB6235"/>
    <w:rsid w:val="00BB632F"/>
    <w:rsid w:val="00BB64B2"/>
    <w:rsid w:val="00BB6506"/>
    <w:rsid w:val="00BB67A8"/>
    <w:rsid w:val="00BB6B21"/>
    <w:rsid w:val="00BB6B4D"/>
    <w:rsid w:val="00BB6E0C"/>
    <w:rsid w:val="00BB6FB5"/>
    <w:rsid w:val="00BB775E"/>
    <w:rsid w:val="00BB79BE"/>
    <w:rsid w:val="00BB7B26"/>
    <w:rsid w:val="00BC05AF"/>
    <w:rsid w:val="00BC05D2"/>
    <w:rsid w:val="00BC070D"/>
    <w:rsid w:val="00BC08FC"/>
    <w:rsid w:val="00BC09DA"/>
    <w:rsid w:val="00BC0B6F"/>
    <w:rsid w:val="00BC0D1E"/>
    <w:rsid w:val="00BC0E3E"/>
    <w:rsid w:val="00BC1071"/>
    <w:rsid w:val="00BC138D"/>
    <w:rsid w:val="00BC1449"/>
    <w:rsid w:val="00BC1C62"/>
    <w:rsid w:val="00BC1C99"/>
    <w:rsid w:val="00BC2219"/>
    <w:rsid w:val="00BC2257"/>
    <w:rsid w:val="00BC2965"/>
    <w:rsid w:val="00BC2D82"/>
    <w:rsid w:val="00BC3556"/>
    <w:rsid w:val="00BC3CD1"/>
    <w:rsid w:val="00BC42A6"/>
    <w:rsid w:val="00BC4582"/>
    <w:rsid w:val="00BC48FC"/>
    <w:rsid w:val="00BC4AF4"/>
    <w:rsid w:val="00BC50BD"/>
    <w:rsid w:val="00BC53D2"/>
    <w:rsid w:val="00BC54A7"/>
    <w:rsid w:val="00BC5628"/>
    <w:rsid w:val="00BC5660"/>
    <w:rsid w:val="00BC5AA9"/>
    <w:rsid w:val="00BC5B00"/>
    <w:rsid w:val="00BC5F6E"/>
    <w:rsid w:val="00BC6312"/>
    <w:rsid w:val="00BC63A2"/>
    <w:rsid w:val="00BC63A7"/>
    <w:rsid w:val="00BC6744"/>
    <w:rsid w:val="00BC6A9E"/>
    <w:rsid w:val="00BC6C2B"/>
    <w:rsid w:val="00BC6C8A"/>
    <w:rsid w:val="00BC720A"/>
    <w:rsid w:val="00BC7966"/>
    <w:rsid w:val="00BC7C62"/>
    <w:rsid w:val="00BC7E79"/>
    <w:rsid w:val="00BD0978"/>
    <w:rsid w:val="00BD0A45"/>
    <w:rsid w:val="00BD0BA3"/>
    <w:rsid w:val="00BD0BE6"/>
    <w:rsid w:val="00BD0CE4"/>
    <w:rsid w:val="00BD0D20"/>
    <w:rsid w:val="00BD0DC3"/>
    <w:rsid w:val="00BD0F25"/>
    <w:rsid w:val="00BD0F9A"/>
    <w:rsid w:val="00BD161E"/>
    <w:rsid w:val="00BD1901"/>
    <w:rsid w:val="00BD1E5A"/>
    <w:rsid w:val="00BD23A0"/>
    <w:rsid w:val="00BD2563"/>
    <w:rsid w:val="00BD2B50"/>
    <w:rsid w:val="00BD2DD9"/>
    <w:rsid w:val="00BD3117"/>
    <w:rsid w:val="00BD31AD"/>
    <w:rsid w:val="00BD3983"/>
    <w:rsid w:val="00BD3B35"/>
    <w:rsid w:val="00BD3DC9"/>
    <w:rsid w:val="00BD3F0C"/>
    <w:rsid w:val="00BD3F2B"/>
    <w:rsid w:val="00BD4032"/>
    <w:rsid w:val="00BD4218"/>
    <w:rsid w:val="00BD4BB2"/>
    <w:rsid w:val="00BD4BC0"/>
    <w:rsid w:val="00BD4D7E"/>
    <w:rsid w:val="00BD50CA"/>
    <w:rsid w:val="00BD5500"/>
    <w:rsid w:val="00BD5C1B"/>
    <w:rsid w:val="00BD5C5D"/>
    <w:rsid w:val="00BD6245"/>
    <w:rsid w:val="00BD633A"/>
    <w:rsid w:val="00BD67DA"/>
    <w:rsid w:val="00BD6DE3"/>
    <w:rsid w:val="00BD6F73"/>
    <w:rsid w:val="00BD71E7"/>
    <w:rsid w:val="00BD7674"/>
    <w:rsid w:val="00BD7B4A"/>
    <w:rsid w:val="00BE00E7"/>
    <w:rsid w:val="00BE0224"/>
    <w:rsid w:val="00BE07C0"/>
    <w:rsid w:val="00BE07D8"/>
    <w:rsid w:val="00BE09D7"/>
    <w:rsid w:val="00BE0CEC"/>
    <w:rsid w:val="00BE0EEA"/>
    <w:rsid w:val="00BE122A"/>
    <w:rsid w:val="00BE146A"/>
    <w:rsid w:val="00BE15B5"/>
    <w:rsid w:val="00BE1608"/>
    <w:rsid w:val="00BE16FA"/>
    <w:rsid w:val="00BE17B2"/>
    <w:rsid w:val="00BE1A80"/>
    <w:rsid w:val="00BE1BFE"/>
    <w:rsid w:val="00BE1E70"/>
    <w:rsid w:val="00BE21ED"/>
    <w:rsid w:val="00BE22D1"/>
    <w:rsid w:val="00BE245B"/>
    <w:rsid w:val="00BE2627"/>
    <w:rsid w:val="00BE29B9"/>
    <w:rsid w:val="00BE2BCF"/>
    <w:rsid w:val="00BE2BEE"/>
    <w:rsid w:val="00BE2ED6"/>
    <w:rsid w:val="00BE315A"/>
    <w:rsid w:val="00BE37B6"/>
    <w:rsid w:val="00BE3945"/>
    <w:rsid w:val="00BE3B03"/>
    <w:rsid w:val="00BE3D5E"/>
    <w:rsid w:val="00BE44EB"/>
    <w:rsid w:val="00BE46DC"/>
    <w:rsid w:val="00BE470F"/>
    <w:rsid w:val="00BE47E7"/>
    <w:rsid w:val="00BE4AE3"/>
    <w:rsid w:val="00BE4FE1"/>
    <w:rsid w:val="00BE5189"/>
    <w:rsid w:val="00BE51FA"/>
    <w:rsid w:val="00BE5396"/>
    <w:rsid w:val="00BE590E"/>
    <w:rsid w:val="00BE5C6B"/>
    <w:rsid w:val="00BE5CE9"/>
    <w:rsid w:val="00BE5EF8"/>
    <w:rsid w:val="00BE5F59"/>
    <w:rsid w:val="00BE5FA0"/>
    <w:rsid w:val="00BE602E"/>
    <w:rsid w:val="00BE661D"/>
    <w:rsid w:val="00BE67C2"/>
    <w:rsid w:val="00BE6A8B"/>
    <w:rsid w:val="00BE719F"/>
    <w:rsid w:val="00BE7248"/>
    <w:rsid w:val="00BE76DB"/>
    <w:rsid w:val="00BE77EC"/>
    <w:rsid w:val="00BE7821"/>
    <w:rsid w:val="00BE78E2"/>
    <w:rsid w:val="00BE793D"/>
    <w:rsid w:val="00BE7B13"/>
    <w:rsid w:val="00BE7C95"/>
    <w:rsid w:val="00BF0176"/>
    <w:rsid w:val="00BF0332"/>
    <w:rsid w:val="00BF03BC"/>
    <w:rsid w:val="00BF03FD"/>
    <w:rsid w:val="00BF0516"/>
    <w:rsid w:val="00BF070C"/>
    <w:rsid w:val="00BF0862"/>
    <w:rsid w:val="00BF0BED"/>
    <w:rsid w:val="00BF0C9D"/>
    <w:rsid w:val="00BF1739"/>
    <w:rsid w:val="00BF1856"/>
    <w:rsid w:val="00BF22E2"/>
    <w:rsid w:val="00BF2418"/>
    <w:rsid w:val="00BF258E"/>
    <w:rsid w:val="00BF288A"/>
    <w:rsid w:val="00BF2FE9"/>
    <w:rsid w:val="00BF30E5"/>
    <w:rsid w:val="00BF32D4"/>
    <w:rsid w:val="00BF3627"/>
    <w:rsid w:val="00BF373A"/>
    <w:rsid w:val="00BF3A6B"/>
    <w:rsid w:val="00BF3A80"/>
    <w:rsid w:val="00BF3B4F"/>
    <w:rsid w:val="00BF3EB4"/>
    <w:rsid w:val="00BF3FF3"/>
    <w:rsid w:val="00BF44E3"/>
    <w:rsid w:val="00BF4561"/>
    <w:rsid w:val="00BF4A45"/>
    <w:rsid w:val="00BF4C4D"/>
    <w:rsid w:val="00BF4CA7"/>
    <w:rsid w:val="00BF4F41"/>
    <w:rsid w:val="00BF4FE2"/>
    <w:rsid w:val="00BF53C1"/>
    <w:rsid w:val="00BF546D"/>
    <w:rsid w:val="00BF5728"/>
    <w:rsid w:val="00BF5B2A"/>
    <w:rsid w:val="00BF642C"/>
    <w:rsid w:val="00BF67C2"/>
    <w:rsid w:val="00BF67D8"/>
    <w:rsid w:val="00BF67FE"/>
    <w:rsid w:val="00BF681C"/>
    <w:rsid w:val="00BF6BC2"/>
    <w:rsid w:val="00BF7005"/>
    <w:rsid w:val="00BF7243"/>
    <w:rsid w:val="00BF7315"/>
    <w:rsid w:val="00BF7715"/>
    <w:rsid w:val="00C00074"/>
    <w:rsid w:val="00C000A7"/>
    <w:rsid w:val="00C002F1"/>
    <w:rsid w:val="00C00A90"/>
    <w:rsid w:val="00C01001"/>
    <w:rsid w:val="00C010B5"/>
    <w:rsid w:val="00C019F8"/>
    <w:rsid w:val="00C01BA5"/>
    <w:rsid w:val="00C01BAD"/>
    <w:rsid w:val="00C01CAD"/>
    <w:rsid w:val="00C0222F"/>
    <w:rsid w:val="00C026E1"/>
    <w:rsid w:val="00C032F5"/>
    <w:rsid w:val="00C039C5"/>
    <w:rsid w:val="00C039D1"/>
    <w:rsid w:val="00C03DD5"/>
    <w:rsid w:val="00C03E18"/>
    <w:rsid w:val="00C04842"/>
    <w:rsid w:val="00C0486F"/>
    <w:rsid w:val="00C04AB8"/>
    <w:rsid w:val="00C04ADE"/>
    <w:rsid w:val="00C05505"/>
    <w:rsid w:val="00C05592"/>
    <w:rsid w:val="00C0584F"/>
    <w:rsid w:val="00C05BF2"/>
    <w:rsid w:val="00C05D7E"/>
    <w:rsid w:val="00C06000"/>
    <w:rsid w:val="00C066EA"/>
    <w:rsid w:val="00C06B3B"/>
    <w:rsid w:val="00C06C34"/>
    <w:rsid w:val="00C06C3C"/>
    <w:rsid w:val="00C06E23"/>
    <w:rsid w:val="00C070D3"/>
    <w:rsid w:val="00C07107"/>
    <w:rsid w:val="00C07300"/>
    <w:rsid w:val="00C074A6"/>
    <w:rsid w:val="00C0769E"/>
    <w:rsid w:val="00C07C1A"/>
    <w:rsid w:val="00C07ECA"/>
    <w:rsid w:val="00C07F88"/>
    <w:rsid w:val="00C1009C"/>
    <w:rsid w:val="00C1043E"/>
    <w:rsid w:val="00C10479"/>
    <w:rsid w:val="00C10751"/>
    <w:rsid w:val="00C108BE"/>
    <w:rsid w:val="00C10C09"/>
    <w:rsid w:val="00C10CBC"/>
    <w:rsid w:val="00C10F06"/>
    <w:rsid w:val="00C10FFC"/>
    <w:rsid w:val="00C11181"/>
    <w:rsid w:val="00C1118C"/>
    <w:rsid w:val="00C11413"/>
    <w:rsid w:val="00C1155D"/>
    <w:rsid w:val="00C11744"/>
    <w:rsid w:val="00C11D58"/>
    <w:rsid w:val="00C11F44"/>
    <w:rsid w:val="00C1206B"/>
    <w:rsid w:val="00C12D20"/>
    <w:rsid w:val="00C12E01"/>
    <w:rsid w:val="00C12FD7"/>
    <w:rsid w:val="00C1324A"/>
    <w:rsid w:val="00C132F9"/>
    <w:rsid w:val="00C133AF"/>
    <w:rsid w:val="00C1349C"/>
    <w:rsid w:val="00C13583"/>
    <w:rsid w:val="00C13793"/>
    <w:rsid w:val="00C139B0"/>
    <w:rsid w:val="00C139B8"/>
    <w:rsid w:val="00C13B55"/>
    <w:rsid w:val="00C13D57"/>
    <w:rsid w:val="00C154F6"/>
    <w:rsid w:val="00C15BBF"/>
    <w:rsid w:val="00C16036"/>
    <w:rsid w:val="00C161D2"/>
    <w:rsid w:val="00C16820"/>
    <w:rsid w:val="00C172E9"/>
    <w:rsid w:val="00C1766C"/>
    <w:rsid w:val="00C17751"/>
    <w:rsid w:val="00C17B7B"/>
    <w:rsid w:val="00C17D66"/>
    <w:rsid w:val="00C17FC5"/>
    <w:rsid w:val="00C201AB"/>
    <w:rsid w:val="00C203FC"/>
    <w:rsid w:val="00C20719"/>
    <w:rsid w:val="00C209EC"/>
    <w:rsid w:val="00C20B36"/>
    <w:rsid w:val="00C20D45"/>
    <w:rsid w:val="00C20E7A"/>
    <w:rsid w:val="00C21135"/>
    <w:rsid w:val="00C21618"/>
    <w:rsid w:val="00C2202C"/>
    <w:rsid w:val="00C2205C"/>
    <w:rsid w:val="00C2223F"/>
    <w:rsid w:val="00C22670"/>
    <w:rsid w:val="00C229FA"/>
    <w:rsid w:val="00C22A80"/>
    <w:rsid w:val="00C22B75"/>
    <w:rsid w:val="00C22FCD"/>
    <w:rsid w:val="00C2366E"/>
    <w:rsid w:val="00C237EF"/>
    <w:rsid w:val="00C238E7"/>
    <w:rsid w:val="00C23AD1"/>
    <w:rsid w:val="00C23CC2"/>
    <w:rsid w:val="00C23D75"/>
    <w:rsid w:val="00C23EE0"/>
    <w:rsid w:val="00C23F19"/>
    <w:rsid w:val="00C2438A"/>
    <w:rsid w:val="00C244EA"/>
    <w:rsid w:val="00C24B76"/>
    <w:rsid w:val="00C24B92"/>
    <w:rsid w:val="00C24F66"/>
    <w:rsid w:val="00C252B7"/>
    <w:rsid w:val="00C255D1"/>
    <w:rsid w:val="00C2580D"/>
    <w:rsid w:val="00C25837"/>
    <w:rsid w:val="00C2600F"/>
    <w:rsid w:val="00C2626E"/>
    <w:rsid w:val="00C2633F"/>
    <w:rsid w:val="00C26781"/>
    <w:rsid w:val="00C26C6C"/>
    <w:rsid w:val="00C26D1B"/>
    <w:rsid w:val="00C26EEC"/>
    <w:rsid w:val="00C271E0"/>
    <w:rsid w:val="00C27254"/>
    <w:rsid w:val="00C273B0"/>
    <w:rsid w:val="00C276DA"/>
    <w:rsid w:val="00C27739"/>
    <w:rsid w:val="00C2798D"/>
    <w:rsid w:val="00C27E96"/>
    <w:rsid w:val="00C30195"/>
    <w:rsid w:val="00C3022E"/>
    <w:rsid w:val="00C30354"/>
    <w:rsid w:val="00C307CB"/>
    <w:rsid w:val="00C30871"/>
    <w:rsid w:val="00C308E3"/>
    <w:rsid w:val="00C30C35"/>
    <w:rsid w:val="00C31018"/>
    <w:rsid w:val="00C31653"/>
    <w:rsid w:val="00C31C15"/>
    <w:rsid w:val="00C320CC"/>
    <w:rsid w:val="00C321B4"/>
    <w:rsid w:val="00C326FB"/>
    <w:rsid w:val="00C3271D"/>
    <w:rsid w:val="00C3296D"/>
    <w:rsid w:val="00C32AED"/>
    <w:rsid w:val="00C32CB3"/>
    <w:rsid w:val="00C33061"/>
    <w:rsid w:val="00C334D1"/>
    <w:rsid w:val="00C336FE"/>
    <w:rsid w:val="00C33BEC"/>
    <w:rsid w:val="00C33FB8"/>
    <w:rsid w:val="00C3420B"/>
    <w:rsid w:val="00C3439C"/>
    <w:rsid w:val="00C343CD"/>
    <w:rsid w:val="00C343E5"/>
    <w:rsid w:val="00C3442C"/>
    <w:rsid w:val="00C345BC"/>
    <w:rsid w:val="00C34D0C"/>
    <w:rsid w:val="00C3511C"/>
    <w:rsid w:val="00C35297"/>
    <w:rsid w:val="00C35546"/>
    <w:rsid w:val="00C35969"/>
    <w:rsid w:val="00C359FB"/>
    <w:rsid w:val="00C35A36"/>
    <w:rsid w:val="00C35A7A"/>
    <w:rsid w:val="00C35DA4"/>
    <w:rsid w:val="00C35F59"/>
    <w:rsid w:val="00C363F0"/>
    <w:rsid w:val="00C367E8"/>
    <w:rsid w:val="00C36CA7"/>
    <w:rsid w:val="00C36FEF"/>
    <w:rsid w:val="00C37338"/>
    <w:rsid w:val="00C375A9"/>
    <w:rsid w:val="00C375C8"/>
    <w:rsid w:val="00C377FD"/>
    <w:rsid w:val="00C3780B"/>
    <w:rsid w:val="00C379C5"/>
    <w:rsid w:val="00C37DCC"/>
    <w:rsid w:val="00C37DEE"/>
    <w:rsid w:val="00C4016D"/>
    <w:rsid w:val="00C405AB"/>
    <w:rsid w:val="00C40B48"/>
    <w:rsid w:val="00C41282"/>
    <w:rsid w:val="00C416B5"/>
    <w:rsid w:val="00C41708"/>
    <w:rsid w:val="00C419E2"/>
    <w:rsid w:val="00C41DDB"/>
    <w:rsid w:val="00C42440"/>
    <w:rsid w:val="00C4268B"/>
    <w:rsid w:val="00C426B2"/>
    <w:rsid w:val="00C4283D"/>
    <w:rsid w:val="00C4285D"/>
    <w:rsid w:val="00C42D81"/>
    <w:rsid w:val="00C4320B"/>
    <w:rsid w:val="00C432FE"/>
    <w:rsid w:val="00C434E0"/>
    <w:rsid w:val="00C43CD4"/>
    <w:rsid w:val="00C44251"/>
    <w:rsid w:val="00C44454"/>
    <w:rsid w:val="00C4462D"/>
    <w:rsid w:val="00C4475A"/>
    <w:rsid w:val="00C4484A"/>
    <w:rsid w:val="00C44962"/>
    <w:rsid w:val="00C44A28"/>
    <w:rsid w:val="00C44CF3"/>
    <w:rsid w:val="00C44FCA"/>
    <w:rsid w:val="00C45451"/>
    <w:rsid w:val="00C45971"/>
    <w:rsid w:val="00C45BD0"/>
    <w:rsid w:val="00C45C0B"/>
    <w:rsid w:val="00C45CF7"/>
    <w:rsid w:val="00C45D21"/>
    <w:rsid w:val="00C46029"/>
    <w:rsid w:val="00C462FD"/>
    <w:rsid w:val="00C463AA"/>
    <w:rsid w:val="00C4660D"/>
    <w:rsid w:val="00C466FD"/>
    <w:rsid w:val="00C4673D"/>
    <w:rsid w:val="00C46992"/>
    <w:rsid w:val="00C46D6B"/>
    <w:rsid w:val="00C46D74"/>
    <w:rsid w:val="00C46E55"/>
    <w:rsid w:val="00C46F0E"/>
    <w:rsid w:val="00C4709F"/>
    <w:rsid w:val="00C472FA"/>
    <w:rsid w:val="00C47364"/>
    <w:rsid w:val="00C47455"/>
    <w:rsid w:val="00C47660"/>
    <w:rsid w:val="00C4785E"/>
    <w:rsid w:val="00C4789F"/>
    <w:rsid w:val="00C501A1"/>
    <w:rsid w:val="00C5069E"/>
    <w:rsid w:val="00C509A4"/>
    <w:rsid w:val="00C50A37"/>
    <w:rsid w:val="00C510AF"/>
    <w:rsid w:val="00C512B2"/>
    <w:rsid w:val="00C515C0"/>
    <w:rsid w:val="00C51E07"/>
    <w:rsid w:val="00C51F4A"/>
    <w:rsid w:val="00C520BC"/>
    <w:rsid w:val="00C52389"/>
    <w:rsid w:val="00C523FD"/>
    <w:rsid w:val="00C52864"/>
    <w:rsid w:val="00C52F8F"/>
    <w:rsid w:val="00C52FA9"/>
    <w:rsid w:val="00C536FF"/>
    <w:rsid w:val="00C53AE1"/>
    <w:rsid w:val="00C54E25"/>
    <w:rsid w:val="00C54F26"/>
    <w:rsid w:val="00C5503C"/>
    <w:rsid w:val="00C55156"/>
    <w:rsid w:val="00C5521D"/>
    <w:rsid w:val="00C5542D"/>
    <w:rsid w:val="00C55905"/>
    <w:rsid w:val="00C55C55"/>
    <w:rsid w:val="00C563B6"/>
    <w:rsid w:val="00C568B8"/>
    <w:rsid w:val="00C56C3A"/>
    <w:rsid w:val="00C57C08"/>
    <w:rsid w:val="00C60072"/>
    <w:rsid w:val="00C6012A"/>
    <w:rsid w:val="00C60303"/>
    <w:rsid w:val="00C606C0"/>
    <w:rsid w:val="00C60A97"/>
    <w:rsid w:val="00C60BE7"/>
    <w:rsid w:val="00C60F84"/>
    <w:rsid w:val="00C61411"/>
    <w:rsid w:val="00C61602"/>
    <w:rsid w:val="00C61872"/>
    <w:rsid w:val="00C61A9C"/>
    <w:rsid w:val="00C61C6A"/>
    <w:rsid w:val="00C61FFE"/>
    <w:rsid w:val="00C62483"/>
    <w:rsid w:val="00C62CE9"/>
    <w:rsid w:val="00C62D56"/>
    <w:rsid w:val="00C62EC1"/>
    <w:rsid w:val="00C635C3"/>
    <w:rsid w:val="00C63C8D"/>
    <w:rsid w:val="00C6449E"/>
    <w:rsid w:val="00C64920"/>
    <w:rsid w:val="00C64A50"/>
    <w:rsid w:val="00C64EEB"/>
    <w:rsid w:val="00C65023"/>
    <w:rsid w:val="00C6539A"/>
    <w:rsid w:val="00C6597F"/>
    <w:rsid w:val="00C65B2F"/>
    <w:rsid w:val="00C65C8D"/>
    <w:rsid w:val="00C6622E"/>
    <w:rsid w:val="00C6664C"/>
    <w:rsid w:val="00C66B93"/>
    <w:rsid w:val="00C66BA6"/>
    <w:rsid w:val="00C66BE8"/>
    <w:rsid w:val="00C66EC0"/>
    <w:rsid w:val="00C67665"/>
    <w:rsid w:val="00C677FA"/>
    <w:rsid w:val="00C67C14"/>
    <w:rsid w:val="00C67E21"/>
    <w:rsid w:val="00C67F27"/>
    <w:rsid w:val="00C700C5"/>
    <w:rsid w:val="00C70280"/>
    <w:rsid w:val="00C7030D"/>
    <w:rsid w:val="00C70664"/>
    <w:rsid w:val="00C7067D"/>
    <w:rsid w:val="00C706A4"/>
    <w:rsid w:val="00C70AA3"/>
    <w:rsid w:val="00C71BCD"/>
    <w:rsid w:val="00C71BDE"/>
    <w:rsid w:val="00C71CA8"/>
    <w:rsid w:val="00C71E15"/>
    <w:rsid w:val="00C7212F"/>
    <w:rsid w:val="00C7213D"/>
    <w:rsid w:val="00C72350"/>
    <w:rsid w:val="00C72586"/>
    <w:rsid w:val="00C72BFE"/>
    <w:rsid w:val="00C72CA0"/>
    <w:rsid w:val="00C72D44"/>
    <w:rsid w:val="00C72F07"/>
    <w:rsid w:val="00C73812"/>
    <w:rsid w:val="00C73972"/>
    <w:rsid w:val="00C73A5D"/>
    <w:rsid w:val="00C73AFC"/>
    <w:rsid w:val="00C73C5E"/>
    <w:rsid w:val="00C73E49"/>
    <w:rsid w:val="00C73EC1"/>
    <w:rsid w:val="00C7405F"/>
    <w:rsid w:val="00C74140"/>
    <w:rsid w:val="00C74335"/>
    <w:rsid w:val="00C7440F"/>
    <w:rsid w:val="00C7447D"/>
    <w:rsid w:val="00C744DF"/>
    <w:rsid w:val="00C749F5"/>
    <w:rsid w:val="00C74AC5"/>
    <w:rsid w:val="00C74DC7"/>
    <w:rsid w:val="00C74E26"/>
    <w:rsid w:val="00C75651"/>
    <w:rsid w:val="00C7567D"/>
    <w:rsid w:val="00C7576B"/>
    <w:rsid w:val="00C75B72"/>
    <w:rsid w:val="00C75DF8"/>
    <w:rsid w:val="00C76206"/>
    <w:rsid w:val="00C76414"/>
    <w:rsid w:val="00C7671D"/>
    <w:rsid w:val="00C76C7C"/>
    <w:rsid w:val="00C77593"/>
    <w:rsid w:val="00C775AB"/>
    <w:rsid w:val="00C77839"/>
    <w:rsid w:val="00C778D9"/>
    <w:rsid w:val="00C77BA1"/>
    <w:rsid w:val="00C77EC2"/>
    <w:rsid w:val="00C80486"/>
    <w:rsid w:val="00C80490"/>
    <w:rsid w:val="00C804A4"/>
    <w:rsid w:val="00C804ED"/>
    <w:rsid w:val="00C8068D"/>
    <w:rsid w:val="00C807D3"/>
    <w:rsid w:val="00C809B3"/>
    <w:rsid w:val="00C80E18"/>
    <w:rsid w:val="00C811D4"/>
    <w:rsid w:val="00C81590"/>
    <w:rsid w:val="00C81682"/>
    <w:rsid w:val="00C816C4"/>
    <w:rsid w:val="00C81954"/>
    <w:rsid w:val="00C81F6D"/>
    <w:rsid w:val="00C8276D"/>
    <w:rsid w:val="00C829C7"/>
    <w:rsid w:val="00C82A6B"/>
    <w:rsid w:val="00C8308D"/>
    <w:rsid w:val="00C830DD"/>
    <w:rsid w:val="00C839AB"/>
    <w:rsid w:val="00C83AB4"/>
    <w:rsid w:val="00C83D9F"/>
    <w:rsid w:val="00C8401E"/>
    <w:rsid w:val="00C84572"/>
    <w:rsid w:val="00C848EF"/>
    <w:rsid w:val="00C84B44"/>
    <w:rsid w:val="00C84E2D"/>
    <w:rsid w:val="00C84EC5"/>
    <w:rsid w:val="00C84FAB"/>
    <w:rsid w:val="00C85995"/>
    <w:rsid w:val="00C860BD"/>
    <w:rsid w:val="00C860F4"/>
    <w:rsid w:val="00C862A8"/>
    <w:rsid w:val="00C866EA"/>
    <w:rsid w:val="00C868B0"/>
    <w:rsid w:val="00C86AC9"/>
    <w:rsid w:val="00C86C6F"/>
    <w:rsid w:val="00C86F20"/>
    <w:rsid w:val="00C87151"/>
    <w:rsid w:val="00C8785E"/>
    <w:rsid w:val="00C87CB7"/>
    <w:rsid w:val="00C9010A"/>
    <w:rsid w:val="00C90629"/>
    <w:rsid w:val="00C9076A"/>
    <w:rsid w:val="00C907C2"/>
    <w:rsid w:val="00C90A41"/>
    <w:rsid w:val="00C90BED"/>
    <w:rsid w:val="00C90DF3"/>
    <w:rsid w:val="00C90E60"/>
    <w:rsid w:val="00C90FA1"/>
    <w:rsid w:val="00C91175"/>
    <w:rsid w:val="00C912E5"/>
    <w:rsid w:val="00C914E3"/>
    <w:rsid w:val="00C91821"/>
    <w:rsid w:val="00C91A0C"/>
    <w:rsid w:val="00C91AC7"/>
    <w:rsid w:val="00C91BA4"/>
    <w:rsid w:val="00C920B8"/>
    <w:rsid w:val="00C9260B"/>
    <w:rsid w:val="00C92A6C"/>
    <w:rsid w:val="00C92C3D"/>
    <w:rsid w:val="00C92F67"/>
    <w:rsid w:val="00C9329E"/>
    <w:rsid w:val="00C936A8"/>
    <w:rsid w:val="00C93728"/>
    <w:rsid w:val="00C93A4B"/>
    <w:rsid w:val="00C93AAA"/>
    <w:rsid w:val="00C93DF4"/>
    <w:rsid w:val="00C93E5C"/>
    <w:rsid w:val="00C943F4"/>
    <w:rsid w:val="00C94F1E"/>
    <w:rsid w:val="00C94FDB"/>
    <w:rsid w:val="00C95020"/>
    <w:rsid w:val="00C950F3"/>
    <w:rsid w:val="00C95274"/>
    <w:rsid w:val="00C9542B"/>
    <w:rsid w:val="00C95AD4"/>
    <w:rsid w:val="00C95E10"/>
    <w:rsid w:val="00C96281"/>
    <w:rsid w:val="00C97011"/>
    <w:rsid w:val="00C9721F"/>
    <w:rsid w:val="00C9752C"/>
    <w:rsid w:val="00C97550"/>
    <w:rsid w:val="00C97F8F"/>
    <w:rsid w:val="00CA0019"/>
    <w:rsid w:val="00CA0181"/>
    <w:rsid w:val="00CA02BE"/>
    <w:rsid w:val="00CA0301"/>
    <w:rsid w:val="00CA0304"/>
    <w:rsid w:val="00CA0564"/>
    <w:rsid w:val="00CA0989"/>
    <w:rsid w:val="00CA14BD"/>
    <w:rsid w:val="00CA15B8"/>
    <w:rsid w:val="00CA1AAA"/>
    <w:rsid w:val="00CA1AF9"/>
    <w:rsid w:val="00CA1EAD"/>
    <w:rsid w:val="00CA2535"/>
    <w:rsid w:val="00CA276F"/>
    <w:rsid w:val="00CA2D24"/>
    <w:rsid w:val="00CA2DE5"/>
    <w:rsid w:val="00CA30A9"/>
    <w:rsid w:val="00CA376C"/>
    <w:rsid w:val="00CA3E9B"/>
    <w:rsid w:val="00CA3EFE"/>
    <w:rsid w:val="00CA3FCE"/>
    <w:rsid w:val="00CA4028"/>
    <w:rsid w:val="00CA412B"/>
    <w:rsid w:val="00CA4464"/>
    <w:rsid w:val="00CA4994"/>
    <w:rsid w:val="00CA4C02"/>
    <w:rsid w:val="00CA4FA0"/>
    <w:rsid w:val="00CA5CA5"/>
    <w:rsid w:val="00CA5D04"/>
    <w:rsid w:val="00CA624F"/>
    <w:rsid w:val="00CA671C"/>
    <w:rsid w:val="00CA710D"/>
    <w:rsid w:val="00CA717C"/>
    <w:rsid w:val="00CA74AB"/>
    <w:rsid w:val="00CA7A06"/>
    <w:rsid w:val="00CA7B43"/>
    <w:rsid w:val="00CB0323"/>
    <w:rsid w:val="00CB071E"/>
    <w:rsid w:val="00CB0C20"/>
    <w:rsid w:val="00CB0DC6"/>
    <w:rsid w:val="00CB1519"/>
    <w:rsid w:val="00CB1660"/>
    <w:rsid w:val="00CB1932"/>
    <w:rsid w:val="00CB1A18"/>
    <w:rsid w:val="00CB1A50"/>
    <w:rsid w:val="00CB1C0A"/>
    <w:rsid w:val="00CB1E30"/>
    <w:rsid w:val="00CB1E9C"/>
    <w:rsid w:val="00CB210F"/>
    <w:rsid w:val="00CB224B"/>
    <w:rsid w:val="00CB235C"/>
    <w:rsid w:val="00CB2907"/>
    <w:rsid w:val="00CB2919"/>
    <w:rsid w:val="00CB2958"/>
    <w:rsid w:val="00CB2CFB"/>
    <w:rsid w:val="00CB3235"/>
    <w:rsid w:val="00CB36EE"/>
    <w:rsid w:val="00CB3AF6"/>
    <w:rsid w:val="00CB3F51"/>
    <w:rsid w:val="00CB40F8"/>
    <w:rsid w:val="00CB427D"/>
    <w:rsid w:val="00CB501F"/>
    <w:rsid w:val="00CB505F"/>
    <w:rsid w:val="00CB5373"/>
    <w:rsid w:val="00CB546A"/>
    <w:rsid w:val="00CB54D2"/>
    <w:rsid w:val="00CB5518"/>
    <w:rsid w:val="00CB5587"/>
    <w:rsid w:val="00CB58F7"/>
    <w:rsid w:val="00CB5D95"/>
    <w:rsid w:val="00CB5E03"/>
    <w:rsid w:val="00CB60FF"/>
    <w:rsid w:val="00CB639E"/>
    <w:rsid w:val="00CB6AA4"/>
    <w:rsid w:val="00CB6B72"/>
    <w:rsid w:val="00CB6DBD"/>
    <w:rsid w:val="00CB7156"/>
    <w:rsid w:val="00CB7335"/>
    <w:rsid w:val="00CB7752"/>
    <w:rsid w:val="00CB7AFD"/>
    <w:rsid w:val="00CB7C9D"/>
    <w:rsid w:val="00CB7D4A"/>
    <w:rsid w:val="00CB7D9E"/>
    <w:rsid w:val="00CC0396"/>
    <w:rsid w:val="00CC0C58"/>
    <w:rsid w:val="00CC1877"/>
    <w:rsid w:val="00CC1EDF"/>
    <w:rsid w:val="00CC2172"/>
    <w:rsid w:val="00CC21D8"/>
    <w:rsid w:val="00CC24E0"/>
    <w:rsid w:val="00CC2523"/>
    <w:rsid w:val="00CC26EA"/>
    <w:rsid w:val="00CC276A"/>
    <w:rsid w:val="00CC2862"/>
    <w:rsid w:val="00CC2890"/>
    <w:rsid w:val="00CC2F4F"/>
    <w:rsid w:val="00CC300D"/>
    <w:rsid w:val="00CC3156"/>
    <w:rsid w:val="00CC32B5"/>
    <w:rsid w:val="00CC36F9"/>
    <w:rsid w:val="00CC3AB8"/>
    <w:rsid w:val="00CC3CD3"/>
    <w:rsid w:val="00CC3CE2"/>
    <w:rsid w:val="00CC3DF7"/>
    <w:rsid w:val="00CC3EFC"/>
    <w:rsid w:val="00CC4474"/>
    <w:rsid w:val="00CC4598"/>
    <w:rsid w:val="00CC4649"/>
    <w:rsid w:val="00CC47C1"/>
    <w:rsid w:val="00CC4AC7"/>
    <w:rsid w:val="00CC4B88"/>
    <w:rsid w:val="00CC4CC1"/>
    <w:rsid w:val="00CC4D73"/>
    <w:rsid w:val="00CC556B"/>
    <w:rsid w:val="00CC5660"/>
    <w:rsid w:val="00CC5839"/>
    <w:rsid w:val="00CC58F7"/>
    <w:rsid w:val="00CC6197"/>
    <w:rsid w:val="00CC641E"/>
    <w:rsid w:val="00CC69DD"/>
    <w:rsid w:val="00CC6E3A"/>
    <w:rsid w:val="00CC6F51"/>
    <w:rsid w:val="00CC6FED"/>
    <w:rsid w:val="00CC73BA"/>
    <w:rsid w:val="00CC7654"/>
    <w:rsid w:val="00CD010E"/>
    <w:rsid w:val="00CD0432"/>
    <w:rsid w:val="00CD06CE"/>
    <w:rsid w:val="00CD0AB3"/>
    <w:rsid w:val="00CD0E4F"/>
    <w:rsid w:val="00CD15F6"/>
    <w:rsid w:val="00CD16B0"/>
    <w:rsid w:val="00CD1B6B"/>
    <w:rsid w:val="00CD1BE5"/>
    <w:rsid w:val="00CD1EE6"/>
    <w:rsid w:val="00CD23FD"/>
    <w:rsid w:val="00CD2402"/>
    <w:rsid w:val="00CD2DE8"/>
    <w:rsid w:val="00CD2F80"/>
    <w:rsid w:val="00CD3180"/>
    <w:rsid w:val="00CD3212"/>
    <w:rsid w:val="00CD324B"/>
    <w:rsid w:val="00CD3591"/>
    <w:rsid w:val="00CD371E"/>
    <w:rsid w:val="00CD398D"/>
    <w:rsid w:val="00CD3D49"/>
    <w:rsid w:val="00CD4480"/>
    <w:rsid w:val="00CD4491"/>
    <w:rsid w:val="00CD44D6"/>
    <w:rsid w:val="00CD46CF"/>
    <w:rsid w:val="00CD4848"/>
    <w:rsid w:val="00CD4B13"/>
    <w:rsid w:val="00CD4CE1"/>
    <w:rsid w:val="00CD51B2"/>
    <w:rsid w:val="00CD52B0"/>
    <w:rsid w:val="00CD5399"/>
    <w:rsid w:val="00CD54CD"/>
    <w:rsid w:val="00CD5707"/>
    <w:rsid w:val="00CD59AF"/>
    <w:rsid w:val="00CD5A0E"/>
    <w:rsid w:val="00CD5A2E"/>
    <w:rsid w:val="00CD5A4A"/>
    <w:rsid w:val="00CD5AE3"/>
    <w:rsid w:val="00CD5ED7"/>
    <w:rsid w:val="00CD6027"/>
    <w:rsid w:val="00CD6194"/>
    <w:rsid w:val="00CD6476"/>
    <w:rsid w:val="00CD6491"/>
    <w:rsid w:val="00CD6536"/>
    <w:rsid w:val="00CD66E1"/>
    <w:rsid w:val="00CD6A70"/>
    <w:rsid w:val="00CD6B7F"/>
    <w:rsid w:val="00CD7157"/>
    <w:rsid w:val="00CD756F"/>
    <w:rsid w:val="00CD7604"/>
    <w:rsid w:val="00CD7BE7"/>
    <w:rsid w:val="00CD7D8B"/>
    <w:rsid w:val="00CD7E6B"/>
    <w:rsid w:val="00CD7FC2"/>
    <w:rsid w:val="00CE01B5"/>
    <w:rsid w:val="00CE0259"/>
    <w:rsid w:val="00CE0584"/>
    <w:rsid w:val="00CE05FD"/>
    <w:rsid w:val="00CE06B8"/>
    <w:rsid w:val="00CE06F6"/>
    <w:rsid w:val="00CE0BAE"/>
    <w:rsid w:val="00CE0D36"/>
    <w:rsid w:val="00CE103C"/>
    <w:rsid w:val="00CE11AB"/>
    <w:rsid w:val="00CE132F"/>
    <w:rsid w:val="00CE1560"/>
    <w:rsid w:val="00CE1800"/>
    <w:rsid w:val="00CE1BEF"/>
    <w:rsid w:val="00CE1E4C"/>
    <w:rsid w:val="00CE1E51"/>
    <w:rsid w:val="00CE1F34"/>
    <w:rsid w:val="00CE1FEB"/>
    <w:rsid w:val="00CE2010"/>
    <w:rsid w:val="00CE20F9"/>
    <w:rsid w:val="00CE276B"/>
    <w:rsid w:val="00CE28F9"/>
    <w:rsid w:val="00CE32C2"/>
    <w:rsid w:val="00CE3362"/>
    <w:rsid w:val="00CE34AA"/>
    <w:rsid w:val="00CE401D"/>
    <w:rsid w:val="00CE40A8"/>
    <w:rsid w:val="00CE4246"/>
    <w:rsid w:val="00CE438C"/>
    <w:rsid w:val="00CE5004"/>
    <w:rsid w:val="00CE5252"/>
    <w:rsid w:val="00CE53E3"/>
    <w:rsid w:val="00CE5638"/>
    <w:rsid w:val="00CE577F"/>
    <w:rsid w:val="00CE5FFD"/>
    <w:rsid w:val="00CE61D9"/>
    <w:rsid w:val="00CE6CC1"/>
    <w:rsid w:val="00CE6CD5"/>
    <w:rsid w:val="00CE6D0E"/>
    <w:rsid w:val="00CE6ECF"/>
    <w:rsid w:val="00CE70F6"/>
    <w:rsid w:val="00CE74A3"/>
    <w:rsid w:val="00CE7531"/>
    <w:rsid w:val="00CE7929"/>
    <w:rsid w:val="00CE7BDC"/>
    <w:rsid w:val="00CE7C6C"/>
    <w:rsid w:val="00CF0786"/>
    <w:rsid w:val="00CF07CE"/>
    <w:rsid w:val="00CF08BD"/>
    <w:rsid w:val="00CF08D6"/>
    <w:rsid w:val="00CF0AEB"/>
    <w:rsid w:val="00CF0C21"/>
    <w:rsid w:val="00CF0D0F"/>
    <w:rsid w:val="00CF0DAD"/>
    <w:rsid w:val="00CF0EC0"/>
    <w:rsid w:val="00CF105B"/>
    <w:rsid w:val="00CF1AF1"/>
    <w:rsid w:val="00CF1CC3"/>
    <w:rsid w:val="00CF1D70"/>
    <w:rsid w:val="00CF1E1D"/>
    <w:rsid w:val="00CF1ED9"/>
    <w:rsid w:val="00CF23E0"/>
    <w:rsid w:val="00CF23E7"/>
    <w:rsid w:val="00CF25DA"/>
    <w:rsid w:val="00CF2C81"/>
    <w:rsid w:val="00CF2D7E"/>
    <w:rsid w:val="00CF3243"/>
    <w:rsid w:val="00CF344E"/>
    <w:rsid w:val="00CF39A3"/>
    <w:rsid w:val="00CF3F05"/>
    <w:rsid w:val="00CF438B"/>
    <w:rsid w:val="00CF43A9"/>
    <w:rsid w:val="00CF469E"/>
    <w:rsid w:val="00CF4A1B"/>
    <w:rsid w:val="00CF4B40"/>
    <w:rsid w:val="00CF5106"/>
    <w:rsid w:val="00CF513E"/>
    <w:rsid w:val="00CF55E0"/>
    <w:rsid w:val="00CF5904"/>
    <w:rsid w:val="00CF59FC"/>
    <w:rsid w:val="00CF5A5C"/>
    <w:rsid w:val="00CF6119"/>
    <w:rsid w:val="00CF614C"/>
    <w:rsid w:val="00CF696E"/>
    <w:rsid w:val="00CF6A71"/>
    <w:rsid w:val="00CF7490"/>
    <w:rsid w:val="00CF75BB"/>
    <w:rsid w:val="00CF7773"/>
    <w:rsid w:val="00CF7D70"/>
    <w:rsid w:val="00CF7E1F"/>
    <w:rsid w:val="00D00183"/>
    <w:rsid w:val="00D00A1B"/>
    <w:rsid w:val="00D00B21"/>
    <w:rsid w:val="00D018FD"/>
    <w:rsid w:val="00D01DF1"/>
    <w:rsid w:val="00D01EEE"/>
    <w:rsid w:val="00D02091"/>
    <w:rsid w:val="00D02949"/>
    <w:rsid w:val="00D02A76"/>
    <w:rsid w:val="00D02E23"/>
    <w:rsid w:val="00D02EC2"/>
    <w:rsid w:val="00D033BC"/>
    <w:rsid w:val="00D034A8"/>
    <w:rsid w:val="00D0353D"/>
    <w:rsid w:val="00D03579"/>
    <w:rsid w:val="00D0363E"/>
    <w:rsid w:val="00D03794"/>
    <w:rsid w:val="00D0394F"/>
    <w:rsid w:val="00D03A1C"/>
    <w:rsid w:val="00D03AC9"/>
    <w:rsid w:val="00D03C7F"/>
    <w:rsid w:val="00D03D35"/>
    <w:rsid w:val="00D03EC6"/>
    <w:rsid w:val="00D040AB"/>
    <w:rsid w:val="00D0421C"/>
    <w:rsid w:val="00D0427C"/>
    <w:rsid w:val="00D044EB"/>
    <w:rsid w:val="00D04AB8"/>
    <w:rsid w:val="00D05012"/>
    <w:rsid w:val="00D05296"/>
    <w:rsid w:val="00D05356"/>
    <w:rsid w:val="00D0540E"/>
    <w:rsid w:val="00D055AD"/>
    <w:rsid w:val="00D058A0"/>
    <w:rsid w:val="00D05B8C"/>
    <w:rsid w:val="00D05DC6"/>
    <w:rsid w:val="00D06180"/>
    <w:rsid w:val="00D064C8"/>
    <w:rsid w:val="00D06658"/>
    <w:rsid w:val="00D068DD"/>
    <w:rsid w:val="00D069DD"/>
    <w:rsid w:val="00D06BCB"/>
    <w:rsid w:val="00D06E3A"/>
    <w:rsid w:val="00D07359"/>
    <w:rsid w:val="00D07827"/>
    <w:rsid w:val="00D07B5A"/>
    <w:rsid w:val="00D07BDC"/>
    <w:rsid w:val="00D07CE5"/>
    <w:rsid w:val="00D07EE9"/>
    <w:rsid w:val="00D07FC1"/>
    <w:rsid w:val="00D10309"/>
    <w:rsid w:val="00D103BF"/>
    <w:rsid w:val="00D10A53"/>
    <w:rsid w:val="00D10D7C"/>
    <w:rsid w:val="00D11007"/>
    <w:rsid w:val="00D1131D"/>
    <w:rsid w:val="00D11418"/>
    <w:rsid w:val="00D118F5"/>
    <w:rsid w:val="00D12466"/>
    <w:rsid w:val="00D12AF5"/>
    <w:rsid w:val="00D12B73"/>
    <w:rsid w:val="00D12F1B"/>
    <w:rsid w:val="00D1308D"/>
    <w:rsid w:val="00D13127"/>
    <w:rsid w:val="00D13211"/>
    <w:rsid w:val="00D13974"/>
    <w:rsid w:val="00D13EB0"/>
    <w:rsid w:val="00D13F64"/>
    <w:rsid w:val="00D142DF"/>
    <w:rsid w:val="00D1430F"/>
    <w:rsid w:val="00D144E2"/>
    <w:rsid w:val="00D1451B"/>
    <w:rsid w:val="00D14ACC"/>
    <w:rsid w:val="00D14BC1"/>
    <w:rsid w:val="00D14C7D"/>
    <w:rsid w:val="00D151FA"/>
    <w:rsid w:val="00D1620F"/>
    <w:rsid w:val="00D1622A"/>
    <w:rsid w:val="00D16511"/>
    <w:rsid w:val="00D16537"/>
    <w:rsid w:val="00D166B3"/>
    <w:rsid w:val="00D166BC"/>
    <w:rsid w:val="00D16CA6"/>
    <w:rsid w:val="00D16E67"/>
    <w:rsid w:val="00D17153"/>
    <w:rsid w:val="00D1755E"/>
    <w:rsid w:val="00D17686"/>
    <w:rsid w:val="00D17CE1"/>
    <w:rsid w:val="00D17E3E"/>
    <w:rsid w:val="00D17FB0"/>
    <w:rsid w:val="00D2009E"/>
    <w:rsid w:val="00D2023E"/>
    <w:rsid w:val="00D205EA"/>
    <w:rsid w:val="00D209E6"/>
    <w:rsid w:val="00D20A20"/>
    <w:rsid w:val="00D20B6B"/>
    <w:rsid w:val="00D21674"/>
    <w:rsid w:val="00D218CD"/>
    <w:rsid w:val="00D21AF3"/>
    <w:rsid w:val="00D21AF5"/>
    <w:rsid w:val="00D21FFC"/>
    <w:rsid w:val="00D2204B"/>
    <w:rsid w:val="00D22063"/>
    <w:rsid w:val="00D221F3"/>
    <w:rsid w:val="00D22229"/>
    <w:rsid w:val="00D22462"/>
    <w:rsid w:val="00D22571"/>
    <w:rsid w:val="00D229E9"/>
    <w:rsid w:val="00D22A4D"/>
    <w:rsid w:val="00D22DCA"/>
    <w:rsid w:val="00D22E8B"/>
    <w:rsid w:val="00D22ED6"/>
    <w:rsid w:val="00D23248"/>
    <w:rsid w:val="00D2324B"/>
    <w:rsid w:val="00D233CE"/>
    <w:rsid w:val="00D23607"/>
    <w:rsid w:val="00D23877"/>
    <w:rsid w:val="00D23A00"/>
    <w:rsid w:val="00D23AC5"/>
    <w:rsid w:val="00D23D7C"/>
    <w:rsid w:val="00D24283"/>
    <w:rsid w:val="00D2455F"/>
    <w:rsid w:val="00D248DA"/>
    <w:rsid w:val="00D24B38"/>
    <w:rsid w:val="00D24CEB"/>
    <w:rsid w:val="00D25197"/>
    <w:rsid w:val="00D25235"/>
    <w:rsid w:val="00D2570D"/>
    <w:rsid w:val="00D25719"/>
    <w:rsid w:val="00D2588D"/>
    <w:rsid w:val="00D258B1"/>
    <w:rsid w:val="00D258EE"/>
    <w:rsid w:val="00D25AED"/>
    <w:rsid w:val="00D25B25"/>
    <w:rsid w:val="00D25CB2"/>
    <w:rsid w:val="00D25ECE"/>
    <w:rsid w:val="00D260B2"/>
    <w:rsid w:val="00D269B1"/>
    <w:rsid w:val="00D26E07"/>
    <w:rsid w:val="00D272DC"/>
    <w:rsid w:val="00D27C47"/>
    <w:rsid w:val="00D27E10"/>
    <w:rsid w:val="00D27F92"/>
    <w:rsid w:val="00D30035"/>
    <w:rsid w:val="00D306EE"/>
    <w:rsid w:val="00D30772"/>
    <w:rsid w:val="00D30811"/>
    <w:rsid w:val="00D30E08"/>
    <w:rsid w:val="00D313F1"/>
    <w:rsid w:val="00D31666"/>
    <w:rsid w:val="00D31970"/>
    <w:rsid w:val="00D319C6"/>
    <w:rsid w:val="00D319E7"/>
    <w:rsid w:val="00D31A4F"/>
    <w:rsid w:val="00D31D8C"/>
    <w:rsid w:val="00D31E39"/>
    <w:rsid w:val="00D31FFF"/>
    <w:rsid w:val="00D3255E"/>
    <w:rsid w:val="00D327BB"/>
    <w:rsid w:val="00D328DA"/>
    <w:rsid w:val="00D32A49"/>
    <w:rsid w:val="00D32AC6"/>
    <w:rsid w:val="00D330F0"/>
    <w:rsid w:val="00D331F4"/>
    <w:rsid w:val="00D3340E"/>
    <w:rsid w:val="00D335E6"/>
    <w:rsid w:val="00D3360B"/>
    <w:rsid w:val="00D33953"/>
    <w:rsid w:val="00D33AE0"/>
    <w:rsid w:val="00D33B70"/>
    <w:rsid w:val="00D341C6"/>
    <w:rsid w:val="00D3443B"/>
    <w:rsid w:val="00D3485A"/>
    <w:rsid w:val="00D34A67"/>
    <w:rsid w:val="00D34ACE"/>
    <w:rsid w:val="00D3525C"/>
    <w:rsid w:val="00D352C8"/>
    <w:rsid w:val="00D35A33"/>
    <w:rsid w:val="00D35AFD"/>
    <w:rsid w:val="00D360B6"/>
    <w:rsid w:val="00D3611C"/>
    <w:rsid w:val="00D361E8"/>
    <w:rsid w:val="00D36265"/>
    <w:rsid w:val="00D36361"/>
    <w:rsid w:val="00D369A9"/>
    <w:rsid w:val="00D371BD"/>
    <w:rsid w:val="00D375FD"/>
    <w:rsid w:val="00D37651"/>
    <w:rsid w:val="00D376C6"/>
    <w:rsid w:val="00D378D7"/>
    <w:rsid w:val="00D37A04"/>
    <w:rsid w:val="00D37A4C"/>
    <w:rsid w:val="00D37A83"/>
    <w:rsid w:val="00D37C9A"/>
    <w:rsid w:val="00D40043"/>
    <w:rsid w:val="00D40056"/>
    <w:rsid w:val="00D400ED"/>
    <w:rsid w:val="00D4038B"/>
    <w:rsid w:val="00D403EE"/>
    <w:rsid w:val="00D40831"/>
    <w:rsid w:val="00D40EAF"/>
    <w:rsid w:val="00D40FCB"/>
    <w:rsid w:val="00D415A4"/>
    <w:rsid w:val="00D41657"/>
    <w:rsid w:val="00D41885"/>
    <w:rsid w:val="00D41B2C"/>
    <w:rsid w:val="00D41B47"/>
    <w:rsid w:val="00D41F79"/>
    <w:rsid w:val="00D41FA3"/>
    <w:rsid w:val="00D4238F"/>
    <w:rsid w:val="00D423CB"/>
    <w:rsid w:val="00D42874"/>
    <w:rsid w:val="00D42B04"/>
    <w:rsid w:val="00D42B6F"/>
    <w:rsid w:val="00D42BC9"/>
    <w:rsid w:val="00D42C60"/>
    <w:rsid w:val="00D42D73"/>
    <w:rsid w:val="00D433D0"/>
    <w:rsid w:val="00D43A11"/>
    <w:rsid w:val="00D43A2F"/>
    <w:rsid w:val="00D43CEA"/>
    <w:rsid w:val="00D43EEE"/>
    <w:rsid w:val="00D43EF1"/>
    <w:rsid w:val="00D445C6"/>
    <w:rsid w:val="00D4483D"/>
    <w:rsid w:val="00D448D3"/>
    <w:rsid w:val="00D44A24"/>
    <w:rsid w:val="00D44C2B"/>
    <w:rsid w:val="00D456F5"/>
    <w:rsid w:val="00D45AF9"/>
    <w:rsid w:val="00D46445"/>
    <w:rsid w:val="00D46469"/>
    <w:rsid w:val="00D466B1"/>
    <w:rsid w:val="00D46713"/>
    <w:rsid w:val="00D46EB3"/>
    <w:rsid w:val="00D46F39"/>
    <w:rsid w:val="00D4762A"/>
    <w:rsid w:val="00D479DF"/>
    <w:rsid w:val="00D47A43"/>
    <w:rsid w:val="00D47F5B"/>
    <w:rsid w:val="00D50106"/>
    <w:rsid w:val="00D504FE"/>
    <w:rsid w:val="00D50682"/>
    <w:rsid w:val="00D50B41"/>
    <w:rsid w:val="00D51006"/>
    <w:rsid w:val="00D51223"/>
    <w:rsid w:val="00D518DC"/>
    <w:rsid w:val="00D51A12"/>
    <w:rsid w:val="00D51B0D"/>
    <w:rsid w:val="00D51C06"/>
    <w:rsid w:val="00D51EA5"/>
    <w:rsid w:val="00D51EE9"/>
    <w:rsid w:val="00D51F98"/>
    <w:rsid w:val="00D52093"/>
    <w:rsid w:val="00D52140"/>
    <w:rsid w:val="00D52376"/>
    <w:rsid w:val="00D52877"/>
    <w:rsid w:val="00D52888"/>
    <w:rsid w:val="00D52BF2"/>
    <w:rsid w:val="00D52C97"/>
    <w:rsid w:val="00D534A3"/>
    <w:rsid w:val="00D534D1"/>
    <w:rsid w:val="00D537FC"/>
    <w:rsid w:val="00D53A45"/>
    <w:rsid w:val="00D53CA7"/>
    <w:rsid w:val="00D53E90"/>
    <w:rsid w:val="00D5408A"/>
    <w:rsid w:val="00D54685"/>
    <w:rsid w:val="00D547EF"/>
    <w:rsid w:val="00D54BB7"/>
    <w:rsid w:val="00D55591"/>
    <w:rsid w:val="00D55592"/>
    <w:rsid w:val="00D55E26"/>
    <w:rsid w:val="00D56100"/>
    <w:rsid w:val="00D564A2"/>
    <w:rsid w:val="00D565C9"/>
    <w:rsid w:val="00D56620"/>
    <w:rsid w:val="00D56640"/>
    <w:rsid w:val="00D566DD"/>
    <w:rsid w:val="00D56B3D"/>
    <w:rsid w:val="00D574C2"/>
    <w:rsid w:val="00D57744"/>
    <w:rsid w:val="00D57A90"/>
    <w:rsid w:val="00D57B13"/>
    <w:rsid w:val="00D57B16"/>
    <w:rsid w:val="00D57BE1"/>
    <w:rsid w:val="00D57E47"/>
    <w:rsid w:val="00D60163"/>
    <w:rsid w:val="00D605DC"/>
    <w:rsid w:val="00D6061C"/>
    <w:rsid w:val="00D6082D"/>
    <w:rsid w:val="00D61269"/>
    <w:rsid w:val="00D61595"/>
    <w:rsid w:val="00D61C38"/>
    <w:rsid w:val="00D61D9C"/>
    <w:rsid w:val="00D623B7"/>
    <w:rsid w:val="00D62537"/>
    <w:rsid w:val="00D6266B"/>
    <w:rsid w:val="00D628BA"/>
    <w:rsid w:val="00D62AFB"/>
    <w:rsid w:val="00D62B08"/>
    <w:rsid w:val="00D62BA9"/>
    <w:rsid w:val="00D62C8A"/>
    <w:rsid w:val="00D630C3"/>
    <w:rsid w:val="00D6326E"/>
    <w:rsid w:val="00D63412"/>
    <w:rsid w:val="00D635B4"/>
    <w:rsid w:val="00D63627"/>
    <w:rsid w:val="00D63F89"/>
    <w:rsid w:val="00D64172"/>
    <w:rsid w:val="00D64582"/>
    <w:rsid w:val="00D648AE"/>
    <w:rsid w:val="00D64A8E"/>
    <w:rsid w:val="00D64D3F"/>
    <w:rsid w:val="00D651F1"/>
    <w:rsid w:val="00D655E5"/>
    <w:rsid w:val="00D65A72"/>
    <w:rsid w:val="00D65A84"/>
    <w:rsid w:val="00D65AB6"/>
    <w:rsid w:val="00D65D53"/>
    <w:rsid w:val="00D6613B"/>
    <w:rsid w:val="00D661DC"/>
    <w:rsid w:val="00D666D6"/>
    <w:rsid w:val="00D66702"/>
    <w:rsid w:val="00D668EE"/>
    <w:rsid w:val="00D67506"/>
    <w:rsid w:val="00D67896"/>
    <w:rsid w:val="00D679FA"/>
    <w:rsid w:val="00D67B8A"/>
    <w:rsid w:val="00D67F8E"/>
    <w:rsid w:val="00D70023"/>
    <w:rsid w:val="00D70126"/>
    <w:rsid w:val="00D70366"/>
    <w:rsid w:val="00D7093F"/>
    <w:rsid w:val="00D70B19"/>
    <w:rsid w:val="00D710D0"/>
    <w:rsid w:val="00D713E2"/>
    <w:rsid w:val="00D714EF"/>
    <w:rsid w:val="00D71B53"/>
    <w:rsid w:val="00D71FD9"/>
    <w:rsid w:val="00D71FDA"/>
    <w:rsid w:val="00D72390"/>
    <w:rsid w:val="00D7240B"/>
    <w:rsid w:val="00D725BA"/>
    <w:rsid w:val="00D72609"/>
    <w:rsid w:val="00D726A1"/>
    <w:rsid w:val="00D72995"/>
    <w:rsid w:val="00D7312A"/>
    <w:rsid w:val="00D7364D"/>
    <w:rsid w:val="00D74413"/>
    <w:rsid w:val="00D7454A"/>
    <w:rsid w:val="00D7491B"/>
    <w:rsid w:val="00D74C32"/>
    <w:rsid w:val="00D74CF8"/>
    <w:rsid w:val="00D758CB"/>
    <w:rsid w:val="00D75C84"/>
    <w:rsid w:val="00D75DB0"/>
    <w:rsid w:val="00D75EAA"/>
    <w:rsid w:val="00D76131"/>
    <w:rsid w:val="00D76150"/>
    <w:rsid w:val="00D761F7"/>
    <w:rsid w:val="00D7631C"/>
    <w:rsid w:val="00D763CD"/>
    <w:rsid w:val="00D76531"/>
    <w:rsid w:val="00D76740"/>
    <w:rsid w:val="00D76785"/>
    <w:rsid w:val="00D76807"/>
    <w:rsid w:val="00D7688F"/>
    <w:rsid w:val="00D76927"/>
    <w:rsid w:val="00D76D15"/>
    <w:rsid w:val="00D774AF"/>
    <w:rsid w:val="00D777F9"/>
    <w:rsid w:val="00D779B4"/>
    <w:rsid w:val="00D77BFA"/>
    <w:rsid w:val="00D8096B"/>
    <w:rsid w:val="00D80ACD"/>
    <w:rsid w:val="00D80B35"/>
    <w:rsid w:val="00D80E44"/>
    <w:rsid w:val="00D810B9"/>
    <w:rsid w:val="00D81350"/>
    <w:rsid w:val="00D814A7"/>
    <w:rsid w:val="00D81939"/>
    <w:rsid w:val="00D81D04"/>
    <w:rsid w:val="00D82610"/>
    <w:rsid w:val="00D82ADB"/>
    <w:rsid w:val="00D82CF3"/>
    <w:rsid w:val="00D82ED8"/>
    <w:rsid w:val="00D8303E"/>
    <w:rsid w:val="00D83327"/>
    <w:rsid w:val="00D8352C"/>
    <w:rsid w:val="00D83E00"/>
    <w:rsid w:val="00D83F3D"/>
    <w:rsid w:val="00D840E1"/>
    <w:rsid w:val="00D84152"/>
    <w:rsid w:val="00D84356"/>
    <w:rsid w:val="00D84590"/>
    <w:rsid w:val="00D84952"/>
    <w:rsid w:val="00D84A6A"/>
    <w:rsid w:val="00D84C48"/>
    <w:rsid w:val="00D84F02"/>
    <w:rsid w:val="00D858D4"/>
    <w:rsid w:val="00D85CDD"/>
    <w:rsid w:val="00D8631A"/>
    <w:rsid w:val="00D86374"/>
    <w:rsid w:val="00D8644B"/>
    <w:rsid w:val="00D86856"/>
    <w:rsid w:val="00D86B3A"/>
    <w:rsid w:val="00D86F77"/>
    <w:rsid w:val="00D86FA9"/>
    <w:rsid w:val="00D87129"/>
    <w:rsid w:val="00D871DB"/>
    <w:rsid w:val="00D875A5"/>
    <w:rsid w:val="00D87976"/>
    <w:rsid w:val="00D87EE4"/>
    <w:rsid w:val="00D90238"/>
    <w:rsid w:val="00D902FD"/>
    <w:rsid w:val="00D9039F"/>
    <w:rsid w:val="00D9078F"/>
    <w:rsid w:val="00D909B7"/>
    <w:rsid w:val="00D90CB0"/>
    <w:rsid w:val="00D914D4"/>
    <w:rsid w:val="00D91A2D"/>
    <w:rsid w:val="00D91BE5"/>
    <w:rsid w:val="00D91CE0"/>
    <w:rsid w:val="00D91F37"/>
    <w:rsid w:val="00D92278"/>
    <w:rsid w:val="00D926EB"/>
    <w:rsid w:val="00D92DB4"/>
    <w:rsid w:val="00D930F9"/>
    <w:rsid w:val="00D933F7"/>
    <w:rsid w:val="00D935AA"/>
    <w:rsid w:val="00D93756"/>
    <w:rsid w:val="00D93DD1"/>
    <w:rsid w:val="00D94057"/>
    <w:rsid w:val="00D9460F"/>
    <w:rsid w:val="00D946F9"/>
    <w:rsid w:val="00D94A0D"/>
    <w:rsid w:val="00D94BF5"/>
    <w:rsid w:val="00D954A2"/>
    <w:rsid w:val="00D955C1"/>
    <w:rsid w:val="00D95AA9"/>
    <w:rsid w:val="00D95D04"/>
    <w:rsid w:val="00D961CB"/>
    <w:rsid w:val="00D9634B"/>
    <w:rsid w:val="00D96D79"/>
    <w:rsid w:val="00D97282"/>
    <w:rsid w:val="00D972DF"/>
    <w:rsid w:val="00D9743A"/>
    <w:rsid w:val="00D9767B"/>
    <w:rsid w:val="00D97E8F"/>
    <w:rsid w:val="00DA0E4C"/>
    <w:rsid w:val="00DA160B"/>
    <w:rsid w:val="00DA19BE"/>
    <w:rsid w:val="00DA19CC"/>
    <w:rsid w:val="00DA1EF0"/>
    <w:rsid w:val="00DA25CD"/>
    <w:rsid w:val="00DA2677"/>
    <w:rsid w:val="00DA26D0"/>
    <w:rsid w:val="00DA2864"/>
    <w:rsid w:val="00DA2B9E"/>
    <w:rsid w:val="00DA2F07"/>
    <w:rsid w:val="00DA3242"/>
    <w:rsid w:val="00DA34F7"/>
    <w:rsid w:val="00DA3845"/>
    <w:rsid w:val="00DA3A09"/>
    <w:rsid w:val="00DA3F91"/>
    <w:rsid w:val="00DA42EA"/>
    <w:rsid w:val="00DA439D"/>
    <w:rsid w:val="00DA4549"/>
    <w:rsid w:val="00DA482A"/>
    <w:rsid w:val="00DA4A74"/>
    <w:rsid w:val="00DA4B49"/>
    <w:rsid w:val="00DA4E63"/>
    <w:rsid w:val="00DA4FD0"/>
    <w:rsid w:val="00DA52D3"/>
    <w:rsid w:val="00DA53A6"/>
    <w:rsid w:val="00DA5B2D"/>
    <w:rsid w:val="00DA5DA7"/>
    <w:rsid w:val="00DA5DE6"/>
    <w:rsid w:val="00DA5E7E"/>
    <w:rsid w:val="00DA60CF"/>
    <w:rsid w:val="00DA627D"/>
    <w:rsid w:val="00DA62CA"/>
    <w:rsid w:val="00DA6609"/>
    <w:rsid w:val="00DA6719"/>
    <w:rsid w:val="00DA67C3"/>
    <w:rsid w:val="00DA689B"/>
    <w:rsid w:val="00DA6950"/>
    <w:rsid w:val="00DA6BD9"/>
    <w:rsid w:val="00DA7085"/>
    <w:rsid w:val="00DA715B"/>
    <w:rsid w:val="00DA7196"/>
    <w:rsid w:val="00DA73E7"/>
    <w:rsid w:val="00DA76BD"/>
    <w:rsid w:val="00DA76FC"/>
    <w:rsid w:val="00DA7756"/>
    <w:rsid w:val="00DA78DF"/>
    <w:rsid w:val="00DA7992"/>
    <w:rsid w:val="00DA7F63"/>
    <w:rsid w:val="00DB023A"/>
    <w:rsid w:val="00DB0617"/>
    <w:rsid w:val="00DB0E11"/>
    <w:rsid w:val="00DB0FB2"/>
    <w:rsid w:val="00DB1155"/>
    <w:rsid w:val="00DB1450"/>
    <w:rsid w:val="00DB14A1"/>
    <w:rsid w:val="00DB1851"/>
    <w:rsid w:val="00DB1A9E"/>
    <w:rsid w:val="00DB1D08"/>
    <w:rsid w:val="00DB2082"/>
    <w:rsid w:val="00DB20C2"/>
    <w:rsid w:val="00DB233E"/>
    <w:rsid w:val="00DB246C"/>
    <w:rsid w:val="00DB2BD8"/>
    <w:rsid w:val="00DB2DFF"/>
    <w:rsid w:val="00DB2ED1"/>
    <w:rsid w:val="00DB32D7"/>
    <w:rsid w:val="00DB333A"/>
    <w:rsid w:val="00DB34F3"/>
    <w:rsid w:val="00DB36B2"/>
    <w:rsid w:val="00DB38CC"/>
    <w:rsid w:val="00DB3C3C"/>
    <w:rsid w:val="00DB3D18"/>
    <w:rsid w:val="00DB3DD3"/>
    <w:rsid w:val="00DB3E0A"/>
    <w:rsid w:val="00DB4137"/>
    <w:rsid w:val="00DB443C"/>
    <w:rsid w:val="00DB46CB"/>
    <w:rsid w:val="00DB4755"/>
    <w:rsid w:val="00DB5272"/>
    <w:rsid w:val="00DB56CF"/>
    <w:rsid w:val="00DB5C96"/>
    <w:rsid w:val="00DB5D83"/>
    <w:rsid w:val="00DB5DAC"/>
    <w:rsid w:val="00DB61A7"/>
    <w:rsid w:val="00DB62FC"/>
    <w:rsid w:val="00DB63DC"/>
    <w:rsid w:val="00DB6654"/>
    <w:rsid w:val="00DB67A5"/>
    <w:rsid w:val="00DB6E3F"/>
    <w:rsid w:val="00DB7234"/>
    <w:rsid w:val="00DB723A"/>
    <w:rsid w:val="00DB75AE"/>
    <w:rsid w:val="00DB7834"/>
    <w:rsid w:val="00DB7910"/>
    <w:rsid w:val="00DB7C05"/>
    <w:rsid w:val="00DB7D12"/>
    <w:rsid w:val="00DC0306"/>
    <w:rsid w:val="00DC05BD"/>
    <w:rsid w:val="00DC1098"/>
    <w:rsid w:val="00DC11A9"/>
    <w:rsid w:val="00DC17BA"/>
    <w:rsid w:val="00DC1942"/>
    <w:rsid w:val="00DC19B6"/>
    <w:rsid w:val="00DC1A35"/>
    <w:rsid w:val="00DC1E2A"/>
    <w:rsid w:val="00DC2358"/>
    <w:rsid w:val="00DC2744"/>
    <w:rsid w:val="00DC2AEB"/>
    <w:rsid w:val="00DC2F30"/>
    <w:rsid w:val="00DC3209"/>
    <w:rsid w:val="00DC3316"/>
    <w:rsid w:val="00DC351F"/>
    <w:rsid w:val="00DC403C"/>
    <w:rsid w:val="00DC4309"/>
    <w:rsid w:val="00DC4C22"/>
    <w:rsid w:val="00DC501A"/>
    <w:rsid w:val="00DC5026"/>
    <w:rsid w:val="00DC55B6"/>
    <w:rsid w:val="00DC576D"/>
    <w:rsid w:val="00DC5874"/>
    <w:rsid w:val="00DC58F9"/>
    <w:rsid w:val="00DC5CAD"/>
    <w:rsid w:val="00DC5D11"/>
    <w:rsid w:val="00DC5F4B"/>
    <w:rsid w:val="00DC60DD"/>
    <w:rsid w:val="00DC61C5"/>
    <w:rsid w:val="00DC629B"/>
    <w:rsid w:val="00DC65C1"/>
    <w:rsid w:val="00DC684A"/>
    <w:rsid w:val="00DC68FC"/>
    <w:rsid w:val="00DC6A05"/>
    <w:rsid w:val="00DC71DB"/>
    <w:rsid w:val="00DC71DF"/>
    <w:rsid w:val="00DC7626"/>
    <w:rsid w:val="00DC7628"/>
    <w:rsid w:val="00DC7742"/>
    <w:rsid w:val="00DC7837"/>
    <w:rsid w:val="00DC7859"/>
    <w:rsid w:val="00DC7F5F"/>
    <w:rsid w:val="00DD0170"/>
    <w:rsid w:val="00DD0469"/>
    <w:rsid w:val="00DD0576"/>
    <w:rsid w:val="00DD0A51"/>
    <w:rsid w:val="00DD0AFF"/>
    <w:rsid w:val="00DD1734"/>
    <w:rsid w:val="00DD1BF6"/>
    <w:rsid w:val="00DD1C12"/>
    <w:rsid w:val="00DD1C18"/>
    <w:rsid w:val="00DD1F45"/>
    <w:rsid w:val="00DD20B4"/>
    <w:rsid w:val="00DD230F"/>
    <w:rsid w:val="00DD2561"/>
    <w:rsid w:val="00DD2667"/>
    <w:rsid w:val="00DD2682"/>
    <w:rsid w:val="00DD295A"/>
    <w:rsid w:val="00DD29FB"/>
    <w:rsid w:val="00DD2DCE"/>
    <w:rsid w:val="00DD3202"/>
    <w:rsid w:val="00DD3281"/>
    <w:rsid w:val="00DD3375"/>
    <w:rsid w:val="00DD34C3"/>
    <w:rsid w:val="00DD3923"/>
    <w:rsid w:val="00DD3D2F"/>
    <w:rsid w:val="00DD3E85"/>
    <w:rsid w:val="00DD40FE"/>
    <w:rsid w:val="00DD457F"/>
    <w:rsid w:val="00DD4764"/>
    <w:rsid w:val="00DD51F1"/>
    <w:rsid w:val="00DD5304"/>
    <w:rsid w:val="00DD536F"/>
    <w:rsid w:val="00DD5BC6"/>
    <w:rsid w:val="00DD5C58"/>
    <w:rsid w:val="00DD5E9A"/>
    <w:rsid w:val="00DD677B"/>
    <w:rsid w:val="00DD6964"/>
    <w:rsid w:val="00DD6991"/>
    <w:rsid w:val="00DD6BCA"/>
    <w:rsid w:val="00DD6DA8"/>
    <w:rsid w:val="00DD72CB"/>
    <w:rsid w:val="00DD72EE"/>
    <w:rsid w:val="00DD72FA"/>
    <w:rsid w:val="00DD7555"/>
    <w:rsid w:val="00DD7667"/>
    <w:rsid w:val="00DD7B36"/>
    <w:rsid w:val="00DD7C5C"/>
    <w:rsid w:val="00DD7DE0"/>
    <w:rsid w:val="00DE0103"/>
    <w:rsid w:val="00DE0151"/>
    <w:rsid w:val="00DE01A2"/>
    <w:rsid w:val="00DE07C4"/>
    <w:rsid w:val="00DE090B"/>
    <w:rsid w:val="00DE0D87"/>
    <w:rsid w:val="00DE10F4"/>
    <w:rsid w:val="00DE18EA"/>
    <w:rsid w:val="00DE1AAD"/>
    <w:rsid w:val="00DE2664"/>
    <w:rsid w:val="00DE279D"/>
    <w:rsid w:val="00DE27F2"/>
    <w:rsid w:val="00DE2DC6"/>
    <w:rsid w:val="00DE2DEC"/>
    <w:rsid w:val="00DE3525"/>
    <w:rsid w:val="00DE354D"/>
    <w:rsid w:val="00DE3832"/>
    <w:rsid w:val="00DE3AF2"/>
    <w:rsid w:val="00DE3DFB"/>
    <w:rsid w:val="00DE42B6"/>
    <w:rsid w:val="00DE4523"/>
    <w:rsid w:val="00DE476F"/>
    <w:rsid w:val="00DE48B0"/>
    <w:rsid w:val="00DE4AAB"/>
    <w:rsid w:val="00DE4F55"/>
    <w:rsid w:val="00DE4F9E"/>
    <w:rsid w:val="00DE500E"/>
    <w:rsid w:val="00DE5253"/>
    <w:rsid w:val="00DE5703"/>
    <w:rsid w:val="00DE57A3"/>
    <w:rsid w:val="00DE581F"/>
    <w:rsid w:val="00DE5AFA"/>
    <w:rsid w:val="00DE60D4"/>
    <w:rsid w:val="00DE6104"/>
    <w:rsid w:val="00DE662E"/>
    <w:rsid w:val="00DE67B3"/>
    <w:rsid w:val="00DE69A2"/>
    <w:rsid w:val="00DE6E02"/>
    <w:rsid w:val="00DE6EDB"/>
    <w:rsid w:val="00DE7076"/>
    <w:rsid w:val="00DE72E8"/>
    <w:rsid w:val="00DE750A"/>
    <w:rsid w:val="00DE77B0"/>
    <w:rsid w:val="00DE7952"/>
    <w:rsid w:val="00DE7A31"/>
    <w:rsid w:val="00DE7CC7"/>
    <w:rsid w:val="00DE7D3D"/>
    <w:rsid w:val="00DE7E05"/>
    <w:rsid w:val="00DE7ED3"/>
    <w:rsid w:val="00DF0264"/>
    <w:rsid w:val="00DF047F"/>
    <w:rsid w:val="00DF070F"/>
    <w:rsid w:val="00DF0868"/>
    <w:rsid w:val="00DF0A24"/>
    <w:rsid w:val="00DF0A36"/>
    <w:rsid w:val="00DF0C00"/>
    <w:rsid w:val="00DF0F43"/>
    <w:rsid w:val="00DF157A"/>
    <w:rsid w:val="00DF16FC"/>
    <w:rsid w:val="00DF187C"/>
    <w:rsid w:val="00DF1D45"/>
    <w:rsid w:val="00DF1DDE"/>
    <w:rsid w:val="00DF1DEC"/>
    <w:rsid w:val="00DF23A1"/>
    <w:rsid w:val="00DF29A8"/>
    <w:rsid w:val="00DF29E0"/>
    <w:rsid w:val="00DF2A53"/>
    <w:rsid w:val="00DF3968"/>
    <w:rsid w:val="00DF3C38"/>
    <w:rsid w:val="00DF4284"/>
    <w:rsid w:val="00DF43DD"/>
    <w:rsid w:val="00DF44E6"/>
    <w:rsid w:val="00DF4A0B"/>
    <w:rsid w:val="00DF4D59"/>
    <w:rsid w:val="00DF51B9"/>
    <w:rsid w:val="00DF51D9"/>
    <w:rsid w:val="00DF5537"/>
    <w:rsid w:val="00DF56CE"/>
    <w:rsid w:val="00DF57BD"/>
    <w:rsid w:val="00DF5962"/>
    <w:rsid w:val="00DF59F9"/>
    <w:rsid w:val="00DF5FF0"/>
    <w:rsid w:val="00DF6247"/>
    <w:rsid w:val="00DF6897"/>
    <w:rsid w:val="00DF68D8"/>
    <w:rsid w:val="00DF6A32"/>
    <w:rsid w:val="00DF6C34"/>
    <w:rsid w:val="00DF6C43"/>
    <w:rsid w:val="00DF6E8A"/>
    <w:rsid w:val="00DF6F48"/>
    <w:rsid w:val="00DF7A5B"/>
    <w:rsid w:val="00DF7E0A"/>
    <w:rsid w:val="00DF7E16"/>
    <w:rsid w:val="00DF7E73"/>
    <w:rsid w:val="00DF7EC5"/>
    <w:rsid w:val="00E0005D"/>
    <w:rsid w:val="00E005DC"/>
    <w:rsid w:val="00E00639"/>
    <w:rsid w:val="00E00709"/>
    <w:rsid w:val="00E008A9"/>
    <w:rsid w:val="00E00949"/>
    <w:rsid w:val="00E00B32"/>
    <w:rsid w:val="00E00D50"/>
    <w:rsid w:val="00E00DDD"/>
    <w:rsid w:val="00E00FAF"/>
    <w:rsid w:val="00E0192B"/>
    <w:rsid w:val="00E01D18"/>
    <w:rsid w:val="00E01E43"/>
    <w:rsid w:val="00E02354"/>
    <w:rsid w:val="00E02512"/>
    <w:rsid w:val="00E02791"/>
    <w:rsid w:val="00E027B0"/>
    <w:rsid w:val="00E02983"/>
    <w:rsid w:val="00E029E0"/>
    <w:rsid w:val="00E02D72"/>
    <w:rsid w:val="00E02EC8"/>
    <w:rsid w:val="00E0302F"/>
    <w:rsid w:val="00E03802"/>
    <w:rsid w:val="00E03ABC"/>
    <w:rsid w:val="00E04041"/>
    <w:rsid w:val="00E042E8"/>
    <w:rsid w:val="00E0473C"/>
    <w:rsid w:val="00E04CCA"/>
    <w:rsid w:val="00E04D47"/>
    <w:rsid w:val="00E04E59"/>
    <w:rsid w:val="00E0514D"/>
    <w:rsid w:val="00E05377"/>
    <w:rsid w:val="00E05475"/>
    <w:rsid w:val="00E0553D"/>
    <w:rsid w:val="00E0574C"/>
    <w:rsid w:val="00E05808"/>
    <w:rsid w:val="00E05E8F"/>
    <w:rsid w:val="00E05EAF"/>
    <w:rsid w:val="00E064A0"/>
    <w:rsid w:val="00E069B7"/>
    <w:rsid w:val="00E070F9"/>
    <w:rsid w:val="00E071AB"/>
    <w:rsid w:val="00E0749E"/>
    <w:rsid w:val="00E074B4"/>
    <w:rsid w:val="00E07BC4"/>
    <w:rsid w:val="00E07D3B"/>
    <w:rsid w:val="00E07E19"/>
    <w:rsid w:val="00E106E5"/>
    <w:rsid w:val="00E1087A"/>
    <w:rsid w:val="00E10FAF"/>
    <w:rsid w:val="00E1157C"/>
    <w:rsid w:val="00E1181A"/>
    <w:rsid w:val="00E1192F"/>
    <w:rsid w:val="00E119A1"/>
    <w:rsid w:val="00E11ED8"/>
    <w:rsid w:val="00E126F2"/>
    <w:rsid w:val="00E12780"/>
    <w:rsid w:val="00E127D3"/>
    <w:rsid w:val="00E12C62"/>
    <w:rsid w:val="00E12D39"/>
    <w:rsid w:val="00E1312F"/>
    <w:rsid w:val="00E132DD"/>
    <w:rsid w:val="00E1334D"/>
    <w:rsid w:val="00E133F0"/>
    <w:rsid w:val="00E134CC"/>
    <w:rsid w:val="00E13804"/>
    <w:rsid w:val="00E13904"/>
    <w:rsid w:val="00E13D04"/>
    <w:rsid w:val="00E13E1C"/>
    <w:rsid w:val="00E14414"/>
    <w:rsid w:val="00E146A0"/>
    <w:rsid w:val="00E146E1"/>
    <w:rsid w:val="00E149FE"/>
    <w:rsid w:val="00E149FF"/>
    <w:rsid w:val="00E14BA4"/>
    <w:rsid w:val="00E14BBA"/>
    <w:rsid w:val="00E1572B"/>
    <w:rsid w:val="00E1592A"/>
    <w:rsid w:val="00E15AD2"/>
    <w:rsid w:val="00E15DE3"/>
    <w:rsid w:val="00E16942"/>
    <w:rsid w:val="00E16CFD"/>
    <w:rsid w:val="00E172EF"/>
    <w:rsid w:val="00E17869"/>
    <w:rsid w:val="00E1794C"/>
    <w:rsid w:val="00E17B4E"/>
    <w:rsid w:val="00E17B7F"/>
    <w:rsid w:val="00E17F45"/>
    <w:rsid w:val="00E204E3"/>
    <w:rsid w:val="00E20581"/>
    <w:rsid w:val="00E20B32"/>
    <w:rsid w:val="00E20B77"/>
    <w:rsid w:val="00E20F24"/>
    <w:rsid w:val="00E2100D"/>
    <w:rsid w:val="00E210DD"/>
    <w:rsid w:val="00E211CD"/>
    <w:rsid w:val="00E2154E"/>
    <w:rsid w:val="00E21AED"/>
    <w:rsid w:val="00E21B36"/>
    <w:rsid w:val="00E21BC6"/>
    <w:rsid w:val="00E22459"/>
    <w:rsid w:val="00E2250D"/>
    <w:rsid w:val="00E228AA"/>
    <w:rsid w:val="00E22A06"/>
    <w:rsid w:val="00E22D09"/>
    <w:rsid w:val="00E22D11"/>
    <w:rsid w:val="00E230E3"/>
    <w:rsid w:val="00E230FB"/>
    <w:rsid w:val="00E23268"/>
    <w:rsid w:val="00E232B1"/>
    <w:rsid w:val="00E23363"/>
    <w:rsid w:val="00E23435"/>
    <w:rsid w:val="00E23D08"/>
    <w:rsid w:val="00E23DEC"/>
    <w:rsid w:val="00E24245"/>
    <w:rsid w:val="00E2436F"/>
    <w:rsid w:val="00E24BEB"/>
    <w:rsid w:val="00E24C78"/>
    <w:rsid w:val="00E2509E"/>
    <w:rsid w:val="00E2519A"/>
    <w:rsid w:val="00E259EA"/>
    <w:rsid w:val="00E25E8D"/>
    <w:rsid w:val="00E25F8F"/>
    <w:rsid w:val="00E2612F"/>
    <w:rsid w:val="00E262F1"/>
    <w:rsid w:val="00E267E8"/>
    <w:rsid w:val="00E268A9"/>
    <w:rsid w:val="00E269A9"/>
    <w:rsid w:val="00E26BC5"/>
    <w:rsid w:val="00E26CA8"/>
    <w:rsid w:val="00E26E1D"/>
    <w:rsid w:val="00E27275"/>
    <w:rsid w:val="00E27297"/>
    <w:rsid w:val="00E273D7"/>
    <w:rsid w:val="00E2745A"/>
    <w:rsid w:val="00E27ACB"/>
    <w:rsid w:val="00E27B91"/>
    <w:rsid w:val="00E27D90"/>
    <w:rsid w:val="00E30449"/>
    <w:rsid w:val="00E3058A"/>
    <w:rsid w:val="00E306B7"/>
    <w:rsid w:val="00E30807"/>
    <w:rsid w:val="00E3097D"/>
    <w:rsid w:val="00E30B1E"/>
    <w:rsid w:val="00E30DFA"/>
    <w:rsid w:val="00E31437"/>
    <w:rsid w:val="00E31508"/>
    <w:rsid w:val="00E318EE"/>
    <w:rsid w:val="00E3199A"/>
    <w:rsid w:val="00E319B2"/>
    <w:rsid w:val="00E31E55"/>
    <w:rsid w:val="00E31EEB"/>
    <w:rsid w:val="00E31F4B"/>
    <w:rsid w:val="00E323DE"/>
    <w:rsid w:val="00E3244C"/>
    <w:rsid w:val="00E32550"/>
    <w:rsid w:val="00E32794"/>
    <w:rsid w:val="00E3295B"/>
    <w:rsid w:val="00E329BA"/>
    <w:rsid w:val="00E32A16"/>
    <w:rsid w:val="00E32F6E"/>
    <w:rsid w:val="00E330A3"/>
    <w:rsid w:val="00E33549"/>
    <w:rsid w:val="00E3376B"/>
    <w:rsid w:val="00E33DD1"/>
    <w:rsid w:val="00E345D1"/>
    <w:rsid w:val="00E34652"/>
    <w:rsid w:val="00E346D7"/>
    <w:rsid w:val="00E34DD5"/>
    <w:rsid w:val="00E34F54"/>
    <w:rsid w:val="00E35023"/>
    <w:rsid w:val="00E3512A"/>
    <w:rsid w:val="00E35208"/>
    <w:rsid w:val="00E352B5"/>
    <w:rsid w:val="00E35623"/>
    <w:rsid w:val="00E356CB"/>
    <w:rsid w:val="00E3574B"/>
    <w:rsid w:val="00E35C24"/>
    <w:rsid w:val="00E35FA3"/>
    <w:rsid w:val="00E3640C"/>
    <w:rsid w:val="00E36626"/>
    <w:rsid w:val="00E367F7"/>
    <w:rsid w:val="00E36DBD"/>
    <w:rsid w:val="00E37F0E"/>
    <w:rsid w:val="00E40021"/>
    <w:rsid w:val="00E40416"/>
    <w:rsid w:val="00E40AD8"/>
    <w:rsid w:val="00E40B4F"/>
    <w:rsid w:val="00E40CB5"/>
    <w:rsid w:val="00E40E37"/>
    <w:rsid w:val="00E40FAB"/>
    <w:rsid w:val="00E4117F"/>
    <w:rsid w:val="00E413B1"/>
    <w:rsid w:val="00E414BA"/>
    <w:rsid w:val="00E41573"/>
    <w:rsid w:val="00E41598"/>
    <w:rsid w:val="00E41742"/>
    <w:rsid w:val="00E418DE"/>
    <w:rsid w:val="00E4194A"/>
    <w:rsid w:val="00E423A8"/>
    <w:rsid w:val="00E42618"/>
    <w:rsid w:val="00E427A6"/>
    <w:rsid w:val="00E42BCD"/>
    <w:rsid w:val="00E42D03"/>
    <w:rsid w:val="00E432C6"/>
    <w:rsid w:val="00E432FB"/>
    <w:rsid w:val="00E43463"/>
    <w:rsid w:val="00E43ADC"/>
    <w:rsid w:val="00E43B0A"/>
    <w:rsid w:val="00E43DCA"/>
    <w:rsid w:val="00E44076"/>
    <w:rsid w:val="00E4423A"/>
    <w:rsid w:val="00E443B9"/>
    <w:rsid w:val="00E44418"/>
    <w:rsid w:val="00E445B1"/>
    <w:rsid w:val="00E44679"/>
    <w:rsid w:val="00E4518F"/>
    <w:rsid w:val="00E455B7"/>
    <w:rsid w:val="00E45B5B"/>
    <w:rsid w:val="00E45E6E"/>
    <w:rsid w:val="00E464F9"/>
    <w:rsid w:val="00E46B06"/>
    <w:rsid w:val="00E46F77"/>
    <w:rsid w:val="00E4700B"/>
    <w:rsid w:val="00E4734F"/>
    <w:rsid w:val="00E47671"/>
    <w:rsid w:val="00E47746"/>
    <w:rsid w:val="00E47C03"/>
    <w:rsid w:val="00E47C1E"/>
    <w:rsid w:val="00E47E29"/>
    <w:rsid w:val="00E504FC"/>
    <w:rsid w:val="00E50596"/>
    <w:rsid w:val="00E50989"/>
    <w:rsid w:val="00E50BBC"/>
    <w:rsid w:val="00E50BF3"/>
    <w:rsid w:val="00E50E57"/>
    <w:rsid w:val="00E51162"/>
    <w:rsid w:val="00E51619"/>
    <w:rsid w:val="00E51787"/>
    <w:rsid w:val="00E51928"/>
    <w:rsid w:val="00E51AEA"/>
    <w:rsid w:val="00E5214A"/>
    <w:rsid w:val="00E5247A"/>
    <w:rsid w:val="00E52503"/>
    <w:rsid w:val="00E52540"/>
    <w:rsid w:val="00E52C59"/>
    <w:rsid w:val="00E52F87"/>
    <w:rsid w:val="00E53031"/>
    <w:rsid w:val="00E5349E"/>
    <w:rsid w:val="00E53807"/>
    <w:rsid w:val="00E53893"/>
    <w:rsid w:val="00E53A84"/>
    <w:rsid w:val="00E53AAE"/>
    <w:rsid w:val="00E53BFB"/>
    <w:rsid w:val="00E53CFD"/>
    <w:rsid w:val="00E53DD7"/>
    <w:rsid w:val="00E54372"/>
    <w:rsid w:val="00E545A3"/>
    <w:rsid w:val="00E54723"/>
    <w:rsid w:val="00E54727"/>
    <w:rsid w:val="00E549CF"/>
    <w:rsid w:val="00E54AD1"/>
    <w:rsid w:val="00E54BB3"/>
    <w:rsid w:val="00E54D9F"/>
    <w:rsid w:val="00E54EE5"/>
    <w:rsid w:val="00E558D1"/>
    <w:rsid w:val="00E55CB2"/>
    <w:rsid w:val="00E560C4"/>
    <w:rsid w:val="00E56235"/>
    <w:rsid w:val="00E563CA"/>
    <w:rsid w:val="00E566D6"/>
    <w:rsid w:val="00E566F8"/>
    <w:rsid w:val="00E56A1F"/>
    <w:rsid w:val="00E56B8E"/>
    <w:rsid w:val="00E56C5A"/>
    <w:rsid w:val="00E56EA8"/>
    <w:rsid w:val="00E5704D"/>
    <w:rsid w:val="00E5709D"/>
    <w:rsid w:val="00E57102"/>
    <w:rsid w:val="00E5715D"/>
    <w:rsid w:val="00E57BF7"/>
    <w:rsid w:val="00E60466"/>
    <w:rsid w:val="00E60644"/>
    <w:rsid w:val="00E6064A"/>
    <w:rsid w:val="00E60D66"/>
    <w:rsid w:val="00E60E16"/>
    <w:rsid w:val="00E6148C"/>
    <w:rsid w:val="00E6161B"/>
    <w:rsid w:val="00E6169E"/>
    <w:rsid w:val="00E61B00"/>
    <w:rsid w:val="00E61C1D"/>
    <w:rsid w:val="00E61E51"/>
    <w:rsid w:val="00E62163"/>
    <w:rsid w:val="00E6221F"/>
    <w:rsid w:val="00E622BE"/>
    <w:rsid w:val="00E6264C"/>
    <w:rsid w:val="00E62661"/>
    <w:rsid w:val="00E6274E"/>
    <w:rsid w:val="00E6289B"/>
    <w:rsid w:val="00E628A5"/>
    <w:rsid w:val="00E62903"/>
    <w:rsid w:val="00E629AC"/>
    <w:rsid w:val="00E62A4E"/>
    <w:rsid w:val="00E62BD9"/>
    <w:rsid w:val="00E62C79"/>
    <w:rsid w:val="00E62E98"/>
    <w:rsid w:val="00E63168"/>
    <w:rsid w:val="00E6351B"/>
    <w:rsid w:val="00E63CDB"/>
    <w:rsid w:val="00E63E2D"/>
    <w:rsid w:val="00E6409F"/>
    <w:rsid w:val="00E644CA"/>
    <w:rsid w:val="00E6472D"/>
    <w:rsid w:val="00E64770"/>
    <w:rsid w:val="00E64891"/>
    <w:rsid w:val="00E648CC"/>
    <w:rsid w:val="00E64990"/>
    <w:rsid w:val="00E64A0F"/>
    <w:rsid w:val="00E64AE8"/>
    <w:rsid w:val="00E64CF0"/>
    <w:rsid w:val="00E64D10"/>
    <w:rsid w:val="00E650E8"/>
    <w:rsid w:val="00E65220"/>
    <w:rsid w:val="00E65557"/>
    <w:rsid w:val="00E6556D"/>
    <w:rsid w:val="00E656A0"/>
    <w:rsid w:val="00E657BC"/>
    <w:rsid w:val="00E65941"/>
    <w:rsid w:val="00E65D91"/>
    <w:rsid w:val="00E6605B"/>
    <w:rsid w:val="00E663B1"/>
    <w:rsid w:val="00E6666F"/>
    <w:rsid w:val="00E667D6"/>
    <w:rsid w:val="00E66899"/>
    <w:rsid w:val="00E66966"/>
    <w:rsid w:val="00E66B56"/>
    <w:rsid w:val="00E66B69"/>
    <w:rsid w:val="00E66E86"/>
    <w:rsid w:val="00E671FD"/>
    <w:rsid w:val="00E67C02"/>
    <w:rsid w:val="00E67E6B"/>
    <w:rsid w:val="00E705F3"/>
    <w:rsid w:val="00E70679"/>
    <w:rsid w:val="00E7071D"/>
    <w:rsid w:val="00E70828"/>
    <w:rsid w:val="00E70871"/>
    <w:rsid w:val="00E70EC0"/>
    <w:rsid w:val="00E70EEB"/>
    <w:rsid w:val="00E71337"/>
    <w:rsid w:val="00E717C4"/>
    <w:rsid w:val="00E71818"/>
    <w:rsid w:val="00E718E6"/>
    <w:rsid w:val="00E71C24"/>
    <w:rsid w:val="00E71C6C"/>
    <w:rsid w:val="00E71F29"/>
    <w:rsid w:val="00E72573"/>
    <w:rsid w:val="00E72C5C"/>
    <w:rsid w:val="00E731DC"/>
    <w:rsid w:val="00E73B1E"/>
    <w:rsid w:val="00E73E6B"/>
    <w:rsid w:val="00E742FB"/>
    <w:rsid w:val="00E74381"/>
    <w:rsid w:val="00E7471B"/>
    <w:rsid w:val="00E74DD2"/>
    <w:rsid w:val="00E74DD6"/>
    <w:rsid w:val="00E75151"/>
    <w:rsid w:val="00E75458"/>
    <w:rsid w:val="00E755EE"/>
    <w:rsid w:val="00E75EB3"/>
    <w:rsid w:val="00E75F5C"/>
    <w:rsid w:val="00E76129"/>
    <w:rsid w:val="00E7632E"/>
    <w:rsid w:val="00E76849"/>
    <w:rsid w:val="00E76E43"/>
    <w:rsid w:val="00E76EE0"/>
    <w:rsid w:val="00E76FA0"/>
    <w:rsid w:val="00E772E1"/>
    <w:rsid w:val="00E773F9"/>
    <w:rsid w:val="00E778C5"/>
    <w:rsid w:val="00E77C30"/>
    <w:rsid w:val="00E77E0B"/>
    <w:rsid w:val="00E801CB"/>
    <w:rsid w:val="00E805F0"/>
    <w:rsid w:val="00E805F3"/>
    <w:rsid w:val="00E80B09"/>
    <w:rsid w:val="00E80DCC"/>
    <w:rsid w:val="00E81068"/>
    <w:rsid w:val="00E81789"/>
    <w:rsid w:val="00E817E1"/>
    <w:rsid w:val="00E81876"/>
    <w:rsid w:val="00E81B28"/>
    <w:rsid w:val="00E820CA"/>
    <w:rsid w:val="00E8253A"/>
    <w:rsid w:val="00E82961"/>
    <w:rsid w:val="00E82CBF"/>
    <w:rsid w:val="00E82D0C"/>
    <w:rsid w:val="00E82E84"/>
    <w:rsid w:val="00E83371"/>
    <w:rsid w:val="00E83437"/>
    <w:rsid w:val="00E8377F"/>
    <w:rsid w:val="00E83C51"/>
    <w:rsid w:val="00E83FEC"/>
    <w:rsid w:val="00E8425A"/>
    <w:rsid w:val="00E848E2"/>
    <w:rsid w:val="00E8532A"/>
    <w:rsid w:val="00E85437"/>
    <w:rsid w:val="00E854CE"/>
    <w:rsid w:val="00E8553A"/>
    <w:rsid w:val="00E856DF"/>
    <w:rsid w:val="00E85701"/>
    <w:rsid w:val="00E85705"/>
    <w:rsid w:val="00E8579F"/>
    <w:rsid w:val="00E85B1F"/>
    <w:rsid w:val="00E85FD7"/>
    <w:rsid w:val="00E8624B"/>
    <w:rsid w:val="00E86B29"/>
    <w:rsid w:val="00E86ECF"/>
    <w:rsid w:val="00E871AC"/>
    <w:rsid w:val="00E873C6"/>
    <w:rsid w:val="00E8758C"/>
    <w:rsid w:val="00E876CE"/>
    <w:rsid w:val="00E87754"/>
    <w:rsid w:val="00E8779B"/>
    <w:rsid w:val="00E87AC0"/>
    <w:rsid w:val="00E87ED7"/>
    <w:rsid w:val="00E90139"/>
    <w:rsid w:val="00E903FF"/>
    <w:rsid w:val="00E90402"/>
    <w:rsid w:val="00E90425"/>
    <w:rsid w:val="00E90450"/>
    <w:rsid w:val="00E90707"/>
    <w:rsid w:val="00E9089F"/>
    <w:rsid w:val="00E909D5"/>
    <w:rsid w:val="00E90D35"/>
    <w:rsid w:val="00E918E8"/>
    <w:rsid w:val="00E91B15"/>
    <w:rsid w:val="00E91B19"/>
    <w:rsid w:val="00E91B84"/>
    <w:rsid w:val="00E91DEA"/>
    <w:rsid w:val="00E923E3"/>
    <w:rsid w:val="00E92968"/>
    <w:rsid w:val="00E92A4D"/>
    <w:rsid w:val="00E92A5F"/>
    <w:rsid w:val="00E92AE8"/>
    <w:rsid w:val="00E92C65"/>
    <w:rsid w:val="00E92E1E"/>
    <w:rsid w:val="00E9327B"/>
    <w:rsid w:val="00E9379E"/>
    <w:rsid w:val="00E93B66"/>
    <w:rsid w:val="00E93B6D"/>
    <w:rsid w:val="00E93D7A"/>
    <w:rsid w:val="00E9414F"/>
    <w:rsid w:val="00E946A1"/>
    <w:rsid w:val="00E948DA"/>
    <w:rsid w:val="00E94987"/>
    <w:rsid w:val="00E94A6F"/>
    <w:rsid w:val="00E94BBC"/>
    <w:rsid w:val="00E94C46"/>
    <w:rsid w:val="00E94DF6"/>
    <w:rsid w:val="00E955AD"/>
    <w:rsid w:val="00E958B4"/>
    <w:rsid w:val="00E95AEC"/>
    <w:rsid w:val="00E95F3C"/>
    <w:rsid w:val="00E96395"/>
    <w:rsid w:val="00E9680B"/>
    <w:rsid w:val="00E9699D"/>
    <w:rsid w:val="00E96BF8"/>
    <w:rsid w:val="00E96FDA"/>
    <w:rsid w:val="00E9717E"/>
    <w:rsid w:val="00E971E9"/>
    <w:rsid w:val="00E97380"/>
    <w:rsid w:val="00E97641"/>
    <w:rsid w:val="00E9783E"/>
    <w:rsid w:val="00E978A5"/>
    <w:rsid w:val="00E97D02"/>
    <w:rsid w:val="00EA005D"/>
    <w:rsid w:val="00EA01C6"/>
    <w:rsid w:val="00EA051A"/>
    <w:rsid w:val="00EA0996"/>
    <w:rsid w:val="00EA0FD3"/>
    <w:rsid w:val="00EA12AA"/>
    <w:rsid w:val="00EA12C9"/>
    <w:rsid w:val="00EA16F0"/>
    <w:rsid w:val="00EA1C83"/>
    <w:rsid w:val="00EA2712"/>
    <w:rsid w:val="00EA2B45"/>
    <w:rsid w:val="00EA2FB8"/>
    <w:rsid w:val="00EA307E"/>
    <w:rsid w:val="00EA328E"/>
    <w:rsid w:val="00EA3516"/>
    <w:rsid w:val="00EA388C"/>
    <w:rsid w:val="00EA39DC"/>
    <w:rsid w:val="00EA3C78"/>
    <w:rsid w:val="00EA4169"/>
    <w:rsid w:val="00EA439A"/>
    <w:rsid w:val="00EA43C1"/>
    <w:rsid w:val="00EA44F1"/>
    <w:rsid w:val="00EA498C"/>
    <w:rsid w:val="00EA4BC0"/>
    <w:rsid w:val="00EA4CB0"/>
    <w:rsid w:val="00EA51E5"/>
    <w:rsid w:val="00EA52B1"/>
    <w:rsid w:val="00EA536D"/>
    <w:rsid w:val="00EA597A"/>
    <w:rsid w:val="00EA65B4"/>
    <w:rsid w:val="00EA66DC"/>
    <w:rsid w:val="00EA6A2C"/>
    <w:rsid w:val="00EA6DC3"/>
    <w:rsid w:val="00EA7028"/>
    <w:rsid w:val="00EA7073"/>
    <w:rsid w:val="00EA77D6"/>
    <w:rsid w:val="00EA7848"/>
    <w:rsid w:val="00EA785B"/>
    <w:rsid w:val="00EA796A"/>
    <w:rsid w:val="00EA7BE7"/>
    <w:rsid w:val="00EA7DF0"/>
    <w:rsid w:val="00EA7E05"/>
    <w:rsid w:val="00EB0230"/>
    <w:rsid w:val="00EB038E"/>
    <w:rsid w:val="00EB03F4"/>
    <w:rsid w:val="00EB05B0"/>
    <w:rsid w:val="00EB0B4E"/>
    <w:rsid w:val="00EB0C55"/>
    <w:rsid w:val="00EB0DA4"/>
    <w:rsid w:val="00EB1020"/>
    <w:rsid w:val="00EB12C3"/>
    <w:rsid w:val="00EB1453"/>
    <w:rsid w:val="00EB146B"/>
    <w:rsid w:val="00EB1C40"/>
    <w:rsid w:val="00EB1FCD"/>
    <w:rsid w:val="00EB2704"/>
    <w:rsid w:val="00EB2A72"/>
    <w:rsid w:val="00EB2CAE"/>
    <w:rsid w:val="00EB303B"/>
    <w:rsid w:val="00EB3B13"/>
    <w:rsid w:val="00EB4221"/>
    <w:rsid w:val="00EB4389"/>
    <w:rsid w:val="00EB487C"/>
    <w:rsid w:val="00EB48AB"/>
    <w:rsid w:val="00EB4B22"/>
    <w:rsid w:val="00EB4C84"/>
    <w:rsid w:val="00EB4CBF"/>
    <w:rsid w:val="00EB577C"/>
    <w:rsid w:val="00EB582D"/>
    <w:rsid w:val="00EB5845"/>
    <w:rsid w:val="00EB5DB6"/>
    <w:rsid w:val="00EB5E78"/>
    <w:rsid w:val="00EB5F77"/>
    <w:rsid w:val="00EB6077"/>
    <w:rsid w:val="00EB6252"/>
    <w:rsid w:val="00EB6560"/>
    <w:rsid w:val="00EB6657"/>
    <w:rsid w:val="00EB6FD1"/>
    <w:rsid w:val="00EB702E"/>
    <w:rsid w:val="00EB7187"/>
    <w:rsid w:val="00EB7243"/>
    <w:rsid w:val="00EB79E3"/>
    <w:rsid w:val="00EB7A07"/>
    <w:rsid w:val="00EC0BF2"/>
    <w:rsid w:val="00EC0C20"/>
    <w:rsid w:val="00EC0C68"/>
    <w:rsid w:val="00EC0E58"/>
    <w:rsid w:val="00EC132E"/>
    <w:rsid w:val="00EC17DB"/>
    <w:rsid w:val="00EC18B7"/>
    <w:rsid w:val="00EC1AD9"/>
    <w:rsid w:val="00EC1C22"/>
    <w:rsid w:val="00EC1D49"/>
    <w:rsid w:val="00EC1D8A"/>
    <w:rsid w:val="00EC29CD"/>
    <w:rsid w:val="00EC2B29"/>
    <w:rsid w:val="00EC2C78"/>
    <w:rsid w:val="00EC2DB1"/>
    <w:rsid w:val="00EC310E"/>
    <w:rsid w:val="00EC36FA"/>
    <w:rsid w:val="00EC3C11"/>
    <w:rsid w:val="00EC3E69"/>
    <w:rsid w:val="00EC3EEE"/>
    <w:rsid w:val="00EC3F61"/>
    <w:rsid w:val="00EC40D9"/>
    <w:rsid w:val="00EC42FA"/>
    <w:rsid w:val="00EC4349"/>
    <w:rsid w:val="00EC445F"/>
    <w:rsid w:val="00EC457B"/>
    <w:rsid w:val="00EC4C6C"/>
    <w:rsid w:val="00EC4E66"/>
    <w:rsid w:val="00EC55D4"/>
    <w:rsid w:val="00EC5AF3"/>
    <w:rsid w:val="00EC620B"/>
    <w:rsid w:val="00EC6297"/>
    <w:rsid w:val="00EC6A62"/>
    <w:rsid w:val="00EC6BB4"/>
    <w:rsid w:val="00EC76CC"/>
    <w:rsid w:val="00EC78A6"/>
    <w:rsid w:val="00EC7901"/>
    <w:rsid w:val="00EC7A7B"/>
    <w:rsid w:val="00ED01F1"/>
    <w:rsid w:val="00ED0320"/>
    <w:rsid w:val="00ED04A6"/>
    <w:rsid w:val="00ED054D"/>
    <w:rsid w:val="00ED0A5F"/>
    <w:rsid w:val="00ED0B88"/>
    <w:rsid w:val="00ED1111"/>
    <w:rsid w:val="00ED135E"/>
    <w:rsid w:val="00ED17A5"/>
    <w:rsid w:val="00ED1BD2"/>
    <w:rsid w:val="00ED1DB8"/>
    <w:rsid w:val="00ED24B6"/>
    <w:rsid w:val="00ED24CB"/>
    <w:rsid w:val="00ED26CE"/>
    <w:rsid w:val="00ED27FA"/>
    <w:rsid w:val="00ED2E15"/>
    <w:rsid w:val="00ED2ED2"/>
    <w:rsid w:val="00ED306A"/>
    <w:rsid w:val="00ED31A7"/>
    <w:rsid w:val="00ED338A"/>
    <w:rsid w:val="00ED3680"/>
    <w:rsid w:val="00ED3C02"/>
    <w:rsid w:val="00ED3C7C"/>
    <w:rsid w:val="00ED3C92"/>
    <w:rsid w:val="00ED41E3"/>
    <w:rsid w:val="00ED431D"/>
    <w:rsid w:val="00ED4653"/>
    <w:rsid w:val="00ED4B77"/>
    <w:rsid w:val="00ED525A"/>
    <w:rsid w:val="00ED59CF"/>
    <w:rsid w:val="00ED5E71"/>
    <w:rsid w:val="00ED5F6B"/>
    <w:rsid w:val="00ED6093"/>
    <w:rsid w:val="00ED633A"/>
    <w:rsid w:val="00ED67F8"/>
    <w:rsid w:val="00ED6A9F"/>
    <w:rsid w:val="00ED731C"/>
    <w:rsid w:val="00ED755E"/>
    <w:rsid w:val="00ED7668"/>
    <w:rsid w:val="00ED7E44"/>
    <w:rsid w:val="00ED7FA2"/>
    <w:rsid w:val="00EE04FB"/>
    <w:rsid w:val="00EE061E"/>
    <w:rsid w:val="00EE0D17"/>
    <w:rsid w:val="00EE0E82"/>
    <w:rsid w:val="00EE0E92"/>
    <w:rsid w:val="00EE0F28"/>
    <w:rsid w:val="00EE10D9"/>
    <w:rsid w:val="00EE1459"/>
    <w:rsid w:val="00EE1F2D"/>
    <w:rsid w:val="00EE2050"/>
    <w:rsid w:val="00EE2277"/>
    <w:rsid w:val="00EE2C05"/>
    <w:rsid w:val="00EE2F55"/>
    <w:rsid w:val="00EE3172"/>
    <w:rsid w:val="00EE378C"/>
    <w:rsid w:val="00EE38CF"/>
    <w:rsid w:val="00EE39A0"/>
    <w:rsid w:val="00EE3E76"/>
    <w:rsid w:val="00EE453E"/>
    <w:rsid w:val="00EE491B"/>
    <w:rsid w:val="00EE503A"/>
    <w:rsid w:val="00EE534A"/>
    <w:rsid w:val="00EE5583"/>
    <w:rsid w:val="00EE55A1"/>
    <w:rsid w:val="00EE5AB7"/>
    <w:rsid w:val="00EE5C78"/>
    <w:rsid w:val="00EE5FBD"/>
    <w:rsid w:val="00EE6023"/>
    <w:rsid w:val="00EE618A"/>
    <w:rsid w:val="00EE62B6"/>
    <w:rsid w:val="00EE6443"/>
    <w:rsid w:val="00EE64DC"/>
    <w:rsid w:val="00EE6545"/>
    <w:rsid w:val="00EE6807"/>
    <w:rsid w:val="00EE6862"/>
    <w:rsid w:val="00EE6A36"/>
    <w:rsid w:val="00EE6C83"/>
    <w:rsid w:val="00EE6F8E"/>
    <w:rsid w:val="00EE72A4"/>
    <w:rsid w:val="00EE76F2"/>
    <w:rsid w:val="00EE78EA"/>
    <w:rsid w:val="00EE79ED"/>
    <w:rsid w:val="00EE7C73"/>
    <w:rsid w:val="00EF0DB4"/>
    <w:rsid w:val="00EF1192"/>
    <w:rsid w:val="00EF1387"/>
    <w:rsid w:val="00EF13D4"/>
    <w:rsid w:val="00EF1836"/>
    <w:rsid w:val="00EF1F53"/>
    <w:rsid w:val="00EF20AE"/>
    <w:rsid w:val="00EF27B2"/>
    <w:rsid w:val="00EF2FAD"/>
    <w:rsid w:val="00EF3169"/>
    <w:rsid w:val="00EF3347"/>
    <w:rsid w:val="00EF3467"/>
    <w:rsid w:val="00EF36C2"/>
    <w:rsid w:val="00EF36DA"/>
    <w:rsid w:val="00EF370E"/>
    <w:rsid w:val="00EF393E"/>
    <w:rsid w:val="00EF3A79"/>
    <w:rsid w:val="00EF3DA4"/>
    <w:rsid w:val="00EF46D0"/>
    <w:rsid w:val="00EF498E"/>
    <w:rsid w:val="00EF4CFB"/>
    <w:rsid w:val="00EF4F47"/>
    <w:rsid w:val="00EF4F93"/>
    <w:rsid w:val="00EF5193"/>
    <w:rsid w:val="00EF5195"/>
    <w:rsid w:val="00EF5377"/>
    <w:rsid w:val="00EF56B1"/>
    <w:rsid w:val="00EF5807"/>
    <w:rsid w:val="00EF59F9"/>
    <w:rsid w:val="00EF5A04"/>
    <w:rsid w:val="00EF5F55"/>
    <w:rsid w:val="00EF64E8"/>
    <w:rsid w:val="00EF6C59"/>
    <w:rsid w:val="00EF6E5F"/>
    <w:rsid w:val="00EF6FC7"/>
    <w:rsid w:val="00EF75B7"/>
    <w:rsid w:val="00EF7677"/>
    <w:rsid w:val="00EF771D"/>
    <w:rsid w:val="00EF7F5B"/>
    <w:rsid w:val="00F0044E"/>
    <w:rsid w:val="00F004E5"/>
    <w:rsid w:val="00F00864"/>
    <w:rsid w:val="00F00B63"/>
    <w:rsid w:val="00F00F06"/>
    <w:rsid w:val="00F0137C"/>
    <w:rsid w:val="00F01482"/>
    <w:rsid w:val="00F017CA"/>
    <w:rsid w:val="00F019AD"/>
    <w:rsid w:val="00F01AB4"/>
    <w:rsid w:val="00F01BBD"/>
    <w:rsid w:val="00F01CB6"/>
    <w:rsid w:val="00F01D12"/>
    <w:rsid w:val="00F022C1"/>
    <w:rsid w:val="00F02516"/>
    <w:rsid w:val="00F025FB"/>
    <w:rsid w:val="00F0268D"/>
    <w:rsid w:val="00F03000"/>
    <w:rsid w:val="00F03862"/>
    <w:rsid w:val="00F0427A"/>
    <w:rsid w:val="00F047BF"/>
    <w:rsid w:val="00F04A27"/>
    <w:rsid w:val="00F04A75"/>
    <w:rsid w:val="00F04B80"/>
    <w:rsid w:val="00F05027"/>
    <w:rsid w:val="00F05383"/>
    <w:rsid w:val="00F05884"/>
    <w:rsid w:val="00F058A6"/>
    <w:rsid w:val="00F05ACF"/>
    <w:rsid w:val="00F05D0F"/>
    <w:rsid w:val="00F05D94"/>
    <w:rsid w:val="00F05F3E"/>
    <w:rsid w:val="00F0600C"/>
    <w:rsid w:val="00F06046"/>
    <w:rsid w:val="00F06534"/>
    <w:rsid w:val="00F06D44"/>
    <w:rsid w:val="00F0704B"/>
    <w:rsid w:val="00F07B66"/>
    <w:rsid w:val="00F07BAE"/>
    <w:rsid w:val="00F10184"/>
    <w:rsid w:val="00F10904"/>
    <w:rsid w:val="00F10A41"/>
    <w:rsid w:val="00F10FDC"/>
    <w:rsid w:val="00F11102"/>
    <w:rsid w:val="00F112F5"/>
    <w:rsid w:val="00F11765"/>
    <w:rsid w:val="00F11AE1"/>
    <w:rsid w:val="00F11C7A"/>
    <w:rsid w:val="00F11C7C"/>
    <w:rsid w:val="00F11EA2"/>
    <w:rsid w:val="00F12017"/>
    <w:rsid w:val="00F12248"/>
    <w:rsid w:val="00F12A07"/>
    <w:rsid w:val="00F12C4E"/>
    <w:rsid w:val="00F12C6A"/>
    <w:rsid w:val="00F12C9B"/>
    <w:rsid w:val="00F12FDF"/>
    <w:rsid w:val="00F131DA"/>
    <w:rsid w:val="00F13575"/>
    <w:rsid w:val="00F136A2"/>
    <w:rsid w:val="00F13D9E"/>
    <w:rsid w:val="00F13E80"/>
    <w:rsid w:val="00F13F1C"/>
    <w:rsid w:val="00F1409E"/>
    <w:rsid w:val="00F1420C"/>
    <w:rsid w:val="00F1445D"/>
    <w:rsid w:val="00F145AD"/>
    <w:rsid w:val="00F147A2"/>
    <w:rsid w:val="00F153C0"/>
    <w:rsid w:val="00F15432"/>
    <w:rsid w:val="00F156C1"/>
    <w:rsid w:val="00F16632"/>
    <w:rsid w:val="00F16726"/>
    <w:rsid w:val="00F16A0B"/>
    <w:rsid w:val="00F16BFF"/>
    <w:rsid w:val="00F16CA7"/>
    <w:rsid w:val="00F16CD0"/>
    <w:rsid w:val="00F16EC4"/>
    <w:rsid w:val="00F17191"/>
    <w:rsid w:val="00F1750B"/>
    <w:rsid w:val="00F17551"/>
    <w:rsid w:val="00F1784E"/>
    <w:rsid w:val="00F17A87"/>
    <w:rsid w:val="00F17C60"/>
    <w:rsid w:val="00F17E49"/>
    <w:rsid w:val="00F206B3"/>
    <w:rsid w:val="00F20F19"/>
    <w:rsid w:val="00F211E3"/>
    <w:rsid w:val="00F2120C"/>
    <w:rsid w:val="00F2171F"/>
    <w:rsid w:val="00F218A4"/>
    <w:rsid w:val="00F21BCB"/>
    <w:rsid w:val="00F21CAC"/>
    <w:rsid w:val="00F21E9B"/>
    <w:rsid w:val="00F22142"/>
    <w:rsid w:val="00F22358"/>
    <w:rsid w:val="00F2257C"/>
    <w:rsid w:val="00F22936"/>
    <w:rsid w:val="00F22EE9"/>
    <w:rsid w:val="00F22F0A"/>
    <w:rsid w:val="00F22FB5"/>
    <w:rsid w:val="00F230B2"/>
    <w:rsid w:val="00F231DF"/>
    <w:rsid w:val="00F23446"/>
    <w:rsid w:val="00F237EF"/>
    <w:rsid w:val="00F23DF7"/>
    <w:rsid w:val="00F23E98"/>
    <w:rsid w:val="00F23FBE"/>
    <w:rsid w:val="00F241FB"/>
    <w:rsid w:val="00F2437C"/>
    <w:rsid w:val="00F244E4"/>
    <w:rsid w:val="00F24881"/>
    <w:rsid w:val="00F255A4"/>
    <w:rsid w:val="00F25B34"/>
    <w:rsid w:val="00F25D39"/>
    <w:rsid w:val="00F26252"/>
    <w:rsid w:val="00F26891"/>
    <w:rsid w:val="00F26B4C"/>
    <w:rsid w:val="00F26EDD"/>
    <w:rsid w:val="00F26FB3"/>
    <w:rsid w:val="00F2701C"/>
    <w:rsid w:val="00F27862"/>
    <w:rsid w:val="00F300D8"/>
    <w:rsid w:val="00F301CB"/>
    <w:rsid w:val="00F304B1"/>
    <w:rsid w:val="00F304FF"/>
    <w:rsid w:val="00F30A11"/>
    <w:rsid w:val="00F30B0E"/>
    <w:rsid w:val="00F30BE6"/>
    <w:rsid w:val="00F31382"/>
    <w:rsid w:val="00F313C2"/>
    <w:rsid w:val="00F31431"/>
    <w:rsid w:val="00F31444"/>
    <w:rsid w:val="00F31AA2"/>
    <w:rsid w:val="00F31B5A"/>
    <w:rsid w:val="00F31FDC"/>
    <w:rsid w:val="00F32348"/>
    <w:rsid w:val="00F325BC"/>
    <w:rsid w:val="00F32992"/>
    <w:rsid w:val="00F32BCE"/>
    <w:rsid w:val="00F32DA6"/>
    <w:rsid w:val="00F32DD1"/>
    <w:rsid w:val="00F3301C"/>
    <w:rsid w:val="00F333EE"/>
    <w:rsid w:val="00F33C3A"/>
    <w:rsid w:val="00F341DB"/>
    <w:rsid w:val="00F34243"/>
    <w:rsid w:val="00F34268"/>
    <w:rsid w:val="00F342F6"/>
    <w:rsid w:val="00F343BC"/>
    <w:rsid w:val="00F34402"/>
    <w:rsid w:val="00F345C1"/>
    <w:rsid w:val="00F347CF"/>
    <w:rsid w:val="00F34D3C"/>
    <w:rsid w:val="00F35020"/>
    <w:rsid w:val="00F35253"/>
    <w:rsid w:val="00F35341"/>
    <w:rsid w:val="00F353E1"/>
    <w:rsid w:val="00F35781"/>
    <w:rsid w:val="00F35B8C"/>
    <w:rsid w:val="00F35EF7"/>
    <w:rsid w:val="00F35FDF"/>
    <w:rsid w:val="00F3613A"/>
    <w:rsid w:val="00F36161"/>
    <w:rsid w:val="00F363D9"/>
    <w:rsid w:val="00F3645F"/>
    <w:rsid w:val="00F365B1"/>
    <w:rsid w:val="00F36AC4"/>
    <w:rsid w:val="00F36B2D"/>
    <w:rsid w:val="00F36D47"/>
    <w:rsid w:val="00F36F59"/>
    <w:rsid w:val="00F37220"/>
    <w:rsid w:val="00F37246"/>
    <w:rsid w:val="00F379D4"/>
    <w:rsid w:val="00F37A58"/>
    <w:rsid w:val="00F37DAF"/>
    <w:rsid w:val="00F4017C"/>
    <w:rsid w:val="00F40220"/>
    <w:rsid w:val="00F4072F"/>
    <w:rsid w:val="00F407B8"/>
    <w:rsid w:val="00F40F0F"/>
    <w:rsid w:val="00F4144C"/>
    <w:rsid w:val="00F41A23"/>
    <w:rsid w:val="00F41DAD"/>
    <w:rsid w:val="00F42001"/>
    <w:rsid w:val="00F42496"/>
    <w:rsid w:val="00F42793"/>
    <w:rsid w:val="00F42C0F"/>
    <w:rsid w:val="00F43140"/>
    <w:rsid w:val="00F439A7"/>
    <w:rsid w:val="00F440D2"/>
    <w:rsid w:val="00F44406"/>
    <w:rsid w:val="00F4459F"/>
    <w:rsid w:val="00F44B63"/>
    <w:rsid w:val="00F45182"/>
    <w:rsid w:val="00F4562A"/>
    <w:rsid w:val="00F45C92"/>
    <w:rsid w:val="00F45FB8"/>
    <w:rsid w:val="00F463D2"/>
    <w:rsid w:val="00F4643D"/>
    <w:rsid w:val="00F4657B"/>
    <w:rsid w:val="00F479DB"/>
    <w:rsid w:val="00F47E19"/>
    <w:rsid w:val="00F47FAD"/>
    <w:rsid w:val="00F500EF"/>
    <w:rsid w:val="00F508C4"/>
    <w:rsid w:val="00F50979"/>
    <w:rsid w:val="00F50CFD"/>
    <w:rsid w:val="00F512F1"/>
    <w:rsid w:val="00F51377"/>
    <w:rsid w:val="00F513B3"/>
    <w:rsid w:val="00F5165C"/>
    <w:rsid w:val="00F51877"/>
    <w:rsid w:val="00F521FC"/>
    <w:rsid w:val="00F52819"/>
    <w:rsid w:val="00F52B3D"/>
    <w:rsid w:val="00F52D4E"/>
    <w:rsid w:val="00F532BB"/>
    <w:rsid w:val="00F53A29"/>
    <w:rsid w:val="00F546F1"/>
    <w:rsid w:val="00F54925"/>
    <w:rsid w:val="00F54A26"/>
    <w:rsid w:val="00F54A97"/>
    <w:rsid w:val="00F54B9B"/>
    <w:rsid w:val="00F54E4D"/>
    <w:rsid w:val="00F54F6C"/>
    <w:rsid w:val="00F550C6"/>
    <w:rsid w:val="00F55368"/>
    <w:rsid w:val="00F55647"/>
    <w:rsid w:val="00F5595F"/>
    <w:rsid w:val="00F55D14"/>
    <w:rsid w:val="00F55D71"/>
    <w:rsid w:val="00F55FCF"/>
    <w:rsid w:val="00F56066"/>
    <w:rsid w:val="00F56279"/>
    <w:rsid w:val="00F56831"/>
    <w:rsid w:val="00F56EAA"/>
    <w:rsid w:val="00F575A5"/>
    <w:rsid w:val="00F5762E"/>
    <w:rsid w:val="00F5776A"/>
    <w:rsid w:val="00F57BFB"/>
    <w:rsid w:val="00F600AA"/>
    <w:rsid w:val="00F600D3"/>
    <w:rsid w:val="00F603DD"/>
    <w:rsid w:val="00F6045D"/>
    <w:rsid w:val="00F6056A"/>
    <w:rsid w:val="00F6060E"/>
    <w:rsid w:val="00F60A03"/>
    <w:rsid w:val="00F60D90"/>
    <w:rsid w:val="00F61007"/>
    <w:rsid w:val="00F61592"/>
    <w:rsid w:val="00F61A3E"/>
    <w:rsid w:val="00F61C14"/>
    <w:rsid w:val="00F6238C"/>
    <w:rsid w:val="00F62441"/>
    <w:rsid w:val="00F6249F"/>
    <w:rsid w:val="00F629FB"/>
    <w:rsid w:val="00F62BEB"/>
    <w:rsid w:val="00F62E04"/>
    <w:rsid w:val="00F630C6"/>
    <w:rsid w:val="00F63DA2"/>
    <w:rsid w:val="00F63DB0"/>
    <w:rsid w:val="00F64156"/>
    <w:rsid w:val="00F64501"/>
    <w:rsid w:val="00F6450A"/>
    <w:rsid w:val="00F647A5"/>
    <w:rsid w:val="00F647F5"/>
    <w:rsid w:val="00F64A01"/>
    <w:rsid w:val="00F64BCF"/>
    <w:rsid w:val="00F6547F"/>
    <w:rsid w:val="00F658D8"/>
    <w:rsid w:val="00F65DEE"/>
    <w:rsid w:val="00F660AC"/>
    <w:rsid w:val="00F66388"/>
    <w:rsid w:val="00F66560"/>
    <w:rsid w:val="00F6657B"/>
    <w:rsid w:val="00F667AB"/>
    <w:rsid w:val="00F6682E"/>
    <w:rsid w:val="00F669AC"/>
    <w:rsid w:val="00F669BB"/>
    <w:rsid w:val="00F67002"/>
    <w:rsid w:val="00F67447"/>
    <w:rsid w:val="00F674B3"/>
    <w:rsid w:val="00F6769D"/>
    <w:rsid w:val="00F676A5"/>
    <w:rsid w:val="00F67731"/>
    <w:rsid w:val="00F679ED"/>
    <w:rsid w:val="00F67C7C"/>
    <w:rsid w:val="00F67E3B"/>
    <w:rsid w:val="00F705C8"/>
    <w:rsid w:val="00F709BF"/>
    <w:rsid w:val="00F70A7B"/>
    <w:rsid w:val="00F71211"/>
    <w:rsid w:val="00F7186C"/>
    <w:rsid w:val="00F71A68"/>
    <w:rsid w:val="00F71D20"/>
    <w:rsid w:val="00F722AA"/>
    <w:rsid w:val="00F72599"/>
    <w:rsid w:val="00F725D9"/>
    <w:rsid w:val="00F7275E"/>
    <w:rsid w:val="00F72A07"/>
    <w:rsid w:val="00F7321D"/>
    <w:rsid w:val="00F73282"/>
    <w:rsid w:val="00F733CF"/>
    <w:rsid w:val="00F73422"/>
    <w:rsid w:val="00F73781"/>
    <w:rsid w:val="00F73AAF"/>
    <w:rsid w:val="00F73BA2"/>
    <w:rsid w:val="00F73C0B"/>
    <w:rsid w:val="00F73D2E"/>
    <w:rsid w:val="00F73D46"/>
    <w:rsid w:val="00F73DA9"/>
    <w:rsid w:val="00F73DC0"/>
    <w:rsid w:val="00F741D7"/>
    <w:rsid w:val="00F743E0"/>
    <w:rsid w:val="00F744FE"/>
    <w:rsid w:val="00F74B7F"/>
    <w:rsid w:val="00F74ED8"/>
    <w:rsid w:val="00F7558E"/>
    <w:rsid w:val="00F756FD"/>
    <w:rsid w:val="00F75FB3"/>
    <w:rsid w:val="00F76306"/>
    <w:rsid w:val="00F767F2"/>
    <w:rsid w:val="00F769F5"/>
    <w:rsid w:val="00F76BA9"/>
    <w:rsid w:val="00F76D70"/>
    <w:rsid w:val="00F76D74"/>
    <w:rsid w:val="00F76E6E"/>
    <w:rsid w:val="00F771EA"/>
    <w:rsid w:val="00F77D2B"/>
    <w:rsid w:val="00F77DC6"/>
    <w:rsid w:val="00F77E7B"/>
    <w:rsid w:val="00F803B8"/>
    <w:rsid w:val="00F8047C"/>
    <w:rsid w:val="00F8047E"/>
    <w:rsid w:val="00F8055D"/>
    <w:rsid w:val="00F80B85"/>
    <w:rsid w:val="00F80D3E"/>
    <w:rsid w:val="00F81381"/>
    <w:rsid w:val="00F81620"/>
    <w:rsid w:val="00F817DE"/>
    <w:rsid w:val="00F81A6E"/>
    <w:rsid w:val="00F81A97"/>
    <w:rsid w:val="00F81AAE"/>
    <w:rsid w:val="00F81DC8"/>
    <w:rsid w:val="00F821E9"/>
    <w:rsid w:val="00F8245E"/>
    <w:rsid w:val="00F82506"/>
    <w:rsid w:val="00F825CD"/>
    <w:rsid w:val="00F82BAE"/>
    <w:rsid w:val="00F82C1D"/>
    <w:rsid w:val="00F82C33"/>
    <w:rsid w:val="00F82E03"/>
    <w:rsid w:val="00F82EF7"/>
    <w:rsid w:val="00F82F6D"/>
    <w:rsid w:val="00F82FA0"/>
    <w:rsid w:val="00F83108"/>
    <w:rsid w:val="00F8353A"/>
    <w:rsid w:val="00F83970"/>
    <w:rsid w:val="00F8397F"/>
    <w:rsid w:val="00F83B1D"/>
    <w:rsid w:val="00F8441E"/>
    <w:rsid w:val="00F8452E"/>
    <w:rsid w:val="00F8454C"/>
    <w:rsid w:val="00F8499C"/>
    <w:rsid w:val="00F84A24"/>
    <w:rsid w:val="00F84A77"/>
    <w:rsid w:val="00F84CEB"/>
    <w:rsid w:val="00F84FD5"/>
    <w:rsid w:val="00F850B5"/>
    <w:rsid w:val="00F857CF"/>
    <w:rsid w:val="00F85BB3"/>
    <w:rsid w:val="00F8614C"/>
    <w:rsid w:val="00F86181"/>
    <w:rsid w:val="00F869D7"/>
    <w:rsid w:val="00F869DE"/>
    <w:rsid w:val="00F86C45"/>
    <w:rsid w:val="00F86E78"/>
    <w:rsid w:val="00F8723F"/>
    <w:rsid w:val="00F87375"/>
    <w:rsid w:val="00F876B4"/>
    <w:rsid w:val="00F87B3D"/>
    <w:rsid w:val="00F87B9E"/>
    <w:rsid w:val="00F87ED4"/>
    <w:rsid w:val="00F90199"/>
    <w:rsid w:val="00F9039A"/>
    <w:rsid w:val="00F9044D"/>
    <w:rsid w:val="00F90B3A"/>
    <w:rsid w:val="00F90C4D"/>
    <w:rsid w:val="00F91022"/>
    <w:rsid w:val="00F910C9"/>
    <w:rsid w:val="00F9139E"/>
    <w:rsid w:val="00F91966"/>
    <w:rsid w:val="00F91D8B"/>
    <w:rsid w:val="00F91EAF"/>
    <w:rsid w:val="00F92629"/>
    <w:rsid w:val="00F927CC"/>
    <w:rsid w:val="00F92992"/>
    <w:rsid w:val="00F92A13"/>
    <w:rsid w:val="00F92C40"/>
    <w:rsid w:val="00F92FD1"/>
    <w:rsid w:val="00F93066"/>
    <w:rsid w:val="00F93085"/>
    <w:rsid w:val="00F93821"/>
    <w:rsid w:val="00F93D42"/>
    <w:rsid w:val="00F93DE7"/>
    <w:rsid w:val="00F93DEB"/>
    <w:rsid w:val="00F94846"/>
    <w:rsid w:val="00F94A09"/>
    <w:rsid w:val="00F94BEF"/>
    <w:rsid w:val="00F94D31"/>
    <w:rsid w:val="00F94EA2"/>
    <w:rsid w:val="00F951E4"/>
    <w:rsid w:val="00F95381"/>
    <w:rsid w:val="00F95C1B"/>
    <w:rsid w:val="00F95E2D"/>
    <w:rsid w:val="00F95FB1"/>
    <w:rsid w:val="00F960DE"/>
    <w:rsid w:val="00F964E0"/>
    <w:rsid w:val="00F9682D"/>
    <w:rsid w:val="00F96A83"/>
    <w:rsid w:val="00F96C9B"/>
    <w:rsid w:val="00F96E34"/>
    <w:rsid w:val="00F9735B"/>
    <w:rsid w:val="00F973E4"/>
    <w:rsid w:val="00F97A67"/>
    <w:rsid w:val="00F97DFB"/>
    <w:rsid w:val="00F97F26"/>
    <w:rsid w:val="00F97F70"/>
    <w:rsid w:val="00FA045C"/>
    <w:rsid w:val="00FA0D7A"/>
    <w:rsid w:val="00FA0FE2"/>
    <w:rsid w:val="00FA121B"/>
    <w:rsid w:val="00FA12AD"/>
    <w:rsid w:val="00FA131B"/>
    <w:rsid w:val="00FA1448"/>
    <w:rsid w:val="00FA173D"/>
    <w:rsid w:val="00FA17FA"/>
    <w:rsid w:val="00FA1B7B"/>
    <w:rsid w:val="00FA1BF1"/>
    <w:rsid w:val="00FA2272"/>
    <w:rsid w:val="00FA2439"/>
    <w:rsid w:val="00FA24EB"/>
    <w:rsid w:val="00FA2AFA"/>
    <w:rsid w:val="00FA2D26"/>
    <w:rsid w:val="00FA3029"/>
    <w:rsid w:val="00FA31AD"/>
    <w:rsid w:val="00FA3740"/>
    <w:rsid w:val="00FA3861"/>
    <w:rsid w:val="00FA3C05"/>
    <w:rsid w:val="00FA3E7E"/>
    <w:rsid w:val="00FA3EA4"/>
    <w:rsid w:val="00FA413B"/>
    <w:rsid w:val="00FA45AA"/>
    <w:rsid w:val="00FA45D9"/>
    <w:rsid w:val="00FA4838"/>
    <w:rsid w:val="00FA4A30"/>
    <w:rsid w:val="00FA4A58"/>
    <w:rsid w:val="00FA4C86"/>
    <w:rsid w:val="00FA4F0A"/>
    <w:rsid w:val="00FA4F9E"/>
    <w:rsid w:val="00FA532A"/>
    <w:rsid w:val="00FA57A1"/>
    <w:rsid w:val="00FA5861"/>
    <w:rsid w:val="00FA5B30"/>
    <w:rsid w:val="00FA600B"/>
    <w:rsid w:val="00FA662E"/>
    <w:rsid w:val="00FA66CB"/>
    <w:rsid w:val="00FA6BCC"/>
    <w:rsid w:val="00FA70FC"/>
    <w:rsid w:val="00FA7615"/>
    <w:rsid w:val="00FA7618"/>
    <w:rsid w:val="00FA7B10"/>
    <w:rsid w:val="00FA7F4D"/>
    <w:rsid w:val="00FB0504"/>
    <w:rsid w:val="00FB0A38"/>
    <w:rsid w:val="00FB0F78"/>
    <w:rsid w:val="00FB105C"/>
    <w:rsid w:val="00FB10ED"/>
    <w:rsid w:val="00FB1102"/>
    <w:rsid w:val="00FB1368"/>
    <w:rsid w:val="00FB13BC"/>
    <w:rsid w:val="00FB1677"/>
    <w:rsid w:val="00FB19FD"/>
    <w:rsid w:val="00FB1C2B"/>
    <w:rsid w:val="00FB1C46"/>
    <w:rsid w:val="00FB1DD8"/>
    <w:rsid w:val="00FB2217"/>
    <w:rsid w:val="00FB238B"/>
    <w:rsid w:val="00FB25E7"/>
    <w:rsid w:val="00FB2C88"/>
    <w:rsid w:val="00FB2D92"/>
    <w:rsid w:val="00FB3012"/>
    <w:rsid w:val="00FB3666"/>
    <w:rsid w:val="00FB369E"/>
    <w:rsid w:val="00FB36D4"/>
    <w:rsid w:val="00FB3A6D"/>
    <w:rsid w:val="00FB3ADD"/>
    <w:rsid w:val="00FB3D0D"/>
    <w:rsid w:val="00FB40AF"/>
    <w:rsid w:val="00FB4251"/>
    <w:rsid w:val="00FB4455"/>
    <w:rsid w:val="00FB4873"/>
    <w:rsid w:val="00FB5344"/>
    <w:rsid w:val="00FB588A"/>
    <w:rsid w:val="00FB5D3E"/>
    <w:rsid w:val="00FB6868"/>
    <w:rsid w:val="00FB68F5"/>
    <w:rsid w:val="00FB6C20"/>
    <w:rsid w:val="00FB6D43"/>
    <w:rsid w:val="00FB6E1C"/>
    <w:rsid w:val="00FB6E8C"/>
    <w:rsid w:val="00FB6EF6"/>
    <w:rsid w:val="00FB70E6"/>
    <w:rsid w:val="00FB716F"/>
    <w:rsid w:val="00FB7197"/>
    <w:rsid w:val="00FB7741"/>
    <w:rsid w:val="00FB7759"/>
    <w:rsid w:val="00FB77BD"/>
    <w:rsid w:val="00FB79D7"/>
    <w:rsid w:val="00FB7A07"/>
    <w:rsid w:val="00FB7AA4"/>
    <w:rsid w:val="00FB7C0D"/>
    <w:rsid w:val="00FB7ECD"/>
    <w:rsid w:val="00FC0187"/>
    <w:rsid w:val="00FC073B"/>
    <w:rsid w:val="00FC08B9"/>
    <w:rsid w:val="00FC0BB0"/>
    <w:rsid w:val="00FC0C63"/>
    <w:rsid w:val="00FC0D7F"/>
    <w:rsid w:val="00FC0E3C"/>
    <w:rsid w:val="00FC1433"/>
    <w:rsid w:val="00FC17F6"/>
    <w:rsid w:val="00FC18D6"/>
    <w:rsid w:val="00FC1C73"/>
    <w:rsid w:val="00FC1C80"/>
    <w:rsid w:val="00FC1E3B"/>
    <w:rsid w:val="00FC1E8E"/>
    <w:rsid w:val="00FC1F09"/>
    <w:rsid w:val="00FC22F0"/>
    <w:rsid w:val="00FC2397"/>
    <w:rsid w:val="00FC24B6"/>
    <w:rsid w:val="00FC2B6C"/>
    <w:rsid w:val="00FC2D75"/>
    <w:rsid w:val="00FC3134"/>
    <w:rsid w:val="00FC3215"/>
    <w:rsid w:val="00FC327E"/>
    <w:rsid w:val="00FC346F"/>
    <w:rsid w:val="00FC3B9F"/>
    <w:rsid w:val="00FC3C0E"/>
    <w:rsid w:val="00FC4113"/>
    <w:rsid w:val="00FC41B5"/>
    <w:rsid w:val="00FC4429"/>
    <w:rsid w:val="00FC46FC"/>
    <w:rsid w:val="00FC4728"/>
    <w:rsid w:val="00FC4C60"/>
    <w:rsid w:val="00FC5158"/>
    <w:rsid w:val="00FC5A75"/>
    <w:rsid w:val="00FC5AD3"/>
    <w:rsid w:val="00FC5CDC"/>
    <w:rsid w:val="00FC6023"/>
    <w:rsid w:val="00FC602E"/>
    <w:rsid w:val="00FC6490"/>
    <w:rsid w:val="00FC65A8"/>
    <w:rsid w:val="00FC65DF"/>
    <w:rsid w:val="00FC6C19"/>
    <w:rsid w:val="00FC6C92"/>
    <w:rsid w:val="00FC6DDC"/>
    <w:rsid w:val="00FC6F91"/>
    <w:rsid w:val="00FC7297"/>
    <w:rsid w:val="00FC72DC"/>
    <w:rsid w:val="00FC7350"/>
    <w:rsid w:val="00FC774F"/>
    <w:rsid w:val="00FD00E6"/>
    <w:rsid w:val="00FD01D7"/>
    <w:rsid w:val="00FD0489"/>
    <w:rsid w:val="00FD0CBF"/>
    <w:rsid w:val="00FD0D29"/>
    <w:rsid w:val="00FD0DE2"/>
    <w:rsid w:val="00FD0E61"/>
    <w:rsid w:val="00FD1077"/>
    <w:rsid w:val="00FD1168"/>
    <w:rsid w:val="00FD148B"/>
    <w:rsid w:val="00FD16FE"/>
    <w:rsid w:val="00FD1814"/>
    <w:rsid w:val="00FD18CB"/>
    <w:rsid w:val="00FD18FE"/>
    <w:rsid w:val="00FD1ABC"/>
    <w:rsid w:val="00FD1D22"/>
    <w:rsid w:val="00FD1D9A"/>
    <w:rsid w:val="00FD227D"/>
    <w:rsid w:val="00FD24CF"/>
    <w:rsid w:val="00FD273F"/>
    <w:rsid w:val="00FD292E"/>
    <w:rsid w:val="00FD3117"/>
    <w:rsid w:val="00FD3222"/>
    <w:rsid w:val="00FD35A5"/>
    <w:rsid w:val="00FD3670"/>
    <w:rsid w:val="00FD3784"/>
    <w:rsid w:val="00FD38B1"/>
    <w:rsid w:val="00FD3A5B"/>
    <w:rsid w:val="00FD3E37"/>
    <w:rsid w:val="00FD3EBE"/>
    <w:rsid w:val="00FD3F05"/>
    <w:rsid w:val="00FD3FEF"/>
    <w:rsid w:val="00FD41E2"/>
    <w:rsid w:val="00FD42A6"/>
    <w:rsid w:val="00FD4906"/>
    <w:rsid w:val="00FD4B8F"/>
    <w:rsid w:val="00FD5225"/>
    <w:rsid w:val="00FD54E6"/>
    <w:rsid w:val="00FD563A"/>
    <w:rsid w:val="00FD569E"/>
    <w:rsid w:val="00FD56D8"/>
    <w:rsid w:val="00FD5866"/>
    <w:rsid w:val="00FD59BF"/>
    <w:rsid w:val="00FD5CA1"/>
    <w:rsid w:val="00FD6440"/>
    <w:rsid w:val="00FD6593"/>
    <w:rsid w:val="00FD6756"/>
    <w:rsid w:val="00FD68EF"/>
    <w:rsid w:val="00FD6D81"/>
    <w:rsid w:val="00FD6D8D"/>
    <w:rsid w:val="00FD70D9"/>
    <w:rsid w:val="00FD72B9"/>
    <w:rsid w:val="00FD7568"/>
    <w:rsid w:val="00FD7776"/>
    <w:rsid w:val="00FD7896"/>
    <w:rsid w:val="00FD78DA"/>
    <w:rsid w:val="00FD7B0B"/>
    <w:rsid w:val="00FD7D32"/>
    <w:rsid w:val="00FD7EFE"/>
    <w:rsid w:val="00FE045B"/>
    <w:rsid w:val="00FE0B45"/>
    <w:rsid w:val="00FE0D90"/>
    <w:rsid w:val="00FE0E77"/>
    <w:rsid w:val="00FE0F2C"/>
    <w:rsid w:val="00FE0F81"/>
    <w:rsid w:val="00FE1227"/>
    <w:rsid w:val="00FE191D"/>
    <w:rsid w:val="00FE19AA"/>
    <w:rsid w:val="00FE19B9"/>
    <w:rsid w:val="00FE1A35"/>
    <w:rsid w:val="00FE1CD8"/>
    <w:rsid w:val="00FE1EB3"/>
    <w:rsid w:val="00FE20C3"/>
    <w:rsid w:val="00FE2352"/>
    <w:rsid w:val="00FE2BD4"/>
    <w:rsid w:val="00FE2F29"/>
    <w:rsid w:val="00FE326D"/>
    <w:rsid w:val="00FE32E0"/>
    <w:rsid w:val="00FE3506"/>
    <w:rsid w:val="00FE3616"/>
    <w:rsid w:val="00FE36A7"/>
    <w:rsid w:val="00FE37FC"/>
    <w:rsid w:val="00FE38ED"/>
    <w:rsid w:val="00FE3911"/>
    <w:rsid w:val="00FE393B"/>
    <w:rsid w:val="00FE394A"/>
    <w:rsid w:val="00FE3956"/>
    <w:rsid w:val="00FE3C54"/>
    <w:rsid w:val="00FE3E16"/>
    <w:rsid w:val="00FE4402"/>
    <w:rsid w:val="00FE44F1"/>
    <w:rsid w:val="00FE466D"/>
    <w:rsid w:val="00FE46C9"/>
    <w:rsid w:val="00FE4AA4"/>
    <w:rsid w:val="00FE5113"/>
    <w:rsid w:val="00FE5288"/>
    <w:rsid w:val="00FE52EC"/>
    <w:rsid w:val="00FE5652"/>
    <w:rsid w:val="00FE5774"/>
    <w:rsid w:val="00FE5DEC"/>
    <w:rsid w:val="00FE5FF2"/>
    <w:rsid w:val="00FE6058"/>
    <w:rsid w:val="00FE6586"/>
    <w:rsid w:val="00FE6707"/>
    <w:rsid w:val="00FE68E0"/>
    <w:rsid w:val="00FE6960"/>
    <w:rsid w:val="00FE6C47"/>
    <w:rsid w:val="00FE6E0A"/>
    <w:rsid w:val="00FE6EE5"/>
    <w:rsid w:val="00FE71FD"/>
    <w:rsid w:val="00FE72E2"/>
    <w:rsid w:val="00FE7512"/>
    <w:rsid w:val="00FE7EDE"/>
    <w:rsid w:val="00FF0442"/>
    <w:rsid w:val="00FF05EB"/>
    <w:rsid w:val="00FF10BF"/>
    <w:rsid w:val="00FF1362"/>
    <w:rsid w:val="00FF1833"/>
    <w:rsid w:val="00FF1926"/>
    <w:rsid w:val="00FF1A72"/>
    <w:rsid w:val="00FF1AF6"/>
    <w:rsid w:val="00FF1CE1"/>
    <w:rsid w:val="00FF1D97"/>
    <w:rsid w:val="00FF1EF9"/>
    <w:rsid w:val="00FF23B4"/>
    <w:rsid w:val="00FF26D3"/>
    <w:rsid w:val="00FF2C1D"/>
    <w:rsid w:val="00FF3221"/>
    <w:rsid w:val="00FF33CC"/>
    <w:rsid w:val="00FF38E0"/>
    <w:rsid w:val="00FF3E75"/>
    <w:rsid w:val="00FF3EB9"/>
    <w:rsid w:val="00FF4280"/>
    <w:rsid w:val="00FF46C8"/>
    <w:rsid w:val="00FF4960"/>
    <w:rsid w:val="00FF4AD9"/>
    <w:rsid w:val="00FF54D1"/>
    <w:rsid w:val="00FF604C"/>
    <w:rsid w:val="00FF65C5"/>
    <w:rsid w:val="00FF65D2"/>
    <w:rsid w:val="00FF65F7"/>
    <w:rsid w:val="00FF672F"/>
    <w:rsid w:val="00FF685F"/>
    <w:rsid w:val="00FF69DE"/>
    <w:rsid w:val="00FF6AE0"/>
    <w:rsid w:val="00FF6D42"/>
    <w:rsid w:val="00FF6DA6"/>
    <w:rsid w:val="00FF7062"/>
    <w:rsid w:val="00FF7316"/>
    <w:rsid w:val="00FF7405"/>
    <w:rsid w:val="01087C8C"/>
    <w:rsid w:val="05264CA2"/>
    <w:rsid w:val="08337C77"/>
    <w:rsid w:val="0CC0309C"/>
    <w:rsid w:val="0DBC6DD9"/>
    <w:rsid w:val="0DD979BE"/>
    <w:rsid w:val="0EE32BB0"/>
    <w:rsid w:val="0F7D7CFB"/>
    <w:rsid w:val="10972774"/>
    <w:rsid w:val="117B6E9C"/>
    <w:rsid w:val="12B04A66"/>
    <w:rsid w:val="15891CCA"/>
    <w:rsid w:val="18684526"/>
    <w:rsid w:val="18DF73B2"/>
    <w:rsid w:val="1ED27AEC"/>
    <w:rsid w:val="1F521A61"/>
    <w:rsid w:val="21C86108"/>
    <w:rsid w:val="23117606"/>
    <w:rsid w:val="295169CB"/>
    <w:rsid w:val="297B7724"/>
    <w:rsid w:val="306301D5"/>
    <w:rsid w:val="30ED2B9B"/>
    <w:rsid w:val="33266952"/>
    <w:rsid w:val="33503C83"/>
    <w:rsid w:val="34607E57"/>
    <w:rsid w:val="3D103642"/>
    <w:rsid w:val="3EF36675"/>
    <w:rsid w:val="42000497"/>
    <w:rsid w:val="42287E94"/>
    <w:rsid w:val="451068EC"/>
    <w:rsid w:val="475021FE"/>
    <w:rsid w:val="4A126315"/>
    <w:rsid w:val="4C8E75EA"/>
    <w:rsid w:val="4F473A81"/>
    <w:rsid w:val="577279A8"/>
    <w:rsid w:val="57DE4C7D"/>
    <w:rsid w:val="5F8E7B88"/>
    <w:rsid w:val="60800AAC"/>
    <w:rsid w:val="663D6B98"/>
    <w:rsid w:val="67E45EB9"/>
    <w:rsid w:val="684A6664"/>
    <w:rsid w:val="6AEE6FF0"/>
    <w:rsid w:val="6B2D13C4"/>
    <w:rsid w:val="6FF430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9FC389"/>
  <w15:docId w15:val="{5219A60E-0C2E-4CB7-9907-4606119F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EA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A966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96656"/>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A96656"/>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rsid w:val="00A96656"/>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A96656"/>
    <w:pPr>
      <w:keepNext/>
      <w:keepLines/>
      <w:spacing w:before="40" w:after="0"/>
      <w:outlineLvl w:val="4"/>
    </w:pPr>
    <w:rPr>
      <w:color w:val="2E74B5" w:themeColor="accent1" w:themeShade="BF"/>
    </w:rPr>
  </w:style>
  <w:style w:type="paragraph" w:styleId="Heading6">
    <w:name w:val="heading 6"/>
    <w:basedOn w:val="Normal"/>
    <w:next w:val="Normal"/>
    <w:link w:val="Heading6Char"/>
    <w:uiPriority w:val="9"/>
    <w:semiHidden/>
    <w:unhideWhenUsed/>
    <w:qFormat/>
    <w:rsid w:val="00A96656"/>
    <w:pPr>
      <w:keepNext/>
      <w:keepLines/>
      <w:spacing w:before="40" w:after="0"/>
      <w:outlineLvl w:val="5"/>
    </w:pPr>
    <w:rPr>
      <w:color w:val="1F4E79" w:themeColor="accent1" w:themeShade="80"/>
    </w:rPr>
  </w:style>
  <w:style w:type="paragraph" w:styleId="Heading7">
    <w:name w:val="heading 7"/>
    <w:basedOn w:val="Normal"/>
    <w:next w:val="Normal"/>
    <w:link w:val="Heading7Char"/>
    <w:uiPriority w:val="9"/>
    <w:semiHidden/>
    <w:unhideWhenUsed/>
    <w:qFormat/>
    <w:rsid w:val="00A96656"/>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A96656"/>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A9665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rPr>
  </w:style>
  <w:style w:type="paragraph" w:styleId="BalloonText">
    <w:name w:val="Balloon Text"/>
    <w:basedOn w:val="Normal"/>
    <w:link w:val="BalloonTextChar"/>
    <w:uiPriority w:val="99"/>
    <w:unhideWhenUsed/>
    <w:rPr>
      <w:rFonts w:ascii="Microsoft YaHei UI" w:eastAsia="Microsoft YaHei UI"/>
      <w:sz w:val="18"/>
      <w:szCs w:val="18"/>
    </w:rPr>
  </w:style>
  <w:style w:type="paragraph" w:styleId="Footer">
    <w:name w:val="footer"/>
    <w:basedOn w:val="Normal"/>
    <w:link w:val="FooterChar"/>
    <w:uiPriority w:val="99"/>
    <w:pPr>
      <w:tabs>
        <w:tab w:val="center" w:pos="4153"/>
        <w:tab w:val="right" w:pos="8306"/>
      </w:tabs>
      <w:snapToGrid w:val="0"/>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CommentSubject">
    <w:name w:val="annotation subject"/>
    <w:basedOn w:val="CommentText"/>
    <w:next w:val="CommentText"/>
    <w:link w:val="CommentSubjectChar"/>
    <w:uiPriority w:val="99"/>
    <w:unhideWhenUsed/>
    <w:rPr>
      <w:b/>
      <w:bCs/>
    </w:rPr>
  </w:style>
  <w:style w:type="character" w:styleId="Hyperlink">
    <w:name w:val="Hyperlink"/>
    <w:uiPriority w:val="99"/>
    <w:unhideWhenUsed/>
    <w:qFormat/>
    <w:rPr>
      <w:color w:val="0000FF"/>
      <w:u w:val="single"/>
    </w:rPr>
  </w:style>
  <w:style w:type="character" w:styleId="CommentReference">
    <w:name w:val="annotation reference"/>
    <w:unhideWhenUsed/>
    <w:rPr>
      <w:sz w:val="16"/>
      <w:szCs w:val="16"/>
    </w:rPr>
  </w:style>
  <w:style w:type="character" w:customStyle="1" w:styleId="CommentTextChar">
    <w:name w:val="Comment Text Char"/>
    <w:link w:val="CommentText"/>
    <w:rPr>
      <w:kern w:val="2"/>
    </w:rPr>
  </w:style>
  <w:style w:type="character" w:customStyle="1" w:styleId="BalloonTextChar">
    <w:name w:val="Balloon Text Char"/>
    <w:link w:val="BalloonText"/>
    <w:uiPriority w:val="99"/>
    <w:semiHidden/>
    <w:rPr>
      <w:rFonts w:ascii="Microsoft YaHei UI" w:eastAsia="Microsoft YaHei UI"/>
      <w:kern w:val="2"/>
      <w:sz w:val="18"/>
      <w:szCs w:val="18"/>
    </w:rPr>
  </w:style>
  <w:style w:type="character" w:customStyle="1" w:styleId="CommentSubjectChar">
    <w:name w:val="Comment Subject Char"/>
    <w:link w:val="CommentSubject"/>
    <w:uiPriority w:val="99"/>
    <w:semiHidden/>
    <w:rPr>
      <w:b/>
      <w:bCs/>
      <w:kern w:val="2"/>
    </w:rPr>
  </w:style>
  <w:style w:type="character" w:customStyle="1" w:styleId="fontstyle01">
    <w:name w:val="fontstyle01"/>
    <w:qFormat/>
    <w:rPr>
      <w:rFonts w:ascii="MinionPro-Regular" w:hAnsi="MinionPro-Regular" w:hint="default"/>
      <w:color w:val="231F20"/>
      <w:sz w:val="16"/>
      <w:szCs w:val="16"/>
    </w:rPr>
  </w:style>
  <w:style w:type="paragraph" w:customStyle="1" w:styleId="1">
    <w:name w:val="列出段落1"/>
    <w:basedOn w:val="Normal"/>
    <w:link w:val="10"/>
    <w:qFormat/>
    <w:pPr>
      <w:ind w:firstLineChars="200" w:firstLine="420"/>
    </w:pPr>
  </w:style>
  <w:style w:type="character" w:customStyle="1" w:styleId="fontstyle21">
    <w:name w:val="fontstyle21"/>
    <w:rPr>
      <w:rFonts w:ascii="EuclidSymbol" w:hAnsi="EuclidSymbol" w:hint="default"/>
      <w:color w:val="231F20"/>
      <w:sz w:val="16"/>
      <w:szCs w:val="16"/>
    </w:rPr>
  </w:style>
  <w:style w:type="paragraph" w:styleId="ListParagraph">
    <w:name w:val="List Paragraph"/>
    <w:basedOn w:val="Normal"/>
    <w:uiPriority w:val="34"/>
    <w:qFormat/>
    <w:rsid w:val="00797A3E"/>
    <w:pPr>
      <w:ind w:firstLineChars="200" w:firstLine="420"/>
    </w:pPr>
  </w:style>
  <w:style w:type="paragraph" w:customStyle="1" w:styleId="AMDisplayEquation">
    <w:name w:val="AMDisplayEquation"/>
    <w:basedOn w:val="Normal"/>
    <w:next w:val="Normal"/>
    <w:link w:val="AMDisplayEquation0"/>
    <w:rsid w:val="00F047BF"/>
    <w:pPr>
      <w:tabs>
        <w:tab w:val="center" w:pos="4160"/>
        <w:tab w:val="right" w:pos="8300"/>
      </w:tabs>
      <w:ind w:firstLineChars="200" w:firstLine="560"/>
    </w:pPr>
    <w:rPr>
      <w:sz w:val="28"/>
      <w:szCs w:val="28"/>
    </w:rPr>
  </w:style>
  <w:style w:type="character" w:customStyle="1" w:styleId="AMDisplayEquation0">
    <w:name w:val="AMDisplayEquation 字符"/>
    <w:basedOn w:val="DefaultParagraphFont"/>
    <w:link w:val="AMDisplayEquation"/>
    <w:rsid w:val="00F047BF"/>
    <w:rPr>
      <w:kern w:val="2"/>
      <w:sz w:val="28"/>
      <w:szCs w:val="28"/>
    </w:rPr>
  </w:style>
  <w:style w:type="paragraph" w:customStyle="1" w:styleId="MTDisplayEquation">
    <w:name w:val="MTDisplayEquation"/>
    <w:basedOn w:val="1"/>
    <w:next w:val="Normal"/>
    <w:link w:val="MTDisplayEquation0"/>
    <w:rsid w:val="004F4111"/>
    <w:pPr>
      <w:tabs>
        <w:tab w:val="center" w:pos="4160"/>
        <w:tab w:val="right" w:pos="8300"/>
      </w:tabs>
      <w:spacing w:line="480" w:lineRule="auto"/>
      <w:ind w:firstLine="480"/>
    </w:pPr>
    <w:rPr>
      <w:szCs w:val="24"/>
    </w:rPr>
  </w:style>
  <w:style w:type="character" w:customStyle="1" w:styleId="10">
    <w:name w:val="列出段落1 字符"/>
    <w:basedOn w:val="DefaultParagraphFont"/>
    <w:link w:val="1"/>
    <w:rsid w:val="004F4111"/>
    <w:rPr>
      <w:kern w:val="2"/>
      <w:sz w:val="21"/>
    </w:rPr>
  </w:style>
  <w:style w:type="character" w:customStyle="1" w:styleId="MTDisplayEquation0">
    <w:name w:val="MTDisplayEquation 字符"/>
    <w:basedOn w:val="10"/>
    <w:link w:val="MTDisplayEquation"/>
    <w:rsid w:val="004F4111"/>
    <w:rPr>
      <w:kern w:val="2"/>
      <w:sz w:val="24"/>
      <w:szCs w:val="24"/>
    </w:rPr>
  </w:style>
  <w:style w:type="paragraph" w:styleId="Revision">
    <w:name w:val="Revision"/>
    <w:hidden/>
    <w:uiPriority w:val="99"/>
    <w:semiHidden/>
    <w:rsid w:val="006E7D41"/>
    <w:rPr>
      <w:kern w:val="2"/>
      <w:sz w:val="21"/>
    </w:rPr>
  </w:style>
  <w:style w:type="character" w:styleId="PlaceholderText">
    <w:name w:val="Placeholder Text"/>
    <w:basedOn w:val="DefaultParagraphFont"/>
    <w:uiPriority w:val="99"/>
    <w:semiHidden/>
    <w:rsid w:val="005438DD"/>
    <w:rPr>
      <w:color w:val="808080"/>
    </w:rPr>
  </w:style>
  <w:style w:type="table" w:styleId="TableGrid">
    <w:name w:val="Table Grid"/>
    <w:basedOn w:val="TableNormal"/>
    <w:uiPriority w:val="39"/>
    <w:rsid w:val="00C47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66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96656"/>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A96656"/>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rsid w:val="00A96656"/>
    <w:rPr>
      <w:i/>
      <w:iCs/>
    </w:rPr>
  </w:style>
  <w:style w:type="character" w:customStyle="1" w:styleId="Heading5Char">
    <w:name w:val="Heading 5 Char"/>
    <w:basedOn w:val="DefaultParagraphFont"/>
    <w:link w:val="Heading5"/>
    <w:uiPriority w:val="9"/>
    <w:semiHidden/>
    <w:rsid w:val="00A96656"/>
    <w:rPr>
      <w:color w:val="2E74B5" w:themeColor="accent1" w:themeShade="BF"/>
    </w:rPr>
  </w:style>
  <w:style w:type="character" w:customStyle="1" w:styleId="Heading6Char">
    <w:name w:val="Heading 6 Char"/>
    <w:basedOn w:val="DefaultParagraphFont"/>
    <w:link w:val="Heading6"/>
    <w:uiPriority w:val="9"/>
    <w:semiHidden/>
    <w:rsid w:val="00A96656"/>
    <w:rPr>
      <w:color w:val="1F4E79" w:themeColor="accent1" w:themeShade="80"/>
    </w:rPr>
  </w:style>
  <w:style w:type="character" w:customStyle="1" w:styleId="Heading7Char">
    <w:name w:val="Heading 7 Char"/>
    <w:basedOn w:val="DefaultParagraphFont"/>
    <w:link w:val="Heading7"/>
    <w:uiPriority w:val="9"/>
    <w:semiHidden/>
    <w:rsid w:val="00A96656"/>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A96656"/>
    <w:rPr>
      <w:color w:val="262626" w:themeColor="text1" w:themeTint="D9"/>
      <w:sz w:val="21"/>
      <w:szCs w:val="21"/>
    </w:rPr>
  </w:style>
  <w:style w:type="character" w:customStyle="1" w:styleId="Heading9Char">
    <w:name w:val="Heading 9 Char"/>
    <w:basedOn w:val="DefaultParagraphFont"/>
    <w:link w:val="Heading9"/>
    <w:uiPriority w:val="9"/>
    <w:semiHidden/>
    <w:rsid w:val="00A9665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A96656"/>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A96656"/>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A96656"/>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A9665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96656"/>
    <w:rPr>
      <w:color w:val="5A5A5A" w:themeColor="text1" w:themeTint="A5"/>
      <w:spacing w:val="15"/>
    </w:rPr>
  </w:style>
  <w:style w:type="character" w:styleId="Strong">
    <w:name w:val="Strong"/>
    <w:basedOn w:val="DefaultParagraphFont"/>
    <w:uiPriority w:val="22"/>
    <w:qFormat/>
    <w:rsid w:val="00A96656"/>
    <w:rPr>
      <w:b/>
      <w:bCs/>
      <w:color w:val="auto"/>
    </w:rPr>
  </w:style>
  <w:style w:type="character" w:styleId="Emphasis">
    <w:name w:val="Emphasis"/>
    <w:basedOn w:val="DefaultParagraphFont"/>
    <w:uiPriority w:val="20"/>
    <w:qFormat/>
    <w:rsid w:val="00A96656"/>
    <w:rPr>
      <w:i/>
      <w:iCs/>
      <w:color w:val="auto"/>
    </w:rPr>
  </w:style>
  <w:style w:type="paragraph" w:styleId="NoSpacing">
    <w:name w:val="No Spacing"/>
    <w:uiPriority w:val="1"/>
    <w:qFormat/>
    <w:rsid w:val="00A96656"/>
    <w:pPr>
      <w:spacing w:after="0" w:line="240" w:lineRule="auto"/>
    </w:pPr>
  </w:style>
  <w:style w:type="paragraph" w:styleId="Quote">
    <w:name w:val="Quote"/>
    <w:basedOn w:val="Normal"/>
    <w:next w:val="Normal"/>
    <w:link w:val="QuoteChar"/>
    <w:uiPriority w:val="29"/>
    <w:qFormat/>
    <w:rsid w:val="00A9665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A96656"/>
    <w:rPr>
      <w:i/>
      <w:iCs/>
      <w:color w:val="404040" w:themeColor="text1" w:themeTint="BF"/>
    </w:rPr>
  </w:style>
  <w:style w:type="paragraph" w:styleId="IntenseQuote">
    <w:name w:val="Intense Quote"/>
    <w:basedOn w:val="Normal"/>
    <w:next w:val="Normal"/>
    <w:link w:val="IntenseQuoteChar"/>
    <w:uiPriority w:val="30"/>
    <w:qFormat/>
    <w:rsid w:val="00A9665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96656"/>
    <w:rPr>
      <w:i/>
      <w:iCs/>
      <w:color w:val="5B9BD5" w:themeColor="accent1"/>
    </w:rPr>
  </w:style>
  <w:style w:type="character" w:styleId="SubtleEmphasis">
    <w:name w:val="Subtle Emphasis"/>
    <w:basedOn w:val="DefaultParagraphFont"/>
    <w:uiPriority w:val="19"/>
    <w:qFormat/>
    <w:rsid w:val="00A96656"/>
    <w:rPr>
      <w:i/>
      <w:iCs/>
      <w:color w:val="404040" w:themeColor="text1" w:themeTint="BF"/>
    </w:rPr>
  </w:style>
  <w:style w:type="character" w:styleId="IntenseEmphasis">
    <w:name w:val="Intense Emphasis"/>
    <w:basedOn w:val="DefaultParagraphFont"/>
    <w:uiPriority w:val="21"/>
    <w:qFormat/>
    <w:rsid w:val="00A96656"/>
    <w:rPr>
      <w:i/>
      <w:iCs/>
      <w:color w:val="5B9BD5" w:themeColor="accent1"/>
    </w:rPr>
  </w:style>
  <w:style w:type="character" w:styleId="SubtleReference">
    <w:name w:val="Subtle Reference"/>
    <w:basedOn w:val="DefaultParagraphFont"/>
    <w:uiPriority w:val="31"/>
    <w:qFormat/>
    <w:rsid w:val="00A96656"/>
    <w:rPr>
      <w:smallCaps/>
      <w:color w:val="404040" w:themeColor="text1" w:themeTint="BF"/>
    </w:rPr>
  </w:style>
  <w:style w:type="character" w:styleId="IntenseReference">
    <w:name w:val="Intense Reference"/>
    <w:basedOn w:val="DefaultParagraphFont"/>
    <w:uiPriority w:val="32"/>
    <w:qFormat/>
    <w:rsid w:val="00A96656"/>
    <w:rPr>
      <w:b/>
      <w:bCs/>
      <w:smallCaps/>
      <w:color w:val="5B9BD5" w:themeColor="accent1"/>
      <w:spacing w:val="5"/>
    </w:rPr>
  </w:style>
  <w:style w:type="character" w:styleId="BookTitle">
    <w:name w:val="Book Title"/>
    <w:basedOn w:val="DefaultParagraphFont"/>
    <w:uiPriority w:val="33"/>
    <w:qFormat/>
    <w:rsid w:val="00A96656"/>
    <w:rPr>
      <w:b/>
      <w:bCs/>
      <w:i/>
      <w:iCs/>
      <w:spacing w:val="5"/>
    </w:rPr>
  </w:style>
  <w:style w:type="paragraph" w:styleId="TOCHeading">
    <w:name w:val="TOC Heading"/>
    <w:basedOn w:val="Heading1"/>
    <w:next w:val="Normal"/>
    <w:uiPriority w:val="39"/>
    <w:semiHidden/>
    <w:unhideWhenUsed/>
    <w:qFormat/>
    <w:rsid w:val="00A96656"/>
    <w:pPr>
      <w:outlineLvl w:val="9"/>
    </w:pPr>
  </w:style>
  <w:style w:type="character" w:customStyle="1" w:styleId="key">
    <w:name w:val="key"/>
    <w:basedOn w:val="DefaultParagraphFont"/>
    <w:rsid w:val="008B6E9C"/>
  </w:style>
  <w:style w:type="character" w:customStyle="1" w:styleId="apple-converted-space">
    <w:name w:val="apple-converted-space"/>
    <w:basedOn w:val="DefaultParagraphFont"/>
    <w:rsid w:val="008B6E9C"/>
  </w:style>
  <w:style w:type="character" w:customStyle="1" w:styleId="fontstyle31">
    <w:name w:val="fontstyle31"/>
    <w:basedOn w:val="DefaultParagraphFont"/>
    <w:rsid w:val="00010E8B"/>
    <w:rPr>
      <w:rFonts w:ascii="CMR10" w:hAnsi="CMR10" w:hint="default"/>
      <w:b w:val="0"/>
      <w:bCs w:val="0"/>
      <w:i w:val="0"/>
      <w:iCs w:val="0"/>
      <w:color w:val="000000"/>
      <w:sz w:val="22"/>
      <w:szCs w:val="22"/>
    </w:rPr>
  </w:style>
  <w:style w:type="character" w:styleId="LineNumber">
    <w:name w:val="line number"/>
    <w:basedOn w:val="DefaultParagraphFont"/>
    <w:uiPriority w:val="99"/>
    <w:semiHidden/>
    <w:unhideWhenUsed/>
    <w:rsid w:val="00C01CAD"/>
  </w:style>
  <w:style w:type="character" w:customStyle="1" w:styleId="opdict3font24">
    <w:name w:val="op_dict3_font24"/>
    <w:basedOn w:val="DefaultParagraphFont"/>
    <w:rsid w:val="008D5423"/>
  </w:style>
  <w:style w:type="character" w:customStyle="1" w:styleId="basic-word">
    <w:name w:val="basic-word"/>
    <w:basedOn w:val="DefaultParagraphFont"/>
    <w:rsid w:val="005E5630"/>
  </w:style>
  <w:style w:type="character" w:customStyle="1" w:styleId="content-right8zs40">
    <w:name w:val="content-right_8zs40"/>
    <w:basedOn w:val="DefaultParagraphFont"/>
    <w:rsid w:val="00B55CDF"/>
  </w:style>
  <w:style w:type="character" w:customStyle="1" w:styleId="EndNoteBibliography">
    <w:name w:val="EndNote Bibliography 字符"/>
    <w:basedOn w:val="DefaultParagraphFont"/>
    <w:link w:val="EndNoteBibliography0"/>
    <w:locked/>
    <w:rsid w:val="00C05592"/>
    <w:rPr>
      <w:rFonts w:ascii="Times New Roman" w:eastAsia="FangSong" w:hAnsi="Times New Roman" w:cs="Times New Roman"/>
      <w:noProof/>
      <w:sz w:val="24"/>
    </w:rPr>
  </w:style>
  <w:style w:type="paragraph" w:customStyle="1" w:styleId="EndNoteBibliography0">
    <w:name w:val="EndNote Bibliography"/>
    <w:basedOn w:val="Normal"/>
    <w:link w:val="EndNoteBibliography"/>
    <w:qFormat/>
    <w:rsid w:val="00C05592"/>
    <w:pPr>
      <w:widowControl w:val="0"/>
      <w:spacing w:after="0" w:line="240" w:lineRule="auto"/>
    </w:pPr>
    <w:rPr>
      <w:rFonts w:eastAsia="FangSong" w:cs="Times New Roman"/>
      <w:noProof/>
    </w:rPr>
  </w:style>
  <w:style w:type="character" w:customStyle="1" w:styleId="FooterChar">
    <w:name w:val="Footer Char"/>
    <w:basedOn w:val="DefaultParagraphFont"/>
    <w:link w:val="Footer"/>
    <w:uiPriority w:val="99"/>
    <w:rsid w:val="002E5F68"/>
    <w:rPr>
      <w:sz w:val="18"/>
    </w:rPr>
  </w:style>
  <w:style w:type="character" w:customStyle="1" w:styleId="skip">
    <w:name w:val="skip"/>
    <w:basedOn w:val="DefaultParagraphFont"/>
    <w:rsid w:val="00D564A2"/>
  </w:style>
  <w:style w:type="character" w:customStyle="1" w:styleId="tgt">
    <w:name w:val="tgt"/>
    <w:basedOn w:val="DefaultParagraphFont"/>
    <w:rsid w:val="00604A56"/>
  </w:style>
  <w:style w:type="character" w:customStyle="1" w:styleId="11">
    <w:name w:val="未处理的提及1"/>
    <w:basedOn w:val="DefaultParagraphFont"/>
    <w:uiPriority w:val="99"/>
    <w:semiHidden/>
    <w:unhideWhenUsed/>
    <w:rsid w:val="003F4BD8"/>
    <w:rPr>
      <w:color w:val="605E5C"/>
      <w:shd w:val="clear" w:color="auto" w:fill="E1DFDD"/>
    </w:rPr>
  </w:style>
  <w:style w:type="paragraph" w:customStyle="1" w:styleId="a">
    <w:name w:val="公式"/>
    <w:basedOn w:val="Normal"/>
    <w:next w:val="Normal"/>
    <w:qFormat/>
    <w:rsid w:val="00F876B4"/>
    <w:pPr>
      <w:widowControl w:val="0"/>
      <w:tabs>
        <w:tab w:val="center" w:pos="4156"/>
        <w:tab w:val="right" w:pos="10110"/>
      </w:tabs>
      <w:spacing w:after="0" w:line="240" w:lineRule="auto"/>
    </w:pPr>
    <w:rPr>
      <w:rFonts w:cs="Times New Roman"/>
      <w:kern w:val="2"/>
      <w:sz w:val="21"/>
    </w:rPr>
  </w:style>
  <w:style w:type="paragraph" w:customStyle="1" w:styleId="figurecaption">
    <w:name w:val="figure_caption"/>
    <w:basedOn w:val="Normal"/>
    <w:link w:val="figurecaption0"/>
    <w:qFormat/>
    <w:rsid w:val="007938A8"/>
    <w:pPr>
      <w:spacing w:after="0"/>
    </w:pPr>
    <w:rPr>
      <w:rFonts w:cs="Times New Roman"/>
      <w:szCs w:val="24"/>
    </w:rPr>
  </w:style>
  <w:style w:type="character" w:customStyle="1" w:styleId="figurecaption0">
    <w:name w:val="figure_caption 字符"/>
    <w:basedOn w:val="DefaultParagraphFont"/>
    <w:link w:val="figurecaption"/>
    <w:rsid w:val="007938A8"/>
    <w:rPr>
      <w:rFonts w:ascii="Times New Roman" w:hAnsi="Times New Roman" w:cs="Times New Roman"/>
      <w:sz w:val="24"/>
      <w:szCs w:val="24"/>
    </w:rPr>
  </w:style>
  <w:style w:type="paragraph" w:customStyle="1" w:styleId="ref">
    <w:name w:val="ref."/>
    <w:basedOn w:val="Normal"/>
    <w:link w:val="ref0"/>
    <w:qFormat/>
    <w:rsid w:val="00F01AB4"/>
    <w:pPr>
      <w:spacing w:after="0" w:line="240" w:lineRule="auto"/>
      <w:ind w:left="663" w:hanging="663"/>
    </w:pPr>
  </w:style>
  <w:style w:type="character" w:customStyle="1" w:styleId="ref0">
    <w:name w:val="ref. 字符"/>
    <w:basedOn w:val="DefaultParagraphFont"/>
    <w:link w:val="ref"/>
    <w:rsid w:val="00F01AB4"/>
    <w:rPr>
      <w:rFonts w:ascii="Times New Roman" w:hAnsi="Times New Roman"/>
      <w:sz w:val="24"/>
    </w:rPr>
  </w:style>
  <w:style w:type="paragraph" w:styleId="Bibliography">
    <w:name w:val="Bibliography"/>
    <w:basedOn w:val="Normal"/>
    <w:next w:val="Normal"/>
    <w:uiPriority w:val="37"/>
    <w:unhideWhenUsed/>
    <w:rsid w:val="004904F5"/>
    <w:pPr>
      <w:spacing w:after="240" w:line="240" w:lineRule="auto"/>
      <w:ind w:left="720" w:hanging="720"/>
    </w:pPr>
  </w:style>
  <w:style w:type="paragraph" w:customStyle="1" w:styleId="12">
    <w:name w:val="样式1"/>
    <w:basedOn w:val="Normal"/>
    <w:link w:val="13"/>
    <w:qFormat/>
    <w:rsid w:val="00E01E43"/>
    <w:pPr>
      <w:spacing w:after="0"/>
    </w:pPr>
    <w:rPr>
      <w:rFonts w:eastAsia="SimSun" w:cs="SimSun"/>
      <w:b/>
      <w:i/>
      <w:color w:val="5B9BD5" w:themeColor="accent1"/>
      <w:szCs w:val="17"/>
    </w:rPr>
  </w:style>
  <w:style w:type="character" w:customStyle="1" w:styleId="13">
    <w:name w:val="样式1 字符"/>
    <w:basedOn w:val="DefaultParagraphFont"/>
    <w:link w:val="12"/>
    <w:rsid w:val="00E01E43"/>
    <w:rPr>
      <w:rFonts w:ascii="Times New Roman" w:eastAsia="SimSun" w:hAnsi="Times New Roman" w:cs="SimSun"/>
      <w:b/>
      <w:i/>
      <w:color w:val="5B9BD5" w:themeColor="accent1"/>
      <w:sz w:val="24"/>
      <w:szCs w:val="17"/>
    </w:rPr>
  </w:style>
  <w:style w:type="paragraph" w:customStyle="1" w:styleId="Paragraph">
    <w:name w:val="Paragraph"/>
    <w:basedOn w:val="Normal"/>
    <w:next w:val="Normal"/>
    <w:link w:val="ParagraphChar"/>
    <w:qFormat/>
    <w:rsid w:val="002F22C1"/>
    <w:pPr>
      <w:widowControl w:val="0"/>
      <w:spacing w:before="240" w:after="0"/>
    </w:pPr>
    <w:rPr>
      <w:rFonts w:cs="Times New Roman"/>
      <w:szCs w:val="24"/>
      <w:lang w:val="en-GB" w:eastAsia="en-GB"/>
    </w:rPr>
  </w:style>
  <w:style w:type="character" w:customStyle="1" w:styleId="ParagraphChar">
    <w:name w:val="Paragraph Char"/>
    <w:basedOn w:val="DefaultParagraphFont"/>
    <w:link w:val="Paragraph"/>
    <w:rsid w:val="002F22C1"/>
    <w:rPr>
      <w:rFonts w:ascii="Times New Roman" w:hAnsi="Times New Roman" w:cs="Times New Roman"/>
      <w:sz w:val="24"/>
      <w:szCs w:val="24"/>
      <w:lang w:val="en-GB" w:eastAsia="en-GB"/>
    </w:rPr>
  </w:style>
  <w:style w:type="paragraph" w:customStyle="1" w:styleId="Newparagraph">
    <w:name w:val="New paragraph"/>
    <w:basedOn w:val="Normal"/>
    <w:qFormat/>
    <w:rsid w:val="0040051F"/>
    <w:pPr>
      <w:spacing w:after="0" w:line="480" w:lineRule="auto"/>
      <w:ind w:firstLine="720"/>
      <w:jc w:val="left"/>
    </w:pPr>
    <w:rPr>
      <w:rFonts w:cs="Times New Roman"/>
      <w:szCs w:val="24"/>
      <w:lang w:val="en-GB" w:eastAsia="en-GB"/>
    </w:rPr>
  </w:style>
  <w:style w:type="character" w:styleId="UnresolvedMention">
    <w:name w:val="Unresolved Mention"/>
    <w:basedOn w:val="DefaultParagraphFont"/>
    <w:uiPriority w:val="99"/>
    <w:semiHidden/>
    <w:unhideWhenUsed/>
    <w:rsid w:val="00CB2907"/>
    <w:rPr>
      <w:color w:val="605E5C"/>
      <w:shd w:val="clear" w:color="auto" w:fill="E1DFDD"/>
    </w:rPr>
  </w:style>
  <w:style w:type="character" w:styleId="FollowedHyperlink">
    <w:name w:val="FollowedHyperlink"/>
    <w:basedOn w:val="DefaultParagraphFont"/>
    <w:uiPriority w:val="99"/>
    <w:semiHidden/>
    <w:unhideWhenUsed/>
    <w:rsid w:val="006931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51977">
      <w:bodyDiv w:val="1"/>
      <w:marLeft w:val="0"/>
      <w:marRight w:val="0"/>
      <w:marTop w:val="0"/>
      <w:marBottom w:val="0"/>
      <w:divBdr>
        <w:top w:val="none" w:sz="0" w:space="0" w:color="auto"/>
        <w:left w:val="none" w:sz="0" w:space="0" w:color="auto"/>
        <w:bottom w:val="none" w:sz="0" w:space="0" w:color="auto"/>
        <w:right w:val="none" w:sz="0" w:space="0" w:color="auto"/>
      </w:divBdr>
      <w:divsChild>
        <w:div w:id="367949192">
          <w:marLeft w:val="480"/>
          <w:marRight w:val="0"/>
          <w:marTop w:val="0"/>
          <w:marBottom w:val="0"/>
          <w:divBdr>
            <w:top w:val="none" w:sz="0" w:space="0" w:color="auto"/>
            <w:left w:val="none" w:sz="0" w:space="0" w:color="auto"/>
            <w:bottom w:val="none" w:sz="0" w:space="0" w:color="auto"/>
            <w:right w:val="none" w:sz="0" w:space="0" w:color="auto"/>
          </w:divBdr>
          <w:divsChild>
            <w:div w:id="6948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9865">
      <w:bodyDiv w:val="1"/>
      <w:marLeft w:val="0"/>
      <w:marRight w:val="0"/>
      <w:marTop w:val="0"/>
      <w:marBottom w:val="0"/>
      <w:divBdr>
        <w:top w:val="none" w:sz="0" w:space="0" w:color="auto"/>
        <w:left w:val="none" w:sz="0" w:space="0" w:color="auto"/>
        <w:bottom w:val="none" w:sz="0" w:space="0" w:color="auto"/>
        <w:right w:val="none" w:sz="0" w:space="0" w:color="auto"/>
      </w:divBdr>
      <w:divsChild>
        <w:div w:id="1146123149">
          <w:marLeft w:val="0"/>
          <w:marRight w:val="0"/>
          <w:marTop w:val="0"/>
          <w:marBottom w:val="0"/>
          <w:divBdr>
            <w:top w:val="none" w:sz="0" w:space="0" w:color="auto"/>
            <w:left w:val="none" w:sz="0" w:space="0" w:color="auto"/>
            <w:bottom w:val="none" w:sz="0" w:space="0" w:color="auto"/>
            <w:right w:val="none" w:sz="0" w:space="0" w:color="auto"/>
          </w:divBdr>
          <w:divsChild>
            <w:div w:id="1855925206">
              <w:marLeft w:val="0"/>
              <w:marRight w:val="0"/>
              <w:marTop w:val="0"/>
              <w:marBottom w:val="0"/>
              <w:divBdr>
                <w:top w:val="none" w:sz="0" w:space="0" w:color="auto"/>
                <w:left w:val="none" w:sz="0" w:space="0" w:color="auto"/>
                <w:bottom w:val="none" w:sz="0" w:space="0" w:color="auto"/>
                <w:right w:val="none" w:sz="0" w:space="0" w:color="auto"/>
              </w:divBdr>
              <w:divsChild>
                <w:div w:id="2609907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0390048">
      <w:bodyDiv w:val="1"/>
      <w:marLeft w:val="0"/>
      <w:marRight w:val="0"/>
      <w:marTop w:val="0"/>
      <w:marBottom w:val="0"/>
      <w:divBdr>
        <w:top w:val="none" w:sz="0" w:space="0" w:color="auto"/>
        <w:left w:val="none" w:sz="0" w:space="0" w:color="auto"/>
        <w:bottom w:val="none" w:sz="0" w:space="0" w:color="auto"/>
        <w:right w:val="none" w:sz="0" w:space="0" w:color="auto"/>
      </w:divBdr>
    </w:div>
    <w:div w:id="173614107">
      <w:bodyDiv w:val="1"/>
      <w:marLeft w:val="0"/>
      <w:marRight w:val="0"/>
      <w:marTop w:val="0"/>
      <w:marBottom w:val="0"/>
      <w:divBdr>
        <w:top w:val="none" w:sz="0" w:space="0" w:color="auto"/>
        <w:left w:val="none" w:sz="0" w:space="0" w:color="auto"/>
        <w:bottom w:val="none" w:sz="0" w:space="0" w:color="auto"/>
        <w:right w:val="none" w:sz="0" w:space="0" w:color="auto"/>
      </w:divBdr>
      <w:divsChild>
        <w:div w:id="1124421091">
          <w:marLeft w:val="480"/>
          <w:marRight w:val="0"/>
          <w:marTop w:val="0"/>
          <w:marBottom w:val="0"/>
          <w:divBdr>
            <w:top w:val="none" w:sz="0" w:space="0" w:color="auto"/>
            <w:left w:val="none" w:sz="0" w:space="0" w:color="auto"/>
            <w:bottom w:val="none" w:sz="0" w:space="0" w:color="auto"/>
            <w:right w:val="none" w:sz="0" w:space="0" w:color="auto"/>
          </w:divBdr>
          <w:divsChild>
            <w:div w:id="9619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7463">
      <w:bodyDiv w:val="1"/>
      <w:marLeft w:val="0"/>
      <w:marRight w:val="0"/>
      <w:marTop w:val="0"/>
      <w:marBottom w:val="0"/>
      <w:divBdr>
        <w:top w:val="none" w:sz="0" w:space="0" w:color="auto"/>
        <w:left w:val="none" w:sz="0" w:space="0" w:color="auto"/>
        <w:bottom w:val="none" w:sz="0" w:space="0" w:color="auto"/>
        <w:right w:val="none" w:sz="0" w:space="0" w:color="auto"/>
      </w:divBdr>
      <w:divsChild>
        <w:div w:id="567961951">
          <w:marLeft w:val="0"/>
          <w:marRight w:val="0"/>
          <w:marTop w:val="0"/>
          <w:marBottom w:val="0"/>
          <w:divBdr>
            <w:top w:val="none" w:sz="0" w:space="0" w:color="auto"/>
            <w:left w:val="none" w:sz="0" w:space="0" w:color="auto"/>
            <w:bottom w:val="none" w:sz="0" w:space="0" w:color="auto"/>
            <w:right w:val="none" w:sz="0" w:space="0" w:color="auto"/>
          </w:divBdr>
          <w:divsChild>
            <w:div w:id="1459447679">
              <w:marLeft w:val="0"/>
              <w:marRight w:val="0"/>
              <w:marTop w:val="0"/>
              <w:marBottom w:val="0"/>
              <w:divBdr>
                <w:top w:val="none" w:sz="0" w:space="0" w:color="auto"/>
                <w:left w:val="none" w:sz="0" w:space="0" w:color="auto"/>
                <w:bottom w:val="none" w:sz="0" w:space="0" w:color="auto"/>
                <w:right w:val="none" w:sz="0" w:space="0" w:color="auto"/>
              </w:divBdr>
              <w:divsChild>
                <w:div w:id="1019548876">
                  <w:marLeft w:val="0"/>
                  <w:marRight w:val="0"/>
                  <w:marTop w:val="0"/>
                  <w:marBottom w:val="0"/>
                  <w:divBdr>
                    <w:top w:val="none" w:sz="0" w:space="0" w:color="auto"/>
                    <w:left w:val="none" w:sz="0" w:space="0" w:color="auto"/>
                    <w:bottom w:val="none" w:sz="0" w:space="0" w:color="auto"/>
                    <w:right w:val="none" w:sz="0" w:space="0" w:color="auto"/>
                  </w:divBdr>
                  <w:divsChild>
                    <w:div w:id="1482502569">
                      <w:marLeft w:val="0"/>
                      <w:marRight w:val="0"/>
                      <w:marTop w:val="0"/>
                      <w:marBottom w:val="0"/>
                      <w:divBdr>
                        <w:top w:val="none" w:sz="0" w:space="0" w:color="auto"/>
                        <w:left w:val="none" w:sz="0" w:space="0" w:color="auto"/>
                        <w:bottom w:val="none" w:sz="0" w:space="0" w:color="auto"/>
                        <w:right w:val="none" w:sz="0" w:space="0" w:color="auto"/>
                      </w:divBdr>
                      <w:divsChild>
                        <w:div w:id="1215002278">
                          <w:marLeft w:val="0"/>
                          <w:marRight w:val="0"/>
                          <w:marTop w:val="0"/>
                          <w:marBottom w:val="0"/>
                          <w:divBdr>
                            <w:top w:val="none" w:sz="0" w:space="0" w:color="auto"/>
                            <w:left w:val="none" w:sz="0" w:space="0" w:color="auto"/>
                            <w:bottom w:val="none" w:sz="0" w:space="0" w:color="auto"/>
                            <w:right w:val="none" w:sz="0" w:space="0" w:color="auto"/>
                          </w:divBdr>
                          <w:divsChild>
                            <w:div w:id="4373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59069">
      <w:bodyDiv w:val="1"/>
      <w:marLeft w:val="0"/>
      <w:marRight w:val="0"/>
      <w:marTop w:val="0"/>
      <w:marBottom w:val="0"/>
      <w:divBdr>
        <w:top w:val="none" w:sz="0" w:space="0" w:color="auto"/>
        <w:left w:val="none" w:sz="0" w:space="0" w:color="auto"/>
        <w:bottom w:val="none" w:sz="0" w:space="0" w:color="auto"/>
        <w:right w:val="none" w:sz="0" w:space="0" w:color="auto"/>
      </w:divBdr>
      <w:divsChild>
        <w:div w:id="458497330">
          <w:marLeft w:val="480"/>
          <w:marRight w:val="0"/>
          <w:marTop w:val="0"/>
          <w:marBottom w:val="0"/>
          <w:divBdr>
            <w:top w:val="none" w:sz="0" w:space="0" w:color="auto"/>
            <w:left w:val="none" w:sz="0" w:space="0" w:color="auto"/>
            <w:bottom w:val="none" w:sz="0" w:space="0" w:color="auto"/>
            <w:right w:val="none" w:sz="0" w:space="0" w:color="auto"/>
          </w:divBdr>
          <w:divsChild>
            <w:div w:id="3253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8556">
      <w:bodyDiv w:val="1"/>
      <w:marLeft w:val="0"/>
      <w:marRight w:val="0"/>
      <w:marTop w:val="0"/>
      <w:marBottom w:val="0"/>
      <w:divBdr>
        <w:top w:val="none" w:sz="0" w:space="0" w:color="auto"/>
        <w:left w:val="none" w:sz="0" w:space="0" w:color="auto"/>
        <w:bottom w:val="none" w:sz="0" w:space="0" w:color="auto"/>
        <w:right w:val="none" w:sz="0" w:space="0" w:color="auto"/>
      </w:divBdr>
    </w:div>
    <w:div w:id="250042183">
      <w:bodyDiv w:val="1"/>
      <w:marLeft w:val="0"/>
      <w:marRight w:val="0"/>
      <w:marTop w:val="0"/>
      <w:marBottom w:val="0"/>
      <w:divBdr>
        <w:top w:val="none" w:sz="0" w:space="0" w:color="auto"/>
        <w:left w:val="none" w:sz="0" w:space="0" w:color="auto"/>
        <w:bottom w:val="none" w:sz="0" w:space="0" w:color="auto"/>
        <w:right w:val="none" w:sz="0" w:space="0" w:color="auto"/>
      </w:divBdr>
      <w:divsChild>
        <w:div w:id="1618171263">
          <w:marLeft w:val="480"/>
          <w:marRight w:val="0"/>
          <w:marTop w:val="0"/>
          <w:marBottom w:val="0"/>
          <w:divBdr>
            <w:top w:val="none" w:sz="0" w:space="0" w:color="auto"/>
            <w:left w:val="none" w:sz="0" w:space="0" w:color="auto"/>
            <w:bottom w:val="none" w:sz="0" w:space="0" w:color="auto"/>
            <w:right w:val="none" w:sz="0" w:space="0" w:color="auto"/>
          </w:divBdr>
          <w:divsChild>
            <w:div w:id="5505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9737">
      <w:bodyDiv w:val="1"/>
      <w:marLeft w:val="0"/>
      <w:marRight w:val="0"/>
      <w:marTop w:val="0"/>
      <w:marBottom w:val="0"/>
      <w:divBdr>
        <w:top w:val="none" w:sz="0" w:space="0" w:color="auto"/>
        <w:left w:val="none" w:sz="0" w:space="0" w:color="auto"/>
        <w:bottom w:val="none" w:sz="0" w:space="0" w:color="auto"/>
        <w:right w:val="none" w:sz="0" w:space="0" w:color="auto"/>
      </w:divBdr>
    </w:div>
    <w:div w:id="351688123">
      <w:bodyDiv w:val="1"/>
      <w:marLeft w:val="0"/>
      <w:marRight w:val="0"/>
      <w:marTop w:val="0"/>
      <w:marBottom w:val="0"/>
      <w:divBdr>
        <w:top w:val="none" w:sz="0" w:space="0" w:color="auto"/>
        <w:left w:val="none" w:sz="0" w:space="0" w:color="auto"/>
        <w:bottom w:val="none" w:sz="0" w:space="0" w:color="auto"/>
        <w:right w:val="none" w:sz="0" w:space="0" w:color="auto"/>
      </w:divBdr>
      <w:divsChild>
        <w:div w:id="669523994">
          <w:marLeft w:val="480"/>
          <w:marRight w:val="0"/>
          <w:marTop w:val="0"/>
          <w:marBottom w:val="0"/>
          <w:divBdr>
            <w:top w:val="none" w:sz="0" w:space="0" w:color="auto"/>
            <w:left w:val="none" w:sz="0" w:space="0" w:color="auto"/>
            <w:bottom w:val="none" w:sz="0" w:space="0" w:color="auto"/>
            <w:right w:val="none" w:sz="0" w:space="0" w:color="auto"/>
          </w:divBdr>
          <w:divsChild>
            <w:div w:id="12386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811">
      <w:bodyDiv w:val="1"/>
      <w:marLeft w:val="0"/>
      <w:marRight w:val="0"/>
      <w:marTop w:val="0"/>
      <w:marBottom w:val="0"/>
      <w:divBdr>
        <w:top w:val="none" w:sz="0" w:space="0" w:color="auto"/>
        <w:left w:val="none" w:sz="0" w:space="0" w:color="auto"/>
        <w:bottom w:val="none" w:sz="0" w:space="0" w:color="auto"/>
        <w:right w:val="none" w:sz="0" w:space="0" w:color="auto"/>
      </w:divBdr>
      <w:divsChild>
        <w:div w:id="632249468">
          <w:marLeft w:val="480"/>
          <w:marRight w:val="0"/>
          <w:marTop w:val="0"/>
          <w:marBottom w:val="0"/>
          <w:divBdr>
            <w:top w:val="none" w:sz="0" w:space="0" w:color="auto"/>
            <w:left w:val="none" w:sz="0" w:space="0" w:color="auto"/>
            <w:bottom w:val="none" w:sz="0" w:space="0" w:color="auto"/>
            <w:right w:val="none" w:sz="0" w:space="0" w:color="auto"/>
          </w:divBdr>
          <w:divsChild>
            <w:div w:id="2002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4036">
      <w:bodyDiv w:val="1"/>
      <w:marLeft w:val="0"/>
      <w:marRight w:val="0"/>
      <w:marTop w:val="0"/>
      <w:marBottom w:val="0"/>
      <w:divBdr>
        <w:top w:val="none" w:sz="0" w:space="0" w:color="auto"/>
        <w:left w:val="none" w:sz="0" w:space="0" w:color="auto"/>
        <w:bottom w:val="none" w:sz="0" w:space="0" w:color="auto"/>
        <w:right w:val="none" w:sz="0" w:space="0" w:color="auto"/>
      </w:divBdr>
      <w:divsChild>
        <w:div w:id="1511993701">
          <w:marLeft w:val="480"/>
          <w:marRight w:val="0"/>
          <w:marTop w:val="0"/>
          <w:marBottom w:val="0"/>
          <w:divBdr>
            <w:top w:val="none" w:sz="0" w:space="0" w:color="auto"/>
            <w:left w:val="none" w:sz="0" w:space="0" w:color="auto"/>
            <w:bottom w:val="none" w:sz="0" w:space="0" w:color="auto"/>
            <w:right w:val="none" w:sz="0" w:space="0" w:color="auto"/>
          </w:divBdr>
          <w:divsChild>
            <w:div w:id="196411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1299">
      <w:bodyDiv w:val="1"/>
      <w:marLeft w:val="0"/>
      <w:marRight w:val="0"/>
      <w:marTop w:val="0"/>
      <w:marBottom w:val="0"/>
      <w:divBdr>
        <w:top w:val="none" w:sz="0" w:space="0" w:color="auto"/>
        <w:left w:val="none" w:sz="0" w:space="0" w:color="auto"/>
        <w:bottom w:val="none" w:sz="0" w:space="0" w:color="auto"/>
        <w:right w:val="none" w:sz="0" w:space="0" w:color="auto"/>
      </w:divBdr>
    </w:div>
    <w:div w:id="381561664">
      <w:bodyDiv w:val="1"/>
      <w:marLeft w:val="0"/>
      <w:marRight w:val="0"/>
      <w:marTop w:val="0"/>
      <w:marBottom w:val="0"/>
      <w:divBdr>
        <w:top w:val="none" w:sz="0" w:space="0" w:color="auto"/>
        <w:left w:val="none" w:sz="0" w:space="0" w:color="auto"/>
        <w:bottom w:val="none" w:sz="0" w:space="0" w:color="auto"/>
        <w:right w:val="none" w:sz="0" w:space="0" w:color="auto"/>
      </w:divBdr>
    </w:div>
    <w:div w:id="382339707">
      <w:bodyDiv w:val="1"/>
      <w:marLeft w:val="0"/>
      <w:marRight w:val="0"/>
      <w:marTop w:val="0"/>
      <w:marBottom w:val="0"/>
      <w:divBdr>
        <w:top w:val="none" w:sz="0" w:space="0" w:color="auto"/>
        <w:left w:val="none" w:sz="0" w:space="0" w:color="auto"/>
        <w:bottom w:val="none" w:sz="0" w:space="0" w:color="auto"/>
        <w:right w:val="none" w:sz="0" w:space="0" w:color="auto"/>
      </w:divBdr>
    </w:div>
    <w:div w:id="407654804">
      <w:bodyDiv w:val="1"/>
      <w:marLeft w:val="0"/>
      <w:marRight w:val="0"/>
      <w:marTop w:val="0"/>
      <w:marBottom w:val="0"/>
      <w:divBdr>
        <w:top w:val="none" w:sz="0" w:space="0" w:color="auto"/>
        <w:left w:val="none" w:sz="0" w:space="0" w:color="auto"/>
        <w:bottom w:val="none" w:sz="0" w:space="0" w:color="auto"/>
        <w:right w:val="none" w:sz="0" w:space="0" w:color="auto"/>
      </w:divBdr>
      <w:divsChild>
        <w:div w:id="710375450">
          <w:marLeft w:val="480"/>
          <w:marRight w:val="0"/>
          <w:marTop w:val="0"/>
          <w:marBottom w:val="0"/>
          <w:divBdr>
            <w:top w:val="none" w:sz="0" w:space="0" w:color="auto"/>
            <w:left w:val="none" w:sz="0" w:space="0" w:color="auto"/>
            <w:bottom w:val="none" w:sz="0" w:space="0" w:color="auto"/>
            <w:right w:val="none" w:sz="0" w:space="0" w:color="auto"/>
          </w:divBdr>
          <w:divsChild>
            <w:div w:id="11258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6009">
      <w:bodyDiv w:val="1"/>
      <w:marLeft w:val="0"/>
      <w:marRight w:val="0"/>
      <w:marTop w:val="0"/>
      <w:marBottom w:val="0"/>
      <w:divBdr>
        <w:top w:val="none" w:sz="0" w:space="0" w:color="auto"/>
        <w:left w:val="none" w:sz="0" w:space="0" w:color="auto"/>
        <w:bottom w:val="none" w:sz="0" w:space="0" w:color="auto"/>
        <w:right w:val="none" w:sz="0" w:space="0" w:color="auto"/>
      </w:divBdr>
      <w:divsChild>
        <w:div w:id="629826694">
          <w:marLeft w:val="480"/>
          <w:marRight w:val="0"/>
          <w:marTop w:val="0"/>
          <w:marBottom w:val="0"/>
          <w:divBdr>
            <w:top w:val="none" w:sz="0" w:space="0" w:color="auto"/>
            <w:left w:val="none" w:sz="0" w:space="0" w:color="auto"/>
            <w:bottom w:val="none" w:sz="0" w:space="0" w:color="auto"/>
            <w:right w:val="none" w:sz="0" w:space="0" w:color="auto"/>
          </w:divBdr>
          <w:divsChild>
            <w:div w:id="5239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4933">
      <w:bodyDiv w:val="1"/>
      <w:marLeft w:val="0"/>
      <w:marRight w:val="0"/>
      <w:marTop w:val="0"/>
      <w:marBottom w:val="0"/>
      <w:divBdr>
        <w:top w:val="none" w:sz="0" w:space="0" w:color="auto"/>
        <w:left w:val="none" w:sz="0" w:space="0" w:color="auto"/>
        <w:bottom w:val="none" w:sz="0" w:space="0" w:color="auto"/>
        <w:right w:val="none" w:sz="0" w:space="0" w:color="auto"/>
      </w:divBdr>
      <w:divsChild>
        <w:div w:id="1316494218">
          <w:marLeft w:val="480"/>
          <w:marRight w:val="0"/>
          <w:marTop w:val="0"/>
          <w:marBottom w:val="0"/>
          <w:divBdr>
            <w:top w:val="none" w:sz="0" w:space="0" w:color="auto"/>
            <w:left w:val="none" w:sz="0" w:space="0" w:color="auto"/>
            <w:bottom w:val="none" w:sz="0" w:space="0" w:color="auto"/>
            <w:right w:val="none" w:sz="0" w:space="0" w:color="auto"/>
          </w:divBdr>
          <w:divsChild>
            <w:div w:id="103029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8074">
      <w:bodyDiv w:val="1"/>
      <w:marLeft w:val="0"/>
      <w:marRight w:val="0"/>
      <w:marTop w:val="0"/>
      <w:marBottom w:val="0"/>
      <w:divBdr>
        <w:top w:val="none" w:sz="0" w:space="0" w:color="auto"/>
        <w:left w:val="none" w:sz="0" w:space="0" w:color="auto"/>
        <w:bottom w:val="none" w:sz="0" w:space="0" w:color="auto"/>
        <w:right w:val="none" w:sz="0" w:space="0" w:color="auto"/>
      </w:divBdr>
      <w:divsChild>
        <w:div w:id="73671583">
          <w:marLeft w:val="480"/>
          <w:marRight w:val="0"/>
          <w:marTop w:val="0"/>
          <w:marBottom w:val="0"/>
          <w:divBdr>
            <w:top w:val="none" w:sz="0" w:space="0" w:color="auto"/>
            <w:left w:val="none" w:sz="0" w:space="0" w:color="auto"/>
            <w:bottom w:val="none" w:sz="0" w:space="0" w:color="auto"/>
            <w:right w:val="none" w:sz="0" w:space="0" w:color="auto"/>
          </w:divBdr>
          <w:divsChild>
            <w:div w:id="20760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7784">
      <w:bodyDiv w:val="1"/>
      <w:marLeft w:val="0"/>
      <w:marRight w:val="0"/>
      <w:marTop w:val="0"/>
      <w:marBottom w:val="0"/>
      <w:divBdr>
        <w:top w:val="none" w:sz="0" w:space="0" w:color="auto"/>
        <w:left w:val="none" w:sz="0" w:space="0" w:color="auto"/>
        <w:bottom w:val="none" w:sz="0" w:space="0" w:color="auto"/>
        <w:right w:val="none" w:sz="0" w:space="0" w:color="auto"/>
      </w:divBdr>
      <w:divsChild>
        <w:div w:id="1156192615">
          <w:marLeft w:val="480"/>
          <w:marRight w:val="0"/>
          <w:marTop w:val="0"/>
          <w:marBottom w:val="0"/>
          <w:divBdr>
            <w:top w:val="none" w:sz="0" w:space="0" w:color="auto"/>
            <w:left w:val="none" w:sz="0" w:space="0" w:color="auto"/>
            <w:bottom w:val="none" w:sz="0" w:space="0" w:color="auto"/>
            <w:right w:val="none" w:sz="0" w:space="0" w:color="auto"/>
          </w:divBdr>
          <w:divsChild>
            <w:div w:id="162276">
              <w:marLeft w:val="0"/>
              <w:marRight w:val="0"/>
              <w:marTop w:val="0"/>
              <w:marBottom w:val="240"/>
              <w:divBdr>
                <w:top w:val="none" w:sz="0" w:space="0" w:color="auto"/>
                <w:left w:val="none" w:sz="0" w:space="0" w:color="auto"/>
                <w:bottom w:val="none" w:sz="0" w:space="0" w:color="auto"/>
                <w:right w:val="none" w:sz="0" w:space="0" w:color="auto"/>
              </w:divBdr>
            </w:div>
            <w:div w:id="61102983">
              <w:marLeft w:val="0"/>
              <w:marRight w:val="0"/>
              <w:marTop w:val="0"/>
              <w:marBottom w:val="240"/>
              <w:divBdr>
                <w:top w:val="none" w:sz="0" w:space="0" w:color="auto"/>
                <w:left w:val="none" w:sz="0" w:space="0" w:color="auto"/>
                <w:bottom w:val="none" w:sz="0" w:space="0" w:color="auto"/>
                <w:right w:val="none" w:sz="0" w:space="0" w:color="auto"/>
              </w:divBdr>
            </w:div>
            <w:div w:id="64376460">
              <w:marLeft w:val="0"/>
              <w:marRight w:val="0"/>
              <w:marTop w:val="0"/>
              <w:marBottom w:val="240"/>
              <w:divBdr>
                <w:top w:val="none" w:sz="0" w:space="0" w:color="auto"/>
                <w:left w:val="none" w:sz="0" w:space="0" w:color="auto"/>
                <w:bottom w:val="none" w:sz="0" w:space="0" w:color="auto"/>
                <w:right w:val="none" w:sz="0" w:space="0" w:color="auto"/>
              </w:divBdr>
            </w:div>
            <w:div w:id="66921193">
              <w:marLeft w:val="0"/>
              <w:marRight w:val="0"/>
              <w:marTop w:val="0"/>
              <w:marBottom w:val="240"/>
              <w:divBdr>
                <w:top w:val="none" w:sz="0" w:space="0" w:color="auto"/>
                <w:left w:val="none" w:sz="0" w:space="0" w:color="auto"/>
                <w:bottom w:val="none" w:sz="0" w:space="0" w:color="auto"/>
                <w:right w:val="none" w:sz="0" w:space="0" w:color="auto"/>
              </w:divBdr>
            </w:div>
            <w:div w:id="124467992">
              <w:marLeft w:val="0"/>
              <w:marRight w:val="0"/>
              <w:marTop w:val="0"/>
              <w:marBottom w:val="240"/>
              <w:divBdr>
                <w:top w:val="none" w:sz="0" w:space="0" w:color="auto"/>
                <w:left w:val="none" w:sz="0" w:space="0" w:color="auto"/>
                <w:bottom w:val="none" w:sz="0" w:space="0" w:color="auto"/>
                <w:right w:val="none" w:sz="0" w:space="0" w:color="auto"/>
              </w:divBdr>
            </w:div>
            <w:div w:id="138351939">
              <w:marLeft w:val="0"/>
              <w:marRight w:val="0"/>
              <w:marTop w:val="0"/>
              <w:marBottom w:val="240"/>
              <w:divBdr>
                <w:top w:val="none" w:sz="0" w:space="0" w:color="auto"/>
                <w:left w:val="none" w:sz="0" w:space="0" w:color="auto"/>
                <w:bottom w:val="none" w:sz="0" w:space="0" w:color="auto"/>
                <w:right w:val="none" w:sz="0" w:space="0" w:color="auto"/>
              </w:divBdr>
            </w:div>
            <w:div w:id="141822794">
              <w:marLeft w:val="0"/>
              <w:marRight w:val="0"/>
              <w:marTop w:val="0"/>
              <w:marBottom w:val="240"/>
              <w:divBdr>
                <w:top w:val="none" w:sz="0" w:space="0" w:color="auto"/>
                <w:left w:val="none" w:sz="0" w:space="0" w:color="auto"/>
                <w:bottom w:val="none" w:sz="0" w:space="0" w:color="auto"/>
                <w:right w:val="none" w:sz="0" w:space="0" w:color="auto"/>
              </w:divBdr>
            </w:div>
            <w:div w:id="248735789">
              <w:marLeft w:val="0"/>
              <w:marRight w:val="0"/>
              <w:marTop w:val="0"/>
              <w:marBottom w:val="240"/>
              <w:divBdr>
                <w:top w:val="none" w:sz="0" w:space="0" w:color="auto"/>
                <w:left w:val="none" w:sz="0" w:space="0" w:color="auto"/>
                <w:bottom w:val="none" w:sz="0" w:space="0" w:color="auto"/>
                <w:right w:val="none" w:sz="0" w:space="0" w:color="auto"/>
              </w:divBdr>
            </w:div>
            <w:div w:id="257298991">
              <w:marLeft w:val="0"/>
              <w:marRight w:val="0"/>
              <w:marTop w:val="0"/>
              <w:marBottom w:val="240"/>
              <w:divBdr>
                <w:top w:val="none" w:sz="0" w:space="0" w:color="auto"/>
                <w:left w:val="none" w:sz="0" w:space="0" w:color="auto"/>
                <w:bottom w:val="none" w:sz="0" w:space="0" w:color="auto"/>
                <w:right w:val="none" w:sz="0" w:space="0" w:color="auto"/>
              </w:divBdr>
            </w:div>
            <w:div w:id="259946711">
              <w:marLeft w:val="0"/>
              <w:marRight w:val="0"/>
              <w:marTop w:val="0"/>
              <w:marBottom w:val="240"/>
              <w:divBdr>
                <w:top w:val="none" w:sz="0" w:space="0" w:color="auto"/>
                <w:left w:val="none" w:sz="0" w:space="0" w:color="auto"/>
                <w:bottom w:val="none" w:sz="0" w:space="0" w:color="auto"/>
                <w:right w:val="none" w:sz="0" w:space="0" w:color="auto"/>
              </w:divBdr>
            </w:div>
            <w:div w:id="379132146">
              <w:marLeft w:val="0"/>
              <w:marRight w:val="0"/>
              <w:marTop w:val="0"/>
              <w:marBottom w:val="240"/>
              <w:divBdr>
                <w:top w:val="none" w:sz="0" w:space="0" w:color="auto"/>
                <w:left w:val="none" w:sz="0" w:space="0" w:color="auto"/>
                <w:bottom w:val="none" w:sz="0" w:space="0" w:color="auto"/>
                <w:right w:val="none" w:sz="0" w:space="0" w:color="auto"/>
              </w:divBdr>
            </w:div>
            <w:div w:id="380981075">
              <w:marLeft w:val="0"/>
              <w:marRight w:val="0"/>
              <w:marTop w:val="0"/>
              <w:marBottom w:val="240"/>
              <w:divBdr>
                <w:top w:val="none" w:sz="0" w:space="0" w:color="auto"/>
                <w:left w:val="none" w:sz="0" w:space="0" w:color="auto"/>
                <w:bottom w:val="none" w:sz="0" w:space="0" w:color="auto"/>
                <w:right w:val="none" w:sz="0" w:space="0" w:color="auto"/>
              </w:divBdr>
            </w:div>
            <w:div w:id="438574500">
              <w:marLeft w:val="0"/>
              <w:marRight w:val="0"/>
              <w:marTop w:val="0"/>
              <w:marBottom w:val="240"/>
              <w:divBdr>
                <w:top w:val="none" w:sz="0" w:space="0" w:color="auto"/>
                <w:left w:val="none" w:sz="0" w:space="0" w:color="auto"/>
                <w:bottom w:val="none" w:sz="0" w:space="0" w:color="auto"/>
                <w:right w:val="none" w:sz="0" w:space="0" w:color="auto"/>
              </w:divBdr>
            </w:div>
            <w:div w:id="522401602">
              <w:marLeft w:val="0"/>
              <w:marRight w:val="0"/>
              <w:marTop w:val="0"/>
              <w:marBottom w:val="240"/>
              <w:divBdr>
                <w:top w:val="none" w:sz="0" w:space="0" w:color="auto"/>
                <w:left w:val="none" w:sz="0" w:space="0" w:color="auto"/>
                <w:bottom w:val="none" w:sz="0" w:space="0" w:color="auto"/>
                <w:right w:val="none" w:sz="0" w:space="0" w:color="auto"/>
              </w:divBdr>
            </w:div>
            <w:div w:id="532617020">
              <w:marLeft w:val="0"/>
              <w:marRight w:val="0"/>
              <w:marTop w:val="0"/>
              <w:marBottom w:val="240"/>
              <w:divBdr>
                <w:top w:val="none" w:sz="0" w:space="0" w:color="auto"/>
                <w:left w:val="none" w:sz="0" w:space="0" w:color="auto"/>
                <w:bottom w:val="none" w:sz="0" w:space="0" w:color="auto"/>
                <w:right w:val="none" w:sz="0" w:space="0" w:color="auto"/>
              </w:divBdr>
            </w:div>
            <w:div w:id="548227060">
              <w:marLeft w:val="0"/>
              <w:marRight w:val="0"/>
              <w:marTop w:val="0"/>
              <w:marBottom w:val="240"/>
              <w:divBdr>
                <w:top w:val="none" w:sz="0" w:space="0" w:color="auto"/>
                <w:left w:val="none" w:sz="0" w:space="0" w:color="auto"/>
                <w:bottom w:val="none" w:sz="0" w:space="0" w:color="auto"/>
                <w:right w:val="none" w:sz="0" w:space="0" w:color="auto"/>
              </w:divBdr>
            </w:div>
            <w:div w:id="554391511">
              <w:marLeft w:val="0"/>
              <w:marRight w:val="0"/>
              <w:marTop w:val="0"/>
              <w:marBottom w:val="240"/>
              <w:divBdr>
                <w:top w:val="none" w:sz="0" w:space="0" w:color="auto"/>
                <w:left w:val="none" w:sz="0" w:space="0" w:color="auto"/>
                <w:bottom w:val="none" w:sz="0" w:space="0" w:color="auto"/>
                <w:right w:val="none" w:sz="0" w:space="0" w:color="auto"/>
              </w:divBdr>
            </w:div>
            <w:div w:id="582573800">
              <w:marLeft w:val="0"/>
              <w:marRight w:val="0"/>
              <w:marTop w:val="0"/>
              <w:marBottom w:val="240"/>
              <w:divBdr>
                <w:top w:val="none" w:sz="0" w:space="0" w:color="auto"/>
                <w:left w:val="none" w:sz="0" w:space="0" w:color="auto"/>
                <w:bottom w:val="none" w:sz="0" w:space="0" w:color="auto"/>
                <w:right w:val="none" w:sz="0" w:space="0" w:color="auto"/>
              </w:divBdr>
            </w:div>
            <w:div w:id="600793884">
              <w:marLeft w:val="0"/>
              <w:marRight w:val="0"/>
              <w:marTop w:val="0"/>
              <w:marBottom w:val="240"/>
              <w:divBdr>
                <w:top w:val="none" w:sz="0" w:space="0" w:color="auto"/>
                <w:left w:val="none" w:sz="0" w:space="0" w:color="auto"/>
                <w:bottom w:val="none" w:sz="0" w:space="0" w:color="auto"/>
                <w:right w:val="none" w:sz="0" w:space="0" w:color="auto"/>
              </w:divBdr>
            </w:div>
            <w:div w:id="623004033">
              <w:marLeft w:val="0"/>
              <w:marRight w:val="0"/>
              <w:marTop w:val="0"/>
              <w:marBottom w:val="240"/>
              <w:divBdr>
                <w:top w:val="none" w:sz="0" w:space="0" w:color="auto"/>
                <w:left w:val="none" w:sz="0" w:space="0" w:color="auto"/>
                <w:bottom w:val="none" w:sz="0" w:space="0" w:color="auto"/>
                <w:right w:val="none" w:sz="0" w:space="0" w:color="auto"/>
              </w:divBdr>
            </w:div>
            <w:div w:id="634991511">
              <w:marLeft w:val="0"/>
              <w:marRight w:val="0"/>
              <w:marTop w:val="0"/>
              <w:marBottom w:val="240"/>
              <w:divBdr>
                <w:top w:val="none" w:sz="0" w:space="0" w:color="auto"/>
                <w:left w:val="none" w:sz="0" w:space="0" w:color="auto"/>
                <w:bottom w:val="none" w:sz="0" w:space="0" w:color="auto"/>
                <w:right w:val="none" w:sz="0" w:space="0" w:color="auto"/>
              </w:divBdr>
            </w:div>
            <w:div w:id="643698197">
              <w:marLeft w:val="0"/>
              <w:marRight w:val="0"/>
              <w:marTop w:val="0"/>
              <w:marBottom w:val="0"/>
              <w:divBdr>
                <w:top w:val="none" w:sz="0" w:space="0" w:color="auto"/>
                <w:left w:val="none" w:sz="0" w:space="0" w:color="auto"/>
                <w:bottom w:val="none" w:sz="0" w:space="0" w:color="auto"/>
                <w:right w:val="none" w:sz="0" w:space="0" w:color="auto"/>
              </w:divBdr>
            </w:div>
            <w:div w:id="678459815">
              <w:marLeft w:val="0"/>
              <w:marRight w:val="0"/>
              <w:marTop w:val="0"/>
              <w:marBottom w:val="240"/>
              <w:divBdr>
                <w:top w:val="none" w:sz="0" w:space="0" w:color="auto"/>
                <w:left w:val="none" w:sz="0" w:space="0" w:color="auto"/>
                <w:bottom w:val="none" w:sz="0" w:space="0" w:color="auto"/>
                <w:right w:val="none" w:sz="0" w:space="0" w:color="auto"/>
              </w:divBdr>
            </w:div>
            <w:div w:id="688678366">
              <w:marLeft w:val="0"/>
              <w:marRight w:val="0"/>
              <w:marTop w:val="0"/>
              <w:marBottom w:val="240"/>
              <w:divBdr>
                <w:top w:val="none" w:sz="0" w:space="0" w:color="auto"/>
                <w:left w:val="none" w:sz="0" w:space="0" w:color="auto"/>
                <w:bottom w:val="none" w:sz="0" w:space="0" w:color="auto"/>
                <w:right w:val="none" w:sz="0" w:space="0" w:color="auto"/>
              </w:divBdr>
            </w:div>
            <w:div w:id="698286161">
              <w:marLeft w:val="0"/>
              <w:marRight w:val="0"/>
              <w:marTop w:val="0"/>
              <w:marBottom w:val="240"/>
              <w:divBdr>
                <w:top w:val="none" w:sz="0" w:space="0" w:color="auto"/>
                <w:left w:val="none" w:sz="0" w:space="0" w:color="auto"/>
                <w:bottom w:val="none" w:sz="0" w:space="0" w:color="auto"/>
                <w:right w:val="none" w:sz="0" w:space="0" w:color="auto"/>
              </w:divBdr>
            </w:div>
            <w:div w:id="764305949">
              <w:marLeft w:val="0"/>
              <w:marRight w:val="0"/>
              <w:marTop w:val="0"/>
              <w:marBottom w:val="240"/>
              <w:divBdr>
                <w:top w:val="none" w:sz="0" w:space="0" w:color="auto"/>
                <w:left w:val="none" w:sz="0" w:space="0" w:color="auto"/>
                <w:bottom w:val="none" w:sz="0" w:space="0" w:color="auto"/>
                <w:right w:val="none" w:sz="0" w:space="0" w:color="auto"/>
              </w:divBdr>
            </w:div>
            <w:div w:id="779450501">
              <w:marLeft w:val="0"/>
              <w:marRight w:val="0"/>
              <w:marTop w:val="0"/>
              <w:marBottom w:val="240"/>
              <w:divBdr>
                <w:top w:val="none" w:sz="0" w:space="0" w:color="auto"/>
                <w:left w:val="none" w:sz="0" w:space="0" w:color="auto"/>
                <w:bottom w:val="none" w:sz="0" w:space="0" w:color="auto"/>
                <w:right w:val="none" w:sz="0" w:space="0" w:color="auto"/>
              </w:divBdr>
            </w:div>
            <w:div w:id="793869943">
              <w:marLeft w:val="0"/>
              <w:marRight w:val="0"/>
              <w:marTop w:val="0"/>
              <w:marBottom w:val="240"/>
              <w:divBdr>
                <w:top w:val="none" w:sz="0" w:space="0" w:color="auto"/>
                <w:left w:val="none" w:sz="0" w:space="0" w:color="auto"/>
                <w:bottom w:val="none" w:sz="0" w:space="0" w:color="auto"/>
                <w:right w:val="none" w:sz="0" w:space="0" w:color="auto"/>
              </w:divBdr>
            </w:div>
            <w:div w:id="800465882">
              <w:marLeft w:val="0"/>
              <w:marRight w:val="0"/>
              <w:marTop w:val="0"/>
              <w:marBottom w:val="240"/>
              <w:divBdr>
                <w:top w:val="none" w:sz="0" w:space="0" w:color="auto"/>
                <w:left w:val="none" w:sz="0" w:space="0" w:color="auto"/>
                <w:bottom w:val="none" w:sz="0" w:space="0" w:color="auto"/>
                <w:right w:val="none" w:sz="0" w:space="0" w:color="auto"/>
              </w:divBdr>
            </w:div>
            <w:div w:id="909197982">
              <w:marLeft w:val="0"/>
              <w:marRight w:val="0"/>
              <w:marTop w:val="0"/>
              <w:marBottom w:val="240"/>
              <w:divBdr>
                <w:top w:val="none" w:sz="0" w:space="0" w:color="auto"/>
                <w:left w:val="none" w:sz="0" w:space="0" w:color="auto"/>
                <w:bottom w:val="none" w:sz="0" w:space="0" w:color="auto"/>
                <w:right w:val="none" w:sz="0" w:space="0" w:color="auto"/>
              </w:divBdr>
            </w:div>
            <w:div w:id="936325306">
              <w:marLeft w:val="0"/>
              <w:marRight w:val="0"/>
              <w:marTop w:val="0"/>
              <w:marBottom w:val="240"/>
              <w:divBdr>
                <w:top w:val="none" w:sz="0" w:space="0" w:color="auto"/>
                <w:left w:val="none" w:sz="0" w:space="0" w:color="auto"/>
                <w:bottom w:val="none" w:sz="0" w:space="0" w:color="auto"/>
                <w:right w:val="none" w:sz="0" w:space="0" w:color="auto"/>
              </w:divBdr>
            </w:div>
            <w:div w:id="985821735">
              <w:marLeft w:val="0"/>
              <w:marRight w:val="0"/>
              <w:marTop w:val="0"/>
              <w:marBottom w:val="240"/>
              <w:divBdr>
                <w:top w:val="none" w:sz="0" w:space="0" w:color="auto"/>
                <w:left w:val="none" w:sz="0" w:space="0" w:color="auto"/>
                <w:bottom w:val="none" w:sz="0" w:space="0" w:color="auto"/>
                <w:right w:val="none" w:sz="0" w:space="0" w:color="auto"/>
              </w:divBdr>
            </w:div>
            <w:div w:id="1033962859">
              <w:marLeft w:val="0"/>
              <w:marRight w:val="0"/>
              <w:marTop w:val="0"/>
              <w:marBottom w:val="240"/>
              <w:divBdr>
                <w:top w:val="none" w:sz="0" w:space="0" w:color="auto"/>
                <w:left w:val="none" w:sz="0" w:space="0" w:color="auto"/>
                <w:bottom w:val="none" w:sz="0" w:space="0" w:color="auto"/>
                <w:right w:val="none" w:sz="0" w:space="0" w:color="auto"/>
              </w:divBdr>
            </w:div>
            <w:div w:id="1058936867">
              <w:marLeft w:val="0"/>
              <w:marRight w:val="0"/>
              <w:marTop w:val="0"/>
              <w:marBottom w:val="240"/>
              <w:divBdr>
                <w:top w:val="none" w:sz="0" w:space="0" w:color="auto"/>
                <w:left w:val="none" w:sz="0" w:space="0" w:color="auto"/>
                <w:bottom w:val="none" w:sz="0" w:space="0" w:color="auto"/>
                <w:right w:val="none" w:sz="0" w:space="0" w:color="auto"/>
              </w:divBdr>
            </w:div>
            <w:div w:id="1060447589">
              <w:marLeft w:val="0"/>
              <w:marRight w:val="0"/>
              <w:marTop w:val="0"/>
              <w:marBottom w:val="240"/>
              <w:divBdr>
                <w:top w:val="none" w:sz="0" w:space="0" w:color="auto"/>
                <w:left w:val="none" w:sz="0" w:space="0" w:color="auto"/>
                <w:bottom w:val="none" w:sz="0" w:space="0" w:color="auto"/>
                <w:right w:val="none" w:sz="0" w:space="0" w:color="auto"/>
              </w:divBdr>
            </w:div>
            <w:div w:id="1067727423">
              <w:marLeft w:val="0"/>
              <w:marRight w:val="0"/>
              <w:marTop w:val="0"/>
              <w:marBottom w:val="240"/>
              <w:divBdr>
                <w:top w:val="none" w:sz="0" w:space="0" w:color="auto"/>
                <w:left w:val="none" w:sz="0" w:space="0" w:color="auto"/>
                <w:bottom w:val="none" w:sz="0" w:space="0" w:color="auto"/>
                <w:right w:val="none" w:sz="0" w:space="0" w:color="auto"/>
              </w:divBdr>
            </w:div>
            <w:div w:id="1103379283">
              <w:marLeft w:val="0"/>
              <w:marRight w:val="0"/>
              <w:marTop w:val="0"/>
              <w:marBottom w:val="240"/>
              <w:divBdr>
                <w:top w:val="none" w:sz="0" w:space="0" w:color="auto"/>
                <w:left w:val="none" w:sz="0" w:space="0" w:color="auto"/>
                <w:bottom w:val="none" w:sz="0" w:space="0" w:color="auto"/>
                <w:right w:val="none" w:sz="0" w:space="0" w:color="auto"/>
              </w:divBdr>
            </w:div>
            <w:div w:id="1131435862">
              <w:marLeft w:val="0"/>
              <w:marRight w:val="0"/>
              <w:marTop w:val="0"/>
              <w:marBottom w:val="240"/>
              <w:divBdr>
                <w:top w:val="none" w:sz="0" w:space="0" w:color="auto"/>
                <w:left w:val="none" w:sz="0" w:space="0" w:color="auto"/>
                <w:bottom w:val="none" w:sz="0" w:space="0" w:color="auto"/>
                <w:right w:val="none" w:sz="0" w:space="0" w:color="auto"/>
              </w:divBdr>
            </w:div>
            <w:div w:id="1170020868">
              <w:marLeft w:val="0"/>
              <w:marRight w:val="0"/>
              <w:marTop w:val="0"/>
              <w:marBottom w:val="240"/>
              <w:divBdr>
                <w:top w:val="none" w:sz="0" w:space="0" w:color="auto"/>
                <w:left w:val="none" w:sz="0" w:space="0" w:color="auto"/>
                <w:bottom w:val="none" w:sz="0" w:space="0" w:color="auto"/>
                <w:right w:val="none" w:sz="0" w:space="0" w:color="auto"/>
              </w:divBdr>
            </w:div>
            <w:div w:id="1190609323">
              <w:marLeft w:val="0"/>
              <w:marRight w:val="0"/>
              <w:marTop w:val="0"/>
              <w:marBottom w:val="240"/>
              <w:divBdr>
                <w:top w:val="none" w:sz="0" w:space="0" w:color="auto"/>
                <w:left w:val="none" w:sz="0" w:space="0" w:color="auto"/>
                <w:bottom w:val="none" w:sz="0" w:space="0" w:color="auto"/>
                <w:right w:val="none" w:sz="0" w:space="0" w:color="auto"/>
              </w:divBdr>
            </w:div>
            <w:div w:id="1277131084">
              <w:marLeft w:val="0"/>
              <w:marRight w:val="0"/>
              <w:marTop w:val="0"/>
              <w:marBottom w:val="240"/>
              <w:divBdr>
                <w:top w:val="none" w:sz="0" w:space="0" w:color="auto"/>
                <w:left w:val="none" w:sz="0" w:space="0" w:color="auto"/>
                <w:bottom w:val="none" w:sz="0" w:space="0" w:color="auto"/>
                <w:right w:val="none" w:sz="0" w:space="0" w:color="auto"/>
              </w:divBdr>
            </w:div>
            <w:div w:id="1285305392">
              <w:marLeft w:val="0"/>
              <w:marRight w:val="0"/>
              <w:marTop w:val="0"/>
              <w:marBottom w:val="240"/>
              <w:divBdr>
                <w:top w:val="none" w:sz="0" w:space="0" w:color="auto"/>
                <w:left w:val="none" w:sz="0" w:space="0" w:color="auto"/>
                <w:bottom w:val="none" w:sz="0" w:space="0" w:color="auto"/>
                <w:right w:val="none" w:sz="0" w:space="0" w:color="auto"/>
              </w:divBdr>
            </w:div>
            <w:div w:id="1302887063">
              <w:marLeft w:val="0"/>
              <w:marRight w:val="0"/>
              <w:marTop w:val="0"/>
              <w:marBottom w:val="240"/>
              <w:divBdr>
                <w:top w:val="none" w:sz="0" w:space="0" w:color="auto"/>
                <w:left w:val="none" w:sz="0" w:space="0" w:color="auto"/>
                <w:bottom w:val="none" w:sz="0" w:space="0" w:color="auto"/>
                <w:right w:val="none" w:sz="0" w:space="0" w:color="auto"/>
              </w:divBdr>
            </w:div>
            <w:div w:id="1316303940">
              <w:marLeft w:val="0"/>
              <w:marRight w:val="0"/>
              <w:marTop w:val="0"/>
              <w:marBottom w:val="240"/>
              <w:divBdr>
                <w:top w:val="none" w:sz="0" w:space="0" w:color="auto"/>
                <w:left w:val="none" w:sz="0" w:space="0" w:color="auto"/>
                <w:bottom w:val="none" w:sz="0" w:space="0" w:color="auto"/>
                <w:right w:val="none" w:sz="0" w:space="0" w:color="auto"/>
              </w:divBdr>
            </w:div>
            <w:div w:id="1409572445">
              <w:marLeft w:val="0"/>
              <w:marRight w:val="0"/>
              <w:marTop w:val="0"/>
              <w:marBottom w:val="240"/>
              <w:divBdr>
                <w:top w:val="none" w:sz="0" w:space="0" w:color="auto"/>
                <w:left w:val="none" w:sz="0" w:space="0" w:color="auto"/>
                <w:bottom w:val="none" w:sz="0" w:space="0" w:color="auto"/>
                <w:right w:val="none" w:sz="0" w:space="0" w:color="auto"/>
              </w:divBdr>
            </w:div>
            <w:div w:id="1453210325">
              <w:marLeft w:val="0"/>
              <w:marRight w:val="0"/>
              <w:marTop w:val="0"/>
              <w:marBottom w:val="240"/>
              <w:divBdr>
                <w:top w:val="none" w:sz="0" w:space="0" w:color="auto"/>
                <w:left w:val="none" w:sz="0" w:space="0" w:color="auto"/>
                <w:bottom w:val="none" w:sz="0" w:space="0" w:color="auto"/>
                <w:right w:val="none" w:sz="0" w:space="0" w:color="auto"/>
              </w:divBdr>
            </w:div>
            <w:div w:id="1553232732">
              <w:marLeft w:val="0"/>
              <w:marRight w:val="0"/>
              <w:marTop w:val="0"/>
              <w:marBottom w:val="240"/>
              <w:divBdr>
                <w:top w:val="none" w:sz="0" w:space="0" w:color="auto"/>
                <w:left w:val="none" w:sz="0" w:space="0" w:color="auto"/>
                <w:bottom w:val="none" w:sz="0" w:space="0" w:color="auto"/>
                <w:right w:val="none" w:sz="0" w:space="0" w:color="auto"/>
              </w:divBdr>
            </w:div>
            <w:div w:id="1643582459">
              <w:marLeft w:val="0"/>
              <w:marRight w:val="0"/>
              <w:marTop w:val="0"/>
              <w:marBottom w:val="240"/>
              <w:divBdr>
                <w:top w:val="none" w:sz="0" w:space="0" w:color="auto"/>
                <w:left w:val="none" w:sz="0" w:space="0" w:color="auto"/>
                <w:bottom w:val="none" w:sz="0" w:space="0" w:color="auto"/>
                <w:right w:val="none" w:sz="0" w:space="0" w:color="auto"/>
              </w:divBdr>
            </w:div>
            <w:div w:id="1675839671">
              <w:marLeft w:val="0"/>
              <w:marRight w:val="0"/>
              <w:marTop w:val="0"/>
              <w:marBottom w:val="240"/>
              <w:divBdr>
                <w:top w:val="none" w:sz="0" w:space="0" w:color="auto"/>
                <w:left w:val="none" w:sz="0" w:space="0" w:color="auto"/>
                <w:bottom w:val="none" w:sz="0" w:space="0" w:color="auto"/>
                <w:right w:val="none" w:sz="0" w:space="0" w:color="auto"/>
              </w:divBdr>
            </w:div>
            <w:div w:id="1700667933">
              <w:marLeft w:val="0"/>
              <w:marRight w:val="0"/>
              <w:marTop w:val="0"/>
              <w:marBottom w:val="240"/>
              <w:divBdr>
                <w:top w:val="none" w:sz="0" w:space="0" w:color="auto"/>
                <w:left w:val="none" w:sz="0" w:space="0" w:color="auto"/>
                <w:bottom w:val="none" w:sz="0" w:space="0" w:color="auto"/>
                <w:right w:val="none" w:sz="0" w:space="0" w:color="auto"/>
              </w:divBdr>
            </w:div>
            <w:div w:id="1706514870">
              <w:marLeft w:val="0"/>
              <w:marRight w:val="0"/>
              <w:marTop w:val="0"/>
              <w:marBottom w:val="240"/>
              <w:divBdr>
                <w:top w:val="none" w:sz="0" w:space="0" w:color="auto"/>
                <w:left w:val="none" w:sz="0" w:space="0" w:color="auto"/>
                <w:bottom w:val="none" w:sz="0" w:space="0" w:color="auto"/>
                <w:right w:val="none" w:sz="0" w:space="0" w:color="auto"/>
              </w:divBdr>
            </w:div>
            <w:div w:id="1757704478">
              <w:marLeft w:val="0"/>
              <w:marRight w:val="0"/>
              <w:marTop w:val="0"/>
              <w:marBottom w:val="240"/>
              <w:divBdr>
                <w:top w:val="none" w:sz="0" w:space="0" w:color="auto"/>
                <w:left w:val="none" w:sz="0" w:space="0" w:color="auto"/>
                <w:bottom w:val="none" w:sz="0" w:space="0" w:color="auto"/>
                <w:right w:val="none" w:sz="0" w:space="0" w:color="auto"/>
              </w:divBdr>
            </w:div>
            <w:div w:id="1758162933">
              <w:marLeft w:val="0"/>
              <w:marRight w:val="0"/>
              <w:marTop w:val="0"/>
              <w:marBottom w:val="240"/>
              <w:divBdr>
                <w:top w:val="none" w:sz="0" w:space="0" w:color="auto"/>
                <w:left w:val="none" w:sz="0" w:space="0" w:color="auto"/>
                <w:bottom w:val="none" w:sz="0" w:space="0" w:color="auto"/>
                <w:right w:val="none" w:sz="0" w:space="0" w:color="auto"/>
              </w:divBdr>
            </w:div>
            <w:div w:id="1841965096">
              <w:marLeft w:val="0"/>
              <w:marRight w:val="0"/>
              <w:marTop w:val="0"/>
              <w:marBottom w:val="240"/>
              <w:divBdr>
                <w:top w:val="none" w:sz="0" w:space="0" w:color="auto"/>
                <w:left w:val="none" w:sz="0" w:space="0" w:color="auto"/>
                <w:bottom w:val="none" w:sz="0" w:space="0" w:color="auto"/>
                <w:right w:val="none" w:sz="0" w:space="0" w:color="auto"/>
              </w:divBdr>
            </w:div>
            <w:div w:id="1930236907">
              <w:marLeft w:val="0"/>
              <w:marRight w:val="0"/>
              <w:marTop w:val="0"/>
              <w:marBottom w:val="240"/>
              <w:divBdr>
                <w:top w:val="none" w:sz="0" w:space="0" w:color="auto"/>
                <w:left w:val="none" w:sz="0" w:space="0" w:color="auto"/>
                <w:bottom w:val="none" w:sz="0" w:space="0" w:color="auto"/>
                <w:right w:val="none" w:sz="0" w:space="0" w:color="auto"/>
              </w:divBdr>
            </w:div>
            <w:div w:id="1967806770">
              <w:marLeft w:val="0"/>
              <w:marRight w:val="0"/>
              <w:marTop w:val="0"/>
              <w:marBottom w:val="240"/>
              <w:divBdr>
                <w:top w:val="none" w:sz="0" w:space="0" w:color="auto"/>
                <w:left w:val="none" w:sz="0" w:space="0" w:color="auto"/>
                <w:bottom w:val="none" w:sz="0" w:space="0" w:color="auto"/>
                <w:right w:val="none" w:sz="0" w:space="0" w:color="auto"/>
              </w:divBdr>
            </w:div>
            <w:div w:id="2024356327">
              <w:marLeft w:val="0"/>
              <w:marRight w:val="0"/>
              <w:marTop w:val="0"/>
              <w:marBottom w:val="240"/>
              <w:divBdr>
                <w:top w:val="none" w:sz="0" w:space="0" w:color="auto"/>
                <w:left w:val="none" w:sz="0" w:space="0" w:color="auto"/>
                <w:bottom w:val="none" w:sz="0" w:space="0" w:color="auto"/>
                <w:right w:val="none" w:sz="0" w:space="0" w:color="auto"/>
              </w:divBdr>
            </w:div>
            <w:div w:id="2052680306">
              <w:marLeft w:val="0"/>
              <w:marRight w:val="0"/>
              <w:marTop w:val="0"/>
              <w:marBottom w:val="240"/>
              <w:divBdr>
                <w:top w:val="none" w:sz="0" w:space="0" w:color="auto"/>
                <w:left w:val="none" w:sz="0" w:space="0" w:color="auto"/>
                <w:bottom w:val="none" w:sz="0" w:space="0" w:color="auto"/>
                <w:right w:val="none" w:sz="0" w:space="0" w:color="auto"/>
              </w:divBdr>
            </w:div>
            <w:div w:id="2074348605">
              <w:marLeft w:val="0"/>
              <w:marRight w:val="0"/>
              <w:marTop w:val="0"/>
              <w:marBottom w:val="240"/>
              <w:divBdr>
                <w:top w:val="none" w:sz="0" w:space="0" w:color="auto"/>
                <w:left w:val="none" w:sz="0" w:space="0" w:color="auto"/>
                <w:bottom w:val="none" w:sz="0" w:space="0" w:color="auto"/>
                <w:right w:val="none" w:sz="0" w:space="0" w:color="auto"/>
              </w:divBdr>
            </w:div>
            <w:div w:id="2076124663">
              <w:marLeft w:val="0"/>
              <w:marRight w:val="0"/>
              <w:marTop w:val="0"/>
              <w:marBottom w:val="240"/>
              <w:divBdr>
                <w:top w:val="none" w:sz="0" w:space="0" w:color="auto"/>
                <w:left w:val="none" w:sz="0" w:space="0" w:color="auto"/>
                <w:bottom w:val="none" w:sz="0" w:space="0" w:color="auto"/>
                <w:right w:val="none" w:sz="0" w:space="0" w:color="auto"/>
              </w:divBdr>
            </w:div>
            <w:div w:id="2138990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68799888">
      <w:bodyDiv w:val="1"/>
      <w:marLeft w:val="0"/>
      <w:marRight w:val="0"/>
      <w:marTop w:val="0"/>
      <w:marBottom w:val="0"/>
      <w:divBdr>
        <w:top w:val="none" w:sz="0" w:space="0" w:color="auto"/>
        <w:left w:val="none" w:sz="0" w:space="0" w:color="auto"/>
        <w:bottom w:val="none" w:sz="0" w:space="0" w:color="auto"/>
        <w:right w:val="none" w:sz="0" w:space="0" w:color="auto"/>
      </w:divBdr>
    </w:div>
    <w:div w:id="701636938">
      <w:bodyDiv w:val="1"/>
      <w:marLeft w:val="0"/>
      <w:marRight w:val="0"/>
      <w:marTop w:val="0"/>
      <w:marBottom w:val="0"/>
      <w:divBdr>
        <w:top w:val="none" w:sz="0" w:space="0" w:color="auto"/>
        <w:left w:val="none" w:sz="0" w:space="0" w:color="auto"/>
        <w:bottom w:val="none" w:sz="0" w:space="0" w:color="auto"/>
        <w:right w:val="none" w:sz="0" w:space="0" w:color="auto"/>
      </w:divBdr>
      <w:divsChild>
        <w:div w:id="1340814471">
          <w:marLeft w:val="480"/>
          <w:marRight w:val="0"/>
          <w:marTop w:val="0"/>
          <w:marBottom w:val="0"/>
          <w:divBdr>
            <w:top w:val="none" w:sz="0" w:space="0" w:color="auto"/>
            <w:left w:val="none" w:sz="0" w:space="0" w:color="auto"/>
            <w:bottom w:val="none" w:sz="0" w:space="0" w:color="auto"/>
            <w:right w:val="none" w:sz="0" w:space="0" w:color="auto"/>
          </w:divBdr>
          <w:divsChild>
            <w:div w:id="9298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5004">
      <w:bodyDiv w:val="1"/>
      <w:marLeft w:val="0"/>
      <w:marRight w:val="0"/>
      <w:marTop w:val="0"/>
      <w:marBottom w:val="0"/>
      <w:divBdr>
        <w:top w:val="none" w:sz="0" w:space="0" w:color="auto"/>
        <w:left w:val="none" w:sz="0" w:space="0" w:color="auto"/>
        <w:bottom w:val="none" w:sz="0" w:space="0" w:color="auto"/>
        <w:right w:val="none" w:sz="0" w:space="0" w:color="auto"/>
      </w:divBdr>
    </w:div>
    <w:div w:id="746807346">
      <w:bodyDiv w:val="1"/>
      <w:marLeft w:val="0"/>
      <w:marRight w:val="0"/>
      <w:marTop w:val="0"/>
      <w:marBottom w:val="0"/>
      <w:divBdr>
        <w:top w:val="none" w:sz="0" w:space="0" w:color="auto"/>
        <w:left w:val="none" w:sz="0" w:space="0" w:color="auto"/>
        <w:bottom w:val="none" w:sz="0" w:space="0" w:color="auto"/>
        <w:right w:val="none" w:sz="0" w:space="0" w:color="auto"/>
      </w:divBdr>
    </w:div>
    <w:div w:id="800269460">
      <w:bodyDiv w:val="1"/>
      <w:marLeft w:val="0"/>
      <w:marRight w:val="0"/>
      <w:marTop w:val="0"/>
      <w:marBottom w:val="0"/>
      <w:divBdr>
        <w:top w:val="none" w:sz="0" w:space="0" w:color="auto"/>
        <w:left w:val="none" w:sz="0" w:space="0" w:color="auto"/>
        <w:bottom w:val="none" w:sz="0" w:space="0" w:color="auto"/>
        <w:right w:val="none" w:sz="0" w:space="0" w:color="auto"/>
      </w:divBdr>
      <w:divsChild>
        <w:div w:id="845050656">
          <w:marLeft w:val="480"/>
          <w:marRight w:val="0"/>
          <w:marTop w:val="0"/>
          <w:marBottom w:val="0"/>
          <w:divBdr>
            <w:top w:val="none" w:sz="0" w:space="0" w:color="auto"/>
            <w:left w:val="none" w:sz="0" w:space="0" w:color="auto"/>
            <w:bottom w:val="none" w:sz="0" w:space="0" w:color="auto"/>
            <w:right w:val="none" w:sz="0" w:space="0" w:color="auto"/>
          </w:divBdr>
          <w:divsChild>
            <w:div w:id="18117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2099">
      <w:bodyDiv w:val="1"/>
      <w:marLeft w:val="0"/>
      <w:marRight w:val="0"/>
      <w:marTop w:val="0"/>
      <w:marBottom w:val="0"/>
      <w:divBdr>
        <w:top w:val="none" w:sz="0" w:space="0" w:color="auto"/>
        <w:left w:val="none" w:sz="0" w:space="0" w:color="auto"/>
        <w:bottom w:val="none" w:sz="0" w:space="0" w:color="auto"/>
        <w:right w:val="none" w:sz="0" w:space="0" w:color="auto"/>
      </w:divBdr>
      <w:divsChild>
        <w:div w:id="793670872">
          <w:marLeft w:val="0"/>
          <w:marRight w:val="0"/>
          <w:marTop w:val="0"/>
          <w:marBottom w:val="0"/>
          <w:divBdr>
            <w:top w:val="none" w:sz="0" w:space="0" w:color="auto"/>
            <w:left w:val="none" w:sz="0" w:space="0" w:color="auto"/>
            <w:bottom w:val="none" w:sz="0" w:space="0" w:color="auto"/>
            <w:right w:val="none" w:sz="0" w:space="0" w:color="auto"/>
          </w:divBdr>
          <w:divsChild>
            <w:div w:id="1229877217">
              <w:marLeft w:val="0"/>
              <w:marRight w:val="0"/>
              <w:marTop w:val="0"/>
              <w:marBottom w:val="0"/>
              <w:divBdr>
                <w:top w:val="none" w:sz="0" w:space="0" w:color="auto"/>
                <w:left w:val="none" w:sz="0" w:space="0" w:color="auto"/>
                <w:bottom w:val="none" w:sz="0" w:space="0" w:color="auto"/>
                <w:right w:val="none" w:sz="0" w:space="0" w:color="auto"/>
              </w:divBdr>
              <w:divsChild>
                <w:div w:id="21198362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01448297">
      <w:bodyDiv w:val="1"/>
      <w:marLeft w:val="0"/>
      <w:marRight w:val="0"/>
      <w:marTop w:val="0"/>
      <w:marBottom w:val="0"/>
      <w:divBdr>
        <w:top w:val="none" w:sz="0" w:space="0" w:color="auto"/>
        <w:left w:val="none" w:sz="0" w:space="0" w:color="auto"/>
        <w:bottom w:val="none" w:sz="0" w:space="0" w:color="auto"/>
        <w:right w:val="none" w:sz="0" w:space="0" w:color="auto"/>
      </w:divBdr>
      <w:divsChild>
        <w:div w:id="1480803060">
          <w:marLeft w:val="480"/>
          <w:marRight w:val="0"/>
          <w:marTop w:val="0"/>
          <w:marBottom w:val="0"/>
          <w:divBdr>
            <w:top w:val="none" w:sz="0" w:space="0" w:color="auto"/>
            <w:left w:val="none" w:sz="0" w:space="0" w:color="auto"/>
            <w:bottom w:val="none" w:sz="0" w:space="0" w:color="auto"/>
            <w:right w:val="none" w:sz="0" w:space="0" w:color="auto"/>
          </w:divBdr>
          <w:divsChild>
            <w:div w:id="21138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7223">
      <w:bodyDiv w:val="1"/>
      <w:marLeft w:val="0"/>
      <w:marRight w:val="0"/>
      <w:marTop w:val="0"/>
      <w:marBottom w:val="0"/>
      <w:divBdr>
        <w:top w:val="none" w:sz="0" w:space="0" w:color="auto"/>
        <w:left w:val="none" w:sz="0" w:space="0" w:color="auto"/>
        <w:bottom w:val="none" w:sz="0" w:space="0" w:color="auto"/>
        <w:right w:val="none" w:sz="0" w:space="0" w:color="auto"/>
      </w:divBdr>
      <w:divsChild>
        <w:div w:id="1568229316">
          <w:marLeft w:val="480"/>
          <w:marRight w:val="0"/>
          <w:marTop w:val="0"/>
          <w:marBottom w:val="0"/>
          <w:divBdr>
            <w:top w:val="none" w:sz="0" w:space="0" w:color="auto"/>
            <w:left w:val="none" w:sz="0" w:space="0" w:color="auto"/>
            <w:bottom w:val="none" w:sz="0" w:space="0" w:color="auto"/>
            <w:right w:val="none" w:sz="0" w:space="0" w:color="auto"/>
          </w:divBdr>
          <w:divsChild>
            <w:div w:id="1643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59422">
      <w:bodyDiv w:val="1"/>
      <w:marLeft w:val="0"/>
      <w:marRight w:val="0"/>
      <w:marTop w:val="0"/>
      <w:marBottom w:val="0"/>
      <w:divBdr>
        <w:top w:val="none" w:sz="0" w:space="0" w:color="auto"/>
        <w:left w:val="none" w:sz="0" w:space="0" w:color="auto"/>
        <w:bottom w:val="none" w:sz="0" w:space="0" w:color="auto"/>
        <w:right w:val="none" w:sz="0" w:space="0" w:color="auto"/>
      </w:divBdr>
      <w:divsChild>
        <w:div w:id="1582060808">
          <w:marLeft w:val="0"/>
          <w:marRight w:val="0"/>
          <w:marTop w:val="0"/>
          <w:marBottom w:val="0"/>
          <w:divBdr>
            <w:top w:val="none" w:sz="0" w:space="0" w:color="auto"/>
            <w:left w:val="none" w:sz="0" w:space="0" w:color="auto"/>
            <w:bottom w:val="none" w:sz="0" w:space="0" w:color="auto"/>
            <w:right w:val="none" w:sz="0" w:space="0" w:color="auto"/>
          </w:divBdr>
          <w:divsChild>
            <w:div w:id="1302266175">
              <w:marLeft w:val="0"/>
              <w:marRight w:val="0"/>
              <w:marTop w:val="0"/>
              <w:marBottom w:val="0"/>
              <w:divBdr>
                <w:top w:val="none" w:sz="0" w:space="0" w:color="auto"/>
                <w:left w:val="none" w:sz="0" w:space="0" w:color="auto"/>
                <w:bottom w:val="none" w:sz="0" w:space="0" w:color="auto"/>
                <w:right w:val="none" w:sz="0" w:space="0" w:color="auto"/>
              </w:divBdr>
              <w:divsChild>
                <w:div w:id="534582188">
                  <w:marLeft w:val="0"/>
                  <w:marRight w:val="0"/>
                  <w:marTop w:val="0"/>
                  <w:marBottom w:val="0"/>
                  <w:divBdr>
                    <w:top w:val="none" w:sz="0" w:space="0" w:color="auto"/>
                    <w:left w:val="none" w:sz="0" w:space="0" w:color="auto"/>
                    <w:bottom w:val="none" w:sz="0" w:space="0" w:color="auto"/>
                    <w:right w:val="none" w:sz="0" w:space="0" w:color="auto"/>
                  </w:divBdr>
                  <w:divsChild>
                    <w:div w:id="1842619495">
                      <w:marLeft w:val="0"/>
                      <w:marRight w:val="0"/>
                      <w:marTop w:val="0"/>
                      <w:marBottom w:val="0"/>
                      <w:divBdr>
                        <w:top w:val="none" w:sz="0" w:space="0" w:color="auto"/>
                        <w:left w:val="none" w:sz="0" w:space="0" w:color="auto"/>
                        <w:bottom w:val="none" w:sz="0" w:space="0" w:color="auto"/>
                        <w:right w:val="none" w:sz="0" w:space="0" w:color="auto"/>
                      </w:divBdr>
                      <w:divsChild>
                        <w:div w:id="578056570">
                          <w:marLeft w:val="0"/>
                          <w:marRight w:val="0"/>
                          <w:marTop w:val="0"/>
                          <w:marBottom w:val="0"/>
                          <w:divBdr>
                            <w:top w:val="none" w:sz="0" w:space="0" w:color="auto"/>
                            <w:left w:val="none" w:sz="0" w:space="0" w:color="auto"/>
                            <w:bottom w:val="none" w:sz="0" w:space="0" w:color="auto"/>
                            <w:right w:val="none" w:sz="0" w:space="0" w:color="auto"/>
                          </w:divBdr>
                          <w:divsChild>
                            <w:div w:id="20151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50102">
      <w:bodyDiv w:val="1"/>
      <w:marLeft w:val="0"/>
      <w:marRight w:val="0"/>
      <w:marTop w:val="0"/>
      <w:marBottom w:val="0"/>
      <w:divBdr>
        <w:top w:val="none" w:sz="0" w:space="0" w:color="auto"/>
        <w:left w:val="none" w:sz="0" w:space="0" w:color="auto"/>
        <w:bottom w:val="none" w:sz="0" w:space="0" w:color="auto"/>
        <w:right w:val="none" w:sz="0" w:space="0" w:color="auto"/>
      </w:divBdr>
    </w:div>
    <w:div w:id="1013535229">
      <w:bodyDiv w:val="1"/>
      <w:marLeft w:val="0"/>
      <w:marRight w:val="0"/>
      <w:marTop w:val="0"/>
      <w:marBottom w:val="0"/>
      <w:divBdr>
        <w:top w:val="none" w:sz="0" w:space="0" w:color="auto"/>
        <w:left w:val="none" w:sz="0" w:space="0" w:color="auto"/>
        <w:bottom w:val="none" w:sz="0" w:space="0" w:color="auto"/>
        <w:right w:val="none" w:sz="0" w:space="0" w:color="auto"/>
      </w:divBdr>
    </w:div>
    <w:div w:id="1043596451">
      <w:bodyDiv w:val="1"/>
      <w:marLeft w:val="0"/>
      <w:marRight w:val="0"/>
      <w:marTop w:val="0"/>
      <w:marBottom w:val="0"/>
      <w:divBdr>
        <w:top w:val="none" w:sz="0" w:space="0" w:color="auto"/>
        <w:left w:val="none" w:sz="0" w:space="0" w:color="auto"/>
        <w:bottom w:val="none" w:sz="0" w:space="0" w:color="auto"/>
        <w:right w:val="none" w:sz="0" w:space="0" w:color="auto"/>
      </w:divBdr>
      <w:divsChild>
        <w:div w:id="410396916">
          <w:marLeft w:val="480"/>
          <w:marRight w:val="0"/>
          <w:marTop w:val="0"/>
          <w:marBottom w:val="0"/>
          <w:divBdr>
            <w:top w:val="none" w:sz="0" w:space="0" w:color="auto"/>
            <w:left w:val="none" w:sz="0" w:space="0" w:color="auto"/>
            <w:bottom w:val="none" w:sz="0" w:space="0" w:color="auto"/>
            <w:right w:val="none" w:sz="0" w:space="0" w:color="auto"/>
          </w:divBdr>
          <w:divsChild>
            <w:div w:id="779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6628">
      <w:bodyDiv w:val="1"/>
      <w:marLeft w:val="0"/>
      <w:marRight w:val="0"/>
      <w:marTop w:val="0"/>
      <w:marBottom w:val="0"/>
      <w:divBdr>
        <w:top w:val="none" w:sz="0" w:space="0" w:color="auto"/>
        <w:left w:val="none" w:sz="0" w:space="0" w:color="auto"/>
        <w:bottom w:val="none" w:sz="0" w:space="0" w:color="auto"/>
        <w:right w:val="none" w:sz="0" w:space="0" w:color="auto"/>
      </w:divBdr>
      <w:divsChild>
        <w:div w:id="1043940528">
          <w:marLeft w:val="480"/>
          <w:marRight w:val="0"/>
          <w:marTop w:val="0"/>
          <w:marBottom w:val="0"/>
          <w:divBdr>
            <w:top w:val="none" w:sz="0" w:space="0" w:color="auto"/>
            <w:left w:val="none" w:sz="0" w:space="0" w:color="auto"/>
            <w:bottom w:val="none" w:sz="0" w:space="0" w:color="auto"/>
            <w:right w:val="none" w:sz="0" w:space="0" w:color="auto"/>
          </w:divBdr>
          <w:divsChild>
            <w:div w:id="2286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28533">
      <w:bodyDiv w:val="1"/>
      <w:marLeft w:val="0"/>
      <w:marRight w:val="0"/>
      <w:marTop w:val="0"/>
      <w:marBottom w:val="0"/>
      <w:divBdr>
        <w:top w:val="none" w:sz="0" w:space="0" w:color="auto"/>
        <w:left w:val="none" w:sz="0" w:space="0" w:color="auto"/>
        <w:bottom w:val="none" w:sz="0" w:space="0" w:color="auto"/>
        <w:right w:val="none" w:sz="0" w:space="0" w:color="auto"/>
      </w:divBdr>
    </w:div>
    <w:div w:id="1060443884">
      <w:bodyDiv w:val="1"/>
      <w:marLeft w:val="0"/>
      <w:marRight w:val="0"/>
      <w:marTop w:val="0"/>
      <w:marBottom w:val="0"/>
      <w:divBdr>
        <w:top w:val="none" w:sz="0" w:space="0" w:color="auto"/>
        <w:left w:val="none" w:sz="0" w:space="0" w:color="auto"/>
        <w:bottom w:val="none" w:sz="0" w:space="0" w:color="auto"/>
        <w:right w:val="none" w:sz="0" w:space="0" w:color="auto"/>
      </w:divBdr>
      <w:divsChild>
        <w:div w:id="1726950468">
          <w:marLeft w:val="480"/>
          <w:marRight w:val="0"/>
          <w:marTop w:val="0"/>
          <w:marBottom w:val="0"/>
          <w:divBdr>
            <w:top w:val="none" w:sz="0" w:space="0" w:color="auto"/>
            <w:left w:val="none" w:sz="0" w:space="0" w:color="auto"/>
            <w:bottom w:val="none" w:sz="0" w:space="0" w:color="auto"/>
            <w:right w:val="none" w:sz="0" w:space="0" w:color="auto"/>
          </w:divBdr>
          <w:divsChild>
            <w:div w:id="129317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1665">
      <w:bodyDiv w:val="1"/>
      <w:marLeft w:val="0"/>
      <w:marRight w:val="0"/>
      <w:marTop w:val="0"/>
      <w:marBottom w:val="0"/>
      <w:divBdr>
        <w:top w:val="none" w:sz="0" w:space="0" w:color="auto"/>
        <w:left w:val="none" w:sz="0" w:space="0" w:color="auto"/>
        <w:bottom w:val="none" w:sz="0" w:space="0" w:color="auto"/>
        <w:right w:val="none" w:sz="0" w:space="0" w:color="auto"/>
      </w:divBdr>
      <w:divsChild>
        <w:div w:id="1452044327">
          <w:marLeft w:val="480"/>
          <w:marRight w:val="0"/>
          <w:marTop w:val="0"/>
          <w:marBottom w:val="0"/>
          <w:divBdr>
            <w:top w:val="none" w:sz="0" w:space="0" w:color="auto"/>
            <w:left w:val="none" w:sz="0" w:space="0" w:color="auto"/>
            <w:bottom w:val="none" w:sz="0" w:space="0" w:color="auto"/>
            <w:right w:val="none" w:sz="0" w:space="0" w:color="auto"/>
          </w:divBdr>
          <w:divsChild>
            <w:div w:id="3589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413">
      <w:bodyDiv w:val="1"/>
      <w:marLeft w:val="0"/>
      <w:marRight w:val="0"/>
      <w:marTop w:val="0"/>
      <w:marBottom w:val="0"/>
      <w:divBdr>
        <w:top w:val="none" w:sz="0" w:space="0" w:color="auto"/>
        <w:left w:val="none" w:sz="0" w:space="0" w:color="auto"/>
        <w:bottom w:val="none" w:sz="0" w:space="0" w:color="auto"/>
        <w:right w:val="none" w:sz="0" w:space="0" w:color="auto"/>
      </w:divBdr>
      <w:divsChild>
        <w:div w:id="592712750">
          <w:marLeft w:val="480"/>
          <w:marRight w:val="0"/>
          <w:marTop w:val="0"/>
          <w:marBottom w:val="0"/>
          <w:divBdr>
            <w:top w:val="none" w:sz="0" w:space="0" w:color="auto"/>
            <w:left w:val="none" w:sz="0" w:space="0" w:color="auto"/>
            <w:bottom w:val="none" w:sz="0" w:space="0" w:color="auto"/>
            <w:right w:val="none" w:sz="0" w:space="0" w:color="auto"/>
          </w:divBdr>
          <w:divsChild>
            <w:div w:id="16138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35195">
      <w:bodyDiv w:val="1"/>
      <w:marLeft w:val="0"/>
      <w:marRight w:val="0"/>
      <w:marTop w:val="0"/>
      <w:marBottom w:val="0"/>
      <w:divBdr>
        <w:top w:val="none" w:sz="0" w:space="0" w:color="auto"/>
        <w:left w:val="none" w:sz="0" w:space="0" w:color="auto"/>
        <w:bottom w:val="none" w:sz="0" w:space="0" w:color="auto"/>
        <w:right w:val="none" w:sz="0" w:space="0" w:color="auto"/>
      </w:divBdr>
    </w:div>
    <w:div w:id="1225487789">
      <w:bodyDiv w:val="1"/>
      <w:marLeft w:val="0"/>
      <w:marRight w:val="0"/>
      <w:marTop w:val="0"/>
      <w:marBottom w:val="0"/>
      <w:divBdr>
        <w:top w:val="none" w:sz="0" w:space="0" w:color="auto"/>
        <w:left w:val="none" w:sz="0" w:space="0" w:color="auto"/>
        <w:bottom w:val="none" w:sz="0" w:space="0" w:color="auto"/>
        <w:right w:val="none" w:sz="0" w:space="0" w:color="auto"/>
      </w:divBdr>
    </w:div>
    <w:div w:id="1325360216">
      <w:bodyDiv w:val="1"/>
      <w:marLeft w:val="0"/>
      <w:marRight w:val="0"/>
      <w:marTop w:val="0"/>
      <w:marBottom w:val="0"/>
      <w:divBdr>
        <w:top w:val="none" w:sz="0" w:space="0" w:color="auto"/>
        <w:left w:val="none" w:sz="0" w:space="0" w:color="auto"/>
        <w:bottom w:val="none" w:sz="0" w:space="0" w:color="auto"/>
        <w:right w:val="none" w:sz="0" w:space="0" w:color="auto"/>
      </w:divBdr>
      <w:divsChild>
        <w:div w:id="109321877">
          <w:marLeft w:val="480"/>
          <w:marRight w:val="0"/>
          <w:marTop w:val="0"/>
          <w:marBottom w:val="0"/>
          <w:divBdr>
            <w:top w:val="none" w:sz="0" w:space="0" w:color="auto"/>
            <w:left w:val="none" w:sz="0" w:space="0" w:color="auto"/>
            <w:bottom w:val="none" w:sz="0" w:space="0" w:color="auto"/>
            <w:right w:val="none" w:sz="0" w:space="0" w:color="auto"/>
          </w:divBdr>
          <w:divsChild>
            <w:div w:id="10963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6651">
      <w:bodyDiv w:val="1"/>
      <w:marLeft w:val="0"/>
      <w:marRight w:val="0"/>
      <w:marTop w:val="0"/>
      <w:marBottom w:val="0"/>
      <w:divBdr>
        <w:top w:val="none" w:sz="0" w:space="0" w:color="auto"/>
        <w:left w:val="none" w:sz="0" w:space="0" w:color="auto"/>
        <w:bottom w:val="none" w:sz="0" w:space="0" w:color="auto"/>
        <w:right w:val="none" w:sz="0" w:space="0" w:color="auto"/>
      </w:divBdr>
    </w:div>
    <w:div w:id="1373072028">
      <w:bodyDiv w:val="1"/>
      <w:marLeft w:val="0"/>
      <w:marRight w:val="0"/>
      <w:marTop w:val="0"/>
      <w:marBottom w:val="0"/>
      <w:divBdr>
        <w:top w:val="none" w:sz="0" w:space="0" w:color="auto"/>
        <w:left w:val="none" w:sz="0" w:space="0" w:color="auto"/>
        <w:bottom w:val="none" w:sz="0" w:space="0" w:color="auto"/>
        <w:right w:val="none" w:sz="0" w:space="0" w:color="auto"/>
      </w:divBdr>
      <w:divsChild>
        <w:div w:id="446393544">
          <w:marLeft w:val="480"/>
          <w:marRight w:val="0"/>
          <w:marTop w:val="0"/>
          <w:marBottom w:val="0"/>
          <w:divBdr>
            <w:top w:val="none" w:sz="0" w:space="0" w:color="auto"/>
            <w:left w:val="none" w:sz="0" w:space="0" w:color="auto"/>
            <w:bottom w:val="none" w:sz="0" w:space="0" w:color="auto"/>
            <w:right w:val="none" w:sz="0" w:space="0" w:color="auto"/>
          </w:divBdr>
          <w:divsChild>
            <w:div w:id="11440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4559">
      <w:bodyDiv w:val="1"/>
      <w:marLeft w:val="0"/>
      <w:marRight w:val="0"/>
      <w:marTop w:val="0"/>
      <w:marBottom w:val="0"/>
      <w:divBdr>
        <w:top w:val="none" w:sz="0" w:space="0" w:color="auto"/>
        <w:left w:val="none" w:sz="0" w:space="0" w:color="auto"/>
        <w:bottom w:val="none" w:sz="0" w:space="0" w:color="auto"/>
        <w:right w:val="none" w:sz="0" w:space="0" w:color="auto"/>
      </w:divBdr>
    </w:div>
    <w:div w:id="1470392626">
      <w:bodyDiv w:val="1"/>
      <w:marLeft w:val="0"/>
      <w:marRight w:val="0"/>
      <w:marTop w:val="0"/>
      <w:marBottom w:val="0"/>
      <w:divBdr>
        <w:top w:val="none" w:sz="0" w:space="0" w:color="auto"/>
        <w:left w:val="none" w:sz="0" w:space="0" w:color="auto"/>
        <w:bottom w:val="none" w:sz="0" w:space="0" w:color="auto"/>
        <w:right w:val="none" w:sz="0" w:space="0" w:color="auto"/>
      </w:divBdr>
      <w:divsChild>
        <w:div w:id="428963070">
          <w:marLeft w:val="480"/>
          <w:marRight w:val="0"/>
          <w:marTop w:val="0"/>
          <w:marBottom w:val="0"/>
          <w:divBdr>
            <w:top w:val="none" w:sz="0" w:space="0" w:color="auto"/>
            <w:left w:val="none" w:sz="0" w:space="0" w:color="auto"/>
            <w:bottom w:val="none" w:sz="0" w:space="0" w:color="auto"/>
            <w:right w:val="none" w:sz="0" w:space="0" w:color="auto"/>
          </w:divBdr>
          <w:divsChild>
            <w:div w:id="17333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86905">
      <w:bodyDiv w:val="1"/>
      <w:marLeft w:val="0"/>
      <w:marRight w:val="0"/>
      <w:marTop w:val="0"/>
      <w:marBottom w:val="0"/>
      <w:divBdr>
        <w:top w:val="none" w:sz="0" w:space="0" w:color="auto"/>
        <w:left w:val="none" w:sz="0" w:space="0" w:color="auto"/>
        <w:bottom w:val="none" w:sz="0" w:space="0" w:color="auto"/>
        <w:right w:val="none" w:sz="0" w:space="0" w:color="auto"/>
      </w:divBdr>
    </w:div>
    <w:div w:id="1581255729">
      <w:bodyDiv w:val="1"/>
      <w:marLeft w:val="0"/>
      <w:marRight w:val="0"/>
      <w:marTop w:val="0"/>
      <w:marBottom w:val="0"/>
      <w:divBdr>
        <w:top w:val="none" w:sz="0" w:space="0" w:color="auto"/>
        <w:left w:val="none" w:sz="0" w:space="0" w:color="auto"/>
        <w:bottom w:val="none" w:sz="0" w:space="0" w:color="auto"/>
        <w:right w:val="none" w:sz="0" w:space="0" w:color="auto"/>
      </w:divBdr>
    </w:div>
    <w:div w:id="1585601070">
      <w:bodyDiv w:val="1"/>
      <w:marLeft w:val="0"/>
      <w:marRight w:val="0"/>
      <w:marTop w:val="0"/>
      <w:marBottom w:val="0"/>
      <w:divBdr>
        <w:top w:val="none" w:sz="0" w:space="0" w:color="auto"/>
        <w:left w:val="none" w:sz="0" w:space="0" w:color="auto"/>
        <w:bottom w:val="none" w:sz="0" w:space="0" w:color="auto"/>
        <w:right w:val="none" w:sz="0" w:space="0" w:color="auto"/>
      </w:divBdr>
    </w:div>
    <w:div w:id="1669753007">
      <w:bodyDiv w:val="1"/>
      <w:marLeft w:val="0"/>
      <w:marRight w:val="0"/>
      <w:marTop w:val="0"/>
      <w:marBottom w:val="0"/>
      <w:divBdr>
        <w:top w:val="none" w:sz="0" w:space="0" w:color="auto"/>
        <w:left w:val="none" w:sz="0" w:space="0" w:color="auto"/>
        <w:bottom w:val="none" w:sz="0" w:space="0" w:color="auto"/>
        <w:right w:val="none" w:sz="0" w:space="0" w:color="auto"/>
      </w:divBdr>
    </w:div>
    <w:div w:id="1696810101">
      <w:bodyDiv w:val="1"/>
      <w:marLeft w:val="0"/>
      <w:marRight w:val="0"/>
      <w:marTop w:val="0"/>
      <w:marBottom w:val="0"/>
      <w:divBdr>
        <w:top w:val="none" w:sz="0" w:space="0" w:color="auto"/>
        <w:left w:val="none" w:sz="0" w:space="0" w:color="auto"/>
        <w:bottom w:val="none" w:sz="0" w:space="0" w:color="auto"/>
        <w:right w:val="none" w:sz="0" w:space="0" w:color="auto"/>
      </w:divBdr>
      <w:divsChild>
        <w:div w:id="1155416538">
          <w:marLeft w:val="0"/>
          <w:marRight w:val="0"/>
          <w:marTop w:val="0"/>
          <w:marBottom w:val="0"/>
          <w:divBdr>
            <w:top w:val="none" w:sz="0" w:space="0" w:color="auto"/>
            <w:left w:val="none" w:sz="0" w:space="0" w:color="auto"/>
            <w:bottom w:val="none" w:sz="0" w:space="0" w:color="auto"/>
            <w:right w:val="none" w:sz="0" w:space="0" w:color="auto"/>
          </w:divBdr>
        </w:div>
      </w:divsChild>
    </w:div>
    <w:div w:id="1697927209">
      <w:bodyDiv w:val="1"/>
      <w:marLeft w:val="0"/>
      <w:marRight w:val="0"/>
      <w:marTop w:val="0"/>
      <w:marBottom w:val="0"/>
      <w:divBdr>
        <w:top w:val="none" w:sz="0" w:space="0" w:color="auto"/>
        <w:left w:val="none" w:sz="0" w:space="0" w:color="auto"/>
        <w:bottom w:val="none" w:sz="0" w:space="0" w:color="auto"/>
        <w:right w:val="none" w:sz="0" w:space="0" w:color="auto"/>
      </w:divBdr>
      <w:divsChild>
        <w:div w:id="1434476046">
          <w:marLeft w:val="0"/>
          <w:marRight w:val="0"/>
          <w:marTop w:val="0"/>
          <w:marBottom w:val="0"/>
          <w:divBdr>
            <w:top w:val="none" w:sz="0" w:space="0" w:color="auto"/>
            <w:left w:val="none" w:sz="0" w:space="0" w:color="auto"/>
            <w:bottom w:val="none" w:sz="0" w:space="0" w:color="auto"/>
            <w:right w:val="none" w:sz="0" w:space="0" w:color="auto"/>
          </w:divBdr>
          <w:divsChild>
            <w:div w:id="416948936">
              <w:marLeft w:val="0"/>
              <w:marRight w:val="0"/>
              <w:marTop w:val="0"/>
              <w:marBottom w:val="0"/>
              <w:divBdr>
                <w:top w:val="none" w:sz="0" w:space="0" w:color="auto"/>
                <w:left w:val="none" w:sz="0" w:space="0" w:color="auto"/>
                <w:bottom w:val="none" w:sz="0" w:space="0" w:color="auto"/>
                <w:right w:val="none" w:sz="0" w:space="0" w:color="auto"/>
              </w:divBdr>
              <w:divsChild>
                <w:div w:id="1658993972">
                  <w:marLeft w:val="0"/>
                  <w:marRight w:val="0"/>
                  <w:marTop w:val="0"/>
                  <w:marBottom w:val="0"/>
                  <w:divBdr>
                    <w:top w:val="none" w:sz="0" w:space="0" w:color="auto"/>
                    <w:left w:val="none" w:sz="0" w:space="0" w:color="auto"/>
                    <w:bottom w:val="none" w:sz="0" w:space="0" w:color="auto"/>
                    <w:right w:val="none" w:sz="0" w:space="0" w:color="auto"/>
                  </w:divBdr>
                  <w:divsChild>
                    <w:div w:id="1936669282">
                      <w:marLeft w:val="0"/>
                      <w:marRight w:val="0"/>
                      <w:marTop w:val="0"/>
                      <w:marBottom w:val="0"/>
                      <w:divBdr>
                        <w:top w:val="none" w:sz="0" w:space="0" w:color="auto"/>
                        <w:left w:val="none" w:sz="0" w:space="0" w:color="auto"/>
                        <w:bottom w:val="none" w:sz="0" w:space="0" w:color="auto"/>
                        <w:right w:val="none" w:sz="0" w:space="0" w:color="auto"/>
                      </w:divBdr>
                      <w:divsChild>
                        <w:div w:id="610935556">
                          <w:marLeft w:val="0"/>
                          <w:marRight w:val="0"/>
                          <w:marTop w:val="0"/>
                          <w:marBottom w:val="0"/>
                          <w:divBdr>
                            <w:top w:val="none" w:sz="0" w:space="0" w:color="auto"/>
                            <w:left w:val="none" w:sz="0" w:space="0" w:color="auto"/>
                            <w:bottom w:val="none" w:sz="0" w:space="0" w:color="auto"/>
                            <w:right w:val="none" w:sz="0" w:space="0" w:color="auto"/>
                          </w:divBdr>
                          <w:divsChild>
                            <w:div w:id="19734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03">
      <w:bodyDiv w:val="1"/>
      <w:marLeft w:val="0"/>
      <w:marRight w:val="0"/>
      <w:marTop w:val="0"/>
      <w:marBottom w:val="0"/>
      <w:divBdr>
        <w:top w:val="none" w:sz="0" w:space="0" w:color="auto"/>
        <w:left w:val="none" w:sz="0" w:space="0" w:color="auto"/>
        <w:bottom w:val="none" w:sz="0" w:space="0" w:color="auto"/>
        <w:right w:val="none" w:sz="0" w:space="0" w:color="auto"/>
      </w:divBdr>
    </w:div>
    <w:div w:id="1744327859">
      <w:bodyDiv w:val="1"/>
      <w:marLeft w:val="0"/>
      <w:marRight w:val="0"/>
      <w:marTop w:val="0"/>
      <w:marBottom w:val="0"/>
      <w:divBdr>
        <w:top w:val="none" w:sz="0" w:space="0" w:color="auto"/>
        <w:left w:val="none" w:sz="0" w:space="0" w:color="auto"/>
        <w:bottom w:val="none" w:sz="0" w:space="0" w:color="auto"/>
        <w:right w:val="none" w:sz="0" w:space="0" w:color="auto"/>
      </w:divBdr>
    </w:div>
    <w:div w:id="1760708789">
      <w:bodyDiv w:val="1"/>
      <w:marLeft w:val="0"/>
      <w:marRight w:val="0"/>
      <w:marTop w:val="0"/>
      <w:marBottom w:val="0"/>
      <w:divBdr>
        <w:top w:val="none" w:sz="0" w:space="0" w:color="auto"/>
        <w:left w:val="none" w:sz="0" w:space="0" w:color="auto"/>
        <w:bottom w:val="none" w:sz="0" w:space="0" w:color="auto"/>
        <w:right w:val="none" w:sz="0" w:space="0" w:color="auto"/>
      </w:divBdr>
      <w:divsChild>
        <w:div w:id="915937688">
          <w:marLeft w:val="480"/>
          <w:marRight w:val="0"/>
          <w:marTop w:val="0"/>
          <w:marBottom w:val="0"/>
          <w:divBdr>
            <w:top w:val="none" w:sz="0" w:space="0" w:color="auto"/>
            <w:left w:val="none" w:sz="0" w:space="0" w:color="auto"/>
            <w:bottom w:val="none" w:sz="0" w:space="0" w:color="auto"/>
            <w:right w:val="none" w:sz="0" w:space="0" w:color="auto"/>
          </w:divBdr>
          <w:divsChild>
            <w:div w:id="5378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5646">
      <w:bodyDiv w:val="1"/>
      <w:marLeft w:val="0"/>
      <w:marRight w:val="0"/>
      <w:marTop w:val="0"/>
      <w:marBottom w:val="0"/>
      <w:divBdr>
        <w:top w:val="none" w:sz="0" w:space="0" w:color="auto"/>
        <w:left w:val="none" w:sz="0" w:space="0" w:color="auto"/>
        <w:bottom w:val="none" w:sz="0" w:space="0" w:color="auto"/>
        <w:right w:val="none" w:sz="0" w:space="0" w:color="auto"/>
      </w:divBdr>
      <w:divsChild>
        <w:div w:id="221909165">
          <w:marLeft w:val="0"/>
          <w:marRight w:val="0"/>
          <w:marTop w:val="0"/>
          <w:marBottom w:val="0"/>
          <w:divBdr>
            <w:top w:val="none" w:sz="0" w:space="0" w:color="auto"/>
            <w:left w:val="none" w:sz="0" w:space="0" w:color="auto"/>
            <w:bottom w:val="none" w:sz="0" w:space="0" w:color="auto"/>
            <w:right w:val="none" w:sz="0" w:space="0" w:color="auto"/>
          </w:divBdr>
        </w:div>
        <w:div w:id="936405596">
          <w:marLeft w:val="0"/>
          <w:marRight w:val="0"/>
          <w:marTop w:val="0"/>
          <w:marBottom w:val="0"/>
          <w:divBdr>
            <w:top w:val="none" w:sz="0" w:space="0" w:color="auto"/>
            <w:left w:val="none" w:sz="0" w:space="0" w:color="auto"/>
            <w:bottom w:val="none" w:sz="0" w:space="0" w:color="auto"/>
            <w:right w:val="none" w:sz="0" w:space="0" w:color="auto"/>
          </w:divBdr>
        </w:div>
        <w:div w:id="1503200887">
          <w:marLeft w:val="0"/>
          <w:marRight w:val="0"/>
          <w:marTop w:val="0"/>
          <w:marBottom w:val="0"/>
          <w:divBdr>
            <w:top w:val="none" w:sz="0" w:space="0" w:color="auto"/>
            <w:left w:val="none" w:sz="0" w:space="0" w:color="auto"/>
            <w:bottom w:val="none" w:sz="0" w:space="0" w:color="auto"/>
            <w:right w:val="none" w:sz="0" w:space="0" w:color="auto"/>
          </w:divBdr>
          <w:divsChild>
            <w:div w:id="5172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3016">
      <w:bodyDiv w:val="1"/>
      <w:marLeft w:val="0"/>
      <w:marRight w:val="0"/>
      <w:marTop w:val="0"/>
      <w:marBottom w:val="0"/>
      <w:divBdr>
        <w:top w:val="none" w:sz="0" w:space="0" w:color="auto"/>
        <w:left w:val="none" w:sz="0" w:space="0" w:color="auto"/>
        <w:bottom w:val="none" w:sz="0" w:space="0" w:color="auto"/>
        <w:right w:val="none" w:sz="0" w:space="0" w:color="auto"/>
      </w:divBdr>
    </w:div>
    <w:div w:id="1916820050">
      <w:bodyDiv w:val="1"/>
      <w:marLeft w:val="0"/>
      <w:marRight w:val="0"/>
      <w:marTop w:val="0"/>
      <w:marBottom w:val="0"/>
      <w:divBdr>
        <w:top w:val="none" w:sz="0" w:space="0" w:color="auto"/>
        <w:left w:val="none" w:sz="0" w:space="0" w:color="auto"/>
        <w:bottom w:val="none" w:sz="0" w:space="0" w:color="auto"/>
        <w:right w:val="none" w:sz="0" w:space="0" w:color="auto"/>
      </w:divBdr>
    </w:div>
    <w:div w:id="1937402792">
      <w:bodyDiv w:val="1"/>
      <w:marLeft w:val="0"/>
      <w:marRight w:val="0"/>
      <w:marTop w:val="0"/>
      <w:marBottom w:val="0"/>
      <w:divBdr>
        <w:top w:val="none" w:sz="0" w:space="0" w:color="auto"/>
        <w:left w:val="none" w:sz="0" w:space="0" w:color="auto"/>
        <w:bottom w:val="none" w:sz="0" w:space="0" w:color="auto"/>
        <w:right w:val="none" w:sz="0" w:space="0" w:color="auto"/>
      </w:divBdr>
      <w:divsChild>
        <w:div w:id="1501700755">
          <w:marLeft w:val="480"/>
          <w:marRight w:val="0"/>
          <w:marTop w:val="0"/>
          <w:marBottom w:val="0"/>
          <w:divBdr>
            <w:top w:val="none" w:sz="0" w:space="0" w:color="auto"/>
            <w:left w:val="none" w:sz="0" w:space="0" w:color="auto"/>
            <w:bottom w:val="none" w:sz="0" w:space="0" w:color="auto"/>
            <w:right w:val="none" w:sz="0" w:space="0" w:color="auto"/>
          </w:divBdr>
          <w:divsChild>
            <w:div w:id="7287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66385">
      <w:bodyDiv w:val="1"/>
      <w:marLeft w:val="0"/>
      <w:marRight w:val="0"/>
      <w:marTop w:val="0"/>
      <w:marBottom w:val="0"/>
      <w:divBdr>
        <w:top w:val="none" w:sz="0" w:space="0" w:color="auto"/>
        <w:left w:val="none" w:sz="0" w:space="0" w:color="auto"/>
        <w:bottom w:val="none" w:sz="0" w:space="0" w:color="auto"/>
        <w:right w:val="none" w:sz="0" w:space="0" w:color="auto"/>
      </w:divBdr>
      <w:divsChild>
        <w:div w:id="1971745870">
          <w:marLeft w:val="480"/>
          <w:marRight w:val="0"/>
          <w:marTop w:val="0"/>
          <w:marBottom w:val="0"/>
          <w:divBdr>
            <w:top w:val="none" w:sz="0" w:space="0" w:color="auto"/>
            <w:left w:val="none" w:sz="0" w:space="0" w:color="auto"/>
            <w:bottom w:val="none" w:sz="0" w:space="0" w:color="auto"/>
            <w:right w:val="none" w:sz="0" w:space="0" w:color="auto"/>
          </w:divBdr>
          <w:divsChild>
            <w:div w:id="18577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6687">
      <w:bodyDiv w:val="1"/>
      <w:marLeft w:val="0"/>
      <w:marRight w:val="0"/>
      <w:marTop w:val="0"/>
      <w:marBottom w:val="0"/>
      <w:divBdr>
        <w:top w:val="none" w:sz="0" w:space="0" w:color="auto"/>
        <w:left w:val="none" w:sz="0" w:space="0" w:color="auto"/>
        <w:bottom w:val="none" w:sz="0" w:space="0" w:color="auto"/>
        <w:right w:val="none" w:sz="0" w:space="0" w:color="auto"/>
      </w:divBdr>
      <w:divsChild>
        <w:div w:id="337199795">
          <w:marLeft w:val="480"/>
          <w:marRight w:val="0"/>
          <w:marTop w:val="0"/>
          <w:marBottom w:val="0"/>
          <w:divBdr>
            <w:top w:val="none" w:sz="0" w:space="0" w:color="auto"/>
            <w:left w:val="none" w:sz="0" w:space="0" w:color="auto"/>
            <w:bottom w:val="none" w:sz="0" w:space="0" w:color="auto"/>
            <w:right w:val="none" w:sz="0" w:space="0" w:color="auto"/>
          </w:divBdr>
          <w:divsChild>
            <w:div w:id="28339085">
              <w:marLeft w:val="0"/>
              <w:marRight w:val="0"/>
              <w:marTop w:val="0"/>
              <w:marBottom w:val="240"/>
              <w:divBdr>
                <w:top w:val="none" w:sz="0" w:space="0" w:color="auto"/>
                <w:left w:val="none" w:sz="0" w:space="0" w:color="auto"/>
                <w:bottom w:val="none" w:sz="0" w:space="0" w:color="auto"/>
                <w:right w:val="none" w:sz="0" w:space="0" w:color="auto"/>
              </w:divBdr>
            </w:div>
            <w:div w:id="66849054">
              <w:marLeft w:val="0"/>
              <w:marRight w:val="0"/>
              <w:marTop w:val="0"/>
              <w:marBottom w:val="240"/>
              <w:divBdr>
                <w:top w:val="none" w:sz="0" w:space="0" w:color="auto"/>
                <w:left w:val="none" w:sz="0" w:space="0" w:color="auto"/>
                <w:bottom w:val="none" w:sz="0" w:space="0" w:color="auto"/>
                <w:right w:val="none" w:sz="0" w:space="0" w:color="auto"/>
              </w:divBdr>
            </w:div>
            <w:div w:id="68042164">
              <w:marLeft w:val="0"/>
              <w:marRight w:val="0"/>
              <w:marTop w:val="0"/>
              <w:marBottom w:val="240"/>
              <w:divBdr>
                <w:top w:val="none" w:sz="0" w:space="0" w:color="auto"/>
                <w:left w:val="none" w:sz="0" w:space="0" w:color="auto"/>
                <w:bottom w:val="none" w:sz="0" w:space="0" w:color="auto"/>
                <w:right w:val="none" w:sz="0" w:space="0" w:color="auto"/>
              </w:divBdr>
            </w:div>
            <w:div w:id="233315577">
              <w:marLeft w:val="0"/>
              <w:marRight w:val="0"/>
              <w:marTop w:val="0"/>
              <w:marBottom w:val="240"/>
              <w:divBdr>
                <w:top w:val="none" w:sz="0" w:space="0" w:color="auto"/>
                <w:left w:val="none" w:sz="0" w:space="0" w:color="auto"/>
                <w:bottom w:val="none" w:sz="0" w:space="0" w:color="auto"/>
                <w:right w:val="none" w:sz="0" w:space="0" w:color="auto"/>
              </w:divBdr>
            </w:div>
            <w:div w:id="280572820">
              <w:marLeft w:val="0"/>
              <w:marRight w:val="0"/>
              <w:marTop w:val="0"/>
              <w:marBottom w:val="240"/>
              <w:divBdr>
                <w:top w:val="none" w:sz="0" w:space="0" w:color="auto"/>
                <w:left w:val="none" w:sz="0" w:space="0" w:color="auto"/>
                <w:bottom w:val="none" w:sz="0" w:space="0" w:color="auto"/>
                <w:right w:val="none" w:sz="0" w:space="0" w:color="auto"/>
              </w:divBdr>
            </w:div>
            <w:div w:id="296372875">
              <w:marLeft w:val="0"/>
              <w:marRight w:val="0"/>
              <w:marTop w:val="0"/>
              <w:marBottom w:val="240"/>
              <w:divBdr>
                <w:top w:val="none" w:sz="0" w:space="0" w:color="auto"/>
                <w:left w:val="none" w:sz="0" w:space="0" w:color="auto"/>
                <w:bottom w:val="none" w:sz="0" w:space="0" w:color="auto"/>
                <w:right w:val="none" w:sz="0" w:space="0" w:color="auto"/>
              </w:divBdr>
            </w:div>
            <w:div w:id="301346776">
              <w:marLeft w:val="0"/>
              <w:marRight w:val="0"/>
              <w:marTop w:val="0"/>
              <w:marBottom w:val="240"/>
              <w:divBdr>
                <w:top w:val="none" w:sz="0" w:space="0" w:color="auto"/>
                <w:left w:val="none" w:sz="0" w:space="0" w:color="auto"/>
                <w:bottom w:val="none" w:sz="0" w:space="0" w:color="auto"/>
                <w:right w:val="none" w:sz="0" w:space="0" w:color="auto"/>
              </w:divBdr>
            </w:div>
            <w:div w:id="306521615">
              <w:marLeft w:val="0"/>
              <w:marRight w:val="0"/>
              <w:marTop w:val="0"/>
              <w:marBottom w:val="240"/>
              <w:divBdr>
                <w:top w:val="none" w:sz="0" w:space="0" w:color="auto"/>
                <w:left w:val="none" w:sz="0" w:space="0" w:color="auto"/>
                <w:bottom w:val="none" w:sz="0" w:space="0" w:color="auto"/>
                <w:right w:val="none" w:sz="0" w:space="0" w:color="auto"/>
              </w:divBdr>
            </w:div>
            <w:div w:id="341785478">
              <w:marLeft w:val="0"/>
              <w:marRight w:val="0"/>
              <w:marTop w:val="0"/>
              <w:marBottom w:val="240"/>
              <w:divBdr>
                <w:top w:val="none" w:sz="0" w:space="0" w:color="auto"/>
                <w:left w:val="none" w:sz="0" w:space="0" w:color="auto"/>
                <w:bottom w:val="none" w:sz="0" w:space="0" w:color="auto"/>
                <w:right w:val="none" w:sz="0" w:space="0" w:color="auto"/>
              </w:divBdr>
            </w:div>
            <w:div w:id="377054851">
              <w:marLeft w:val="0"/>
              <w:marRight w:val="0"/>
              <w:marTop w:val="0"/>
              <w:marBottom w:val="240"/>
              <w:divBdr>
                <w:top w:val="none" w:sz="0" w:space="0" w:color="auto"/>
                <w:left w:val="none" w:sz="0" w:space="0" w:color="auto"/>
                <w:bottom w:val="none" w:sz="0" w:space="0" w:color="auto"/>
                <w:right w:val="none" w:sz="0" w:space="0" w:color="auto"/>
              </w:divBdr>
            </w:div>
            <w:div w:id="458114007">
              <w:marLeft w:val="0"/>
              <w:marRight w:val="0"/>
              <w:marTop w:val="0"/>
              <w:marBottom w:val="240"/>
              <w:divBdr>
                <w:top w:val="none" w:sz="0" w:space="0" w:color="auto"/>
                <w:left w:val="none" w:sz="0" w:space="0" w:color="auto"/>
                <w:bottom w:val="none" w:sz="0" w:space="0" w:color="auto"/>
                <w:right w:val="none" w:sz="0" w:space="0" w:color="auto"/>
              </w:divBdr>
            </w:div>
            <w:div w:id="483280289">
              <w:marLeft w:val="0"/>
              <w:marRight w:val="0"/>
              <w:marTop w:val="0"/>
              <w:marBottom w:val="240"/>
              <w:divBdr>
                <w:top w:val="none" w:sz="0" w:space="0" w:color="auto"/>
                <w:left w:val="none" w:sz="0" w:space="0" w:color="auto"/>
                <w:bottom w:val="none" w:sz="0" w:space="0" w:color="auto"/>
                <w:right w:val="none" w:sz="0" w:space="0" w:color="auto"/>
              </w:divBdr>
            </w:div>
            <w:div w:id="495996504">
              <w:marLeft w:val="0"/>
              <w:marRight w:val="0"/>
              <w:marTop w:val="0"/>
              <w:marBottom w:val="240"/>
              <w:divBdr>
                <w:top w:val="none" w:sz="0" w:space="0" w:color="auto"/>
                <w:left w:val="none" w:sz="0" w:space="0" w:color="auto"/>
                <w:bottom w:val="none" w:sz="0" w:space="0" w:color="auto"/>
                <w:right w:val="none" w:sz="0" w:space="0" w:color="auto"/>
              </w:divBdr>
            </w:div>
            <w:div w:id="534735708">
              <w:marLeft w:val="0"/>
              <w:marRight w:val="0"/>
              <w:marTop w:val="0"/>
              <w:marBottom w:val="240"/>
              <w:divBdr>
                <w:top w:val="none" w:sz="0" w:space="0" w:color="auto"/>
                <w:left w:val="none" w:sz="0" w:space="0" w:color="auto"/>
                <w:bottom w:val="none" w:sz="0" w:space="0" w:color="auto"/>
                <w:right w:val="none" w:sz="0" w:space="0" w:color="auto"/>
              </w:divBdr>
            </w:div>
            <w:div w:id="563838235">
              <w:marLeft w:val="0"/>
              <w:marRight w:val="0"/>
              <w:marTop w:val="0"/>
              <w:marBottom w:val="240"/>
              <w:divBdr>
                <w:top w:val="none" w:sz="0" w:space="0" w:color="auto"/>
                <w:left w:val="none" w:sz="0" w:space="0" w:color="auto"/>
                <w:bottom w:val="none" w:sz="0" w:space="0" w:color="auto"/>
                <w:right w:val="none" w:sz="0" w:space="0" w:color="auto"/>
              </w:divBdr>
            </w:div>
            <w:div w:id="640234152">
              <w:marLeft w:val="0"/>
              <w:marRight w:val="0"/>
              <w:marTop w:val="0"/>
              <w:marBottom w:val="240"/>
              <w:divBdr>
                <w:top w:val="none" w:sz="0" w:space="0" w:color="auto"/>
                <w:left w:val="none" w:sz="0" w:space="0" w:color="auto"/>
                <w:bottom w:val="none" w:sz="0" w:space="0" w:color="auto"/>
                <w:right w:val="none" w:sz="0" w:space="0" w:color="auto"/>
              </w:divBdr>
            </w:div>
            <w:div w:id="662897250">
              <w:marLeft w:val="0"/>
              <w:marRight w:val="0"/>
              <w:marTop w:val="0"/>
              <w:marBottom w:val="240"/>
              <w:divBdr>
                <w:top w:val="none" w:sz="0" w:space="0" w:color="auto"/>
                <w:left w:val="none" w:sz="0" w:space="0" w:color="auto"/>
                <w:bottom w:val="none" w:sz="0" w:space="0" w:color="auto"/>
                <w:right w:val="none" w:sz="0" w:space="0" w:color="auto"/>
              </w:divBdr>
            </w:div>
            <w:div w:id="670255260">
              <w:marLeft w:val="0"/>
              <w:marRight w:val="0"/>
              <w:marTop w:val="0"/>
              <w:marBottom w:val="240"/>
              <w:divBdr>
                <w:top w:val="none" w:sz="0" w:space="0" w:color="auto"/>
                <w:left w:val="none" w:sz="0" w:space="0" w:color="auto"/>
                <w:bottom w:val="none" w:sz="0" w:space="0" w:color="auto"/>
                <w:right w:val="none" w:sz="0" w:space="0" w:color="auto"/>
              </w:divBdr>
            </w:div>
            <w:div w:id="696656709">
              <w:marLeft w:val="0"/>
              <w:marRight w:val="0"/>
              <w:marTop w:val="0"/>
              <w:marBottom w:val="240"/>
              <w:divBdr>
                <w:top w:val="none" w:sz="0" w:space="0" w:color="auto"/>
                <w:left w:val="none" w:sz="0" w:space="0" w:color="auto"/>
                <w:bottom w:val="none" w:sz="0" w:space="0" w:color="auto"/>
                <w:right w:val="none" w:sz="0" w:space="0" w:color="auto"/>
              </w:divBdr>
            </w:div>
            <w:div w:id="709112695">
              <w:marLeft w:val="0"/>
              <w:marRight w:val="0"/>
              <w:marTop w:val="0"/>
              <w:marBottom w:val="240"/>
              <w:divBdr>
                <w:top w:val="none" w:sz="0" w:space="0" w:color="auto"/>
                <w:left w:val="none" w:sz="0" w:space="0" w:color="auto"/>
                <w:bottom w:val="none" w:sz="0" w:space="0" w:color="auto"/>
                <w:right w:val="none" w:sz="0" w:space="0" w:color="auto"/>
              </w:divBdr>
            </w:div>
            <w:div w:id="714621262">
              <w:marLeft w:val="0"/>
              <w:marRight w:val="0"/>
              <w:marTop w:val="0"/>
              <w:marBottom w:val="240"/>
              <w:divBdr>
                <w:top w:val="none" w:sz="0" w:space="0" w:color="auto"/>
                <w:left w:val="none" w:sz="0" w:space="0" w:color="auto"/>
                <w:bottom w:val="none" w:sz="0" w:space="0" w:color="auto"/>
                <w:right w:val="none" w:sz="0" w:space="0" w:color="auto"/>
              </w:divBdr>
            </w:div>
            <w:div w:id="763694570">
              <w:marLeft w:val="0"/>
              <w:marRight w:val="0"/>
              <w:marTop w:val="0"/>
              <w:marBottom w:val="240"/>
              <w:divBdr>
                <w:top w:val="none" w:sz="0" w:space="0" w:color="auto"/>
                <w:left w:val="none" w:sz="0" w:space="0" w:color="auto"/>
                <w:bottom w:val="none" w:sz="0" w:space="0" w:color="auto"/>
                <w:right w:val="none" w:sz="0" w:space="0" w:color="auto"/>
              </w:divBdr>
            </w:div>
            <w:div w:id="815297463">
              <w:marLeft w:val="0"/>
              <w:marRight w:val="0"/>
              <w:marTop w:val="0"/>
              <w:marBottom w:val="240"/>
              <w:divBdr>
                <w:top w:val="none" w:sz="0" w:space="0" w:color="auto"/>
                <w:left w:val="none" w:sz="0" w:space="0" w:color="auto"/>
                <w:bottom w:val="none" w:sz="0" w:space="0" w:color="auto"/>
                <w:right w:val="none" w:sz="0" w:space="0" w:color="auto"/>
              </w:divBdr>
            </w:div>
            <w:div w:id="820777695">
              <w:marLeft w:val="0"/>
              <w:marRight w:val="0"/>
              <w:marTop w:val="0"/>
              <w:marBottom w:val="240"/>
              <w:divBdr>
                <w:top w:val="none" w:sz="0" w:space="0" w:color="auto"/>
                <w:left w:val="none" w:sz="0" w:space="0" w:color="auto"/>
                <w:bottom w:val="none" w:sz="0" w:space="0" w:color="auto"/>
                <w:right w:val="none" w:sz="0" w:space="0" w:color="auto"/>
              </w:divBdr>
            </w:div>
            <w:div w:id="851458894">
              <w:marLeft w:val="0"/>
              <w:marRight w:val="0"/>
              <w:marTop w:val="0"/>
              <w:marBottom w:val="240"/>
              <w:divBdr>
                <w:top w:val="none" w:sz="0" w:space="0" w:color="auto"/>
                <w:left w:val="none" w:sz="0" w:space="0" w:color="auto"/>
                <w:bottom w:val="none" w:sz="0" w:space="0" w:color="auto"/>
                <w:right w:val="none" w:sz="0" w:space="0" w:color="auto"/>
              </w:divBdr>
            </w:div>
            <w:div w:id="869533369">
              <w:marLeft w:val="0"/>
              <w:marRight w:val="0"/>
              <w:marTop w:val="0"/>
              <w:marBottom w:val="240"/>
              <w:divBdr>
                <w:top w:val="none" w:sz="0" w:space="0" w:color="auto"/>
                <w:left w:val="none" w:sz="0" w:space="0" w:color="auto"/>
                <w:bottom w:val="none" w:sz="0" w:space="0" w:color="auto"/>
                <w:right w:val="none" w:sz="0" w:space="0" w:color="auto"/>
              </w:divBdr>
            </w:div>
            <w:div w:id="884759453">
              <w:marLeft w:val="0"/>
              <w:marRight w:val="0"/>
              <w:marTop w:val="0"/>
              <w:marBottom w:val="240"/>
              <w:divBdr>
                <w:top w:val="none" w:sz="0" w:space="0" w:color="auto"/>
                <w:left w:val="none" w:sz="0" w:space="0" w:color="auto"/>
                <w:bottom w:val="none" w:sz="0" w:space="0" w:color="auto"/>
                <w:right w:val="none" w:sz="0" w:space="0" w:color="auto"/>
              </w:divBdr>
            </w:div>
            <w:div w:id="907417633">
              <w:marLeft w:val="0"/>
              <w:marRight w:val="0"/>
              <w:marTop w:val="0"/>
              <w:marBottom w:val="240"/>
              <w:divBdr>
                <w:top w:val="none" w:sz="0" w:space="0" w:color="auto"/>
                <w:left w:val="none" w:sz="0" w:space="0" w:color="auto"/>
                <w:bottom w:val="none" w:sz="0" w:space="0" w:color="auto"/>
                <w:right w:val="none" w:sz="0" w:space="0" w:color="auto"/>
              </w:divBdr>
            </w:div>
            <w:div w:id="1025133520">
              <w:marLeft w:val="0"/>
              <w:marRight w:val="0"/>
              <w:marTop w:val="0"/>
              <w:marBottom w:val="240"/>
              <w:divBdr>
                <w:top w:val="none" w:sz="0" w:space="0" w:color="auto"/>
                <w:left w:val="none" w:sz="0" w:space="0" w:color="auto"/>
                <w:bottom w:val="none" w:sz="0" w:space="0" w:color="auto"/>
                <w:right w:val="none" w:sz="0" w:space="0" w:color="auto"/>
              </w:divBdr>
            </w:div>
            <w:div w:id="1047485537">
              <w:marLeft w:val="0"/>
              <w:marRight w:val="0"/>
              <w:marTop w:val="0"/>
              <w:marBottom w:val="240"/>
              <w:divBdr>
                <w:top w:val="none" w:sz="0" w:space="0" w:color="auto"/>
                <w:left w:val="none" w:sz="0" w:space="0" w:color="auto"/>
                <w:bottom w:val="none" w:sz="0" w:space="0" w:color="auto"/>
                <w:right w:val="none" w:sz="0" w:space="0" w:color="auto"/>
              </w:divBdr>
            </w:div>
            <w:div w:id="1196697548">
              <w:marLeft w:val="0"/>
              <w:marRight w:val="0"/>
              <w:marTop w:val="0"/>
              <w:marBottom w:val="240"/>
              <w:divBdr>
                <w:top w:val="none" w:sz="0" w:space="0" w:color="auto"/>
                <w:left w:val="none" w:sz="0" w:space="0" w:color="auto"/>
                <w:bottom w:val="none" w:sz="0" w:space="0" w:color="auto"/>
                <w:right w:val="none" w:sz="0" w:space="0" w:color="auto"/>
              </w:divBdr>
            </w:div>
            <w:div w:id="1201476877">
              <w:marLeft w:val="0"/>
              <w:marRight w:val="0"/>
              <w:marTop w:val="0"/>
              <w:marBottom w:val="240"/>
              <w:divBdr>
                <w:top w:val="none" w:sz="0" w:space="0" w:color="auto"/>
                <w:left w:val="none" w:sz="0" w:space="0" w:color="auto"/>
                <w:bottom w:val="none" w:sz="0" w:space="0" w:color="auto"/>
                <w:right w:val="none" w:sz="0" w:space="0" w:color="auto"/>
              </w:divBdr>
            </w:div>
            <w:div w:id="1245215315">
              <w:marLeft w:val="0"/>
              <w:marRight w:val="0"/>
              <w:marTop w:val="0"/>
              <w:marBottom w:val="240"/>
              <w:divBdr>
                <w:top w:val="none" w:sz="0" w:space="0" w:color="auto"/>
                <w:left w:val="none" w:sz="0" w:space="0" w:color="auto"/>
                <w:bottom w:val="none" w:sz="0" w:space="0" w:color="auto"/>
                <w:right w:val="none" w:sz="0" w:space="0" w:color="auto"/>
              </w:divBdr>
            </w:div>
            <w:div w:id="1271205926">
              <w:marLeft w:val="0"/>
              <w:marRight w:val="0"/>
              <w:marTop w:val="0"/>
              <w:marBottom w:val="240"/>
              <w:divBdr>
                <w:top w:val="none" w:sz="0" w:space="0" w:color="auto"/>
                <w:left w:val="none" w:sz="0" w:space="0" w:color="auto"/>
                <w:bottom w:val="none" w:sz="0" w:space="0" w:color="auto"/>
                <w:right w:val="none" w:sz="0" w:space="0" w:color="auto"/>
              </w:divBdr>
            </w:div>
            <w:div w:id="1342315025">
              <w:marLeft w:val="0"/>
              <w:marRight w:val="0"/>
              <w:marTop w:val="0"/>
              <w:marBottom w:val="240"/>
              <w:divBdr>
                <w:top w:val="none" w:sz="0" w:space="0" w:color="auto"/>
                <w:left w:val="none" w:sz="0" w:space="0" w:color="auto"/>
                <w:bottom w:val="none" w:sz="0" w:space="0" w:color="auto"/>
                <w:right w:val="none" w:sz="0" w:space="0" w:color="auto"/>
              </w:divBdr>
            </w:div>
            <w:div w:id="1422338861">
              <w:marLeft w:val="0"/>
              <w:marRight w:val="0"/>
              <w:marTop w:val="0"/>
              <w:marBottom w:val="240"/>
              <w:divBdr>
                <w:top w:val="none" w:sz="0" w:space="0" w:color="auto"/>
                <w:left w:val="none" w:sz="0" w:space="0" w:color="auto"/>
                <w:bottom w:val="none" w:sz="0" w:space="0" w:color="auto"/>
                <w:right w:val="none" w:sz="0" w:space="0" w:color="auto"/>
              </w:divBdr>
            </w:div>
            <w:div w:id="1451242488">
              <w:marLeft w:val="0"/>
              <w:marRight w:val="0"/>
              <w:marTop w:val="0"/>
              <w:marBottom w:val="240"/>
              <w:divBdr>
                <w:top w:val="none" w:sz="0" w:space="0" w:color="auto"/>
                <w:left w:val="none" w:sz="0" w:space="0" w:color="auto"/>
                <w:bottom w:val="none" w:sz="0" w:space="0" w:color="auto"/>
                <w:right w:val="none" w:sz="0" w:space="0" w:color="auto"/>
              </w:divBdr>
            </w:div>
            <w:div w:id="1467552343">
              <w:marLeft w:val="0"/>
              <w:marRight w:val="0"/>
              <w:marTop w:val="0"/>
              <w:marBottom w:val="240"/>
              <w:divBdr>
                <w:top w:val="none" w:sz="0" w:space="0" w:color="auto"/>
                <w:left w:val="none" w:sz="0" w:space="0" w:color="auto"/>
                <w:bottom w:val="none" w:sz="0" w:space="0" w:color="auto"/>
                <w:right w:val="none" w:sz="0" w:space="0" w:color="auto"/>
              </w:divBdr>
            </w:div>
            <w:div w:id="1476485448">
              <w:marLeft w:val="0"/>
              <w:marRight w:val="0"/>
              <w:marTop w:val="0"/>
              <w:marBottom w:val="240"/>
              <w:divBdr>
                <w:top w:val="none" w:sz="0" w:space="0" w:color="auto"/>
                <w:left w:val="none" w:sz="0" w:space="0" w:color="auto"/>
                <w:bottom w:val="none" w:sz="0" w:space="0" w:color="auto"/>
                <w:right w:val="none" w:sz="0" w:space="0" w:color="auto"/>
              </w:divBdr>
            </w:div>
            <w:div w:id="1479222928">
              <w:marLeft w:val="0"/>
              <w:marRight w:val="0"/>
              <w:marTop w:val="0"/>
              <w:marBottom w:val="240"/>
              <w:divBdr>
                <w:top w:val="none" w:sz="0" w:space="0" w:color="auto"/>
                <w:left w:val="none" w:sz="0" w:space="0" w:color="auto"/>
                <w:bottom w:val="none" w:sz="0" w:space="0" w:color="auto"/>
                <w:right w:val="none" w:sz="0" w:space="0" w:color="auto"/>
              </w:divBdr>
            </w:div>
            <w:div w:id="1610621211">
              <w:marLeft w:val="0"/>
              <w:marRight w:val="0"/>
              <w:marTop w:val="0"/>
              <w:marBottom w:val="240"/>
              <w:divBdr>
                <w:top w:val="none" w:sz="0" w:space="0" w:color="auto"/>
                <w:left w:val="none" w:sz="0" w:space="0" w:color="auto"/>
                <w:bottom w:val="none" w:sz="0" w:space="0" w:color="auto"/>
                <w:right w:val="none" w:sz="0" w:space="0" w:color="auto"/>
              </w:divBdr>
            </w:div>
            <w:div w:id="1639609341">
              <w:marLeft w:val="0"/>
              <w:marRight w:val="0"/>
              <w:marTop w:val="0"/>
              <w:marBottom w:val="240"/>
              <w:divBdr>
                <w:top w:val="none" w:sz="0" w:space="0" w:color="auto"/>
                <w:left w:val="none" w:sz="0" w:space="0" w:color="auto"/>
                <w:bottom w:val="none" w:sz="0" w:space="0" w:color="auto"/>
                <w:right w:val="none" w:sz="0" w:space="0" w:color="auto"/>
              </w:divBdr>
            </w:div>
            <w:div w:id="1667661586">
              <w:marLeft w:val="0"/>
              <w:marRight w:val="0"/>
              <w:marTop w:val="0"/>
              <w:marBottom w:val="240"/>
              <w:divBdr>
                <w:top w:val="none" w:sz="0" w:space="0" w:color="auto"/>
                <w:left w:val="none" w:sz="0" w:space="0" w:color="auto"/>
                <w:bottom w:val="none" w:sz="0" w:space="0" w:color="auto"/>
                <w:right w:val="none" w:sz="0" w:space="0" w:color="auto"/>
              </w:divBdr>
            </w:div>
            <w:div w:id="1688143119">
              <w:marLeft w:val="0"/>
              <w:marRight w:val="0"/>
              <w:marTop w:val="0"/>
              <w:marBottom w:val="240"/>
              <w:divBdr>
                <w:top w:val="none" w:sz="0" w:space="0" w:color="auto"/>
                <w:left w:val="none" w:sz="0" w:space="0" w:color="auto"/>
                <w:bottom w:val="none" w:sz="0" w:space="0" w:color="auto"/>
                <w:right w:val="none" w:sz="0" w:space="0" w:color="auto"/>
              </w:divBdr>
            </w:div>
            <w:div w:id="1782217834">
              <w:marLeft w:val="0"/>
              <w:marRight w:val="0"/>
              <w:marTop w:val="0"/>
              <w:marBottom w:val="240"/>
              <w:divBdr>
                <w:top w:val="none" w:sz="0" w:space="0" w:color="auto"/>
                <w:left w:val="none" w:sz="0" w:space="0" w:color="auto"/>
                <w:bottom w:val="none" w:sz="0" w:space="0" w:color="auto"/>
                <w:right w:val="none" w:sz="0" w:space="0" w:color="auto"/>
              </w:divBdr>
            </w:div>
            <w:div w:id="1804037105">
              <w:marLeft w:val="0"/>
              <w:marRight w:val="0"/>
              <w:marTop w:val="0"/>
              <w:marBottom w:val="240"/>
              <w:divBdr>
                <w:top w:val="none" w:sz="0" w:space="0" w:color="auto"/>
                <w:left w:val="none" w:sz="0" w:space="0" w:color="auto"/>
                <w:bottom w:val="none" w:sz="0" w:space="0" w:color="auto"/>
                <w:right w:val="none" w:sz="0" w:space="0" w:color="auto"/>
              </w:divBdr>
            </w:div>
            <w:div w:id="1834174363">
              <w:marLeft w:val="0"/>
              <w:marRight w:val="0"/>
              <w:marTop w:val="0"/>
              <w:marBottom w:val="240"/>
              <w:divBdr>
                <w:top w:val="none" w:sz="0" w:space="0" w:color="auto"/>
                <w:left w:val="none" w:sz="0" w:space="0" w:color="auto"/>
                <w:bottom w:val="none" w:sz="0" w:space="0" w:color="auto"/>
                <w:right w:val="none" w:sz="0" w:space="0" w:color="auto"/>
              </w:divBdr>
            </w:div>
            <w:div w:id="1855849151">
              <w:marLeft w:val="0"/>
              <w:marRight w:val="0"/>
              <w:marTop w:val="0"/>
              <w:marBottom w:val="240"/>
              <w:divBdr>
                <w:top w:val="none" w:sz="0" w:space="0" w:color="auto"/>
                <w:left w:val="none" w:sz="0" w:space="0" w:color="auto"/>
                <w:bottom w:val="none" w:sz="0" w:space="0" w:color="auto"/>
                <w:right w:val="none" w:sz="0" w:space="0" w:color="auto"/>
              </w:divBdr>
            </w:div>
            <w:div w:id="1859418565">
              <w:marLeft w:val="0"/>
              <w:marRight w:val="0"/>
              <w:marTop w:val="0"/>
              <w:marBottom w:val="240"/>
              <w:divBdr>
                <w:top w:val="none" w:sz="0" w:space="0" w:color="auto"/>
                <w:left w:val="none" w:sz="0" w:space="0" w:color="auto"/>
                <w:bottom w:val="none" w:sz="0" w:space="0" w:color="auto"/>
                <w:right w:val="none" w:sz="0" w:space="0" w:color="auto"/>
              </w:divBdr>
            </w:div>
            <w:div w:id="1909269177">
              <w:marLeft w:val="0"/>
              <w:marRight w:val="0"/>
              <w:marTop w:val="0"/>
              <w:marBottom w:val="240"/>
              <w:divBdr>
                <w:top w:val="none" w:sz="0" w:space="0" w:color="auto"/>
                <w:left w:val="none" w:sz="0" w:space="0" w:color="auto"/>
                <w:bottom w:val="none" w:sz="0" w:space="0" w:color="auto"/>
                <w:right w:val="none" w:sz="0" w:space="0" w:color="auto"/>
              </w:divBdr>
            </w:div>
            <w:div w:id="1927885715">
              <w:marLeft w:val="0"/>
              <w:marRight w:val="0"/>
              <w:marTop w:val="0"/>
              <w:marBottom w:val="0"/>
              <w:divBdr>
                <w:top w:val="none" w:sz="0" w:space="0" w:color="auto"/>
                <w:left w:val="none" w:sz="0" w:space="0" w:color="auto"/>
                <w:bottom w:val="none" w:sz="0" w:space="0" w:color="auto"/>
                <w:right w:val="none" w:sz="0" w:space="0" w:color="auto"/>
              </w:divBdr>
            </w:div>
            <w:div w:id="19453790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1922156">
      <w:bodyDiv w:val="1"/>
      <w:marLeft w:val="0"/>
      <w:marRight w:val="0"/>
      <w:marTop w:val="0"/>
      <w:marBottom w:val="0"/>
      <w:divBdr>
        <w:top w:val="none" w:sz="0" w:space="0" w:color="auto"/>
        <w:left w:val="none" w:sz="0" w:space="0" w:color="auto"/>
        <w:bottom w:val="none" w:sz="0" w:space="0" w:color="auto"/>
        <w:right w:val="none" w:sz="0" w:space="0" w:color="auto"/>
      </w:divBdr>
    </w:div>
    <w:div w:id="2141651855">
      <w:bodyDiv w:val="1"/>
      <w:marLeft w:val="0"/>
      <w:marRight w:val="0"/>
      <w:marTop w:val="0"/>
      <w:marBottom w:val="0"/>
      <w:divBdr>
        <w:top w:val="none" w:sz="0" w:space="0" w:color="auto"/>
        <w:left w:val="none" w:sz="0" w:space="0" w:color="auto"/>
        <w:bottom w:val="none" w:sz="0" w:space="0" w:color="auto"/>
        <w:right w:val="none" w:sz="0" w:space="0" w:color="auto"/>
      </w:divBdr>
      <w:divsChild>
        <w:div w:id="2104570506">
          <w:marLeft w:val="480"/>
          <w:marRight w:val="0"/>
          <w:marTop w:val="0"/>
          <w:marBottom w:val="0"/>
          <w:divBdr>
            <w:top w:val="none" w:sz="0" w:space="0" w:color="auto"/>
            <w:left w:val="none" w:sz="0" w:space="0" w:color="auto"/>
            <w:bottom w:val="none" w:sz="0" w:space="0" w:color="auto"/>
            <w:right w:val="none" w:sz="0" w:space="0" w:color="auto"/>
          </w:divBdr>
          <w:divsChild>
            <w:div w:id="18910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www.bodc.ac.uk/data/hosted_data_systems/sea_level/uk_tide_gauge_networ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cds.climate.copernicus.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Zehua.Zhong@soton.ac.uk" TargetMode="External"/><Relationship Id="rId14" Type="http://schemas.openxmlformats.org/officeDocument/2006/relationships/image" Target="media/image5.png"/><Relationship Id="rId22" Type="http://schemas.openxmlformats.org/officeDocument/2006/relationships/hyperlink" Target="https://www.cefas.co.uk/data-and-publications/wave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2DBDFC0-03C5-454D-92F9-4E09A6F31982}">
  <we:reference id="4f5fc3d5-136b-4c76-b40a-6b26653cd4f1" version="1.2.0.0" store="EnglishAssistanceProvider" storeType="Registry"/>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479D2BB6-5D08-AE46-A4A5-32055BE479F9}">
  <we:reference id="wa200001011" version="1.2.0.0" store="zh-CN"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336B0-1795-4EB0-BFE5-3E631AB9A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6171</TotalTime>
  <Pages>43</Pages>
  <Words>42252</Words>
  <Characters>237879</Characters>
  <Application>Microsoft Office Word</Application>
  <DocSecurity>0</DocSecurity>
  <Lines>4247</Lines>
  <Paragraphs>1029</Paragraphs>
  <ScaleCrop>false</ScaleCrop>
  <HeadingPairs>
    <vt:vector size="2" baseType="variant">
      <vt:variant>
        <vt:lpstr>Title</vt:lpstr>
      </vt:variant>
      <vt:variant>
        <vt:i4>1</vt:i4>
      </vt:variant>
    </vt:vector>
  </HeadingPairs>
  <TitlesOfParts>
    <vt:vector size="1" baseType="lpstr">
      <vt:lpstr>Data</vt:lpstr>
    </vt:vector>
  </TitlesOfParts>
  <Company/>
  <LinksUpToDate>false</LinksUpToDate>
  <CharactersWithSpaces>279102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dc:title>
  <dc:subject/>
  <dc:creator>Administrator</dc:creator>
  <cp:keywords/>
  <dc:description/>
  <cp:lastModifiedBy>Zehua Zhong</cp:lastModifiedBy>
  <cp:revision>13</cp:revision>
  <cp:lastPrinted>2022-08-05T06:53:00Z</cp:lastPrinted>
  <dcterms:created xsi:type="dcterms:W3CDTF">2024-09-14T18:23:00Z</dcterms:created>
  <dcterms:modified xsi:type="dcterms:W3CDTF">2025-02-28T13:26:00Z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1C2A67AC6382455792F7CE35D2BE23B6</vt:lpwstr>
  </property>
  <property fmtid="{D5CDD505-2E9C-101B-9397-08002B2CF9AE}" pid="4" name="MTWinEqns">
    <vt:bool>true</vt:bool>
  </property>
  <property fmtid="{D5CDD505-2E9C-101B-9397-08002B2CF9AE}" pid="5" name="类别">
    <vt:lpwstr>科普</vt:lpwstr>
  </property>
  <property fmtid="{D5CDD505-2E9C-101B-9397-08002B2CF9AE}" pid="6" name="ZOTERO_PREF_1">
    <vt:lpwstr>&lt;data data-version="3" zotero-version="7.0.12"&gt;&lt;session id="rrTvxhGl"/&gt;&lt;style id="http://www.zotero.org/styles/ocean-dynamics" hasBibliography="1" bibliographyStyleHasBeenSet="1"/&gt;&lt;prefs&gt;&lt;pref name="fieldType" value="Field"/&gt;&lt;/prefs&gt;&lt;/data&gt;</vt:lpwstr>
  </property>
  <property fmtid="{D5CDD505-2E9C-101B-9397-08002B2CF9AE}" pid="7" name="MTUseMTPrefs">
    <vt:lpwstr>1</vt:lpwstr>
  </property>
  <property fmtid="{D5CDD505-2E9C-101B-9397-08002B2CF9AE}" pid="8" name="MTEqnNumsOnRight">
    <vt:bool>false</vt:bool>
  </property>
  <property fmtid="{D5CDD505-2E9C-101B-9397-08002B2CF9AE}" pid="9" name="MTEquationNumber2">
    <vt:lpwstr>(#S1.#E1)</vt:lpwstr>
  </property>
  <property fmtid="{D5CDD505-2E9C-101B-9397-08002B2CF9AE}" pid="10" name="AMWinEqns">
    <vt:bool>true</vt:bool>
  </property>
  <property fmtid="{D5CDD505-2E9C-101B-9397-08002B2CF9AE}" pid="11" name="grammarly_documentId">
    <vt:lpwstr>documentId_2482</vt:lpwstr>
  </property>
  <property fmtid="{D5CDD505-2E9C-101B-9397-08002B2CF9AE}" pid="12" name="grammarly_documentContext">
    <vt:lpwstr>{"goals":[],"domain":"general","emotions":[],"dialect":"american"}</vt:lpwstr>
  </property>
  <property fmtid="{D5CDD505-2E9C-101B-9397-08002B2CF9AE}" pid="13" name="GrammarlyDocumentId">
    <vt:lpwstr>cd7bd0eb4f48c7583ebf70028b3777ed3d8edeb17414a2c29739e76ebacae597</vt:lpwstr>
  </property>
  <property fmtid="{D5CDD505-2E9C-101B-9397-08002B2CF9AE}" pid="14" name="MSIP_Label_04443ded-827a-46bf-8c23-accc3d394867_Enabled">
    <vt:lpwstr>true</vt:lpwstr>
  </property>
  <property fmtid="{D5CDD505-2E9C-101B-9397-08002B2CF9AE}" pid="15" name="MSIP_Label_04443ded-827a-46bf-8c23-accc3d394867_SetDate">
    <vt:lpwstr>2024-09-08T09:03:47Z</vt:lpwstr>
  </property>
  <property fmtid="{D5CDD505-2E9C-101B-9397-08002B2CF9AE}" pid="16" name="MSIP_Label_04443ded-827a-46bf-8c23-accc3d394867_Method">
    <vt:lpwstr>Standard</vt:lpwstr>
  </property>
  <property fmtid="{D5CDD505-2E9C-101B-9397-08002B2CF9AE}" pid="17" name="MSIP_Label_04443ded-827a-46bf-8c23-accc3d394867_Name">
    <vt:lpwstr>NOT PROTECTIVELY MARKED</vt:lpwstr>
  </property>
  <property fmtid="{D5CDD505-2E9C-101B-9397-08002B2CF9AE}" pid="18" name="MSIP_Label_04443ded-827a-46bf-8c23-accc3d394867_SiteId">
    <vt:lpwstr>75046e30-7443-48c1-89c4-f710fef78b2b</vt:lpwstr>
  </property>
  <property fmtid="{D5CDD505-2E9C-101B-9397-08002B2CF9AE}" pid="19" name="MSIP_Label_04443ded-827a-46bf-8c23-accc3d394867_ActionId">
    <vt:lpwstr>1ba7ccca-e429-4476-a00e-3ea0aac4c38b</vt:lpwstr>
  </property>
  <property fmtid="{D5CDD505-2E9C-101B-9397-08002B2CF9AE}" pid="20" name="MSIP_Label_04443ded-827a-46bf-8c23-accc3d394867_ContentBits">
    <vt:lpwstr>0</vt:lpwstr>
  </property>
</Properties>
</file>