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08AF" w14:textId="77777777" w:rsidR="00DE6DCE" w:rsidRDefault="00DE6DCE" w:rsidP="006E3B6F">
      <w:pPr>
        <w:jc w:val="center"/>
        <w:rPr>
          <w:rFonts w:asciiTheme="majorBidi" w:hAnsiTheme="majorBidi" w:cstheme="majorBidi"/>
          <w:b/>
          <w:bCs/>
          <w:color w:val="000000" w:themeColor="text1"/>
          <w:sz w:val="24"/>
          <w:szCs w:val="28"/>
        </w:rPr>
      </w:pPr>
    </w:p>
    <w:p w14:paraId="37D4449D" w14:textId="77777777" w:rsidR="00DE6DCE" w:rsidRDefault="00DE6DCE" w:rsidP="006E3B6F">
      <w:pPr>
        <w:jc w:val="center"/>
        <w:rPr>
          <w:rFonts w:asciiTheme="majorBidi" w:hAnsiTheme="majorBidi" w:cstheme="majorBidi"/>
          <w:b/>
          <w:bCs/>
          <w:color w:val="000000" w:themeColor="text1"/>
          <w:sz w:val="24"/>
          <w:szCs w:val="28"/>
        </w:rPr>
      </w:pPr>
    </w:p>
    <w:p w14:paraId="3CA45794" w14:textId="7741F155" w:rsidR="006E3B6F" w:rsidRDefault="006E3B6F" w:rsidP="006E3B6F">
      <w:pPr>
        <w:jc w:val="center"/>
        <w:rPr>
          <w:rFonts w:asciiTheme="majorBidi" w:hAnsiTheme="majorBidi" w:cstheme="majorBidi"/>
          <w:b/>
          <w:bCs/>
          <w:color w:val="000000" w:themeColor="text1"/>
          <w:sz w:val="24"/>
          <w:szCs w:val="28"/>
        </w:rPr>
      </w:pPr>
      <w:r w:rsidRPr="005E73C2">
        <w:rPr>
          <w:rFonts w:asciiTheme="majorBidi" w:hAnsiTheme="majorBidi" w:cstheme="majorBidi"/>
          <w:b/>
          <w:bCs/>
          <w:color w:val="000000" w:themeColor="text1"/>
          <w:sz w:val="24"/>
          <w:szCs w:val="28"/>
        </w:rPr>
        <w:t>Narcissistic Audit Committee Chairs and the Quality of Non-IFRS Disclosures</w:t>
      </w:r>
    </w:p>
    <w:p w14:paraId="6A5B1032" w14:textId="77777777" w:rsidR="00DE6DCE" w:rsidRDefault="00DE6DCE" w:rsidP="006E3B6F">
      <w:pPr>
        <w:jc w:val="center"/>
        <w:rPr>
          <w:rFonts w:asciiTheme="majorBidi" w:hAnsiTheme="majorBidi" w:cstheme="majorBidi"/>
          <w:b/>
          <w:bCs/>
          <w:color w:val="000000" w:themeColor="text1"/>
          <w:sz w:val="24"/>
          <w:szCs w:val="28"/>
        </w:rPr>
      </w:pPr>
    </w:p>
    <w:p w14:paraId="3150E8A7" w14:textId="77777777" w:rsidR="00DE6DCE" w:rsidRPr="00DE6DCE" w:rsidRDefault="00DE6DCE" w:rsidP="00DE6DC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eastAsia="SimSun" w:hAnsiTheme="majorBidi" w:cstheme="majorBidi"/>
          <w:color w:val="000000" w:themeColor="text1"/>
          <w:kern w:val="0"/>
          <w:sz w:val="24"/>
          <w:szCs w:val="24"/>
          <w:lang w:val="en-GB" w:eastAsia="en-US"/>
        </w:rPr>
      </w:pPr>
      <w:proofErr w:type="spellStart"/>
      <w:r w:rsidRPr="00DE6DCE">
        <w:rPr>
          <w:rFonts w:asciiTheme="majorBidi" w:eastAsia="SimSun" w:hAnsiTheme="majorBidi" w:cstheme="majorBidi"/>
          <w:color w:val="000000" w:themeColor="text1"/>
          <w:kern w:val="0"/>
          <w:sz w:val="24"/>
          <w:szCs w:val="24"/>
          <w:lang w:val="en-GB" w:eastAsia="en-US"/>
        </w:rPr>
        <w:t>Jinghan</w:t>
      </w:r>
      <w:proofErr w:type="spellEnd"/>
      <w:r w:rsidRPr="00DE6DCE">
        <w:rPr>
          <w:rFonts w:asciiTheme="majorBidi" w:eastAsia="SimSun" w:hAnsiTheme="majorBidi" w:cstheme="majorBidi"/>
          <w:color w:val="000000" w:themeColor="text1"/>
          <w:kern w:val="0"/>
          <w:sz w:val="24"/>
          <w:szCs w:val="24"/>
          <w:lang w:val="en-GB" w:eastAsia="en-US"/>
        </w:rPr>
        <w:t xml:space="preserve"> Guan</w:t>
      </w:r>
      <w:r w:rsidRPr="00DE6DCE">
        <w:rPr>
          <w:rFonts w:asciiTheme="majorBidi" w:eastAsia="SimSun" w:hAnsiTheme="majorBidi" w:cstheme="majorBidi"/>
          <w:color w:val="000000" w:themeColor="text1"/>
          <w:kern w:val="0"/>
          <w:sz w:val="24"/>
          <w:szCs w:val="24"/>
          <w:vertAlign w:val="superscript"/>
          <w:lang w:val="en-GB" w:eastAsia="en-US"/>
        </w:rPr>
        <w:t xml:space="preserve"> a</w:t>
      </w:r>
    </w:p>
    <w:p w14:paraId="224CFC46" w14:textId="2CAF0586" w:rsidR="00DE6DCE" w:rsidRPr="00DE6DCE" w:rsidRDefault="00DE6DCE" w:rsidP="00DE6DC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eastAsia="SimSun" w:hAnsiTheme="majorBidi" w:cstheme="majorBidi"/>
          <w:color w:val="000000" w:themeColor="text1"/>
          <w:kern w:val="0"/>
          <w:sz w:val="24"/>
          <w:szCs w:val="24"/>
          <w:lang w:val="en-GB" w:eastAsia="en-US"/>
        </w:rPr>
      </w:pPr>
      <w:r w:rsidRPr="00DE6DCE">
        <w:rPr>
          <w:rFonts w:asciiTheme="majorBidi" w:eastAsia="SimSun" w:hAnsiTheme="majorBidi" w:cstheme="majorBidi"/>
          <w:color w:val="000000" w:themeColor="text1"/>
          <w:kern w:val="0"/>
          <w:sz w:val="24"/>
          <w:szCs w:val="24"/>
          <w:lang w:val="en-GB" w:eastAsia="en-US"/>
        </w:rPr>
        <w:t xml:space="preserve">Alaa Mansour </w:t>
      </w:r>
      <w:proofErr w:type="spellStart"/>
      <w:r w:rsidRPr="00DE6DCE">
        <w:rPr>
          <w:rFonts w:asciiTheme="majorBidi" w:eastAsia="SimSun" w:hAnsiTheme="majorBidi" w:cstheme="majorBidi"/>
          <w:color w:val="000000" w:themeColor="text1"/>
          <w:kern w:val="0"/>
          <w:sz w:val="24"/>
          <w:szCs w:val="24"/>
          <w:lang w:val="en-GB" w:eastAsia="en-US"/>
        </w:rPr>
        <w:t>Zalata</w:t>
      </w:r>
      <w:proofErr w:type="spellEnd"/>
      <w:r w:rsidRPr="00DE6DCE">
        <w:rPr>
          <w:rFonts w:asciiTheme="majorBidi" w:eastAsia="SimSun" w:hAnsiTheme="majorBidi" w:cstheme="majorBidi"/>
          <w:color w:val="000000" w:themeColor="text1"/>
          <w:kern w:val="0"/>
          <w:sz w:val="24"/>
          <w:szCs w:val="24"/>
          <w:lang w:val="en-GB" w:eastAsia="en-US"/>
        </w:rPr>
        <w:t xml:space="preserve"> </w:t>
      </w:r>
      <w:r w:rsidRPr="00DE6DCE">
        <w:rPr>
          <w:rFonts w:asciiTheme="majorBidi" w:eastAsia="SimSun" w:hAnsiTheme="majorBidi" w:cstheme="majorBidi"/>
          <w:color w:val="000000" w:themeColor="text1"/>
          <w:kern w:val="0"/>
          <w:sz w:val="24"/>
          <w:szCs w:val="24"/>
          <w:vertAlign w:val="superscript"/>
          <w:lang w:val="en-GB" w:eastAsia="en-US"/>
        </w:rPr>
        <w:t>a,</w:t>
      </w:r>
    </w:p>
    <w:p w14:paraId="25BBDE6A" w14:textId="47009224" w:rsidR="00DE6DCE" w:rsidRDefault="00DE6DCE" w:rsidP="00DE6DCE">
      <w:pPr>
        <w:jc w:val="center"/>
        <w:rPr>
          <w:rFonts w:asciiTheme="majorBidi" w:eastAsia="SimSun" w:hAnsiTheme="majorBidi" w:cstheme="majorBidi"/>
          <w:color w:val="000000" w:themeColor="text1"/>
          <w:kern w:val="0"/>
          <w:sz w:val="24"/>
          <w:szCs w:val="24"/>
          <w:vertAlign w:val="superscript"/>
          <w:lang w:val="en-GB" w:eastAsia="en-US"/>
        </w:rPr>
      </w:pPr>
      <w:proofErr w:type="spellStart"/>
      <w:r w:rsidRPr="00DE6DCE">
        <w:rPr>
          <w:rFonts w:asciiTheme="majorBidi" w:eastAsia="SimSun" w:hAnsiTheme="majorBidi" w:cstheme="majorBidi"/>
          <w:color w:val="000000" w:themeColor="text1"/>
          <w:kern w:val="0"/>
          <w:sz w:val="24"/>
          <w:szCs w:val="24"/>
          <w:lang w:val="en-GB" w:eastAsia="en-US"/>
        </w:rPr>
        <w:t>Pingli</w:t>
      </w:r>
      <w:proofErr w:type="spellEnd"/>
      <w:r w:rsidRPr="00DE6DCE">
        <w:rPr>
          <w:rFonts w:asciiTheme="majorBidi" w:eastAsia="SimSun" w:hAnsiTheme="majorBidi" w:cstheme="majorBidi"/>
          <w:color w:val="000000" w:themeColor="text1"/>
          <w:kern w:val="0"/>
          <w:sz w:val="24"/>
          <w:szCs w:val="24"/>
          <w:lang w:val="en-GB" w:eastAsia="en-US"/>
        </w:rPr>
        <w:t xml:space="preserve"> Li</w:t>
      </w:r>
      <w:r w:rsidRPr="00DE6DCE">
        <w:rPr>
          <w:rFonts w:asciiTheme="majorBidi" w:eastAsia="SimSun" w:hAnsiTheme="majorBidi" w:cstheme="majorBidi"/>
          <w:color w:val="000000" w:themeColor="text1"/>
          <w:kern w:val="0"/>
          <w:sz w:val="24"/>
          <w:szCs w:val="24"/>
          <w:lang w:val="en-GB" w:eastAsia="en-US"/>
        </w:rPr>
        <w:t xml:space="preserve"> </w:t>
      </w:r>
      <w:r w:rsidRPr="00DE6DCE">
        <w:rPr>
          <w:rFonts w:asciiTheme="majorBidi" w:eastAsia="SimSun" w:hAnsiTheme="majorBidi" w:cstheme="majorBidi"/>
          <w:color w:val="000000" w:themeColor="text1"/>
          <w:kern w:val="0"/>
          <w:sz w:val="24"/>
          <w:szCs w:val="24"/>
          <w:vertAlign w:val="superscript"/>
          <w:lang w:val="en-GB" w:eastAsia="en-US"/>
        </w:rPr>
        <w:t>a</w:t>
      </w:r>
    </w:p>
    <w:p w14:paraId="1AD418DF" w14:textId="77777777" w:rsidR="0033525A" w:rsidRDefault="0033525A" w:rsidP="00DE6DCE">
      <w:pPr>
        <w:jc w:val="center"/>
        <w:rPr>
          <w:rFonts w:asciiTheme="majorBidi" w:eastAsia="SimSun" w:hAnsiTheme="majorBidi" w:cstheme="majorBidi"/>
          <w:color w:val="000000" w:themeColor="text1"/>
          <w:kern w:val="0"/>
          <w:sz w:val="24"/>
          <w:szCs w:val="24"/>
          <w:vertAlign w:val="superscript"/>
          <w:lang w:val="en-GB" w:eastAsia="en-US"/>
        </w:rPr>
      </w:pPr>
    </w:p>
    <w:p w14:paraId="63F4AFAA" w14:textId="77777777" w:rsidR="0033525A" w:rsidRDefault="0033525A" w:rsidP="00DE6DCE">
      <w:pPr>
        <w:jc w:val="center"/>
        <w:rPr>
          <w:rFonts w:asciiTheme="majorBidi" w:eastAsia="SimSun" w:hAnsiTheme="majorBidi" w:cstheme="majorBidi"/>
          <w:color w:val="000000" w:themeColor="text1"/>
          <w:kern w:val="0"/>
          <w:sz w:val="24"/>
          <w:szCs w:val="24"/>
          <w:vertAlign w:val="superscript"/>
          <w:lang w:val="en-GB" w:eastAsia="en-US"/>
        </w:rPr>
      </w:pPr>
    </w:p>
    <w:p w14:paraId="5AEE7F07" w14:textId="3A4DBAE5" w:rsidR="0033525A" w:rsidRPr="0033525A" w:rsidRDefault="0033525A" w:rsidP="00DE6DCE">
      <w:pPr>
        <w:jc w:val="center"/>
        <w:rPr>
          <w:rFonts w:ascii="Times New Roman" w:hAnsi="Times New Roman" w:cs="Times New Roman"/>
          <w:b/>
          <w:bCs/>
          <w:color w:val="000000" w:themeColor="text1"/>
          <w:sz w:val="24"/>
          <w:szCs w:val="24"/>
          <w:vertAlign w:val="superscript"/>
        </w:rPr>
      </w:pPr>
      <w:r w:rsidRPr="0033525A">
        <w:rPr>
          <w:rFonts w:ascii="Times New Roman" w:eastAsia="SimSun" w:hAnsi="Times New Roman" w:cs="Times New Roman"/>
          <w:color w:val="000000"/>
          <w:kern w:val="0"/>
          <w:sz w:val="24"/>
          <w:szCs w:val="24"/>
          <w:vertAlign w:val="superscript"/>
          <w:lang w:val="en-GB" w:eastAsia="en-US"/>
        </w:rPr>
        <w:t>a</w:t>
      </w:r>
      <w:r w:rsidRPr="0033525A">
        <w:rPr>
          <w:rFonts w:ascii="Times New Roman" w:eastAsia="SimSun" w:hAnsi="Times New Roman" w:cs="Times New Roman"/>
          <w:color w:val="000000"/>
          <w:kern w:val="0"/>
          <w:sz w:val="24"/>
          <w:szCs w:val="24"/>
          <w:lang w:val="en-GB" w:eastAsia="en-US"/>
        </w:rPr>
        <w:t xml:space="preserve"> Southampton Business School, University of Southampton, Southampton, SO17 1BJ, UK</w:t>
      </w:r>
    </w:p>
    <w:p w14:paraId="35D3B9E7" w14:textId="77777777" w:rsidR="006E3B6F" w:rsidRDefault="006E3B6F" w:rsidP="006E3B6F">
      <w:pPr>
        <w:rPr>
          <w:rFonts w:asciiTheme="majorBidi" w:hAnsiTheme="majorBidi" w:cstheme="majorBidi"/>
          <w:b/>
          <w:bCs/>
          <w:i/>
          <w:iCs/>
          <w:color w:val="000000" w:themeColor="text1"/>
          <w:sz w:val="24"/>
          <w:szCs w:val="28"/>
        </w:rPr>
      </w:pPr>
    </w:p>
    <w:p w14:paraId="38E06884" w14:textId="5C2A690C" w:rsidR="006E3B6F" w:rsidRPr="00046B74" w:rsidRDefault="006E3B6F" w:rsidP="006E3B6F">
      <w:pPr>
        <w:rPr>
          <w:rFonts w:asciiTheme="majorBidi" w:hAnsiTheme="majorBidi" w:cstheme="majorBidi"/>
          <w:color w:val="000000" w:themeColor="text1"/>
          <w:sz w:val="24"/>
          <w:szCs w:val="28"/>
        </w:rPr>
      </w:pPr>
      <w:r>
        <w:rPr>
          <w:rFonts w:asciiTheme="majorBidi" w:hAnsiTheme="majorBidi" w:cstheme="majorBidi"/>
          <w:b/>
          <w:bCs/>
          <w:i/>
          <w:iCs/>
          <w:color w:val="000000" w:themeColor="text1"/>
          <w:sz w:val="24"/>
          <w:szCs w:val="28"/>
        </w:rPr>
        <w:t xml:space="preserve">Abstract: </w:t>
      </w:r>
      <w:r w:rsidRPr="000A3AE3">
        <w:rPr>
          <w:rFonts w:asciiTheme="majorBidi" w:hAnsiTheme="majorBidi" w:cstheme="majorBidi"/>
          <w:color w:val="000000" w:themeColor="text1"/>
          <w:sz w:val="24"/>
          <w:szCs w:val="28"/>
        </w:rPr>
        <w:t xml:space="preserve">We examine whether a narcissistic audit committee </w:t>
      </w:r>
      <w:r>
        <w:rPr>
          <w:rFonts w:asciiTheme="majorBidi" w:hAnsiTheme="majorBidi" w:cstheme="majorBidi"/>
          <w:color w:val="000000" w:themeColor="text1"/>
          <w:sz w:val="24"/>
          <w:szCs w:val="28"/>
        </w:rPr>
        <w:t xml:space="preserve">(AC) </w:t>
      </w:r>
      <w:r w:rsidRPr="000A3AE3">
        <w:rPr>
          <w:rFonts w:asciiTheme="majorBidi" w:hAnsiTheme="majorBidi" w:cstheme="majorBidi"/>
          <w:color w:val="000000" w:themeColor="text1"/>
          <w:sz w:val="24"/>
          <w:szCs w:val="28"/>
        </w:rPr>
        <w:t xml:space="preserve">chair influences the quality of non-IFRS earnings disclosure. We find that executives are more likely to opportunistically subtract persistent income-decreasing items from IFRS earnings in firms with </w:t>
      </w:r>
      <w:r w:rsidR="00764820">
        <w:rPr>
          <w:rFonts w:asciiTheme="majorBidi" w:hAnsiTheme="majorBidi" w:cstheme="majorBidi"/>
          <w:color w:val="000000" w:themeColor="text1"/>
          <w:sz w:val="24"/>
          <w:szCs w:val="28"/>
        </w:rPr>
        <w:t>ACs</w:t>
      </w:r>
      <w:r w:rsidRPr="000A3AE3">
        <w:rPr>
          <w:rFonts w:asciiTheme="majorBidi" w:hAnsiTheme="majorBidi" w:cstheme="majorBidi"/>
          <w:color w:val="000000" w:themeColor="text1"/>
          <w:sz w:val="24"/>
          <w:szCs w:val="28"/>
        </w:rPr>
        <w:t xml:space="preserve"> chaired by highly narcissistic individuals. </w:t>
      </w:r>
      <w:r>
        <w:rPr>
          <w:rFonts w:asciiTheme="majorBidi" w:hAnsiTheme="majorBidi" w:cstheme="majorBidi"/>
          <w:color w:val="000000" w:themeColor="text1"/>
          <w:sz w:val="24"/>
          <w:szCs w:val="28"/>
        </w:rPr>
        <w:t>Interestingly, u</w:t>
      </w:r>
      <w:r w:rsidRPr="00897A44">
        <w:rPr>
          <w:rFonts w:asciiTheme="majorBidi" w:hAnsiTheme="majorBidi" w:cstheme="majorBidi"/>
          <w:color w:val="000000" w:themeColor="text1"/>
          <w:sz w:val="24"/>
          <w:szCs w:val="28"/>
        </w:rPr>
        <w:t>nlike the common belief that narcissism destroys value, our findings suggest narcissism of an AC chair enhances the quality o</w:t>
      </w:r>
      <w:r>
        <w:rPr>
          <w:rFonts w:asciiTheme="majorBidi" w:hAnsiTheme="majorBidi" w:cstheme="majorBidi"/>
          <w:color w:val="000000" w:themeColor="text1"/>
          <w:sz w:val="24"/>
          <w:szCs w:val="28"/>
        </w:rPr>
        <w:t xml:space="preserve">f non-IFRS earnings. </w:t>
      </w:r>
      <w:r w:rsidRPr="00046B74">
        <w:rPr>
          <w:rFonts w:asciiTheme="majorBidi" w:hAnsiTheme="majorBidi" w:cstheme="majorBidi"/>
          <w:color w:val="000000" w:themeColor="text1"/>
          <w:sz w:val="24"/>
          <w:szCs w:val="28"/>
        </w:rPr>
        <w:t>This effect is particularly pronounced when the narcissistic AC chair possesses relevant experience, such as accounting expertise, firm-specific knowledge, or corporate governance experience. Additionally, our results show that the quality of non-IFRS earnings is enhanced when the narcissistic AC chair has fewer personal ties with the CEO and is motivated to assert their authority in monitoring. Importantly, our results are robust when controlling for potential endogeneity.</w:t>
      </w:r>
    </w:p>
    <w:p w14:paraId="141661B4" w14:textId="77777777" w:rsidR="006E3B6F" w:rsidRDefault="006E3B6F" w:rsidP="006E3B6F">
      <w:pPr>
        <w:rPr>
          <w:rFonts w:asciiTheme="majorBidi" w:hAnsiTheme="majorBidi" w:cstheme="majorBidi"/>
          <w:color w:val="000000" w:themeColor="text1"/>
          <w:sz w:val="24"/>
          <w:szCs w:val="28"/>
        </w:rPr>
      </w:pPr>
    </w:p>
    <w:p w14:paraId="39AEF063" w14:textId="77777777" w:rsidR="006E3B6F" w:rsidRDefault="006E3B6F" w:rsidP="006E3B6F">
      <w:pPr>
        <w:rPr>
          <w:rFonts w:asciiTheme="majorBidi" w:hAnsiTheme="majorBidi" w:cstheme="majorBidi"/>
          <w:color w:val="000000" w:themeColor="text1"/>
          <w:sz w:val="24"/>
          <w:szCs w:val="28"/>
        </w:rPr>
      </w:pPr>
    </w:p>
    <w:p w14:paraId="0748D013" w14:textId="77777777" w:rsidR="006E3B6F" w:rsidRPr="005E73C2" w:rsidRDefault="006E3B6F" w:rsidP="006E3B6F">
      <w:pPr>
        <w:rPr>
          <w:rFonts w:asciiTheme="majorBidi" w:hAnsiTheme="majorBidi" w:cstheme="majorBidi"/>
          <w:b/>
          <w:bCs/>
          <w:color w:val="000000" w:themeColor="text1"/>
          <w:sz w:val="24"/>
          <w:szCs w:val="28"/>
        </w:rPr>
      </w:pPr>
      <w:r w:rsidRPr="005E73C2">
        <w:rPr>
          <w:rFonts w:asciiTheme="majorBidi" w:hAnsiTheme="majorBidi" w:cstheme="majorBidi"/>
          <w:b/>
          <w:bCs/>
          <w:color w:val="000000" w:themeColor="text1"/>
          <w:sz w:val="24"/>
          <w:szCs w:val="28"/>
        </w:rPr>
        <w:t xml:space="preserve">Keywords:  </w:t>
      </w:r>
      <w:r>
        <w:rPr>
          <w:rFonts w:asciiTheme="majorBidi" w:hAnsiTheme="majorBidi" w:cstheme="majorBidi"/>
          <w:b/>
          <w:bCs/>
          <w:color w:val="000000" w:themeColor="text1"/>
          <w:sz w:val="24"/>
          <w:szCs w:val="28"/>
        </w:rPr>
        <w:t xml:space="preserve"> </w:t>
      </w:r>
    </w:p>
    <w:p w14:paraId="0F630EAB" w14:textId="77777777" w:rsidR="006E3B6F" w:rsidRPr="005E73C2" w:rsidRDefault="006E3B6F" w:rsidP="006E3B6F">
      <w:pP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Audit committee chair, narcissism, personality characteristics, non-IFRS disclosures, non-GAAP.</w:t>
      </w:r>
    </w:p>
    <w:p w14:paraId="66367E93" w14:textId="77777777" w:rsidR="006E3B6F" w:rsidRDefault="006E3B6F" w:rsidP="006E3B6F"/>
    <w:p w14:paraId="7E04E03A" w14:textId="2552092A" w:rsidR="006E3B6F" w:rsidRDefault="006E3B6F" w:rsidP="006E3B6F"/>
    <w:p w14:paraId="573662C1" w14:textId="6C26D2DF" w:rsidR="006E3B6F" w:rsidRDefault="006E3B6F" w:rsidP="006E3B6F"/>
    <w:p w14:paraId="28749466" w14:textId="6A9D8619" w:rsidR="006E3B6F" w:rsidRDefault="006E3B6F" w:rsidP="006E3B6F"/>
    <w:p w14:paraId="382E572E" w14:textId="27D7AD8C" w:rsidR="006E3B6F" w:rsidRDefault="006E3B6F" w:rsidP="006E3B6F"/>
    <w:p w14:paraId="1829A010" w14:textId="53480E8D" w:rsidR="006E3B6F" w:rsidRDefault="006E3B6F" w:rsidP="006E3B6F"/>
    <w:p w14:paraId="0E632B24" w14:textId="5D191EEE" w:rsidR="006E3B6F" w:rsidRDefault="006E3B6F" w:rsidP="006E3B6F"/>
    <w:p w14:paraId="27C4788A" w14:textId="37279190" w:rsidR="006E3B6F" w:rsidRDefault="006E3B6F" w:rsidP="006E3B6F"/>
    <w:p w14:paraId="04080C9F" w14:textId="17FF078B" w:rsidR="006E3B6F" w:rsidRDefault="006E3B6F" w:rsidP="006E3B6F"/>
    <w:p w14:paraId="2DD12CC0" w14:textId="45F00796" w:rsidR="006E3B6F" w:rsidRDefault="006E3B6F" w:rsidP="006E3B6F"/>
    <w:p w14:paraId="245FDD89" w14:textId="6537A0D2" w:rsidR="006E3B6F" w:rsidRDefault="006E3B6F" w:rsidP="006E3B6F"/>
    <w:p w14:paraId="222180D1" w14:textId="28587A6C" w:rsidR="006E3B6F" w:rsidRDefault="006E3B6F" w:rsidP="006E3B6F"/>
    <w:p w14:paraId="655D5839" w14:textId="3B37BAE3" w:rsidR="006E3B6F" w:rsidRDefault="006E3B6F" w:rsidP="006E3B6F"/>
    <w:p w14:paraId="64097865" w14:textId="31571B18" w:rsidR="006E3B6F" w:rsidRDefault="006E3B6F" w:rsidP="006E3B6F"/>
    <w:p w14:paraId="75B72921" w14:textId="66C6DED4" w:rsidR="006E3B6F" w:rsidRDefault="006E3B6F" w:rsidP="006E3B6F"/>
    <w:p w14:paraId="765F5663" w14:textId="6897A468" w:rsidR="006E3B6F" w:rsidRDefault="006E3B6F" w:rsidP="006E3B6F"/>
    <w:p w14:paraId="1C8B184E" w14:textId="5680D889" w:rsidR="006E3B6F" w:rsidRDefault="006E3B6F" w:rsidP="006E3B6F"/>
    <w:p w14:paraId="5934680C" w14:textId="368506AA" w:rsidR="006E3B6F" w:rsidRDefault="006E3B6F" w:rsidP="006E3B6F"/>
    <w:p w14:paraId="285D6760" w14:textId="4EF5CBF3" w:rsidR="006E3B6F" w:rsidRDefault="006E3B6F" w:rsidP="006E3B6F"/>
    <w:p w14:paraId="469E0045" w14:textId="6015D612" w:rsidR="006E3B6F" w:rsidRDefault="006E3B6F" w:rsidP="006E3B6F"/>
    <w:p w14:paraId="40C25638" w14:textId="0C85F5EE" w:rsidR="006E3B6F" w:rsidRDefault="006E3B6F" w:rsidP="006E3B6F"/>
    <w:p w14:paraId="0A3853A0" w14:textId="77777777" w:rsidR="006E3B6F" w:rsidRDefault="006E3B6F" w:rsidP="006E3B6F"/>
    <w:p w14:paraId="60D9E248" w14:textId="77777777" w:rsidR="006E3B6F" w:rsidRPr="006E3B6F" w:rsidRDefault="006E3B6F" w:rsidP="006E3B6F"/>
    <w:p w14:paraId="08AB6820" w14:textId="615673C6" w:rsidR="002528F2" w:rsidRPr="00795806" w:rsidRDefault="004E0DDE" w:rsidP="00795806">
      <w:pPr>
        <w:pStyle w:val="Heading1"/>
        <w:spacing w:line="480" w:lineRule="auto"/>
        <w:rPr>
          <w:rFonts w:asciiTheme="majorBidi" w:hAnsiTheme="majorBidi"/>
          <w:b/>
          <w:bCs/>
          <w:color w:val="000000" w:themeColor="text1"/>
        </w:rPr>
      </w:pPr>
      <w:r w:rsidRPr="002934C7">
        <w:rPr>
          <w:rFonts w:asciiTheme="majorBidi" w:hAnsiTheme="majorBidi"/>
          <w:b/>
          <w:bCs/>
          <w:color w:val="000000" w:themeColor="text1"/>
        </w:rPr>
        <w:lastRenderedPageBreak/>
        <w:t>1</w:t>
      </w:r>
      <w:r w:rsidR="002934C7">
        <w:rPr>
          <w:rFonts w:asciiTheme="majorBidi" w:hAnsiTheme="majorBidi"/>
          <w:b/>
          <w:bCs/>
          <w:color w:val="000000" w:themeColor="text1"/>
        </w:rPr>
        <w:t>.</w:t>
      </w:r>
      <w:r w:rsidRPr="002934C7">
        <w:rPr>
          <w:rFonts w:asciiTheme="majorBidi" w:hAnsiTheme="majorBidi"/>
          <w:b/>
          <w:bCs/>
          <w:color w:val="000000" w:themeColor="text1"/>
        </w:rPr>
        <w:t xml:space="preserve"> Introduction</w:t>
      </w:r>
    </w:p>
    <w:p w14:paraId="69751CDA" w14:textId="71DF47FB" w:rsidR="00755BCC" w:rsidRDefault="00DA7DB1" w:rsidP="00261AA0">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We investigate</w:t>
      </w:r>
      <w:r w:rsidR="004E0DDE" w:rsidRPr="005E73C2">
        <w:rPr>
          <w:rFonts w:asciiTheme="majorBidi" w:hAnsiTheme="majorBidi" w:cstheme="majorBidi"/>
          <w:color w:val="000000" w:themeColor="text1"/>
          <w:sz w:val="24"/>
          <w:szCs w:val="24"/>
        </w:rPr>
        <w:t xml:space="preserve"> whether </w:t>
      </w:r>
      <w:r w:rsidR="009F7DFD" w:rsidRPr="005E73C2">
        <w:rPr>
          <w:rFonts w:asciiTheme="majorBidi" w:hAnsiTheme="majorBidi" w:cstheme="majorBidi"/>
          <w:color w:val="000000" w:themeColor="text1"/>
          <w:sz w:val="24"/>
          <w:szCs w:val="24"/>
        </w:rPr>
        <w:t>narcissistic audit committee</w:t>
      </w:r>
      <w:r w:rsidR="009F7DFD">
        <w:rPr>
          <w:rFonts w:asciiTheme="majorBidi" w:hAnsiTheme="majorBidi" w:cstheme="majorBidi"/>
          <w:color w:val="000000" w:themeColor="text1"/>
          <w:sz w:val="24"/>
          <w:szCs w:val="24"/>
        </w:rPr>
        <w:t xml:space="preserve"> </w:t>
      </w:r>
      <w:r w:rsidR="009F7DFD" w:rsidRPr="005E73C2">
        <w:rPr>
          <w:rFonts w:asciiTheme="majorBidi" w:hAnsiTheme="majorBidi" w:cstheme="majorBidi"/>
          <w:color w:val="000000" w:themeColor="text1"/>
          <w:sz w:val="24"/>
          <w:szCs w:val="24"/>
        </w:rPr>
        <w:t>(AC) chair</w:t>
      </w:r>
      <w:r w:rsidR="006A1A2E">
        <w:rPr>
          <w:rFonts w:asciiTheme="majorBidi" w:hAnsiTheme="majorBidi" w:cstheme="majorBidi"/>
          <w:color w:val="000000" w:themeColor="text1"/>
          <w:sz w:val="24"/>
          <w:szCs w:val="24"/>
        </w:rPr>
        <w:t>s</w:t>
      </w:r>
      <w:r w:rsidR="009F7DFD">
        <w:rPr>
          <w:rFonts w:asciiTheme="majorBidi" w:hAnsiTheme="majorBidi" w:cstheme="majorBidi"/>
          <w:color w:val="000000" w:themeColor="text1"/>
          <w:sz w:val="24"/>
          <w:szCs w:val="24"/>
        </w:rPr>
        <w:t xml:space="preserve"> influence </w:t>
      </w:r>
      <w:r w:rsidR="004E0DDE" w:rsidRPr="005E73C2">
        <w:rPr>
          <w:rFonts w:asciiTheme="majorBidi" w:hAnsiTheme="majorBidi" w:cstheme="majorBidi"/>
          <w:color w:val="000000" w:themeColor="text1"/>
          <w:sz w:val="24"/>
          <w:szCs w:val="24"/>
        </w:rPr>
        <w:t>the quality of non-IFRS earnings</w:t>
      </w:r>
      <w:r w:rsidR="009F7DFD">
        <w:rPr>
          <w:rFonts w:asciiTheme="majorBidi" w:hAnsiTheme="majorBidi" w:cstheme="majorBidi"/>
          <w:color w:val="000000" w:themeColor="text1"/>
          <w:sz w:val="24"/>
          <w:szCs w:val="24"/>
        </w:rPr>
        <w:t>.</w:t>
      </w:r>
      <w:r w:rsidR="00671A72">
        <w:rPr>
          <w:rStyle w:val="FootnoteReference"/>
          <w:rFonts w:asciiTheme="majorBidi" w:hAnsiTheme="majorBidi" w:cstheme="majorBidi"/>
          <w:color w:val="000000" w:themeColor="text1"/>
          <w:sz w:val="24"/>
          <w:szCs w:val="24"/>
        </w:rPr>
        <w:footnoteReference w:id="2"/>
      </w:r>
      <w:r w:rsidR="004E0DDE" w:rsidRPr="005E73C2">
        <w:rPr>
          <w:rFonts w:asciiTheme="majorBidi" w:hAnsiTheme="majorBidi" w:cstheme="majorBidi"/>
          <w:color w:val="000000" w:themeColor="text1"/>
          <w:sz w:val="24"/>
          <w:szCs w:val="24"/>
        </w:rPr>
        <w:t xml:space="preserve"> </w:t>
      </w:r>
      <w:r w:rsidR="00473323" w:rsidRPr="00E84F5D">
        <w:rPr>
          <w:rFonts w:asciiTheme="majorBidi" w:hAnsiTheme="majorBidi" w:cstheme="majorBidi"/>
          <w:color w:val="000000" w:themeColor="text1"/>
          <w:sz w:val="24"/>
          <w:szCs w:val="24"/>
        </w:rPr>
        <w:t>W</w:t>
      </w:r>
      <w:r w:rsidR="008F7A0D" w:rsidRPr="00E84F5D">
        <w:rPr>
          <w:rFonts w:asciiTheme="majorBidi" w:hAnsiTheme="majorBidi" w:cstheme="majorBidi"/>
          <w:color w:val="000000" w:themeColor="text1"/>
          <w:sz w:val="24"/>
          <w:szCs w:val="24"/>
        </w:rPr>
        <w:t xml:space="preserve">hile existing studies pay considerable attention to observable characteristics of the </w:t>
      </w:r>
      <w:r w:rsidR="009F7DFD">
        <w:rPr>
          <w:rFonts w:asciiTheme="majorBidi" w:hAnsiTheme="majorBidi" w:cstheme="majorBidi"/>
          <w:color w:val="000000" w:themeColor="text1"/>
          <w:sz w:val="24"/>
          <w:szCs w:val="24"/>
        </w:rPr>
        <w:t>AC</w:t>
      </w:r>
      <w:r w:rsidR="008F7A0D" w:rsidRPr="00E84F5D">
        <w:rPr>
          <w:rFonts w:asciiTheme="majorBidi" w:hAnsiTheme="majorBidi" w:cstheme="majorBidi"/>
          <w:color w:val="000000" w:themeColor="text1"/>
          <w:sz w:val="24"/>
          <w:szCs w:val="24"/>
        </w:rPr>
        <w:t xml:space="preserve"> chair</w:t>
      </w:r>
      <w:r w:rsidR="00473323" w:rsidRPr="00E84F5D">
        <w:rPr>
          <w:rFonts w:asciiTheme="majorBidi" w:hAnsiTheme="majorBidi" w:cstheme="majorBidi"/>
          <w:color w:val="000000" w:themeColor="text1"/>
          <w:sz w:val="24"/>
          <w:szCs w:val="24"/>
        </w:rPr>
        <w:t xml:space="preserve"> (Krishnamoorthy</w:t>
      </w:r>
      <w:r w:rsidR="00B07B37" w:rsidRPr="00E84F5D">
        <w:rPr>
          <w:rFonts w:asciiTheme="majorBidi" w:hAnsiTheme="majorBidi" w:cstheme="majorBidi"/>
          <w:color w:val="000000" w:themeColor="text1"/>
          <w:sz w:val="24"/>
          <w:szCs w:val="24"/>
        </w:rPr>
        <w:t>,</w:t>
      </w:r>
      <w:r w:rsidR="00473323" w:rsidRPr="00E84F5D">
        <w:rPr>
          <w:rFonts w:asciiTheme="majorBidi" w:hAnsiTheme="majorBidi" w:cstheme="majorBidi"/>
          <w:color w:val="000000" w:themeColor="text1"/>
          <w:sz w:val="24"/>
          <w:szCs w:val="24"/>
        </w:rPr>
        <w:t xml:space="preserve"> </w:t>
      </w:r>
      <w:proofErr w:type="spellStart"/>
      <w:r w:rsidR="00B07B37" w:rsidRPr="00E84F5D">
        <w:rPr>
          <w:rFonts w:asciiTheme="majorBidi" w:hAnsiTheme="majorBidi" w:cstheme="majorBidi"/>
          <w:color w:val="000000" w:themeColor="text1"/>
          <w:sz w:val="24"/>
          <w:szCs w:val="24"/>
        </w:rPr>
        <w:t>Bruynseels</w:t>
      </w:r>
      <w:proofErr w:type="spellEnd"/>
      <w:r w:rsidR="00B07B37" w:rsidRPr="00E84F5D">
        <w:rPr>
          <w:rFonts w:asciiTheme="majorBidi" w:hAnsiTheme="majorBidi" w:cstheme="majorBidi"/>
          <w:color w:val="000000" w:themeColor="text1"/>
          <w:sz w:val="24"/>
          <w:szCs w:val="24"/>
        </w:rPr>
        <w:t xml:space="preserve">, De Groote, Wright, &amp; Van </w:t>
      </w:r>
      <w:proofErr w:type="spellStart"/>
      <w:r w:rsidR="00B07B37" w:rsidRPr="00E84F5D">
        <w:rPr>
          <w:rFonts w:asciiTheme="majorBidi" w:hAnsiTheme="majorBidi" w:cstheme="majorBidi"/>
          <w:color w:val="000000" w:themeColor="text1"/>
          <w:sz w:val="24"/>
          <w:szCs w:val="24"/>
        </w:rPr>
        <w:t>Peteghem</w:t>
      </w:r>
      <w:proofErr w:type="spellEnd"/>
      <w:r w:rsidR="00473323" w:rsidRPr="00E84F5D">
        <w:rPr>
          <w:rFonts w:asciiTheme="majorBidi" w:hAnsiTheme="majorBidi" w:cstheme="majorBidi"/>
          <w:color w:val="000000" w:themeColor="text1"/>
          <w:sz w:val="24"/>
          <w:szCs w:val="24"/>
        </w:rPr>
        <w:t xml:space="preserve">, 2023; </w:t>
      </w:r>
      <w:proofErr w:type="spellStart"/>
      <w:r w:rsidR="00473323" w:rsidRPr="00E84F5D">
        <w:rPr>
          <w:rFonts w:asciiTheme="majorBidi" w:hAnsiTheme="majorBidi" w:cstheme="majorBidi"/>
          <w:color w:val="000000" w:themeColor="text1"/>
          <w:sz w:val="24"/>
          <w:szCs w:val="24"/>
        </w:rPr>
        <w:t>Tanyi</w:t>
      </w:r>
      <w:proofErr w:type="spellEnd"/>
      <w:r w:rsidR="00473323" w:rsidRPr="00E84F5D">
        <w:rPr>
          <w:rFonts w:asciiTheme="majorBidi" w:hAnsiTheme="majorBidi" w:cstheme="majorBidi"/>
          <w:color w:val="000000" w:themeColor="text1"/>
          <w:sz w:val="24"/>
          <w:szCs w:val="24"/>
        </w:rPr>
        <w:t xml:space="preserve"> </w:t>
      </w:r>
      <w:r w:rsidR="00B07B37" w:rsidRPr="00E84F5D">
        <w:rPr>
          <w:rFonts w:asciiTheme="majorBidi" w:hAnsiTheme="majorBidi" w:cstheme="majorBidi"/>
          <w:color w:val="000000" w:themeColor="text1"/>
          <w:sz w:val="24"/>
          <w:szCs w:val="24"/>
        </w:rPr>
        <w:t>&amp; S</w:t>
      </w:r>
      <w:r w:rsidR="00B07B37" w:rsidRPr="00B07B37">
        <w:rPr>
          <w:rFonts w:asciiTheme="majorBidi" w:hAnsiTheme="majorBidi" w:cstheme="majorBidi"/>
          <w:color w:val="000000" w:themeColor="text1"/>
          <w:sz w:val="24"/>
          <w:szCs w:val="24"/>
        </w:rPr>
        <w:t>mith</w:t>
      </w:r>
      <w:r w:rsidR="00473323">
        <w:rPr>
          <w:rFonts w:asciiTheme="majorBidi" w:hAnsiTheme="majorBidi" w:cstheme="majorBidi"/>
          <w:color w:val="000000" w:themeColor="text1"/>
          <w:sz w:val="24"/>
          <w:szCs w:val="24"/>
        </w:rPr>
        <w:t>, 2015),</w:t>
      </w:r>
      <w:r w:rsidR="008F7A0D">
        <w:rPr>
          <w:rFonts w:asciiTheme="majorBidi" w:hAnsiTheme="majorBidi" w:cstheme="majorBidi"/>
          <w:color w:val="000000" w:themeColor="text1"/>
          <w:sz w:val="24"/>
          <w:szCs w:val="24"/>
        </w:rPr>
        <w:t xml:space="preserve"> </w:t>
      </w:r>
      <w:r w:rsidR="008F7A0D" w:rsidRPr="005E73C2">
        <w:rPr>
          <w:rFonts w:asciiTheme="majorBidi" w:hAnsiTheme="majorBidi" w:cstheme="majorBidi"/>
          <w:color w:val="000000" w:themeColor="text1"/>
          <w:sz w:val="24"/>
          <w:szCs w:val="24"/>
        </w:rPr>
        <w:t xml:space="preserve">we </w:t>
      </w:r>
      <w:r w:rsidR="006A1A2E">
        <w:rPr>
          <w:rFonts w:asciiTheme="majorBidi" w:hAnsiTheme="majorBidi" w:cstheme="majorBidi"/>
          <w:color w:val="000000" w:themeColor="text1"/>
          <w:sz w:val="24"/>
          <w:szCs w:val="24"/>
        </w:rPr>
        <w:t>go beyond</w:t>
      </w:r>
      <w:r w:rsidR="006A1A2E" w:rsidRPr="005E73C2">
        <w:rPr>
          <w:rFonts w:asciiTheme="majorBidi" w:hAnsiTheme="majorBidi" w:cstheme="majorBidi"/>
          <w:color w:val="000000" w:themeColor="text1"/>
          <w:sz w:val="24"/>
          <w:szCs w:val="24"/>
        </w:rPr>
        <w:t xml:space="preserve"> </w:t>
      </w:r>
      <w:r w:rsidR="008F7A0D">
        <w:rPr>
          <w:rFonts w:asciiTheme="majorBidi" w:hAnsiTheme="majorBidi" w:cstheme="majorBidi"/>
          <w:color w:val="000000" w:themeColor="text1"/>
          <w:sz w:val="24"/>
          <w:szCs w:val="24"/>
        </w:rPr>
        <w:t>these</w:t>
      </w:r>
      <w:r w:rsidR="008F7A0D" w:rsidRPr="005E73C2">
        <w:rPr>
          <w:rFonts w:asciiTheme="majorBidi" w:hAnsiTheme="majorBidi" w:cstheme="majorBidi"/>
          <w:color w:val="000000" w:themeColor="text1"/>
          <w:sz w:val="24"/>
          <w:szCs w:val="24"/>
        </w:rPr>
        <w:t xml:space="preserve"> measures </w:t>
      </w:r>
      <w:r w:rsidR="002528F2">
        <w:rPr>
          <w:rFonts w:asciiTheme="majorBidi" w:hAnsiTheme="majorBidi" w:cstheme="majorBidi"/>
          <w:color w:val="000000" w:themeColor="text1"/>
          <w:sz w:val="24"/>
          <w:szCs w:val="24"/>
        </w:rPr>
        <w:t>to</w:t>
      </w:r>
      <w:r w:rsidR="002528F2" w:rsidRPr="005E73C2">
        <w:rPr>
          <w:rFonts w:asciiTheme="majorBidi" w:hAnsiTheme="majorBidi" w:cstheme="majorBidi"/>
          <w:color w:val="000000" w:themeColor="text1"/>
          <w:sz w:val="24"/>
          <w:szCs w:val="24"/>
        </w:rPr>
        <w:t xml:space="preserve"> </w:t>
      </w:r>
      <w:r w:rsidR="00AB7E1C">
        <w:rPr>
          <w:rFonts w:asciiTheme="majorBidi" w:hAnsiTheme="majorBidi" w:cstheme="majorBidi"/>
          <w:color w:val="000000" w:themeColor="text1"/>
          <w:sz w:val="24"/>
          <w:szCs w:val="24"/>
        </w:rPr>
        <w:t>study</w:t>
      </w:r>
      <w:r w:rsidR="00473323">
        <w:rPr>
          <w:rFonts w:asciiTheme="majorBidi" w:hAnsiTheme="majorBidi" w:cstheme="majorBidi"/>
          <w:color w:val="000000" w:themeColor="text1"/>
          <w:sz w:val="24"/>
          <w:szCs w:val="24"/>
        </w:rPr>
        <w:t xml:space="preserve"> </w:t>
      </w:r>
      <w:r w:rsidR="00473323" w:rsidRPr="005E73C2">
        <w:rPr>
          <w:rFonts w:asciiTheme="majorBidi" w:hAnsiTheme="majorBidi" w:cstheme="majorBidi"/>
          <w:color w:val="000000" w:themeColor="text1"/>
          <w:sz w:val="24"/>
          <w:szCs w:val="24"/>
        </w:rPr>
        <w:t>narcissism</w:t>
      </w:r>
      <w:r w:rsidR="006A1A2E">
        <w:rPr>
          <w:rFonts w:asciiTheme="majorBidi" w:hAnsiTheme="majorBidi" w:cstheme="majorBidi"/>
          <w:color w:val="000000" w:themeColor="text1"/>
          <w:sz w:val="24"/>
          <w:szCs w:val="24"/>
        </w:rPr>
        <w:t xml:space="preserve"> - </w:t>
      </w:r>
      <w:r w:rsidR="008F7A0D" w:rsidRPr="005E73C2">
        <w:rPr>
          <w:rFonts w:asciiTheme="majorBidi" w:hAnsiTheme="majorBidi" w:cstheme="majorBidi"/>
          <w:color w:val="000000" w:themeColor="text1"/>
          <w:sz w:val="24"/>
          <w:szCs w:val="24"/>
        </w:rPr>
        <w:t xml:space="preserve">a salient </w:t>
      </w:r>
      <w:r w:rsidR="008F7A0D">
        <w:rPr>
          <w:rFonts w:asciiTheme="majorBidi" w:hAnsiTheme="majorBidi" w:cstheme="majorBidi"/>
          <w:color w:val="000000" w:themeColor="text1"/>
          <w:sz w:val="24"/>
          <w:szCs w:val="24"/>
        </w:rPr>
        <w:t>yet</w:t>
      </w:r>
      <w:r w:rsidR="008F7A0D" w:rsidRPr="005E73C2">
        <w:rPr>
          <w:rFonts w:asciiTheme="majorBidi" w:hAnsiTheme="majorBidi" w:cstheme="majorBidi"/>
          <w:color w:val="000000" w:themeColor="text1"/>
          <w:sz w:val="24"/>
          <w:szCs w:val="24"/>
        </w:rPr>
        <w:t xml:space="preserve"> less observable personality trait</w:t>
      </w:r>
      <w:r w:rsidR="006A1A2E">
        <w:rPr>
          <w:rFonts w:asciiTheme="majorBidi" w:hAnsiTheme="majorBidi" w:cstheme="majorBidi"/>
          <w:color w:val="000000" w:themeColor="text1"/>
          <w:sz w:val="24"/>
          <w:szCs w:val="24"/>
        </w:rPr>
        <w:t xml:space="preserve"> that </w:t>
      </w:r>
      <w:r w:rsidR="00E91230">
        <w:rPr>
          <w:rFonts w:asciiTheme="majorBidi" w:hAnsiTheme="majorBidi" w:cstheme="majorBidi"/>
          <w:color w:val="000000" w:themeColor="text1"/>
          <w:sz w:val="24"/>
          <w:szCs w:val="24"/>
        </w:rPr>
        <w:t xml:space="preserve">may </w:t>
      </w:r>
      <w:r w:rsidR="006A1A2E">
        <w:rPr>
          <w:rFonts w:asciiTheme="majorBidi" w:hAnsiTheme="majorBidi" w:cstheme="majorBidi"/>
          <w:color w:val="000000" w:themeColor="text1"/>
          <w:sz w:val="24"/>
          <w:szCs w:val="24"/>
        </w:rPr>
        <w:t>significantly influence</w:t>
      </w:r>
      <w:r w:rsidR="008F7A0D" w:rsidRPr="005E73C2">
        <w:rPr>
          <w:rFonts w:asciiTheme="majorBidi" w:hAnsiTheme="majorBidi" w:cstheme="majorBidi"/>
          <w:color w:val="000000" w:themeColor="text1"/>
          <w:sz w:val="24"/>
          <w:szCs w:val="24"/>
        </w:rPr>
        <w:t xml:space="preserve"> </w:t>
      </w:r>
      <w:r w:rsidR="008F7A0D">
        <w:rPr>
          <w:rFonts w:asciiTheme="majorBidi" w:hAnsiTheme="majorBidi" w:cstheme="majorBidi"/>
          <w:color w:val="000000" w:themeColor="text1"/>
          <w:sz w:val="24"/>
          <w:szCs w:val="24"/>
        </w:rPr>
        <w:t xml:space="preserve">the quality of </w:t>
      </w:r>
      <w:r w:rsidR="002528F2">
        <w:rPr>
          <w:rFonts w:asciiTheme="majorBidi" w:hAnsiTheme="majorBidi" w:cstheme="majorBidi"/>
          <w:color w:val="000000" w:themeColor="text1"/>
          <w:sz w:val="24"/>
          <w:szCs w:val="24"/>
        </w:rPr>
        <w:t xml:space="preserve">the </w:t>
      </w:r>
      <w:r w:rsidR="002528F2" w:rsidRPr="005E73C2">
        <w:rPr>
          <w:rFonts w:asciiTheme="majorBidi" w:hAnsiTheme="majorBidi" w:cstheme="majorBidi"/>
          <w:color w:val="000000" w:themeColor="text1"/>
          <w:sz w:val="24"/>
          <w:szCs w:val="24"/>
        </w:rPr>
        <w:t>AC</w:t>
      </w:r>
      <w:r w:rsidR="002528F2" w:rsidRPr="005E73C2" w:rsidDel="00D16142">
        <w:rPr>
          <w:rFonts w:asciiTheme="majorBidi" w:hAnsiTheme="majorBidi" w:cstheme="majorBidi"/>
          <w:color w:val="000000" w:themeColor="text1"/>
          <w:sz w:val="24"/>
          <w:szCs w:val="24"/>
        </w:rPr>
        <w:t xml:space="preserve"> </w:t>
      </w:r>
      <w:r w:rsidR="002528F2" w:rsidRPr="005E73C2">
        <w:rPr>
          <w:rFonts w:asciiTheme="majorBidi" w:hAnsiTheme="majorBidi" w:cstheme="majorBidi"/>
          <w:color w:val="000000" w:themeColor="text1"/>
          <w:sz w:val="24"/>
          <w:szCs w:val="24"/>
        </w:rPr>
        <w:t>chair</w:t>
      </w:r>
      <w:r w:rsidR="002528F2">
        <w:rPr>
          <w:rFonts w:asciiTheme="majorBidi" w:hAnsiTheme="majorBidi" w:cstheme="majorBidi"/>
          <w:color w:val="000000" w:themeColor="text1"/>
          <w:sz w:val="24"/>
          <w:szCs w:val="24"/>
        </w:rPr>
        <w:t>’s</w:t>
      </w:r>
      <w:r w:rsidR="002528F2" w:rsidRPr="005E73C2">
        <w:rPr>
          <w:rFonts w:asciiTheme="majorBidi" w:hAnsiTheme="majorBidi" w:cstheme="majorBidi"/>
          <w:color w:val="000000" w:themeColor="text1"/>
          <w:sz w:val="24"/>
          <w:szCs w:val="24"/>
        </w:rPr>
        <w:t xml:space="preserve"> </w:t>
      </w:r>
      <w:r w:rsidR="008F7A0D" w:rsidRPr="005E73C2">
        <w:rPr>
          <w:rFonts w:asciiTheme="majorBidi" w:hAnsiTheme="majorBidi" w:cstheme="majorBidi"/>
          <w:color w:val="000000" w:themeColor="text1"/>
          <w:sz w:val="24"/>
          <w:szCs w:val="24"/>
        </w:rPr>
        <w:t xml:space="preserve">financial reporting decisions. Indeed, Gul, </w:t>
      </w:r>
      <w:r w:rsidR="008F7A0D" w:rsidRPr="00A22E2C">
        <w:rPr>
          <w:rFonts w:asciiTheme="majorBidi" w:hAnsiTheme="majorBidi" w:cstheme="majorBidi"/>
          <w:color w:val="000000" w:themeColor="text1"/>
          <w:sz w:val="24"/>
          <w:szCs w:val="24"/>
        </w:rPr>
        <w:t>Wu</w:t>
      </w:r>
      <w:r w:rsidR="00A22E2C" w:rsidRPr="00A22E2C">
        <w:rPr>
          <w:rFonts w:asciiTheme="majorBidi" w:hAnsiTheme="majorBidi" w:cstheme="majorBidi"/>
          <w:color w:val="000000" w:themeColor="text1"/>
          <w:sz w:val="24"/>
          <w:szCs w:val="24"/>
        </w:rPr>
        <w:t>,</w:t>
      </w:r>
      <w:r w:rsidR="008F7A0D" w:rsidRPr="005E73C2">
        <w:rPr>
          <w:rFonts w:asciiTheme="majorBidi" w:hAnsiTheme="majorBidi" w:cstheme="majorBidi"/>
          <w:color w:val="000000" w:themeColor="text1"/>
          <w:sz w:val="24"/>
          <w:szCs w:val="24"/>
        </w:rPr>
        <w:t xml:space="preserve"> and Yang (2013) noted that the observable attributes explain</w:t>
      </w:r>
      <w:r w:rsidR="006A1A2E">
        <w:rPr>
          <w:rFonts w:asciiTheme="majorBidi" w:hAnsiTheme="majorBidi" w:cstheme="majorBidi"/>
          <w:color w:val="000000" w:themeColor="text1"/>
          <w:sz w:val="24"/>
          <w:szCs w:val="24"/>
        </w:rPr>
        <w:t xml:space="preserve"> only</w:t>
      </w:r>
      <w:r w:rsidR="008F7A0D" w:rsidRPr="005E73C2">
        <w:rPr>
          <w:rFonts w:asciiTheme="majorBidi" w:hAnsiTheme="majorBidi" w:cstheme="majorBidi"/>
          <w:color w:val="000000" w:themeColor="text1"/>
          <w:sz w:val="24"/>
          <w:szCs w:val="24"/>
        </w:rPr>
        <w:t xml:space="preserve"> 3% of individual decisions</w:t>
      </w:r>
      <w:r w:rsidR="006A1A2E">
        <w:rPr>
          <w:rFonts w:asciiTheme="majorBidi" w:hAnsiTheme="majorBidi" w:cstheme="majorBidi"/>
          <w:color w:val="000000" w:themeColor="text1"/>
          <w:sz w:val="24"/>
          <w:szCs w:val="24"/>
        </w:rPr>
        <w:t>, highlighting the</w:t>
      </w:r>
      <w:r w:rsidR="00953A64">
        <w:rPr>
          <w:rFonts w:asciiTheme="majorBidi" w:hAnsiTheme="majorBidi" w:cstheme="majorBidi"/>
          <w:color w:val="000000" w:themeColor="text1"/>
          <w:sz w:val="24"/>
          <w:szCs w:val="24"/>
        </w:rPr>
        <w:t xml:space="preserve"> </w:t>
      </w:r>
      <w:r w:rsidR="008F7A0D" w:rsidRPr="005E73C2">
        <w:rPr>
          <w:rFonts w:asciiTheme="majorBidi" w:hAnsiTheme="majorBidi" w:cstheme="majorBidi"/>
          <w:color w:val="000000" w:themeColor="text1"/>
          <w:sz w:val="24"/>
          <w:szCs w:val="24"/>
        </w:rPr>
        <w:t>need for research</w:t>
      </w:r>
      <w:r w:rsidR="006A1A2E">
        <w:rPr>
          <w:rFonts w:asciiTheme="majorBidi" w:hAnsiTheme="majorBidi" w:cstheme="majorBidi"/>
          <w:color w:val="000000" w:themeColor="text1"/>
          <w:sz w:val="24"/>
          <w:szCs w:val="24"/>
        </w:rPr>
        <w:t xml:space="preserve"> that takes a </w:t>
      </w:r>
      <w:r w:rsidR="00953A64">
        <w:rPr>
          <w:rFonts w:asciiTheme="majorBidi" w:hAnsiTheme="majorBidi" w:cstheme="majorBidi"/>
          <w:color w:val="000000" w:themeColor="text1"/>
          <w:sz w:val="24"/>
          <w:szCs w:val="24"/>
        </w:rPr>
        <w:t xml:space="preserve">more </w:t>
      </w:r>
      <w:r w:rsidR="008F7A0D" w:rsidRPr="005E73C2">
        <w:rPr>
          <w:rFonts w:asciiTheme="majorBidi" w:hAnsiTheme="majorBidi" w:cstheme="majorBidi"/>
          <w:color w:val="000000" w:themeColor="text1"/>
          <w:sz w:val="24"/>
          <w:szCs w:val="24"/>
        </w:rPr>
        <w:t xml:space="preserve">nuanced consideration to </w:t>
      </w:r>
      <w:r w:rsidR="00953A64">
        <w:rPr>
          <w:rFonts w:asciiTheme="majorBidi" w:hAnsiTheme="majorBidi" w:cstheme="majorBidi"/>
          <w:color w:val="000000" w:themeColor="text1"/>
          <w:sz w:val="24"/>
          <w:szCs w:val="24"/>
        </w:rPr>
        <w:t>less</w:t>
      </w:r>
      <w:r w:rsidR="00953A64" w:rsidRPr="005E73C2">
        <w:rPr>
          <w:rFonts w:asciiTheme="majorBidi" w:hAnsiTheme="majorBidi" w:cstheme="majorBidi"/>
          <w:color w:val="000000" w:themeColor="text1"/>
          <w:sz w:val="24"/>
          <w:szCs w:val="24"/>
        </w:rPr>
        <w:t xml:space="preserve"> </w:t>
      </w:r>
      <w:r w:rsidR="008F7A0D" w:rsidRPr="005E73C2">
        <w:rPr>
          <w:rFonts w:asciiTheme="majorBidi" w:hAnsiTheme="majorBidi" w:cstheme="majorBidi"/>
          <w:color w:val="000000" w:themeColor="text1"/>
          <w:sz w:val="24"/>
          <w:szCs w:val="24"/>
        </w:rPr>
        <w:t>observable psychological attributes</w:t>
      </w:r>
      <w:r w:rsidR="00953A64">
        <w:rPr>
          <w:rFonts w:asciiTheme="majorBidi" w:hAnsiTheme="majorBidi" w:cstheme="majorBidi"/>
          <w:color w:val="000000" w:themeColor="text1"/>
          <w:sz w:val="24"/>
          <w:szCs w:val="24"/>
        </w:rPr>
        <w:t xml:space="preserve">, </w:t>
      </w:r>
      <w:r w:rsidR="006A1A2E">
        <w:rPr>
          <w:rFonts w:asciiTheme="majorBidi" w:hAnsiTheme="majorBidi" w:cstheme="majorBidi"/>
          <w:color w:val="000000" w:themeColor="text1"/>
          <w:sz w:val="24"/>
          <w:szCs w:val="24"/>
        </w:rPr>
        <w:t xml:space="preserve">such as </w:t>
      </w:r>
      <w:r w:rsidR="006A1A2E" w:rsidRPr="005E73C2">
        <w:rPr>
          <w:rFonts w:asciiTheme="majorBidi" w:hAnsiTheme="majorBidi" w:cstheme="majorBidi"/>
          <w:color w:val="000000" w:themeColor="text1"/>
          <w:sz w:val="24"/>
          <w:szCs w:val="24"/>
        </w:rPr>
        <w:t xml:space="preserve">narcissism </w:t>
      </w:r>
      <w:r w:rsidR="008F7A0D" w:rsidRPr="005E73C2">
        <w:rPr>
          <w:rFonts w:asciiTheme="majorBidi" w:hAnsiTheme="majorBidi" w:cstheme="majorBidi"/>
          <w:color w:val="000000" w:themeColor="text1"/>
          <w:sz w:val="24"/>
          <w:szCs w:val="24"/>
        </w:rPr>
        <w:t xml:space="preserve">in our case. </w:t>
      </w:r>
    </w:p>
    <w:p w14:paraId="12EF7A82" w14:textId="69EE1563" w:rsidR="009D192D" w:rsidRDefault="008F7A0D" w:rsidP="00873F23">
      <w:pPr>
        <w:spacing w:line="480" w:lineRule="auto"/>
        <w:ind w:left="284" w:firstLine="420"/>
        <w:rPr>
          <w:rFonts w:asciiTheme="majorBidi" w:hAnsiTheme="majorBidi" w:cstheme="majorBidi"/>
          <w:sz w:val="24"/>
          <w:szCs w:val="24"/>
        </w:rPr>
      </w:pPr>
      <w:r w:rsidRPr="005E73C2">
        <w:rPr>
          <w:rFonts w:asciiTheme="majorBidi" w:hAnsiTheme="majorBidi" w:cstheme="majorBidi"/>
          <w:color w:val="000000" w:themeColor="text1"/>
          <w:sz w:val="24"/>
          <w:szCs w:val="24"/>
        </w:rPr>
        <w:t xml:space="preserve">Existing studies on narcissism </w:t>
      </w:r>
      <w:r w:rsidR="00953A64">
        <w:rPr>
          <w:rFonts w:asciiTheme="majorBidi" w:hAnsiTheme="majorBidi" w:cstheme="majorBidi"/>
          <w:color w:val="000000" w:themeColor="text1"/>
          <w:sz w:val="24"/>
          <w:szCs w:val="24"/>
        </w:rPr>
        <w:t xml:space="preserve">have </w:t>
      </w:r>
      <w:r w:rsidR="00755BCC" w:rsidRPr="00EB0466">
        <w:rPr>
          <w:rFonts w:asciiTheme="majorBidi" w:hAnsiTheme="majorBidi" w:cstheme="majorBidi"/>
          <w:sz w:val="24"/>
          <w:szCs w:val="24"/>
        </w:rPr>
        <w:t>predominantly</w:t>
      </w:r>
      <w:r w:rsidR="00755BCC">
        <w:rPr>
          <w:rFonts w:asciiTheme="majorBidi" w:hAnsiTheme="majorBidi" w:cstheme="majorBidi"/>
          <w:sz w:val="24"/>
          <w:szCs w:val="24"/>
        </w:rPr>
        <w:t xml:space="preserve"> </w:t>
      </w:r>
      <w:r w:rsidRPr="005E73C2">
        <w:rPr>
          <w:rFonts w:asciiTheme="majorBidi" w:hAnsiTheme="majorBidi" w:cstheme="majorBidi"/>
          <w:color w:val="000000" w:themeColor="text1"/>
          <w:sz w:val="24"/>
          <w:szCs w:val="24"/>
        </w:rPr>
        <w:t xml:space="preserve">focused on CEOs and CFOs and </w:t>
      </w:r>
      <w:r w:rsidRPr="00E84F5D">
        <w:rPr>
          <w:rFonts w:asciiTheme="majorBidi" w:hAnsiTheme="majorBidi" w:cstheme="majorBidi"/>
          <w:color w:val="000000" w:themeColor="text1"/>
          <w:sz w:val="24"/>
          <w:szCs w:val="24"/>
        </w:rPr>
        <w:t xml:space="preserve">evince that </w:t>
      </w:r>
      <w:r w:rsidR="006A1A2E">
        <w:rPr>
          <w:rFonts w:asciiTheme="majorBidi" w:hAnsiTheme="majorBidi" w:cstheme="majorBidi"/>
          <w:color w:val="000000" w:themeColor="text1"/>
          <w:sz w:val="24"/>
          <w:szCs w:val="24"/>
        </w:rPr>
        <w:t>this</w:t>
      </w:r>
      <w:r w:rsidR="00953A64" w:rsidRPr="00E84F5D">
        <w:rPr>
          <w:rFonts w:asciiTheme="majorBidi" w:hAnsiTheme="majorBidi" w:cstheme="majorBidi"/>
          <w:color w:val="000000" w:themeColor="text1"/>
          <w:sz w:val="24"/>
          <w:szCs w:val="24"/>
        </w:rPr>
        <w:t xml:space="preserve"> </w:t>
      </w:r>
      <w:r w:rsidRPr="00E84F5D">
        <w:rPr>
          <w:rFonts w:asciiTheme="majorBidi" w:hAnsiTheme="majorBidi" w:cstheme="majorBidi"/>
          <w:color w:val="000000" w:themeColor="text1"/>
          <w:sz w:val="24"/>
          <w:szCs w:val="24"/>
        </w:rPr>
        <w:t xml:space="preserve">personality trait is associated with </w:t>
      </w:r>
      <w:r w:rsidR="00237FD1" w:rsidRPr="00237FD1">
        <w:rPr>
          <w:rFonts w:asciiTheme="majorBidi" w:hAnsiTheme="majorBidi" w:cstheme="majorBidi"/>
          <w:color w:val="000000" w:themeColor="text1"/>
          <w:sz w:val="24"/>
          <w:szCs w:val="24"/>
        </w:rPr>
        <w:t>opaque</w:t>
      </w:r>
      <w:r w:rsidR="00237FD1">
        <w:rPr>
          <w:rFonts w:asciiTheme="majorBidi" w:hAnsiTheme="majorBidi" w:cstheme="majorBidi"/>
          <w:color w:val="000000" w:themeColor="text1"/>
          <w:sz w:val="24"/>
          <w:szCs w:val="24"/>
        </w:rPr>
        <w:t xml:space="preserve"> </w:t>
      </w:r>
      <w:r w:rsidRPr="00E84F5D">
        <w:rPr>
          <w:rFonts w:asciiTheme="majorBidi" w:hAnsiTheme="majorBidi" w:cstheme="majorBidi"/>
          <w:color w:val="000000" w:themeColor="text1"/>
          <w:sz w:val="24"/>
          <w:szCs w:val="24"/>
        </w:rPr>
        <w:t>financial reporting decisions (</w:t>
      </w:r>
      <w:r w:rsidR="0029575E" w:rsidRPr="00EB0466">
        <w:rPr>
          <w:rFonts w:asciiTheme="majorBidi" w:hAnsiTheme="majorBidi" w:cstheme="majorBidi"/>
          <w:sz w:val="24"/>
          <w:szCs w:val="24"/>
        </w:rPr>
        <w:t>Abdel-</w:t>
      </w:r>
      <w:proofErr w:type="spellStart"/>
      <w:r w:rsidR="0029575E" w:rsidRPr="00EB0466">
        <w:rPr>
          <w:rFonts w:asciiTheme="majorBidi" w:hAnsiTheme="majorBidi" w:cstheme="majorBidi"/>
          <w:sz w:val="24"/>
          <w:szCs w:val="24"/>
        </w:rPr>
        <w:t>Meguid</w:t>
      </w:r>
      <w:proofErr w:type="spellEnd"/>
      <w:r w:rsidR="0029575E">
        <w:rPr>
          <w:rFonts w:asciiTheme="majorBidi" w:hAnsiTheme="majorBidi" w:cstheme="majorBidi"/>
          <w:sz w:val="24"/>
          <w:szCs w:val="24"/>
        </w:rPr>
        <w:t xml:space="preserve">, </w:t>
      </w:r>
      <w:r w:rsidR="0029575E" w:rsidRPr="002677C2">
        <w:rPr>
          <w:rFonts w:asciiTheme="majorBidi" w:hAnsiTheme="majorBidi" w:cstheme="majorBidi"/>
          <w:sz w:val="24"/>
          <w:szCs w:val="24"/>
        </w:rPr>
        <w:t>Jennings</w:t>
      </w:r>
      <w:r w:rsidR="0029575E">
        <w:rPr>
          <w:rFonts w:asciiTheme="majorBidi" w:hAnsiTheme="majorBidi" w:cstheme="majorBidi"/>
          <w:sz w:val="24"/>
          <w:szCs w:val="24"/>
        </w:rPr>
        <w:t xml:space="preserve">, </w:t>
      </w:r>
      <w:r w:rsidR="0029575E" w:rsidRPr="002677C2">
        <w:rPr>
          <w:rFonts w:asciiTheme="majorBidi" w:hAnsiTheme="majorBidi" w:cstheme="majorBidi"/>
          <w:sz w:val="24"/>
          <w:szCs w:val="24"/>
        </w:rPr>
        <w:t>Olsen</w:t>
      </w:r>
      <w:r w:rsidR="0029575E">
        <w:rPr>
          <w:rFonts w:asciiTheme="majorBidi" w:hAnsiTheme="majorBidi" w:cstheme="majorBidi"/>
          <w:sz w:val="24"/>
          <w:szCs w:val="24"/>
        </w:rPr>
        <w:t xml:space="preserve">, &amp; </w:t>
      </w:r>
      <w:r w:rsidR="0029575E" w:rsidRPr="002677C2">
        <w:rPr>
          <w:rFonts w:asciiTheme="majorBidi" w:hAnsiTheme="majorBidi" w:cstheme="majorBidi"/>
          <w:sz w:val="24"/>
          <w:szCs w:val="24"/>
        </w:rPr>
        <w:t>Soliman</w:t>
      </w:r>
      <w:r w:rsidR="0029575E">
        <w:rPr>
          <w:rFonts w:asciiTheme="majorBidi" w:hAnsiTheme="majorBidi" w:cstheme="majorBidi"/>
          <w:sz w:val="24"/>
          <w:szCs w:val="24"/>
        </w:rPr>
        <w:t>, 2021;</w:t>
      </w:r>
      <w:r w:rsidR="0029575E" w:rsidRPr="00E84F5D">
        <w:rPr>
          <w:rFonts w:asciiTheme="majorBidi" w:hAnsiTheme="majorBidi" w:cstheme="majorBidi"/>
          <w:color w:val="000000" w:themeColor="text1"/>
          <w:sz w:val="24"/>
          <w:szCs w:val="24"/>
        </w:rPr>
        <w:t xml:space="preserve"> </w:t>
      </w:r>
      <w:r w:rsidRPr="00E84F5D">
        <w:rPr>
          <w:rFonts w:asciiTheme="majorBidi" w:hAnsiTheme="majorBidi" w:cstheme="majorBidi"/>
          <w:color w:val="000000" w:themeColor="text1"/>
          <w:sz w:val="24"/>
          <w:szCs w:val="24"/>
        </w:rPr>
        <w:t>Olsen</w:t>
      </w:r>
      <w:r w:rsidR="002677C2" w:rsidRPr="00E84F5D">
        <w:rPr>
          <w:rFonts w:asciiTheme="majorBidi" w:hAnsiTheme="majorBidi" w:cstheme="majorBidi"/>
          <w:color w:val="000000" w:themeColor="text1"/>
          <w:sz w:val="24"/>
          <w:szCs w:val="24"/>
        </w:rPr>
        <w:t>,</w:t>
      </w:r>
      <w:r w:rsidRPr="00E84F5D">
        <w:rPr>
          <w:rFonts w:asciiTheme="majorBidi" w:hAnsiTheme="majorBidi" w:cstheme="majorBidi"/>
          <w:color w:val="000000" w:themeColor="text1"/>
          <w:sz w:val="24"/>
          <w:szCs w:val="24"/>
        </w:rPr>
        <w:t xml:space="preserve"> </w:t>
      </w:r>
      <w:proofErr w:type="spellStart"/>
      <w:r w:rsidR="002677C2" w:rsidRPr="00E84F5D">
        <w:rPr>
          <w:rFonts w:asciiTheme="majorBidi" w:hAnsiTheme="majorBidi" w:cstheme="majorBidi"/>
          <w:color w:val="000000" w:themeColor="text1"/>
          <w:sz w:val="24"/>
          <w:szCs w:val="24"/>
        </w:rPr>
        <w:t>Dworkis</w:t>
      </w:r>
      <w:proofErr w:type="spellEnd"/>
      <w:r w:rsidR="002677C2" w:rsidRPr="00E84F5D">
        <w:rPr>
          <w:rFonts w:asciiTheme="majorBidi" w:hAnsiTheme="majorBidi" w:cstheme="majorBidi"/>
          <w:color w:val="000000" w:themeColor="text1"/>
          <w:sz w:val="24"/>
          <w:szCs w:val="24"/>
        </w:rPr>
        <w:t>, &amp; Young</w:t>
      </w:r>
      <w:r w:rsidRPr="00E84F5D">
        <w:rPr>
          <w:rFonts w:asciiTheme="majorBidi" w:hAnsiTheme="majorBidi" w:cstheme="majorBidi"/>
          <w:color w:val="000000" w:themeColor="text1"/>
          <w:sz w:val="24"/>
          <w:szCs w:val="24"/>
        </w:rPr>
        <w:t xml:space="preserve">, 2014; Olsen </w:t>
      </w:r>
      <w:r w:rsidR="00953A64" w:rsidRPr="00E84F5D">
        <w:rPr>
          <w:rFonts w:asciiTheme="majorBidi" w:hAnsiTheme="majorBidi" w:cstheme="majorBidi"/>
          <w:color w:val="000000" w:themeColor="text1"/>
          <w:sz w:val="24"/>
          <w:szCs w:val="24"/>
        </w:rPr>
        <w:t xml:space="preserve">&amp; </w:t>
      </w:r>
      <w:proofErr w:type="spellStart"/>
      <w:r w:rsidRPr="00E84F5D">
        <w:rPr>
          <w:rFonts w:asciiTheme="majorBidi" w:hAnsiTheme="majorBidi" w:cstheme="majorBidi"/>
          <w:color w:val="000000" w:themeColor="text1"/>
          <w:sz w:val="24"/>
          <w:szCs w:val="24"/>
        </w:rPr>
        <w:t>Stekelberg</w:t>
      </w:r>
      <w:proofErr w:type="spellEnd"/>
      <w:r w:rsidRPr="00E84F5D">
        <w:rPr>
          <w:rFonts w:asciiTheme="majorBidi" w:hAnsiTheme="majorBidi" w:cstheme="majorBidi"/>
          <w:color w:val="000000" w:themeColor="text1"/>
          <w:sz w:val="24"/>
          <w:szCs w:val="24"/>
        </w:rPr>
        <w:t xml:space="preserve">, 2016; </w:t>
      </w:r>
      <w:proofErr w:type="spellStart"/>
      <w:r w:rsidRPr="00E84F5D">
        <w:rPr>
          <w:rFonts w:asciiTheme="majorBidi" w:hAnsiTheme="majorBidi" w:cstheme="majorBidi"/>
          <w:color w:val="000000" w:themeColor="text1"/>
          <w:sz w:val="24"/>
          <w:szCs w:val="24"/>
        </w:rPr>
        <w:t>Rijsenbilt</w:t>
      </w:r>
      <w:proofErr w:type="spellEnd"/>
      <w:r w:rsidRPr="00E84F5D">
        <w:rPr>
          <w:rFonts w:asciiTheme="majorBidi" w:hAnsiTheme="majorBidi" w:cstheme="majorBidi"/>
          <w:color w:val="000000" w:themeColor="text1"/>
          <w:sz w:val="24"/>
          <w:szCs w:val="24"/>
        </w:rPr>
        <w:t xml:space="preserve"> </w:t>
      </w:r>
      <w:r w:rsidR="00953A64" w:rsidRPr="00E84F5D">
        <w:rPr>
          <w:rFonts w:asciiTheme="majorBidi" w:hAnsiTheme="majorBidi" w:cstheme="majorBidi"/>
          <w:color w:val="000000" w:themeColor="text1"/>
          <w:sz w:val="24"/>
          <w:szCs w:val="24"/>
        </w:rPr>
        <w:t xml:space="preserve">&amp; </w:t>
      </w:r>
      <w:r w:rsidRPr="00E84F5D">
        <w:rPr>
          <w:rFonts w:asciiTheme="majorBidi" w:hAnsiTheme="majorBidi" w:cstheme="majorBidi"/>
          <w:color w:val="000000" w:themeColor="text1"/>
          <w:sz w:val="24"/>
          <w:szCs w:val="24"/>
        </w:rPr>
        <w:t>Commandeur, 2013).</w:t>
      </w:r>
      <w:r w:rsidR="00755BCC" w:rsidRPr="00E84F5D">
        <w:rPr>
          <w:rFonts w:asciiTheme="majorBidi" w:hAnsiTheme="majorBidi" w:cstheme="majorBidi"/>
          <w:color w:val="000000" w:themeColor="text1"/>
          <w:sz w:val="24"/>
          <w:szCs w:val="24"/>
        </w:rPr>
        <w:t xml:space="preserve"> </w:t>
      </w:r>
      <w:r w:rsidR="00755BCC" w:rsidRPr="00EB0466">
        <w:rPr>
          <w:rFonts w:asciiTheme="majorBidi" w:hAnsiTheme="majorBidi" w:cstheme="majorBidi"/>
          <w:sz w:val="24"/>
          <w:szCs w:val="24"/>
        </w:rPr>
        <w:t>However, it remains an empirical question whether these findings can be extended to</w:t>
      </w:r>
      <w:r w:rsidR="00473323">
        <w:rPr>
          <w:rFonts w:asciiTheme="majorBidi" w:hAnsiTheme="majorBidi" w:cstheme="majorBidi"/>
          <w:sz w:val="24"/>
          <w:szCs w:val="24"/>
        </w:rPr>
        <w:t xml:space="preserve"> </w:t>
      </w:r>
      <w:r w:rsidR="0029575E">
        <w:rPr>
          <w:rFonts w:asciiTheme="majorBidi" w:hAnsiTheme="majorBidi" w:cstheme="majorBidi"/>
          <w:sz w:val="24"/>
          <w:szCs w:val="24"/>
        </w:rPr>
        <w:t xml:space="preserve">monitoring </w:t>
      </w:r>
      <w:r w:rsidR="00473323">
        <w:rPr>
          <w:rFonts w:asciiTheme="majorBidi" w:hAnsiTheme="majorBidi" w:cstheme="majorBidi"/>
          <w:sz w:val="24"/>
          <w:szCs w:val="24"/>
        </w:rPr>
        <w:t xml:space="preserve">board directors, especially the </w:t>
      </w:r>
      <w:r w:rsidR="00006F24">
        <w:rPr>
          <w:rFonts w:asciiTheme="majorBidi" w:hAnsiTheme="majorBidi" w:cstheme="majorBidi"/>
          <w:sz w:val="24"/>
          <w:szCs w:val="24"/>
        </w:rPr>
        <w:t>AC</w:t>
      </w:r>
      <w:r w:rsidR="00755BCC" w:rsidRPr="00EB0466">
        <w:rPr>
          <w:rFonts w:asciiTheme="majorBidi" w:hAnsiTheme="majorBidi" w:cstheme="majorBidi"/>
          <w:sz w:val="24"/>
          <w:szCs w:val="24"/>
        </w:rPr>
        <w:t xml:space="preserve"> chair. One might contend that narcissistic individuals are often treated as a homogeneous group, with assumptions that they uniformly increase agency </w:t>
      </w:r>
      <w:r w:rsidR="00755BCC" w:rsidRPr="00E84F5D">
        <w:rPr>
          <w:rFonts w:asciiTheme="majorBidi" w:hAnsiTheme="majorBidi" w:cstheme="majorBidi"/>
          <w:sz w:val="24"/>
          <w:szCs w:val="24"/>
        </w:rPr>
        <w:t>costs. Yet, this perspective overlooks the nuanced influence</w:t>
      </w:r>
      <w:r w:rsidR="00473323" w:rsidRPr="00E84F5D">
        <w:rPr>
          <w:rFonts w:asciiTheme="majorBidi" w:hAnsiTheme="majorBidi" w:cstheme="majorBidi"/>
          <w:sz w:val="24"/>
          <w:szCs w:val="24"/>
        </w:rPr>
        <w:t xml:space="preserve"> of directors who </w:t>
      </w:r>
      <w:r w:rsidR="009A46A4" w:rsidRPr="00E84F5D">
        <w:rPr>
          <w:rFonts w:asciiTheme="majorBidi" w:hAnsiTheme="majorBidi" w:cstheme="majorBidi"/>
          <w:sz w:val="24"/>
          <w:szCs w:val="24"/>
        </w:rPr>
        <w:t xml:space="preserve">play </w:t>
      </w:r>
      <w:r w:rsidR="00755BCC" w:rsidRPr="00E84F5D">
        <w:rPr>
          <w:rFonts w:asciiTheme="majorBidi" w:hAnsiTheme="majorBidi" w:cstheme="majorBidi"/>
          <w:sz w:val="24"/>
          <w:szCs w:val="24"/>
        </w:rPr>
        <w:t>var</w:t>
      </w:r>
      <w:r w:rsidR="009A46A4" w:rsidRPr="00E84F5D">
        <w:rPr>
          <w:rFonts w:asciiTheme="majorBidi" w:hAnsiTheme="majorBidi" w:cstheme="majorBidi"/>
          <w:sz w:val="24"/>
          <w:szCs w:val="24"/>
        </w:rPr>
        <w:t>ying</w:t>
      </w:r>
      <w:r w:rsidR="00755BCC" w:rsidRPr="00E84F5D">
        <w:rPr>
          <w:rFonts w:asciiTheme="majorBidi" w:hAnsiTheme="majorBidi" w:cstheme="majorBidi"/>
          <w:sz w:val="24"/>
          <w:szCs w:val="24"/>
        </w:rPr>
        <w:t xml:space="preserve"> </w:t>
      </w:r>
      <w:r w:rsidR="009A46A4" w:rsidRPr="00E84F5D">
        <w:rPr>
          <w:rFonts w:asciiTheme="majorBidi" w:hAnsiTheme="majorBidi" w:cstheme="majorBidi"/>
          <w:sz w:val="24"/>
          <w:szCs w:val="24"/>
        </w:rPr>
        <w:t xml:space="preserve">roles in </w:t>
      </w:r>
      <w:r w:rsidR="00755BCC" w:rsidRPr="00E84F5D">
        <w:rPr>
          <w:rFonts w:asciiTheme="majorBidi" w:hAnsiTheme="majorBidi" w:cstheme="majorBidi"/>
          <w:sz w:val="24"/>
          <w:szCs w:val="24"/>
        </w:rPr>
        <w:t>major corporate decision</w:t>
      </w:r>
      <w:r w:rsidR="009A46A4" w:rsidRPr="00E84F5D">
        <w:rPr>
          <w:rFonts w:asciiTheme="majorBidi" w:hAnsiTheme="majorBidi" w:cstheme="majorBidi"/>
          <w:sz w:val="24"/>
          <w:szCs w:val="24"/>
        </w:rPr>
        <w:t>-making</w:t>
      </w:r>
      <w:r w:rsidR="00755BCC" w:rsidRPr="00E84F5D">
        <w:rPr>
          <w:rFonts w:asciiTheme="majorBidi" w:hAnsiTheme="majorBidi" w:cstheme="majorBidi"/>
          <w:sz w:val="24"/>
          <w:szCs w:val="24"/>
        </w:rPr>
        <w:t xml:space="preserve"> (Lara</w:t>
      </w:r>
      <w:r w:rsidR="002677C2" w:rsidRPr="00E84F5D">
        <w:rPr>
          <w:rFonts w:asciiTheme="majorBidi" w:hAnsiTheme="majorBidi" w:cstheme="majorBidi"/>
          <w:sz w:val="24"/>
          <w:szCs w:val="24"/>
        </w:rPr>
        <w:t xml:space="preserve">, </w:t>
      </w:r>
      <w:proofErr w:type="spellStart"/>
      <w:r w:rsidR="002677C2" w:rsidRPr="00E84F5D">
        <w:rPr>
          <w:rFonts w:asciiTheme="majorBidi" w:hAnsiTheme="majorBidi" w:cstheme="majorBidi"/>
          <w:sz w:val="24"/>
          <w:szCs w:val="24"/>
        </w:rPr>
        <w:t>Osma</w:t>
      </w:r>
      <w:proofErr w:type="spellEnd"/>
      <w:r w:rsidR="00026D93" w:rsidRPr="00E84F5D">
        <w:rPr>
          <w:rFonts w:asciiTheme="majorBidi" w:hAnsiTheme="majorBidi" w:cstheme="majorBidi"/>
          <w:sz w:val="24"/>
          <w:szCs w:val="24"/>
        </w:rPr>
        <w:t xml:space="preserve">, Mora, &amp; </w:t>
      </w:r>
      <w:proofErr w:type="spellStart"/>
      <w:r w:rsidR="00026D93" w:rsidRPr="00E84F5D">
        <w:rPr>
          <w:rFonts w:asciiTheme="majorBidi" w:hAnsiTheme="majorBidi" w:cstheme="majorBidi"/>
          <w:sz w:val="24"/>
          <w:szCs w:val="24"/>
        </w:rPr>
        <w:t>Scapin</w:t>
      </w:r>
      <w:proofErr w:type="spellEnd"/>
      <w:r w:rsidR="00755BCC" w:rsidRPr="00E84F5D">
        <w:rPr>
          <w:rFonts w:asciiTheme="majorBidi" w:hAnsiTheme="majorBidi" w:cstheme="majorBidi"/>
          <w:sz w:val="24"/>
          <w:szCs w:val="24"/>
        </w:rPr>
        <w:t xml:space="preserve">, 2017; </w:t>
      </w:r>
      <w:proofErr w:type="spellStart"/>
      <w:r w:rsidR="00755BCC" w:rsidRPr="00E84F5D">
        <w:rPr>
          <w:rFonts w:asciiTheme="majorBidi" w:hAnsiTheme="majorBidi" w:cstheme="majorBidi"/>
          <w:color w:val="222222"/>
          <w:sz w:val="24"/>
          <w:szCs w:val="24"/>
          <w:shd w:val="clear" w:color="auto" w:fill="FFFFFF"/>
        </w:rPr>
        <w:t>Masulis</w:t>
      </w:r>
      <w:proofErr w:type="spellEnd"/>
      <w:r w:rsidR="00755BCC" w:rsidRPr="00E84F5D">
        <w:rPr>
          <w:rFonts w:asciiTheme="majorBidi" w:hAnsiTheme="majorBidi" w:cstheme="majorBidi"/>
          <w:color w:val="222222"/>
          <w:sz w:val="24"/>
          <w:szCs w:val="24"/>
          <w:shd w:val="clear" w:color="auto" w:fill="FFFFFF"/>
        </w:rPr>
        <w:t xml:space="preserve"> &amp; Mobbs, 2011)</w:t>
      </w:r>
      <w:r w:rsidR="00755BCC" w:rsidRPr="00E84F5D">
        <w:rPr>
          <w:rFonts w:asciiTheme="majorBidi" w:hAnsiTheme="majorBidi" w:cstheme="majorBidi"/>
          <w:sz w:val="24"/>
          <w:szCs w:val="24"/>
        </w:rPr>
        <w:t>.</w:t>
      </w:r>
      <w:r w:rsidR="00755BCC" w:rsidRPr="00EB0466">
        <w:rPr>
          <w:rFonts w:asciiTheme="majorBidi" w:hAnsiTheme="majorBidi" w:cstheme="majorBidi"/>
          <w:sz w:val="24"/>
          <w:szCs w:val="24"/>
        </w:rPr>
        <w:t xml:space="preserve"> More importantly, existing studies </w:t>
      </w:r>
      <w:r w:rsidR="00557516">
        <w:rPr>
          <w:rFonts w:asciiTheme="majorBidi" w:hAnsiTheme="majorBidi" w:cstheme="majorBidi"/>
          <w:sz w:val="24"/>
          <w:szCs w:val="24"/>
        </w:rPr>
        <w:t>noted</w:t>
      </w:r>
      <w:r w:rsidR="009A46A4" w:rsidRPr="00EB0466">
        <w:rPr>
          <w:rFonts w:asciiTheme="majorBidi" w:hAnsiTheme="majorBidi" w:cstheme="majorBidi"/>
          <w:sz w:val="24"/>
          <w:szCs w:val="24"/>
        </w:rPr>
        <w:t xml:space="preserve"> </w:t>
      </w:r>
      <w:r w:rsidR="00755BCC" w:rsidRPr="00EB0466">
        <w:rPr>
          <w:rFonts w:asciiTheme="majorBidi" w:hAnsiTheme="majorBidi" w:cstheme="majorBidi"/>
          <w:sz w:val="24"/>
          <w:szCs w:val="24"/>
        </w:rPr>
        <w:t>that independent directors</w:t>
      </w:r>
      <w:r w:rsidR="0051699E">
        <w:rPr>
          <w:rFonts w:asciiTheme="majorBidi" w:hAnsiTheme="majorBidi" w:cstheme="majorBidi"/>
          <w:sz w:val="24"/>
          <w:szCs w:val="24"/>
        </w:rPr>
        <w:t xml:space="preserve"> exhibit varying degrees of independence</w:t>
      </w:r>
      <w:r w:rsidR="00755BCC" w:rsidRPr="00EB0466">
        <w:rPr>
          <w:rFonts w:asciiTheme="majorBidi" w:hAnsiTheme="majorBidi" w:cstheme="majorBidi"/>
          <w:sz w:val="24"/>
          <w:szCs w:val="24"/>
        </w:rPr>
        <w:t xml:space="preserve"> (</w:t>
      </w:r>
      <w:proofErr w:type="spellStart"/>
      <w:r w:rsidR="00853144" w:rsidRPr="00E84F5D">
        <w:rPr>
          <w:rFonts w:asciiTheme="majorBidi" w:hAnsiTheme="majorBidi" w:cstheme="majorBidi"/>
          <w:sz w:val="24"/>
          <w:szCs w:val="24"/>
        </w:rPr>
        <w:t>Fich</w:t>
      </w:r>
      <w:proofErr w:type="spellEnd"/>
      <w:r w:rsidR="00853144" w:rsidRPr="00E84F5D">
        <w:rPr>
          <w:rFonts w:asciiTheme="majorBidi" w:hAnsiTheme="majorBidi" w:cstheme="majorBidi"/>
          <w:sz w:val="24"/>
          <w:szCs w:val="24"/>
        </w:rPr>
        <w:t xml:space="preserve"> &amp; </w:t>
      </w:r>
      <w:proofErr w:type="spellStart"/>
      <w:r w:rsidR="00853144" w:rsidRPr="00E84F5D">
        <w:rPr>
          <w:rFonts w:asciiTheme="majorBidi" w:hAnsiTheme="majorBidi" w:cstheme="majorBidi"/>
          <w:sz w:val="24"/>
          <w:szCs w:val="24"/>
        </w:rPr>
        <w:t>Shivdasani</w:t>
      </w:r>
      <w:proofErr w:type="spellEnd"/>
      <w:r w:rsidR="00853144" w:rsidRPr="00E84F5D">
        <w:rPr>
          <w:rFonts w:asciiTheme="majorBidi" w:hAnsiTheme="majorBidi" w:cstheme="majorBidi"/>
          <w:sz w:val="24"/>
          <w:szCs w:val="24"/>
        </w:rPr>
        <w:t>, 2006</w:t>
      </w:r>
      <w:r w:rsidR="00853144">
        <w:rPr>
          <w:rFonts w:asciiTheme="majorBidi" w:hAnsiTheme="majorBidi" w:cstheme="majorBidi"/>
          <w:sz w:val="24"/>
          <w:szCs w:val="24"/>
        </w:rPr>
        <w:t xml:space="preserve">; </w:t>
      </w:r>
      <w:r w:rsidR="00755BCC" w:rsidRPr="00E84F5D">
        <w:rPr>
          <w:rFonts w:asciiTheme="majorBidi" w:hAnsiTheme="majorBidi" w:cstheme="majorBidi"/>
          <w:sz w:val="24"/>
          <w:szCs w:val="24"/>
        </w:rPr>
        <w:t>Larcke</w:t>
      </w:r>
      <w:r w:rsidR="00026D93" w:rsidRPr="00E84F5D">
        <w:rPr>
          <w:rFonts w:asciiTheme="majorBidi" w:hAnsiTheme="majorBidi" w:cstheme="majorBidi"/>
          <w:sz w:val="24"/>
          <w:szCs w:val="24"/>
        </w:rPr>
        <w:t xml:space="preserve">r, Richardson, </w:t>
      </w:r>
      <w:proofErr w:type="spellStart"/>
      <w:r w:rsidR="00026D93" w:rsidRPr="00E84F5D">
        <w:rPr>
          <w:rFonts w:asciiTheme="majorBidi" w:hAnsiTheme="majorBidi" w:cstheme="majorBidi"/>
          <w:sz w:val="24"/>
          <w:szCs w:val="24"/>
        </w:rPr>
        <w:t>Seary</w:t>
      </w:r>
      <w:proofErr w:type="spellEnd"/>
      <w:r w:rsidR="00026D93" w:rsidRPr="00E84F5D">
        <w:rPr>
          <w:rFonts w:asciiTheme="majorBidi" w:hAnsiTheme="majorBidi" w:cstheme="majorBidi"/>
          <w:sz w:val="24"/>
          <w:szCs w:val="24"/>
        </w:rPr>
        <w:t>, &amp; Tuna</w:t>
      </w:r>
      <w:r w:rsidR="00755BCC" w:rsidRPr="00E84F5D">
        <w:rPr>
          <w:rFonts w:asciiTheme="majorBidi" w:hAnsiTheme="majorBidi" w:cstheme="majorBidi"/>
          <w:sz w:val="24"/>
          <w:szCs w:val="24"/>
        </w:rPr>
        <w:t xml:space="preserve">, 2005), and </w:t>
      </w:r>
      <w:r w:rsidR="009A46A4" w:rsidRPr="00E84F5D">
        <w:rPr>
          <w:rFonts w:asciiTheme="majorBidi" w:hAnsiTheme="majorBidi" w:cstheme="majorBidi"/>
          <w:sz w:val="24"/>
          <w:szCs w:val="24"/>
        </w:rPr>
        <w:t>that</w:t>
      </w:r>
      <w:r w:rsidR="00755BCC" w:rsidRPr="00E84F5D">
        <w:rPr>
          <w:rFonts w:asciiTheme="majorBidi" w:hAnsiTheme="majorBidi" w:cstheme="majorBidi"/>
          <w:sz w:val="24"/>
          <w:szCs w:val="24"/>
        </w:rPr>
        <w:t xml:space="preserve"> inside directors are not homogeneous (</w:t>
      </w:r>
      <w:proofErr w:type="spellStart"/>
      <w:r w:rsidR="00755BCC" w:rsidRPr="00E84F5D">
        <w:rPr>
          <w:rFonts w:asciiTheme="majorBidi" w:hAnsiTheme="majorBidi" w:cstheme="majorBidi"/>
          <w:sz w:val="24"/>
          <w:szCs w:val="24"/>
        </w:rPr>
        <w:t>Masulis</w:t>
      </w:r>
      <w:proofErr w:type="spellEnd"/>
      <w:r w:rsidR="00755BCC" w:rsidRPr="00E84F5D">
        <w:rPr>
          <w:rFonts w:asciiTheme="majorBidi" w:hAnsiTheme="majorBidi" w:cstheme="majorBidi"/>
          <w:sz w:val="24"/>
          <w:szCs w:val="24"/>
        </w:rPr>
        <w:t xml:space="preserve"> &amp; Mobbs, 2011). </w:t>
      </w:r>
      <w:r w:rsidR="009D192D" w:rsidRPr="00E84F5D">
        <w:rPr>
          <w:rFonts w:asciiTheme="majorBidi" w:hAnsiTheme="majorBidi" w:cstheme="majorBidi"/>
          <w:sz w:val="24"/>
          <w:szCs w:val="24"/>
        </w:rPr>
        <w:t>Based o</w:t>
      </w:r>
      <w:r w:rsidR="009D192D" w:rsidRPr="00EB0466">
        <w:rPr>
          <w:rFonts w:asciiTheme="majorBidi" w:hAnsiTheme="majorBidi" w:cstheme="majorBidi"/>
          <w:sz w:val="24"/>
          <w:szCs w:val="24"/>
        </w:rPr>
        <w:t xml:space="preserve">n </w:t>
      </w:r>
      <w:r w:rsidR="009D192D">
        <w:rPr>
          <w:rFonts w:asciiTheme="majorBidi" w:hAnsiTheme="majorBidi" w:cstheme="majorBidi"/>
          <w:sz w:val="24"/>
          <w:szCs w:val="24"/>
        </w:rPr>
        <w:t>this</w:t>
      </w:r>
      <w:r w:rsidR="009D192D" w:rsidRPr="00EB0466">
        <w:rPr>
          <w:rFonts w:asciiTheme="majorBidi" w:hAnsiTheme="majorBidi" w:cstheme="majorBidi"/>
          <w:sz w:val="24"/>
          <w:szCs w:val="24"/>
        </w:rPr>
        <w:t>, we argue that narcissism</w:t>
      </w:r>
      <w:r w:rsidR="006D78DE">
        <w:rPr>
          <w:rFonts w:asciiTheme="majorBidi" w:hAnsiTheme="majorBidi" w:cstheme="majorBidi"/>
          <w:sz w:val="24"/>
          <w:szCs w:val="24"/>
        </w:rPr>
        <w:t xml:space="preserve"> </w:t>
      </w:r>
      <w:r w:rsidR="009D192D" w:rsidRPr="00EB0466">
        <w:rPr>
          <w:rFonts w:asciiTheme="majorBidi" w:hAnsiTheme="majorBidi" w:cstheme="majorBidi"/>
          <w:sz w:val="24"/>
          <w:szCs w:val="24"/>
        </w:rPr>
        <w:t xml:space="preserve">manifests differently </w:t>
      </w:r>
      <w:r w:rsidR="009A46A4">
        <w:rPr>
          <w:rFonts w:asciiTheme="majorBidi" w:hAnsiTheme="majorBidi" w:cstheme="majorBidi"/>
          <w:sz w:val="24"/>
          <w:szCs w:val="24"/>
        </w:rPr>
        <w:t>according to</w:t>
      </w:r>
      <w:r w:rsidR="008A5C3D">
        <w:rPr>
          <w:rFonts w:asciiTheme="majorBidi" w:hAnsiTheme="majorBidi" w:cstheme="majorBidi"/>
          <w:sz w:val="24"/>
          <w:szCs w:val="24"/>
        </w:rPr>
        <w:t xml:space="preserve"> their</w:t>
      </w:r>
      <w:r w:rsidR="009D192D" w:rsidRPr="00EB0466">
        <w:rPr>
          <w:rFonts w:asciiTheme="majorBidi" w:hAnsiTheme="majorBidi" w:cstheme="majorBidi"/>
          <w:sz w:val="24"/>
          <w:szCs w:val="24"/>
        </w:rPr>
        <w:t xml:space="preserve"> position within the corporate </w:t>
      </w:r>
      <w:r w:rsidR="009D192D" w:rsidRPr="00EB0466">
        <w:rPr>
          <w:rFonts w:asciiTheme="majorBidi" w:hAnsiTheme="majorBidi" w:cstheme="majorBidi"/>
          <w:sz w:val="24"/>
          <w:szCs w:val="24"/>
        </w:rPr>
        <w:lastRenderedPageBreak/>
        <w:t>board hierarchy.</w:t>
      </w:r>
      <w:r w:rsidR="0029575E">
        <w:rPr>
          <w:rFonts w:asciiTheme="majorBidi" w:hAnsiTheme="majorBidi" w:cstheme="majorBidi"/>
          <w:sz w:val="24"/>
          <w:szCs w:val="24"/>
        </w:rPr>
        <w:t xml:space="preserve"> W</w:t>
      </w:r>
      <w:r w:rsidR="00755BCC" w:rsidRPr="00EB0466">
        <w:rPr>
          <w:rFonts w:asciiTheme="majorBidi" w:hAnsiTheme="majorBidi" w:cstheme="majorBidi"/>
          <w:sz w:val="24"/>
          <w:szCs w:val="24"/>
        </w:rPr>
        <w:t xml:space="preserve">hile CEOs may engender a culture of risk-taking and diminish accountability, potentially jeopardizing </w:t>
      </w:r>
      <w:r w:rsidR="009D192D">
        <w:rPr>
          <w:rFonts w:asciiTheme="majorBidi" w:hAnsiTheme="majorBidi" w:cstheme="majorBidi"/>
          <w:sz w:val="24"/>
          <w:szCs w:val="24"/>
        </w:rPr>
        <w:t>financial reporting quality</w:t>
      </w:r>
      <w:r w:rsidR="00755BCC" w:rsidRPr="00EB0466">
        <w:rPr>
          <w:rFonts w:asciiTheme="majorBidi" w:hAnsiTheme="majorBidi" w:cstheme="majorBidi"/>
          <w:sz w:val="24"/>
          <w:szCs w:val="24"/>
        </w:rPr>
        <w:t xml:space="preserve">, </w:t>
      </w:r>
      <w:r w:rsidR="00006F24">
        <w:rPr>
          <w:rFonts w:asciiTheme="majorBidi" w:hAnsiTheme="majorBidi" w:cstheme="majorBidi"/>
          <w:sz w:val="24"/>
          <w:szCs w:val="24"/>
        </w:rPr>
        <w:t>AC</w:t>
      </w:r>
      <w:r w:rsidR="00755BCC" w:rsidRPr="00EB0466">
        <w:rPr>
          <w:rFonts w:asciiTheme="majorBidi" w:hAnsiTheme="majorBidi" w:cstheme="majorBidi"/>
          <w:sz w:val="24"/>
          <w:szCs w:val="24"/>
        </w:rPr>
        <w:t xml:space="preserve"> chair</w:t>
      </w:r>
      <w:r w:rsidR="008F5A19">
        <w:rPr>
          <w:rFonts w:asciiTheme="majorBidi" w:hAnsiTheme="majorBidi" w:cstheme="majorBidi"/>
          <w:sz w:val="24"/>
          <w:szCs w:val="24"/>
        </w:rPr>
        <w:t>s,</w:t>
      </w:r>
      <w:r w:rsidR="00755BCC" w:rsidRPr="00EB0466">
        <w:rPr>
          <w:rFonts w:asciiTheme="majorBidi" w:hAnsiTheme="majorBidi" w:cstheme="majorBidi"/>
          <w:sz w:val="24"/>
          <w:szCs w:val="24"/>
        </w:rPr>
        <w:t xml:space="preserve"> driven by their commitment to governance principles, may serve as bulwarks against unchecked executive power, promoting transparency and stewardship of shareholder interests</w:t>
      </w:r>
      <w:r w:rsidR="00FD6808">
        <w:rPr>
          <w:rFonts w:asciiTheme="majorBidi" w:hAnsiTheme="majorBidi" w:cstheme="majorBidi"/>
          <w:sz w:val="24"/>
          <w:szCs w:val="24"/>
        </w:rPr>
        <w:t xml:space="preserve">. </w:t>
      </w:r>
    </w:p>
    <w:p w14:paraId="554CDB38" w14:textId="4450895D" w:rsidR="009D192D" w:rsidRPr="005E73C2" w:rsidRDefault="009D192D" w:rsidP="000E7619">
      <w:pPr>
        <w:spacing w:line="480" w:lineRule="auto"/>
        <w:ind w:left="284" w:firstLine="420"/>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4"/>
        </w:rPr>
        <w:t xml:space="preserve">Theoretically, </w:t>
      </w:r>
      <w:r w:rsidR="000E7619">
        <w:rPr>
          <w:rFonts w:asciiTheme="majorBidi" w:hAnsiTheme="majorBidi" w:cstheme="majorBidi"/>
          <w:color w:val="000000" w:themeColor="text1"/>
          <w:sz w:val="24"/>
          <w:szCs w:val="24"/>
        </w:rPr>
        <w:t>n</w:t>
      </w:r>
      <w:r w:rsidRPr="005E73C2">
        <w:rPr>
          <w:rFonts w:asciiTheme="majorBidi" w:hAnsiTheme="majorBidi" w:cstheme="majorBidi"/>
          <w:color w:val="000000" w:themeColor="text1"/>
          <w:sz w:val="24"/>
          <w:szCs w:val="24"/>
        </w:rPr>
        <w:t xml:space="preserve">arcissists are </w:t>
      </w:r>
      <w:r w:rsidR="0051699E">
        <w:rPr>
          <w:rFonts w:asciiTheme="majorBidi" w:hAnsiTheme="majorBidi" w:cstheme="majorBidi"/>
          <w:color w:val="000000" w:themeColor="text1"/>
          <w:sz w:val="24"/>
          <w:szCs w:val="24"/>
        </w:rPr>
        <w:t>described</w:t>
      </w:r>
      <w:r w:rsidR="0051699E" w:rsidRPr="005E73C2">
        <w:rPr>
          <w:rFonts w:asciiTheme="majorBidi" w:hAnsiTheme="majorBidi" w:cstheme="majorBidi"/>
          <w:color w:val="000000" w:themeColor="text1"/>
          <w:sz w:val="24"/>
          <w:szCs w:val="24"/>
        </w:rPr>
        <w:t xml:space="preserve"> </w:t>
      </w:r>
      <w:r w:rsidR="0051699E">
        <w:rPr>
          <w:rFonts w:asciiTheme="majorBidi" w:hAnsiTheme="majorBidi" w:cstheme="majorBidi"/>
          <w:color w:val="000000" w:themeColor="text1"/>
          <w:sz w:val="24"/>
          <w:szCs w:val="24"/>
        </w:rPr>
        <w:t>as</w:t>
      </w:r>
      <w:r w:rsidRPr="005E73C2">
        <w:rPr>
          <w:rFonts w:asciiTheme="majorBidi" w:hAnsiTheme="majorBidi" w:cstheme="majorBidi"/>
          <w:color w:val="000000" w:themeColor="text1"/>
          <w:sz w:val="24"/>
          <w:szCs w:val="24"/>
        </w:rPr>
        <w:t xml:space="preserve"> be</w:t>
      </w:r>
      <w:r w:rsidR="0051699E">
        <w:rPr>
          <w:rFonts w:asciiTheme="majorBidi" w:hAnsiTheme="majorBidi" w:cstheme="majorBidi"/>
          <w:color w:val="000000" w:themeColor="text1"/>
          <w:sz w:val="24"/>
          <w:szCs w:val="24"/>
        </w:rPr>
        <w:t>ing</w:t>
      </w:r>
      <w:r w:rsidRPr="005E73C2">
        <w:rPr>
          <w:rFonts w:asciiTheme="majorBidi" w:hAnsiTheme="majorBidi" w:cstheme="majorBidi"/>
          <w:color w:val="000000" w:themeColor="text1"/>
          <w:sz w:val="24"/>
          <w:szCs w:val="24"/>
        </w:rPr>
        <w:t xml:space="preserve"> in a </w:t>
      </w:r>
      <w:r w:rsidR="0051699E" w:rsidRPr="005E73C2">
        <w:rPr>
          <w:rFonts w:asciiTheme="majorBidi" w:hAnsiTheme="majorBidi" w:cstheme="majorBidi"/>
          <w:color w:val="000000" w:themeColor="text1"/>
          <w:sz w:val="24"/>
          <w:szCs w:val="24"/>
        </w:rPr>
        <w:t xml:space="preserve">chronic </w:t>
      </w:r>
      <w:r w:rsidRPr="005E73C2">
        <w:rPr>
          <w:rFonts w:asciiTheme="majorBidi" w:hAnsiTheme="majorBidi" w:cstheme="majorBidi"/>
          <w:color w:val="000000" w:themeColor="text1"/>
          <w:sz w:val="24"/>
          <w:szCs w:val="24"/>
        </w:rPr>
        <w:t>process of self-construction</w:t>
      </w:r>
      <w:r w:rsidR="0051699E">
        <w:rPr>
          <w:rFonts w:asciiTheme="majorBidi" w:hAnsiTheme="majorBidi" w:cstheme="majorBidi"/>
          <w:color w:val="000000" w:themeColor="text1"/>
          <w:sz w:val="24"/>
          <w:szCs w:val="24"/>
        </w:rPr>
        <w:t>,</w:t>
      </w:r>
      <w:r w:rsidRPr="005E73C2">
        <w:rPr>
          <w:rFonts w:asciiTheme="majorBidi" w:hAnsiTheme="majorBidi" w:cstheme="majorBidi"/>
          <w:color w:val="000000" w:themeColor="text1"/>
          <w:sz w:val="24"/>
          <w:szCs w:val="24"/>
        </w:rPr>
        <w:t xml:space="preserve"> constantly seeking </w:t>
      </w:r>
      <w:r w:rsidR="0051699E">
        <w:rPr>
          <w:rFonts w:asciiTheme="majorBidi" w:hAnsiTheme="majorBidi" w:cstheme="majorBidi"/>
          <w:color w:val="000000" w:themeColor="text1"/>
          <w:sz w:val="24"/>
          <w:szCs w:val="24"/>
        </w:rPr>
        <w:t>ways to</w:t>
      </w:r>
      <w:r w:rsidRPr="005E73C2">
        <w:rPr>
          <w:rFonts w:asciiTheme="majorBidi" w:hAnsiTheme="majorBidi" w:cstheme="majorBidi"/>
          <w:color w:val="000000" w:themeColor="text1"/>
          <w:sz w:val="24"/>
          <w:szCs w:val="24"/>
        </w:rPr>
        <w:t xml:space="preserve"> reinforc</w:t>
      </w:r>
      <w:r w:rsidR="0051699E">
        <w:rPr>
          <w:rFonts w:asciiTheme="majorBidi" w:hAnsiTheme="majorBidi" w:cstheme="majorBidi"/>
          <w:color w:val="000000" w:themeColor="text1"/>
          <w:sz w:val="24"/>
          <w:szCs w:val="24"/>
        </w:rPr>
        <w:t>e</w:t>
      </w:r>
      <w:r w:rsidRPr="005E73C2">
        <w:rPr>
          <w:rFonts w:asciiTheme="majorBidi" w:hAnsiTheme="majorBidi" w:cstheme="majorBidi"/>
          <w:color w:val="000000" w:themeColor="text1"/>
          <w:sz w:val="24"/>
          <w:szCs w:val="24"/>
        </w:rPr>
        <w:t xml:space="preserve"> their self-image or </w:t>
      </w:r>
      <w:r w:rsidR="00557516" w:rsidRPr="005E73C2">
        <w:rPr>
          <w:rFonts w:asciiTheme="majorBidi" w:hAnsiTheme="majorBidi" w:cstheme="majorBidi"/>
          <w:color w:val="000000" w:themeColor="text1"/>
          <w:sz w:val="24"/>
          <w:szCs w:val="24"/>
        </w:rPr>
        <w:t>maintain</w:t>
      </w:r>
      <w:r w:rsidRPr="005E73C2">
        <w:rPr>
          <w:rFonts w:asciiTheme="majorBidi" w:hAnsiTheme="majorBidi" w:cstheme="majorBidi"/>
          <w:color w:val="000000" w:themeColor="text1"/>
          <w:sz w:val="24"/>
          <w:szCs w:val="24"/>
        </w:rPr>
        <w:t xml:space="preserve"> their desired</w:t>
      </w:r>
      <w:r w:rsidR="0051699E">
        <w:rPr>
          <w:rFonts w:asciiTheme="majorBidi" w:hAnsiTheme="majorBidi" w:cstheme="majorBidi"/>
          <w:color w:val="000000" w:themeColor="text1"/>
          <w:sz w:val="24"/>
          <w:szCs w:val="24"/>
        </w:rPr>
        <w:t xml:space="preserve"> sense of</w:t>
      </w:r>
      <w:r w:rsidRPr="005E73C2">
        <w:rPr>
          <w:rFonts w:asciiTheme="majorBidi" w:hAnsiTheme="majorBidi" w:cstheme="majorBidi"/>
          <w:color w:val="000000" w:themeColor="text1"/>
          <w:sz w:val="24"/>
          <w:szCs w:val="24"/>
        </w:rPr>
        <w:t xml:space="preserve"> self </w:t>
      </w:r>
      <w:r w:rsidRPr="005E73C2">
        <w:rPr>
          <w:rFonts w:asciiTheme="majorBidi" w:hAnsiTheme="majorBidi" w:cstheme="majorBidi"/>
          <w:noProof/>
          <w:color w:val="000000" w:themeColor="text1"/>
          <w:sz w:val="24"/>
          <w:szCs w:val="24"/>
        </w:rPr>
        <w:t xml:space="preserve">(Morf </w:t>
      </w:r>
      <w:r w:rsidR="008F5A19">
        <w:rPr>
          <w:rFonts w:asciiTheme="majorBidi" w:hAnsiTheme="majorBidi" w:cstheme="majorBidi"/>
          <w:noProof/>
          <w:color w:val="000000" w:themeColor="text1"/>
          <w:sz w:val="24"/>
          <w:szCs w:val="24"/>
        </w:rPr>
        <w:t>&amp;</w:t>
      </w:r>
      <w:r w:rsidR="008F5A19" w:rsidRPr="005E73C2">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Rhodewalt</w:t>
      </w:r>
      <w:r w:rsidR="008F5A19">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2001)</w:t>
      </w:r>
      <w:r w:rsidRPr="005E73C2">
        <w:rPr>
          <w:rFonts w:asciiTheme="majorBidi" w:hAnsiTheme="majorBidi" w:cstheme="majorBidi"/>
          <w:color w:val="000000" w:themeColor="text1"/>
          <w:sz w:val="24"/>
          <w:szCs w:val="24"/>
        </w:rPr>
        <w:t xml:space="preserve">. They view themselves as focal points and seek to attract the attention of others </w:t>
      </w:r>
      <w:r w:rsidR="008F5A19">
        <w:rPr>
          <w:rFonts w:asciiTheme="majorBidi" w:hAnsiTheme="majorBidi" w:cstheme="majorBidi"/>
          <w:color w:val="000000" w:themeColor="text1"/>
          <w:sz w:val="24"/>
          <w:szCs w:val="24"/>
        </w:rPr>
        <w:t>to deem them</w:t>
      </w:r>
      <w:r w:rsidR="00974E80">
        <w:rPr>
          <w:rFonts w:asciiTheme="majorBidi" w:hAnsiTheme="majorBidi" w:cstheme="majorBidi"/>
          <w:color w:val="000000" w:themeColor="text1"/>
          <w:sz w:val="24"/>
          <w:szCs w:val="24"/>
        </w:rPr>
        <w:t>selves</w:t>
      </w:r>
      <w:r w:rsidR="008F5A19">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 xml:space="preserve">tough and independent monitors </w:t>
      </w:r>
      <w:r w:rsidRPr="005E73C2">
        <w:rPr>
          <w:rFonts w:asciiTheme="majorBidi" w:hAnsiTheme="majorBidi" w:cstheme="majorBidi"/>
          <w:noProof/>
          <w:color w:val="000000" w:themeColor="text1"/>
          <w:sz w:val="24"/>
          <w:szCs w:val="24"/>
        </w:rPr>
        <w:t>(Chou</w:t>
      </w:r>
      <w:r w:rsidR="0026514C">
        <w:rPr>
          <w:rFonts w:asciiTheme="majorBidi" w:hAnsiTheme="majorBidi" w:cstheme="majorBidi"/>
          <w:noProof/>
          <w:color w:val="000000" w:themeColor="text1"/>
          <w:sz w:val="24"/>
          <w:szCs w:val="24"/>
        </w:rPr>
        <w:t>,</w:t>
      </w:r>
      <w:r w:rsidR="0026514C" w:rsidRPr="0026514C">
        <w:t xml:space="preserve"> </w:t>
      </w:r>
      <w:r w:rsidR="0026514C" w:rsidRPr="0026514C">
        <w:rPr>
          <w:rFonts w:asciiTheme="majorBidi" w:hAnsiTheme="majorBidi" w:cstheme="majorBidi"/>
          <w:noProof/>
          <w:color w:val="000000" w:themeColor="text1"/>
          <w:sz w:val="24"/>
          <w:szCs w:val="24"/>
        </w:rPr>
        <w:t>Pittman</w:t>
      </w:r>
      <w:r w:rsidR="0026514C">
        <w:rPr>
          <w:rFonts w:asciiTheme="majorBidi" w:hAnsiTheme="majorBidi" w:cstheme="majorBidi"/>
          <w:noProof/>
          <w:color w:val="000000" w:themeColor="text1"/>
          <w:sz w:val="24"/>
          <w:szCs w:val="24"/>
        </w:rPr>
        <w:t xml:space="preserve">, &amp; </w:t>
      </w:r>
      <w:r w:rsidR="0026514C" w:rsidRPr="0026514C">
        <w:rPr>
          <w:rFonts w:asciiTheme="majorBidi" w:hAnsiTheme="majorBidi" w:cstheme="majorBidi"/>
          <w:noProof/>
          <w:color w:val="000000" w:themeColor="text1"/>
          <w:sz w:val="24"/>
          <w:szCs w:val="24"/>
        </w:rPr>
        <w:t>Zhuang</w:t>
      </w:r>
      <w:r w:rsidR="008F5A19">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2021; Raskin </w:t>
      </w:r>
      <w:r w:rsidR="008F5A19">
        <w:rPr>
          <w:rFonts w:asciiTheme="majorBidi" w:hAnsiTheme="majorBidi" w:cstheme="majorBidi"/>
          <w:noProof/>
          <w:color w:val="000000" w:themeColor="text1"/>
          <w:sz w:val="24"/>
          <w:szCs w:val="24"/>
        </w:rPr>
        <w:t>&amp;</w:t>
      </w:r>
      <w:r w:rsidR="008F5A19" w:rsidRPr="005E73C2">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Terry</w:t>
      </w:r>
      <w:r w:rsidR="008F5A19">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1988)</w:t>
      </w:r>
      <w:r w:rsidRPr="005E73C2">
        <w:rPr>
          <w:rFonts w:asciiTheme="majorBidi" w:hAnsiTheme="majorBidi" w:cstheme="majorBidi"/>
          <w:color w:val="000000" w:themeColor="text1"/>
          <w:sz w:val="24"/>
          <w:szCs w:val="24"/>
        </w:rPr>
        <w:t xml:space="preserve">. </w:t>
      </w:r>
      <w:r w:rsidR="008F5A19">
        <w:rPr>
          <w:rFonts w:asciiTheme="majorBidi" w:hAnsiTheme="majorBidi" w:cstheme="majorBidi"/>
          <w:color w:val="000000" w:themeColor="text1"/>
          <w:sz w:val="24"/>
          <w:szCs w:val="24"/>
        </w:rPr>
        <w:t xml:space="preserve">These tendencies related to reputation </w:t>
      </w:r>
      <w:r w:rsidRPr="005E73C2">
        <w:rPr>
          <w:rFonts w:asciiTheme="majorBidi" w:hAnsiTheme="majorBidi" w:cstheme="majorBidi"/>
          <w:color w:val="000000" w:themeColor="text1"/>
          <w:sz w:val="24"/>
          <w:szCs w:val="24"/>
        </w:rPr>
        <w:t>suggest</w:t>
      </w:r>
      <w:r w:rsidR="008F5A19">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that the narcissistic AC chair may be more likely to scrutinize and challenge managers’ non-IFRS earnings practices</w:t>
      </w:r>
      <w:r w:rsidR="00974E80" w:rsidRPr="00974E80">
        <w:rPr>
          <w:rFonts w:asciiTheme="majorBidi" w:hAnsiTheme="majorBidi" w:cstheme="majorBidi"/>
          <w:color w:val="000000" w:themeColor="text1"/>
          <w:sz w:val="24"/>
          <w:szCs w:val="24"/>
        </w:rPr>
        <w:t xml:space="preserve"> </w:t>
      </w:r>
      <w:r w:rsidR="00974E80" w:rsidRPr="005E73C2">
        <w:rPr>
          <w:rFonts w:asciiTheme="majorBidi" w:hAnsiTheme="majorBidi" w:cstheme="majorBidi"/>
          <w:color w:val="000000" w:themeColor="text1"/>
          <w:sz w:val="24"/>
          <w:szCs w:val="24"/>
        </w:rPr>
        <w:t>closely</w:t>
      </w:r>
      <w:r w:rsidRPr="005E73C2">
        <w:rPr>
          <w:rFonts w:asciiTheme="majorBidi" w:hAnsiTheme="majorBidi" w:cstheme="majorBidi"/>
          <w:color w:val="000000" w:themeColor="text1"/>
          <w:sz w:val="24"/>
          <w:szCs w:val="24"/>
        </w:rPr>
        <w:t xml:space="preserve">.  </w:t>
      </w:r>
    </w:p>
    <w:p w14:paraId="6C3CAD89" w14:textId="1EC702D5" w:rsidR="00DF7D6A" w:rsidRPr="005E73C2" w:rsidRDefault="008F5A19" w:rsidP="00873F23">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w:t>
      </w:r>
      <w:r w:rsidR="003A40B4">
        <w:rPr>
          <w:rFonts w:asciiTheme="majorBidi" w:hAnsiTheme="majorBidi" w:cstheme="majorBidi"/>
          <w:color w:val="000000" w:themeColor="text1"/>
          <w:sz w:val="24"/>
          <w:szCs w:val="24"/>
        </w:rPr>
        <w:t xml:space="preserve">owever, </w:t>
      </w:r>
      <w:r w:rsidR="009D192D" w:rsidRPr="005E73C2">
        <w:rPr>
          <w:rFonts w:asciiTheme="majorBidi" w:hAnsiTheme="majorBidi" w:cstheme="majorBidi"/>
          <w:color w:val="000000" w:themeColor="text1"/>
          <w:sz w:val="24"/>
          <w:szCs w:val="24"/>
        </w:rPr>
        <w:t xml:space="preserve">a narcissistic AC chair may react vehemently to </w:t>
      </w:r>
      <w:r w:rsidR="00974E80">
        <w:rPr>
          <w:rFonts w:asciiTheme="majorBidi" w:hAnsiTheme="majorBidi" w:cstheme="majorBidi"/>
          <w:color w:val="000000" w:themeColor="text1"/>
          <w:sz w:val="24"/>
          <w:szCs w:val="24"/>
        </w:rPr>
        <w:t>criticism</w:t>
      </w:r>
      <w:r w:rsidR="009D192D" w:rsidRPr="005E73C2">
        <w:rPr>
          <w:rFonts w:asciiTheme="majorBidi" w:hAnsiTheme="majorBidi" w:cstheme="majorBidi"/>
          <w:color w:val="000000" w:themeColor="text1"/>
          <w:sz w:val="24"/>
          <w:szCs w:val="24"/>
        </w:rPr>
        <w:t xml:space="preserve">, undervalue others’ opinions, </w:t>
      </w:r>
      <w:r>
        <w:rPr>
          <w:rFonts w:asciiTheme="majorBidi" w:hAnsiTheme="majorBidi" w:cstheme="majorBidi"/>
          <w:color w:val="000000" w:themeColor="text1"/>
          <w:sz w:val="24"/>
          <w:szCs w:val="24"/>
        </w:rPr>
        <w:t xml:space="preserve">and </w:t>
      </w:r>
      <w:r w:rsidR="00974E80">
        <w:rPr>
          <w:rFonts w:asciiTheme="majorBidi" w:hAnsiTheme="majorBidi" w:cstheme="majorBidi"/>
          <w:color w:val="000000" w:themeColor="text1"/>
          <w:sz w:val="24"/>
          <w:szCs w:val="24"/>
        </w:rPr>
        <w:t>thus</w:t>
      </w:r>
      <w:r w:rsidR="00974E80" w:rsidRPr="005E73C2">
        <w:rPr>
          <w:rFonts w:asciiTheme="majorBidi" w:hAnsiTheme="majorBidi" w:cstheme="majorBidi"/>
          <w:color w:val="000000" w:themeColor="text1"/>
          <w:sz w:val="24"/>
          <w:szCs w:val="24"/>
        </w:rPr>
        <w:t xml:space="preserve"> </w:t>
      </w:r>
      <w:r w:rsidR="009D192D" w:rsidRPr="005E73C2">
        <w:rPr>
          <w:rFonts w:asciiTheme="majorBidi" w:hAnsiTheme="majorBidi" w:cstheme="majorBidi"/>
          <w:color w:val="000000" w:themeColor="text1"/>
          <w:sz w:val="24"/>
          <w:szCs w:val="24"/>
        </w:rPr>
        <w:t xml:space="preserve">hinder information exchange among </w:t>
      </w:r>
      <w:r w:rsidR="00006F24">
        <w:rPr>
          <w:rFonts w:asciiTheme="majorBidi" w:hAnsiTheme="majorBidi" w:cstheme="majorBidi"/>
          <w:color w:val="000000" w:themeColor="text1"/>
          <w:sz w:val="24"/>
          <w:szCs w:val="24"/>
        </w:rPr>
        <w:t>AC</w:t>
      </w:r>
      <w:r w:rsidR="009D192D" w:rsidRPr="005E73C2">
        <w:rPr>
          <w:rFonts w:asciiTheme="majorBidi" w:hAnsiTheme="majorBidi" w:cstheme="majorBidi"/>
          <w:color w:val="000000" w:themeColor="text1"/>
          <w:sz w:val="24"/>
          <w:szCs w:val="24"/>
        </w:rPr>
        <w:t xml:space="preserve"> members</w:t>
      </w:r>
      <w:r w:rsidR="00974E80">
        <w:rPr>
          <w:rFonts w:asciiTheme="majorBidi" w:hAnsiTheme="majorBidi" w:cstheme="majorBidi"/>
          <w:color w:val="000000" w:themeColor="text1"/>
          <w:sz w:val="24"/>
          <w:szCs w:val="24"/>
        </w:rPr>
        <w:t xml:space="preserve"> who have</w:t>
      </w:r>
      <w:r w:rsidR="009D192D" w:rsidRPr="005E73C2">
        <w:rPr>
          <w:rFonts w:asciiTheme="majorBidi" w:hAnsiTheme="majorBidi" w:cstheme="majorBidi"/>
          <w:color w:val="000000" w:themeColor="text1"/>
          <w:sz w:val="24"/>
          <w:szCs w:val="24"/>
        </w:rPr>
        <w:t xml:space="preserve"> experience and insights </w:t>
      </w:r>
      <w:r>
        <w:rPr>
          <w:rFonts w:asciiTheme="majorBidi" w:hAnsiTheme="majorBidi" w:cstheme="majorBidi"/>
          <w:color w:val="000000" w:themeColor="text1"/>
          <w:sz w:val="24"/>
          <w:szCs w:val="24"/>
        </w:rPr>
        <w:t xml:space="preserve">that could help </w:t>
      </w:r>
      <w:r w:rsidR="009D192D" w:rsidRPr="005E73C2">
        <w:rPr>
          <w:rFonts w:asciiTheme="majorBidi" w:hAnsiTheme="majorBidi" w:cstheme="majorBidi"/>
          <w:color w:val="000000" w:themeColor="text1"/>
          <w:sz w:val="24"/>
          <w:szCs w:val="24"/>
        </w:rPr>
        <w:t>mitigat</w:t>
      </w:r>
      <w:r>
        <w:rPr>
          <w:rFonts w:asciiTheme="majorBidi" w:hAnsiTheme="majorBidi" w:cstheme="majorBidi"/>
          <w:color w:val="000000" w:themeColor="text1"/>
          <w:sz w:val="24"/>
          <w:szCs w:val="24"/>
        </w:rPr>
        <w:t>e</w:t>
      </w:r>
      <w:r w:rsidR="009D192D" w:rsidRPr="005E73C2">
        <w:rPr>
          <w:rFonts w:asciiTheme="majorBidi" w:hAnsiTheme="majorBidi" w:cstheme="majorBidi"/>
          <w:color w:val="000000" w:themeColor="text1"/>
          <w:sz w:val="24"/>
          <w:szCs w:val="24"/>
        </w:rPr>
        <w:t xml:space="preserve"> managerial opportunism </w:t>
      </w:r>
      <w:r w:rsidR="009D192D" w:rsidRPr="005E73C2">
        <w:rPr>
          <w:rFonts w:asciiTheme="majorBidi" w:hAnsiTheme="majorBidi" w:cstheme="majorBidi"/>
          <w:noProof/>
          <w:color w:val="000000" w:themeColor="text1"/>
          <w:sz w:val="24"/>
          <w:szCs w:val="24"/>
        </w:rPr>
        <w:t>(Chou et al.</w:t>
      </w:r>
      <w:r>
        <w:rPr>
          <w:rFonts w:asciiTheme="majorBidi" w:hAnsiTheme="majorBidi" w:cstheme="majorBidi"/>
          <w:noProof/>
          <w:color w:val="000000" w:themeColor="text1"/>
          <w:sz w:val="24"/>
          <w:szCs w:val="24"/>
        </w:rPr>
        <w:t>,</w:t>
      </w:r>
      <w:r w:rsidR="009D192D" w:rsidRPr="005E73C2">
        <w:rPr>
          <w:rFonts w:asciiTheme="majorBidi" w:hAnsiTheme="majorBidi" w:cstheme="majorBidi"/>
          <w:noProof/>
          <w:color w:val="000000" w:themeColor="text1"/>
          <w:sz w:val="24"/>
          <w:szCs w:val="24"/>
        </w:rPr>
        <w:t xml:space="preserve"> 2021; Nevicka</w:t>
      </w:r>
      <w:r w:rsidR="0026514C">
        <w:rPr>
          <w:rFonts w:asciiTheme="majorBidi" w:hAnsiTheme="majorBidi" w:cstheme="majorBidi"/>
          <w:noProof/>
          <w:color w:val="000000" w:themeColor="text1"/>
          <w:sz w:val="24"/>
          <w:szCs w:val="24"/>
        </w:rPr>
        <w:t xml:space="preserve">, </w:t>
      </w:r>
      <w:r w:rsidR="0026514C" w:rsidRPr="0026514C">
        <w:rPr>
          <w:rFonts w:asciiTheme="majorBidi" w:hAnsiTheme="majorBidi" w:cstheme="majorBidi"/>
          <w:noProof/>
          <w:color w:val="000000" w:themeColor="text1"/>
          <w:sz w:val="24"/>
          <w:szCs w:val="24"/>
        </w:rPr>
        <w:t>Ten Velden</w:t>
      </w:r>
      <w:r w:rsidR="0026514C">
        <w:rPr>
          <w:rFonts w:asciiTheme="majorBidi" w:hAnsiTheme="majorBidi" w:cstheme="majorBidi"/>
          <w:noProof/>
          <w:color w:val="000000" w:themeColor="text1"/>
          <w:sz w:val="24"/>
          <w:szCs w:val="24"/>
        </w:rPr>
        <w:t xml:space="preserve">, </w:t>
      </w:r>
      <w:r w:rsidR="0026514C" w:rsidRPr="0026514C">
        <w:rPr>
          <w:rFonts w:asciiTheme="majorBidi" w:hAnsiTheme="majorBidi" w:cstheme="majorBidi"/>
          <w:noProof/>
          <w:color w:val="000000" w:themeColor="text1"/>
          <w:sz w:val="24"/>
          <w:szCs w:val="24"/>
        </w:rPr>
        <w:t>De Hoogh</w:t>
      </w:r>
      <w:r w:rsidR="0026514C">
        <w:rPr>
          <w:rFonts w:asciiTheme="majorBidi" w:hAnsiTheme="majorBidi" w:cstheme="majorBidi"/>
          <w:noProof/>
          <w:color w:val="000000" w:themeColor="text1"/>
          <w:sz w:val="24"/>
          <w:szCs w:val="24"/>
        </w:rPr>
        <w:t xml:space="preserve">, &amp; </w:t>
      </w:r>
      <w:r w:rsidR="0026514C" w:rsidRPr="0026514C">
        <w:rPr>
          <w:rFonts w:asciiTheme="majorBidi" w:hAnsiTheme="majorBidi" w:cstheme="majorBidi"/>
          <w:noProof/>
          <w:color w:val="000000" w:themeColor="text1"/>
          <w:sz w:val="24"/>
          <w:szCs w:val="24"/>
        </w:rPr>
        <w:t>Van Vianen</w:t>
      </w:r>
      <w:r>
        <w:rPr>
          <w:rFonts w:asciiTheme="majorBidi" w:hAnsiTheme="majorBidi" w:cstheme="majorBidi"/>
          <w:noProof/>
          <w:color w:val="000000" w:themeColor="text1"/>
          <w:sz w:val="24"/>
          <w:szCs w:val="24"/>
        </w:rPr>
        <w:t>,</w:t>
      </w:r>
      <w:r w:rsidR="009D192D" w:rsidRPr="005E73C2">
        <w:rPr>
          <w:rFonts w:asciiTheme="majorBidi" w:hAnsiTheme="majorBidi" w:cstheme="majorBidi"/>
          <w:noProof/>
          <w:color w:val="000000" w:themeColor="text1"/>
          <w:sz w:val="24"/>
          <w:szCs w:val="24"/>
        </w:rPr>
        <w:t xml:space="preserve"> 2011)</w:t>
      </w:r>
      <w:r w:rsidR="009D192D" w:rsidRPr="005E73C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Accordingly, t</w:t>
      </w:r>
      <w:r w:rsidR="008A5C3D" w:rsidRPr="005E73C2">
        <w:rPr>
          <w:rFonts w:asciiTheme="majorBidi" w:hAnsiTheme="majorBidi" w:cstheme="majorBidi"/>
          <w:color w:val="000000" w:themeColor="text1"/>
          <w:sz w:val="24"/>
          <w:szCs w:val="24"/>
        </w:rPr>
        <w:t>hey may become less informed than they should be, impair</w:t>
      </w:r>
      <w:r>
        <w:rPr>
          <w:rFonts w:asciiTheme="majorBidi" w:hAnsiTheme="majorBidi" w:cstheme="majorBidi"/>
          <w:color w:val="000000" w:themeColor="text1"/>
          <w:sz w:val="24"/>
          <w:szCs w:val="24"/>
        </w:rPr>
        <w:t>ing</w:t>
      </w:r>
      <w:r w:rsidR="008A5C3D" w:rsidRPr="005E73C2">
        <w:rPr>
          <w:rFonts w:asciiTheme="majorBidi" w:hAnsiTheme="majorBidi" w:cstheme="majorBidi"/>
          <w:color w:val="000000" w:themeColor="text1"/>
          <w:sz w:val="24"/>
          <w:szCs w:val="24"/>
        </w:rPr>
        <w:t xml:space="preserve"> their competence.</w:t>
      </w:r>
      <w:r w:rsidR="008A5C3D">
        <w:rPr>
          <w:rFonts w:asciiTheme="majorBidi" w:hAnsiTheme="majorBidi" w:cstheme="majorBidi"/>
          <w:color w:val="000000" w:themeColor="text1"/>
          <w:sz w:val="24"/>
          <w:szCs w:val="24"/>
        </w:rPr>
        <w:t xml:space="preserve"> </w:t>
      </w:r>
      <w:r w:rsidR="009D192D" w:rsidRPr="005E73C2">
        <w:rPr>
          <w:rFonts w:asciiTheme="majorBidi" w:hAnsiTheme="majorBidi" w:cstheme="majorBidi"/>
          <w:color w:val="000000" w:themeColor="text1"/>
          <w:sz w:val="24"/>
          <w:szCs w:val="24"/>
        </w:rPr>
        <w:t xml:space="preserve">Further, narcissists tend to </w:t>
      </w:r>
      <w:r>
        <w:rPr>
          <w:rFonts w:asciiTheme="majorBidi" w:hAnsiTheme="majorBidi" w:cstheme="majorBidi"/>
          <w:color w:val="000000" w:themeColor="text1"/>
          <w:sz w:val="24"/>
          <w:szCs w:val="24"/>
        </w:rPr>
        <w:t>entertain</w:t>
      </w:r>
      <w:r w:rsidRPr="005E73C2">
        <w:rPr>
          <w:rFonts w:asciiTheme="majorBidi" w:hAnsiTheme="majorBidi" w:cstheme="majorBidi"/>
          <w:color w:val="000000" w:themeColor="text1"/>
          <w:sz w:val="24"/>
          <w:szCs w:val="24"/>
        </w:rPr>
        <w:t xml:space="preserve"> </w:t>
      </w:r>
      <w:r w:rsidR="009D192D" w:rsidRPr="005E73C2">
        <w:rPr>
          <w:rFonts w:asciiTheme="majorBidi" w:hAnsiTheme="majorBidi" w:cstheme="majorBidi"/>
          <w:color w:val="000000" w:themeColor="text1"/>
          <w:sz w:val="24"/>
          <w:szCs w:val="24"/>
        </w:rPr>
        <w:t>optimistic illusions about their abilities being superior</w:t>
      </w:r>
      <w:r>
        <w:rPr>
          <w:rFonts w:asciiTheme="majorBidi" w:hAnsiTheme="majorBidi" w:cstheme="majorBidi"/>
          <w:color w:val="000000" w:themeColor="text1"/>
          <w:sz w:val="24"/>
          <w:szCs w:val="24"/>
        </w:rPr>
        <w:t xml:space="preserve"> to others</w:t>
      </w:r>
      <w:r w:rsidR="009D192D" w:rsidRPr="005E73C2">
        <w:rPr>
          <w:rFonts w:asciiTheme="majorBidi" w:hAnsiTheme="majorBidi" w:cstheme="majorBidi"/>
          <w:color w:val="000000" w:themeColor="text1"/>
          <w:sz w:val="24"/>
          <w:szCs w:val="24"/>
        </w:rPr>
        <w:t>, which m</w:t>
      </w:r>
      <w:r>
        <w:rPr>
          <w:rFonts w:asciiTheme="majorBidi" w:hAnsiTheme="majorBidi" w:cstheme="majorBidi"/>
          <w:color w:val="000000" w:themeColor="text1"/>
          <w:sz w:val="24"/>
          <w:szCs w:val="24"/>
        </w:rPr>
        <w:t>ay</w:t>
      </w:r>
      <w:r w:rsidR="009D192D" w:rsidRPr="005E73C2">
        <w:rPr>
          <w:rFonts w:asciiTheme="majorBidi" w:hAnsiTheme="majorBidi" w:cstheme="majorBidi"/>
          <w:color w:val="000000" w:themeColor="text1"/>
          <w:sz w:val="24"/>
          <w:szCs w:val="24"/>
        </w:rPr>
        <w:t xml:space="preserve"> undermine their </w:t>
      </w:r>
      <w:r w:rsidR="00B1524E">
        <w:rPr>
          <w:rFonts w:asciiTheme="majorBidi" w:hAnsiTheme="majorBidi" w:cstheme="majorBidi"/>
          <w:color w:val="000000" w:themeColor="text1"/>
          <w:sz w:val="24"/>
          <w:szCs w:val="24"/>
        </w:rPr>
        <w:t xml:space="preserve">effectiveness in </w:t>
      </w:r>
      <w:r w:rsidR="009D192D" w:rsidRPr="005E73C2">
        <w:rPr>
          <w:rFonts w:asciiTheme="majorBidi" w:hAnsiTheme="majorBidi" w:cstheme="majorBidi"/>
          <w:color w:val="000000" w:themeColor="text1"/>
          <w:sz w:val="24"/>
          <w:szCs w:val="24"/>
        </w:rPr>
        <w:t>monitoring</w:t>
      </w:r>
      <w:r w:rsidR="008A5C3D">
        <w:rPr>
          <w:rFonts w:asciiTheme="majorBidi" w:hAnsiTheme="majorBidi" w:cstheme="majorBidi"/>
          <w:color w:val="000000" w:themeColor="text1"/>
          <w:sz w:val="24"/>
          <w:szCs w:val="24"/>
        </w:rPr>
        <w:t xml:space="preserve">. </w:t>
      </w:r>
      <w:r w:rsidR="009D192D" w:rsidRPr="005E73C2">
        <w:rPr>
          <w:rFonts w:asciiTheme="majorBidi" w:hAnsiTheme="majorBidi" w:cstheme="majorBidi"/>
          <w:color w:val="000000" w:themeColor="text1"/>
          <w:sz w:val="24"/>
          <w:szCs w:val="24"/>
        </w:rPr>
        <w:t xml:space="preserve">In a nutshell, whether an AC chair with narcissistic tendencies is likely to mitigate or facilitate </w:t>
      </w:r>
      <w:r w:rsidR="00873F23" w:rsidRPr="00873F23">
        <w:rPr>
          <w:rFonts w:asciiTheme="majorBidi" w:hAnsiTheme="majorBidi" w:cstheme="majorBidi"/>
          <w:color w:val="000000" w:themeColor="text1"/>
          <w:sz w:val="24"/>
          <w:szCs w:val="24"/>
        </w:rPr>
        <w:t>opaque</w:t>
      </w:r>
      <w:r w:rsidR="00873F23" w:rsidRPr="00873F23" w:rsidDel="00237FD1">
        <w:rPr>
          <w:rFonts w:asciiTheme="majorBidi" w:hAnsiTheme="majorBidi" w:cstheme="majorBidi"/>
          <w:color w:val="000000" w:themeColor="text1"/>
          <w:sz w:val="24"/>
          <w:szCs w:val="24"/>
        </w:rPr>
        <w:t xml:space="preserve"> </w:t>
      </w:r>
      <w:r w:rsidR="009D192D" w:rsidRPr="005E73C2">
        <w:rPr>
          <w:rFonts w:asciiTheme="majorBidi" w:hAnsiTheme="majorBidi" w:cstheme="majorBidi"/>
          <w:color w:val="000000" w:themeColor="text1"/>
          <w:sz w:val="24"/>
          <w:szCs w:val="24"/>
        </w:rPr>
        <w:t>non-IFRS disclosure remains an open research question; the influence</w:t>
      </w:r>
      <w:r w:rsidR="00B1524E">
        <w:rPr>
          <w:rFonts w:asciiTheme="majorBidi" w:hAnsiTheme="majorBidi" w:cstheme="majorBidi"/>
          <w:color w:val="000000" w:themeColor="text1"/>
          <w:sz w:val="24"/>
          <w:szCs w:val="24"/>
        </w:rPr>
        <w:t xml:space="preserve"> of narcissism </w:t>
      </w:r>
      <w:r w:rsidR="009D192D" w:rsidRPr="005E73C2">
        <w:rPr>
          <w:rFonts w:asciiTheme="majorBidi" w:hAnsiTheme="majorBidi" w:cstheme="majorBidi"/>
          <w:color w:val="000000" w:themeColor="text1"/>
          <w:sz w:val="24"/>
          <w:szCs w:val="24"/>
        </w:rPr>
        <w:t xml:space="preserve">could run in either direction. </w:t>
      </w:r>
      <w:r w:rsidR="00A1105F">
        <w:rPr>
          <w:rFonts w:asciiTheme="majorBidi" w:hAnsiTheme="majorBidi" w:cstheme="majorBidi"/>
          <w:color w:val="000000" w:themeColor="text1"/>
          <w:sz w:val="24"/>
          <w:szCs w:val="24"/>
        </w:rPr>
        <w:t xml:space="preserve"> </w:t>
      </w:r>
    </w:p>
    <w:p w14:paraId="4FEFDA7A" w14:textId="667669E5" w:rsidR="004E0DDE" w:rsidRPr="005E73C2" w:rsidRDefault="00B1524E" w:rsidP="00873F23">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Additionally, d</w:t>
      </w:r>
      <w:r w:rsidR="00A1105F" w:rsidRPr="00A1105F">
        <w:rPr>
          <w:rFonts w:asciiTheme="majorBidi" w:hAnsiTheme="majorBidi" w:cstheme="majorBidi"/>
          <w:color w:val="000000" w:themeColor="text1"/>
          <w:sz w:val="24"/>
          <w:szCs w:val="24"/>
        </w:rPr>
        <w:t xml:space="preserve">elving into </w:t>
      </w:r>
      <w:r w:rsidR="00601B4D" w:rsidRPr="005E73C2">
        <w:rPr>
          <w:rFonts w:asciiTheme="majorBidi" w:hAnsiTheme="majorBidi" w:cstheme="majorBidi"/>
          <w:color w:val="000000" w:themeColor="text1"/>
          <w:sz w:val="24"/>
          <w:szCs w:val="24"/>
        </w:rPr>
        <w:t>the</w:t>
      </w:r>
      <w:r w:rsidR="00A1105F" w:rsidRPr="005E73C2">
        <w:rPr>
          <w:rFonts w:asciiTheme="majorBidi" w:hAnsiTheme="majorBidi" w:cstheme="majorBidi"/>
          <w:color w:val="000000" w:themeColor="text1"/>
          <w:sz w:val="24"/>
          <w:szCs w:val="24"/>
        </w:rPr>
        <w:t xml:space="preserve"> </w:t>
      </w:r>
      <w:r w:rsidR="00006F24">
        <w:rPr>
          <w:rFonts w:asciiTheme="majorBidi" w:hAnsiTheme="majorBidi" w:cstheme="majorBidi"/>
          <w:color w:val="000000" w:themeColor="text1"/>
          <w:sz w:val="24"/>
          <w:szCs w:val="24"/>
        </w:rPr>
        <w:t xml:space="preserve">role of </w:t>
      </w:r>
      <w:r w:rsidR="00601B4D">
        <w:rPr>
          <w:rFonts w:asciiTheme="majorBidi" w:hAnsiTheme="majorBidi" w:cstheme="majorBidi"/>
          <w:color w:val="000000" w:themeColor="text1"/>
          <w:sz w:val="24"/>
          <w:szCs w:val="24"/>
        </w:rPr>
        <w:t>AC chair</w:t>
      </w:r>
      <w:r w:rsidR="009E142C">
        <w:rPr>
          <w:rFonts w:asciiTheme="majorBidi" w:hAnsiTheme="majorBidi" w:cstheme="majorBidi"/>
          <w:color w:val="000000" w:themeColor="text1"/>
          <w:sz w:val="24"/>
          <w:szCs w:val="24"/>
        </w:rPr>
        <w:t>s</w:t>
      </w:r>
      <w:r w:rsidR="00006F24">
        <w:rPr>
          <w:rFonts w:asciiTheme="majorBidi" w:hAnsiTheme="majorBidi" w:cstheme="majorBidi"/>
          <w:color w:val="000000" w:themeColor="text1"/>
          <w:sz w:val="24"/>
          <w:szCs w:val="24"/>
        </w:rPr>
        <w:t xml:space="preserve"> </w:t>
      </w:r>
      <w:r w:rsidR="00601B4D">
        <w:rPr>
          <w:rFonts w:asciiTheme="majorBidi" w:hAnsiTheme="majorBidi" w:cstheme="majorBidi"/>
          <w:color w:val="000000" w:themeColor="text1"/>
          <w:sz w:val="24"/>
          <w:szCs w:val="24"/>
        </w:rPr>
        <w:t>in</w:t>
      </w:r>
      <w:r w:rsidR="00A1105F" w:rsidRPr="005E73C2">
        <w:rPr>
          <w:rFonts w:asciiTheme="majorBidi" w:hAnsiTheme="majorBidi" w:cstheme="majorBidi"/>
          <w:color w:val="000000" w:themeColor="text1"/>
          <w:sz w:val="24"/>
          <w:szCs w:val="24"/>
        </w:rPr>
        <w:t xml:space="preserve"> non-IFRS disclosure </w:t>
      </w:r>
      <w:r w:rsidR="009E142C">
        <w:rPr>
          <w:rFonts w:asciiTheme="majorBidi" w:hAnsiTheme="majorBidi" w:cstheme="majorBidi"/>
          <w:color w:val="000000" w:themeColor="text1"/>
          <w:sz w:val="24"/>
          <w:szCs w:val="24"/>
        </w:rPr>
        <w:t>is likely</w:t>
      </w:r>
      <w:r w:rsidR="009E142C" w:rsidRPr="00601B4D">
        <w:rPr>
          <w:rFonts w:asciiTheme="majorBidi" w:hAnsiTheme="majorBidi" w:cstheme="majorBidi"/>
          <w:color w:val="000000" w:themeColor="text1"/>
          <w:sz w:val="24"/>
          <w:szCs w:val="24"/>
        </w:rPr>
        <w:t xml:space="preserve"> </w:t>
      </w:r>
      <w:r w:rsidR="00601B4D" w:rsidRPr="005E73C2">
        <w:rPr>
          <w:rFonts w:asciiTheme="majorBidi" w:hAnsiTheme="majorBidi" w:cstheme="majorBidi"/>
          <w:color w:val="000000" w:themeColor="text1"/>
          <w:sz w:val="24"/>
          <w:szCs w:val="24"/>
        </w:rPr>
        <w:t>a</w:t>
      </w:r>
      <w:r w:rsidR="00A1105F" w:rsidRPr="005E73C2">
        <w:rPr>
          <w:rFonts w:asciiTheme="majorBidi" w:hAnsiTheme="majorBidi" w:cstheme="majorBidi"/>
          <w:color w:val="000000" w:themeColor="text1"/>
          <w:sz w:val="24"/>
          <w:szCs w:val="24"/>
        </w:rPr>
        <w:t xml:space="preserve"> fruitful research area.</w:t>
      </w:r>
      <w:r w:rsidR="004E0DDE" w:rsidRPr="005E73C2">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The</w:t>
      </w:r>
      <w:r w:rsidR="009E142C">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majority of</w:t>
      </w:r>
      <w:proofErr w:type="gramEnd"/>
      <w:r w:rsidR="004E0DDE" w:rsidRPr="005E73C2">
        <w:rPr>
          <w:rFonts w:asciiTheme="majorBidi" w:hAnsiTheme="majorBidi" w:cstheme="majorBidi"/>
          <w:color w:val="000000" w:themeColor="text1"/>
          <w:sz w:val="24"/>
          <w:szCs w:val="24"/>
        </w:rPr>
        <w:t xml:space="preserve"> UK firms increasingly disclose</w:t>
      </w:r>
      <w:r w:rsidR="009E142C">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non-IFRS earnings number</w:t>
      </w:r>
      <w:r w:rsidR="009E142C">
        <w:rPr>
          <w:rFonts w:asciiTheme="majorBidi" w:hAnsiTheme="majorBidi" w:cstheme="majorBidi"/>
          <w:color w:val="000000" w:themeColor="text1"/>
          <w:sz w:val="24"/>
          <w:szCs w:val="24"/>
        </w:rPr>
        <w:t>s</w:t>
      </w:r>
      <w:r w:rsidR="004E0DDE" w:rsidRPr="005E73C2">
        <w:rPr>
          <w:rFonts w:asciiTheme="majorBidi" w:hAnsiTheme="majorBidi" w:cstheme="majorBidi"/>
          <w:color w:val="000000" w:themeColor="text1"/>
          <w:sz w:val="24"/>
          <w:szCs w:val="24"/>
        </w:rPr>
        <w:t xml:space="preserve"> and </w:t>
      </w:r>
      <w:r w:rsidR="0029575E">
        <w:rPr>
          <w:rFonts w:asciiTheme="majorBidi" w:hAnsiTheme="majorBidi" w:cstheme="majorBidi"/>
          <w:color w:val="000000" w:themeColor="text1"/>
          <w:sz w:val="24"/>
          <w:szCs w:val="24"/>
        </w:rPr>
        <w:t>assert</w:t>
      </w:r>
      <w:r w:rsidR="0029575E" w:rsidRPr="005E73C2">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 xml:space="preserve">that </w:t>
      </w:r>
      <w:r w:rsidR="001041C8">
        <w:rPr>
          <w:rFonts w:asciiTheme="majorBidi" w:hAnsiTheme="majorBidi" w:cstheme="majorBidi"/>
          <w:color w:val="000000" w:themeColor="text1"/>
          <w:sz w:val="24"/>
          <w:szCs w:val="24"/>
        </w:rPr>
        <w:t>this</w:t>
      </w:r>
      <w:r w:rsidR="004E0DDE" w:rsidRPr="005E73C2">
        <w:rPr>
          <w:rFonts w:asciiTheme="majorBidi" w:hAnsiTheme="majorBidi" w:cstheme="majorBidi"/>
          <w:color w:val="000000" w:themeColor="text1"/>
          <w:sz w:val="24"/>
          <w:szCs w:val="24"/>
        </w:rPr>
        <w:t xml:space="preserve"> disclos</w:t>
      </w:r>
      <w:r w:rsidR="009E142C">
        <w:rPr>
          <w:rFonts w:asciiTheme="majorBidi" w:hAnsiTheme="majorBidi" w:cstheme="majorBidi"/>
          <w:color w:val="000000" w:themeColor="text1"/>
          <w:sz w:val="24"/>
          <w:szCs w:val="24"/>
        </w:rPr>
        <w:t>ure is</w:t>
      </w:r>
      <w:r w:rsidR="004E0DDE" w:rsidRPr="005E73C2">
        <w:rPr>
          <w:rFonts w:asciiTheme="majorBidi" w:hAnsiTheme="majorBidi" w:cstheme="majorBidi"/>
          <w:color w:val="000000" w:themeColor="text1"/>
          <w:sz w:val="24"/>
          <w:szCs w:val="24"/>
        </w:rPr>
        <w:t xml:space="preserve"> </w:t>
      </w:r>
      <w:r w:rsidR="003A40B4">
        <w:rPr>
          <w:rFonts w:asciiTheme="majorBidi" w:hAnsiTheme="majorBidi" w:cstheme="majorBidi"/>
          <w:color w:val="000000" w:themeColor="text1"/>
          <w:sz w:val="24"/>
          <w:szCs w:val="24"/>
        </w:rPr>
        <w:t>intend</w:t>
      </w:r>
      <w:r w:rsidR="009E142C">
        <w:rPr>
          <w:rFonts w:asciiTheme="majorBidi" w:hAnsiTheme="majorBidi" w:cstheme="majorBidi"/>
          <w:color w:val="000000" w:themeColor="text1"/>
          <w:sz w:val="24"/>
          <w:szCs w:val="24"/>
        </w:rPr>
        <w:t>ed</w:t>
      </w:r>
      <w:r w:rsidR="004E0DDE" w:rsidRPr="005E73C2">
        <w:rPr>
          <w:rFonts w:asciiTheme="majorBidi" w:hAnsiTheme="majorBidi" w:cstheme="majorBidi"/>
          <w:color w:val="000000" w:themeColor="text1"/>
          <w:sz w:val="24"/>
          <w:szCs w:val="24"/>
        </w:rPr>
        <w:t xml:space="preserve"> to eliminate the impact of non-recurring items on earnings and thus better represent core profitability performance.</w:t>
      </w:r>
      <w:r w:rsidR="00A1105F">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While t</w:t>
      </w:r>
      <w:r w:rsidR="003A40B4">
        <w:rPr>
          <w:rFonts w:asciiTheme="majorBidi" w:hAnsiTheme="majorBidi" w:cstheme="majorBidi"/>
          <w:color w:val="000000" w:themeColor="text1"/>
          <w:sz w:val="24"/>
          <w:szCs w:val="24"/>
        </w:rPr>
        <w:t xml:space="preserve">his </w:t>
      </w:r>
      <w:r w:rsidR="005C2AD8">
        <w:rPr>
          <w:rFonts w:asciiTheme="majorBidi" w:hAnsiTheme="majorBidi" w:cstheme="majorBidi"/>
          <w:color w:val="000000" w:themeColor="text1"/>
          <w:sz w:val="24"/>
          <w:szCs w:val="24"/>
        </w:rPr>
        <w:t xml:space="preserve">intention </w:t>
      </w:r>
      <w:r w:rsidR="005C2AD8" w:rsidRPr="005E73C2">
        <w:rPr>
          <w:rFonts w:asciiTheme="majorBidi" w:hAnsiTheme="majorBidi" w:cstheme="majorBidi"/>
          <w:color w:val="000000" w:themeColor="text1"/>
          <w:sz w:val="24"/>
          <w:szCs w:val="24"/>
        </w:rPr>
        <w:t>m</w:t>
      </w:r>
      <w:r w:rsidR="009E142C">
        <w:rPr>
          <w:rFonts w:asciiTheme="majorBidi" w:hAnsiTheme="majorBidi" w:cstheme="majorBidi"/>
          <w:color w:val="000000" w:themeColor="text1"/>
          <w:sz w:val="24"/>
          <w:szCs w:val="24"/>
        </w:rPr>
        <w:t>ay</w:t>
      </w:r>
      <w:r w:rsidR="004E0DDE" w:rsidRPr="005E73C2">
        <w:rPr>
          <w:rFonts w:asciiTheme="majorBidi" w:hAnsiTheme="majorBidi" w:cstheme="majorBidi"/>
          <w:color w:val="000000" w:themeColor="text1"/>
          <w:sz w:val="24"/>
          <w:szCs w:val="24"/>
        </w:rPr>
        <w:t xml:space="preserve"> be </w:t>
      </w:r>
      <w:r w:rsidR="003A40B4">
        <w:rPr>
          <w:rFonts w:asciiTheme="majorBidi" w:hAnsiTheme="majorBidi" w:cstheme="majorBidi"/>
          <w:color w:val="000000" w:themeColor="text1"/>
          <w:sz w:val="24"/>
          <w:szCs w:val="24"/>
        </w:rPr>
        <w:t xml:space="preserve">true, </w:t>
      </w:r>
      <w:r w:rsidR="004E0DDE" w:rsidRPr="005E73C2">
        <w:rPr>
          <w:rFonts w:asciiTheme="majorBidi" w:hAnsiTheme="majorBidi" w:cstheme="majorBidi"/>
          <w:color w:val="000000" w:themeColor="text1"/>
          <w:sz w:val="24"/>
          <w:szCs w:val="24"/>
        </w:rPr>
        <w:t>regulators</w:t>
      </w:r>
      <w:r w:rsidR="00006F24">
        <w:rPr>
          <w:rFonts w:asciiTheme="majorBidi" w:hAnsiTheme="majorBidi" w:cstheme="majorBidi"/>
          <w:color w:val="000000" w:themeColor="text1"/>
          <w:sz w:val="24"/>
          <w:szCs w:val="24"/>
        </w:rPr>
        <w:t xml:space="preserve">, such as </w:t>
      </w:r>
      <w:r w:rsidR="004E0DDE" w:rsidRPr="005E73C2">
        <w:rPr>
          <w:rFonts w:asciiTheme="majorBidi" w:hAnsiTheme="majorBidi" w:cstheme="majorBidi"/>
          <w:color w:val="000000" w:themeColor="text1"/>
          <w:sz w:val="24"/>
          <w:szCs w:val="24"/>
        </w:rPr>
        <w:t xml:space="preserve">the UK Financial Reporting </w:t>
      </w:r>
      <w:r w:rsidR="00006F24">
        <w:rPr>
          <w:rFonts w:asciiTheme="majorBidi" w:hAnsiTheme="majorBidi" w:cstheme="majorBidi"/>
          <w:color w:val="000000" w:themeColor="text1"/>
          <w:sz w:val="24"/>
          <w:szCs w:val="24"/>
        </w:rPr>
        <w:t xml:space="preserve">Council, </w:t>
      </w:r>
      <w:r w:rsidR="004E0DDE" w:rsidRPr="005E73C2">
        <w:rPr>
          <w:rFonts w:asciiTheme="majorBidi" w:hAnsiTheme="majorBidi" w:cstheme="majorBidi"/>
          <w:color w:val="000000" w:themeColor="text1"/>
          <w:sz w:val="24"/>
          <w:szCs w:val="24"/>
        </w:rPr>
        <w:t xml:space="preserve">alert users </w:t>
      </w:r>
      <w:r w:rsidR="004E0DDE" w:rsidRPr="005E73C2">
        <w:rPr>
          <w:rFonts w:asciiTheme="majorBidi" w:hAnsiTheme="majorBidi" w:cstheme="majorBidi"/>
          <w:color w:val="000000" w:themeColor="text1"/>
          <w:sz w:val="24"/>
          <w:szCs w:val="24"/>
        </w:rPr>
        <w:lastRenderedPageBreak/>
        <w:t xml:space="preserve">that managers </w:t>
      </w:r>
      <w:r w:rsidR="003A40B4">
        <w:rPr>
          <w:rFonts w:asciiTheme="majorBidi" w:hAnsiTheme="majorBidi" w:cstheme="majorBidi"/>
          <w:color w:val="000000" w:themeColor="text1"/>
          <w:sz w:val="24"/>
          <w:szCs w:val="24"/>
        </w:rPr>
        <w:t>may</w:t>
      </w:r>
      <w:r w:rsidR="004E0DDE" w:rsidRPr="005E73C2">
        <w:rPr>
          <w:rFonts w:asciiTheme="majorBidi" w:hAnsiTheme="majorBidi" w:cstheme="majorBidi"/>
          <w:color w:val="000000" w:themeColor="text1"/>
          <w:sz w:val="24"/>
          <w:szCs w:val="24"/>
        </w:rPr>
        <w:t xml:space="preserve"> </w:t>
      </w:r>
      <w:r w:rsidR="000257C7" w:rsidRPr="005E73C2">
        <w:rPr>
          <w:rFonts w:asciiTheme="majorBidi" w:hAnsiTheme="majorBidi" w:cstheme="majorBidi"/>
          <w:color w:val="000000" w:themeColor="text1"/>
          <w:sz w:val="24"/>
          <w:szCs w:val="24"/>
        </w:rPr>
        <w:t>utilize</w:t>
      </w:r>
      <w:r w:rsidR="004E0DDE" w:rsidRPr="005E73C2">
        <w:rPr>
          <w:rFonts w:asciiTheme="majorBidi" w:hAnsiTheme="majorBidi" w:cstheme="majorBidi"/>
          <w:color w:val="000000" w:themeColor="text1"/>
          <w:sz w:val="24"/>
          <w:szCs w:val="24"/>
        </w:rPr>
        <w:t xml:space="preserve"> such disclosure to mislead investors.</w:t>
      </w:r>
      <w:r w:rsidR="00A1105F">
        <w:rPr>
          <w:rFonts w:asciiTheme="majorBidi" w:hAnsiTheme="majorBidi" w:cstheme="majorBidi"/>
          <w:color w:val="000000" w:themeColor="text1"/>
          <w:sz w:val="24"/>
          <w:szCs w:val="24"/>
        </w:rPr>
        <w:t xml:space="preserve"> </w:t>
      </w:r>
      <w:r w:rsidR="00A1105F" w:rsidRPr="005E73C2">
        <w:rPr>
          <w:rFonts w:asciiTheme="majorBidi" w:hAnsiTheme="majorBidi" w:cstheme="majorBidi"/>
          <w:color w:val="000000" w:themeColor="text1"/>
          <w:sz w:val="24"/>
          <w:szCs w:val="24"/>
        </w:rPr>
        <w:t>Therefore, as</w:t>
      </w:r>
      <w:r w:rsidR="009E142C">
        <w:rPr>
          <w:rFonts w:asciiTheme="majorBidi" w:hAnsiTheme="majorBidi" w:cstheme="majorBidi"/>
          <w:color w:val="000000" w:themeColor="text1"/>
          <w:sz w:val="24"/>
          <w:szCs w:val="24"/>
        </w:rPr>
        <w:t xml:space="preserve"> </w:t>
      </w:r>
      <w:r w:rsidR="00873F23">
        <w:rPr>
          <w:rFonts w:asciiTheme="majorBidi" w:hAnsiTheme="majorBidi" w:cstheme="majorBidi"/>
          <w:color w:val="000000" w:themeColor="text1"/>
          <w:sz w:val="24"/>
          <w:szCs w:val="24"/>
        </w:rPr>
        <w:t>a</w:t>
      </w:r>
      <w:r w:rsidR="00A1105F" w:rsidRPr="005E73C2">
        <w:rPr>
          <w:rFonts w:asciiTheme="majorBidi" w:hAnsiTheme="majorBidi" w:cstheme="majorBidi"/>
          <w:color w:val="000000" w:themeColor="text1"/>
          <w:sz w:val="24"/>
          <w:szCs w:val="24"/>
        </w:rPr>
        <w:t xml:space="preserve"> secondary objective of our study, we </w:t>
      </w:r>
      <w:r w:rsidR="005450C1">
        <w:rPr>
          <w:rFonts w:asciiTheme="majorBidi" w:hAnsiTheme="majorBidi" w:cstheme="majorBidi"/>
          <w:color w:val="000000" w:themeColor="text1"/>
          <w:sz w:val="24"/>
          <w:szCs w:val="24"/>
        </w:rPr>
        <w:t xml:space="preserve">also </w:t>
      </w:r>
      <w:r w:rsidR="00A1105F" w:rsidRPr="005E73C2">
        <w:rPr>
          <w:rFonts w:asciiTheme="majorBidi" w:hAnsiTheme="majorBidi" w:cstheme="majorBidi"/>
          <w:color w:val="000000" w:themeColor="text1"/>
          <w:sz w:val="24"/>
          <w:szCs w:val="24"/>
        </w:rPr>
        <w:t>investigate whether UK firms use (</w:t>
      </w:r>
      <w:r w:rsidR="009E142C">
        <w:rPr>
          <w:rFonts w:asciiTheme="majorBidi" w:hAnsiTheme="majorBidi" w:cstheme="majorBidi"/>
          <w:color w:val="000000" w:themeColor="text1"/>
          <w:sz w:val="24"/>
          <w:szCs w:val="24"/>
        </w:rPr>
        <w:t xml:space="preserve">as </w:t>
      </w:r>
      <w:r w:rsidR="00A1105F" w:rsidRPr="005E73C2">
        <w:rPr>
          <w:rFonts w:asciiTheme="majorBidi" w:hAnsiTheme="majorBidi" w:cstheme="majorBidi"/>
          <w:color w:val="000000" w:themeColor="text1"/>
          <w:sz w:val="24"/>
          <w:szCs w:val="24"/>
        </w:rPr>
        <w:t xml:space="preserve">informative) or abuse non-IFRS earnings. </w:t>
      </w:r>
      <w:r w:rsidR="009A5111" w:rsidRPr="009A5111">
        <w:rPr>
          <w:rFonts w:asciiTheme="majorBidi" w:hAnsiTheme="majorBidi" w:cstheme="majorBidi"/>
          <w:color w:val="000000" w:themeColor="text1"/>
          <w:sz w:val="24"/>
          <w:szCs w:val="24"/>
        </w:rPr>
        <w:t xml:space="preserve">Given that managers may exhibit opportunistic behavior in some contexts while acting as stewards in others (Healy, 1996), </w:t>
      </w:r>
      <w:r w:rsidR="000F7537">
        <w:rPr>
          <w:rFonts w:asciiTheme="majorBidi" w:hAnsiTheme="majorBidi" w:cstheme="majorBidi"/>
          <w:color w:val="000000" w:themeColor="text1"/>
          <w:sz w:val="24"/>
          <w:szCs w:val="24"/>
        </w:rPr>
        <w:t>and</w:t>
      </w:r>
      <w:r w:rsidR="005450C1">
        <w:rPr>
          <w:rFonts w:asciiTheme="majorBidi" w:hAnsiTheme="majorBidi" w:cstheme="majorBidi"/>
          <w:color w:val="000000" w:themeColor="text1"/>
          <w:sz w:val="24"/>
          <w:szCs w:val="24"/>
        </w:rPr>
        <w:t xml:space="preserve"> that</w:t>
      </w:r>
      <w:r w:rsidR="000F7537">
        <w:rPr>
          <w:rFonts w:asciiTheme="majorBidi" w:hAnsiTheme="majorBidi" w:cstheme="majorBidi"/>
          <w:color w:val="000000" w:themeColor="text1"/>
          <w:sz w:val="24"/>
          <w:szCs w:val="24"/>
        </w:rPr>
        <w:t xml:space="preserve"> </w:t>
      </w:r>
      <w:r w:rsidR="009A5111" w:rsidRPr="009A5111">
        <w:rPr>
          <w:rFonts w:asciiTheme="majorBidi" w:hAnsiTheme="majorBidi" w:cstheme="majorBidi"/>
          <w:color w:val="000000" w:themeColor="text1"/>
          <w:sz w:val="24"/>
          <w:szCs w:val="24"/>
        </w:rPr>
        <w:t xml:space="preserve">distinguishing between these behaviors can be challenging (Black &amp; Christensen, 2009), we </w:t>
      </w:r>
      <w:r w:rsidR="009A5111">
        <w:rPr>
          <w:rFonts w:asciiTheme="majorBidi" w:hAnsiTheme="majorBidi" w:cstheme="majorBidi"/>
          <w:color w:val="000000" w:themeColor="text1"/>
          <w:sz w:val="24"/>
          <w:szCs w:val="24"/>
        </w:rPr>
        <w:t xml:space="preserve">investigate </w:t>
      </w:r>
      <w:r w:rsidR="00A1105F">
        <w:rPr>
          <w:rFonts w:asciiTheme="majorBidi" w:hAnsiTheme="majorBidi" w:cstheme="majorBidi"/>
          <w:color w:val="000000" w:themeColor="text1"/>
          <w:sz w:val="24"/>
          <w:szCs w:val="24"/>
        </w:rPr>
        <w:t xml:space="preserve">whether </w:t>
      </w:r>
      <w:r w:rsidR="00A1105F" w:rsidRPr="00EB0466">
        <w:rPr>
          <w:rFonts w:asciiTheme="majorBidi" w:hAnsiTheme="majorBidi" w:cstheme="majorBidi"/>
          <w:sz w:val="24"/>
          <w:szCs w:val="24"/>
        </w:rPr>
        <w:t xml:space="preserve">narcissistic </w:t>
      </w:r>
      <w:r w:rsidR="00A1105F">
        <w:rPr>
          <w:rFonts w:asciiTheme="majorBidi" w:hAnsiTheme="majorBidi" w:cstheme="majorBidi"/>
          <w:color w:val="000000" w:themeColor="text1"/>
          <w:sz w:val="24"/>
          <w:szCs w:val="24"/>
        </w:rPr>
        <w:t>AC chair</w:t>
      </w:r>
      <w:r w:rsidR="009E142C">
        <w:rPr>
          <w:rFonts w:asciiTheme="majorBidi" w:hAnsiTheme="majorBidi" w:cstheme="majorBidi"/>
          <w:color w:val="000000" w:themeColor="text1"/>
          <w:sz w:val="24"/>
          <w:szCs w:val="24"/>
        </w:rPr>
        <w:t>s</w:t>
      </w:r>
      <w:r w:rsidR="00A1105F">
        <w:rPr>
          <w:rFonts w:asciiTheme="majorBidi" w:hAnsiTheme="majorBidi" w:cstheme="majorBidi"/>
          <w:color w:val="000000" w:themeColor="text1"/>
          <w:sz w:val="24"/>
          <w:szCs w:val="24"/>
        </w:rPr>
        <w:t xml:space="preserve"> </w:t>
      </w:r>
      <w:r w:rsidR="009A5111">
        <w:rPr>
          <w:rFonts w:asciiTheme="majorBidi" w:hAnsiTheme="majorBidi" w:cstheme="majorBidi"/>
          <w:color w:val="000000" w:themeColor="text1"/>
          <w:sz w:val="24"/>
          <w:szCs w:val="24"/>
        </w:rPr>
        <w:t>mitigate</w:t>
      </w:r>
      <w:r w:rsidR="009A5111" w:rsidRPr="005E73C2">
        <w:rPr>
          <w:rFonts w:asciiTheme="majorBidi" w:hAnsiTheme="majorBidi" w:cstheme="majorBidi"/>
          <w:color w:val="000000" w:themeColor="text1"/>
          <w:sz w:val="24"/>
          <w:szCs w:val="24"/>
        </w:rPr>
        <w:t xml:space="preserve"> </w:t>
      </w:r>
      <w:r w:rsidR="00237FD1" w:rsidRPr="00237FD1">
        <w:rPr>
          <w:rFonts w:asciiTheme="majorBidi" w:hAnsiTheme="majorBidi" w:cstheme="majorBidi"/>
          <w:color w:val="000000" w:themeColor="text1"/>
          <w:sz w:val="24"/>
          <w:szCs w:val="24"/>
        </w:rPr>
        <w:t>opaque</w:t>
      </w:r>
      <w:r w:rsidR="00237FD1" w:rsidRPr="00237FD1" w:rsidDel="00237FD1">
        <w:rPr>
          <w:rFonts w:asciiTheme="majorBidi" w:hAnsiTheme="majorBidi" w:cstheme="majorBidi"/>
          <w:color w:val="000000" w:themeColor="text1"/>
          <w:sz w:val="24"/>
          <w:szCs w:val="24"/>
        </w:rPr>
        <w:t xml:space="preserve"> </w:t>
      </w:r>
      <w:r w:rsidR="003A40B4" w:rsidRPr="005E73C2">
        <w:rPr>
          <w:rFonts w:asciiTheme="majorBidi" w:hAnsiTheme="majorBidi" w:cstheme="majorBidi"/>
          <w:color w:val="000000" w:themeColor="text1"/>
          <w:sz w:val="24"/>
          <w:szCs w:val="24"/>
        </w:rPr>
        <w:t>non-IFRS earnings</w:t>
      </w:r>
      <w:r w:rsidR="003A40B4">
        <w:rPr>
          <w:rFonts w:asciiTheme="majorBidi" w:hAnsiTheme="majorBidi" w:cstheme="majorBidi"/>
          <w:color w:val="000000" w:themeColor="text1"/>
          <w:sz w:val="24"/>
          <w:szCs w:val="24"/>
        </w:rPr>
        <w:t xml:space="preserve"> disclosure</w:t>
      </w:r>
      <w:r w:rsidR="00A1105F" w:rsidRPr="005E73C2">
        <w:rPr>
          <w:rFonts w:asciiTheme="majorBidi" w:hAnsiTheme="majorBidi" w:cstheme="majorBidi"/>
          <w:color w:val="000000" w:themeColor="text1"/>
          <w:sz w:val="24"/>
          <w:szCs w:val="24"/>
        </w:rPr>
        <w:t>.</w:t>
      </w:r>
      <w:r w:rsidR="004E0DDE" w:rsidRPr="005E73C2">
        <w:rPr>
          <w:rFonts w:asciiTheme="majorBidi" w:hAnsiTheme="majorBidi" w:cstheme="majorBidi"/>
          <w:color w:val="000000" w:themeColor="text1"/>
          <w:sz w:val="24"/>
          <w:szCs w:val="24"/>
        </w:rPr>
        <w:t xml:space="preserve"> </w:t>
      </w:r>
    </w:p>
    <w:p w14:paraId="07437648" w14:textId="75C2010A" w:rsidR="00DF7D6A" w:rsidRDefault="009A5111" w:rsidP="000F7537">
      <w:pPr>
        <w:spacing w:line="480" w:lineRule="auto"/>
        <w:ind w:left="284" w:firstLine="420"/>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U</w:t>
      </w:r>
      <w:r w:rsidR="004E0DDE" w:rsidRPr="005E73C2">
        <w:rPr>
          <w:rFonts w:asciiTheme="majorBidi" w:hAnsiTheme="majorBidi" w:cstheme="majorBidi"/>
          <w:color w:val="000000" w:themeColor="text1"/>
          <w:sz w:val="24"/>
          <w:szCs w:val="28"/>
        </w:rPr>
        <w:t>sing a sample of UK firms from 2013 to 2020</w:t>
      </w:r>
      <w:r>
        <w:rPr>
          <w:rFonts w:asciiTheme="majorBidi" w:hAnsiTheme="majorBidi" w:cstheme="majorBidi"/>
          <w:color w:val="000000" w:themeColor="text1"/>
          <w:sz w:val="24"/>
          <w:szCs w:val="28"/>
        </w:rPr>
        <w:t xml:space="preserve">, </w:t>
      </w:r>
      <w:r w:rsidR="005450C1">
        <w:rPr>
          <w:rFonts w:asciiTheme="majorBidi" w:hAnsiTheme="majorBidi" w:cstheme="majorBidi"/>
          <w:color w:val="000000" w:themeColor="text1"/>
          <w:sz w:val="24"/>
          <w:szCs w:val="24"/>
        </w:rPr>
        <w:t>w</w:t>
      </w:r>
      <w:r w:rsidR="004E0DDE" w:rsidRPr="005E73C2">
        <w:rPr>
          <w:rFonts w:asciiTheme="majorBidi" w:hAnsiTheme="majorBidi" w:cstheme="majorBidi"/>
          <w:color w:val="000000" w:themeColor="text1"/>
          <w:sz w:val="24"/>
          <w:szCs w:val="24"/>
        </w:rPr>
        <w:t>e find that exclusions from non-IFRS earnings are significantly associated with companies’ future IFRS earnings</w:t>
      </w:r>
      <w:r w:rsidR="008A5C3D">
        <w:rPr>
          <w:rFonts w:asciiTheme="majorBidi" w:hAnsiTheme="majorBidi" w:cstheme="majorBidi"/>
          <w:color w:val="000000" w:themeColor="text1"/>
          <w:sz w:val="24"/>
          <w:szCs w:val="24"/>
        </w:rPr>
        <w:t>,</w:t>
      </w:r>
      <w:r w:rsidR="004E0DDE" w:rsidRPr="005E73C2">
        <w:rPr>
          <w:rFonts w:asciiTheme="majorBidi" w:hAnsiTheme="majorBidi" w:cstheme="majorBidi"/>
          <w:color w:val="000000" w:themeColor="text1"/>
          <w:sz w:val="24"/>
          <w:szCs w:val="24"/>
        </w:rPr>
        <w:t xml:space="preserve"> </w:t>
      </w:r>
      <w:r w:rsidR="009E142C">
        <w:rPr>
          <w:rFonts w:asciiTheme="majorBidi" w:hAnsiTheme="majorBidi" w:cstheme="majorBidi"/>
          <w:color w:val="000000" w:themeColor="text1"/>
          <w:sz w:val="24"/>
          <w:szCs w:val="24"/>
        </w:rPr>
        <w:t>which are</w:t>
      </w:r>
      <w:r w:rsidR="004E0DDE" w:rsidRPr="005E73C2">
        <w:rPr>
          <w:rFonts w:asciiTheme="majorBidi" w:hAnsiTheme="majorBidi" w:cstheme="majorBidi"/>
          <w:color w:val="000000" w:themeColor="text1"/>
          <w:sz w:val="24"/>
          <w:szCs w:val="24"/>
        </w:rPr>
        <w:t xml:space="preserve"> more pronounced when </w:t>
      </w:r>
      <w:r w:rsidR="009E142C">
        <w:rPr>
          <w:rFonts w:asciiTheme="majorBidi" w:hAnsiTheme="majorBidi" w:cstheme="majorBidi"/>
          <w:color w:val="000000" w:themeColor="text1"/>
          <w:sz w:val="24"/>
          <w:szCs w:val="24"/>
        </w:rPr>
        <w:t>they</w:t>
      </w:r>
      <w:r w:rsidR="004E0DDE" w:rsidRPr="005E73C2">
        <w:rPr>
          <w:rFonts w:asciiTheme="majorBidi" w:hAnsiTheme="majorBidi" w:cstheme="majorBidi"/>
          <w:color w:val="000000" w:themeColor="text1"/>
          <w:sz w:val="24"/>
          <w:szCs w:val="24"/>
        </w:rPr>
        <w:t xml:space="preserve"> allow UK firms to report non-IFRS earnings higher than IFRS earnings</w:t>
      </w:r>
      <w:r w:rsidR="008A5C3D">
        <w:rPr>
          <w:rFonts w:asciiTheme="majorBidi" w:hAnsiTheme="majorBidi" w:cstheme="majorBidi"/>
          <w:color w:val="000000" w:themeColor="text1"/>
          <w:sz w:val="24"/>
          <w:szCs w:val="24"/>
        </w:rPr>
        <w:t>,</w:t>
      </w:r>
      <w:r w:rsidR="004E0DDE" w:rsidRPr="005E73C2">
        <w:rPr>
          <w:rFonts w:asciiTheme="majorBidi" w:hAnsiTheme="majorBidi" w:cstheme="majorBidi"/>
          <w:color w:val="000000" w:themeColor="text1"/>
          <w:sz w:val="24"/>
          <w:szCs w:val="24"/>
        </w:rPr>
        <w:t xml:space="preserve"> suggesting that </w:t>
      </w:r>
      <w:r>
        <w:rPr>
          <w:rFonts w:asciiTheme="majorBidi" w:hAnsiTheme="majorBidi" w:cstheme="majorBidi"/>
          <w:color w:val="000000" w:themeColor="text1"/>
          <w:sz w:val="24"/>
          <w:szCs w:val="24"/>
        </w:rPr>
        <w:t xml:space="preserve">some </w:t>
      </w:r>
      <w:r w:rsidR="004E0DDE" w:rsidRPr="005E73C2">
        <w:rPr>
          <w:rFonts w:asciiTheme="majorBidi" w:hAnsiTheme="majorBidi" w:cstheme="majorBidi"/>
          <w:color w:val="000000" w:themeColor="text1"/>
          <w:sz w:val="24"/>
          <w:szCs w:val="24"/>
        </w:rPr>
        <w:t xml:space="preserve">UK firms misuse current flexibility around non-IFRS disclosure for opportunistic instead of informative purposes. Furthermore, our findings suggest this opportunistic use of non-IFRS is strengthened when the AC is chaired by a narcissistic individual. </w:t>
      </w:r>
      <w:r w:rsidR="00DF7D6A">
        <w:rPr>
          <w:rFonts w:asciiTheme="majorBidi" w:hAnsiTheme="majorBidi" w:cstheme="majorBidi"/>
          <w:color w:val="000000" w:themeColor="text1"/>
          <w:sz w:val="24"/>
          <w:szCs w:val="24"/>
        </w:rPr>
        <w:t>T</w:t>
      </w:r>
      <w:r w:rsidR="004E0DDE" w:rsidRPr="005E73C2">
        <w:rPr>
          <w:rFonts w:asciiTheme="majorBidi" w:hAnsiTheme="majorBidi" w:cstheme="majorBidi"/>
          <w:color w:val="000000" w:themeColor="text1"/>
          <w:sz w:val="24"/>
          <w:szCs w:val="24"/>
        </w:rPr>
        <w:t xml:space="preserve">his </w:t>
      </w:r>
      <w:r w:rsidR="00D92C95">
        <w:rPr>
          <w:rFonts w:asciiTheme="majorBidi" w:hAnsiTheme="majorBidi" w:cstheme="majorBidi"/>
          <w:color w:val="000000" w:themeColor="text1"/>
          <w:sz w:val="24"/>
          <w:szCs w:val="24"/>
        </w:rPr>
        <w:t xml:space="preserve">may be interpreted as </w:t>
      </w:r>
      <w:r w:rsidR="00A35686">
        <w:rPr>
          <w:rFonts w:asciiTheme="majorBidi" w:hAnsiTheme="majorBidi" w:cstheme="majorBidi"/>
          <w:color w:val="000000" w:themeColor="text1"/>
          <w:sz w:val="24"/>
          <w:szCs w:val="24"/>
        </w:rPr>
        <w:t>these</w:t>
      </w:r>
      <w:r w:rsidR="00CB6131">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chairs</w:t>
      </w:r>
      <w:r w:rsidR="005450C1">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 xml:space="preserve">optimistically </w:t>
      </w:r>
      <w:r w:rsidR="000257C7" w:rsidRPr="005E73C2">
        <w:rPr>
          <w:rFonts w:asciiTheme="majorBidi" w:hAnsiTheme="majorBidi" w:cstheme="majorBidi"/>
          <w:color w:val="000000" w:themeColor="text1"/>
          <w:sz w:val="24"/>
          <w:szCs w:val="24"/>
        </w:rPr>
        <w:t>harbor</w:t>
      </w:r>
      <w:r w:rsidR="00BB0BE4">
        <w:rPr>
          <w:rFonts w:asciiTheme="majorBidi" w:hAnsiTheme="majorBidi" w:cstheme="majorBidi"/>
          <w:color w:val="000000" w:themeColor="text1"/>
          <w:sz w:val="24"/>
          <w:szCs w:val="24"/>
        </w:rPr>
        <w:t>ing</w:t>
      </w:r>
      <w:r w:rsidR="004E0DDE" w:rsidRPr="005E73C2">
        <w:rPr>
          <w:rFonts w:asciiTheme="majorBidi" w:hAnsiTheme="majorBidi" w:cstheme="majorBidi"/>
          <w:color w:val="000000" w:themeColor="text1"/>
          <w:sz w:val="24"/>
          <w:szCs w:val="24"/>
        </w:rPr>
        <w:t xml:space="preserve"> illusions </w:t>
      </w:r>
      <w:r w:rsidR="00BB0BE4">
        <w:rPr>
          <w:rFonts w:asciiTheme="majorBidi" w:hAnsiTheme="majorBidi" w:cstheme="majorBidi"/>
          <w:color w:val="000000" w:themeColor="text1"/>
          <w:sz w:val="24"/>
          <w:szCs w:val="24"/>
        </w:rPr>
        <w:t>of having</w:t>
      </w:r>
      <w:r w:rsidR="004E0DDE" w:rsidRPr="005E73C2">
        <w:rPr>
          <w:rFonts w:asciiTheme="majorBidi" w:hAnsiTheme="majorBidi" w:cstheme="majorBidi"/>
          <w:color w:val="000000" w:themeColor="text1"/>
          <w:sz w:val="24"/>
          <w:szCs w:val="24"/>
        </w:rPr>
        <w:t xml:space="preserve"> superior</w:t>
      </w:r>
      <w:r w:rsidR="00BB0BE4">
        <w:rPr>
          <w:rFonts w:asciiTheme="majorBidi" w:hAnsiTheme="majorBidi" w:cstheme="majorBidi"/>
          <w:color w:val="000000" w:themeColor="text1"/>
          <w:sz w:val="24"/>
          <w:szCs w:val="24"/>
        </w:rPr>
        <w:t xml:space="preserve"> abilities</w:t>
      </w:r>
      <w:r w:rsidR="004E0DDE" w:rsidRPr="005E73C2">
        <w:rPr>
          <w:rFonts w:asciiTheme="majorBidi" w:hAnsiTheme="majorBidi" w:cstheme="majorBidi"/>
          <w:color w:val="000000" w:themeColor="text1"/>
          <w:sz w:val="24"/>
          <w:szCs w:val="24"/>
        </w:rPr>
        <w:t>, undermining their monitoring efforts</w:t>
      </w:r>
      <w:r w:rsidR="00DF7D6A">
        <w:rPr>
          <w:rFonts w:asciiTheme="majorBidi" w:hAnsiTheme="majorBidi" w:cstheme="majorBidi"/>
          <w:color w:val="000000" w:themeColor="text1"/>
          <w:sz w:val="24"/>
          <w:szCs w:val="24"/>
        </w:rPr>
        <w:t xml:space="preserve">. </w:t>
      </w:r>
    </w:p>
    <w:p w14:paraId="4964D969" w14:textId="13ABCE0C" w:rsidR="004E0DDE" w:rsidRPr="00E84F5D" w:rsidRDefault="001D1DD2" w:rsidP="00911306">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However,</w:t>
      </w:r>
      <w:r w:rsidR="000F753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we </w:t>
      </w:r>
      <w:r w:rsidR="000F7537">
        <w:rPr>
          <w:rFonts w:asciiTheme="majorBidi" w:hAnsiTheme="majorBidi" w:cstheme="majorBidi"/>
          <w:color w:val="000000" w:themeColor="text1"/>
          <w:sz w:val="24"/>
          <w:szCs w:val="28"/>
        </w:rPr>
        <w:t xml:space="preserve">postulate </w:t>
      </w:r>
      <w:r w:rsidR="000F7537" w:rsidRPr="00B007E6">
        <w:rPr>
          <w:rFonts w:asciiTheme="majorBidi" w:hAnsiTheme="majorBidi" w:cstheme="majorBidi"/>
          <w:color w:val="000000" w:themeColor="text1"/>
          <w:sz w:val="24"/>
          <w:szCs w:val="28"/>
        </w:rPr>
        <w:t xml:space="preserve">that narcissists’ motivations and ability to monitor executive directors might be contingent on other factors, such as their </w:t>
      </w:r>
      <w:r w:rsidR="000F7537">
        <w:rPr>
          <w:rFonts w:asciiTheme="majorBidi" w:hAnsiTheme="majorBidi" w:cstheme="majorBidi"/>
          <w:color w:val="000000" w:themeColor="text1"/>
          <w:sz w:val="24"/>
          <w:szCs w:val="28"/>
        </w:rPr>
        <w:t xml:space="preserve">competence and </w:t>
      </w:r>
      <w:r w:rsidR="000F7537" w:rsidRPr="00B007E6">
        <w:rPr>
          <w:rFonts w:asciiTheme="majorBidi" w:hAnsiTheme="majorBidi" w:cstheme="majorBidi"/>
          <w:color w:val="000000" w:themeColor="text1"/>
          <w:sz w:val="24"/>
          <w:szCs w:val="28"/>
        </w:rPr>
        <w:t>expertise</w:t>
      </w:r>
      <w:r w:rsidR="000F7537">
        <w:rPr>
          <w:rFonts w:asciiTheme="majorBidi" w:hAnsiTheme="majorBidi" w:cstheme="majorBidi"/>
          <w:color w:val="000000" w:themeColor="text1"/>
          <w:sz w:val="24"/>
          <w:szCs w:val="28"/>
        </w:rPr>
        <w:t xml:space="preserve">, </w:t>
      </w:r>
      <w:r w:rsidR="00F00652">
        <w:rPr>
          <w:rFonts w:asciiTheme="majorBidi" w:hAnsiTheme="majorBidi" w:cstheme="majorBidi"/>
          <w:color w:val="000000" w:themeColor="text1"/>
          <w:sz w:val="24"/>
          <w:szCs w:val="28"/>
        </w:rPr>
        <w:t xml:space="preserve">power distribution, independence, </w:t>
      </w:r>
      <w:r w:rsidR="000F7537">
        <w:rPr>
          <w:rFonts w:asciiTheme="majorBidi" w:hAnsiTheme="majorBidi" w:cstheme="majorBidi"/>
          <w:color w:val="000000" w:themeColor="text1"/>
          <w:sz w:val="24"/>
          <w:szCs w:val="28"/>
        </w:rPr>
        <w:t xml:space="preserve">or the firm </w:t>
      </w:r>
      <w:r w:rsidR="000F7537" w:rsidRPr="00B007E6">
        <w:rPr>
          <w:rFonts w:asciiTheme="majorBidi" w:hAnsiTheme="majorBidi" w:cstheme="majorBidi"/>
          <w:color w:val="000000" w:themeColor="text1"/>
          <w:sz w:val="24"/>
          <w:szCs w:val="28"/>
        </w:rPr>
        <w:t>complex</w:t>
      </w:r>
      <w:r w:rsidR="000F7537">
        <w:rPr>
          <w:rFonts w:asciiTheme="majorBidi" w:hAnsiTheme="majorBidi" w:cstheme="majorBidi"/>
          <w:color w:val="000000" w:themeColor="text1"/>
          <w:sz w:val="24"/>
          <w:szCs w:val="28"/>
        </w:rPr>
        <w:t>ity</w:t>
      </w:r>
      <w:r w:rsidR="000F7537" w:rsidRPr="00B007E6">
        <w:rPr>
          <w:rFonts w:asciiTheme="majorBidi" w:hAnsiTheme="majorBidi" w:cstheme="majorBidi"/>
          <w:color w:val="000000" w:themeColor="text1"/>
          <w:sz w:val="24"/>
          <w:szCs w:val="28"/>
        </w:rPr>
        <w:t>.</w:t>
      </w:r>
      <w:r w:rsidR="00F00652">
        <w:rPr>
          <w:rFonts w:asciiTheme="majorBidi" w:hAnsiTheme="majorBidi" w:cstheme="majorBidi"/>
          <w:color w:val="000000" w:themeColor="text1"/>
          <w:sz w:val="24"/>
          <w:szCs w:val="24"/>
        </w:rPr>
        <w:t xml:space="preserve"> Therefore</w:t>
      </w:r>
      <w:r w:rsidR="00A44FFF">
        <w:rPr>
          <w:rFonts w:asciiTheme="majorBidi" w:hAnsiTheme="majorBidi" w:cstheme="majorBidi"/>
          <w:color w:val="000000" w:themeColor="text1"/>
          <w:sz w:val="24"/>
          <w:szCs w:val="24"/>
        </w:rPr>
        <w:t xml:space="preserve">, </w:t>
      </w:r>
      <w:r w:rsidR="00A44FFF" w:rsidRPr="005E73C2">
        <w:rPr>
          <w:rFonts w:asciiTheme="majorBidi" w:hAnsiTheme="majorBidi" w:cstheme="majorBidi"/>
          <w:color w:val="000000" w:themeColor="text1"/>
          <w:sz w:val="24"/>
          <w:szCs w:val="24"/>
        </w:rPr>
        <w:t>we</w:t>
      </w:r>
      <w:r w:rsidR="00311D2F">
        <w:rPr>
          <w:rFonts w:asciiTheme="majorBidi" w:hAnsiTheme="majorBidi" w:cstheme="majorBidi"/>
          <w:color w:val="000000" w:themeColor="text1"/>
          <w:sz w:val="24"/>
          <w:szCs w:val="24"/>
        </w:rPr>
        <w:t xml:space="preserve"> conduct further analysis by</w:t>
      </w:r>
      <w:r w:rsidR="00DF7D6A">
        <w:rPr>
          <w:rFonts w:asciiTheme="majorBidi" w:hAnsiTheme="majorBidi" w:cstheme="majorBidi"/>
          <w:color w:val="000000" w:themeColor="text1"/>
          <w:sz w:val="24"/>
          <w:szCs w:val="24"/>
        </w:rPr>
        <w:t xml:space="preserve"> us</w:t>
      </w:r>
      <w:r w:rsidR="00311D2F">
        <w:rPr>
          <w:rFonts w:asciiTheme="majorBidi" w:hAnsiTheme="majorBidi" w:cstheme="majorBidi"/>
          <w:color w:val="000000" w:themeColor="text1"/>
          <w:sz w:val="24"/>
          <w:szCs w:val="24"/>
        </w:rPr>
        <w:t>ing</w:t>
      </w:r>
      <w:r w:rsidR="00DF7D6A">
        <w:rPr>
          <w:rFonts w:asciiTheme="majorBidi" w:hAnsiTheme="majorBidi" w:cstheme="majorBidi"/>
          <w:color w:val="000000" w:themeColor="text1"/>
          <w:sz w:val="24"/>
          <w:szCs w:val="24"/>
        </w:rPr>
        <w:t xml:space="preserve"> three proxies for </w:t>
      </w:r>
      <w:r w:rsidR="00311D2F">
        <w:rPr>
          <w:rFonts w:asciiTheme="majorBidi" w:hAnsiTheme="majorBidi" w:cstheme="majorBidi"/>
          <w:color w:val="000000" w:themeColor="text1"/>
          <w:sz w:val="24"/>
          <w:szCs w:val="24"/>
        </w:rPr>
        <w:t>AC chair</w:t>
      </w:r>
      <w:r w:rsidR="004E0DDE" w:rsidRPr="005E73C2">
        <w:rPr>
          <w:rFonts w:asciiTheme="majorBidi" w:hAnsiTheme="majorBidi" w:cstheme="majorBidi"/>
          <w:color w:val="000000" w:themeColor="text1"/>
          <w:sz w:val="24"/>
          <w:szCs w:val="24"/>
        </w:rPr>
        <w:t xml:space="preserve"> experience</w:t>
      </w:r>
      <w:r w:rsidR="00CB6131">
        <w:rPr>
          <w:rFonts w:asciiTheme="majorBidi" w:hAnsiTheme="majorBidi" w:cstheme="majorBidi"/>
          <w:color w:val="000000" w:themeColor="text1"/>
          <w:sz w:val="24"/>
          <w:szCs w:val="24"/>
        </w:rPr>
        <w:t xml:space="preserve">, namely </w:t>
      </w:r>
      <w:r w:rsidR="004E0DDE" w:rsidRPr="005E73C2">
        <w:rPr>
          <w:rFonts w:asciiTheme="majorBidi" w:hAnsiTheme="majorBidi" w:cstheme="majorBidi"/>
          <w:color w:val="000000" w:themeColor="text1"/>
          <w:sz w:val="24"/>
          <w:szCs w:val="24"/>
        </w:rPr>
        <w:t>having accounting expertise, long-term firm-specific knowle</w:t>
      </w:r>
      <w:r w:rsidR="004E0DDE" w:rsidRPr="00A22E2C">
        <w:rPr>
          <w:rFonts w:asciiTheme="majorBidi" w:hAnsiTheme="majorBidi" w:cstheme="majorBidi"/>
          <w:color w:val="000000" w:themeColor="text1"/>
          <w:sz w:val="24"/>
          <w:szCs w:val="24"/>
        </w:rPr>
        <w:t>dge</w:t>
      </w:r>
      <w:r w:rsidR="00A22E2C">
        <w:rPr>
          <w:rFonts w:asciiTheme="majorBidi" w:hAnsiTheme="majorBidi" w:cstheme="majorBidi"/>
          <w:color w:val="000000" w:themeColor="text1"/>
          <w:sz w:val="24"/>
          <w:szCs w:val="24"/>
        </w:rPr>
        <w:t>,</w:t>
      </w:r>
      <w:r w:rsidR="004E0DDE" w:rsidRPr="005E73C2">
        <w:rPr>
          <w:rFonts w:asciiTheme="majorBidi" w:hAnsiTheme="majorBidi" w:cstheme="majorBidi"/>
          <w:color w:val="000000" w:themeColor="text1"/>
          <w:sz w:val="24"/>
          <w:szCs w:val="24"/>
        </w:rPr>
        <w:t xml:space="preserve"> and corporate governance experience. Interestingly, </w:t>
      </w:r>
      <w:r w:rsidR="00311D2F">
        <w:rPr>
          <w:rFonts w:asciiTheme="majorBidi" w:hAnsiTheme="majorBidi" w:cstheme="majorBidi"/>
          <w:color w:val="000000" w:themeColor="text1"/>
          <w:sz w:val="24"/>
          <w:szCs w:val="24"/>
        </w:rPr>
        <w:t>the results</w:t>
      </w:r>
      <w:r w:rsidR="004E0DDE" w:rsidRPr="005E73C2">
        <w:rPr>
          <w:rFonts w:asciiTheme="majorBidi" w:hAnsiTheme="majorBidi" w:cstheme="majorBidi"/>
          <w:color w:val="000000" w:themeColor="text1"/>
          <w:sz w:val="24"/>
          <w:szCs w:val="24"/>
        </w:rPr>
        <w:t xml:space="preserve"> suggest that, </w:t>
      </w:r>
      <w:r w:rsidR="001C416B">
        <w:rPr>
          <w:rFonts w:asciiTheme="majorBidi" w:hAnsiTheme="majorBidi" w:cstheme="majorBidi"/>
          <w:color w:val="000000" w:themeColor="text1"/>
          <w:sz w:val="24"/>
          <w:szCs w:val="24"/>
        </w:rPr>
        <w:t>when</w:t>
      </w:r>
      <w:r w:rsidR="004E0DDE" w:rsidRPr="005E73C2">
        <w:rPr>
          <w:rFonts w:asciiTheme="majorBidi" w:hAnsiTheme="majorBidi" w:cstheme="majorBidi"/>
          <w:color w:val="000000" w:themeColor="text1"/>
          <w:sz w:val="24"/>
          <w:szCs w:val="24"/>
        </w:rPr>
        <w:t xml:space="preserve"> a narcissistic AC chair </w:t>
      </w:r>
      <w:r w:rsidR="001C416B">
        <w:rPr>
          <w:rFonts w:asciiTheme="majorBidi" w:hAnsiTheme="majorBidi" w:cstheme="majorBidi"/>
          <w:color w:val="000000" w:themeColor="text1"/>
          <w:sz w:val="24"/>
          <w:szCs w:val="24"/>
        </w:rPr>
        <w:t>has</w:t>
      </w:r>
      <w:r w:rsidR="001C416B" w:rsidRPr="005E73C2">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relevant</w:t>
      </w:r>
      <w:r w:rsidR="00311D2F">
        <w:rPr>
          <w:rFonts w:asciiTheme="majorBidi" w:hAnsiTheme="majorBidi" w:cstheme="majorBidi"/>
          <w:color w:val="000000" w:themeColor="text1"/>
          <w:sz w:val="24"/>
          <w:szCs w:val="24"/>
        </w:rPr>
        <w:t xml:space="preserve"> experience</w:t>
      </w:r>
      <w:r w:rsidR="00274F7D">
        <w:rPr>
          <w:rFonts w:asciiTheme="majorBidi" w:hAnsiTheme="majorBidi" w:cstheme="majorBidi"/>
          <w:color w:val="000000" w:themeColor="text1"/>
          <w:sz w:val="24"/>
          <w:szCs w:val="24"/>
        </w:rPr>
        <w:t xml:space="preserve">, </w:t>
      </w:r>
      <w:r w:rsidR="00CB6131">
        <w:rPr>
          <w:rFonts w:asciiTheme="majorBidi" w:hAnsiTheme="majorBidi" w:cstheme="majorBidi"/>
          <w:color w:val="000000" w:themeColor="text1"/>
          <w:sz w:val="24"/>
          <w:szCs w:val="24"/>
        </w:rPr>
        <w:t xml:space="preserve">the exclusion of </w:t>
      </w:r>
      <w:r w:rsidR="00274F7D" w:rsidRPr="005E73C2">
        <w:rPr>
          <w:rFonts w:asciiTheme="majorBidi" w:hAnsiTheme="majorBidi" w:cstheme="majorBidi"/>
          <w:color w:val="000000" w:themeColor="text1"/>
          <w:sz w:val="24"/>
          <w:szCs w:val="24"/>
        </w:rPr>
        <w:t>expenses</w:t>
      </w:r>
      <w:r w:rsidR="004E0DDE" w:rsidRPr="005E73C2">
        <w:rPr>
          <w:rFonts w:asciiTheme="majorBidi" w:hAnsiTheme="majorBidi" w:cstheme="majorBidi"/>
          <w:color w:val="000000" w:themeColor="text1"/>
          <w:sz w:val="24"/>
          <w:szCs w:val="24"/>
        </w:rPr>
        <w:t xml:space="preserve"> from non-IFRS earnings </w:t>
      </w:r>
      <w:r w:rsidR="00CB6131">
        <w:rPr>
          <w:rFonts w:asciiTheme="majorBidi" w:hAnsiTheme="majorBidi" w:cstheme="majorBidi"/>
          <w:color w:val="000000" w:themeColor="text1"/>
          <w:sz w:val="24"/>
          <w:szCs w:val="24"/>
        </w:rPr>
        <w:t xml:space="preserve">is </w:t>
      </w:r>
      <w:r w:rsidR="00274F7D" w:rsidRPr="00274F7D">
        <w:rPr>
          <w:rFonts w:asciiTheme="majorBidi" w:hAnsiTheme="majorBidi" w:cstheme="majorBidi"/>
          <w:color w:val="000000" w:themeColor="text1"/>
          <w:sz w:val="24"/>
          <w:szCs w:val="24"/>
        </w:rPr>
        <w:t>primarily</w:t>
      </w:r>
      <w:r w:rsidR="001C416B" w:rsidRPr="001C416B">
        <w:rPr>
          <w:rFonts w:ascii="Times New Roman" w:eastAsia="Times New Roman" w:hAnsi="Times New Roman" w:cs="Times New Roman"/>
          <w:kern w:val="0"/>
          <w:sz w:val="24"/>
          <w:szCs w:val="24"/>
          <w:lang w:eastAsia="en-GB"/>
        </w:rPr>
        <w:t xml:space="preserve"> intended</w:t>
      </w:r>
      <w:r w:rsidR="004E0DDE" w:rsidRPr="005E73C2">
        <w:rPr>
          <w:rFonts w:asciiTheme="majorBidi" w:hAnsiTheme="majorBidi" w:cstheme="majorBidi"/>
          <w:color w:val="000000" w:themeColor="text1"/>
          <w:sz w:val="24"/>
          <w:szCs w:val="24"/>
        </w:rPr>
        <w:t xml:space="preserve"> </w:t>
      </w:r>
      <w:r w:rsidR="00CB6131">
        <w:rPr>
          <w:rFonts w:asciiTheme="majorBidi" w:hAnsiTheme="majorBidi" w:cstheme="majorBidi"/>
          <w:color w:val="000000" w:themeColor="text1"/>
          <w:sz w:val="24"/>
          <w:szCs w:val="24"/>
        </w:rPr>
        <w:t xml:space="preserve">to be </w:t>
      </w:r>
      <w:r w:rsidR="004E0DDE" w:rsidRPr="005E73C2">
        <w:rPr>
          <w:rFonts w:asciiTheme="majorBidi" w:hAnsiTheme="majorBidi" w:cstheme="majorBidi"/>
          <w:color w:val="000000" w:themeColor="text1"/>
          <w:sz w:val="24"/>
          <w:szCs w:val="24"/>
        </w:rPr>
        <w:t xml:space="preserve">informative. </w:t>
      </w:r>
      <w:r w:rsidR="00A9708A" w:rsidRPr="00A9708A">
        <w:rPr>
          <w:rFonts w:asciiTheme="majorBidi" w:hAnsiTheme="majorBidi" w:cstheme="majorBidi"/>
          <w:color w:val="000000" w:themeColor="text1"/>
          <w:sz w:val="24"/>
          <w:szCs w:val="24"/>
        </w:rPr>
        <w:t xml:space="preserve">Furthermore, we find that narcissistic AC chairs are more likely to exercise independent judgment and allow non-IFRS exclusions for informative purposes only when </w:t>
      </w:r>
      <w:r w:rsidR="00F00652">
        <w:rPr>
          <w:rFonts w:asciiTheme="majorBidi" w:hAnsiTheme="majorBidi" w:cstheme="majorBidi"/>
          <w:color w:val="000000" w:themeColor="text1"/>
          <w:sz w:val="24"/>
          <w:szCs w:val="24"/>
        </w:rPr>
        <w:t>CEOs have less power</w:t>
      </w:r>
      <w:r w:rsidR="00A9708A" w:rsidRPr="00A9708A">
        <w:rPr>
          <w:rFonts w:asciiTheme="majorBidi" w:hAnsiTheme="majorBidi" w:cstheme="majorBidi"/>
          <w:color w:val="000000" w:themeColor="text1"/>
          <w:sz w:val="24"/>
          <w:szCs w:val="24"/>
        </w:rPr>
        <w:t>.</w:t>
      </w:r>
      <w:r w:rsidR="00A9708A" w:rsidRPr="0040259E">
        <w:rPr>
          <w:rFonts w:asciiTheme="majorBidi" w:hAnsiTheme="majorBidi" w:cstheme="majorBidi"/>
          <w:color w:val="000000" w:themeColor="text1"/>
          <w:sz w:val="24"/>
          <w:szCs w:val="24"/>
        </w:rPr>
        <w:t xml:space="preserve"> Finally, our findings suggest that narcissistic AC chairs enhance the quality of non-IFRS exclusions, particularly in environments requiring intensive monitoring, such as firms with complex </w:t>
      </w:r>
      <w:r w:rsidR="00A9708A" w:rsidRPr="0040259E">
        <w:rPr>
          <w:rFonts w:asciiTheme="majorBidi" w:hAnsiTheme="majorBidi" w:cstheme="majorBidi"/>
          <w:color w:val="000000" w:themeColor="text1"/>
          <w:sz w:val="24"/>
          <w:szCs w:val="24"/>
        </w:rPr>
        <w:lastRenderedPageBreak/>
        <w:t xml:space="preserve">operations. </w:t>
      </w:r>
      <w:r w:rsidR="004E0DDE" w:rsidRPr="00E84F5D">
        <w:rPr>
          <w:rFonts w:asciiTheme="majorBidi" w:hAnsiTheme="majorBidi" w:cstheme="majorBidi"/>
          <w:color w:val="000000" w:themeColor="text1"/>
          <w:sz w:val="24"/>
          <w:szCs w:val="24"/>
        </w:rPr>
        <w:t xml:space="preserve">Our findings are robust to controlling for CEO narcissism and endogeneity issues. </w:t>
      </w:r>
    </w:p>
    <w:p w14:paraId="3CF55A5A" w14:textId="06F54227" w:rsidR="004E0DDE" w:rsidRPr="00C03560" w:rsidRDefault="004E0DDE" w:rsidP="002110AA">
      <w:pPr>
        <w:spacing w:line="480" w:lineRule="auto"/>
        <w:ind w:left="284" w:firstLine="420"/>
        <w:rPr>
          <w:rFonts w:asciiTheme="majorBidi" w:hAnsiTheme="majorBidi" w:cstheme="majorBidi"/>
          <w:color w:val="000000" w:themeColor="text1"/>
          <w:sz w:val="24"/>
          <w:szCs w:val="24"/>
        </w:rPr>
      </w:pPr>
      <w:r w:rsidRPr="00E84F5D">
        <w:rPr>
          <w:rFonts w:asciiTheme="majorBidi" w:hAnsiTheme="majorBidi" w:cstheme="majorBidi"/>
          <w:color w:val="000000" w:themeColor="text1"/>
          <w:sz w:val="24"/>
          <w:szCs w:val="28"/>
        </w:rPr>
        <w:t xml:space="preserve">Our study makes three major contributions. First, </w:t>
      </w:r>
      <w:r w:rsidR="001C416B" w:rsidRPr="00C03560">
        <w:rPr>
          <w:rFonts w:asciiTheme="majorBidi" w:hAnsiTheme="majorBidi" w:cstheme="majorBidi"/>
          <w:color w:val="000000" w:themeColor="text1"/>
          <w:sz w:val="24"/>
          <w:szCs w:val="24"/>
        </w:rPr>
        <w:t>while existing studies suggest that narcissism is value-destroying</w:t>
      </w:r>
      <w:r w:rsidR="001C416B">
        <w:rPr>
          <w:rFonts w:asciiTheme="majorBidi" w:hAnsiTheme="majorBidi" w:cstheme="majorBidi"/>
          <w:color w:val="000000" w:themeColor="text1"/>
          <w:sz w:val="24"/>
          <w:szCs w:val="24"/>
        </w:rPr>
        <w:t xml:space="preserve"> (</w:t>
      </w:r>
      <w:r w:rsidR="002110AA">
        <w:rPr>
          <w:rFonts w:asciiTheme="majorBidi" w:hAnsiTheme="majorBidi" w:cstheme="majorBidi"/>
          <w:color w:val="000000" w:themeColor="text1"/>
          <w:sz w:val="24"/>
          <w:szCs w:val="24"/>
        </w:rPr>
        <w:t>e.g</w:t>
      </w:r>
      <w:r w:rsidR="001C416B">
        <w:rPr>
          <w:rFonts w:asciiTheme="majorBidi" w:hAnsiTheme="majorBidi" w:cstheme="majorBidi"/>
          <w:color w:val="000000" w:themeColor="text1"/>
          <w:sz w:val="24"/>
          <w:szCs w:val="24"/>
        </w:rPr>
        <w:t xml:space="preserve">., </w:t>
      </w:r>
      <w:r w:rsidR="001C416B" w:rsidRPr="00EB0466">
        <w:rPr>
          <w:rFonts w:asciiTheme="majorBidi" w:hAnsiTheme="majorBidi" w:cstheme="majorBidi"/>
          <w:sz w:val="24"/>
          <w:szCs w:val="24"/>
        </w:rPr>
        <w:t>Abdel-</w:t>
      </w:r>
      <w:proofErr w:type="spellStart"/>
      <w:r w:rsidR="001C416B" w:rsidRPr="00EB0466">
        <w:rPr>
          <w:rFonts w:asciiTheme="majorBidi" w:hAnsiTheme="majorBidi" w:cstheme="majorBidi"/>
          <w:sz w:val="24"/>
          <w:szCs w:val="24"/>
        </w:rPr>
        <w:t>Meguid</w:t>
      </w:r>
      <w:proofErr w:type="spellEnd"/>
      <w:r w:rsidR="001C416B">
        <w:rPr>
          <w:rFonts w:asciiTheme="majorBidi" w:hAnsiTheme="majorBidi" w:cstheme="majorBidi"/>
          <w:sz w:val="24"/>
          <w:szCs w:val="24"/>
        </w:rPr>
        <w:t xml:space="preserve"> et al., 2021)</w:t>
      </w:r>
      <w:r w:rsidR="001C416B" w:rsidRPr="00C03560">
        <w:rPr>
          <w:rFonts w:asciiTheme="majorBidi" w:hAnsiTheme="majorBidi" w:cstheme="majorBidi"/>
          <w:color w:val="000000" w:themeColor="text1"/>
          <w:sz w:val="24"/>
          <w:szCs w:val="24"/>
        </w:rPr>
        <w:t xml:space="preserve">, our findings suggest that this attribute enhances the quality of non-IFRS earnings. Specifically, </w:t>
      </w:r>
      <w:r w:rsidR="001C416B">
        <w:rPr>
          <w:rFonts w:asciiTheme="majorBidi" w:hAnsiTheme="majorBidi" w:cstheme="majorBidi"/>
          <w:color w:val="000000" w:themeColor="text1"/>
          <w:sz w:val="24"/>
          <w:szCs w:val="24"/>
        </w:rPr>
        <w:t>while o</w:t>
      </w:r>
      <w:r w:rsidR="001C416B" w:rsidRPr="00C03560">
        <w:rPr>
          <w:rFonts w:asciiTheme="majorBidi" w:hAnsiTheme="majorBidi" w:cstheme="majorBidi"/>
          <w:color w:val="000000" w:themeColor="text1"/>
          <w:sz w:val="24"/>
          <w:szCs w:val="24"/>
        </w:rPr>
        <w:t xml:space="preserve">ur results indicate that </w:t>
      </w:r>
      <w:r w:rsidR="001C416B" w:rsidRPr="005E73C2">
        <w:rPr>
          <w:rFonts w:asciiTheme="majorBidi" w:hAnsiTheme="majorBidi" w:cstheme="majorBidi"/>
          <w:color w:val="000000" w:themeColor="text1"/>
          <w:sz w:val="24"/>
          <w:szCs w:val="24"/>
        </w:rPr>
        <w:t xml:space="preserve">narcissistic </w:t>
      </w:r>
      <w:r w:rsidR="001C416B">
        <w:rPr>
          <w:rFonts w:asciiTheme="majorBidi" w:hAnsiTheme="majorBidi" w:cstheme="majorBidi"/>
          <w:color w:val="000000" w:themeColor="text1"/>
          <w:sz w:val="24"/>
          <w:szCs w:val="24"/>
        </w:rPr>
        <w:t xml:space="preserve">AC chairs could </w:t>
      </w:r>
      <w:r w:rsidR="001C416B" w:rsidRPr="00C03560">
        <w:rPr>
          <w:rFonts w:asciiTheme="majorBidi" w:hAnsiTheme="majorBidi" w:cstheme="majorBidi"/>
          <w:color w:val="000000" w:themeColor="text1"/>
          <w:sz w:val="24"/>
          <w:szCs w:val="24"/>
        </w:rPr>
        <w:t>undermine the quality of non-IFRS exclusions when they have significant personal ties with the</w:t>
      </w:r>
      <w:r w:rsidR="001C416B">
        <w:rPr>
          <w:rFonts w:asciiTheme="majorBidi" w:hAnsiTheme="majorBidi" w:cstheme="majorBidi"/>
          <w:color w:val="000000" w:themeColor="text1"/>
          <w:sz w:val="24"/>
          <w:szCs w:val="24"/>
        </w:rPr>
        <w:t>ir</w:t>
      </w:r>
      <w:r w:rsidR="001C416B" w:rsidRPr="00C03560">
        <w:rPr>
          <w:rFonts w:asciiTheme="majorBidi" w:hAnsiTheme="majorBidi" w:cstheme="majorBidi"/>
          <w:color w:val="000000" w:themeColor="text1"/>
          <w:sz w:val="24"/>
          <w:szCs w:val="24"/>
        </w:rPr>
        <w:t xml:space="preserve"> CEO</w:t>
      </w:r>
      <w:r w:rsidR="001C416B">
        <w:rPr>
          <w:rFonts w:asciiTheme="majorBidi" w:hAnsiTheme="majorBidi" w:cstheme="majorBidi"/>
          <w:color w:val="000000" w:themeColor="text1"/>
          <w:sz w:val="24"/>
          <w:szCs w:val="24"/>
        </w:rPr>
        <w:t xml:space="preserve">s, </w:t>
      </w:r>
      <w:r w:rsidR="001C416B" w:rsidRPr="00C03560">
        <w:rPr>
          <w:rFonts w:asciiTheme="majorBidi" w:hAnsiTheme="majorBidi" w:cstheme="majorBidi"/>
          <w:color w:val="000000" w:themeColor="text1"/>
          <w:sz w:val="24"/>
          <w:szCs w:val="24"/>
        </w:rPr>
        <w:t xml:space="preserve">they </w:t>
      </w:r>
      <w:r w:rsidR="001C416B">
        <w:rPr>
          <w:rFonts w:asciiTheme="majorBidi" w:hAnsiTheme="majorBidi" w:cstheme="majorBidi"/>
          <w:color w:val="000000" w:themeColor="text1"/>
          <w:sz w:val="24"/>
          <w:szCs w:val="24"/>
        </w:rPr>
        <w:t xml:space="preserve">tend to </w:t>
      </w:r>
      <w:r w:rsidR="001C416B" w:rsidRPr="00C03560">
        <w:rPr>
          <w:rFonts w:asciiTheme="majorBidi" w:hAnsiTheme="majorBidi" w:cstheme="majorBidi"/>
          <w:color w:val="000000" w:themeColor="text1"/>
          <w:sz w:val="24"/>
          <w:szCs w:val="24"/>
        </w:rPr>
        <w:t xml:space="preserve">improve the quality of non-IFRS exclusions when they are motivated to showcase their abilities and assert their authority in monitoring. This improvement occurs especially when they possess relevant experience, such as accounting expertise, firm-specific </w:t>
      </w:r>
      <w:r w:rsidR="001C416B" w:rsidRPr="00A22E2C">
        <w:rPr>
          <w:rFonts w:asciiTheme="majorBidi" w:hAnsiTheme="majorBidi" w:cstheme="majorBidi"/>
          <w:color w:val="000000" w:themeColor="text1"/>
          <w:sz w:val="24"/>
          <w:szCs w:val="24"/>
        </w:rPr>
        <w:t>knowledge,</w:t>
      </w:r>
      <w:r w:rsidR="001C416B" w:rsidRPr="00C03560">
        <w:rPr>
          <w:rFonts w:asciiTheme="majorBidi" w:hAnsiTheme="majorBidi" w:cstheme="majorBidi"/>
          <w:color w:val="000000" w:themeColor="text1"/>
          <w:sz w:val="24"/>
          <w:szCs w:val="24"/>
        </w:rPr>
        <w:t xml:space="preserve"> </w:t>
      </w:r>
      <w:r w:rsidR="001C416B">
        <w:rPr>
          <w:rFonts w:asciiTheme="majorBidi" w:hAnsiTheme="majorBidi" w:cstheme="majorBidi"/>
          <w:color w:val="000000" w:themeColor="text1"/>
          <w:sz w:val="24"/>
          <w:szCs w:val="24"/>
        </w:rPr>
        <w:t>or</w:t>
      </w:r>
      <w:r w:rsidR="001C416B" w:rsidRPr="00C03560">
        <w:rPr>
          <w:rFonts w:asciiTheme="majorBidi" w:hAnsiTheme="majorBidi" w:cstheme="majorBidi"/>
          <w:color w:val="000000" w:themeColor="text1"/>
          <w:sz w:val="24"/>
          <w:szCs w:val="24"/>
        </w:rPr>
        <w:t xml:space="preserve"> corporate governance experience.</w:t>
      </w:r>
      <w:r w:rsidR="001C416B">
        <w:rPr>
          <w:rFonts w:asciiTheme="majorBidi" w:hAnsiTheme="majorBidi" w:cstheme="majorBidi"/>
          <w:color w:val="000000" w:themeColor="text1"/>
          <w:sz w:val="24"/>
          <w:szCs w:val="24"/>
        </w:rPr>
        <w:t xml:space="preserve"> Indeed, our findings </w:t>
      </w:r>
      <w:r w:rsidR="001C416B" w:rsidRPr="005E73C2">
        <w:rPr>
          <w:rFonts w:asciiTheme="majorBidi" w:hAnsiTheme="majorBidi" w:cstheme="majorBidi"/>
          <w:color w:val="000000" w:themeColor="text1"/>
          <w:sz w:val="24"/>
          <w:szCs w:val="28"/>
        </w:rPr>
        <w:t>establish a link between the AC and narcissism research</w:t>
      </w:r>
      <w:r w:rsidR="001C416B">
        <w:rPr>
          <w:rFonts w:asciiTheme="majorBidi" w:hAnsiTheme="majorBidi" w:cstheme="majorBidi"/>
          <w:color w:val="000000" w:themeColor="text1"/>
          <w:sz w:val="24"/>
          <w:szCs w:val="28"/>
        </w:rPr>
        <w:t xml:space="preserve"> streams, which </w:t>
      </w:r>
      <w:r w:rsidR="001C416B" w:rsidRPr="005E73C2">
        <w:rPr>
          <w:rFonts w:asciiTheme="majorBidi" w:hAnsiTheme="majorBidi" w:cstheme="majorBidi"/>
          <w:color w:val="000000" w:themeColor="text1"/>
          <w:sz w:val="24"/>
          <w:szCs w:val="28"/>
        </w:rPr>
        <w:t xml:space="preserve">is particularly significant given the </w:t>
      </w:r>
      <w:r w:rsidR="0031208A">
        <w:rPr>
          <w:rFonts w:asciiTheme="majorBidi" w:hAnsiTheme="majorBidi" w:cstheme="majorBidi"/>
          <w:color w:val="000000" w:themeColor="text1"/>
          <w:sz w:val="24"/>
          <w:szCs w:val="28"/>
        </w:rPr>
        <w:t>limited</w:t>
      </w:r>
      <w:r w:rsidR="0031208A" w:rsidRPr="005E73C2">
        <w:rPr>
          <w:rFonts w:asciiTheme="majorBidi" w:hAnsiTheme="majorBidi" w:cstheme="majorBidi"/>
          <w:color w:val="000000" w:themeColor="text1"/>
          <w:sz w:val="24"/>
          <w:szCs w:val="28"/>
        </w:rPr>
        <w:t xml:space="preserve"> </w:t>
      </w:r>
      <w:r w:rsidR="001C416B" w:rsidRPr="005E73C2">
        <w:rPr>
          <w:rFonts w:asciiTheme="majorBidi" w:hAnsiTheme="majorBidi" w:cstheme="majorBidi"/>
          <w:color w:val="000000" w:themeColor="text1"/>
          <w:sz w:val="24"/>
          <w:szCs w:val="28"/>
        </w:rPr>
        <w:t xml:space="preserve">existing knowledge on </w:t>
      </w:r>
      <w:r w:rsidR="0031208A">
        <w:rPr>
          <w:rFonts w:asciiTheme="majorBidi" w:hAnsiTheme="majorBidi" w:cstheme="majorBidi"/>
          <w:color w:val="000000" w:themeColor="text1"/>
          <w:sz w:val="24"/>
          <w:szCs w:val="28"/>
        </w:rPr>
        <w:t xml:space="preserve">the </w:t>
      </w:r>
      <w:r w:rsidR="001C416B" w:rsidRPr="005E73C2">
        <w:rPr>
          <w:rFonts w:asciiTheme="majorBidi" w:hAnsiTheme="majorBidi" w:cstheme="majorBidi"/>
          <w:color w:val="000000" w:themeColor="text1"/>
          <w:sz w:val="24"/>
          <w:szCs w:val="28"/>
        </w:rPr>
        <w:t>unobservable personality traits</w:t>
      </w:r>
      <w:r w:rsidR="0031208A">
        <w:rPr>
          <w:rFonts w:asciiTheme="majorBidi" w:hAnsiTheme="majorBidi" w:cstheme="majorBidi"/>
          <w:color w:val="000000" w:themeColor="text1"/>
          <w:sz w:val="24"/>
          <w:szCs w:val="28"/>
        </w:rPr>
        <w:t xml:space="preserve"> of ACs</w:t>
      </w:r>
      <w:r w:rsidR="001C416B">
        <w:rPr>
          <w:rFonts w:asciiTheme="majorBidi" w:hAnsiTheme="majorBidi" w:cstheme="majorBidi"/>
          <w:color w:val="000000" w:themeColor="text1"/>
          <w:sz w:val="24"/>
          <w:szCs w:val="28"/>
        </w:rPr>
        <w:t xml:space="preserve"> </w:t>
      </w:r>
      <w:r w:rsidR="001C416B" w:rsidRPr="005E73C2">
        <w:rPr>
          <w:rFonts w:asciiTheme="majorBidi" w:hAnsiTheme="majorBidi" w:cstheme="majorBidi"/>
          <w:noProof/>
          <w:color w:val="000000" w:themeColor="text1"/>
          <w:sz w:val="24"/>
          <w:szCs w:val="28"/>
        </w:rPr>
        <w:t>(Qu</w:t>
      </w:r>
      <w:r w:rsidR="001C416B">
        <w:rPr>
          <w:rFonts w:asciiTheme="majorBidi" w:hAnsiTheme="majorBidi" w:cstheme="majorBidi"/>
          <w:noProof/>
          <w:color w:val="000000" w:themeColor="text1"/>
          <w:sz w:val="24"/>
          <w:szCs w:val="28"/>
        </w:rPr>
        <w:t>,</w:t>
      </w:r>
      <w:r w:rsidR="001C416B" w:rsidRPr="005E73C2">
        <w:rPr>
          <w:rFonts w:asciiTheme="majorBidi" w:hAnsiTheme="majorBidi" w:cstheme="majorBidi"/>
          <w:noProof/>
          <w:color w:val="000000" w:themeColor="text1"/>
          <w:sz w:val="24"/>
          <w:szCs w:val="28"/>
        </w:rPr>
        <w:t xml:space="preserve"> 20</w:t>
      </w:r>
      <w:r w:rsidR="001C416B">
        <w:rPr>
          <w:rFonts w:asciiTheme="majorBidi" w:hAnsiTheme="majorBidi" w:cstheme="majorBidi"/>
          <w:noProof/>
          <w:color w:val="000000" w:themeColor="text1"/>
          <w:sz w:val="24"/>
          <w:szCs w:val="28"/>
        </w:rPr>
        <w:t>20</w:t>
      </w:r>
      <w:r w:rsidR="001C416B" w:rsidRPr="005E73C2">
        <w:rPr>
          <w:rFonts w:asciiTheme="majorBidi" w:hAnsiTheme="majorBidi" w:cstheme="majorBidi"/>
          <w:noProof/>
          <w:color w:val="000000" w:themeColor="text1"/>
          <w:sz w:val="24"/>
          <w:szCs w:val="28"/>
        </w:rPr>
        <w:t>)</w:t>
      </w:r>
      <w:r w:rsidR="001C416B" w:rsidRPr="005E73C2">
        <w:rPr>
          <w:rFonts w:asciiTheme="majorBidi" w:hAnsiTheme="majorBidi" w:cstheme="majorBidi"/>
          <w:color w:val="000000" w:themeColor="text1"/>
          <w:sz w:val="24"/>
          <w:szCs w:val="28"/>
        </w:rPr>
        <w:t xml:space="preserve">. </w:t>
      </w:r>
      <w:r w:rsidR="001C416B">
        <w:rPr>
          <w:rFonts w:asciiTheme="majorBidi" w:hAnsiTheme="majorBidi" w:cstheme="majorBidi"/>
          <w:color w:val="000000" w:themeColor="text1"/>
          <w:sz w:val="24"/>
          <w:szCs w:val="28"/>
        </w:rPr>
        <w:t xml:space="preserve">Second, </w:t>
      </w:r>
      <w:r w:rsidR="00CB6131" w:rsidRPr="00E84F5D">
        <w:rPr>
          <w:rFonts w:asciiTheme="majorBidi" w:hAnsiTheme="majorBidi" w:cstheme="majorBidi"/>
          <w:color w:val="000000" w:themeColor="text1"/>
          <w:sz w:val="24"/>
          <w:szCs w:val="28"/>
        </w:rPr>
        <w:t>w</w:t>
      </w:r>
      <w:r w:rsidR="00311D2F" w:rsidRPr="00E84F5D">
        <w:rPr>
          <w:rFonts w:asciiTheme="majorBidi" w:hAnsiTheme="majorBidi" w:cstheme="majorBidi"/>
          <w:color w:val="000000" w:themeColor="text1"/>
          <w:sz w:val="24"/>
          <w:szCs w:val="28"/>
        </w:rPr>
        <w:t>e exten</w:t>
      </w:r>
      <w:r w:rsidR="00311D2F" w:rsidRPr="005E73C2">
        <w:rPr>
          <w:rFonts w:asciiTheme="majorBidi" w:hAnsiTheme="majorBidi" w:cstheme="majorBidi"/>
          <w:color w:val="000000" w:themeColor="text1"/>
          <w:sz w:val="24"/>
          <w:szCs w:val="28"/>
        </w:rPr>
        <w:t xml:space="preserve">d </w:t>
      </w:r>
      <w:r w:rsidRPr="005E73C2">
        <w:rPr>
          <w:rFonts w:asciiTheme="majorBidi" w:hAnsiTheme="majorBidi" w:cstheme="majorBidi"/>
          <w:color w:val="000000" w:themeColor="text1"/>
          <w:sz w:val="24"/>
          <w:szCs w:val="28"/>
        </w:rPr>
        <w:t xml:space="preserve">prior research on </w:t>
      </w:r>
      <w:r w:rsidR="00311D2F">
        <w:rPr>
          <w:rFonts w:asciiTheme="majorBidi" w:hAnsiTheme="majorBidi" w:cstheme="majorBidi"/>
          <w:color w:val="000000" w:themeColor="text1"/>
          <w:sz w:val="24"/>
          <w:szCs w:val="28"/>
        </w:rPr>
        <w:t>executive</w:t>
      </w:r>
      <w:r w:rsidRPr="005E73C2">
        <w:rPr>
          <w:rFonts w:asciiTheme="majorBidi" w:hAnsiTheme="majorBidi" w:cstheme="majorBidi"/>
          <w:color w:val="000000" w:themeColor="text1"/>
          <w:sz w:val="24"/>
          <w:szCs w:val="28"/>
        </w:rPr>
        <w:t xml:space="preserve"> narcissism (</w:t>
      </w:r>
      <w:r w:rsidR="00A9708A" w:rsidRPr="00EB0466">
        <w:rPr>
          <w:rFonts w:asciiTheme="majorBidi" w:hAnsiTheme="majorBidi" w:cstheme="majorBidi"/>
          <w:sz w:val="24"/>
          <w:szCs w:val="24"/>
        </w:rPr>
        <w:t>Abdel-</w:t>
      </w:r>
      <w:proofErr w:type="spellStart"/>
      <w:r w:rsidR="00A9708A" w:rsidRPr="00EB0466">
        <w:rPr>
          <w:rFonts w:asciiTheme="majorBidi" w:hAnsiTheme="majorBidi" w:cstheme="majorBidi"/>
          <w:sz w:val="24"/>
          <w:szCs w:val="24"/>
        </w:rPr>
        <w:t>Meguid</w:t>
      </w:r>
      <w:proofErr w:type="spellEnd"/>
      <w:r w:rsidR="00A9708A">
        <w:rPr>
          <w:rFonts w:asciiTheme="majorBidi" w:hAnsiTheme="majorBidi" w:cstheme="majorBidi"/>
          <w:sz w:val="24"/>
          <w:szCs w:val="24"/>
        </w:rPr>
        <w:t xml:space="preserve"> et al., 202</w:t>
      </w:r>
      <w:r w:rsidR="00D92141">
        <w:rPr>
          <w:rFonts w:asciiTheme="majorBidi" w:hAnsiTheme="majorBidi" w:cstheme="majorBidi"/>
          <w:sz w:val="24"/>
          <w:szCs w:val="24"/>
        </w:rPr>
        <w:t>1</w:t>
      </w:r>
      <w:r w:rsidR="00A9708A">
        <w:rPr>
          <w:rFonts w:asciiTheme="majorBidi" w:hAnsiTheme="majorBidi" w:cstheme="majorBidi"/>
          <w:sz w:val="24"/>
          <w:szCs w:val="24"/>
        </w:rPr>
        <w:t xml:space="preserve">; </w:t>
      </w:r>
      <w:r w:rsidRPr="005E73C2">
        <w:rPr>
          <w:rFonts w:asciiTheme="majorBidi" w:hAnsiTheme="majorBidi" w:cstheme="majorBidi"/>
          <w:color w:val="000000" w:themeColor="text1"/>
          <w:sz w:val="24"/>
          <w:szCs w:val="28"/>
        </w:rPr>
        <w:t>Ham</w:t>
      </w:r>
      <w:r w:rsidR="00D92141">
        <w:rPr>
          <w:rFonts w:asciiTheme="majorBidi" w:hAnsiTheme="majorBidi" w:cstheme="majorBidi"/>
          <w:color w:val="000000" w:themeColor="text1"/>
          <w:sz w:val="24"/>
          <w:szCs w:val="28"/>
        </w:rPr>
        <w:t xml:space="preserve">, </w:t>
      </w:r>
      <w:r w:rsidR="00D92141" w:rsidRPr="00D92141">
        <w:rPr>
          <w:rFonts w:asciiTheme="majorBidi" w:hAnsiTheme="majorBidi" w:cstheme="majorBidi"/>
          <w:color w:val="000000" w:themeColor="text1"/>
          <w:sz w:val="24"/>
          <w:szCs w:val="28"/>
        </w:rPr>
        <w:t>Lang</w:t>
      </w:r>
      <w:r w:rsidR="00D92141">
        <w:rPr>
          <w:rFonts w:asciiTheme="majorBidi" w:hAnsiTheme="majorBidi" w:cstheme="majorBidi"/>
          <w:color w:val="000000" w:themeColor="text1"/>
          <w:sz w:val="24"/>
          <w:szCs w:val="28"/>
        </w:rPr>
        <w:t xml:space="preserve">, </w:t>
      </w:r>
      <w:r w:rsidR="00D92141" w:rsidRPr="00D92141">
        <w:rPr>
          <w:rFonts w:asciiTheme="majorBidi" w:hAnsiTheme="majorBidi" w:cstheme="majorBidi"/>
          <w:color w:val="000000" w:themeColor="text1"/>
          <w:sz w:val="24"/>
          <w:szCs w:val="28"/>
        </w:rPr>
        <w:t>Seybert</w:t>
      </w:r>
      <w:r w:rsidR="00D92141">
        <w:rPr>
          <w:rFonts w:asciiTheme="majorBidi" w:hAnsiTheme="majorBidi" w:cstheme="majorBidi"/>
          <w:color w:val="000000" w:themeColor="text1"/>
          <w:sz w:val="24"/>
          <w:szCs w:val="28"/>
        </w:rPr>
        <w:t xml:space="preserve">, &amp; </w:t>
      </w:r>
      <w:r w:rsidR="00D92141" w:rsidRPr="00D92141">
        <w:rPr>
          <w:rFonts w:asciiTheme="majorBidi" w:hAnsiTheme="majorBidi" w:cstheme="majorBidi"/>
          <w:color w:val="000000" w:themeColor="text1"/>
          <w:sz w:val="24"/>
          <w:szCs w:val="28"/>
        </w:rPr>
        <w:t>Wang</w:t>
      </w:r>
      <w:r w:rsidR="00CB6131">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2017; Olsen et al.</w:t>
      </w:r>
      <w:r w:rsidR="00CB6131">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2014), by focusing on</w:t>
      </w:r>
      <w:r w:rsidR="00CB6131">
        <w:rPr>
          <w:rFonts w:asciiTheme="majorBidi" w:hAnsiTheme="majorBidi" w:cstheme="majorBidi"/>
          <w:color w:val="000000" w:themeColor="text1"/>
          <w:sz w:val="24"/>
          <w:szCs w:val="28"/>
        </w:rPr>
        <w:t xml:space="preserve"> the</w:t>
      </w:r>
      <w:r w:rsidR="00A9708A">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AC chair</w:t>
      </w:r>
      <w:r w:rsidR="00311D2F">
        <w:rPr>
          <w:rFonts w:asciiTheme="majorBidi" w:hAnsiTheme="majorBidi" w:cstheme="majorBidi"/>
          <w:color w:val="000000" w:themeColor="text1"/>
          <w:sz w:val="24"/>
          <w:szCs w:val="28"/>
        </w:rPr>
        <w:t xml:space="preserve">, </w:t>
      </w:r>
      <w:r w:rsidR="00CB6131">
        <w:rPr>
          <w:rFonts w:asciiTheme="majorBidi" w:hAnsiTheme="majorBidi" w:cstheme="majorBidi"/>
          <w:color w:val="000000" w:themeColor="text1"/>
          <w:sz w:val="24"/>
          <w:szCs w:val="28"/>
        </w:rPr>
        <w:t xml:space="preserve">a </w:t>
      </w:r>
      <w:r w:rsidRPr="005E73C2">
        <w:rPr>
          <w:rFonts w:asciiTheme="majorBidi" w:hAnsiTheme="majorBidi" w:cstheme="majorBidi"/>
          <w:color w:val="000000" w:themeColor="text1"/>
          <w:sz w:val="24"/>
          <w:szCs w:val="28"/>
        </w:rPr>
        <w:t>key</w:t>
      </w:r>
      <w:r w:rsidR="007F5322">
        <w:rPr>
          <w:rFonts w:asciiTheme="majorBidi" w:hAnsiTheme="majorBidi" w:cstheme="majorBidi"/>
          <w:color w:val="000000" w:themeColor="text1"/>
          <w:sz w:val="24"/>
          <w:szCs w:val="28"/>
        </w:rPr>
        <w:t xml:space="preserve"> </w:t>
      </w:r>
      <w:r w:rsidR="007F5322" w:rsidRPr="005E73C2">
        <w:rPr>
          <w:rFonts w:asciiTheme="majorBidi" w:hAnsiTheme="majorBidi" w:cstheme="majorBidi"/>
          <w:color w:val="000000" w:themeColor="text1"/>
          <w:sz w:val="24"/>
          <w:szCs w:val="28"/>
        </w:rPr>
        <w:t>monitoring board member</w:t>
      </w:r>
      <w:r w:rsidRPr="005E73C2">
        <w:rPr>
          <w:rFonts w:asciiTheme="majorBidi" w:hAnsiTheme="majorBidi" w:cstheme="majorBidi"/>
          <w:color w:val="000000" w:themeColor="text1"/>
          <w:sz w:val="24"/>
          <w:szCs w:val="28"/>
        </w:rPr>
        <w:t xml:space="preserve"> </w:t>
      </w:r>
      <w:r w:rsidR="0031208A">
        <w:rPr>
          <w:rFonts w:asciiTheme="majorBidi" w:hAnsiTheme="majorBidi" w:cstheme="majorBidi"/>
          <w:color w:val="000000" w:themeColor="text1"/>
          <w:sz w:val="24"/>
          <w:szCs w:val="28"/>
        </w:rPr>
        <w:t xml:space="preserve">who </w:t>
      </w:r>
      <w:r w:rsidRPr="005E73C2">
        <w:rPr>
          <w:rFonts w:asciiTheme="majorBidi" w:hAnsiTheme="majorBidi" w:cstheme="majorBidi"/>
          <w:color w:val="000000" w:themeColor="text1"/>
          <w:sz w:val="24"/>
          <w:szCs w:val="28"/>
        </w:rPr>
        <w:t>play</w:t>
      </w:r>
      <w:r w:rsidR="0031208A">
        <w:rPr>
          <w:rFonts w:asciiTheme="majorBidi" w:hAnsiTheme="majorBidi" w:cstheme="majorBidi"/>
          <w:color w:val="000000" w:themeColor="text1"/>
          <w:sz w:val="24"/>
          <w:szCs w:val="28"/>
        </w:rPr>
        <w:t>s</w:t>
      </w:r>
      <w:r w:rsidR="007F5322">
        <w:rPr>
          <w:rFonts w:asciiTheme="majorBidi" w:hAnsiTheme="majorBidi" w:cstheme="majorBidi"/>
          <w:color w:val="000000" w:themeColor="text1"/>
          <w:sz w:val="24"/>
          <w:szCs w:val="28"/>
        </w:rPr>
        <w:t xml:space="preserve"> </w:t>
      </w:r>
      <w:r w:rsidR="00CB6131">
        <w:rPr>
          <w:rFonts w:asciiTheme="majorBidi" w:hAnsiTheme="majorBidi" w:cstheme="majorBidi"/>
          <w:color w:val="000000" w:themeColor="text1"/>
          <w:sz w:val="24"/>
          <w:szCs w:val="28"/>
        </w:rPr>
        <w:t xml:space="preserve">a </w:t>
      </w:r>
      <w:r w:rsidR="007F5322" w:rsidRPr="007F5322">
        <w:rPr>
          <w:rFonts w:asciiTheme="majorBidi" w:hAnsiTheme="majorBidi" w:cstheme="majorBidi"/>
          <w:color w:val="000000" w:themeColor="text1"/>
          <w:sz w:val="24"/>
          <w:szCs w:val="28"/>
        </w:rPr>
        <w:t xml:space="preserve">pivotal </w:t>
      </w:r>
      <w:r w:rsidR="007F5322">
        <w:rPr>
          <w:rFonts w:asciiTheme="majorBidi" w:hAnsiTheme="majorBidi" w:cstheme="majorBidi"/>
          <w:color w:val="000000" w:themeColor="text1"/>
          <w:sz w:val="24"/>
          <w:szCs w:val="28"/>
        </w:rPr>
        <w:t>role</w:t>
      </w:r>
      <w:r w:rsidRPr="005E73C2">
        <w:rPr>
          <w:rFonts w:asciiTheme="majorBidi" w:hAnsiTheme="majorBidi" w:cstheme="majorBidi"/>
          <w:color w:val="000000" w:themeColor="text1"/>
          <w:sz w:val="24"/>
          <w:szCs w:val="28"/>
        </w:rPr>
        <w:t xml:space="preserve"> in </w:t>
      </w:r>
      <w:r w:rsidR="0031208A">
        <w:rPr>
          <w:rFonts w:asciiTheme="majorBidi" w:hAnsiTheme="majorBidi" w:cstheme="majorBidi"/>
          <w:color w:val="000000" w:themeColor="text1"/>
          <w:sz w:val="24"/>
          <w:szCs w:val="28"/>
        </w:rPr>
        <w:t xml:space="preserve">influencing </w:t>
      </w:r>
      <w:r w:rsidR="007F5322">
        <w:rPr>
          <w:rFonts w:asciiTheme="majorBidi" w:hAnsiTheme="majorBidi" w:cstheme="majorBidi"/>
          <w:color w:val="000000" w:themeColor="text1"/>
          <w:sz w:val="24"/>
          <w:szCs w:val="28"/>
        </w:rPr>
        <w:t xml:space="preserve">financial reporting quality </w:t>
      </w:r>
      <w:r w:rsidRPr="005E73C2">
        <w:rPr>
          <w:rFonts w:asciiTheme="majorBidi" w:hAnsiTheme="majorBidi" w:cstheme="majorBidi"/>
          <w:noProof/>
          <w:color w:val="000000" w:themeColor="text1"/>
          <w:sz w:val="24"/>
          <w:szCs w:val="28"/>
        </w:rPr>
        <w:t>(CAQ</w:t>
      </w:r>
      <w:r w:rsidR="00CB6131">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2013)</w:t>
      </w:r>
      <w:r w:rsidRPr="005E73C2">
        <w:rPr>
          <w:rFonts w:asciiTheme="majorBidi" w:hAnsiTheme="majorBidi" w:cstheme="majorBidi"/>
          <w:color w:val="000000" w:themeColor="text1"/>
          <w:sz w:val="24"/>
          <w:szCs w:val="28"/>
        </w:rPr>
        <w:t xml:space="preserve">. By examining the personality traits of the AC chair, our study generates new insights into factors that impede or enhance </w:t>
      </w:r>
      <w:r w:rsidR="00CB6131">
        <w:rPr>
          <w:rFonts w:asciiTheme="majorBidi" w:hAnsiTheme="majorBidi" w:cstheme="majorBidi"/>
          <w:color w:val="000000" w:themeColor="text1"/>
          <w:sz w:val="24"/>
          <w:szCs w:val="28"/>
        </w:rPr>
        <w:t>their</w:t>
      </w:r>
      <w:r w:rsidR="00CB6131"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monitoring efficacy, with significant practical implications.</w:t>
      </w:r>
      <w:r w:rsidR="001C416B">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Third, our study contributes to the non-GAAP or non-IFRS </w:t>
      </w:r>
      <w:r w:rsidRPr="00E84F5D">
        <w:rPr>
          <w:rFonts w:asciiTheme="majorBidi" w:hAnsiTheme="majorBidi" w:cstheme="majorBidi"/>
          <w:color w:val="000000" w:themeColor="text1"/>
          <w:sz w:val="24"/>
          <w:szCs w:val="28"/>
        </w:rPr>
        <w:t xml:space="preserve">earnings literature </w:t>
      </w:r>
      <w:r w:rsidR="002057DD" w:rsidRPr="00E84F5D">
        <w:rPr>
          <w:rFonts w:asciiTheme="majorBidi" w:hAnsiTheme="majorBidi" w:cstheme="majorBidi"/>
          <w:color w:val="000000" w:themeColor="text1"/>
          <w:sz w:val="24"/>
          <w:szCs w:val="28"/>
        </w:rPr>
        <w:t>(Black</w:t>
      </w:r>
      <w:r w:rsidR="00D92141" w:rsidRPr="00E84F5D">
        <w:rPr>
          <w:rFonts w:asciiTheme="majorBidi" w:hAnsiTheme="majorBidi" w:cstheme="majorBidi"/>
          <w:color w:val="000000" w:themeColor="text1"/>
          <w:sz w:val="24"/>
          <w:szCs w:val="28"/>
        </w:rPr>
        <w:t>, Black, Christensen, &amp; Gee</w:t>
      </w:r>
      <w:r w:rsidR="002057DD" w:rsidRPr="00E84F5D">
        <w:rPr>
          <w:rFonts w:asciiTheme="majorBidi" w:hAnsiTheme="majorBidi" w:cstheme="majorBidi"/>
          <w:color w:val="000000" w:themeColor="text1"/>
          <w:sz w:val="24"/>
          <w:szCs w:val="28"/>
        </w:rPr>
        <w:t>, 202</w:t>
      </w:r>
      <w:r w:rsidR="0031208A">
        <w:rPr>
          <w:rFonts w:asciiTheme="majorBidi" w:hAnsiTheme="majorBidi" w:cstheme="majorBidi"/>
          <w:color w:val="000000" w:themeColor="text1"/>
          <w:sz w:val="24"/>
          <w:szCs w:val="28"/>
        </w:rPr>
        <w:t>2</w:t>
      </w:r>
      <w:r w:rsidR="002057DD" w:rsidRPr="00E84F5D">
        <w:rPr>
          <w:rFonts w:asciiTheme="majorBidi" w:hAnsiTheme="majorBidi" w:cstheme="majorBidi"/>
          <w:color w:val="000000" w:themeColor="text1"/>
          <w:sz w:val="24"/>
          <w:szCs w:val="28"/>
        </w:rPr>
        <w:t>; Frankel</w:t>
      </w:r>
      <w:r w:rsidR="00D92141" w:rsidRPr="00E84F5D">
        <w:rPr>
          <w:rFonts w:asciiTheme="majorBidi" w:hAnsiTheme="majorBidi" w:cstheme="majorBidi"/>
          <w:color w:val="000000" w:themeColor="text1"/>
          <w:sz w:val="24"/>
          <w:szCs w:val="28"/>
        </w:rPr>
        <w:t>,</w:t>
      </w:r>
      <w:r w:rsidR="002057DD" w:rsidRPr="00E84F5D">
        <w:rPr>
          <w:rFonts w:asciiTheme="majorBidi" w:hAnsiTheme="majorBidi" w:cstheme="majorBidi"/>
          <w:color w:val="000000" w:themeColor="text1"/>
          <w:sz w:val="24"/>
          <w:szCs w:val="28"/>
        </w:rPr>
        <w:t xml:space="preserve"> </w:t>
      </w:r>
      <w:r w:rsidR="00D92141" w:rsidRPr="00E84F5D">
        <w:rPr>
          <w:rFonts w:asciiTheme="majorBidi" w:hAnsiTheme="majorBidi" w:cstheme="majorBidi"/>
          <w:color w:val="000000" w:themeColor="text1"/>
          <w:sz w:val="24"/>
          <w:szCs w:val="28"/>
        </w:rPr>
        <w:t xml:space="preserve">McVay, </w:t>
      </w:r>
      <w:r w:rsidR="002110AA">
        <w:rPr>
          <w:rFonts w:asciiTheme="majorBidi" w:hAnsiTheme="majorBidi" w:cstheme="majorBidi"/>
          <w:color w:val="000000" w:themeColor="text1"/>
          <w:sz w:val="24"/>
          <w:szCs w:val="28"/>
        </w:rPr>
        <w:t xml:space="preserve">&amp; </w:t>
      </w:r>
      <w:r w:rsidR="00D76B59" w:rsidRPr="00E84F5D">
        <w:rPr>
          <w:rFonts w:asciiTheme="majorBidi" w:hAnsiTheme="majorBidi" w:cstheme="majorBidi"/>
          <w:color w:val="000000" w:themeColor="text1"/>
          <w:sz w:val="24"/>
          <w:szCs w:val="28"/>
        </w:rPr>
        <w:t>Soliman</w:t>
      </w:r>
      <w:r w:rsidR="002057DD" w:rsidRPr="00E84F5D">
        <w:rPr>
          <w:rFonts w:asciiTheme="majorBidi" w:hAnsiTheme="majorBidi" w:cstheme="majorBidi"/>
          <w:color w:val="000000" w:themeColor="text1"/>
          <w:sz w:val="24"/>
          <w:szCs w:val="28"/>
        </w:rPr>
        <w:t>, 2011; Hsu</w:t>
      </w:r>
      <w:r w:rsidR="00D76B59" w:rsidRPr="00E84F5D">
        <w:rPr>
          <w:rFonts w:asciiTheme="majorBidi" w:hAnsiTheme="majorBidi" w:cstheme="majorBidi"/>
          <w:color w:val="000000" w:themeColor="text1"/>
          <w:sz w:val="24"/>
          <w:szCs w:val="28"/>
        </w:rPr>
        <w:t>, Wang, &amp; Whipple</w:t>
      </w:r>
      <w:r w:rsidR="002057DD" w:rsidRPr="00E84F5D">
        <w:rPr>
          <w:rFonts w:asciiTheme="majorBidi" w:hAnsiTheme="majorBidi" w:cstheme="majorBidi"/>
          <w:color w:val="000000" w:themeColor="text1"/>
          <w:sz w:val="24"/>
          <w:szCs w:val="28"/>
        </w:rPr>
        <w:t xml:space="preserve">, 2022) </w:t>
      </w:r>
      <w:r w:rsidRPr="00E84F5D">
        <w:rPr>
          <w:rFonts w:asciiTheme="majorBidi" w:hAnsiTheme="majorBidi" w:cstheme="majorBidi"/>
          <w:color w:val="000000" w:themeColor="text1"/>
          <w:sz w:val="24"/>
          <w:szCs w:val="28"/>
        </w:rPr>
        <w:t>by sho</w:t>
      </w:r>
      <w:r w:rsidRPr="005E73C2">
        <w:rPr>
          <w:rFonts w:asciiTheme="majorBidi" w:hAnsiTheme="majorBidi" w:cstheme="majorBidi"/>
          <w:color w:val="000000" w:themeColor="text1"/>
          <w:sz w:val="24"/>
          <w:szCs w:val="28"/>
        </w:rPr>
        <w:t>wing that a narcissistic AC chair</w:t>
      </w:r>
      <w:r w:rsidR="0031208A">
        <w:rPr>
          <w:rFonts w:asciiTheme="majorBidi" w:hAnsiTheme="majorBidi" w:cstheme="majorBidi"/>
          <w:color w:val="000000" w:themeColor="text1"/>
          <w:sz w:val="24"/>
          <w:szCs w:val="28"/>
        </w:rPr>
        <w:t>, along with</w:t>
      </w:r>
      <w:r w:rsidRPr="005E73C2">
        <w:rPr>
          <w:rFonts w:asciiTheme="majorBidi" w:hAnsiTheme="majorBidi" w:cstheme="majorBidi"/>
          <w:color w:val="000000" w:themeColor="text1"/>
          <w:sz w:val="24"/>
          <w:szCs w:val="28"/>
        </w:rPr>
        <w:t xml:space="preserve"> their experience</w:t>
      </w:r>
      <w:r w:rsidR="0031208A">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w:t>
      </w:r>
      <w:r w:rsidR="00CB6131">
        <w:rPr>
          <w:rFonts w:asciiTheme="majorBidi" w:hAnsiTheme="majorBidi" w:cstheme="majorBidi"/>
          <w:color w:val="000000" w:themeColor="text1"/>
          <w:sz w:val="24"/>
          <w:szCs w:val="28"/>
        </w:rPr>
        <w:t xml:space="preserve">can </w:t>
      </w:r>
      <w:r w:rsidR="0031208A">
        <w:rPr>
          <w:rFonts w:asciiTheme="majorBidi" w:hAnsiTheme="majorBidi" w:cstheme="majorBidi"/>
          <w:color w:val="000000" w:themeColor="text1"/>
          <w:sz w:val="24"/>
          <w:szCs w:val="28"/>
        </w:rPr>
        <w:t>jointly</w:t>
      </w:r>
      <w:r w:rsidR="00CB6131">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influence manager</w:t>
      </w:r>
      <w:r w:rsidR="00CB6131">
        <w:rPr>
          <w:rFonts w:asciiTheme="majorBidi" w:hAnsiTheme="majorBidi" w:cstheme="majorBidi"/>
          <w:color w:val="000000" w:themeColor="text1"/>
          <w:sz w:val="24"/>
          <w:szCs w:val="28"/>
        </w:rPr>
        <w:t>ial</w:t>
      </w:r>
      <w:r w:rsidRPr="005E73C2">
        <w:rPr>
          <w:rFonts w:asciiTheme="majorBidi" w:hAnsiTheme="majorBidi" w:cstheme="majorBidi"/>
          <w:color w:val="000000" w:themeColor="text1"/>
          <w:sz w:val="24"/>
          <w:szCs w:val="28"/>
        </w:rPr>
        <w:t xml:space="preserve"> motivations to </w:t>
      </w:r>
      <w:r w:rsidR="00CB6131">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mis</w:t>
      </w:r>
      <w:r w:rsidR="00CB6131">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use non-recurring expenses. </w:t>
      </w:r>
      <w:r w:rsidRPr="00671A72">
        <w:rPr>
          <w:rFonts w:asciiTheme="majorBidi" w:hAnsiTheme="majorBidi" w:cstheme="majorBidi"/>
          <w:sz w:val="24"/>
          <w:szCs w:val="28"/>
        </w:rPr>
        <w:t>When assessing the usefulness of non-IFRS earnings disclosures</w:t>
      </w:r>
      <w:r w:rsidR="00CB6131" w:rsidRPr="00671A72">
        <w:rPr>
          <w:rFonts w:asciiTheme="majorBidi" w:hAnsiTheme="majorBidi" w:cstheme="majorBidi"/>
          <w:sz w:val="24"/>
          <w:szCs w:val="28"/>
        </w:rPr>
        <w:t xml:space="preserve"> in decision-making</w:t>
      </w:r>
      <w:r w:rsidRPr="00671A72">
        <w:rPr>
          <w:rFonts w:asciiTheme="majorBidi" w:hAnsiTheme="majorBidi" w:cstheme="majorBidi"/>
          <w:sz w:val="24"/>
          <w:szCs w:val="28"/>
        </w:rPr>
        <w:t xml:space="preserve">, investors should </w:t>
      </w:r>
      <w:r w:rsidR="0031208A" w:rsidRPr="00671A72">
        <w:rPr>
          <w:rFonts w:asciiTheme="majorBidi" w:hAnsiTheme="majorBidi" w:cstheme="majorBidi"/>
          <w:sz w:val="24"/>
          <w:szCs w:val="28"/>
        </w:rPr>
        <w:t>consider</w:t>
      </w:r>
      <w:r w:rsidRPr="00671A72">
        <w:rPr>
          <w:rFonts w:asciiTheme="majorBidi" w:hAnsiTheme="majorBidi" w:cstheme="majorBidi"/>
          <w:sz w:val="24"/>
          <w:szCs w:val="28"/>
        </w:rPr>
        <w:t xml:space="preserve"> the profile </w:t>
      </w:r>
      <w:r w:rsidRPr="00671A72">
        <w:rPr>
          <w:rFonts w:asciiTheme="majorBidi" w:hAnsiTheme="majorBidi" w:cstheme="majorBidi"/>
          <w:sz w:val="24"/>
          <w:szCs w:val="28"/>
        </w:rPr>
        <w:lastRenderedPageBreak/>
        <w:t xml:space="preserve">of the AC chair and </w:t>
      </w:r>
      <w:r w:rsidR="0031208A" w:rsidRPr="00671A72">
        <w:rPr>
          <w:rFonts w:asciiTheme="majorBidi" w:hAnsiTheme="majorBidi" w:cstheme="majorBidi"/>
          <w:sz w:val="24"/>
          <w:szCs w:val="28"/>
        </w:rPr>
        <w:t>their</w:t>
      </w:r>
      <w:r w:rsidR="00CB6131" w:rsidRPr="00671A72">
        <w:rPr>
          <w:rFonts w:asciiTheme="majorBidi" w:hAnsiTheme="majorBidi" w:cstheme="majorBidi"/>
          <w:sz w:val="24"/>
          <w:szCs w:val="28"/>
        </w:rPr>
        <w:t xml:space="preserve"> </w:t>
      </w:r>
      <w:r w:rsidRPr="00671A72">
        <w:rPr>
          <w:rFonts w:asciiTheme="majorBidi" w:hAnsiTheme="majorBidi" w:cstheme="majorBidi"/>
          <w:sz w:val="24"/>
          <w:szCs w:val="28"/>
        </w:rPr>
        <w:t>reports, rather than focusing solely on the numbers.</w:t>
      </w:r>
      <w:r w:rsidR="00871D50" w:rsidRPr="00671A72">
        <w:rPr>
          <w:rStyle w:val="FootnoteReference"/>
          <w:rFonts w:asciiTheme="majorBidi" w:hAnsiTheme="majorBidi" w:cstheme="majorBidi"/>
          <w:sz w:val="24"/>
          <w:szCs w:val="28"/>
        </w:rPr>
        <w:footnoteReference w:id="3"/>
      </w:r>
    </w:p>
    <w:p w14:paraId="2B97F3EE" w14:textId="71F61C8C" w:rsidR="004E0DDE" w:rsidRPr="005E73C2" w:rsidRDefault="004E0DDE" w:rsidP="00A82C6C">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The remainder of this paper is structured as follows: Section 2 </w:t>
      </w:r>
      <w:r w:rsidR="00FB4618">
        <w:rPr>
          <w:rFonts w:asciiTheme="majorBidi" w:hAnsiTheme="majorBidi" w:cstheme="majorBidi"/>
          <w:color w:val="000000" w:themeColor="text1"/>
          <w:sz w:val="24"/>
          <w:szCs w:val="28"/>
        </w:rPr>
        <w:t xml:space="preserve">introduces the regulatory background of non-IFRS earnings </w:t>
      </w:r>
      <w:r w:rsidR="00960B72">
        <w:rPr>
          <w:rFonts w:asciiTheme="majorBidi" w:hAnsiTheme="majorBidi" w:cstheme="majorBidi"/>
          <w:color w:val="000000" w:themeColor="text1"/>
          <w:sz w:val="24"/>
          <w:szCs w:val="28"/>
        </w:rPr>
        <w:t xml:space="preserve">and </w:t>
      </w:r>
      <w:r w:rsidR="00D35030">
        <w:rPr>
          <w:rFonts w:asciiTheme="majorBidi" w:hAnsiTheme="majorBidi" w:cstheme="majorBidi"/>
          <w:color w:val="000000" w:themeColor="text1"/>
          <w:sz w:val="24"/>
          <w:szCs w:val="28"/>
        </w:rPr>
        <w:t>ACs</w:t>
      </w:r>
      <w:r w:rsidR="00960B72">
        <w:rPr>
          <w:rFonts w:asciiTheme="majorBidi" w:hAnsiTheme="majorBidi" w:cstheme="majorBidi"/>
          <w:color w:val="000000" w:themeColor="text1"/>
          <w:sz w:val="24"/>
          <w:szCs w:val="28"/>
        </w:rPr>
        <w:t xml:space="preserve"> </w:t>
      </w:r>
      <w:r w:rsidR="00FB4618">
        <w:rPr>
          <w:rFonts w:asciiTheme="majorBidi" w:hAnsiTheme="majorBidi" w:cstheme="majorBidi"/>
          <w:color w:val="000000" w:themeColor="text1"/>
          <w:sz w:val="24"/>
          <w:szCs w:val="28"/>
        </w:rPr>
        <w:t>in the UK.</w:t>
      </w:r>
      <w:r w:rsidRPr="005E73C2">
        <w:rPr>
          <w:rFonts w:asciiTheme="majorBidi" w:hAnsiTheme="majorBidi" w:cstheme="majorBidi"/>
          <w:color w:val="000000" w:themeColor="text1"/>
          <w:sz w:val="24"/>
          <w:szCs w:val="28"/>
        </w:rPr>
        <w:t xml:space="preserve"> Section 3 </w:t>
      </w:r>
      <w:r w:rsidR="00BB3EC5">
        <w:rPr>
          <w:rFonts w:asciiTheme="majorBidi" w:hAnsiTheme="majorBidi" w:cstheme="majorBidi"/>
          <w:color w:val="000000" w:themeColor="text1"/>
          <w:sz w:val="24"/>
          <w:szCs w:val="28"/>
        </w:rPr>
        <w:t>discuss our theory</w:t>
      </w:r>
      <w:r w:rsidR="007C019C">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Section </w:t>
      </w:r>
      <w:r w:rsidR="00B60C42">
        <w:rPr>
          <w:rFonts w:asciiTheme="majorBidi" w:hAnsiTheme="majorBidi" w:cstheme="majorBidi"/>
          <w:color w:val="000000" w:themeColor="text1"/>
          <w:sz w:val="24"/>
          <w:szCs w:val="28"/>
        </w:rPr>
        <w:t>4</w:t>
      </w:r>
      <w:r w:rsidR="007C019C">
        <w:rPr>
          <w:rFonts w:asciiTheme="majorBidi" w:hAnsiTheme="majorBidi" w:cstheme="majorBidi"/>
          <w:color w:val="000000" w:themeColor="text1"/>
          <w:sz w:val="24"/>
          <w:szCs w:val="28"/>
        </w:rPr>
        <w:t xml:space="preserve"> </w:t>
      </w:r>
      <w:r w:rsidR="00960B72">
        <w:rPr>
          <w:rFonts w:asciiTheme="majorBidi" w:hAnsiTheme="majorBidi" w:cstheme="majorBidi"/>
          <w:color w:val="000000" w:themeColor="text1"/>
          <w:sz w:val="24"/>
          <w:szCs w:val="28"/>
        </w:rPr>
        <w:t xml:space="preserve">reviews </w:t>
      </w:r>
      <w:r w:rsidR="00D35030">
        <w:rPr>
          <w:rFonts w:asciiTheme="majorBidi" w:hAnsiTheme="majorBidi" w:cstheme="majorBidi"/>
          <w:color w:val="000000" w:themeColor="text1"/>
          <w:sz w:val="24"/>
          <w:szCs w:val="28"/>
        </w:rPr>
        <w:t xml:space="preserve">the </w:t>
      </w:r>
      <w:r w:rsidR="00960B72">
        <w:rPr>
          <w:rFonts w:asciiTheme="majorBidi" w:hAnsiTheme="majorBidi" w:cstheme="majorBidi"/>
          <w:color w:val="000000" w:themeColor="text1"/>
          <w:sz w:val="24"/>
          <w:szCs w:val="28"/>
        </w:rPr>
        <w:t xml:space="preserve">related literature and </w:t>
      </w:r>
      <w:r w:rsidR="00BB3EC5">
        <w:rPr>
          <w:rFonts w:asciiTheme="majorBidi" w:hAnsiTheme="majorBidi" w:cstheme="majorBidi"/>
          <w:color w:val="000000" w:themeColor="text1"/>
          <w:sz w:val="24"/>
          <w:szCs w:val="28"/>
        </w:rPr>
        <w:t>develops</w:t>
      </w:r>
      <w:r w:rsidR="00960B72">
        <w:rPr>
          <w:rFonts w:asciiTheme="majorBidi" w:hAnsiTheme="majorBidi" w:cstheme="majorBidi"/>
          <w:color w:val="000000" w:themeColor="text1"/>
          <w:sz w:val="24"/>
          <w:szCs w:val="28"/>
        </w:rPr>
        <w:t xml:space="preserve"> our hypothesis. Section 5 </w:t>
      </w:r>
      <w:r w:rsidR="00CB6131">
        <w:rPr>
          <w:rFonts w:asciiTheme="majorBidi" w:hAnsiTheme="majorBidi" w:cstheme="majorBidi"/>
          <w:color w:val="000000" w:themeColor="text1"/>
          <w:sz w:val="24"/>
          <w:szCs w:val="28"/>
        </w:rPr>
        <w:t xml:space="preserve">explains </w:t>
      </w:r>
      <w:r w:rsidR="00D35030">
        <w:rPr>
          <w:rFonts w:asciiTheme="majorBidi" w:hAnsiTheme="majorBidi" w:cstheme="majorBidi"/>
          <w:color w:val="000000" w:themeColor="text1"/>
          <w:sz w:val="24"/>
          <w:szCs w:val="28"/>
        </w:rPr>
        <w:t xml:space="preserve">the </w:t>
      </w:r>
      <w:r w:rsidR="007C019C">
        <w:rPr>
          <w:rFonts w:asciiTheme="majorBidi" w:hAnsiTheme="majorBidi" w:cstheme="majorBidi"/>
          <w:color w:val="000000" w:themeColor="text1"/>
          <w:sz w:val="24"/>
          <w:szCs w:val="28"/>
        </w:rPr>
        <w:t xml:space="preserve">research </w:t>
      </w:r>
      <w:r w:rsidR="00A82C6C">
        <w:rPr>
          <w:rFonts w:asciiTheme="majorBidi" w:hAnsiTheme="majorBidi" w:cstheme="majorBidi"/>
          <w:color w:val="000000" w:themeColor="text1"/>
          <w:sz w:val="24"/>
          <w:szCs w:val="28"/>
        </w:rPr>
        <w:t>design</w:t>
      </w:r>
      <w:r w:rsidR="007C019C">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w:t>
      </w:r>
      <w:r w:rsidR="00861F59">
        <w:rPr>
          <w:rFonts w:asciiTheme="majorBidi" w:hAnsiTheme="majorBidi" w:cstheme="majorBidi"/>
          <w:color w:val="000000" w:themeColor="text1"/>
          <w:sz w:val="24"/>
          <w:szCs w:val="28"/>
        </w:rPr>
        <w:t>S</w:t>
      </w:r>
      <w:r w:rsidR="007C019C">
        <w:rPr>
          <w:rFonts w:asciiTheme="majorBidi" w:hAnsiTheme="majorBidi" w:cstheme="majorBidi"/>
          <w:color w:val="000000" w:themeColor="text1"/>
          <w:sz w:val="24"/>
          <w:szCs w:val="28"/>
        </w:rPr>
        <w:t xml:space="preserve">ection </w:t>
      </w:r>
      <w:r w:rsidR="00960B72">
        <w:rPr>
          <w:rFonts w:asciiTheme="majorBidi" w:hAnsiTheme="majorBidi" w:cstheme="majorBidi"/>
          <w:color w:val="000000" w:themeColor="text1"/>
          <w:sz w:val="24"/>
          <w:szCs w:val="28"/>
        </w:rPr>
        <w:t>6</w:t>
      </w:r>
      <w:r w:rsidR="00D0435A">
        <w:rPr>
          <w:rFonts w:asciiTheme="majorBidi" w:hAnsiTheme="majorBidi" w:cstheme="majorBidi"/>
          <w:color w:val="000000" w:themeColor="text1"/>
          <w:sz w:val="24"/>
          <w:szCs w:val="28"/>
        </w:rPr>
        <w:t xml:space="preserve"> </w:t>
      </w:r>
      <w:r w:rsidR="00821C3F">
        <w:rPr>
          <w:rFonts w:asciiTheme="majorBidi" w:hAnsiTheme="majorBidi" w:cstheme="majorBidi"/>
          <w:color w:val="000000" w:themeColor="text1"/>
          <w:sz w:val="24"/>
          <w:szCs w:val="28"/>
        </w:rPr>
        <w:t xml:space="preserve">presents </w:t>
      </w:r>
      <w:r w:rsidR="00D35030">
        <w:rPr>
          <w:rFonts w:asciiTheme="majorBidi" w:hAnsiTheme="majorBidi" w:cstheme="majorBidi"/>
          <w:color w:val="000000" w:themeColor="text1"/>
          <w:sz w:val="24"/>
          <w:szCs w:val="28"/>
        </w:rPr>
        <w:t>the</w:t>
      </w:r>
      <w:r w:rsidR="00D35030"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empirical results and findings from </w:t>
      </w:r>
      <w:r w:rsidR="00821C3F">
        <w:rPr>
          <w:rFonts w:asciiTheme="majorBidi" w:hAnsiTheme="majorBidi" w:cstheme="majorBidi"/>
          <w:color w:val="000000" w:themeColor="text1"/>
          <w:sz w:val="24"/>
          <w:szCs w:val="28"/>
        </w:rPr>
        <w:t>further</w:t>
      </w:r>
      <w:r w:rsidR="00821C3F"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analyses. Finally, Section </w:t>
      </w:r>
      <w:r w:rsidR="007C019C">
        <w:rPr>
          <w:rFonts w:asciiTheme="majorBidi" w:hAnsiTheme="majorBidi" w:cstheme="majorBidi"/>
          <w:color w:val="000000" w:themeColor="text1"/>
          <w:sz w:val="24"/>
          <w:szCs w:val="28"/>
        </w:rPr>
        <w:t>7</w:t>
      </w:r>
      <w:r w:rsidRPr="005E73C2">
        <w:rPr>
          <w:rFonts w:asciiTheme="majorBidi" w:hAnsiTheme="majorBidi" w:cstheme="majorBidi"/>
          <w:color w:val="000000" w:themeColor="text1"/>
          <w:sz w:val="24"/>
          <w:szCs w:val="28"/>
        </w:rPr>
        <w:t xml:space="preserve"> concludes the paper.</w:t>
      </w:r>
    </w:p>
    <w:p w14:paraId="17A15C79" w14:textId="088804AA" w:rsidR="002528F2" w:rsidRPr="006E3B21" w:rsidRDefault="004E0DDE" w:rsidP="00D06AA6">
      <w:pPr>
        <w:pStyle w:val="Heading1"/>
        <w:rPr>
          <w:b/>
          <w:bCs/>
        </w:rPr>
      </w:pPr>
      <w:r w:rsidRPr="00CE73BB">
        <w:rPr>
          <w:rFonts w:asciiTheme="majorBidi" w:hAnsiTheme="majorBidi"/>
          <w:b/>
          <w:bCs/>
          <w:color w:val="000000" w:themeColor="text1"/>
        </w:rPr>
        <w:t>2</w:t>
      </w:r>
      <w:r w:rsidR="002934C7" w:rsidRPr="00CE73BB">
        <w:rPr>
          <w:rFonts w:asciiTheme="majorBidi" w:hAnsiTheme="majorBidi"/>
          <w:b/>
          <w:bCs/>
          <w:color w:val="000000" w:themeColor="text1"/>
        </w:rPr>
        <w:t>.</w:t>
      </w:r>
      <w:r w:rsidRPr="00CE73BB">
        <w:rPr>
          <w:rFonts w:asciiTheme="majorBidi" w:hAnsiTheme="majorBidi"/>
          <w:b/>
          <w:bCs/>
          <w:color w:val="000000" w:themeColor="text1"/>
        </w:rPr>
        <w:t xml:space="preserve"> </w:t>
      </w:r>
      <w:r w:rsidR="00D06AA6">
        <w:rPr>
          <w:rFonts w:asciiTheme="majorBidi" w:hAnsiTheme="majorBidi"/>
          <w:b/>
          <w:bCs/>
          <w:color w:val="000000" w:themeColor="text1"/>
        </w:rPr>
        <w:t>N</w:t>
      </w:r>
      <w:r w:rsidR="00D06AA6" w:rsidRPr="00CE73BB">
        <w:rPr>
          <w:rFonts w:asciiTheme="majorBidi" w:hAnsiTheme="majorBidi"/>
          <w:b/>
          <w:bCs/>
          <w:color w:val="000000" w:themeColor="text1"/>
        </w:rPr>
        <w:t>on-IFRS disclosures quality</w:t>
      </w:r>
      <w:r w:rsidR="00D06AA6">
        <w:rPr>
          <w:rFonts w:asciiTheme="majorBidi" w:hAnsiTheme="majorBidi"/>
          <w:b/>
          <w:bCs/>
          <w:color w:val="000000" w:themeColor="text1"/>
        </w:rPr>
        <w:t>,</w:t>
      </w:r>
      <w:r w:rsidR="00D06AA6" w:rsidRPr="00CE73BB">
        <w:rPr>
          <w:rFonts w:asciiTheme="majorBidi" w:hAnsiTheme="majorBidi"/>
          <w:b/>
          <w:bCs/>
          <w:color w:val="000000" w:themeColor="text1"/>
        </w:rPr>
        <w:t xml:space="preserve"> </w:t>
      </w:r>
      <w:r w:rsidR="00091BB2" w:rsidRPr="00CE73BB">
        <w:rPr>
          <w:rFonts w:asciiTheme="majorBidi" w:hAnsiTheme="majorBidi"/>
          <w:b/>
          <w:bCs/>
          <w:color w:val="000000" w:themeColor="text1"/>
        </w:rPr>
        <w:t xml:space="preserve">audit committee chairs, and </w:t>
      </w:r>
      <w:r w:rsidR="005C5A8D">
        <w:rPr>
          <w:rFonts w:asciiTheme="majorBidi" w:hAnsiTheme="majorBidi"/>
          <w:b/>
          <w:bCs/>
          <w:color w:val="000000" w:themeColor="text1"/>
        </w:rPr>
        <w:t>n</w:t>
      </w:r>
      <w:r w:rsidR="00D06AA6">
        <w:rPr>
          <w:rFonts w:asciiTheme="majorBidi" w:hAnsiTheme="majorBidi"/>
          <w:b/>
          <w:bCs/>
          <w:color w:val="000000" w:themeColor="text1"/>
        </w:rPr>
        <w:t>arcissistic traits</w:t>
      </w:r>
    </w:p>
    <w:p w14:paraId="2623804C" w14:textId="77777777" w:rsidR="006E3B21" w:rsidRDefault="006E3B21" w:rsidP="009B4C02">
      <w:pPr>
        <w:spacing w:line="480" w:lineRule="auto"/>
        <w:ind w:left="284" w:firstLine="420"/>
        <w:rPr>
          <w:rFonts w:asciiTheme="majorBidi" w:hAnsiTheme="majorBidi" w:cstheme="majorBidi"/>
          <w:color w:val="000000" w:themeColor="text1"/>
          <w:sz w:val="24"/>
          <w:szCs w:val="24"/>
        </w:rPr>
      </w:pPr>
    </w:p>
    <w:p w14:paraId="6F732BD0" w14:textId="7396A1FF" w:rsidR="002A64B3" w:rsidRDefault="009D391B" w:rsidP="009B4C02">
      <w:pPr>
        <w:spacing w:line="480" w:lineRule="auto"/>
        <w:ind w:left="284" w:firstLine="420"/>
        <w:rPr>
          <w:rFonts w:asciiTheme="majorBidi" w:hAnsiTheme="majorBidi" w:cstheme="majorBidi"/>
          <w:color w:val="000000" w:themeColor="text1"/>
          <w:sz w:val="24"/>
          <w:szCs w:val="24"/>
        </w:rPr>
      </w:pPr>
      <w:r w:rsidRPr="00AD33E3">
        <w:rPr>
          <w:rFonts w:asciiTheme="majorBidi" w:hAnsiTheme="majorBidi" w:cstheme="majorBidi"/>
          <w:color w:val="000000" w:themeColor="text1"/>
          <w:sz w:val="24"/>
          <w:szCs w:val="24"/>
        </w:rPr>
        <w:t xml:space="preserve">Over the years, the accounting standards for </w:t>
      </w:r>
      <w:r>
        <w:rPr>
          <w:rFonts w:asciiTheme="majorBidi" w:hAnsiTheme="majorBidi" w:cstheme="majorBidi"/>
          <w:color w:val="000000" w:themeColor="text1"/>
          <w:sz w:val="24"/>
          <w:szCs w:val="24"/>
        </w:rPr>
        <w:t>non-recurring</w:t>
      </w:r>
      <w:r w:rsidRPr="00AD33E3">
        <w:rPr>
          <w:rFonts w:asciiTheme="majorBidi" w:hAnsiTheme="majorBidi" w:cstheme="majorBidi"/>
          <w:color w:val="000000" w:themeColor="text1"/>
          <w:sz w:val="24"/>
          <w:szCs w:val="24"/>
        </w:rPr>
        <w:t xml:space="preserve"> items in the UK have evolved from SSAP6, which required </w:t>
      </w:r>
      <w:r w:rsidR="00D35030">
        <w:rPr>
          <w:rFonts w:asciiTheme="majorBidi" w:hAnsiTheme="majorBidi" w:cstheme="majorBidi"/>
          <w:color w:val="000000" w:themeColor="text1"/>
          <w:sz w:val="24"/>
          <w:szCs w:val="24"/>
        </w:rPr>
        <w:t xml:space="preserve">the </w:t>
      </w:r>
      <w:r w:rsidRPr="00AD33E3">
        <w:rPr>
          <w:rFonts w:asciiTheme="majorBidi" w:hAnsiTheme="majorBidi" w:cstheme="majorBidi"/>
          <w:color w:val="000000" w:themeColor="text1"/>
          <w:sz w:val="24"/>
          <w:szCs w:val="24"/>
        </w:rPr>
        <w:t xml:space="preserve">separate disclosure of extraordinary items, to FRS3, which </w:t>
      </w:r>
      <w:r w:rsidR="00D35030">
        <w:rPr>
          <w:rFonts w:asciiTheme="majorBidi" w:hAnsiTheme="majorBidi" w:cstheme="majorBidi"/>
          <w:color w:val="000000" w:themeColor="text1"/>
          <w:sz w:val="24"/>
          <w:szCs w:val="24"/>
        </w:rPr>
        <w:t>mandated</w:t>
      </w:r>
      <w:r w:rsidR="00D35030" w:rsidRPr="00AD33E3">
        <w:rPr>
          <w:rFonts w:asciiTheme="majorBidi" w:hAnsiTheme="majorBidi" w:cstheme="majorBidi"/>
          <w:color w:val="000000" w:themeColor="text1"/>
          <w:sz w:val="24"/>
          <w:szCs w:val="24"/>
        </w:rPr>
        <w:t xml:space="preserve"> </w:t>
      </w:r>
      <w:r w:rsidR="00D35030">
        <w:rPr>
          <w:rFonts w:asciiTheme="majorBidi" w:hAnsiTheme="majorBidi" w:cstheme="majorBidi"/>
          <w:color w:val="000000" w:themeColor="text1"/>
          <w:sz w:val="24"/>
          <w:szCs w:val="24"/>
        </w:rPr>
        <w:t xml:space="preserve">the </w:t>
      </w:r>
      <w:r w:rsidRPr="00AD33E3">
        <w:rPr>
          <w:rFonts w:asciiTheme="majorBidi" w:hAnsiTheme="majorBidi" w:cstheme="majorBidi"/>
          <w:color w:val="000000" w:themeColor="text1"/>
          <w:sz w:val="24"/>
          <w:szCs w:val="24"/>
        </w:rPr>
        <w:t xml:space="preserve">disclosure of exceptional items, and finally to IAS1, which requires </w:t>
      </w:r>
      <w:r w:rsidR="00D35030">
        <w:rPr>
          <w:rFonts w:asciiTheme="majorBidi" w:hAnsiTheme="majorBidi" w:cstheme="majorBidi"/>
          <w:color w:val="000000" w:themeColor="text1"/>
          <w:sz w:val="24"/>
          <w:szCs w:val="24"/>
        </w:rPr>
        <w:t xml:space="preserve">the </w:t>
      </w:r>
      <w:r w:rsidRPr="00AD33E3">
        <w:rPr>
          <w:rFonts w:asciiTheme="majorBidi" w:hAnsiTheme="majorBidi" w:cstheme="majorBidi"/>
          <w:color w:val="000000" w:themeColor="text1"/>
          <w:sz w:val="24"/>
          <w:szCs w:val="24"/>
        </w:rPr>
        <w:t>disclosure of material items.</w:t>
      </w:r>
      <w:r>
        <w:rPr>
          <w:rFonts w:asciiTheme="majorBidi" w:hAnsiTheme="majorBidi" w:cstheme="majorBidi"/>
          <w:color w:val="000000" w:themeColor="text1"/>
          <w:sz w:val="24"/>
          <w:szCs w:val="24"/>
        </w:rPr>
        <w:t xml:space="preserve"> </w:t>
      </w:r>
    </w:p>
    <w:p w14:paraId="15AA94D6" w14:textId="4FAE4181" w:rsidR="00601B4D" w:rsidRPr="005E73C2" w:rsidRDefault="009D391B">
      <w:pPr>
        <w:spacing w:line="480" w:lineRule="auto"/>
        <w:ind w:left="284" w:firstLine="420"/>
        <w:rPr>
          <w:rFonts w:asciiTheme="majorBidi" w:hAnsiTheme="majorBidi" w:cstheme="majorBidi"/>
          <w:color w:val="000000" w:themeColor="text1"/>
          <w:sz w:val="24"/>
          <w:szCs w:val="24"/>
        </w:rPr>
      </w:pPr>
      <w:r w:rsidRPr="009D391B">
        <w:rPr>
          <w:rFonts w:asciiTheme="majorBidi" w:hAnsiTheme="majorBidi" w:cstheme="majorBidi"/>
          <w:color w:val="000000" w:themeColor="text1"/>
          <w:sz w:val="24"/>
          <w:szCs w:val="24"/>
        </w:rPr>
        <w:t>FRS3 mandated firms to distinguish between operating and non-operating non-</w:t>
      </w:r>
      <w:r w:rsidR="00A44FFF" w:rsidRPr="009D391B">
        <w:rPr>
          <w:rFonts w:asciiTheme="majorBidi" w:hAnsiTheme="majorBidi" w:cstheme="majorBidi"/>
          <w:color w:val="000000" w:themeColor="text1"/>
          <w:sz w:val="24"/>
          <w:szCs w:val="24"/>
        </w:rPr>
        <w:t>recurring items</w:t>
      </w:r>
      <w:r w:rsidR="006D79C0">
        <w:rPr>
          <w:rFonts w:asciiTheme="majorBidi" w:hAnsiTheme="majorBidi" w:cstheme="majorBidi"/>
          <w:color w:val="000000" w:themeColor="text1"/>
          <w:sz w:val="24"/>
          <w:szCs w:val="24"/>
        </w:rPr>
        <w:t xml:space="preserve"> and </w:t>
      </w:r>
      <w:r w:rsidRPr="009D391B">
        <w:rPr>
          <w:rFonts w:asciiTheme="majorBidi" w:hAnsiTheme="majorBidi" w:cstheme="majorBidi"/>
          <w:color w:val="000000" w:themeColor="text1"/>
          <w:sz w:val="24"/>
          <w:szCs w:val="24"/>
        </w:rPr>
        <w:t>to provide more detailed information about each exceptional item</w:t>
      </w:r>
      <w:r w:rsidR="00526799">
        <w:rPr>
          <w:rFonts w:asciiTheme="majorBidi" w:hAnsiTheme="majorBidi" w:cstheme="majorBidi"/>
          <w:color w:val="000000" w:themeColor="text1"/>
          <w:sz w:val="24"/>
          <w:szCs w:val="24"/>
        </w:rPr>
        <w:t>,</w:t>
      </w:r>
      <w:r w:rsidRPr="009D391B">
        <w:rPr>
          <w:rFonts w:asciiTheme="majorBidi" w:hAnsiTheme="majorBidi" w:cstheme="majorBidi"/>
          <w:color w:val="000000" w:themeColor="text1"/>
          <w:sz w:val="24"/>
          <w:szCs w:val="24"/>
        </w:rPr>
        <w:t xml:space="preserve"> </w:t>
      </w:r>
      <w:r w:rsidR="00861F59">
        <w:rPr>
          <w:rFonts w:asciiTheme="majorBidi" w:hAnsiTheme="majorBidi" w:cstheme="majorBidi"/>
          <w:color w:val="000000" w:themeColor="text1"/>
          <w:sz w:val="24"/>
          <w:szCs w:val="24"/>
        </w:rPr>
        <w:t>helping</w:t>
      </w:r>
      <w:r w:rsidR="00861F59" w:rsidRPr="009D391B">
        <w:rPr>
          <w:rFonts w:asciiTheme="majorBidi" w:hAnsiTheme="majorBidi" w:cstheme="majorBidi"/>
          <w:color w:val="000000" w:themeColor="text1"/>
          <w:sz w:val="24"/>
          <w:szCs w:val="24"/>
        </w:rPr>
        <w:t xml:space="preserve"> </w:t>
      </w:r>
      <w:r w:rsidRPr="009D391B">
        <w:rPr>
          <w:rFonts w:asciiTheme="majorBidi" w:hAnsiTheme="majorBidi" w:cstheme="majorBidi"/>
          <w:color w:val="000000" w:themeColor="text1"/>
          <w:sz w:val="24"/>
          <w:szCs w:val="24"/>
        </w:rPr>
        <w:t>users</w:t>
      </w:r>
      <w:r w:rsidR="00861F59">
        <w:rPr>
          <w:rFonts w:asciiTheme="majorBidi" w:hAnsiTheme="majorBidi" w:cstheme="majorBidi"/>
          <w:color w:val="000000" w:themeColor="text1"/>
          <w:sz w:val="24"/>
          <w:szCs w:val="24"/>
        </w:rPr>
        <w:t xml:space="preserve"> </w:t>
      </w:r>
      <w:r w:rsidRPr="009D391B">
        <w:rPr>
          <w:rFonts w:asciiTheme="majorBidi" w:hAnsiTheme="majorBidi" w:cstheme="majorBidi"/>
          <w:color w:val="000000" w:themeColor="text1"/>
          <w:sz w:val="24"/>
          <w:szCs w:val="24"/>
        </w:rPr>
        <w:t xml:space="preserve">understand their nature and </w:t>
      </w:r>
      <w:r w:rsidR="00861F59">
        <w:rPr>
          <w:rFonts w:asciiTheme="majorBidi" w:hAnsiTheme="majorBidi" w:cstheme="majorBidi"/>
          <w:color w:val="000000" w:themeColor="text1"/>
          <w:sz w:val="24"/>
          <w:szCs w:val="24"/>
        </w:rPr>
        <w:t>differentiate</w:t>
      </w:r>
      <w:r w:rsidR="00861F59" w:rsidRPr="009D391B">
        <w:rPr>
          <w:rFonts w:asciiTheme="majorBidi" w:hAnsiTheme="majorBidi" w:cstheme="majorBidi"/>
          <w:color w:val="000000" w:themeColor="text1"/>
          <w:sz w:val="24"/>
          <w:szCs w:val="24"/>
        </w:rPr>
        <w:t xml:space="preserve"> </w:t>
      </w:r>
      <w:r w:rsidRPr="009D391B">
        <w:rPr>
          <w:rFonts w:asciiTheme="majorBidi" w:hAnsiTheme="majorBidi" w:cstheme="majorBidi"/>
          <w:color w:val="000000" w:themeColor="text1"/>
          <w:sz w:val="24"/>
          <w:szCs w:val="24"/>
        </w:rPr>
        <w:t>them from recurring items.</w:t>
      </w:r>
      <w:r w:rsidR="00A17D5A">
        <w:rPr>
          <w:rFonts w:asciiTheme="majorBidi" w:hAnsiTheme="majorBidi" w:cstheme="majorBidi"/>
          <w:color w:val="000000" w:themeColor="text1"/>
          <w:sz w:val="24"/>
          <w:szCs w:val="24"/>
        </w:rPr>
        <w:t xml:space="preserve"> </w:t>
      </w:r>
      <w:r w:rsidR="009B4C02">
        <w:rPr>
          <w:rFonts w:asciiTheme="majorBidi" w:hAnsiTheme="majorBidi" w:cstheme="majorBidi"/>
          <w:color w:val="000000" w:themeColor="text1"/>
          <w:sz w:val="24"/>
          <w:szCs w:val="24"/>
        </w:rPr>
        <w:t>However,</w:t>
      </w:r>
      <w:r w:rsidR="00FD5978">
        <w:rPr>
          <w:rFonts w:asciiTheme="majorBidi" w:hAnsiTheme="majorBidi" w:cstheme="majorBidi"/>
          <w:color w:val="000000" w:themeColor="text1"/>
          <w:sz w:val="24"/>
          <w:szCs w:val="24"/>
        </w:rPr>
        <w:t xml:space="preserve"> </w:t>
      </w:r>
      <w:r w:rsidR="00601B4D" w:rsidRPr="005E73C2">
        <w:rPr>
          <w:rFonts w:asciiTheme="majorBidi" w:hAnsiTheme="majorBidi" w:cstheme="majorBidi"/>
          <w:color w:val="000000" w:themeColor="text1"/>
          <w:sz w:val="24"/>
          <w:szCs w:val="24"/>
        </w:rPr>
        <w:t xml:space="preserve">since 2005, UK listed companies are required to comply with </w:t>
      </w:r>
      <w:r w:rsidR="00FD5978" w:rsidRPr="004648AF">
        <w:rPr>
          <w:rFonts w:asciiTheme="majorBidi" w:hAnsiTheme="majorBidi" w:cstheme="majorBidi"/>
          <w:color w:val="000000" w:themeColor="text1"/>
          <w:sz w:val="24"/>
          <w:szCs w:val="24"/>
        </w:rPr>
        <w:t xml:space="preserve">International </w:t>
      </w:r>
      <w:r w:rsidR="00FD5978">
        <w:rPr>
          <w:rFonts w:asciiTheme="majorBidi" w:hAnsiTheme="majorBidi" w:cstheme="majorBidi"/>
          <w:color w:val="000000" w:themeColor="text1"/>
          <w:sz w:val="24"/>
          <w:szCs w:val="24"/>
        </w:rPr>
        <w:t xml:space="preserve">Financial </w:t>
      </w:r>
      <w:r w:rsidR="00FD5978" w:rsidRPr="004648AF">
        <w:rPr>
          <w:rFonts w:asciiTheme="majorBidi" w:hAnsiTheme="majorBidi" w:cstheme="majorBidi"/>
          <w:color w:val="000000" w:themeColor="text1"/>
          <w:sz w:val="24"/>
          <w:szCs w:val="24"/>
        </w:rPr>
        <w:t xml:space="preserve">Accounting Standards </w:t>
      </w:r>
      <w:r w:rsidR="00FD5978">
        <w:rPr>
          <w:rFonts w:asciiTheme="majorBidi" w:hAnsiTheme="majorBidi" w:cstheme="majorBidi"/>
          <w:color w:val="000000" w:themeColor="text1"/>
          <w:sz w:val="24"/>
          <w:szCs w:val="24"/>
        </w:rPr>
        <w:t>(</w:t>
      </w:r>
      <w:r w:rsidR="00601B4D" w:rsidRPr="005E73C2">
        <w:rPr>
          <w:rFonts w:asciiTheme="majorBidi" w:hAnsiTheme="majorBidi" w:cstheme="majorBidi"/>
          <w:color w:val="000000" w:themeColor="text1"/>
          <w:sz w:val="24"/>
          <w:szCs w:val="24"/>
        </w:rPr>
        <w:t>IFRS</w:t>
      </w:r>
      <w:r w:rsidR="00FD5978">
        <w:rPr>
          <w:rFonts w:asciiTheme="majorBidi" w:hAnsiTheme="majorBidi" w:cstheme="majorBidi"/>
          <w:color w:val="000000" w:themeColor="text1"/>
          <w:sz w:val="24"/>
          <w:szCs w:val="24"/>
        </w:rPr>
        <w:t>)</w:t>
      </w:r>
      <w:r w:rsidR="002A64B3">
        <w:rPr>
          <w:rFonts w:asciiTheme="majorBidi" w:hAnsiTheme="majorBidi" w:cstheme="majorBidi"/>
          <w:color w:val="000000" w:themeColor="text1"/>
          <w:sz w:val="24"/>
          <w:szCs w:val="24"/>
        </w:rPr>
        <w:t xml:space="preserve"> </w:t>
      </w:r>
      <w:r w:rsidR="002A64B3" w:rsidRPr="002A64B3">
        <w:rPr>
          <w:rFonts w:asciiTheme="majorBidi" w:hAnsiTheme="majorBidi" w:cstheme="majorBidi"/>
          <w:color w:val="000000" w:themeColor="text1"/>
          <w:sz w:val="24"/>
          <w:szCs w:val="24"/>
        </w:rPr>
        <w:t xml:space="preserve">which does not specifically address </w:t>
      </w:r>
      <w:r w:rsidR="00601B4D" w:rsidRPr="005E73C2">
        <w:rPr>
          <w:rFonts w:asciiTheme="majorBidi" w:hAnsiTheme="majorBidi" w:cstheme="majorBidi"/>
          <w:color w:val="000000" w:themeColor="text1"/>
          <w:sz w:val="24"/>
          <w:szCs w:val="24"/>
        </w:rPr>
        <w:t xml:space="preserve">non-recurring or exceptional events </w:t>
      </w:r>
      <w:r w:rsidR="002A64B3" w:rsidRPr="002A64B3">
        <w:rPr>
          <w:rFonts w:asciiTheme="majorBidi" w:hAnsiTheme="majorBidi" w:cstheme="majorBidi"/>
          <w:color w:val="000000" w:themeColor="text1"/>
          <w:sz w:val="24"/>
          <w:szCs w:val="24"/>
        </w:rPr>
        <w:t xml:space="preserve">beyond a general guideline on </w:t>
      </w:r>
      <w:r w:rsidR="00601B4D" w:rsidRPr="005E73C2">
        <w:rPr>
          <w:rFonts w:asciiTheme="majorBidi" w:hAnsiTheme="majorBidi" w:cstheme="majorBidi"/>
          <w:color w:val="000000" w:themeColor="text1"/>
          <w:sz w:val="24"/>
          <w:szCs w:val="24"/>
        </w:rPr>
        <w:t>‘material items’ under IAS1</w:t>
      </w:r>
      <w:r w:rsidR="00C000A5">
        <w:rPr>
          <w:rFonts w:asciiTheme="majorBidi" w:hAnsiTheme="majorBidi" w:cstheme="majorBidi"/>
          <w:color w:val="000000" w:themeColor="text1"/>
          <w:sz w:val="24"/>
          <w:szCs w:val="24"/>
        </w:rPr>
        <w:t xml:space="preserve"> (</w:t>
      </w:r>
      <w:proofErr w:type="spellStart"/>
      <w:r w:rsidR="004F7297" w:rsidRPr="004F7297">
        <w:rPr>
          <w:rFonts w:asciiTheme="majorBidi" w:hAnsiTheme="majorBidi" w:cstheme="majorBidi"/>
          <w:color w:val="000000" w:themeColor="text1"/>
          <w:sz w:val="24"/>
          <w:szCs w:val="24"/>
        </w:rPr>
        <w:t>Athanasakou</w:t>
      </w:r>
      <w:proofErr w:type="spellEnd"/>
      <w:r w:rsidR="00D76B59">
        <w:rPr>
          <w:rFonts w:asciiTheme="majorBidi" w:hAnsiTheme="majorBidi" w:cstheme="majorBidi"/>
          <w:color w:val="000000" w:themeColor="text1"/>
          <w:sz w:val="24"/>
          <w:szCs w:val="24"/>
        </w:rPr>
        <w:t xml:space="preserve">, </w:t>
      </w:r>
      <w:r w:rsidR="00D76B59" w:rsidRPr="00D76B59">
        <w:rPr>
          <w:rFonts w:asciiTheme="majorBidi" w:hAnsiTheme="majorBidi" w:cstheme="majorBidi"/>
          <w:color w:val="000000" w:themeColor="text1"/>
          <w:sz w:val="24"/>
          <w:szCs w:val="24"/>
        </w:rPr>
        <w:t>Strong</w:t>
      </w:r>
      <w:r w:rsidR="00D76B59">
        <w:rPr>
          <w:rFonts w:asciiTheme="majorBidi" w:hAnsiTheme="majorBidi" w:cstheme="majorBidi"/>
          <w:color w:val="000000" w:themeColor="text1"/>
          <w:sz w:val="24"/>
          <w:szCs w:val="24"/>
        </w:rPr>
        <w:t xml:space="preserve">, &amp; </w:t>
      </w:r>
      <w:r w:rsidR="00D76B59" w:rsidRPr="00D76B59">
        <w:rPr>
          <w:rFonts w:asciiTheme="majorBidi" w:hAnsiTheme="majorBidi" w:cstheme="majorBidi"/>
          <w:color w:val="000000" w:themeColor="text1"/>
          <w:sz w:val="24"/>
          <w:szCs w:val="24"/>
        </w:rPr>
        <w:t>Walker</w:t>
      </w:r>
      <w:r w:rsidR="004F7297">
        <w:rPr>
          <w:rFonts w:asciiTheme="majorBidi" w:hAnsiTheme="majorBidi" w:cstheme="majorBidi"/>
          <w:color w:val="000000" w:themeColor="text1"/>
          <w:sz w:val="24"/>
          <w:szCs w:val="24"/>
        </w:rPr>
        <w:t>, 2009</w:t>
      </w:r>
      <w:r w:rsidR="00C000A5">
        <w:rPr>
          <w:rFonts w:asciiTheme="majorBidi" w:hAnsiTheme="majorBidi" w:cstheme="majorBidi"/>
          <w:color w:val="000000" w:themeColor="text1"/>
          <w:sz w:val="24"/>
          <w:szCs w:val="24"/>
        </w:rPr>
        <w:t>)</w:t>
      </w:r>
      <w:r w:rsidR="00601B4D" w:rsidRPr="005E73C2">
        <w:rPr>
          <w:rFonts w:asciiTheme="majorBidi" w:hAnsiTheme="majorBidi" w:cstheme="majorBidi"/>
          <w:color w:val="000000" w:themeColor="text1"/>
          <w:sz w:val="24"/>
          <w:szCs w:val="24"/>
        </w:rPr>
        <w:t xml:space="preserve">. Furthermore, </w:t>
      </w:r>
      <w:r w:rsidR="004F40D5">
        <w:rPr>
          <w:rFonts w:asciiTheme="majorBidi" w:hAnsiTheme="majorBidi" w:cstheme="majorBidi"/>
          <w:color w:val="000000" w:themeColor="text1"/>
          <w:sz w:val="24"/>
          <w:szCs w:val="24"/>
        </w:rPr>
        <w:t>the</w:t>
      </w:r>
      <w:r w:rsidR="00601B4D" w:rsidRPr="005E73C2">
        <w:rPr>
          <w:rFonts w:asciiTheme="majorBidi" w:hAnsiTheme="majorBidi" w:cstheme="majorBidi"/>
          <w:color w:val="000000" w:themeColor="text1"/>
          <w:sz w:val="24"/>
          <w:szCs w:val="24"/>
        </w:rPr>
        <w:t xml:space="preserve"> limited guidance </w:t>
      </w:r>
      <w:r w:rsidR="00DC3F8C">
        <w:rPr>
          <w:rFonts w:asciiTheme="majorBidi" w:hAnsiTheme="majorBidi" w:cstheme="majorBidi"/>
          <w:color w:val="000000" w:themeColor="text1"/>
          <w:sz w:val="24"/>
          <w:szCs w:val="24"/>
        </w:rPr>
        <w:t>on</w:t>
      </w:r>
      <w:r w:rsidR="00601B4D" w:rsidRPr="005E73C2">
        <w:rPr>
          <w:rFonts w:asciiTheme="majorBidi" w:hAnsiTheme="majorBidi" w:cstheme="majorBidi"/>
          <w:color w:val="000000" w:themeColor="text1"/>
          <w:sz w:val="24"/>
          <w:szCs w:val="24"/>
        </w:rPr>
        <w:t xml:space="preserve"> how to identify and disclose material items</w:t>
      </w:r>
      <w:r w:rsidR="004F40D5">
        <w:rPr>
          <w:rFonts w:asciiTheme="majorBidi" w:hAnsiTheme="majorBidi" w:cstheme="majorBidi"/>
          <w:color w:val="000000" w:themeColor="text1"/>
          <w:sz w:val="24"/>
          <w:szCs w:val="24"/>
        </w:rPr>
        <w:t xml:space="preserve"> </w:t>
      </w:r>
      <w:r w:rsidR="00DC3F8C">
        <w:rPr>
          <w:rFonts w:asciiTheme="majorBidi" w:hAnsiTheme="majorBidi" w:cstheme="majorBidi"/>
          <w:color w:val="000000" w:themeColor="text1"/>
          <w:sz w:val="24"/>
          <w:szCs w:val="24"/>
        </w:rPr>
        <w:t>grants</w:t>
      </w:r>
      <w:r w:rsidR="00DC3F8C" w:rsidRPr="005E73C2">
        <w:rPr>
          <w:rFonts w:asciiTheme="majorBidi" w:hAnsiTheme="majorBidi" w:cstheme="majorBidi"/>
          <w:color w:val="000000" w:themeColor="text1"/>
          <w:sz w:val="24"/>
          <w:szCs w:val="24"/>
        </w:rPr>
        <w:t xml:space="preserve"> </w:t>
      </w:r>
      <w:r w:rsidR="002A64B3">
        <w:rPr>
          <w:rFonts w:asciiTheme="majorBidi" w:hAnsiTheme="majorBidi" w:cstheme="majorBidi"/>
          <w:color w:val="000000" w:themeColor="text1"/>
          <w:sz w:val="24"/>
          <w:szCs w:val="24"/>
        </w:rPr>
        <w:t>considerable</w:t>
      </w:r>
      <w:r w:rsidR="002A64B3" w:rsidRPr="005E73C2">
        <w:rPr>
          <w:rFonts w:asciiTheme="majorBidi" w:hAnsiTheme="majorBidi" w:cstheme="majorBidi"/>
          <w:color w:val="000000" w:themeColor="text1"/>
          <w:sz w:val="24"/>
          <w:szCs w:val="24"/>
        </w:rPr>
        <w:t xml:space="preserve"> </w:t>
      </w:r>
      <w:r w:rsidR="00601B4D" w:rsidRPr="005E73C2">
        <w:rPr>
          <w:rFonts w:asciiTheme="majorBidi" w:hAnsiTheme="majorBidi" w:cstheme="majorBidi"/>
          <w:color w:val="000000" w:themeColor="text1"/>
          <w:sz w:val="24"/>
          <w:szCs w:val="24"/>
        </w:rPr>
        <w:t>managerial discretion</w:t>
      </w:r>
      <w:r w:rsidR="002A64B3">
        <w:rPr>
          <w:rFonts w:asciiTheme="majorBidi" w:hAnsiTheme="majorBidi" w:cstheme="majorBidi"/>
          <w:color w:val="000000" w:themeColor="text1"/>
          <w:sz w:val="24"/>
          <w:szCs w:val="24"/>
        </w:rPr>
        <w:t xml:space="preserve">, </w:t>
      </w:r>
      <w:r w:rsidR="004F40D5">
        <w:rPr>
          <w:rFonts w:asciiTheme="majorBidi" w:hAnsiTheme="majorBidi" w:cstheme="majorBidi"/>
          <w:color w:val="000000" w:themeColor="text1"/>
          <w:sz w:val="24"/>
          <w:szCs w:val="24"/>
        </w:rPr>
        <w:t xml:space="preserve">which may </w:t>
      </w:r>
      <w:r w:rsidR="002A64B3" w:rsidRPr="002A64B3">
        <w:rPr>
          <w:rFonts w:asciiTheme="majorBidi" w:hAnsiTheme="majorBidi" w:cstheme="majorBidi"/>
          <w:color w:val="000000" w:themeColor="text1"/>
          <w:sz w:val="24"/>
          <w:szCs w:val="24"/>
        </w:rPr>
        <w:t xml:space="preserve">lead to </w:t>
      </w:r>
      <w:r w:rsidR="00DC3F8C">
        <w:rPr>
          <w:rFonts w:asciiTheme="majorBidi" w:hAnsiTheme="majorBidi" w:cstheme="majorBidi"/>
          <w:color w:val="000000" w:themeColor="text1"/>
          <w:sz w:val="24"/>
          <w:szCs w:val="24"/>
        </w:rPr>
        <w:t xml:space="preserve">the </w:t>
      </w:r>
      <w:r w:rsidR="002A64B3">
        <w:rPr>
          <w:rFonts w:asciiTheme="majorBidi" w:hAnsiTheme="majorBidi" w:cstheme="majorBidi"/>
          <w:color w:val="000000" w:themeColor="text1"/>
          <w:sz w:val="24"/>
          <w:szCs w:val="24"/>
        </w:rPr>
        <w:t>misus</w:t>
      </w:r>
      <w:r w:rsidR="00DC3F8C">
        <w:rPr>
          <w:rFonts w:asciiTheme="majorBidi" w:hAnsiTheme="majorBidi" w:cstheme="majorBidi"/>
          <w:color w:val="000000" w:themeColor="text1"/>
          <w:sz w:val="24"/>
          <w:szCs w:val="24"/>
        </w:rPr>
        <w:t>e of</w:t>
      </w:r>
      <w:r w:rsidR="002A64B3">
        <w:rPr>
          <w:rFonts w:asciiTheme="majorBidi" w:hAnsiTheme="majorBidi" w:cstheme="majorBidi"/>
          <w:color w:val="000000" w:themeColor="text1"/>
          <w:sz w:val="24"/>
          <w:szCs w:val="24"/>
        </w:rPr>
        <w:t xml:space="preserve"> non-IFRS disclosure. </w:t>
      </w:r>
      <w:proofErr w:type="gramStart"/>
      <w:r w:rsidR="00891DF6">
        <w:rPr>
          <w:rFonts w:asciiTheme="majorBidi" w:hAnsiTheme="majorBidi" w:cstheme="majorBidi"/>
          <w:color w:val="000000" w:themeColor="text1"/>
          <w:sz w:val="24"/>
          <w:szCs w:val="24"/>
        </w:rPr>
        <w:t xml:space="preserve">In particular, </w:t>
      </w:r>
      <w:r w:rsidR="00601B4D" w:rsidRPr="005E73C2">
        <w:rPr>
          <w:rFonts w:asciiTheme="majorBidi" w:hAnsiTheme="majorBidi" w:cstheme="majorBidi"/>
          <w:color w:val="000000" w:themeColor="text1"/>
          <w:sz w:val="24"/>
          <w:szCs w:val="24"/>
        </w:rPr>
        <w:t>firms</w:t>
      </w:r>
      <w:proofErr w:type="gramEnd"/>
      <w:r w:rsidR="00601B4D" w:rsidRPr="005E73C2">
        <w:rPr>
          <w:rFonts w:asciiTheme="majorBidi" w:hAnsiTheme="majorBidi" w:cstheme="majorBidi"/>
          <w:color w:val="000000" w:themeColor="text1"/>
          <w:sz w:val="24"/>
          <w:szCs w:val="24"/>
        </w:rPr>
        <w:t xml:space="preserve"> </w:t>
      </w:r>
      <w:r w:rsidR="00891DF6">
        <w:rPr>
          <w:rFonts w:asciiTheme="majorBidi" w:hAnsiTheme="majorBidi" w:cstheme="majorBidi"/>
          <w:color w:val="000000" w:themeColor="text1"/>
          <w:sz w:val="24"/>
          <w:szCs w:val="24"/>
        </w:rPr>
        <w:t xml:space="preserve">might </w:t>
      </w:r>
      <w:r w:rsidR="00601B4D" w:rsidRPr="005E73C2">
        <w:rPr>
          <w:rFonts w:asciiTheme="majorBidi" w:hAnsiTheme="majorBidi" w:cstheme="majorBidi"/>
          <w:color w:val="000000" w:themeColor="text1"/>
          <w:sz w:val="24"/>
          <w:szCs w:val="24"/>
        </w:rPr>
        <w:t xml:space="preserve">misclassify some expenses to report a more </w:t>
      </w:r>
      <w:r w:rsidR="000257C7" w:rsidRPr="005E73C2">
        <w:rPr>
          <w:rFonts w:asciiTheme="majorBidi" w:hAnsiTheme="majorBidi" w:cstheme="majorBidi"/>
          <w:color w:val="000000" w:themeColor="text1"/>
          <w:sz w:val="24"/>
          <w:szCs w:val="24"/>
        </w:rPr>
        <w:lastRenderedPageBreak/>
        <w:t>favorable</w:t>
      </w:r>
      <w:r w:rsidR="00601B4D" w:rsidRPr="005E73C2">
        <w:rPr>
          <w:rFonts w:asciiTheme="majorBidi" w:hAnsiTheme="majorBidi" w:cstheme="majorBidi"/>
          <w:color w:val="000000" w:themeColor="text1"/>
          <w:sz w:val="24"/>
          <w:szCs w:val="24"/>
        </w:rPr>
        <w:t xml:space="preserve"> picture of their underlying profitability.</w:t>
      </w:r>
      <w:r w:rsidR="00871D50">
        <w:rPr>
          <w:rStyle w:val="FootnoteReference"/>
          <w:rFonts w:asciiTheme="majorBidi" w:hAnsiTheme="majorBidi" w:cstheme="majorBidi"/>
          <w:color w:val="000000" w:themeColor="text1"/>
          <w:sz w:val="24"/>
          <w:szCs w:val="24"/>
        </w:rPr>
        <w:footnoteReference w:id="4"/>
      </w:r>
      <w:r w:rsidR="00601B4D" w:rsidRPr="005E73C2">
        <w:rPr>
          <w:rFonts w:asciiTheme="majorBidi" w:hAnsiTheme="majorBidi" w:cstheme="majorBidi"/>
          <w:color w:val="000000" w:themeColor="text1"/>
          <w:sz w:val="24"/>
          <w:szCs w:val="24"/>
        </w:rPr>
        <w:t xml:space="preserve"> </w:t>
      </w:r>
      <w:r w:rsidR="004844C1">
        <w:rPr>
          <w:rFonts w:asciiTheme="majorBidi" w:hAnsiTheme="majorBidi" w:cstheme="majorBidi"/>
          <w:color w:val="000000" w:themeColor="text1"/>
          <w:sz w:val="24"/>
          <w:szCs w:val="24"/>
        </w:rPr>
        <w:t>G</w:t>
      </w:r>
      <w:r w:rsidR="00601B4D" w:rsidRPr="005E73C2">
        <w:rPr>
          <w:rFonts w:asciiTheme="majorBidi" w:hAnsiTheme="majorBidi" w:cstheme="majorBidi"/>
          <w:color w:val="000000" w:themeColor="text1"/>
          <w:sz w:val="24"/>
          <w:szCs w:val="24"/>
        </w:rPr>
        <w:t>iven the information asymmetry between managers and investors</w:t>
      </w:r>
      <w:r w:rsidR="00DC3F8C">
        <w:rPr>
          <w:rFonts w:asciiTheme="majorBidi" w:hAnsiTheme="majorBidi" w:cstheme="majorBidi"/>
          <w:color w:val="000000" w:themeColor="text1"/>
          <w:sz w:val="24"/>
          <w:szCs w:val="24"/>
        </w:rPr>
        <w:t xml:space="preserve"> regarding</w:t>
      </w:r>
      <w:r w:rsidR="00601B4D" w:rsidRPr="005E73C2">
        <w:rPr>
          <w:rFonts w:asciiTheme="majorBidi" w:hAnsiTheme="majorBidi" w:cstheme="majorBidi"/>
          <w:color w:val="000000" w:themeColor="text1"/>
          <w:sz w:val="24"/>
          <w:szCs w:val="24"/>
        </w:rPr>
        <w:t xml:space="preserve"> the nature of non-recurring items, it would be </w:t>
      </w:r>
      <w:r w:rsidR="00DC3F8C">
        <w:rPr>
          <w:rFonts w:asciiTheme="majorBidi" w:hAnsiTheme="majorBidi" w:cstheme="majorBidi"/>
          <w:color w:val="000000" w:themeColor="text1"/>
          <w:sz w:val="24"/>
          <w:szCs w:val="24"/>
        </w:rPr>
        <w:t>challenging</w:t>
      </w:r>
      <w:r w:rsidR="00601B4D" w:rsidRPr="005E73C2">
        <w:rPr>
          <w:rFonts w:asciiTheme="majorBidi" w:hAnsiTheme="majorBidi" w:cstheme="majorBidi"/>
          <w:color w:val="000000" w:themeColor="text1"/>
          <w:sz w:val="24"/>
          <w:szCs w:val="24"/>
        </w:rPr>
        <w:t xml:space="preserve"> for users to verify whether the excluded items are genuinely non-recurring </w:t>
      </w:r>
      <w:r w:rsidR="00601B4D" w:rsidRPr="005E73C2">
        <w:rPr>
          <w:rFonts w:asciiTheme="majorBidi" w:hAnsiTheme="majorBidi" w:cstheme="majorBidi"/>
          <w:noProof/>
          <w:color w:val="000000" w:themeColor="text1"/>
          <w:sz w:val="24"/>
          <w:szCs w:val="24"/>
        </w:rPr>
        <w:t>(Frankel et al.</w:t>
      </w:r>
      <w:r w:rsidR="004844C1">
        <w:rPr>
          <w:rFonts w:asciiTheme="majorBidi" w:hAnsiTheme="majorBidi" w:cstheme="majorBidi"/>
          <w:noProof/>
          <w:color w:val="000000" w:themeColor="text1"/>
          <w:sz w:val="24"/>
          <w:szCs w:val="24"/>
        </w:rPr>
        <w:t>,</w:t>
      </w:r>
      <w:r w:rsidR="00601B4D" w:rsidRPr="005E73C2">
        <w:rPr>
          <w:rFonts w:asciiTheme="majorBidi" w:hAnsiTheme="majorBidi" w:cstheme="majorBidi"/>
          <w:noProof/>
          <w:color w:val="000000" w:themeColor="text1"/>
          <w:sz w:val="24"/>
          <w:szCs w:val="24"/>
        </w:rPr>
        <w:t xml:space="preserve"> 2011)</w:t>
      </w:r>
      <w:r w:rsidR="00601B4D" w:rsidRPr="005E73C2">
        <w:rPr>
          <w:rFonts w:asciiTheme="majorBidi" w:hAnsiTheme="majorBidi" w:cstheme="majorBidi"/>
          <w:color w:val="000000" w:themeColor="text1"/>
          <w:sz w:val="24"/>
          <w:szCs w:val="24"/>
        </w:rPr>
        <w:t xml:space="preserve">. </w:t>
      </w:r>
    </w:p>
    <w:p w14:paraId="0C316C5A" w14:textId="3DD47BB6" w:rsidR="004E0DDE" w:rsidRDefault="00601B4D" w:rsidP="00231082">
      <w:pPr>
        <w:spacing w:line="480" w:lineRule="auto"/>
        <w:ind w:left="227" w:firstLine="420"/>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4"/>
        </w:rPr>
        <w:t xml:space="preserve">This flexibility under IFRS </w:t>
      </w:r>
      <w:r w:rsidR="004844C1">
        <w:rPr>
          <w:rFonts w:asciiTheme="majorBidi" w:hAnsiTheme="majorBidi" w:cstheme="majorBidi"/>
          <w:color w:val="000000" w:themeColor="text1"/>
          <w:sz w:val="24"/>
          <w:szCs w:val="24"/>
        </w:rPr>
        <w:t xml:space="preserve">has </w:t>
      </w:r>
      <w:r w:rsidR="004844C1" w:rsidRPr="005E73C2">
        <w:rPr>
          <w:rFonts w:asciiTheme="majorBidi" w:hAnsiTheme="majorBidi" w:cstheme="majorBidi"/>
          <w:color w:val="000000" w:themeColor="text1"/>
          <w:sz w:val="24"/>
          <w:szCs w:val="24"/>
        </w:rPr>
        <w:t>led</w:t>
      </w:r>
      <w:r w:rsidRPr="005E73C2">
        <w:rPr>
          <w:rFonts w:asciiTheme="majorBidi" w:hAnsiTheme="majorBidi" w:cstheme="majorBidi"/>
          <w:color w:val="000000" w:themeColor="text1"/>
          <w:sz w:val="24"/>
          <w:szCs w:val="24"/>
        </w:rPr>
        <w:t xml:space="preserve"> to significant variation</w:t>
      </w:r>
      <w:r w:rsidR="00DC3F8C">
        <w:rPr>
          <w:rFonts w:asciiTheme="majorBidi" w:hAnsiTheme="majorBidi" w:cstheme="majorBidi"/>
          <w:color w:val="000000" w:themeColor="text1"/>
          <w:sz w:val="24"/>
          <w:szCs w:val="24"/>
        </w:rPr>
        <w:t xml:space="preserve"> in disclosure pr</w:t>
      </w:r>
      <w:r w:rsidR="00CA4CA2">
        <w:rPr>
          <w:rFonts w:asciiTheme="majorBidi" w:hAnsiTheme="majorBidi" w:cstheme="majorBidi"/>
          <w:color w:val="000000" w:themeColor="text1"/>
          <w:sz w:val="24"/>
          <w:szCs w:val="24"/>
        </w:rPr>
        <w:t>a</w:t>
      </w:r>
      <w:r w:rsidR="00DC3F8C">
        <w:rPr>
          <w:rFonts w:asciiTheme="majorBidi" w:hAnsiTheme="majorBidi" w:cstheme="majorBidi"/>
          <w:color w:val="000000" w:themeColor="text1"/>
          <w:sz w:val="24"/>
          <w:szCs w:val="24"/>
        </w:rPr>
        <w:t>ctices</w:t>
      </w:r>
      <w:r w:rsidRPr="005E73C2">
        <w:rPr>
          <w:rFonts w:asciiTheme="majorBidi" w:hAnsiTheme="majorBidi" w:cstheme="majorBidi"/>
          <w:color w:val="000000" w:themeColor="text1"/>
          <w:sz w:val="24"/>
          <w:szCs w:val="24"/>
        </w:rPr>
        <w:t xml:space="preserve"> across companies, </w:t>
      </w:r>
      <w:r w:rsidRPr="00A22E2C">
        <w:rPr>
          <w:rFonts w:asciiTheme="majorBidi" w:hAnsiTheme="majorBidi" w:cstheme="majorBidi"/>
          <w:color w:val="000000" w:themeColor="text1"/>
          <w:sz w:val="24"/>
          <w:szCs w:val="24"/>
        </w:rPr>
        <w:t>time</w:t>
      </w:r>
      <w:r w:rsidR="00DC3F8C">
        <w:rPr>
          <w:rFonts w:asciiTheme="majorBidi" w:hAnsiTheme="majorBidi" w:cstheme="majorBidi"/>
          <w:color w:val="000000" w:themeColor="text1"/>
          <w:sz w:val="24"/>
          <w:szCs w:val="24"/>
        </w:rPr>
        <w:t xml:space="preserve"> periods</w:t>
      </w:r>
      <w:r w:rsidR="00A22E2C">
        <w:rPr>
          <w:rFonts w:asciiTheme="majorBidi" w:hAnsiTheme="majorBidi" w:cstheme="majorBidi"/>
          <w:color w:val="000000" w:themeColor="text1"/>
          <w:sz w:val="24"/>
          <w:szCs w:val="24"/>
        </w:rPr>
        <w:t>,</w:t>
      </w:r>
      <w:r w:rsidRPr="005E73C2">
        <w:rPr>
          <w:rFonts w:asciiTheme="majorBidi" w:hAnsiTheme="majorBidi" w:cstheme="majorBidi"/>
          <w:color w:val="000000" w:themeColor="text1"/>
          <w:sz w:val="24"/>
          <w:szCs w:val="24"/>
        </w:rPr>
        <w:t xml:space="preserve"> and industries. The </w:t>
      </w:r>
      <w:r w:rsidR="00FD5978" w:rsidRPr="004B27FC">
        <w:rPr>
          <w:rFonts w:asciiTheme="majorBidi" w:hAnsiTheme="majorBidi" w:cstheme="majorBidi"/>
          <w:color w:val="000000" w:themeColor="text1"/>
          <w:sz w:val="24"/>
          <w:szCs w:val="24"/>
        </w:rPr>
        <w:t xml:space="preserve">UK Financial Reporting Council </w:t>
      </w:r>
      <w:r w:rsidR="00FD5978">
        <w:rPr>
          <w:rFonts w:asciiTheme="majorBidi" w:hAnsiTheme="majorBidi" w:cstheme="majorBidi"/>
          <w:color w:val="000000" w:themeColor="text1"/>
          <w:sz w:val="24"/>
          <w:szCs w:val="24"/>
        </w:rPr>
        <w:t xml:space="preserve">(FRC) </w:t>
      </w:r>
      <w:r w:rsidRPr="005E73C2">
        <w:rPr>
          <w:rFonts w:asciiTheme="majorBidi" w:hAnsiTheme="majorBidi" w:cstheme="majorBidi"/>
          <w:color w:val="000000" w:themeColor="text1"/>
          <w:sz w:val="24"/>
          <w:szCs w:val="24"/>
        </w:rPr>
        <w:t xml:space="preserve">has already identified </w:t>
      </w:r>
      <w:proofErr w:type="gramStart"/>
      <w:r w:rsidRPr="005E73C2">
        <w:rPr>
          <w:rFonts w:asciiTheme="majorBidi" w:hAnsiTheme="majorBidi" w:cstheme="majorBidi"/>
          <w:color w:val="000000" w:themeColor="text1"/>
          <w:sz w:val="24"/>
          <w:szCs w:val="24"/>
        </w:rPr>
        <w:t>a number of</w:t>
      </w:r>
      <w:proofErr w:type="gramEnd"/>
      <w:r w:rsidRPr="005E73C2">
        <w:rPr>
          <w:rFonts w:asciiTheme="majorBidi" w:hAnsiTheme="majorBidi" w:cstheme="majorBidi"/>
          <w:color w:val="000000" w:themeColor="text1"/>
          <w:sz w:val="24"/>
          <w:szCs w:val="24"/>
        </w:rPr>
        <w:t xml:space="preserve"> anecdotal cases where the disclosure of non-recurring items is inconsistent </w:t>
      </w:r>
      <w:r w:rsidR="00FD5978">
        <w:rPr>
          <w:rFonts w:asciiTheme="majorBidi" w:hAnsiTheme="majorBidi" w:cstheme="majorBidi"/>
          <w:color w:val="000000" w:themeColor="text1"/>
          <w:sz w:val="24"/>
          <w:szCs w:val="24"/>
        </w:rPr>
        <w:t xml:space="preserve">and </w:t>
      </w:r>
      <w:r w:rsidR="00FD5978" w:rsidRPr="004B27FC">
        <w:rPr>
          <w:rFonts w:asciiTheme="majorBidi" w:hAnsiTheme="majorBidi" w:cstheme="majorBidi"/>
          <w:color w:val="000000" w:themeColor="text1"/>
          <w:sz w:val="24"/>
          <w:szCs w:val="24"/>
        </w:rPr>
        <w:t>caution</w:t>
      </w:r>
      <w:r w:rsidR="00DC3F8C">
        <w:rPr>
          <w:rFonts w:asciiTheme="majorBidi" w:hAnsiTheme="majorBidi" w:cstheme="majorBidi"/>
          <w:color w:val="000000" w:themeColor="text1"/>
          <w:sz w:val="24"/>
          <w:szCs w:val="24"/>
        </w:rPr>
        <w:t>ed</w:t>
      </w:r>
      <w:r w:rsidR="00FD5978" w:rsidRPr="004B27FC">
        <w:rPr>
          <w:rFonts w:asciiTheme="majorBidi" w:hAnsiTheme="majorBidi" w:cstheme="majorBidi"/>
          <w:color w:val="000000" w:themeColor="text1"/>
          <w:sz w:val="24"/>
          <w:szCs w:val="24"/>
        </w:rPr>
        <w:t xml:space="preserve"> that</w:t>
      </w:r>
      <w:r w:rsidR="00FD5978">
        <w:rPr>
          <w:rFonts w:asciiTheme="majorBidi" w:hAnsiTheme="majorBidi" w:cstheme="majorBidi"/>
          <w:color w:val="000000" w:themeColor="text1"/>
          <w:sz w:val="24"/>
          <w:szCs w:val="24"/>
        </w:rPr>
        <w:t xml:space="preserve"> </w:t>
      </w:r>
      <w:r w:rsidR="00FD5978" w:rsidRPr="004B27FC">
        <w:rPr>
          <w:rFonts w:asciiTheme="majorBidi" w:hAnsiTheme="majorBidi" w:cstheme="majorBidi"/>
          <w:color w:val="000000" w:themeColor="text1"/>
          <w:sz w:val="24"/>
          <w:szCs w:val="24"/>
        </w:rPr>
        <w:t>managers may exploit such disclosures to mislead investors</w:t>
      </w:r>
      <w:r w:rsidRPr="005E73C2">
        <w:rPr>
          <w:rFonts w:asciiTheme="majorBidi" w:hAnsiTheme="majorBidi" w:cstheme="majorBidi"/>
          <w:color w:val="000000" w:themeColor="text1"/>
          <w:sz w:val="24"/>
          <w:szCs w:val="24"/>
        </w:rPr>
        <w:t>. Surprisingly, however, there has been little in-depth exploration of th</w:t>
      </w:r>
      <w:r w:rsidR="00DC3F8C">
        <w:rPr>
          <w:rFonts w:asciiTheme="majorBidi" w:hAnsiTheme="majorBidi" w:cstheme="majorBidi"/>
          <w:color w:val="000000" w:themeColor="text1"/>
          <w:sz w:val="24"/>
          <w:szCs w:val="24"/>
        </w:rPr>
        <w:t>is</w:t>
      </w:r>
      <w:r w:rsidRPr="005E73C2">
        <w:rPr>
          <w:rFonts w:asciiTheme="majorBidi" w:hAnsiTheme="majorBidi" w:cstheme="majorBidi"/>
          <w:color w:val="000000" w:themeColor="text1"/>
          <w:sz w:val="24"/>
          <w:szCs w:val="24"/>
        </w:rPr>
        <w:t xml:space="preserve"> phenomenon. There is no</w:t>
      </w:r>
      <w:r w:rsidR="00DC3F8C">
        <w:rPr>
          <w:rFonts w:asciiTheme="majorBidi" w:hAnsiTheme="majorBidi" w:cstheme="majorBidi"/>
          <w:color w:val="000000" w:themeColor="text1"/>
          <w:sz w:val="24"/>
          <w:szCs w:val="24"/>
        </w:rPr>
        <w:t xml:space="preserve"> existing</w:t>
      </w:r>
      <w:r w:rsidRPr="005E73C2">
        <w:rPr>
          <w:rFonts w:asciiTheme="majorBidi" w:hAnsiTheme="majorBidi" w:cstheme="majorBidi"/>
          <w:color w:val="000000" w:themeColor="text1"/>
          <w:sz w:val="24"/>
          <w:szCs w:val="24"/>
        </w:rPr>
        <w:t xml:space="preserve"> evidence on whether UK firms explicitly disclose such information to </w:t>
      </w:r>
      <w:r w:rsidR="004844C1">
        <w:rPr>
          <w:rFonts w:asciiTheme="majorBidi" w:hAnsiTheme="majorBidi" w:cstheme="majorBidi"/>
          <w:color w:val="000000" w:themeColor="text1"/>
          <w:sz w:val="24"/>
          <w:szCs w:val="24"/>
        </w:rPr>
        <w:t>enable or steer</w:t>
      </w:r>
      <w:r w:rsidR="004844C1" w:rsidRPr="005E73C2">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user</w:t>
      </w:r>
      <w:r w:rsidR="004844C1">
        <w:rPr>
          <w:rFonts w:asciiTheme="majorBidi" w:hAnsiTheme="majorBidi" w:cstheme="majorBidi"/>
          <w:color w:val="000000" w:themeColor="text1"/>
          <w:sz w:val="24"/>
          <w:szCs w:val="24"/>
        </w:rPr>
        <w:t xml:space="preserve"> perceptions on </w:t>
      </w:r>
      <w:r w:rsidRPr="005E73C2">
        <w:rPr>
          <w:rFonts w:asciiTheme="majorBidi" w:hAnsiTheme="majorBidi" w:cstheme="majorBidi"/>
          <w:color w:val="000000" w:themeColor="text1"/>
          <w:sz w:val="24"/>
          <w:szCs w:val="24"/>
        </w:rPr>
        <w:t>their core performanc</w:t>
      </w:r>
      <w:r w:rsidRPr="00871D50">
        <w:rPr>
          <w:rFonts w:asciiTheme="majorBidi" w:hAnsiTheme="majorBidi" w:cstheme="majorBidi"/>
          <w:color w:val="000000" w:themeColor="text1"/>
          <w:sz w:val="24"/>
          <w:szCs w:val="24"/>
        </w:rPr>
        <w:t xml:space="preserve">e. </w:t>
      </w:r>
      <w:r w:rsidR="00DC3F8C" w:rsidRPr="00671A72">
        <w:rPr>
          <w:rFonts w:asciiTheme="majorBidi" w:hAnsiTheme="majorBidi" w:cstheme="majorBidi"/>
          <w:sz w:val="24"/>
          <w:szCs w:val="24"/>
        </w:rPr>
        <w:t>The</w:t>
      </w:r>
      <w:r w:rsidRPr="00671A72">
        <w:rPr>
          <w:rFonts w:asciiTheme="majorBidi" w:hAnsiTheme="majorBidi" w:cstheme="majorBidi"/>
          <w:sz w:val="24"/>
          <w:szCs w:val="24"/>
        </w:rPr>
        <w:t xml:space="preserve"> current evidence is dominated by US</w:t>
      </w:r>
      <w:r w:rsidR="000E2A94" w:rsidRPr="00671A72">
        <w:rPr>
          <w:rFonts w:asciiTheme="majorBidi" w:hAnsiTheme="majorBidi" w:cstheme="majorBidi"/>
          <w:sz w:val="24"/>
          <w:szCs w:val="24"/>
        </w:rPr>
        <w:t xml:space="preserve"> data</w:t>
      </w:r>
      <w:r w:rsidR="00CB1BB8" w:rsidRPr="00671A72">
        <w:rPr>
          <w:rFonts w:asciiTheme="majorBidi" w:hAnsiTheme="majorBidi" w:cstheme="majorBidi"/>
          <w:sz w:val="24"/>
          <w:szCs w:val="24"/>
        </w:rPr>
        <w:t xml:space="preserve"> and </w:t>
      </w:r>
      <w:r w:rsidRPr="00671A72">
        <w:rPr>
          <w:rFonts w:asciiTheme="majorBidi" w:hAnsiTheme="majorBidi" w:cstheme="majorBidi"/>
          <w:sz w:val="24"/>
          <w:szCs w:val="24"/>
        </w:rPr>
        <w:t>it is not clear whether th</w:t>
      </w:r>
      <w:r w:rsidR="000E2A94" w:rsidRPr="00671A72">
        <w:rPr>
          <w:rFonts w:asciiTheme="majorBidi" w:hAnsiTheme="majorBidi" w:cstheme="majorBidi"/>
          <w:sz w:val="24"/>
          <w:szCs w:val="24"/>
        </w:rPr>
        <w:t>e</w:t>
      </w:r>
      <w:r w:rsidRPr="00671A72">
        <w:rPr>
          <w:rFonts w:asciiTheme="majorBidi" w:hAnsiTheme="majorBidi" w:cstheme="majorBidi"/>
          <w:sz w:val="24"/>
          <w:szCs w:val="24"/>
        </w:rPr>
        <w:t xml:space="preserve"> finding</w:t>
      </w:r>
      <w:r w:rsidR="000E2A94" w:rsidRPr="00671A72">
        <w:rPr>
          <w:rFonts w:asciiTheme="majorBidi" w:hAnsiTheme="majorBidi" w:cstheme="majorBidi"/>
          <w:sz w:val="24"/>
          <w:szCs w:val="24"/>
        </w:rPr>
        <w:t>s</w:t>
      </w:r>
      <w:r w:rsidRPr="00671A72">
        <w:rPr>
          <w:rFonts w:asciiTheme="majorBidi" w:hAnsiTheme="majorBidi" w:cstheme="majorBidi"/>
          <w:sz w:val="24"/>
          <w:szCs w:val="24"/>
        </w:rPr>
        <w:t xml:space="preserve"> can be extended to the UK environment.</w:t>
      </w:r>
      <w:r w:rsidR="00871D50" w:rsidRPr="00671A72">
        <w:rPr>
          <w:rStyle w:val="FootnoteReference"/>
          <w:rFonts w:asciiTheme="majorBidi" w:hAnsiTheme="majorBidi" w:cstheme="majorBidi"/>
          <w:sz w:val="24"/>
          <w:szCs w:val="24"/>
        </w:rPr>
        <w:footnoteReference w:id="5"/>
      </w:r>
      <w:r w:rsidRPr="00671A72">
        <w:rPr>
          <w:rFonts w:asciiTheme="majorBidi" w:hAnsiTheme="majorBidi" w:cstheme="majorBidi"/>
          <w:sz w:val="24"/>
          <w:szCs w:val="24"/>
        </w:rPr>
        <w:t xml:space="preserve"> </w:t>
      </w:r>
      <w:r w:rsidRPr="00871D50">
        <w:rPr>
          <w:rFonts w:asciiTheme="majorBidi" w:hAnsiTheme="majorBidi" w:cstheme="majorBidi"/>
          <w:color w:val="000000" w:themeColor="text1"/>
          <w:sz w:val="24"/>
          <w:szCs w:val="24"/>
        </w:rPr>
        <w:t xml:space="preserve">While both the Sarbanes-Oxley Act Section 401(b) in the USA and the IAS 33 in the UK require firms to reconcile non-GAAP to GAAP earnings, </w:t>
      </w:r>
      <w:r w:rsidRPr="00871D50">
        <w:rPr>
          <w:rFonts w:asciiTheme="majorBidi" w:hAnsiTheme="majorBidi" w:cstheme="majorBidi"/>
          <w:noProof/>
          <w:color w:val="000000" w:themeColor="text1"/>
          <w:sz w:val="24"/>
          <w:szCs w:val="24"/>
        </w:rPr>
        <w:t>Kolev</w:t>
      </w:r>
      <w:r w:rsidR="0046188A" w:rsidRPr="00871D50">
        <w:rPr>
          <w:rFonts w:asciiTheme="majorBidi" w:hAnsiTheme="majorBidi" w:cstheme="majorBidi"/>
          <w:noProof/>
          <w:color w:val="000000" w:themeColor="text1"/>
          <w:sz w:val="24"/>
          <w:szCs w:val="24"/>
        </w:rPr>
        <w:t xml:space="preserve">, Marquardt, </w:t>
      </w:r>
      <w:r w:rsidR="002A02C5">
        <w:rPr>
          <w:rFonts w:asciiTheme="majorBidi" w:hAnsiTheme="majorBidi" w:cstheme="majorBidi"/>
          <w:noProof/>
          <w:color w:val="000000" w:themeColor="text1"/>
          <w:sz w:val="24"/>
          <w:szCs w:val="24"/>
        </w:rPr>
        <w:t xml:space="preserve">and </w:t>
      </w:r>
      <w:r w:rsidR="0046188A" w:rsidRPr="00871D50">
        <w:rPr>
          <w:rFonts w:asciiTheme="majorBidi" w:hAnsiTheme="majorBidi" w:cstheme="majorBidi"/>
          <w:noProof/>
          <w:color w:val="000000" w:themeColor="text1"/>
          <w:sz w:val="24"/>
          <w:szCs w:val="24"/>
        </w:rPr>
        <w:t>McVay</w:t>
      </w:r>
      <w:r w:rsidRPr="00871D50">
        <w:rPr>
          <w:rFonts w:asciiTheme="majorBidi" w:hAnsiTheme="majorBidi" w:cstheme="majorBidi"/>
          <w:noProof/>
          <w:color w:val="000000" w:themeColor="text1"/>
          <w:sz w:val="24"/>
          <w:szCs w:val="24"/>
        </w:rPr>
        <w:t xml:space="preserve"> (2008)</w:t>
      </w:r>
      <w:r w:rsidRPr="00871D50">
        <w:rPr>
          <w:rFonts w:asciiTheme="majorBidi" w:hAnsiTheme="majorBidi" w:cstheme="majorBidi"/>
          <w:color w:val="000000" w:themeColor="text1"/>
          <w:sz w:val="24"/>
          <w:szCs w:val="24"/>
        </w:rPr>
        <w:t xml:space="preserve"> argue that providing </w:t>
      </w:r>
      <w:r w:rsidR="004844C1" w:rsidRPr="00871D50">
        <w:rPr>
          <w:rFonts w:asciiTheme="majorBidi" w:hAnsiTheme="majorBidi" w:cstheme="majorBidi"/>
          <w:color w:val="000000" w:themeColor="text1"/>
          <w:sz w:val="24"/>
          <w:szCs w:val="24"/>
        </w:rPr>
        <w:t xml:space="preserve">such a </w:t>
      </w:r>
      <w:r w:rsidRPr="00871D50">
        <w:rPr>
          <w:rFonts w:asciiTheme="majorBidi" w:hAnsiTheme="majorBidi" w:cstheme="majorBidi"/>
          <w:color w:val="000000" w:themeColor="text1"/>
          <w:sz w:val="24"/>
          <w:szCs w:val="24"/>
        </w:rPr>
        <w:t xml:space="preserve">reconciliation </w:t>
      </w:r>
      <w:r w:rsidR="004F40D5">
        <w:rPr>
          <w:rFonts w:asciiTheme="majorBidi" w:hAnsiTheme="majorBidi" w:cstheme="majorBidi"/>
          <w:color w:val="000000" w:themeColor="text1"/>
          <w:sz w:val="24"/>
          <w:szCs w:val="24"/>
        </w:rPr>
        <w:t xml:space="preserve">does not impose a significant </w:t>
      </w:r>
      <w:r w:rsidRPr="00871D50">
        <w:rPr>
          <w:rFonts w:asciiTheme="majorBidi" w:hAnsiTheme="majorBidi" w:cstheme="majorBidi"/>
          <w:color w:val="000000" w:themeColor="text1"/>
          <w:sz w:val="24"/>
          <w:szCs w:val="24"/>
        </w:rPr>
        <w:t>cost</w:t>
      </w:r>
      <w:r w:rsidR="004F40D5">
        <w:rPr>
          <w:rFonts w:asciiTheme="majorBidi" w:hAnsiTheme="majorBidi" w:cstheme="majorBidi"/>
          <w:color w:val="000000" w:themeColor="text1"/>
          <w:sz w:val="24"/>
          <w:szCs w:val="24"/>
        </w:rPr>
        <w:t>,</w:t>
      </w:r>
      <w:r w:rsidRPr="00871D50">
        <w:rPr>
          <w:rFonts w:asciiTheme="majorBidi" w:hAnsiTheme="majorBidi" w:cstheme="majorBidi"/>
          <w:color w:val="000000" w:themeColor="text1"/>
          <w:sz w:val="24"/>
          <w:szCs w:val="24"/>
        </w:rPr>
        <w:t xml:space="preserve"> but </w:t>
      </w:r>
      <w:r w:rsidR="00231082" w:rsidRPr="00871D50">
        <w:rPr>
          <w:rFonts w:asciiTheme="majorBidi" w:hAnsiTheme="majorBidi" w:cstheme="majorBidi"/>
          <w:color w:val="000000" w:themeColor="text1"/>
          <w:sz w:val="24"/>
          <w:szCs w:val="24"/>
        </w:rPr>
        <w:t xml:space="preserve">being </w:t>
      </w:r>
      <w:r w:rsidRPr="00871D50">
        <w:rPr>
          <w:rFonts w:asciiTheme="majorBidi" w:hAnsiTheme="majorBidi" w:cstheme="majorBidi"/>
          <w:color w:val="000000" w:themeColor="text1"/>
          <w:sz w:val="24"/>
          <w:szCs w:val="24"/>
        </w:rPr>
        <w:t>censure</w:t>
      </w:r>
      <w:r w:rsidR="00231082" w:rsidRPr="00871D50">
        <w:rPr>
          <w:rFonts w:asciiTheme="majorBidi" w:hAnsiTheme="majorBidi" w:cstheme="majorBidi"/>
          <w:color w:val="000000" w:themeColor="text1"/>
          <w:sz w:val="24"/>
          <w:szCs w:val="24"/>
        </w:rPr>
        <w:t>d</w:t>
      </w:r>
      <w:r w:rsidRPr="00871D50">
        <w:rPr>
          <w:rFonts w:asciiTheme="majorBidi" w:hAnsiTheme="majorBidi" w:cstheme="majorBidi"/>
          <w:color w:val="000000" w:themeColor="text1"/>
          <w:sz w:val="24"/>
          <w:szCs w:val="24"/>
        </w:rPr>
        <w:t xml:space="preserve"> by the SEC</w:t>
      </w:r>
      <w:r w:rsidR="00231082" w:rsidRPr="00871D50">
        <w:rPr>
          <w:rFonts w:asciiTheme="majorBidi" w:hAnsiTheme="majorBidi" w:cstheme="majorBidi"/>
          <w:color w:val="000000" w:themeColor="text1"/>
          <w:sz w:val="24"/>
          <w:szCs w:val="24"/>
        </w:rPr>
        <w:t xml:space="preserve"> cou</w:t>
      </w:r>
      <w:r w:rsidR="00231082">
        <w:rPr>
          <w:rFonts w:asciiTheme="majorBidi" w:hAnsiTheme="majorBidi" w:cstheme="majorBidi"/>
          <w:color w:val="000000" w:themeColor="text1"/>
          <w:sz w:val="24"/>
          <w:szCs w:val="24"/>
        </w:rPr>
        <w:t xml:space="preserve">ld lead to </w:t>
      </w:r>
      <w:r w:rsidRPr="00EE722A">
        <w:rPr>
          <w:rFonts w:asciiTheme="majorBidi" w:hAnsiTheme="majorBidi" w:cstheme="majorBidi"/>
          <w:color w:val="000000" w:themeColor="text1"/>
          <w:sz w:val="24"/>
          <w:szCs w:val="24"/>
        </w:rPr>
        <w:t>a negative impact. This suggests that the UK environment is relatively more flexible than that of the USA, at least in the treatment of non-IFRS earnings</w:t>
      </w:r>
      <w:r w:rsidR="000E2A94">
        <w:rPr>
          <w:rFonts w:asciiTheme="majorBidi" w:hAnsiTheme="majorBidi" w:cstheme="majorBidi"/>
          <w:color w:val="000000" w:themeColor="text1"/>
          <w:sz w:val="24"/>
          <w:szCs w:val="24"/>
        </w:rPr>
        <w:t>.</w:t>
      </w:r>
    </w:p>
    <w:p w14:paraId="61B50F06" w14:textId="09C3544C" w:rsidR="001D68E5" w:rsidRPr="001D68E5" w:rsidRDefault="001D68E5">
      <w:pPr>
        <w:spacing w:line="480" w:lineRule="auto"/>
        <w:ind w:left="227" w:firstLine="420"/>
        <w:rPr>
          <w:rFonts w:asciiTheme="majorBidi" w:hAnsiTheme="majorBidi" w:cstheme="majorBidi"/>
          <w:color w:val="000000" w:themeColor="text1"/>
          <w:sz w:val="24"/>
          <w:szCs w:val="24"/>
        </w:rPr>
      </w:pPr>
      <w:r w:rsidRPr="001D68E5">
        <w:rPr>
          <w:rFonts w:asciiTheme="majorBidi" w:hAnsiTheme="majorBidi" w:cstheme="majorBidi"/>
          <w:color w:val="000000" w:themeColor="text1"/>
          <w:sz w:val="24"/>
          <w:szCs w:val="24"/>
        </w:rPr>
        <w:t>This</w:t>
      </w:r>
      <w:r>
        <w:rPr>
          <w:rFonts w:asciiTheme="majorBidi" w:hAnsiTheme="majorBidi" w:cstheme="majorBidi"/>
          <w:color w:val="000000" w:themeColor="text1"/>
          <w:sz w:val="24"/>
          <w:szCs w:val="24"/>
        </w:rPr>
        <w:t xml:space="preserve"> flexibility</w:t>
      </w:r>
      <w:r w:rsidRPr="001D68E5">
        <w:rPr>
          <w:rFonts w:asciiTheme="majorBidi" w:hAnsiTheme="majorBidi" w:cstheme="majorBidi"/>
          <w:color w:val="000000" w:themeColor="text1"/>
          <w:sz w:val="24"/>
          <w:szCs w:val="24"/>
        </w:rPr>
        <w:t xml:space="preserve"> </w:t>
      </w:r>
      <w:r w:rsidR="00520B49">
        <w:rPr>
          <w:rFonts w:asciiTheme="majorBidi" w:hAnsiTheme="majorBidi" w:cstheme="majorBidi"/>
          <w:color w:val="000000" w:themeColor="text1"/>
          <w:sz w:val="24"/>
          <w:szCs w:val="24"/>
        </w:rPr>
        <w:t>underscores</w:t>
      </w:r>
      <w:r w:rsidR="00520B49" w:rsidRPr="001D68E5">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 xml:space="preserve">the crucial role of </w:t>
      </w:r>
      <w:r w:rsidR="00CA4CA2">
        <w:rPr>
          <w:rFonts w:asciiTheme="majorBidi" w:hAnsiTheme="majorBidi" w:cstheme="majorBidi"/>
          <w:color w:val="000000" w:themeColor="text1"/>
          <w:sz w:val="24"/>
          <w:szCs w:val="24"/>
        </w:rPr>
        <w:t>ACs</w:t>
      </w:r>
      <w:r w:rsidRPr="001D68E5">
        <w:rPr>
          <w:rFonts w:asciiTheme="majorBidi" w:hAnsiTheme="majorBidi" w:cstheme="majorBidi"/>
          <w:color w:val="000000" w:themeColor="text1"/>
          <w:sz w:val="24"/>
          <w:szCs w:val="24"/>
        </w:rPr>
        <w:t xml:space="preserve"> in mitigating questionable non-IFRS earnings. The FRC has been proactive in revising the UK Corporate Governance Code, particularly concerning </w:t>
      </w:r>
      <w:r w:rsidR="00CA4CA2">
        <w:rPr>
          <w:rFonts w:asciiTheme="majorBidi" w:hAnsiTheme="majorBidi" w:cstheme="majorBidi"/>
          <w:color w:val="000000" w:themeColor="text1"/>
          <w:sz w:val="24"/>
          <w:szCs w:val="24"/>
        </w:rPr>
        <w:t>ACs</w:t>
      </w:r>
      <w:r w:rsidRPr="001D68E5">
        <w:rPr>
          <w:rFonts w:asciiTheme="majorBidi" w:hAnsiTheme="majorBidi" w:cstheme="majorBidi"/>
          <w:color w:val="000000" w:themeColor="text1"/>
          <w:sz w:val="24"/>
          <w:szCs w:val="24"/>
        </w:rPr>
        <w:t xml:space="preserve">. Through a series of updates (in 2008, 2010, 2012, 2014, 2016, </w:t>
      </w:r>
      <w:r w:rsidRPr="001D68E5">
        <w:rPr>
          <w:rFonts w:asciiTheme="majorBidi" w:hAnsiTheme="majorBidi" w:cstheme="majorBidi"/>
          <w:color w:val="000000" w:themeColor="text1"/>
          <w:sz w:val="24"/>
          <w:szCs w:val="24"/>
        </w:rPr>
        <w:lastRenderedPageBreak/>
        <w:t xml:space="preserve">2018, and 2024) aimed </w:t>
      </w:r>
      <w:r w:rsidR="006D5BE3">
        <w:rPr>
          <w:rFonts w:asciiTheme="majorBidi" w:hAnsiTheme="majorBidi" w:cstheme="majorBidi"/>
          <w:color w:val="000000" w:themeColor="text1"/>
          <w:sz w:val="24"/>
          <w:szCs w:val="24"/>
        </w:rPr>
        <w:t>at</w:t>
      </w:r>
      <w:r w:rsidR="006D5BE3" w:rsidRPr="001D68E5">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strengthen</w:t>
      </w:r>
      <w:r w:rsidR="006D5BE3">
        <w:rPr>
          <w:rFonts w:asciiTheme="majorBidi" w:hAnsiTheme="majorBidi" w:cstheme="majorBidi"/>
          <w:color w:val="000000" w:themeColor="text1"/>
          <w:sz w:val="24"/>
          <w:szCs w:val="24"/>
        </w:rPr>
        <w:t>ing</w:t>
      </w:r>
      <w:r w:rsidRPr="001D68E5">
        <w:rPr>
          <w:rFonts w:asciiTheme="majorBidi" w:hAnsiTheme="majorBidi" w:cstheme="majorBidi"/>
          <w:color w:val="000000" w:themeColor="text1"/>
          <w:sz w:val="24"/>
          <w:szCs w:val="24"/>
        </w:rPr>
        <w:t xml:space="preserve"> the role of </w:t>
      </w:r>
      <w:r w:rsidR="00CA4CA2">
        <w:rPr>
          <w:rFonts w:asciiTheme="majorBidi" w:hAnsiTheme="majorBidi" w:cstheme="majorBidi"/>
          <w:color w:val="000000" w:themeColor="text1"/>
          <w:sz w:val="24"/>
          <w:szCs w:val="24"/>
        </w:rPr>
        <w:t>ACs</w:t>
      </w:r>
      <w:r w:rsidRPr="001D68E5">
        <w:rPr>
          <w:rFonts w:asciiTheme="majorBidi" w:hAnsiTheme="majorBidi" w:cstheme="majorBidi"/>
          <w:color w:val="000000" w:themeColor="text1"/>
          <w:sz w:val="24"/>
          <w:szCs w:val="24"/>
        </w:rPr>
        <w:t xml:space="preserve"> in overseeing financial reporting and internal controls</w:t>
      </w:r>
      <w:r w:rsidR="00CD422F">
        <w:rPr>
          <w:rFonts w:asciiTheme="majorBidi" w:hAnsiTheme="majorBidi" w:cstheme="majorBidi"/>
          <w:color w:val="000000" w:themeColor="text1"/>
          <w:sz w:val="24"/>
          <w:szCs w:val="24"/>
        </w:rPr>
        <w:t>, the FRC seeks to</w:t>
      </w:r>
      <w:r w:rsidRPr="001D68E5">
        <w:rPr>
          <w:rFonts w:asciiTheme="majorBidi" w:hAnsiTheme="majorBidi" w:cstheme="majorBidi"/>
          <w:color w:val="000000" w:themeColor="text1"/>
          <w:sz w:val="24"/>
          <w:szCs w:val="24"/>
        </w:rPr>
        <w:t xml:space="preserve"> empower </w:t>
      </w:r>
      <w:r w:rsidR="00CD422F">
        <w:rPr>
          <w:rFonts w:asciiTheme="majorBidi" w:hAnsiTheme="majorBidi" w:cstheme="majorBidi"/>
          <w:color w:val="000000" w:themeColor="text1"/>
          <w:sz w:val="24"/>
          <w:szCs w:val="24"/>
        </w:rPr>
        <w:t>them</w:t>
      </w:r>
      <w:r w:rsidRPr="001D68E5">
        <w:rPr>
          <w:rFonts w:asciiTheme="majorBidi" w:hAnsiTheme="majorBidi" w:cstheme="majorBidi"/>
          <w:color w:val="000000" w:themeColor="text1"/>
          <w:sz w:val="24"/>
          <w:szCs w:val="24"/>
        </w:rPr>
        <w:t xml:space="preserve"> with the authority </w:t>
      </w:r>
      <w:r w:rsidR="00CD422F">
        <w:rPr>
          <w:rFonts w:asciiTheme="majorBidi" w:hAnsiTheme="majorBidi" w:cstheme="majorBidi"/>
          <w:color w:val="000000" w:themeColor="text1"/>
          <w:sz w:val="24"/>
          <w:szCs w:val="24"/>
        </w:rPr>
        <w:t>needed</w:t>
      </w:r>
      <w:r w:rsidR="00CD422F" w:rsidRPr="001D68E5">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 xml:space="preserve">to ensure the accuracy and integrity of financial statements, </w:t>
      </w:r>
      <w:r w:rsidR="006D5BE3">
        <w:rPr>
          <w:rFonts w:asciiTheme="majorBidi" w:hAnsiTheme="majorBidi" w:cstheme="majorBidi"/>
          <w:color w:val="000000" w:themeColor="text1"/>
          <w:sz w:val="24"/>
          <w:szCs w:val="24"/>
        </w:rPr>
        <w:t xml:space="preserve">thereby </w:t>
      </w:r>
      <w:r w:rsidRPr="001D68E5">
        <w:rPr>
          <w:rFonts w:asciiTheme="majorBidi" w:hAnsiTheme="majorBidi" w:cstheme="majorBidi"/>
          <w:color w:val="000000" w:themeColor="text1"/>
          <w:sz w:val="24"/>
          <w:szCs w:val="24"/>
        </w:rPr>
        <w:t xml:space="preserve">enhancing corporate governance. Key initiatives include mandating the inclusion of independent directors on </w:t>
      </w:r>
      <w:r w:rsidR="00CA4CA2">
        <w:rPr>
          <w:rFonts w:asciiTheme="majorBidi" w:hAnsiTheme="majorBidi" w:cstheme="majorBidi"/>
          <w:color w:val="000000" w:themeColor="text1"/>
          <w:sz w:val="24"/>
          <w:szCs w:val="24"/>
        </w:rPr>
        <w:t>ACs</w:t>
      </w:r>
      <w:r w:rsidRPr="001D68E5">
        <w:rPr>
          <w:rFonts w:asciiTheme="majorBidi" w:hAnsiTheme="majorBidi" w:cstheme="majorBidi"/>
          <w:color w:val="000000" w:themeColor="text1"/>
          <w:sz w:val="24"/>
          <w:szCs w:val="24"/>
        </w:rPr>
        <w:t xml:space="preserve">, ensuring that members </w:t>
      </w:r>
      <w:r w:rsidR="006D5BE3">
        <w:rPr>
          <w:rFonts w:asciiTheme="majorBidi" w:hAnsiTheme="majorBidi" w:cstheme="majorBidi"/>
          <w:color w:val="000000" w:themeColor="text1"/>
          <w:sz w:val="24"/>
          <w:szCs w:val="24"/>
        </w:rPr>
        <w:t>have</w:t>
      </w:r>
      <w:r w:rsidR="006D5BE3" w:rsidRPr="001D68E5">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 xml:space="preserve">relevant financial expertise, and emphasizing their role in </w:t>
      </w:r>
      <w:r w:rsidR="006D5BE3">
        <w:rPr>
          <w:rFonts w:asciiTheme="majorBidi" w:hAnsiTheme="majorBidi" w:cstheme="majorBidi"/>
          <w:color w:val="000000" w:themeColor="text1"/>
          <w:sz w:val="24"/>
          <w:szCs w:val="24"/>
        </w:rPr>
        <w:t>overseeing</w:t>
      </w:r>
      <w:r w:rsidR="006D5BE3" w:rsidRPr="001D68E5">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relationships with external auditors</w:t>
      </w:r>
      <w:r>
        <w:rPr>
          <w:rFonts w:asciiTheme="majorBidi" w:hAnsiTheme="majorBidi" w:cstheme="majorBidi"/>
          <w:color w:val="000000" w:themeColor="text1"/>
          <w:sz w:val="24"/>
          <w:szCs w:val="24"/>
        </w:rPr>
        <w:t xml:space="preserve"> (FRC 2024)</w:t>
      </w:r>
      <w:r w:rsidRPr="001D68E5">
        <w:rPr>
          <w:rFonts w:asciiTheme="majorBidi" w:hAnsiTheme="majorBidi" w:cstheme="majorBidi"/>
          <w:color w:val="000000" w:themeColor="text1"/>
          <w:sz w:val="24"/>
          <w:szCs w:val="24"/>
        </w:rPr>
        <w:t xml:space="preserve">. These measures reflect a concerted effort to equip </w:t>
      </w:r>
      <w:r w:rsidR="00CA4CA2">
        <w:rPr>
          <w:rFonts w:asciiTheme="majorBidi" w:hAnsiTheme="majorBidi" w:cstheme="majorBidi"/>
          <w:color w:val="000000" w:themeColor="text1"/>
          <w:sz w:val="24"/>
          <w:szCs w:val="24"/>
        </w:rPr>
        <w:t>ACs</w:t>
      </w:r>
      <w:r w:rsidRPr="001D68E5">
        <w:rPr>
          <w:rFonts w:asciiTheme="majorBidi" w:hAnsiTheme="majorBidi" w:cstheme="majorBidi"/>
          <w:color w:val="000000" w:themeColor="text1"/>
          <w:sz w:val="24"/>
          <w:szCs w:val="24"/>
        </w:rPr>
        <w:t xml:space="preserve"> with the</w:t>
      </w:r>
      <w:r w:rsidR="006D5BE3">
        <w:rPr>
          <w:rFonts w:asciiTheme="majorBidi" w:hAnsiTheme="majorBidi" w:cstheme="majorBidi"/>
          <w:color w:val="000000" w:themeColor="text1"/>
          <w:sz w:val="24"/>
          <w:szCs w:val="24"/>
        </w:rPr>
        <w:t xml:space="preserve"> necessary</w:t>
      </w:r>
      <w:r w:rsidRPr="001D68E5">
        <w:rPr>
          <w:rFonts w:asciiTheme="majorBidi" w:hAnsiTheme="majorBidi" w:cstheme="majorBidi"/>
          <w:color w:val="000000" w:themeColor="text1"/>
          <w:sz w:val="24"/>
          <w:szCs w:val="24"/>
        </w:rPr>
        <w:t xml:space="preserve"> tools to effectively scrutinize financial reporting.</w:t>
      </w:r>
    </w:p>
    <w:p w14:paraId="463142ED" w14:textId="76C91C02" w:rsidR="00C000A5" w:rsidRPr="00CE73BB" w:rsidRDefault="001D68E5" w:rsidP="00CE73BB">
      <w:pPr>
        <w:spacing w:line="480" w:lineRule="auto"/>
        <w:ind w:left="227" w:firstLine="420"/>
        <w:rPr>
          <w:rFonts w:asciiTheme="majorBidi" w:hAnsiTheme="majorBidi" w:cstheme="majorBidi"/>
          <w:color w:val="000000" w:themeColor="text1"/>
          <w:sz w:val="24"/>
          <w:szCs w:val="28"/>
        </w:rPr>
      </w:pPr>
      <w:r w:rsidRPr="001D68E5">
        <w:rPr>
          <w:rFonts w:asciiTheme="majorBidi" w:hAnsiTheme="majorBidi" w:cstheme="majorBidi"/>
          <w:color w:val="000000" w:themeColor="text1"/>
          <w:sz w:val="24"/>
          <w:szCs w:val="24"/>
        </w:rPr>
        <w:t>However, while these formal powers and responsibilities are essential, they are not sufficient</w:t>
      </w:r>
      <w:r w:rsidR="006D5BE3">
        <w:rPr>
          <w:rFonts w:asciiTheme="majorBidi" w:hAnsiTheme="majorBidi" w:cstheme="majorBidi"/>
          <w:color w:val="000000" w:themeColor="text1"/>
          <w:sz w:val="24"/>
          <w:szCs w:val="24"/>
        </w:rPr>
        <w:t xml:space="preserve"> on their own</w:t>
      </w:r>
      <w:r w:rsidRPr="001D68E5">
        <w:rPr>
          <w:rFonts w:asciiTheme="majorBidi" w:hAnsiTheme="majorBidi" w:cstheme="majorBidi"/>
          <w:color w:val="000000" w:themeColor="text1"/>
          <w:sz w:val="24"/>
          <w:szCs w:val="24"/>
        </w:rPr>
        <w:t xml:space="preserve"> to guarantee high-quality financial reporting. We argue that the individual characteristics of </w:t>
      </w:r>
      <w:r w:rsidR="009C46C1">
        <w:rPr>
          <w:rFonts w:asciiTheme="majorBidi" w:hAnsiTheme="majorBidi" w:cstheme="majorBidi"/>
          <w:color w:val="000000" w:themeColor="text1"/>
          <w:sz w:val="24"/>
          <w:szCs w:val="24"/>
        </w:rPr>
        <w:t>AC</w:t>
      </w:r>
      <w:r w:rsidR="00CA4CA2">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 xml:space="preserve">members—such as their ethical orientation, cognitive style, and psychological traits—are equally important in determining </w:t>
      </w:r>
      <w:r w:rsidR="006D5BE3">
        <w:rPr>
          <w:rFonts w:asciiTheme="majorBidi" w:hAnsiTheme="majorBidi" w:cstheme="majorBidi"/>
          <w:color w:val="000000" w:themeColor="text1"/>
          <w:sz w:val="24"/>
          <w:szCs w:val="24"/>
        </w:rPr>
        <w:t xml:space="preserve">how </w:t>
      </w:r>
      <w:r w:rsidR="00A27E39">
        <w:rPr>
          <w:rFonts w:asciiTheme="majorBidi" w:hAnsiTheme="majorBidi" w:cstheme="majorBidi"/>
          <w:color w:val="000000" w:themeColor="text1"/>
          <w:sz w:val="24"/>
          <w:szCs w:val="24"/>
        </w:rPr>
        <w:t>effective</w:t>
      </w:r>
      <w:r w:rsidR="006D5BE3">
        <w:rPr>
          <w:rFonts w:asciiTheme="majorBidi" w:hAnsiTheme="majorBidi" w:cstheme="majorBidi"/>
          <w:color w:val="000000" w:themeColor="text1"/>
          <w:sz w:val="24"/>
          <w:szCs w:val="24"/>
        </w:rPr>
        <w:t>ly</w:t>
      </w:r>
      <w:r w:rsidR="00A27E39">
        <w:rPr>
          <w:rFonts w:asciiTheme="majorBidi" w:hAnsiTheme="majorBidi" w:cstheme="majorBidi"/>
          <w:color w:val="000000" w:themeColor="text1"/>
          <w:sz w:val="24"/>
          <w:szCs w:val="24"/>
        </w:rPr>
        <w:t xml:space="preserve"> </w:t>
      </w:r>
      <w:r w:rsidRPr="001D68E5">
        <w:rPr>
          <w:rFonts w:asciiTheme="majorBidi" w:hAnsiTheme="majorBidi" w:cstheme="majorBidi"/>
          <w:color w:val="000000" w:themeColor="text1"/>
          <w:sz w:val="24"/>
          <w:szCs w:val="24"/>
        </w:rPr>
        <w:t xml:space="preserve">these powers are exercised. The personal values and experiences of </w:t>
      </w:r>
      <w:r w:rsidR="006D5BE3">
        <w:rPr>
          <w:rFonts w:asciiTheme="majorBidi" w:hAnsiTheme="majorBidi" w:cstheme="majorBidi"/>
          <w:color w:val="000000" w:themeColor="text1"/>
          <w:sz w:val="24"/>
          <w:szCs w:val="24"/>
        </w:rPr>
        <w:t>AC</w:t>
      </w:r>
      <w:r w:rsidRPr="001D68E5">
        <w:rPr>
          <w:rFonts w:asciiTheme="majorBidi" w:hAnsiTheme="majorBidi" w:cstheme="majorBidi"/>
          <w:color w:val="000000" w:themeColor="text1"/>
          <w:sz w:val="24"/>
          <w:szCs w:val="24"/>
        </w:rPr>
        <w:t xml:space="preserve"> members can significantly influence their decision-making processes, including their willingness to challenge management. </w:t>
      </w:r>
    </w:p>
    <w:p w14:paraId="0EEF02A0" w14:textId="5E78D4D0" w:rsidR="001179BC" w:rsidRPr="00CE73BB" w:rsidRDefault="001179BC" w:rsidP="0023485F">
      <w:pPr>
        <w:pStyle w:val="Heading1"/>
        <w:spacing w:line="480" w:lineRule="auto"/>
        <w:rPr>
          <w:rFonts w:ascii="Times New Roman" w:hAnsi="Times New Roman" w:cs="Times New Roman"/>
          <w:b/>
          <w:bCs/>
          <w:color w:val="auto"/>
        </w:rPr>
      </w:pPr>
      <w:r w:rsidRPr="00CE73BB">
        <w:rPr>
          <w:rFonts w:ascii="Times New Roman" w:hAnsi="Times New Roman" w:cs="Times New Roman"/>
          <w:b/>
          <w:bCs/>
          <w:color w:val="auto"/>
        </w:rPr>
        <w:t>3. Theory</w:t>
      </w:r>
    </w:p>
    <w:p w14:paraId="19867F6D" w14:textId="16CE5597" w:rsidR="001479FA" w:rsidRDefault="00FC641B" w:rsidP="00231082">
      <w:pPr>
        <w:spacing w:line="480" w:lineRule="auto"/>
        <w:ind w:left="227"/>
        <w:rPr>
          <w:rFonts w:ascii="Times New Roman" w:hAnsi="Times New Roman" w:cs="Times New Roman"/>
          <w:sz w:val="24"/>
          <w:szCs w:val="24"/>
        </w:rPr>
      </w:pPr>
      <w:r>
        <w:rPr>
          <w:rFonts w:ascii="Times New Roman" w:hAnsi="Times New Roman" w:cs="Times New Roman"/>
          <w:sz w:val="24"/>
          <w:szCs w:val="24"/>
        </w:rPr>
        <w:t xml:space="preserve">       </w:t>
      </w:r>
      <w:r w:rsidR="001479FA">
        <w:rPr>
          <w:rFonts w:ascii="Times New Roman" w:hAnsi="Times New Roman" w:cs="Times New Roman"/>
          <w:sz w:val="24"/>
          <w:szCs w:val="24"/>
        </w:rPr>
        <w:t xml:space="preserve">While </w:t>
      </w:r>
      <w:r w:rsidR="00A27E39">
        <w:rPr>
          <w:rFonts w:ascii="Times New Roman" w:hAnsi="Times New Roman" w:cs="Times New Roman"/>
          <w:sz w:val="24"/>
          <w:szCs w:val="24"/>
        </w:rPr>
        <w:t>s</w:t>
      </w:r>
      <w:r w:rsidR="006E0881" w:rsidRPr="006E0881">
        <w:rPr>
          <w:rFonts w:ascii="Times New Roman" w:hAnsi="Times New Roman" w:cs="Times New Roman"/>
          <w:sz w:val="24"/>
          <w:szCs w:val="24"/>
        </w:rPr>
        <w:t xml:space="preserve">tewardship theory </w:t>
      </w:r>
      <w:r w:rsidR="00A27E39" w:rsidRPr="006E0881">
        <w:rPr>
          <w:rFonts w:ascii="Times New Roman" w:hAnsi="Times New Roman" w:cs="Times New Roman"/>
          <w:sz w:val="24"/>
          <w:szCs w:val="24"/>
        </w:rPr>
        <w:t>pos</w:t>
      </w:r>
      <w:r w:rsidR="00A27E39">
        <w:rPr>
          <w:rFonts w:ascii="Times New Roman" w:hAnsi="Times New Roman" w:cs="Times New Roman"/>
          <w:sz w:val="24"/>
          <w:szCs w:val="24"/>
        </w:rPr>
        <w:t>its</w:t>
      </w:r>
      <w:r w:rsidR="00A27E39" w:rsidRPr="006E0881">
        <w:rPr>
          <w:rFonts w:ascii="Times New Roman" w:hAnsi="Times New Roman" w:cs="Times New Roman"/>
          <w:sz w:val="24"/>
          <w:szCs w:val="24"/>
        </w:rPr>
        <w:t xml:space="preserve"> </w:t>
      </w:r>
      <w:r w:rsidR="006E0881" w:rsidRPr="006E0881">
        <w:rPr>
          <w:rFonts w:ascii="Times New Roman" w:hAnsi="Times New Roman" w:cs="Times New Roman"/>
          <w:sz w:val="24"/>
          <w:szCs w:val="24"/>
        </w:rPr>
        <w:t>that managers</w:t>
      </w:r>
      <w:r w:rsidR="00A27E39">
        <w:rPr>
          <w:rFonts w:ascii="Times New Roman" w:hAnsi="Times New Roman" w:cs="Times New Roman"/>
          <w:sz w:val="24"/>
          <w:szCs w:val="24"/>
        </w:rPr>
        <w:t xml:space="preserve">’ goals </w:t>
      </w:r>
      <w:r w:rsidR="006E0881" w:rsidRPr="006E0881">
        <w:rPr>
          <w:rFonts w:ascii="Times New Roman" w:hAnsi="Times New Roman" w:cs="Times New Roman"/>
          <w:sz w:val="24"/>
          <w:szCs w:val="24"/>
        </w:rPr>
        <w:t>are inherently aligned</w:t>
      </w:r>
      <w:r w:rsidR="00A27E39">
        <w:rPr>
          <w:rFonts w:ascii="Times New Roman" w:hAnsi="Times New Roman" w:cs="Times New Roman"/>
          <w:sz w:val="24"/>
          <w:szCs w:val="24"/>
        </w:rPr>
        <w:t xml:space="preserve"> with those of the organization</w:t>
      </w:r>
      <w:r w:rsidR="006E0881" w:rsidRPr="006E0881">
        <w:rPr>
          <w:rFonts w:ascii="Times New Roman" w:hAnsi="Times New Roman" w:cs="Times New Roman"/>
          <w:sz w:val="24"/>
          <w:szCs w:val="24"/>
        </w:rPr>
        <w:t xml:space="preserve">, </w:t>
      </w:r>
      <w:r w:rsidR="00A27E39">
        <w:rPr>
          <w:rFonts w:ascii="Times New Roman" w:hAnsi="Times New Roman" w:cs="Times New Roman"/>
          <w:sz w:val="24"/>
          <w:szCs w:val="24"/>
        </w:rPr>
        <w:t xml:space="preserve">making </w:t>
      </w:r>
      <w:r w:rsidR="006E0881" w:rsidRPr="006E0881">
        <w:rPr>
          <w:rFonts w:ascii="Times New Roman" w:hAnsi="Times New Roman" w:cs="Times New Roman"/>
          <w:sz w:val="24"/>
          <w:szCs w:val="24"/>
        </w:rPr>
        <w:t xml:space="preserve">stringent </w:t>
      </w:r>
      <w:r w:rsidR="002915B9">
        <w:rPr>
          <w:rFonts w:ascii="Times New Roman" w:hAnsi="Times New Roman" w:cs="Times New Roman"/>
          <w:sz w:val="24"/>
          <w:szCs w:val="24"/>
        </w:rPr>
        <w:t>monitoring</w:t>
      </w:r>
      <w:r w:rsidR="006E0881" w:rsidRPr="006E0881">
        <w:rPr>
          <w:rFonts w:ascii="Times New Roman" w:hAnsi="Times New Roman" w:cs="Times New Roman"/>
          <w:sz w:val="24"/>
          <w:szCs w:val="24"/>
        </w:rPr>
        <w:t xml:space="preserve"> mechanisms unnecessary</w:t>
      </w:r>
      <w:r w:rsidR="006E0881">
        <w:rPr>
          <w:rFonts w:ascii="Times New Roman" w:hAnsi="Times New Roman" w:cs="Times New Roman"/>
          <w:sz w:val="24"/>
          <w:szCs w:val="24"/>
        </w:rPr>
        <w:t xml:space="preserve"> (</w:t>
      </w:r>
      <w:r w:rsidR="000B779E" w:rsidRPr="000B779E">
        <w:rPr>
          <w:rFonts w:ascii="Times New Roman" w:hAnsi="Times New Roman" w:cs="Times New Roman"/>
          <w:sz w:val="24"/>
          <w:szCs w:val="24"/>
        </w:rPr>
        <w:t>Muth</w:t>
      </w:r>
      <w:r w:rsidR="000B779E">
        <w:rPr>
          <w:rFonts w:ascii="Times New Roman" w:hAnsi="Times New Roman" w:cs="Times New Roman"/>
          <w:sz w:val="24"/>
          <w:szCs w:val="24"/>
        </w:rPr>
        <w:t xml:space="preserve"> &amp; </w:t>
      </w:r>
      <w:r w:rsidR="000B779E" w:rsidRPr="000B779E">
        <w:rPr>
          <w:rFonts w:ascii="Times New Roman" w:hAnsi="Times New Roman" w:cs="Times New Roman"/>
          <w:sz w:val="24"/>
          <w:szCs w:val="24"/>
        </w:rPr>
        <w:t>Donaldson</w:t>
      </w:r>
      <w:r w:rsidR="000B779E">
        <w:rPr>
          <w:rFonts w:ascii="Times New Roman" w:hAnsi="Times New Roman" w:cs="Times New Roman"/>
          <w:sz w:val="24"/>
          <w:szCs w:val="24"/>
        </w:rPr>
        <w:t xml:space="preserve">, </w:t>
      </w:r>
      <w:r>
        <w:rPr>
          <w:rFonts w:ascii="Times New Roman" w:hAnsi="Times New Roman" w:cs="Times New Roman"/>
          <w:sz w:val="24"/>
          <w:szCs w:val="24"/>
        </w:rPr>
        <w:t>1998</w:t>
      </w:r>
      <w:r w:rsidR="006E0881">
        <w:rPr>
          <w:rFonts w:ascii="Times New Roman" w:hAnsi="Times New Roman" w:cs="Times New Roman"/>
          <w:sz w:val="24"/>
          <w:szCs w:val="24"/>
        </w:rPr>
        <w:t>)</w:t>
      </w:r>
      <w:r w:rsidR="001479FA">
        <w:rPr>
          <w:rFonts w:ascii="Times New Roman" w:hAnsi="Times New Roman" w:cs="Times New Roman"/>
          <w:sz w:val="24"/>
          <w:szCs w:val="24"/>
        </w:rPr>
        <w:t xml:space="preserve">, </w:t>
      </w:r>
      <w:r w:rsidR="00530529">
        <w:rPr>
          <w:rFonts w:ascii="Times New Roman" w:hAnsi="Times New Roman" w:cs="Times New Roman"/>
          <w:sz w:val="24"/>
          <w:szCs w:val="24"/>
        </w:rPr>
        <w:t>a</w:t>
      </w:r>
      <w:r w:rsidR="0076309D">
        <w:rPr>
          <w:rFonts w:ascii="Times New Roman" w:hAnsi="Times New Roman" w:cs="Times New Roman"/>
          <w:sz w:val="24"/>
          <w:szCs w:val="24"/>
        </w:rPr>
        <w:t>gency theory</w:t>
      </w:r>
      <w:r w:rsidR="00A27E39">
        <w:rPr>
          <w:rFonts w:ascii="Times New Roman" w:hAnsi="Times New Roman" w:cs="Times New Roman"/>
          <w:sz w:val="24"/>
          <w:szCs w:val="24"/>
        </w:rPr>
        <w:t xml:space="preserve"> contends that </w:t>
      </w:r>
      <w:r w:rsidR="00EA78EF">
        <w:rPr>
          <w:rFonts w:ascii="Times New Roman" w:hAnsi="Times New Roman" w:cs="Times New Roman"/>
          <w:sz w:val="24"/>
          <w:szCs w:val="24"/>
        </w:rPr>
        <w:t>shareholders</w:t>
      </w:r>
      <w:r w:rsidR="0076309D">
        <w:rPr>
          <w:rFonts w:ascii="Times New Roman" w:hAnsi="Times New Roman" w:cs="Times New Roman"/>
          <w:sz w:val="24"/>
          <w:szCs w:val="24"/>
        </w:rPr>
        <w:t xml:space="preserve"> </w:t>
      </w:r>
      <w:r w:rsidR="00530529">
        <w:rPr>
          <w:rFonts w:ascii="Times New Roman" w:hAnsi="Times New Roman" w:cs="Times New Roman"/>
          <w:sz w:val="24"/>
          <w:szCs w:val="24"/>
        </w:rPr>
        <w:t>face</w:t>
      </w:r>
      <w:r w:rsidR="0076309D">
        <w:rPr>
          <w:rFonts w:ascii="Times New Roman" w:hAnsi="Times New Roman" w:cs="Times New Roman"/>
          <w:sz w:val="24"/>
          <w:szCs w:val="24"/>
        </w:rPr>
        <w:t xml:space="preserve"> agency problems</w:t>
      </w:r>
      <w:r w:rsidR="00530529">
        <w:rPr>
          <w:rFonts w:ascii="Times New Roman" w:hAnsi="Times New Roman" w:cs="Times New Roman"/>
          <w:sz w:val="24"/>
          <w:szCs w:val="24"/>
        </w:rPr>
        <w:t>,</w:t>
      </w:r>
      <w:r w:rsidR="00D24F72">
        <w:rPr>
          <w:rFonts w:ascii="Times New Roman" w:hAnsi="Times New Roman" w:cs="Times New Roman"/>
          <w:sz w:val="24"/>
          <w:szCs w:val="24"/>
        </w:rPr>
        <w:t xml:space="preserve"> wherein managers may not always </w:t>
      </w:r>
      <w:r w:rsidR="00A27E39">
        <w:rPr>
          <w:rFonts w:ascii="Times New Roman" w:hAnsi="Times New Roman" w:cs="Times New Roman"/>
          <w:sz w:val="24"/>
          <w:szCs w:val="24"/>
        </w:rPr>
        <w:t>act in</w:t>
      </w:r>
      <w:r w:rsidR="00D24F72">
        <w:rPr>
          <w:rFonts w:ascii="Times New Roman" w:hAnsi="Times New Roman" w:cs="Times New Roman"/>
          <w:sz w:val="24"/>
          <w:szCs w:val="24"/>
        </w:rPr>
        <w:t xml:space="preserve"> the</w:t>
      </w:r>
      <w:r w:rsidR="00A27E39">
        <w:rPr>
          <w:rFonts w:ascii="Times New Roman" w:hAnsi="Times New Roman" w:cs="Times New Roman"/>
          <w:sz w:val="24"/>
          <w:szCs w:val="24"/>
        </w:rPr>
        <w:t xml:space="preserve"> best</w:t>
      </w:r>
      <w:r w:rsidR="00D24F72">
        <w:rPr>
          <w:rFonts w:ascii="Times New Roman" w:hAnsi="Times New Roman" w:cs="Times New Roman"/>
          <w:sz w:val="24"/>
          <w:szCs w:val="24"/>
        </w:rPr>
        <w:t xml:space="preserve"> interests of </w:t>
      </w:r>
      <w:r w:rsidR="00282244">
        <w:rPr>
          <w:rFonts w:ascii="Times New Roman" w:hAnsi="Times New Roman" w:cs="Times New Roman"/>
          <w:sz w:val="24"/>
          <w:szCs w:val="24"/>
        </w:rPr>
        <w:t>shareholders</w:t>
      </w:r>
      <w:r w:rsidR="00EA78EF">
        <w:rPr>
          <w:rFonts w:ascii="Times New Roman" w:hAnsi="Times New Roman" w:cs="Times New Roman"/>
          <w:sz w:val="24"/>
          <w:szCs w:val="24"/>
        </w:rPr>
        <w:t xml:space="preserve"> (</w:t>
      </w:r>
      <w:r w:rsidR="00EA78EF" w:rsidRPr="0076309D">
        <w:rPr>
          <w:rFonts w:ascii="Times New Roman" w:hAnsi="Times New Roman" w:cs="Times New Roman"/>
          <w:sz w:val="24"/>
          <w:szCs w:val="24"/>
        </w:rPr>
        <w:t>Lu</w:t>
      </w:r>
      <w:r w:rsidR="00EA78EF">
        <w:rPr>
          <w:rFonts w:ascii="Times New Roman" w:hAnsi="Times New Roman" w:cs="Times New Roman"/>
          <w:sz w:val="24"/>
          <w:szCs w:val="24"/>
        </w:rPr>
        <w:t xml:space="preserve">, </w:t>
      </w:r>
      <w:proofErr w:type="spellStart"/>
      <w:r w:rsidR="00EA78EF" w:rsidRPr="0076309D">
        <w:rPr>
          <w:rFonts w:ascii="Times New Roman" w:hAnsi="Times New Roman" w:cs="Times New Roman"/>
          <w:sz w:val="24"/>
          <w:szCs w:val="24"/>
        </w:rPr>
        <w:t>Ntim</w:t>
      </w:r>
      <w:proofErr w:type="spellEnd"/>
      <w:r w:rsidR="00EA78EF">
        <w:rPr>
          <w:rFonts w:ascii="Times New Roman" w:hAnsi="Times New Roman" w:cs="Times New Roman"/>
          <w:sz w:val="24"/>
          <w:szCs w:val="24"/>
        </w:rPr>
        <w:t xml:space="preserve">, </w:t>
      </w:r>
      <w:r w:rsidR="00EA78EF" w:rsidRPr="0076309D">
        <w:rPr>
          <w:rFonts w:ascii="Times New Roman" w:hAnsi="Times New Roman" w:cs="Times New Roman"/>
          <w:sz w:val="24"/>
          <w:szCs w:val="24"/>
        </w:rPr>
        <w:t>Zhang</w:t>
      </w:r>
      <w:r w:rsidR="00EA78EF">
        <w:rPr>
          <w:rFonts w:ascii="Times New Roman" w:hAnsi="Times New Roman" w:cs="Times New Roman"/>
          <w:sz w:val="24"/>
          <w:szCs w:val="24"/>
        </w:rPr>
        <w:t>, &amp; Li, 2022)</w:t>
      </w:r>
      <w:r w:rsidR="00D24F72">
        <w:rPr>
          <w:rFonts w:ascii="Times New Roman" w:hAnsi="Times New Roman" w:cs="Times New Roman"/>
          <w:sz w:val="24"/>
          <w:szCs w:val="24"/>
        </w:rPr>
        <w:t xml:space="preserve">. To mitigate </w:t>
      </w:r>
      <w:r w:rsidR="00530529">
        <w:rPr>
          <w:rFonts w:ascii="Times New Roman" w:hAnsi="Times New Roman" w:cs="Times New Roman"/>
          <w:sz w:val="24"/>
          <w:szCs w:val="24"/>
        </w:rPr>
        <w:t xml:space="preserve">these </w:t>
      </w:r>
      <w:r w:rsidR="00D24F72">
        <w:rPr>
          <w:rFonts w:ascii="Times New Roman" w:hAnsi="Times New Roman" w:cs="Times New Roman"/>
          <w:sz w:val="24"/>
          <w:szCs w:val="24"/>
        </w:rPr>
        <w:t xml:space="preserve">agency problems, </w:t>
      </w:r>
      <w:r w:rsidR="00A15EF1" w:rsidRPr="00C55DA7">
        <w:rPr>
          <w:rFonts w:ascii="Times New Roman" w:hAnsi="Times New Roman" w:cs="Times New Roman"/>
          <w:sz w:val="24"/>
          <w:szCs w:val="24"/>
        </w:rPr>
        <w:t xml:space="preserve">Jensen and </w:t>
      </w:r>
      <w:proofErr w:type="spellStart"/>
      <w:r w:rsidR="00A15EF1" w:rsidRPr="00C55DA7">
        <w:rPr>
          <w:rFonts w:ascii="Times New Roman" w:hAnsi="Times New Roman" w:cs="Times New Roman"/>
          <w:sz w:val="24"/>
          <w:szCs w:val="24"/>
        </w:rPr>
        <w:t>Meckling</w:t>
      </w:r>
      <w:proofErr w:type="spellEnd"/>
      <w:r w:rsidR="00A15EF1" w:rsidRPr="00C55DA7">
        <w:rPr>
          <w:rFonts w:ascii="Times New Roman" w:hAnsi="Times New Roman" w:cs="Times New Roman"/>
          <w:sz w:val="24"/>
          <w:szCs w:val="24"/>
        </w:rPr>
        <w:t xml:space="preserve"> (1976)</w:t>
      </w:r>
      <w:r w:rsidR="00A15EF1" w:rsidRPr="00A15EF1">
        <w:rPr>
          <w:rFonts w:ascii="Times New Roman" w:hAnsi="Times New Roman" w:cs="Times New Roman"/>
          <w:sz w:val="24"/>
          <w:szCs w:val="24"/>
        </w:rPr>
        <w:t xml:space="preserve"> </w:t>
      </w:r>
      <w:r w:rsidR="001479FA" w:rsidRPr="001479FA">
        <w:rPr>
          <w:rFonts w:ascii="Times New Roman" w:hAnsi="Times New Roman" w:cs="Times New Roman"/>
          <w:sz w:val="24"/>
          <w:szCs w:val="24"/>
        </w:rPr>
        <w:t xml:space="preserve">advocate for the </w:t>
      </w:r>
      <w:r w:rsidR="00530529" w:rsidRPr="00530529">
        <w:rPr>
          <w:rFonts w:ascii="Times New Roman" w:hAnsi="Times New Roman" w:cs="Times New Roman"/>
          <w:sz w:val="24"/>
          <w:szCs w:val="24"/>
        </w:rPr>
        <w:t>implement</w:t>
      </w:r>
      <w:r w:rsidR="001479FA">
        <w:rPr>
          <w:rFonts w:ascii="Times New Roman" w:hAnsi="Times New Roman" w:cs="Times New Roman"/>
          <w:sz w:val="24"/>
          <w:szCs w:val="24"/>
        </w:rPr>
        <w:t>at</w:t>
      </w:r>
      <w:r w:rsidR="00530529" w:rsidRPr="00530529">
        <w:rPr>
          <w:rFonts w:ascii="Times New Roman" w:hAnsi="Times New Roman" w:cs="Times New Roman"/>
          <w:sz w:val="24"/>
          <w:szCs w:val="24"/>
        </w:rPr>
        <w:t>i</w:t>
      </w:r>
      <w:r w:rsidR="001479FA">
        <w:rPr>
          <w:rFonts w:ascii="Times New Roman" w:hAnsi="Times New Roman" w:cs="Times New Roman"/>
          <w:sz w:val="24"/>
          <w:szCs w:val="24"/>
        </w:rPr>
        <w:t>o</w:t>
      </w:r>
      <w:r w:rsidR="00530529" w:rsidRPr="00530529">
        <w:rPr>
          <w:rFonts w:ascii="Times New Roman" w:hAnsi="Times New Roman" w:cs="Times New Roman"/>
          <w:sz w:val="24"/>
          <w:szCs w:val="24"/>
        </w:rPr>
        <w:t>n</w:t>
      </w:r>
      <w:r w:rsidR="001479FA">
        <w:rPr>
          <w:rFonts w:ascii="Times New Roman" w:hAnsi="Times New Roman" w:cs="Times New Roman"/>
          <w:sz w:val="24"/>
          <w:szCs w:val="24"/>
        </w:rPr>
        <w:t xml:space="preserve"> of</w:t>
      </w:r>
      <w:r w:rsidR="00530529" w:rsidRPr="00530529">
        <w:rPr>
          <w:rFonts w:ascii="Times New Roman" w:hAnsi="Times New Roman" w:cs="Times New Roman"/>
          <w:sz w:val="24"/>
          <w:szCs w:val="24"/>
        </w:rPr>
        <w:t xml:space="preserve"> </w:t>
      </w:r>
      <w:r w:rsidR="001479FA">
        <w:rPr>
          <w:rFonts w:ascii="Times New Roman" w:hAnsi="Times New Roman" w:cs="Times New Roman"/>
          <w:sz w:val="24"/>
          <w:szCs w:val="24"/>
        </w:rPr>
        <w:t xml:space="preserve">robust </w:t>
      </w:r>
      <w:r w:rsidR="00A15EF1">
        <w:rPr>
          <w:rFonts w:ascii="Times New Roman" w:hAnsi="Times New Roman" w:cs="Times New Roman"/>
          <w:sz w:val="24"/>
          <w:szCs w:val="24"/>
        </w:rPr>
        <w:t xml:space="preserve">monitoring </w:t>
      </w:r>
      <w:r w:rsidR="00530529" w:rsidRPr="00530529">
        <w:rPr>
          <w:rFonts w:ascii="Times New Roman" w:hAnsi="Times New Roman" w:cs="Times New Roman"/>
          <w:sz w:val="24"/>
          <w:szCs w:val="24"/>
        </w:rPr>
        <w:t>mechanisms</w:t>
      </w:r>
      <w:r w:rsidR="00530529">
        <w:rPr>
          <w:rFonts w:ascii="Times New Roman" w:hAnsi="Times New Roman" w:cs="Times New Roman"/>
          <w:sz w:val="24"/>
          <w:szCs w:val="24"/>
        </w:rPr>
        <w:t xml:space="preserve">, </w:t>
      </w:r>
      <w:r w:rsidR="001479FA">
        <w:rPr>
          <w:rFonts w:ascii="Times New Roman" w:hAnsi="Times New Roman" w:cs="Times New Roman"/>
          <w:sz w:val="24"/>
          <w:szCs w:val="24"/>
        </w:rPr>
        <w:t>such as</w:t>
      </w:r>
      <w:r w:rsidR="00530529" w:rsidRPr="00530529">
        <w:rPr>
          <w:rFonts w:ascii="Times New Roman" w:hAnsi="Times New Roman" w:cs="Times New Roman"/>
          <w:sz w:val="24"/>
          <w:szCs w:val="24"/>
        </w:rPr>
        <w:t xml:space="preserve"> oversight</w:t>
      </w:r>
      <w:r w:rsidR="001479FA">
        <w:rPr>
          <w:rFonts w:ascii="Times New Roman" w:hAnsi="Times New Roman" w:cs="Times New Roman"/>
          <w:sz w:val="24"/>
          <w:szCs w:val="24"/>
        </w:rPr>
        <w:t xml:space="preserve"> provided</w:t>
      </w:r>
      <w:r w:rsidR="00530529" w:rsidRPr="00530529">
        <w:rPr>
          <w:rFonts w:ascii="Times New Roman" w:hAnsi="Times New Roman" w:cs="Times New Roman"/>
          <w:sz w:val="24"/>
          <w:szCs w:val="24"/>
        </w:rPr>
        <w:t xml:space="preserve"> by directors</w:t>
      </w:r>
      <w:r w:rsidR="00A15EF1">
        <w:rPr>
          <w:rFonts w:ascii="Times New Roman" w:hAnsi="Times New Roman" w:cs="Times New Roman"/>
          <w:sz w:val="24"/>
          <w:szCs w:val="24"/>
        </w:rPr>
        <w:t>. In this context,</w:t>
      </w:r>
      <w:r w:rsidR="00B34F92">
        <w:rPr>
          <w:rFonts w:ascii="Times New Roman" w:hAnsi="Times New Roman" w:cs="Times New Roman"/>
          <w:sz w:val="24"/>
          <w:szCs w:val="24"/>
        </w:rPr>
        <w:t xml:space="preserve"> </w:t>
      </w:r>
      <w:r w:rsidR="00D24F72">
        <w:rPr>
          <w:rFonts w:ascii="Times New Roman" w:hAnsi="Times New Roman" w:cs="Times New Roman"/>
          <w:sz w:val="24"/>
          <w:szCs w:val="24"/>
        </w:rPr>
        <w:t>shareholders delegate power to the board of directors</w:t>
      </w:r>
      <w:r w:rsidR="00EA78EF">
        <w:rPr>
          <w:rFonts w:ascii="Times New Roman" w:hAnsi="Times New Roman" w:cs="Times New Roman"/>
          <w:sz w:val="24"/>
          <w:szCs w:val="24"/>
        </w:rPr>
        <w:t xml:space="preserve"> and its monitoring subcommittees</w:t>
      </w:r>
      <w:r w:rsidR="00D24F72">
        <w:rPr>
          <w:rFonts w:ascii="Times New Roman" w:hAnsi="Times New Roman" w:cs="Times New Roman"/>
          <w:sz w:val="24"/>
          <w:szCs w:val="24"/>
        </w:rPr>
        <w:t xml:space="preserve"> </w:t>
      </w:r>
      <w:r w:rsidR="001479FA">
        <w:rPr>
          <w:rFonts w:ascii="Times New Roman" w:hAnsi="Times New Roman" w:cs="Times New Roman"/>
          <w:sz w:val="24"/>
          <w:szCs w:val="24"/>
        </w:rPr>
        <w:t xml:space="preserve">(i.e., audit committee) </w:t>
      </w:r>
      <w:r w:rsidR="005D166A">
        <w:rPr>
          <w:rFonts w:ascii="Times New Roman" w:hAnsi="Times New Roman" w:cs="Times New Roman"/>
          <w:sz w:val="24"/>
          <w:szCs w:val="24"/>
        </w:rPr>
        <w:t xml:space="preserve">to monitor </w:t>
      </w:r>
      <w:r w:rsidR="00530529">
        <w:rPr>
          <w:rFonts w:ascii="Times New Roman" w:hAnsi="Times New Roman" w:cs="Times New Roman"/>
          <w:sz w:val="24"/>
          <w:szCs w:val="24"/>
        </w:rPr>
        <w:t>management</w:t>
      </w:r>
      <w:r w:rsidR="005D166A">
        <w:rPr>
          <w:rFonts w:ascii="Times New Roman" w:hAnsi="Times New Roman" w:cs="Times New Roman"/>
          <w:sz w:val="24"/>
          <w:szCs w:val="24"/>
        </w:rPr>
        <w:t xml:space="preserve"> decisions (e.g., </w:t>
      </w:r>
      <w:r w:rsidR="005D166A" w:rsidRPr="005D166A">
        <w:rPr>
          <w:rFonts w:ascii="Times New Roman" w:hAnsi="Times New Roman" w:cs="Times New Roman"/>
          <w:sz w:val="24"/>
          <w:szCs w:val="24"/>
        </w:rPr>
        <w:t>Fama</w:t>
      </w:r>
      <w:r w:rsidR="005D166A">
        <w:rPr>
          <w:rFonts w:ascii="Times New Roman" w:hAnsi="Times New Roman" w:cs="Times New Roman"/>
          <w:sz w:val="24"/>
          <w:szCs w:val="24"/>
        </w:rPr>
        <w:t xml:space="preserve">, 1980; </w:t>
      </w:r>
      <w:r w:rsidR="005D166A" w:rsidRPr="005D166A">
        <w:rPr>
          <w:rFonts w:ascii="Times New Roman" w:hAnsi="Times New Roman" w:cs="Times New Roman"/>
          <w:sz w:val="24"/>
          <w:szCs w:val="24"/>
        </w:rPr>
        <w:t>Fama</w:t>
      </w:r>
      <w:r w:rsidR="005D166A">
        <w:rPr>
          <w:rFonts w:ascii="Times New Roman" w:hAnsi="Times New Roman" w:cs="Times New Roman"/>
          <w:sz w:val="24"/>
          <w:szCs w:val="24"/>
        </w:rPr>
        <w:t xml:space="preserve"> &amp; </w:t>
      </w:r>
      <w:r w:rsidR="005D166A" w:rsidRPr="005D166A">
        <w:rPr>
          <w:rFonts w:ascii="Times New Roman" w:hAnsi="Times New Roman" w:cs="Times New Roman"/>
          <w:sz w:val="24"/>
          <w:szCs w:val="24"/>
        </w:rPr>
        <w:t>Jensen</w:t>
      </w:r>
      <w:r w:rsidR="005D166A">
        <w:rPr>
          <w:rFonts w:ascii="Times New Roman" w:hAnsi="Times New Roman" w:cs="Times New Roman"/>
          <w:sz w:val="24"/>
          <w:szCs w:val="24"/>
        </w:rPr>
        <w:t>, 1983)</w:t>
      </w:r>
      <w:r w:rsidR="004A54F7">
        <w:rPr>
          <w:rFonts w:ascii="Times New Roman" w:hAnsi="Times New Roman" w:cs="Times New Roman"/>
          <w:sz w:val="24"/>
          <w:szCs w:val="24"/>
        </w:rPr>
        <w:t xml:space="preserve"> and </w:t>
      </w:r>
      <w:r w:rsidR="00A25CF9">
        <w:rPr>
          <w:rFonts w:ascii="Times New Roman" w:hAnsi="Times New Roman" w:cs="Times New Roman"/>
          <w:sz w:val="24"/>
          <w:szCs w:val="24"/>
        </w:rPr>
        <w:t>protect</w:t>
      </w:r>
      <w:r w:rsidR="00530529">
        <w:rPr>
          <w:rFonts w:ascii="Times New Roman" w:hAnsi="Times New Roman" w:cs="Times New Roman"/>
          <w:sz w:val="24"/>
          <w:szCs w:val="24"/>
        </w:rPr>
        <w:t xml:space="preserve"> shareholders</w:t>
      </w:r>
      <w:r w:rsidR="002915B9">
        <w:rPr>
          <w:rFonts w:ascii="Times New Roman" w:hAnsi="Times New Roman" w:cs="Times New Roman"/>
          <w:sz w:val="24"/>
          <w:szCs w:val="24"/>
        </w:rPr>
        <w:t>’</w:t>
      </w:r>
      <w:r w:rsidR="00A25CF9">
        <w:rPr>
          <w:rFonts w:ascii="Times New Roman" w:hAnsi="Times New Roman" w:cs="Times New Roman"/>
          <w:sz w:val="24"/>
          <w:szCs w:val="24"/>
        </w:rPr>
        <w:t xml:space="preserve"> </w:t>
      </w:r>
      <w:r w:rsidR="00EF4D00">
        <w:rPr>
          <w:rFonts w:ascii="Times New Roman" w:hAnsi="Times New Roman" w:cs="Times New Roman"/>
          <w:sz w:val="24"/>
          <w:szCs w:val="24"/>
        </w:rPr>
        <w:t>wealth</w:t>
      </w:r>
      <w:r w:rsidR="00282244">
        <w:rPr>
          <w:rFonts w:ascii="Times New Roman" w:hAnsi="Times New Roman" w:cs="Times New Roman"/>
          <w:sz w:val="24"/>
          <w:szCs w:val="24"/>
        </w:rPr>
        <w:t xml:space="preserve"> (e.g., </w:t>
      </w:r>
      <w:r w:rsidR="00282244" w:rsidRPr="00282244">
        <w:rPr>
          <w:rFonts w:ascii="Times New Roman" w:hAnsi="Times New Roman" w:cs="Times New Roman"/>
          <w:sz w:val="24"/>
          <w:szCs w:val="24"/>
        </w:rPr>
        <w:t>Beasley</w:t>
      </w:r>
      <w:r w:rsidR="00282244">
        <w:rPr>
          <w:rFonts w:ascii="Times New Roman" w:hAnsi="Times New Roman" w:cs="Times New Roman"/>
          <w:sz w:val="24"/>
          <w:szCs w:val="24"/>
        </w:rPr>
        <w:t xml:space="preserve">, 1996; </w:t>
      </w:r>
      <w:proofErr w:type="spellStart"/>
      <w:r w:rsidR="00282244" w:rsidRPr="00282244">
        <w:rPr>
          <w:rFonts w:ascii="Times New Roman" w:hAnsi="Times New Roman" w:cs="Times New Roman"/>
          <w:sz w:val="24"/>
          <w:szCs w:val="24"/>
        </w:rPr>
        <w:t>DeZoort</w:t>
      </w:r>
      <w:proofErr w:type="spellEnd"/>
      <w:r w:rsidR="00A25CF9">
        <w:rPr>
          <w:rFonts w:ascii="Times New Roman" w:hAnsi="Times New Roman" w:cs="Times New Roman"/>
          <w:sz w:val="24"/>
          <w:szCs w:val="24"/>
        </w:rPr>
        <w:t xml:space="preserve">, </w:t>
      </w:r>
      <w:r w:rsidR="00A25CF9" w:rsidRPr="00A25CF9">
        <w:rPr>
          <w:rFonts w:ascii="Times New Roman" w:hAnsi="Times New Roman" w:cs="Times New Roman"/>
          <w:sz w:val="24"/>
          <w:szCs w:val="24"/>
        </w:rPr>
        <w:t>Hermanson</w:t>
      </w:r>
      <w:r w:rsidR="00A25CF9">
        <w:rPr>
          <w:rFonts w:ascii="Times New Roman" w:hAnsi="Times New Roman" w:cs="Times New Roman"/>
          <w:sz w:val="24"/>
          <w:szCs w:val="24"/>
        </w:rPr>
        <w:t xml:space="preserve">, </w:t>
      </w:r>
      <w:proofErr w:type="spellStart"/>
      <w:r w:rsidR="00A25CF9" w:rsidRPr="00A25CF9">
        <w:rPr>
          <w:rFonts w:ascii="Times New Roman" w:hAnsi="Times New Roman" w:cs="Times New Roman"/>
          <w:sz w:val="24"/>
          <w:szCs w:val="24"/>
        </w:rPr>
        <w:t>Archambeault</w:t>
      </w:r>
      <w:proofErr w:type="spellEnd"/>
      <w:r w:rsidR="00A25CF9">
        <w:rPr>
          <w:rFonts w:ascii="Times New Roman" w:hAnsi="Times New Roman" w:cs="Times New Roman"/>
          <w:sz w:val="24"/>
          <w:szCs w:val="24"/>
        </w:rPr>
        <w:t xml:space="preserve">, &amp; </w:t>
      </w:r>
      <w:r w:rsidR="00A25CF9" w:rsidRPr="00A25CF9">
        <w:rPr>
          <w:rFonts w:ascii="Times New Roman" w:hAnsi="Times New Roman" w:cs="Times New Roman"/>
          <w:sz w:val="24"/>
          <w:szCs w:val="24"/>
        </w:rPr>
        <w:t>Reed</w:t>
      </w:r>
      <w:r w:rsidR="00A25CF9">
        <w:rPr>
          <w:rFonts w:ascii="Times New Roman" w:hAnsi="Times New Roman" w:cs="Times New Roman"/>
          <w:sz w:val="24"/>
          <w:szCs w:val="24"/>
        </w:rPr>
        <w:t xml:space="preserve">, 2002). </w:t>
      </w:r>
      <w:r w:rsidR="001F5FC4">
        <w:rPr>
          <w:rFonts w:ascii="Times New Roman" w:hAnsi="Times New Roman" w:cs="Times New Roman"/>
          <w:sz w:val="24"/>
          <w:szCs w:val="24"/>
        </w:rPr>
        <w:t xml:space="preserve"> </w:t>
      </w:r>
    </w:p>
    <w:p w14:paraId="116C8C13" w14:textId="62048618" w:rsidR="00530529" w:rsidRDefault="00FC641B" w:rsidP="000B779E">
      <w:pPr>
        <w:spacing w:line="480" w:lineRule="auto"/>
        <w:ind w:left="22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2931" w:rsidRPr="00C92931">
        <w:rPr>
          <w:rFonts w:ascii="Times New Roman" w:hAnsi="Times New Roman" w:cs="Times New Roman"/>
          <w:sz w:val="24"/>
          <w:szCs w:val="24"/>
        </w:rPr>
        <w:t xml:space="preserve">However, we postulate that </w:t>
      </w:r>
      <w:r w:rsidR="00AE27F0">
        <w:rPr>
          <w:rFonts w:ascii="Times New Roman" w:hAnsi="Times New Roman" w:cs="Times New Roman"/>
          <w:sz w:val="24"/>
          <w:szCs w:val="24"/>
        </w:rPr>
        <w:t>although</w:t>
      </w:r>
      <w:r w:rsidR="00AE27F0" w:rsidRPr="00C92931">
        <w:rPr>
          <w:rFonts w:ascii="Times New Roman" w:hAnsi="Times New Roman" w:cs="Times New Roman"/>
          <w:sz w:val="24"/>
          <w:szCs w:val="24"/>
        </w:rPr>
        <w:t xml:space="preserve"> </w:t>
      </w:r>
      <w:r w:rsidR="009C46C1">
        <w:rPr>
          <w:rFonts w:ascii="Times New Roman" w:hAnsi="Times New Roman" w:cs="Times New Roman"/>
          <w:sz w:val="24"/>
          <w:szCs w:val="24"/>
        </w:rPr>
        <w:t>AC</w:t>
      </w:r>
      <w:r w:rsidR="00B018D5">
        <w:rPr>
          <w:rFonts w:ascii="Times New Roman" w:hAnsi="Times New Roman" w:cs="Times New Roman"/>
          <w:sz w:val="24"/>
          <w:szCs w:val="24"/>
        </w:rPr>
        <w:t xml:space="preserve"> </w:t>
      </w:r>
      <w:r w:rsidR="00C92931" w:rsidRPr="00C92931">
        <w:rPr>
          <w:rFonts w:ascii="Times New Roman" w:hAnsi="Times New Roman" w:cs="Times New Roman"/>
          <w:sz w:val="24"/>
          <w:szCs w:val="24"/>
        </w:rPr>
        <w:t xml:space="preserve">members </w:t>
      </w:r>
      <w:r w:rsidR="00AE27F0">
        <w:rPr>
          <w:rFonts w:ascii="Times New Roman" w:hAnsi="Times New Roman" w:cs="Times New Roman"/>
          <w:sz w:val="24"/>
          <w:szCs w:val="24"/>
        </w:rPr>
        <w:t>have</w:t>
      </w:r>
      <w:r w:rsidR="00C92931" w:rsidRPr="00C92931">
        <w:rPr>
          <w:rFonts w:ascii="Times New Roman" w:hAnsi="Times New Roman" w:cs="Times New Roman"/>
          <w:sz w:val="24"/>
          <w:szCs w:val="24"/>
        </w:rPr>
        <w:t xml:space="preserve"> significant monitoring responsibilities and authority to shape financial reporting decisions, their effectiveness is not solely contingent on these formal powers. Indeed, their personality traits are key antecedents </w:t>
      </w:r>
      <w:r w:rsidR="002F5936">
        <w:rPr>
          <w:rFonts w:ascii="Times New Roman" w:hAnsi="Times New Roman" w:cs="Times New Roman"/>
          <w:sz w:val="24"/>
          <w:szCs w:val="24"/>
        </w:rPr>
        <w:t>of</w:t>
      </w:r>
      <w:r w:rsidR="00C92931" w:rsidRPr="00C92931">
        <w:rPr>
          <w:rFonts w:ascii="Times New Roman" w:hAnsi="Times New Roman" w:cs="Times New Roman"/>
          <w:sz w:val="24"/>
          <w:szCs w:val="24"/>
        </w:rPr>
        <w:t xml:space="preserve"> financial reporting quality. This aligns with the upper </w:t>
      </w:r>
      <w:proofErr w:type="gramStart"/>
      <w:r w:rsidR="00C92931" w:rsidRPr="00C92931">
        <w:rPr>
          <w:rFonts w:ascii="Times New Roman" w:hAnsi="Times New Roman" w:cs="Times New Roman"/>
          <w:sz w:val="24"/>
          <w:szCs w:val="24"/>
        </w:rPr>
        <w:t>echelons</w:t>
      </w:r>
      <w:proofErr w:type="gramEnd"/>
      <w:r w:rsidR="00C92931" w:rsidRPr="00C92931">
        <w:rPr>
          <w:rFonts w:ascii="Times New Roman" w:hAnsi="Times New Roman" w:cs="Times New Roman"/>
          <w:sz w:val="24"/>
          <w:szCs w:val="24"/>
        </w:rPr>
        <w:t xml:space="preserve"> theory, which suggests that personal values, idiosyncratic experiences, and cognitive and psychological characteristics of key decision-makers significantly influence firm</w:t>
      </w:r>
      <w:r w:rsidR="00C92931">
        <w:rPr>
          <w:rFonts w:ascii="Times New Roman" w:hAnsi="Times New Roman" w:cs="Times New Roman"/>
          <w:sz w:val="24"/>
          <w:szCs w:val="24"/>
        </w:rPr>
        <w:t xml:space="preserve">s’ </w:t>
      </w:r>
      <w:r w:rsidR="00C92931" w:rsidRPr="00C92931">
        <w:rPr>
          <w:rFonts w:ascii="Times New Roman" w:hAnsi="Times New Roman" w:cs="Times New Roman"/>
          <w:sz w:val="24"/>
          <w:szCs w:val="24"/>
        </w:rPr>
        <w:t>strategic decisions (Hambrick &amp; Mason, 1984; Hambrick, 2007).</w:t>
      </w:r>
      <w:r w:rsidR="00C92931">
        <w:rPr>
          <w:rFonts w:ascii="Times New Roman" w:hAnsi="Times New Roman" w:cs="Times New Roman"/>
          <w:sz w:val="24"/>
          <w:szCs w:val="24"/>
        </w:rPr>
        <w:t xml:space="preserve"> </w:t>
      </w:r>
      <w:r w:rsidR="00C92931" w:rsidRPr="00C92931">
        <w:rPr>
          <w:rFonts w:ascii="Times New Roman" w:hAnsi="Times New Roman" w:cs="Times New Roman"/>
          <w:sz w:val="24"/>
          <w:szCs w:val="24"/>
        </w:rPr>
        <w:t>While the majority of existing research has focused on observable traits</w:t>
      </w:r>
      <w:r w:rsidR="002F5936">
        <w:rPr>
          <w:rFonts w:ascii="Times New Roman" w:hAnsi="Times New Roman" w:cs="Times New Roman"/>
          <w:sz w:val="24"/>
          <w:szCs w:val="24"/>
        </w:rPr>
        <w:t xml:space="preserve">, such as </w:t>
      </w:r>
      <w:r w:rsidR="00C92931" w:rsidRPr="00C92931">
        <w:rPr>
          <w:rFonts w:ascii="Times New Roman" w:hAnsi="Times New Roman" w:cs="Times New Roman"/>
          <w:sz w:val="24"/>
          <w:szCs w:val="24"/>
        </w:rPr>
        <w:t>demographic traits, financial experience, and tenure</w:t>
      </w:r>
      <w:r w:rsidR="006325A6">
        <w:rPr>
          <w:rFonts w:ascii="Times New Roman" w:hAnsi="Times New Roman" w:cs="Times New Roman"/>
          <w:sz w:val="24"/>
          <w:szCs w:val="24"/>
        </w:rPr>
        <w:t xml:space="preserve"> (</w:t>
      </w:r>
      <w:r w:rsidR="0015606E" w:rsidRPr="0015606E">
        <w:rPr>
          <w:rFonts w:ascii="Times New Roman" w:hAnsi="Times New Roman" w:cs="Times New Roman"/>
          <w:sz w:val="24"/>
          <w:szCs w:val="24"/>
        </w:rPr>
        <w:t>Adams</w:t>
      </w:r>
      <w:r w:rsidR="0015606E">
        <w:rPr>
          <w:rFonts w:ascii="Times New Roman" w:hAnsi="Times New Roman" w:cs="Times New Roman"/>
          <w:sz w:val="24"/>
          <w:szCs w:val="24"/>
        </w:rPr>
        <w:t xml:space="preserve"> &amp; </w:t>
      </w:r>
      <w:r w:rsidR="0015606E" w:rsidRPr="0015606E">
        <w:rPr>
          <w:rFonts w:ascii="Times New Roman" w:hAnsi="Times New Roman" w:cs="Times New Roman"/>
          <w:sz w:val="24"/>
          <w:szCs w:val="24"/>
        </w:rPr>
        <w:t>Ferreira</w:t>
      </w:r>
      <w:r w:rsidR="0015606E">
        <w:rPr>
          <w:rFonts w:ascii="Times New Roman" w:hAnsi="Times New Roman" w:cs="Times New Roman"/>
          <w:sz w:val="24"/>
          <w:szCs w:val="24"/>
        </w:rPr>
        <w:t xml:space="preserve">, 2009; </w:t>
      </w:r>
      <w:r w:rsidR="0015606E" w:rsidRPr="0015606E">
        <w:rPr>
          <w:rFonts w:ascii="Times New Roman" w:hAnsi="Times New Roman" w:cs="Times New Roman"/>
          <w:sz w:val="24"/>
          <w:szCs w:val="24"/>
        </w:rPr>
        <w:t>Badolato</w:t>
      </w:r>
      <w:r w:rsidR="0015606E">
        <w:rPr>
          <w:rFonts w:ascii="Times New Roman" w:hAnsi="Times New Roman" w:cs="Times New Roman"/>
          <w:sz w:val="24"/>
          <w:szCs w:val="24"/>
        </w:rPr>
        <w:t xml:space="preserve">, </w:t>
      </w:r>
      <w:r w:rsidR="0015606E" w:rsidRPr="0015606E">
        <w:rPr>
          <w:rFonts w:ascii="Times New Roman" w:hAnsi="Times New Roman" w:cs="Times New Roman"/>
          <w:sz w:val="24"/>
          <w:szCs w:val="24"/>
        </w:rPr>
        <w:t>Donelson</w:t>
      </w:r>
      <w:r w:rsidR="0015606E">
        <w:rPr>
          <w:rFonts w:ascii="Times New Roman" w:hAnsi="Times New Roman" w:cs="Times New Roman"/>
          <w:sz w:val="24"/>
          <w:szCs w:val="24"/>
        </w:rPr>
        <w:t xml:space="preserve">, &amp; </w:t>
      </w:r>
      <w:r w:rsidR="0015606E" w:rsidRPr="0015606E">
        <w:rPr>
          <w:rFonts w:ascii="Times New Roman" w:hAnsi="Times New Roman" w:cs="Times New Roman"/>
          <w:sz w:val="24"/>
          <w:szCs w:val="24"/>
        </w:rPr>
        <w:t>Ege</w:t>
      </w:r>
      <w:r w:rsidR="0015606E">
        <w:rPr>
          <w:rFonts w:ascii="Times New Roman" w:hAnsi="Times New Roman" w:cs="Times New Roman"/>
          <w:sz w:val="24"/>
          <w:szCs w:val="24"/>
        </w:rPr>
        <w:t xml:space="preserve">, 2014; </w:t>
      </w:r>
      <w:r w:rsidR="0015606E" w:rsidRPr="0015606E">
        <w:rPr>
          <w:rFonts w:ascii="Times New Roman" w:hAnsi="Times New Roman" w:cs="Times New Roman"/>
          <w:sz w:val="24"/>
          <w:szCs w:val="24"/>
        </w:rPr>
        <w:t>Bedard</w:t>
      </w:r>
      <w:r w:rsidR="0015606E">
        <w:rPr>
          <w:rFonts w:asciiTheme="majorBidi" w:hAnsiTheme="majorBidi" w:cstheme="majorBidi"/>
          <w:noProof/>
          <w:color w:val="000000" w:themeColor="text1"/>
          <w:sz w:val="24"/>
          <w:szCs w:val="24"/>
        </w:rPr>
        <w:t>,</w:t>
      </w:r>
      <w:r w:rsidR="0015606E" w:rsidRPr="002C4D23">
        <w:rPr>
          <w:rFonts w:asciiTheme="majorBidi" w:hAnsiTheme="majorBidi" w:cstheme="majorBidi"/>
          <w:noProof/>
          <w:color w:val="000000" w:themeColor="text1"/>
          <w:sz w:val="24"/>
          <w:szCs w:val="24"/>
        </w:rPr>
        <w:t xml:space="preserve"> </w:t>
      </w:r>
      <w:r w:rsidR="0015606E" w:rsidRPr="00DC1BC9">
        <w:rPr>
          <w:rFonts w:asciiTheme="majorBidi" w:hAnsiTheme="majorBidi" w:cstheme="majorBidi"/>
          <w:noProof/>
          <w:color w:val="000000" w:themeColor="text1"/>
          <w:sz w:val="24"/>
          <w:szCs w:val="28"/>
        </w:rPr>
        <w:t>Chtourou</w:t>
      </w:r>
      <w:r w:rsidR="0015606E">
        <w:rPr>
          <w:rFonts w:asciiTheme="majorBidi" w:hAnsiTheme="majorBidi" w:cstheme="majorBidi"/>
          <w:noProof/>
          <w:color w:val="000000" w:themeColor="text1"/>
          <w:sz w:val="24"/>
          <w:szCs w:val="28"/>
        </w:rPr>
        <w:t xml:space="preserve">, &amp; </w:t>
      </w:r>
      <w:r w:rsidR="0015606E" w:rsidRPr="00DC1BC9">
        <w:rPr>
          <w:rFonts w:asciiTheme="majorBidi" w:hAnsiTheme="majorBidi" w:cstheme="majorBidi"/>
          <w:noProof/>
          <w:color w:val="000000" w:themeColor="text1"/>
          <w:sz w:val="24"/>
          <w:szCs w:val="28"/>
        </w:rPr>
        <w:t>Courteau</w:t>
      </w:r>
      <w:r w:rsidR="0015606E">
        <w:rPr>
          <w:rFonts w:asciiTheme="majorBidi" w:hAnsiTheme="majorBidi" w:cstheme="majorBidi"/>
          <w:noProof/>
          <w:color w:val="000000" w:themeColor="text1"/>
          <w:sz w:val="24"/>
          <w:szCs w:val="28"/>
        </w:rPr>
        <w:t>,</w:t>
      </w:r>
      <w:r w:rsidR="0015606E" w:rsidRPr="005E73C2">
        <w:rPr>
          <w:rFonts w:asciiTheme="majorBidi" w:hAnsiTheme="majorBidi" w:cstheme="majorBidi"/>
          <w:noProof/>
          <w:color w:val="000000" w:themeColor="text1"/>
          <w:sz w:val="24"/>
          <w:szCs w:val="28"/>
        </w:rPr>
        <w:t xml:space="preserve"> 2004</w:t>
      </w:r>
      <w:r w:rsidR="000E55B7">
        <w:rPr>
          <w:rFonts w:asciiTheme="majorBidi" w:hAnsiTheme="majorBidi" w:cstheme="majorBidi"/>
          <w:noProof/>
          <w:color w:val="000000" w:themeColor="text1"/>
          <w:sz w:val="24"/>
          <w:szCs w:val="28"/>
        </w:rPr>
        <w:t xml:space="preserve">; </w:t>
      </w:r>
      <w:r w:rsidR="000E55B7" w:rsidRPr="000E55B7">
        <w:rPr>
          <w:rFonts w:asciiTheme="majorBidi" w:hAnsiTheme="majorBidi" w:cstheme="majorBidi"/>
          <w:noProof/>
          <w:color w:val="000000" w:themeColor="text1"/>
          <w:sz w:val="24"/>
          <w:szCs w:val="28"/>
        </w:rPr>
        <w:t>Liu</w:t>
      </w:r>
      <w:r w:rsidR="000E55B7">
        <w:rPr>
          <w:rFonts w:asciiTheme="majorBidi" w:hAnsiTheme="majorBidi" w:cstheme="majorBidi"/>
          <w:noProof/>
          <w:color w:val="000000" w:themeColor="text1"/>
          <w:sz w:val="24"/>
          <w:szCs w:val="28"/>
        </w:rPr>
        <w:t xml:space="preserve"> &amp; </w:t>
      </w:r>
      <w:r w:rsidR="000E55B7" w:rsidRPr="000E55B7">
        <w:rPr>
          <w:rFonts w:asciiTheme="majorBidi" w:hAnsiTheme="majorBidi" w:cstheme="majorBidi"/>
          <w:noProof/>
          <w:color w:val="000000" w:themeColor="text1"/>
          <w:sz w:val="24"/>
          <w:szCs w:val="28"/>
        </w:rPr>
        <w:t>Sun</w:t>
      </w:r>
      <w:r w:rsidR="000E55B7">
        <w:rPr>
          <w:rFonts w:asciiTheme="majorBidi" w:hAnsiTheme="majorBidi" w:cstheme="majorBidi"/>
          <w:noProof/>
          <w:color w:val="000000" w:themeColor="text1"/>
          <w:sz w:val="24"/>
          <w:szCs w:val="28"/>
        </w:rPr>
        <w:t>, 2010</w:t>
      </w:r>
      <w:r w:rsidR="006325A6">
        <w:rPr>
          <w:rFonts w:ascii="Times New Roman" w:hAnsi="Times New Roman" w:cs="Times New Roman"/>
          <w:sz w:val="24"/>
          <w:szCs w:val="24"/>
        </w:rPr>
        <w:t>)</w:t>
      </w:r>
      <w:r w:rsidR="00C92931" w:rsidRPr="00C92931">
        <w:rPr>
          <w:rFonts w:ascii="Times New Roman" w:hAnsi="Times New Roman" w:cs="Times New Roman"/>
          <w:sz w:val="24"/>
          <w:szCs w:val="24"/>
        </w:rPr>
        <w:t xml:space="preserve">, which explain only about 3% of individual decisions, a growing body of studies is </w:t>
      </w:r>
      <w:r w:rsidR="00B018D5">
        <w:rPr>
          <w:rFonts w:ascii="Times New Roman" w:hAnsi="Times New Roman" w:cs="Times New Roman"/>
          <w:sz w:val="24"/>
          <w:szCs w:val="24"/>
        </w:rPr>
        <w:t>increasingly</w:t>
      </w:r>
      <w:r w:rsidR="00C92931" w:rsidRPr="00C92931">
        <w:rPr>
          <w:rFonts w:ascii="Times New Roman" w:hAnsi="Times New Roman" w:cs="Times New Roman"/>
          <w:sz w:val="24"/>
          <w:szCs w:val="24"/>
        </w:rPr>
        <w:t xml:space="preserve"> examin</w:t>
      </w:r>
      <w:r w:rsidR="00B018D5">
        <w:rPr>
          <w:rFonts w:ascii="Times New Roman" w:hAnsi="Times New Roman" w:cs="Times New Roman"/>
          <w:sz w:val="24"/>
          <w:szCs w:val="24"/>
        </w:rPr>
        <w:t>ing</w:t>
      </w:r>
      <w:r w:rsidR="00C92931" w:rsidRPr="00C92931">
        <w:rPr>
          <w:rFonts w:ascii="Times New Roman" w:hAnsi="Times New Roman" w:cs="Times New Roman"/>
          <w:sz w:val="24"/>
          <w:szCs w:val="24"/>
        </w:rPr>
        <w:t xml:space="preserve"> the less observable psychological attributes that play a crucial role in shaping individual decision-making. In this study, we specifically focus on narcissism and its influence on </w:t>
      </w:r>
      <w:r w:rsidR="00C92931">
        <w:rPr>
          <w:rFonts w:ascii="Times New Roman" w:hAnsi="Times New Roman" w:cs="Times New Roman"/>
          <w:sz w:val="24"/>
          <w:szCs w:val="24"/>
        </w:rPr>
        <w:t>AC chair</w:t>
      </w:r>
      <w:r w:rsidR="00C92931" w:rsidRPr="00C92931">
        <w:rPr>
          <w:rFonts w:ascii="Times New Roman" w:hAnsi="Times New Roman" w:cs="Times New Roman"/>
          <w:sz w:val="24"/>
          <w:szCs w:val="24"/>
        </w:rPr>
        <w:t xml:space="preserve"> decisions</w:t>
      </w:r>
      <w:r w:rsidR="00C92931">
        <w:rPr>
          <w:rFonts w:ascii="Times New Roman" w:hAnsi="Times New Roman" w:cs="Times New Roman"/>
          <w:sz w:val="24"/>
          <w:szCs w:val="24"/>
        </w:rPr>
        <w:t xml:space="preserve">. </w:t>
      </w:r>
    </w:p>
    <w:p w14:paraId="7527C093" w14:textId="66F0929C" w:rsidR="00091BB2" w:rsidRDefault="002F5936" w:rsidP="000B779E">
      <w:pPr>
        <w:spacing w:line="480" w:lineRule="auto"/>
        <w:ind w:left="227" w:firstLine="437"/>
        <w:rPr>
          <w:rFonts w:asciiTheme="majorBidi" w:hAnsiTheme="majorBidi" w:cstheme="majorBidi"/>
          <w:color w:val="000000" w:themeColor="text1"/>
          <w:sz w:val="24"/>
          <w:szCs w:val="28"/>
        </w:rPr>
      </w:pPr>
      <w:r>
        <w:rPr>
          <w:rFonts w:ascii="Times New Roman" w:hAnsi="Times New Roman" w:cs="Times New Roman"/>
          <w:sz w:val="24"/>
          <w:szCs w:val="24"/>
        </w:rPr>
        <w:t>We</w:t>
      </w:r>
      <w:r w:rsidR="00CF62E6" w:rsidRPr="00CF62E6">
        <w:rPr>
          <w:rFonts w:ascii="Times New Roman" w:hAnsi="Times New Roman" w:cs="Times New Roman"/>
          <w:sz w:val="24"/>
          <w:szCs w:val="24"/>
        </w:rPr>
        <w:t xml:space="preserve"> integrate </w:t>
      </w:r>
      <w:r w:rsidR="00CF62E6">
        <w:rPr>
          <w:rFonts w:ascii="Times New Roman" w:hAnsi="Times New Roman" w:cs="Times New Roman"/>
          <w:sz w:val="24"/>
          <w:szCs w:val="24"/>
        </w:rPr>
        <w:t>a</w:t>
      </w:r>
      <w:r w:rsidR="00CF62E6" w:rsidRPr="00CF62E6">
        <w:rPr>
          <w:rFonts w:ascii="Times New Roman" w:hAnsi="Times New Roman" w:cs="Times New Roman"/>
          <w:sz w:val="24"/>
          <w:szCs w:val="24"/>
        </w:rPr>
        <w:t xml:space="preserve">gency </w:t>
      </w:r>
      <w:r w:rsidR="00CF62E6">
        <w:rPr>
          <w:rFonts w:ascii="Times New Roman" w:hAnsi="Times New Roman" w:cs="Times New Roman"/>
          <w:sz w:val="24"/>
          <w:szCs w:val="24"/>
        </w:rPr>
        <w:t>t</w:t>
      </w:r>
      <w:r w:rsidR="00CF62E6" w:rsidRPr="00CF62E6">
        <w:rPr>
          <w:rFonts w:ascii="Times New Roman" w:hAnsi="Times New Roman" w:cs="Times New Roman"/>
          <w:sz w:val="24"/>
          <w:szCs w:val="24"/>
        </w:rPr>
        <w:t xml:space="preserve">heory and </w:t>
      </w:r>
      <w:r w:rsidR="00CF62E6">
        <w:rPr>
          <w:rFonts w:ascii="Times New Roman" w:hAnsi="Times New Roman" w:cs="Times New Roman"/>
          <w:sz w:val="24"/>
          <w:szCs w:val="24"/>
        </w:rPr>
        <w:t>u</w:t>
      </w:r>
      <w:r w:rsidR="00CF62E6" w:rsidRPr="00CF62E6">
        <w:rPr>
          <w:rFonts w:ascii="Times New Roman" w:hAnsi="Times New Roman" w:cs="Times New Roman"/>
          <w:sz w:val="24"/>
          <w:szCs w:val="24"/>
        </w:rPr>
        <w:t xml:space="preserve">pper </w:t>
      </w:r>
      <w:r w:rsidR="00CF62E6">
        <w:rPr>
          <w:rFonts w:ascii="Times New Roman" w:hAnsi="Times New Roman" w:cs="Times New Roman"/>
          <w:sz w:val="24"/>
          <w:szCs w:val="24"/>
        </w:rPr>
        <w:t>e</w:t>
      </w:r>
      <w:r w:rsidR="00CF62E6" w:rsidRPr="00CF62E6">
        <w:rPr>
          <w:rFonts w:ascii="Times New Roman" w:hAnsi="Times New Roman" w:cs="Times New Roman"/>
          <w:sz w:val="24"/>
          <w:szCs w:val="24"/>
        </w:rPr>
        <w:t xml:space="preserve">chelons </w:t>
      </w:r>
      <w:r w:rsidR="00CF62E6">
        <w:rPr>
          <w:rFonts w:ascii="Times New Roman" w:hAnsi="Times New Roman" w:cs="Times New Roman"/>
          <w:sz w:val="24"/>
          <w:szCs w:val="24"/>
        </w:rPr>
        <w:t>t</w:t>
      </w:r>
      <w:r w:rsidR="00CF62E6" w:rsidRPr="00CF62E6">
        <w:rPr>
          <w:rFonts w:ascii="Times New Roman" w:hAnsi="Times New Roman" w:cs="Times New Roman"/>
          <w:sz w:val="24"/>
          <w:szCs w:val="24"/>
        </w:rPr>
        <w:t xml:space="preserve">heory to provide a comprehensive understanding of </w:t>
      </w:r>
      <w:r w:rsidR="00CF62E6">
        <w:rPr>
          <w:rFonts w:ascii="Times New Roman" w:hAnsi="Times New Roman" w:cs="Times New Roman"/>
          <w:sz w:val="24"/>
          <w:szCs w:val="24"/>
        </w:rPr>
        <w:t>the role of AC chair</w:t>
      </w:r>
      <w:r w:rsidR="00B018D5">
        <w:rPr>
          <w:rFonts w:ascii="Times New Roman" w:hAnsi="Times New Roman" w:cs="Times New Roman"/>
          <w:sz w:val="24"/>
          <w:szCs w:val="24"/>
        </w:rPr>
        <w:t>s</w:t>
      </w:r>
      <w:r w:rsidR="00CF62E6" w:rsidRPr="00CF62E6">
        <w:rPr>
          <w:rFonts w:ascii="Times New Roman" w:hAnsi="Times New Roman" w:cs="Times New Roman"/>
          <w:sz w:val="24"/>
          <w:szCs w:val="24"/>
        </w:rPr>
        <w:t>.</w:t>
      </w:r>
      <w:r w:rsidR="00CF62E6">
        <w:rPr>
          <w:rFonts w:ascii="Times New Roman" w:hAnsi="Times New Roman" w:cs="Times New Roman"/>
          <w:sz w:val="24"/>
          <w:szCs w:val="24"/>
        </w:rPr>
        <w:t xml:space="preserve"> </w:t>
      </w:r>
      <w:proofErr w:type="gramStart"/>
      <w:r w:rsidR="00CF62E6">
        <w:rPr>
          <w:rFonts w:ascii="Times New Roman" w:hAnsi="Times New Roman" w:cs="Times New Roman"/>
          <w:sz w:val="24"/>
          <w:szCs w:val="24"/>
        </w:rPr>
        <w:t xml:space="preserve">In particular, </w:t>
      </w:r>
      <w:r w:rsidR="00CF62E6" w:rsidRPr="00CF62E6">
        <w:rPr>
          <w:rFonts w:ascii="Times New Roman" w:hAnsi="Times New Roman" w:cs="Times New Roman"/>
          <w:sz w:val="24"/>
          <w:szCs w:val="24"/>
        </w:rPr>
        <w:t>we</w:t>
      </w:r>
      <w:proofErr w:type="gramEnd"/>
      <w:r w:rsidR="00CF62E6" w:rsidRPr="00CF62E6">
        <w:rPr>
          <w:rFonts w:ascii="Times New Roman" w:hAnsi="Times New Roman" w:cs="Times New Roman"/>
          <w:sz w:val="24"/>
          <w:szCs w:val="24"/>
        </w:rPr>
        <w:t xml:space="preserve"> draw on</w:t>
      </w:r>
      <w:r w:rsidR="00CF62E6">
        <w:rPr>
          <w:rFonts w:ascii="Times New Roman" w:hAnsi="Times New Roman" w:cs="Times New Roman"/>
          <w:sz w:val="24"/>
          <w:szCs w:val="24"/>
        </w:rPr>
        <w:t xml:space="preserve"> </w:t>
      </w:r>
      <w:r w:rsidR="00091BB2" w:rsidRPr="00F12695">
        <w:rPr>
          <w:rFonts w:asciiTheme="majorBidi" w:hAnsiTheme="majorBidi" w:cstheme="majorBidi"/>
          <w:color w:val="000000" w:themeColor="text1"/>
          <w:sz w:val="24"/>
          <w:szCs w:val="28"/>
        </w:rPr>
        <w:t>Cragun</w:t>
      </w:r>
      <w:r w:rsidR="00091BB2">
        <w:rPr>
          <w:rFonts w:asciiTheme="majorBidi" w:hAnsiTheme="majorBidi" w:cstheme="majorBidi"/>
          <w:color w:val="000000" w:themeColor="text1"/>
          <w:sz w:val="24"/>
          <w:szCs w:val="28"/>
        </w:rPr>
        <w:t xml:space="preserve">, </w:t>
      </w:r>
      <w:r w:rsidR="00091BB2" w:rsidRPr="00646D37">
        <w:rPr>
          <w:rFonts w:asciiTheme="majorBidi" w:hAnsiTheme="majorBidi" w:cstheme="majorBidi"/>
          <w:color w:val="000000" w:themeColor="text1"/>
          <w:sz w:val="24"/>
          <w:szCs w:val="28"/>
        </w:rPr>
        <w:t>Olsen</w:t>
      </w:r>
      <w:r w:rsidR="00091BB2">
        <w:rPr>
          <w:rFonts w:asciiTheme="majorBidi" w:hAnsiTheme="majorBidi" w:cstheme="majorBidi"/>
          <w:color w:val="000000" w:themeColor="text1"/>
          <w:sz w:val="24"/>
          <w:szCs w:val="28"/>
        </w:rPr>
        <w:t xml:space="preserve">, </w:t>
      </w:r>
      <w:r w:rsidR="00FC641B">
        <w:rPr>
          <w:rFonts w:asciiTheme="majorBidi" w:hAnsiTheme="majorBidi" w:cstheme="majorBidi"/>
          <w:color w:val="000000" w:themeColor="text1"/>
          <w:sz w:val="24"/>
          <w:szCs w:val="28"/>
        </w:rPr>
        <w:t>and</w:t>
      </w:r>
      <w:r w:rsidR="00091BB2">
        <w:rPr>
          <w:rFonts w:asciiTheme="majorBidi" w:hAnsiTheme="majorBidi" w:cstheme="majorBidi"/>
          <w:color w:val="000000" w:themeColor="text1"/>
          <w:sz w:val="24"/>
          <w:szCs w:val="28"/>
        </w:rPr>
        <w:t xml:space="preserve"> </w:t>
      </w:r>
      <w:r w:rsidR="00091BB2" w:rsidRPr="00646D37">
        <w:rPr>
          <w:rFonts w:asciiTheme="majorBidi" w:hAnsiTheme="majorBidi" w:cstheme="majorBidi"/>
          <w:color w:val="000000" w:themeColor="text1"/>
          <w:sz w:val="24"/>
          <w:szCs w:val="28"/>
        </w:rPr>
        <w:t xml:space="preserve">Wright </w:t>
      </w:r>
      <w:r w:rsidR="00091BB2">
        <w:rPr>
          <w:rFonts w:asciiTheme="majorBidi" w:hAnsiTheme="majorBidi" w:cstheme="majorBidi"/>
          <w:color w:val="000000" w:themeColor="text1"/>
          <w:sz w:val="24"/>
          <w:szCs w:val="28"/>
        </w:rPr>
        <w:t>(2020)</w:t>
      </w:r>
      <w:r>
        <w:rPr>
          <w:rFonts w:asciiTheme="majorBidi" w:hAnsiTheme="majorBidi" w:cstheme="majorBidi"/>
          <w:color w:val="000000" w:themeColor="text1"/>
          <w:sz w:val="24"/>
          <w:szCs w:val="28"/>
        </w:rPr>
        <w:t xml:space="preserve">, </w:t>
      </w:r>
      <w:r w:rsidR="00CF62E6">
        <w:rPr>
          <w:rFonts w:asciiTheme="majorBidi" w:hAnsiTheme="majorBidi" w:cstheme="majorBidi"/>
          <w:color w:val="000000" w:themeColor="text1"/>
          <w:sz w:val="24"/>
          <w:szCs w:val="28"/>
        </w:rPr>
        <w:t xml:space="preserve">who </w:t>
      </w:r>
      <w:r w:rsidR="002F1CE0">
        <w:rPr>
          <w:rFonts w:asciiTheme="majorBidi" w:hAnsiTheme="majorBidi" w:cstheme="majorBidi"/>
          <w:color w:val="000000" w:themeColor="text1"/>
          <w:sz w:val="24"/>
          <w:szCs w:val="28"/>
        </w:rPr>
        <w:t>suggest</w:t>
      </w:r>
      <w:r w:rsidR="00CF62E6">
        <w:rPr>
          <w:rFonts w:asciiTheme="majorBidi" w:hAnsiTheme="majorBidi" w:cstheme="majorBidi"/>
          <w:color w:val="000000" w:themeColor="text1"/>
          <w:sz w:val="24"/>
          <w:szCs w:val="28"/>
        </w:rPr>
        <w:t xml:space="preserve"> </w:t>
      </w:r>
      <w:r w:rsidR="002F1CE0">
        <w:rPr>
          <w:rFonts w:asciiTheme="majorBidi" w:hAnsiTheme="majorBidi" w:cstheme="majorBidi"/>
          <w:color w:val="000000" w:themeColor="text1"/>
          <w:sz w:val="24"/>
          <w:szCs w:val="28"/>
        </w:rPr>
        <w:t>that</w:t>
      </w:r>
      <w:r w:rsidR="00091BB2">
        <w:rPr>
          <w:rFonts w:asciiTheme="majorBidi" w:hAnsiTheme="majorBidi" w:cstheme="majorBidi"/>
          <w:color w:val="000000" w:themeColor="text1"/>
          <w:sz w:val="24"/>
          <w:szCs w:val="28"/>
        </w:rPr>
        <w:t xml:space="preserve"> extend</w:t>
      </w:r>
      <w:r w:rsidR="00CF62E6">
        <w:rPr>
          <w:rFonts w:asciiTheme="majorBidi" w:hAnsiTheme="majorBidi" w:cstheme="majorBidi"/>
          <w:color w:val="000000" w:themeColor="text1"/>
          <w:sz w:val="24"/>
          <w:szCs w:val="28"/>
        </w:rPr>
        <w:t xml:space="preserve">ing </w:t>
      </w:r>
      <w:r w:rsidR="00091BB2">
        <w:rPr>
          <w:rFonts w:asciiTheme="majorBidi" w:hAnsiTheme="majorBidi" w:cstheme="majorBidi"/>
          <w:color w:val="000000" w:themeColor="text1"/>
          <w:sz w:val="24"/>
          <w:szCs w:val="28"/>
        </w:rPr>
        <w:t>agency</w:t>
      </w:r>
      <w:r>
        <w:rPr>
          <w:rFonts w:asciiTheme="majorBidi" w:hAnsiTheme="majorBidi" w:cstheme="majorBidi"/>
          <w:color w:val="000000" w:themeColor="text1"/>
          <w:sz w:val="24"/>
          <w:szCs w:val="28"/>
        </w:rPr>
        <w:t xml:space="preserve"> theory</w:t>
      </w:r>
      <w:r w:rsidR="00091BB2">
        <w:rPr>
          <w:rFonts w:asciiTheme="majorBidi" w:hAnsiTheme="majorBidi" w:cstheme="majorBidi"/>
          <w:color w:val="000000" w:themeColor="text1"/>
          <w:sz w:val="24"/>
          <w:szCs w:val="28"/>
        </w:rPr>
        <w:t xml:space="preserve"> </w:t>
      </w:r>
      <w:r w:rsidR="00CF62E6">
        <w:rPr>
          <w:rFonts w:asciiTheme="majorBidi" w:hAnsiTheme="majorBidi" w:cstheme="majorBidi"/>
          <w:color w:val="000000" w:themeColor="text1"/>
          <w:sz w:val="24"/>
          <w:szCs w:val="28"/>
        </w:rPr>
        <w:t>with upper echelons t</w:t>
      </w:r>
      <w:r w:rsidR="00CF62E6" w:rsidRPr="00CF62E6">
        <w:rPr>
          <w:rFonts w:asciiTheme="majorBidi" w:hAnsiTheme="majorBidi" w:cstheme="majorBidi"/>
          <w:color w:val="000000" w:themeColor="text1"/>
          <w:sz w:val="24"/>
          <w:szCs w:val="28"/>
        </w:rPr>
        <w:t>heory</w:t>
      </w:r>
      <w:r w:rsidR="00CF62E6">
        <w:rPr>
          <w:rFonts w:asciiTheme="majorBidi" w:hAnsiTheme="majorBidi" w:cstheme="majorBidi"/>
          <w:color w:val="000000" w:themeColor="text1"/>
          <w:sz w:val="24"/>
          <w:szCs w:val="28"/>
        </w:rPr>
        <w:t xml:space="preserve"> helps</w:t>
      </w:r>
      <w:r w:rsidR="00091BB2">
        <w:rPr>
          <w:rFonts w:asciiTheme="majorBidi" w:hAnsiTheme="majorBidi" w:cstheme="majorBidi"/>
          <w:color w:val="000000" w:themeColor="text1"/>
          <w:sz w:val="24"/>
          <w:szCs w:val="28"/>
        </w:rPr>
        <w:t xml:space="preserve"> elucidat</w:t>
      </w:r>
      <w:r w:rsidR="00CF62E6">
        <w:rPr>
          <w:rFonts w:asciiTheme="majorBidi" w:hAnsiTheme="majorBidi" w:cstheme="majorBidi"/>
          <w:color w:val="000000" w:themeColor="text1"/>
          <w:sz w:val="24"/>
          <w:szCs w:val="28"/>
        </w:rPr>
        <w:t>e</w:t>
      </w:r>
      <w:r w:rsidR="00091BB2">
        <w:rPr>
          <w:rFonts w:asciiTheme="majorBidi" w:hAnsiTheme="majorBidi" w:cstheme="majorBidi"/>
          <w:color w:val="000000" w:themeColor="text1"/>
          <w:sz w:val="24"/>
          <w:szCs w:val="28"/>
        </w:rPr>
        <w:t xml:space="preserve"> the underlying psychology and motivations of narcissists. Th</w:t>
      </w:r>
      <w:r>
        <w:rPr>
          <w:rFonts w:asciiTheme="majorBidi" w:hAnsiTheme="majorBidi" w:cstheme="majorBidi"/>
          <w:color w:val="000000" w:themeColor="text1"/>
          <w:sz w:val="24"/>
          <w:szCs w:val="28"/>
        </w:rPr>
        <w:t>eir</w:t>
      </w:r>
      <w:r w:rsidR="00091BB2">
        <w:rPr>
          <w:rFonts w:asciiTheme="majorBidi" w:hAnsiTheme="majorBidi" w:cstheme="majorBidi"/>
          <w:color w:val="000000" w:themeColor="text1"/>
          <w:sz w:val="24"/>
          <w:szCs w:val="28"/>
        </w:rPr>
        <w:t xml:space="preserve"> model describes narcissism as a dynamic self-regulatory system comprised of four elements that interact and mutually reinforce </w:t>
      </w:r>
      <w:r>
        <w:rPr>
          <w:rFonts w:asciiTheme="majorBidi" w:hAnsiTheme="majorBidi" w:cstheme="majorBidi"/>
          <w:color w:val="000000" w:themeColor="text1"/>
          <w:sz w:val="24"/>
          <w:szCs w:val="28"/>
        </w:rPr>
        <w:t>each other</w:t>
      </w:r>
      <w:r w:rsidR="00091BB2">
        <w:rPr>
          <w:rFonts w:asciiTheme="majorBidi" w:hAnsiTheme="majorBidi" w:cstheme="majorBidi"/>
          <w:color w:val="000000" w:themeColor="text1"/>
          <w:sz w:val="24"/>
          <w:szCs w:val="28"/>
        </w:rPr>
        <w:t xml:space="preserve">. The first element is </w:t>
      </w:r>
      <w:r w:rsidR="000257C7">
        <w:rPr>
          <w:rFonts w:asciiTheme="majorBidi" w:hAnsiTheme="majorBidi" w:cstheme="majorBidi"/>
          <w:color w:val="000000" w:themeColor="text1"/>
          <w:sz w:val="24"/>
          <w:szCs w:val="28"/>
        </w:rPr>
        <w:t>conceptualizing</w:t>
      </w:r>
      <w:r w:rsidR="00091BB2">
        <w:rPr>
          <w:rFonts w:asciiTheme="majorBidi" w:hAnsiTheme="majorBidi" w:cstheme="majorBidi"/>
          <w:color w:val="000000" w:themeColor="text1"/>
          <w:sz w:val="24"/>
          <w:szCs w:val="28"/>
        </w:rPr>
        <w:t xml:space="preserve"> five fundamental qualities of the narcissistic self: agentic vs. communal concerns, approach orientation, desire for self-esteem, </w:t>
      </w:r>
      <w:r w:rsidR="00091BB2" w:rsidRPr="00A22E2C">
        <w:rPr>
          <w:rFonts w:asciiTheme="majorBidi" w:hAnsiTheme="majorBidi" w:cstheme="majorBidi"/>
          <w:color w:val="000000" w:themeColor="text1"/>
          <w:sz w:val="24"/>
          <w:szCs w:val="28"/>
        </w:rPr>
        <w:t>entitlement,</w:t>
      </w:r>
      <w:r w:rsidR="00091BB2">
        <w:rPr>
          <w:rFonts w:asciiTheme="majorBidi" w:hAnsiTheme="majorBidi" w:cstheme="majorBidi"/>
          <w:color w:val="000000" w:themeColor="text1"/>
          <w:sz w:val="24"/>
          <w:szCs w:val="28"/>
        </w:rPr>
        <w:t xml:space="preserve"> and inflated self-views. The second is the narcissists’ interpersonal styles, mainly charm and extraversion. The third is the intrapsychic self-regulation strategies of the narcissistic self, including a self-serving bias and fantasies of power. The fourth element involves the interpersonal strategies adopted by narcissists, including perceiving better-than-average effects and self-promotion (Campbell &amp; </w:t>
      </w:r>
      <w:r w:rsidR="00091BB2" w:rsidRPr="00DD47A6">
        <w:rPr>
          <w:rFonts w:asciiTheme="majorBidi" w:hAnsiTheme="majorBidi" w:cstheme="majorBidi"/>
          <w:color w:val="000000" w:themeColor="text1"/>
          <w:sz w:val="24"/>
          <w:szCs w:val="28"/>
        </w:rPr>
        <w:t>Foster</w:t>
      </w:r>
      <w:r w:rsidR="00091BB2">
        <w:rPr>
          <w:rFonts w:asciiTheme="majorBidi" w:hAnsiTheme="majorBidi" w:cstheme="majorBidi"/>
          <w:color w:val="000000" w:themeColor="text1"/>
          <w:sz w:val="24"/>
          <w:szCs w:val="28"/>
        </w:rPr>
        <w:t>, 2011). The formation of such self-</w:t>
      </w:r>
      <w:r w:rsidR="00091BB2">
        <w:rPr>
          <w:rFonts w:asciiTheme="majorBidi" w:hAnsiTheme="majorBidi" w:cstheme="majorBidi"/>
          <w:color w:val="000000" w:themeColor="text1"/>
          <w:sz w:val="24"/>
          <w:szCs w:val="28"/>
        </w:rPr>
        <w:lastRenderedPageBreak/>
        <w:t xml:space="preserve">regulatory processes reflects a narcissist’s ongoing need for external affirmation </w:t>
      </w:r>
      <w:r w:rsidR="00091BB2" w:rsidRPr="000E44C2">
        <w:rPr>
          <w:rFonts w:asciiTheme="majorBidi" w:hAnsiTheme="majorBidi" w:cstheme="majorBidi"/>
          <w:color w:val="000000" w:themeColor="text1"/>
          <w:sz w:val="24"/>
          <w:szCs w:val="28"/>
        </w:rPr>
        <w:t xml:space="preserve">(Morf </w:t>
      </w:r>
      <w:r w:rsidR="00091BB2">
        <w:rPr>
          <w:rFonts w:asciiTheme="majorBidi" w:hAnsiTheme="majorBidi" w:cstheme="majorBidi"/>
          <w:color w:val="000000" w:themeColor="text1"/>
          <w:sz w:val="24"/>
          <w:szCs w:val="28"/>
        </w:rPr>
        <w:t xml:space="preserve">&amp; </w:t>
      </w:r>
      <w:proofErr w:type="spellStart"/>
      <w:r w:rsidR="00091BB2" w:rsidRPr="000E44C2">
        <w:rPr>
          <w:rFonts w:asciiTheme="majorBidi" w:hAnsiTheme="majorBidi" w:cstheme="majorBidi"/>
          <w:color w:val="000000" w:themeColor="text1"/>
          <w:sz w:val="24"/>
          <w:szCs w:val="28"/>
        </w:rPr>
        <w:t>Rhodewalt</w:t>
      </w:r>
      <w:proofErr w:type="spellEnd"/>
      <w:r w:rsidR="00091BB2" w:rsidRPr="000E44C2">
        <w:rPr>
          <w:rFonts w:asciiTheme="majorBidi" w:hAnsiTheme="majorBidi" w:cstheme="majorBidi"/>
          <w:color w:val="000000" w:themeColor="text1"/>
          <w:sz w:val="24"/>
          <w:szCs w:val="28"/>
        </w:rPr>
        <w:t>, 2001)</w:t>
      </w:r>
      <w:r w:rsidR="00091BB2">
        <w:rPr>
          <w:rFonts w:asciiTheme="majorBidi" w:hAnsiTheme="majorBidi" w:cstheme="majorBidi"/>
          <w:color w:val="000000" w:themeColor="text1"/>
          <w:sz w:val="24"/>
          <w:szCs w:val="28"/>
        </w:rPr>
        <w:t xml:space="preserve">. </w:t>
      </w:r>
    </w:p>
    <w:p w14:paraId="313E3B4B" w14:textId="00C072D9" w:rsidR="001179BC" w:rsidRPr="008C4882" w:rsidRDefault="00091BB2" w:rsidP="00CE73BB">
      <w:pPr>
        <w:spacing w:line="480" w:lineRule="auto"/>
        <w:ind w:left="227" w:firstLine="437"/>
        <w:rPr>
          <w:rFonts w:ascii="Times New Roman" w:hAnsi="Times New Roman" w:cs="Times New Roman"/>
          <w:sz w:val="24"/>
          <w:szCs w:val="24"/>
        </w:rPr>
      </w:pPr>
      <w:r>
        <w:rPr>
          <w:rFonts w:asciiTheme="majorBidi" w:hAnsiTheme="majorBidi" w:cstheme="majorBidi"/>
          <w:color w:val="000000" w:themeColor="text1"/>
          <w:sz w:val="24"/>
          <w:szCs w:val="28"/>
        </w:rPr>
        <w:t xml:space="preserve">In the context of our study, we </w:t>
      </w:r>
      <w:r w:rsidR="000257C7">
        <w:rPr>
          <w:rFonts w:asciiTheme="majorBidi" w:hAnsiTheme="majorBidi" w:cstheme="majorBidi"/>
          <w:color w:val="000000" w:themeColor="text1"/>
          <w:sz w:val="24"/>
          <w:szCs w:val="28"/>
        </w:rPr>
        <w:t>hypothesize</w:t>
      </w:r>
      <w:r>
        <w:rPr>
          <w:rFonts w:asciiTheme="majorBidi" w:hAnsiTheme="majorBidi" w:cstheme="majorBidi"/>
          <w:color w:val="000000" w:themeColor="text1"/>
          <w:sz w:val="24"/>
          <w:szCs w:val="28"/>
        </w:rPr>
        <w:t xml:space="preserve"> that the self-regulatory system of narcissistic AC chairs may significantly influence their monitoring behavior. This influence may be reflected in their capability to address critical accounting matters, such as reporting non-recurring items, engag</w:t>
      </w:r>
      <w:r w:rsidR="00C161D5">
        <w:rPr>
          <w:rFonts w:asciiTheme="majorBidi" w:hAnsiTheme="majorBidi" w:cstheme="majorBidi"/>
          <w:color w:val="000000" w:themeColor="text1"/>
          <w:sz w:val="24"/>
          <w:szCs w:val="28"/>
        </w:rPr>
        <w:t>e</w:t>
      </w:r>
      <w:r>
        <w:rPr>
          <w:rFonts w:asciiTheme="majorBidi" w:hAnsiTheme="majorBidi" w:cstheme="majorBidi"/>
          <w:color w:val="000000" w:themeColor="text1"/>
          <w:sz w:val="24"/>
          <w:szCs w:val="28"/>
        </w:rPr>
        <w:t xml:space="preserve"> with other AC members in formal and informal </w:t>
      </w:r>
      <w:r w:rsidRPr="00A22E2C">
        <w:rPr>
          <w:rFonts w:asciiTheme="majorBidi" w:hAnsiTheme="majorBidi" w:cstheme="majorBidi"/>
          <w:color w:val="000000" w:themeColor="text1"/>
          <w:sz w:val="24"/>
          <w:szCs w:val="28"/>
        </w:rPr>
        <w:t>meetings,</w:t>
      </w:r>
      <w:r>
        <w:rPr>
          <w:rFonts w:asciiTheme="majorBidi" w:hAnsiTheme="majorBidi" w:cstheme="majorBidi"/>
          <w:color w:val="000000" w:themeColor="text1"/>
          <w:sz w:val="24"/>
          <w:szCs w:val="28"/>
        </w:rPr>
        <w:t xml:space="preserve"> and effectively challeng</w:t>
      </w:r>
      <w:r w:rsidR="00C161D5">
        <w:rPr>
          <w:rFonts w:asciiTheme="majorBidi" w:hAnsiTheme="majorBidi" w:cstheme="majorBidi"/>
          <w:color w:val="000000" w:themeColor="text1"/>
          <w:sz w:val="24"/>
          <w:szCs w:val="28"/>
        </w:rPr>
        <w:t>e</w:t>
      </w:r>
      <w:r>
        <w:rPr>
          <w:rFonts w:asciiTheme="majorBidi" w:hAnsiTheme="majorBidi" w:cstheme="majorBidi"/>
          <w:color w:val="000000" w:themeColor="text1"/>
          <w:sz w:val="24"/>
          <w:szCs w:val="28"/>
        </w:rPr>
        <w:t xml:space="preserve"> executive directors. The effects of such influence on the quality of </w:t>
      </w:r>
      <w:r w:rsidR="00764820">
        <w:rPr>
          <w:rFonts w:asciiTheme="majorBidi" w:hAnsiTheme="majorBidi" w:cstheme="majorBidi"/>
          <w:color w:val="000000" w:themeColor="text1"/>
          <w:sz w:val="24"/>
          <w:szCs w:val="28"/>
        </w:rPr>
        <w:t>n</w:t>
      </w:r>
      <w:r>
        <w:rPr>
          <w:rFonts w:asciiTheme="majorBidi" w:hAnsiTheme="majorBidi" w:cstheme="majorBidi"/>
          <w:color w:val="000000" w:themeColor="text1"/>
          <w:sz w:val="24"/>
          <w:szCs w:val="28"/>
        </w:rPr>
        <w:t xml:space="preserve">on-GAAP earnings disclosure may be positive or negative, as we further articulate </w:t>
      </w:r>
      <w:r w:rsidR="0027444F">
        <w:rPr>
          <w:rFonts w:asciiTheme="majorBidi" w:hAnsiTheme="majorBidi" w:cstheme="majorBidi"/>
          <w:color w:val="000000" w:themeColor="text1"/>
          <w:sz w:val="24"/>
          <w:szCs w:val="28"/>
        </w:rPr>
        <w:t>in subsequent sections</w:t>
      </w:r>
      <w:r>
        <w:rPr>
          <w:rFonts w:asciiTheme="majorBidi" w:hAnsiTheme="majorBidi" w:cstheme="majorBidi"/>
          <w:color w:val="000000" w:themeColor="text1"/>
          <w:sz w:val="24"/>
          <w:szCs w:val="28"/>
        </w:rPr>
        <w:t xml:space="preserve">. </w:t>
      </w:r>
    </w:p>
    <w:p w14:paraId="26FAD666" w14:textId="5AF439AA" w:rsidR="00F453BF" w:rsidRDefault="00091BB2">
      <w:pPr>
        <w:pStyle w:val="Heading1"/>
        <w:rPr>
          <w:rFonts w:asciiTheme="majorBidi" w:hAnsiTheme="majorBidi"/>
          <w:b/>
          <w:bCs/>
          <w:color w:val="000000" w:themeColor="text1"/>
        </w:rPr>
      </w:pPr>
      <w:r>
        <w:rPr>
          <w:rFonts w:asciiTheme="majorBidi" w:hAnsiTheme="majorBidi"/>
          <w:b/>
          <w:bCs/>
          <w:color w:val="000000" w:themeColor="text1"/>
        </w:rPr>
        <w:t>4</w:t>
      </w:r>
      <w:r w:rsidR="002934C7" w:rsidRPr="002934C7">
        <w:rPr>
          <w:rFonts w:asciiTheme="majorBidi" w:hAnsiTheme="majorBidi"/>
          <w:b/>
          <w:bCs/>
          <w:color w:val="000000" w:themeColor="text1"/>
        </w:rPr>
        <w:t>.</w:t>
      </w:r>
      <w:r w:rsidR="004E0DDE" w:rsidRPr="002934C7">
        <w:rPr>
          <w:rFonts w:asciiTheme="majorBidi" w:hAnsiTheme="majorBidi"/>
          <w:b/>
          <w:bCs/>
          <w:color w:val="000000" w:themeColor="text1"/>
        </w:rPr>
        <w:t xml:space="preserve"> </w:t>
      </w:r>
      <w:r w:rsidR="00BA7943">
        <w:rPr>
          <w:rFonts w:asciiTheme="majorBidi" w:hAnsiTheme="majorBidi"/>
          <w:b/>
          <w:bCs/>
          <w:color w:val="000000" w:themeColor="text1"/>
        </w:rPr>
        <w:t>Literature review and h</w:t>
      </w:r>
      <w:r w:rsidR="00F62309" w:rsidRPr="00F62309">
        <w:rPr>
          <w:rFonts w:asciiTheme="majorBidi" w:hAnsiTheme="majorBidi"/>
          <w:b/>
          <w:bCs/>
          <w:color w:val="000000" w:themeColor="text1"/>
        </w:rPr>
        <w:t>ypothesis development</w:t>
      </w:r>
    </w:p>
    <w:p w14:paraId="582E9B0B" w14:textId="77777777" w:rsidR="002528F2" w:rsidRPr="002528F2" w:rsidRDefault="002528F2" w:rsidP="0087365D"/>
    <w:p w14:paraId="4EB2D9F2" w14:textId="0B7D8DB4" w:rsidR="004844C1" w:rsidRPr="00CE73BB" w:rsidRDefault="00091BB2" w:rsidP="00CE73BB">
      <w:pPr>
        <w:pStyle w:val="Heading2"/>
        <w:spacing w:line="480" w:lineRule="auto"/>
        <w:rPr>
          <w:rFonts w:ascii="Times New Roman" w:hAnsi="Times New Roman" w:cs="Times New Roman"/>
          <w:i/>
          <w:iCs/>
          <w:color w:val="auto"/>
          <w:sz w:val="28"/>
          <w:szCs w:val="28"/>
        </w:rPr>
      </w:pPr>
      <w:r>
        <w:rPr>
          <w:rFonts w:ascii="Times New Roman" w:hAnsi="Times New Roman" w:cs="Times New Roman"/>
          <w:i/>
          <w:iCs/>
          <w:color w:val="auto"/>
          <w:sz w:val="28"/>
          <w:szCs w:val="28"/>
        </w:rPr>
        <w:t>4</w:t>
      </w:r>
      <w:r w:rsidR="00364B78">
        <w:rPr>
          <w:rFonts w:ascii="Times New Roman" w:hAnsi="Times New Roman" w:cs="Times New Roman"/>
          <w:i/>
          <w:iCs/>
          <w:color w:val="auto"/>
          <w:sz w:val="28"/>
          <w:szCs w:val="28"/>
        </w:rPr>
        <w:t xml:space="preserve">.1 </w:t>
      </w:r>
      <w:r w:rsidR="00F453BF">
        <w:rPr>
          <w:rFonts w:ascii="Times New Roman" w:hAnsi="Times New Roman" w:cs="Times New Roman"/>
          <w:i/>
          <w:iCs/>
          <w:color w:val="auto"/>
          <w:sz w:val="28"/>
          <w:szCs w:val="28"/>
        </w:rPr>
        <w:t xml:space="preserve">Motives </w:t>
      </w:r>
      <w:r w:rsidR="0066519D">
        <w:rPr>
          <w:rFonts w:ascii="Times New Roman" w:hAnsi="Times New Roman" w:cs="Times New Roman"/>
          <w:i/>
          <w:iCs/>
          <w:color w:val="auto"/>
          <w:sz w:val="28"/>
          <w:szCs w:val="28"/>
        </w:rPr>
        <w:t xml:space="preserve">for </w:t>
      </w:r>
      <w:r w:rsidR="00301EE9" w:rsidRPr="00BB02FF">
        <w:rPr>
          <w:rFonts w:ascii="Times New Roman" w:hAnsi="Times New Roman" w:cs="Times New Roman"/>
          <w:i/>
          <w:iCs/>
          <w:color w:val="auto"/>
          <w:sz w:val="28"/>
          <w:szCs w:val="28"/>
        </w:rPr>
        <w:t>non-</w:t>
      </w:r>
      <w:r w:rsidR="00B67B04" w:rsidRPr="00BB02FF">
        <w:rPr>
          <w:rFonts w:ascii="Times New Roman" w:hAnsi="Times New Roman" w:cs="Times New Roman"/>
          <w:i/>
          <w:iCs/>
          <w:color w:val="auto"/>
          <w:sz w:val="28"/>
          <w:szCs w:val="28"/>
        </w:rPr>
        <w:t>GAAP</w:t>
      </w:r>
      <w:r w:rsidR="00301EE9" w:rsidRPr="00BB02FF">
        <w:rPr>
          <w:rFonts w:ascii="Times New Roman" w:hAnsi="Times New Roman" w:cs="Times New Roman"/>
          <w:i/>
          <w:iCs/>
          <w:color w:val="auto"/>
          <w:sz w:val="28"/>
          <w:szCs w:val="28"/>
        </w:rPr>
        <w:t xml:space="preserve"> earnings</w:t>
      </w:r>
      <w:r w:rsidR="00F453BF">
        <w:rPr>
          <w:rFonts w:ascii="Times New Roman" w:hAnsi="Times New Roman" w:cs="Times New Roman"/>
          <w:i/>
          <w:iCs/>
          <w:color w:val="auto"/>
          <w:sz w:val="28"/>
          <w:szCs w:val="28"/>
        </w:rPr>
        <w:t xml:space="preserve"> disclosure and the role of AC </w:t>
      </w:r>
      <w:r w:rsidR="0066519D">
        <w:rPr>
          <w:rFonts w:ascii="Times New Roman" w:hAnsi="Times New Roman" w:cs="Times New Roman"/>
          <w:i/>
          <w:iCs/>
          <w:color w:val="auto"/>
          <w:sz w:val="28"/>
          <w:szCs w:val="28"/>
        </w:rPr>
        <w:t>c</w:t>
      </w:r>
      <w:r w:rsidR="00F453BF">
        <w:rPr>
          <w:rFonts w:ascii="Times New Roman" w:hAnsi="Times New Roman" w:cs="Times New Roman"/>
          <w:i/>
          <w:iCs/>
          <w:color w:val="auto"/>
          <w:sz w:val="28"/>
          <w:szCs w:val="28"/>
        </w:rPr>
        <w:t>hairs</w:t>
      </w:r>
    </w:p>
    <w:p w14:paraId="06F3A3C6" w14:textId="15277A35" w:rsidR="004B27FC" w:rsidRDefault="00F453BF" w:rsidP="0072215C">
      <w:pPr>
        <w:spacing w:line="480" w:lineRule="auto"/>
        <w:ind w:left="284" w:firstLine="420"/>
        <w:rPr>
          <w:rFonts w:ascii="Times New Roman" w:hAnsi="Times New Roman" w:cs="Times New Roman"/>
          <w:sz w:val="24"/>
          <w:szCs w:val="24"/>
        </w:rPr>
      </w:pPr>
      <w:r>
        <w:rPr>
          <w:rFonts w:ascii="Times New Roman" w:hAnsi="Times New Roman" w:cs="Times New Roman"/>
          <w:sz w:val="24"/>
          <w:szCs w:val="24"/>
        </w:rPr>
        <w:t>F</w:t>
      </w:r>
      <w:r w:rsidR="00BB02FF" w:rsidRPr="00BB02FF">
        <w:rPr>
          <w:rFonts w:ascii="Times New Roman" w:hAnsi="Times New Roman" w:cs="Times New Roman"/>
          <w:sz w:val="24"/>
          <w:szCs w:val="24"/>
        </w:rPr>
        <w:t xml:space="preserve">irm management </w:t>
      </w:r>
      <w:r>
        <w:rPr>
          <w:rFonts w:ascii="Times New Roman" w:hAnsi="Times New Roman" w:cs="Times New Roman"/>
          <w:sz w:val="24"/>
          <w:szCs w:val="24"/>
        </w:rPr>
        <w:t xml:space="preserve">often </w:t>
      </w:r>
      <w:r w:rsidR="00BB02FF" w:rsidRPr="00BB02FF">
        <w:rPr>
          <w:rFonts w:ascii="Times New Roman" w:hAnsi="Times New Roman" w:cs="Times New Roman"/>
          <w:sz w:val="24"/>
          <w:szCs w:val="24"/>
        </w:rPr>
        <w:t>proactively reports and stresses non-</w:t>
      </w:r>
      <w:r w:rsidR="006520AD">
        <w:rPr>
          <w:rFonts w:ascii="Times New Roman" w:hAnsi="Times New Roman" w:cs="Times New Roman"/>
          <w:sz w:val="24"/>
          <w:szCs w:val="24"/>
        </w:rPr>
        <w:t>IFRS</w:t>
      </w:r>
      <w:r w:rsidR="006520AD" w:rsidRPr="00BB02FF">
        <w:rPr>
          <w:rFonts w:ascii="Times New Roman" w:hAnsi="Times New Roman" w:cs="Times New Roman"/>
          <w:sz w:val="24"/>
          <w:szCs w:val="24"/>
        </w:rPr>
        <w:t xml:space="preserve"> </w:t>
      </w:r>
      <w:r w:rsidR="00BB02FF" w:rsidRPr="00BB02FF">
        <w:rPr>
          <w:rFonts w:ascii="Times New Roman" w:hAnsi="Times New Roman" w:cs="Times New Roman"/>
          <w:sz w:val="24"/>
          <w:szCs w:val="24"/>
        </w:rPr>
        <w:t xml:space="preserve">earnings figures in media releases. While this phenomenon might </w:t>
      </w:r>
      <w:r w:rsidR="00921E4C">
        <w:rPr>
          <w:rFonts w:ascii="Times New Roman" w:hAnsi="Times New Roman" w:cs="Times New Roman"/>
          <w:sz w:val="24"/>
          <w:szCs w:val="24"/>
        </w:rPr>
        <w:t>stem from</w:t>
      </w:r>
      <w:r w:rsidR="00BB02FF" w:rsidRPr="00BB02FF">
        <w:rPr>
          <w:rFonts w:ascii="Times New Roman" w:hAnsi="Times New Roman" w:cs="Times New Roman"/>
          <w:sz w:val="24"/>
          <w:szCs w:val="24"/>
        </w:rPr>
        <w:t xml:space="preserve"> </w:t>
      </w:r>
      <w:r w:rsidR="00593112">
        <w:rPr>
          <w:rFonts w:ascii="Times New Roman" w:hAnsi="Times New Roman" w:cs="Times New Roman"/>
          <w:sz w:val="24"/>
          <w:szCs w:val="24"/>
        </w:rPr>
        <w:t xml:space="preserve">managers’ </w:t>
      </w:r>
      <w:r w:rsidR="00921E4C">
        <w:rPr>
          <w:rFonts w:ascii="Times New Roman" w:hAnsi="Times New Roman" w:cs="Times New Roman"/>
          <w:sz w:val="24"/>
          <w:szCs w:val="24"/>
        </w:rPr>
        <w:t>efforts</w:t>
      </w:r>
      <w:r w:rsidR="00921E4C" w:rsidRPr="00BB02FF">
        <w:rPr>
          <w:rFonts w:ascii="Times New Roman" w:hAnsi="Times New Roman" w:cs="Times New Roman"/>
          <w:sz w:val="24"/>
          <w:szCs w:val="24"/>
        </w:rPr>
        <w:t xml:space="preserve"> </w:t>
      </w:r>
      <w:r w:rsidR="00BB02FF" w:rsidRPr="00BB02FF">
        <w:rPr>
          <w:rFonts w:ascii="Times New Roman" w:hAnsi="Times New Roman" w:cs="Times New Roman"/>
          <w:sz w:val="24"/>
          <w:szCs w:val="24"/>
        </w:rPr>
        <w:t xml:space="preserve">to </w:t>
      </w:r>
      <w:r w:rsidR="00921E4C">
        <w:rPr>
          <w:rFonts w:ascii="Times New Roman" w:hAnsi="Times New Roman" w:cs="Times New Roman"/>
          <w:sz w:val="24"/>
          <w:szCs w:val="24"/>
        </w:rPr>
        <w:t>present</w:t>
      </w:r>
      <w:r w:rsidR="00921E4C" w:rsidRPr="00BB02FF">
        <w:rPr>
          <w:rFonts w:ascii="Times New Roman" w:hAnsi="Times New Roman" w:cs="Times New Roman"/>
          <w:sz w:val="24"/>
          <w:szCs w:val="24"/>
        </w:rPr>
        <w:t xml:space="preserve"> </w:t>
      </w:r>
      <w:r w:rsidR="00BB02FF" w:rsidRPr="00BB02FF">
        <w:rPr>
          <w:rFonts w:ascii="Times New Roman" w:hAnsi="Times New Roman" w:cs="Times New Roman"/>
          <w:sz w:val="24"/>
          <w:szCs w:val="24"/>
        </w:rPr>
        <w:t>earnings number</w:t>
      </w:r>
      <w:r w:rsidR="004844C1">
        <w:rPr>
          <w:rFonts w:ascii="Times New Roman" w:hAnsi="Times New Roman" w:cs="Times New Roman"/>
          <w:sz w:val="24"/>
          <w:szCs w:val="24"/>
        </w:rPr>
        <w:t>s</w:t>
      </w:r>
      <w:r w:rsidR="00BB02FF" w:rsidRPr="00BB02FF">
        <w:rPr>
          <w:rFonts w:ascii="Times New Roman" w:hAnsi="Times New Roman" w:cs="Times New Roman"/>
          <w:sz w:val="24"/>
          <w:szCs w:val="24"/>
        </w:rPr>
        <w:t xml:space="preserve"> </w:t>
      </w:r>
      <w:r w:rsidR="00921E4C">
        <w:rPr>
          <w:rFonts w:ascii="Times New Roman" w:hAnsi="Times New Roman" w:cs="Times New Roman"/>
          <w:sz w:val="24"/>
          <w:szCs w:val="24"/>
        </w:rPr>
        <w:t xml:space="preserve">more </w:t>
      </w:r>
      <w:r w:rsidR="00BB02FF" w:rsidRPr="00BB02FF">
        <w:rPr>
          <w:rFonts w:ascii="Times New Roman" w:hAnsi="Times New Roman" w:cs="Times New Roman"/>
          <w:sz w:val="24"/>
          <w:szCs w:val="24"/>
        </w:rPr>
        <w:t>accurat</w:t>
      </w:r>
      <w:r w:rsidR="00921E4C">
        <w:rPr>
          <w:rFonts w:ascii="Times New Roman" w:hAnsi="Times New Roman" w:cs="Times New Roman"/>
          <w:sz w:val="24"/>
          <w:szCs w:val="24"/>
        </w:rPr>
        <w:t>ely</w:t>
      </w:r>
      <w:r w:rsidR="00BB02FF" w:rsidRPr="00BB02FF">
        <w:rPr>
          <w:rFonts w:ascii="Times New Roman" w:hAnsi="Times New Roman" w:cs="Times New Roman"/>
          <w:sz w:val="24"/>
          <w:szCs w:val="24"/>
        </w:rPr>
        <w:t xml:space="preserve"> and </w:t>
      </w:r>
      <w:r w:rsidR="00921E4C">
        <w:rPr>
          <w:rFonts w:ascii="Times New Roman" w:hAnsi="Times New Roman" w:cs="Times New Roman"/>
          <w:sz w:val="24"/>
          <w:szCs w:val="24"/>
        </w:rPr>
        <w:t>reflect</w:t>
      </w:r>
      <w:r w:rsidR="00BB02FF" w:rsidRPr="00BB02FF">
        <w:rPr>
          <w:rFonts w:ascii="Times New Roman" w:hAnsi="Times New Roman" w:cs="Times New Roman"/>
          <w:sz w:val="24"/>
          <w:szCs w:val="24"/>
        </w:rPr>
        <w:t xml:space="preserve"> their firms’ core earnings, some </w:t>
      </w:r>
      <w:r w:rsidR="00921E4C">
        <w:rPr>
          <w:rFonts w:ascii="Times New Roman" w:hAnsi="Times New Roman" w:cs="Times New Roman"/>
          <w:sz w:val="24"/>
          <w:szCs w:val="24"/>
        </w:rPr>
        <w:t>may</w:t>
      </w:r>
      <w:r w:rsidR="00921E4C" w:rsidRPr="00BB02FF">
        <w:rPr>
          <w:rFonts w:ascii="Times New Roman" w:hAnsi="Times New Roman" w:cs="Times New Roman"/>
          <w:sz w:val="24"/>
          <w:szCs w:val="24"/>
        </w:rPr>
        <w:t xml:space="preserve"> </w:t>
      </w:r>
      <w:r w:rsidR="00593112">
        <w:rPr>
          <w:rFonts w:ascii="Times New Roman" w:hAnsi="Times New Roman" w:cs="Times New Roman"/>
          <w:sz w:val="24"/>
          <w:szCs w:val="24"/>
        </w:rPr>
        <w:t>mis</w:t>
      </w:r>
      <w:r w:rsidR="00921E4C">
        <w:rPr>
          <w:rFonts w:ascii="Times New Roman" w:hAnsi="Times New Roman" w:cs="Times New Roman"/>
          <w:sz w:val="24"/>
          <w:szCs w:val="24"/>
        </w:rPr>
        <w:t>classify</w:t>
      </w:r>
      <w:r w:rsidR="00921E4C" w:rsidRPr="00BB02FF">
        <w:rPr>
          <w:rFonts w:ascii="Times New Roman" w:hAnsi="Times New Roman" w:cs="Times New Roman"/>
          <w:sz w:val="24"/>
          <w:szCs w:val="24"/>
        </w:rPr>
        <w:t xml:space="preserve"> </w:t>
      </w:r>
      <w:r w:rsidR="00BB02FF" w:rsidRPr="00BB02FF">
        <w:rPr>
          <w:rFonts w:ascii="Times New Roman" w:hAnsi="Times New Roman" w:cs="Times New Roman"/>
          <w:sz w:val="24"/>
          <w:szCs w:val="24"/>
        </w:rPr>
        <w:t>recurring items</w:t>
      </w:r>
      <w:r w:rsidR="00921E4C">
        <w:rPr>
          <w:rFonts w:ascii="Times New Roman" w:hAnsi="Times New Roman" w:cs="Times New Roman"/>
          <w:sz w:val="24"/>
          <w:szCs w:val="24"/>
        </w:rPr>
        <w:t xml:space="preserve"> </w:t>
      </w:r>
      <w:r w:rsidR="00BB02FF" w:rsidRPr="00BB02FF">
        <w:rPr>
          <w:rFonts w:ascii="Times New Roman" w:hAnsi="Times New Roman" w:cs="Times New Roman"/>
          <w:sz w:val="24"/>
          <w:szCs w:val="24"/>
        </w:rPr>
        <w:t>as non-recurring to mislead investors about their underlying performance (</w:t>
      </w:r>
      <w:r w:rsidR="00247581">
        <w:rPr>
          <w:rFonts w:ascii="Times New Roman" w:hAnsi="Times New Roman" w:cs="Times New Roman"/>
          <w:sz w:val="24"/>
          <w:szCs w:val="24"/>
        </w:rPr>
        <w:t xml:space="preserve">e.g., </w:t>
      </w:r>
      <w:r w:rsidR="00BB02FF" w:rsidRPr="00BB02FF">
        <w:rPr>
          <w:rFonts w:ascii="Times New Roman" w:hAnsi="Times New Roman" w:cs="Times New Roman"/>
          <w:sz w:val="24"/>
          <w:szCs w:val="24"/>
        </w:rPr>
        <w:t xml:space="preserve">Bradshaw </w:t>
      </w:r>
      <w:r w:rsidR="00466B98">
        <w:rPr>
          <w:rFonts w:ascii="Times New Roman" w:hAnsi="Times New Roman" w:cs="Times New Roman"/>
          <w:sz w:val="24"/>
          <w:szCs w:val="24"/>
        </w:rPr>
        <w:t>&amp;</w:t>
      </w:r>
      <w:r w:rsidR="00466B98" w:rsidRPr="00BB02FF">
        <w:rPr>
          <w:rFonts w:ascii="Times New Roman" w:hAnsi="Times New Roman" w:cs="Times New Roman"/>
          <w:sz w:val="24"/>
          <w:szCs w:val="24"/>
        </w:rPr>
        <w:t xml:space="preserve"> </w:t>
      </w:r>
      <w:r w:rsidR="00BB02FF" w:rsidRPr="00BB02FF">
        <w:rPr>
          <w:rFonts w:ascii="Times New Roman" w:hAnsi="Times New Roman" w:cs="Times New Roman"/>
          <w:sz w:val="24"/>
          <w:szCs w:val="24"/>
        </w:rPr>
        <w:t>Sloan</w:t>
      </w:r>
      <w:r w:rsidR="00466B98">
        <w:rPr>
          <w:rFonts w:ascii="Times New Roman" w:hAnsi="Times New Roman" w:cs="Times New Roman"/>
          <w:sz w:val="24"/>
          <w:szCs w:val="24"/>
        </w:rPr>
        <w:t>,</w:t>
      </w:r>
      <w:r w:rsidR="00BB02FF" w:rsidRPr="00BB02FF">
        <w:rPr>
          <w:rFonts w:ascii="Times New Roman" w:hAnsi="Times New Roman" w:cs="Times New Roman"/>
          <w:sz w:val="24"/>
          <w:szCs w:val="24"/>
        </w:rPr>
        <w:t xml:space="preserve"> 2002</w:t>
      </w:r>
      <w:r w:rsidR="00B42DA4">
        <w:rPr>
          <w:rFonts w:ascii="Times New Roman" w:hAnsi="Times New Roman" w:cs="Times New Roman"/>
          <w:sz w:val="24"/>
          <w:szCs w:val="24"/>
        </w:rPr>
        <w:t xml:space="preserve">; </w:t>
      </w:r>
      <w:r w:rsidR="00B42DA4" w:rsidRPr="00B42DA4">
        <w:rPr>
          <w:rFonts w:ascii="Times New Roman" w:hAnsi="Times New Roman" w:cs="Times New Roman"/>
          <w:sz w:val="24"/>
          <w:szCs w:val="24"/>
        </w:rPr>
        <w:t>Hsu</w:t>
      </w:r>
      <w:r w:rsidR="00B42DA4">
        <w:rPr>
          <w:rFonts w:ascii="Times New Roman" w:hAnsi="Times New Roman" w:cs="Times New Roman"/>
          <w:sz w:val="24"/>
          <w:szCs w:val="24"/>
        </w:rPr>
        <w:t xml:space="preserve"> et al., 2022</w:t>
      </w:r>
      <w:r w:rsidR="00BB02FF" w:rsidRPr="00BB02FF">
        <w:rPr>
          <w:rFonts w:ascii="Times New Roman" w:hAnsi="Times New Roman" w:cs="Times New Roman"/>
          <w:sz w:val="24"/>
          <w:szCs w:val="24"/>
        </w:rPr>
        <w:t xml:space="preserve">). </w:t>
      </w:r>
      <w:r w:rsidR="003C25AD">
        <w:rPr>
          <w:rFonts w:ascii="Times New Roman" w:hAnsi="Times New Roman" w:cs="Times New Roman"/>
          <w:sz w:val="24"/>
          <w:szCs w:val="24"/>
        </w:rPr>
        <w:t>B</w:t>
      </w:r>
      <w:r w:rsidR="00BB02FF" w:rsidRPr="00BB02FF">
        <w:rPr>
          <w:rFonts w:ascii="Times New Roman" w:hAnsi="Times New Roman" w:cs="Times New Roman"/>
          <w:sz w:val="24"/>
          <w:szCs w:val="24"/>
        </w:rPr>
        <w:t>oth motivations</w:t>
      </w:r>
      <w:r w:rsidR="003C25AD">
        <w:rPr>
          <w:rFonts w:ascii="Times New Roman" w:hAnsi="Times New Roman" w:cs="Times New Roman"/>
          <w:sz w:val="24"/>
          <w:szCs w:val="24"/>
        </w:rPr>
        <w:t xml:space="preserve"> have received some empirical support</w:t>
      </w:r>
      <w:r w:rsidR="00BB02FF" w:rsidRPr="00BB02FF">
        <w:rPr>
          <w:rFonts w:ascii="Times New Roman" w:hAnsi="Times New Roman" w:cs="Times New Roman"/>
          <w:sz w:val="24"/>
          <w:szCs w:val="24"/>
        </w:rPr>
        <w:t xml:space="preserve">. </w:t>
      </w:r>
      <w:r w:rsidR="003C25AD">
        <w:rPr>
          <w:rFonts w:ascii="Times New Roman" w:hAnsi="Times New Roman" w:cs="Times New Roman"/>
          <w:sz w:val="24"/>
          <w:szCs w:val="24"/>
        </w:rPr>
        <w:t xml:space="preserve">On </w:t>
      </w:r>
      <w:r w:rsidR="00466B98">
        <w:rPr>
          <w:rFonts w:ascii="Times New Roman" w:hAnsi="Times New Roman" w:cs="Times New Roman"/>
          <w:sz w:val="24"/>
          <w:szCs w:val="24"/>
        </w:rPr>
        <w:t xml:space="preserve">the </w:t>
      </w:r>
      <w:r w:rsidR="003C25AD">
        <w:rPr>
          <w:rFonts w:ascii="Times New Roman" w:hAnsi="Times New Roman" w:cs="Times New Roman"/>
          <w:sz w:val="24"/>
          <w:szCs w:val="24"/>
        </w:rPr>
        <w:t xml:space="preserve">one hand, studies </w:t>
      </w:r>
      <w:r w:rsidR="00BB02FF" w:rsidRPr="00BB02FF">
        <w:rPr>
          <w:rFonts w:ascii="Times New Roman" w:hAnsi="Times New Roman" w:cs="Times New Roman"/>
          <w:sz w:val="24"/>
          <w:szCs w:val="24"/>
        </w:rPr>
        <w:t xml:space="preserve">show that firms disclose non-GAAP earnings </w:t>
      </w:r>
      <w:r w:rsidR="003C25AD" w:rsidRPr="00BB02FF">
        <w:rPr>
          <w:rFonts w:ascii="Times New Roman" w:hAnsi="Times New Roman" w:cs="Times New Roman"/>
          <w:sz w:val="24"/>
          <w:szCs w:val="24"/>
        </w:rPr>
        <w:t>to help investors better assess their operating performance</w:t>
      </w:r>
      <w:r w:rsidR="003C25AD" w:rsidRPr="003C25AD">
        <w:rPr>
          <w:rFonts w:ascii="Times New Roman" w:hAnsi="Times New Roman" w:cs="Times New Roman"/>
          <w:sz w:val="24"/>
          <w:szCs w:val="24"/>
        </w:rPr>
        <w:t xml:space="preserve"> </w:t>
      </w:r>
      <w:r w:rsidR="003C25AD">
        <w:rPr>
          <w:rFonts w:ascii="Times New Roman" w:hAnsi="Times New Roman" w:cs="Times New Roman"/>
          <w:sz w:val="24"/>
          <w:szCs w:val="24"/>
        </w:rPr>
        <w:t>(</w:t>
      </w:r>
      <w:r w:rsidR="003C25AD" w:rsidRPr="00BB02FF">
        <w:rPr>
          <w:rFonts w:ascii="Times New Roman" w:hAnsi="Times New Roman" w:cs="Times New Roman"/>
          <w:sz w:val="24"/>
          <w:szCs w:val="24"/>
        </w:rPr>
        <w:t>McVay</w:t>
      </w:r>
      <w:r w:rsidR="0046188A">
        <w:rPr>
          <w:rFonts w:ascii="Times New Roman" w:hAnsi="Times New Roman" w:cs="Times New Roman"/>
          <w:sz w:val="24"/>
          <w:szCs w:val="24"/>
        </w:rPr>
        <w:t xml:space="preserve">, </w:t>
      </w:r>
      <w:r w:rsidR="0046188A" w:rsidRPr="0046188A">
        <w:rPr>
          <w:rFonts w:ascii="Times New Roman" w:hAnsi="Times New Roman" w:cs="Times New Roman"/>
          <w:sz w:val="24"/>
          <w:szCs w:val="24"/>
        </w:rPr>
        <w:t>Curtis</w:t>
      </w:r>
      <w:r w:rsidR="0046188A">
        <w:rPr>
          <w:rFonts w:ascii="Times New Roman" w:hAnsi="Times New Roman" w:cs="Times New Roman"/>
          <w:sz w:val="24"/>
          <w:szCs w:val="24"/>
        </w:rPr>
        <w:t xml:space="preserve">, &amp; </w:t>
      </w:r>
      <w:r w:rsidR="0046188A" w:rsidRPr="0046188A">
        <w:rPr>
          <w:rFonts w:ascii="Times New Roman" w:hAnsi="Times New Roman" w:cs="Times New Roman"/>
          <w:sz w:val="24"/>
          <w:szCs w:val="24"/>
        </w:rPr>
        <w:t>Whipple</w:t>
      </w:r>
      <w:r w:rsidR="003C25AD">
        <w:rPr>
          <w:rFonts w:ascii="Times New Roman" w:hAnsi="Times New Roman" w:cs="Times New Roman"/>
          <w:sz w:val="24"/>
          <w:szCs w:val="24"/>
        </w:rPr>
        <w:t xml:space="preserve">, </w:t>
      </w:r>
      <w:r w:rsidR="003C25AD" w:rsidRPr="00BB02FF">
        <w:rPr>
          <w:rFonts w:ascii="Times New Roman" w:hAnsi="Times New Roman" w:cs="Times New Roman"/>
          <w:sz w:val="24"/>
          <w:szCs w:val="24"/>
        </w:rPr>
        <w:t>2014)</w:t>
      </w:r>
      <w:r w:rsidR="003C25AD">
        <w:rPr>
          <w:rFonts w:ascii="Times New Roman" w:hAnsi="Times New Roman" w:cs="Times New Roman"/>
          <w:sz w:val="24"/>
          <w:szCs w:val="24"/>
        </w:rPr>
        <w:t xml:space="preserve">, or </w:t>
      </w:r>
      <w:r w:rsidR="00BB02FF" w:rsidRPr="00BB02FF">
        <w:rPr>
          <w:rFonts w:ascii="Times New Roman" w:hAnsi="Times New Roman" w:cs="Times New Roman"/>
          <w:sz w:val="24"/>
          <w:szCs w:val="24"/>
        </w:rPr>
        <w:t>when GAAP earnings is relatively uninformative</w:t>
      </w:r>
      <w:r w:rsidR="006520AD">
        <w:rPr>
          <w:rFonts w:ascii="Times New Roman" w:hAnsi="Times New Roman" w:cs="Times New Roman"/>
          <w:sz w:val="24"/>
          <w:szCs w:val="24"/>
        </w:rPr>
        <w:t xml:space="preserve"> </w:t>
      </w:r>
      <w:r w:rsidR="003C25AD">
        <w:rPr>
          <w:rFonts w:ascii="Times New Roman" w:hAnsi="Times New Roman" w:cs="Times New Roman"/>
          <w:sz w:val="24"/>
          <w:szCs w:val="24"/>
        </w:rPr>
        <w:t>(e.g.</w:t>
      </w:r>
      <w:r w:rsidR="00466B98">
        <w:rPr>
          <w:rFonts w:ascii="Times New Roman" w:hAnsi="Times New Roman" w:cs="Times New Roman"/>
          <w:sz w:val="24"/>
          <w:szCs w:val="24"/>
        </w:rPr>
        <w:t>,</w:t>
      </w:r>
      <w:r w:rsidR="003C25AD">
        <w:rPr>
          <w:rFonts w:ascii="Times New Roman" w:hAnsi="Times New Roman" w:cs="Times New Roman"/>
          <w:sz w:val="24"/>
          <w:szCs w:val="24"/>
        </w:rPr>
        <w:t xml:space="preserve"> </w:t>
      </w:r>
      <w:r w:rsidR="003C25AD" w:rsidRPr="00BB02FF">
        <w:rPr>
          <w:rFonts w:ascii="Times New Roman" w:hAnsi="Times New Roman" w:cs="Times New Roman"/>
          <w:sz w:val="24"/>
          <w:szCs w:val="24"/>
        </w:rPr>
        <w:t xml:space="preserve">Lougee </w:t>
      </w:r>
      <w:r w:rsidR="00466B98">
        <w:rPr>
          <w:rFonts w:ascii="Times New Roman" w:hAnsi="Times New Roman" w:cs="Times New Roman"/>
          <w:sz w:val="24"/>
          <w:szCs w:val="24"/>
        </w:rPr>
        <w:t>&amp;</w:t>
      </w:r>
      <w:r w:rsidR="00466B98" w:rsidRPr="00BB02FF">
        <w:rPr>
          <w:rFonts w:ascii="Times New Roman" w:hAnsi="Times New Roman" w:cs="Times New Roman"/>
          <w:sz w:val="24"/>
          <w:szCs w:val="24"/>
        </w:rPr>
        <w:t xml:space="preserve"> </w:t>
      </w:r>
      <w:r w:rsidR="003C25AD" w:rsidRPr="00BB02FF">
        <w:rPr>
          <w:rFonts w:ascii="Times New Roman" w:hAnsi="Times New Roman" w:cs="Times New Roman"/>
          <w:sz w:val="24"/>
          <w:szCs w:val="24"/>
        </w:rPr>
        <w:t>Marquardt</w:t>
      </w:r>
      <w:r w:rsidR="00466B98">
        <w:rPr>
          <w:rFonts w:ascii="Times New Roman" w:hAnsi="Times New Roman" w:cs="Times New Roman"/>
          <w:sz w:val="24"/>
          <w:szCs w:val="24"/>
        </w:rPr>
        <w:t xml:space="preserve">, </w:t>
      </w:r>
      <w:r w:rsidR="003C25AD" w:rsidRPr="00BB02FF">
        <w:rPr>
          <w:rFonts w:ascii="Times New Roman" w:hAnsi="Times New Roman" w:cs="Times New Roman"/>
          <w:sz w:val="24"/>
          <w:szCs w:val="24"/>
        </w:rPr>
        <w:t>2004)</w:t>
      </w:r>
      <w:r w:rsidR="003C25AD">
        <w:rPr>
          <w:rFonts w:ascii="Times New Roman" w:hAnsi="Times New Roman" w:cs="Times New Roman"/>
          <w:sz w:val="24"/>
          <w:szCs w:val="24"/>
        </w:rPr>
        <w:t>. More recently</w:t>
      </w:r>
      <w:r w:rsidR="003C25AD" w:rsidRPr="00E84F5D">
        <w:rPr>
          <w:rFonts w:ascii="Times New Roman" w:hAnsi="Times New Roman" w:cs="Times New Roman"/>
          <w:sz w:val="24"/>
          <w:szCs w:val="24"/>
        </w:rPr>
        <w:t xml:space="preserve">, </w:t>
      </w:r>
      <w:r w:rsidR="004E1D23" w:rsidRPr="00E84F5D">
        <w:rPr>
          <w:rFonts w:ascii="Times New Roman" w:hAnsi="Times New Roman" w:cs="Times New Roman"/>
          <w:sz w:val="24"/>
          <w:szCs w:val="24"/>
        </w:rPr>
        <w:t>Chen</w:t>
      </w:r>
      <w:r w:rsidR="0046188A" w:rsidRPr="00E84F5D">
        <w:rPr>
          <w:rFonts w:ascii="Times New Roman" w:hAnsi="Times New Roman" w:cs="Times New Roman"/>
          <w:sz w:val="24"/>
          <w:szCs w:val="24"/>
        </w:rPr>
        <w:t xml:space="preserve">, Lee, Lo </w:t>
      </w:r>
      <w:r w:rsidR="002110AA">
        <w:rPr>
          <w:rFonts w:ascii="Times New Roman" w:hAnsi="Times New Roman" w:cs="Times New Roman"/>
          <w:sz w:val="24"/>
          <w:szCs w:val="24"/>
        </w:rPr>
        <w:t>and</w:t>
      </w:r>
      <w:r w:rsidR="0046188A" w:rsidRPr="00E84F5D">
        <w:rPr>
          <w:rFonts w:ascii="Times New Roman" w:hAnsi="Times New Roman" w:cs="Times New Roman"/>
          <w:sz w:val="24"/>
          <w:szCs w:val="24"/>
        </w:rPr>
        <w:t xml:space="preserve"> Yu</w:t>
      </w:r>
      <w:r w:rsidR="004E1D23" w:rsidRPr="00E84F5D">
        <w:rPr>
          <w:rFonts w:ascii="Times New Roman" w:hAnsi="Times New Roman" w:cs="Times New Roman"/>
          <w:sz w:val="24"/>
          <w:szCs w:val="24"/>
        </w:rPr>
        <w:t xml:space="preserve"> (2021)</w:t>
      </w:r>
      <w:r w:rsidR="003C25AD">
        <w:rPr>
          <w:rFonts w:ascii="Times New Roman" w:hAnsi="Times New Roman" w:cs="Times New Roman"/>
          <w:sz w:val="24"/>
          <w:szCs w:val="24"/>
        </w:rPr>
        <w:t xml:space="preserve"> </w:t>
      </w:r>
      <w:r w:rsidR="00466B98">
        <w:rPr>
          <w:rFonts w:ascii="Times New Roman" w:hAnsi="Times New Roman" w:cs="Times New Roman"/>
          <w:sz w:val="24"/>
          <w:szCs w:val="24"/>
        </w:rPr>
        <w:t>ha</w:t>
      </w:r>
      <w:r w:rsidR="0046188A">
        <w:rPr>
          <w:rFonts w:ascii="Times New Roman" w:hAnsi="Times New Roman" w:cs="Times New Roman"/>
          <w:sz w:val="24"/>
          <w:szCs w:val="24"/>
        </w:rPr>
        <w:t>ve</w:t>
      </w:r>
      <w:r w:rsidR="00466B98">
        <w:rPr>
          <w:rFonts w:ascii="Times New Roman" w:hAnsi="Times New Roman" w:cs="Times New Roman"/>
          <w:sz w:val="24"/>
          <w:szCs w:val="24"/>
        </w:rPr>
        <w:t xml:space="preserve"> </w:t>
      </w:r>
      <w:r w:rsidR="003C25AD">
        <w:rPr>
          <w:rFonts w:ascii="Times New Roman" w:hAnsi="Times New Roman" w:cs="Times New Roman"/>
          <w:sz w:val="24"/>
          <w:szCs w:val="24"/>
        </w:rPr>
        <w:t>further</w:t>
      </w:r>
      <w:r w:rsidR="004E1D23">
        <w:rPr>
          <w:rFonts w:ascii="Times New Roman" w:hAnsi="Times New Roman" w:cs="Times New Roman"/>
          <w:sz w:val="24"/>
          <w:szCs w:val="24"/>
        </w:rPr>
        <w:t xml:space="preserve"> show</w:t>
      </w:r>
      <w:r w:rsidR="00466B98">
        <w:rPr>
          <w:rFonts w:ascii="Times New Roman" w:hAnsi="Times New Roman" w:cs="Times New Roman"/>
          <w:sz w:val="24"/>
          <w:szCs w:val="24"/>
        </w:rPr>
        <w:t>n</w:t>
      </w:r>
      <w:r w:rsidR="004E1D23">
        <w:rPr>
          <w:rFonts w:ascii="Times New Roman" w:hAnsi="Times New Roman" w:cs="Times New Roman"/>
          <w:sz w:val="24"/>
          <w:szCs w:val="24"/>
        </w:rPr>
        <w:t xml:space="preserve"> that disclosure of non-GAAP earnings is more informative when managers disclose more transparent qualitative information about non-GAAP earnings in press releases. </w:t>
      </w:r>
      <w:r w:rsidR="00BB02FF" w:rsidRPr="00BB02FF">
        <w:rPr>
          <w:rFonts w:ascii="Times New Roman" w:hAnsi="Times New Roman" w:cs="Times New Roman"/>
          <w:sz w:val="24"/>
          <w:szCs w:val="24"/>
        </w:rPr>
        <w:t xml:space="preserve">Black et al. (2022) </w:t>
      </w:r>
      <w:r w:rsidR="003C25AD">
        <w:rPr>
          <w:rFonts w:ascii="Times New Roman" w:hAnsi="Times New Roman" w:cs="Times New Roman"/>
          <w:sz w:val="24"/>
          <w:szCs w:val="24"/>
        </w:rPr>
        <w:t xml:space="preserve">extend this study </w:t>
      </w:r>
      <w:r w:rsidR="00BB02FF" w:rsidRPr="00BB02FF">
        <w:rPr>
          <w:rFonts w:ascii="Times New Roman" w:hAnsi="Times New Roman" w:cs="Times New Roman"/>
          <w:sz w:val="24"/>
          <w:szCs w:val="24"/>
        </w:rPr>
        <w:t xml:space="preserve">and find that non-GAAP earnings is more useful than GAAP earnings when this figure is disclosed in both </w:t>
      </w:r>
      <w:r w:rsidR="006520AD" w:rsidRPr="006520AD">
        <w:rPr>
          <w:rFonts w:ascii="Times New Roman" w:hAnsi="Times New Roman" w:cs="Times New Roman"/>
          <w:sz w:val="24"/>
          <w:szCs w:val="24"/>
        </w:rPr>
        <w:t xml:space="preserve">annual earnings announcements </w:t>
      </w:r>
      <w:r w:rsidR="006520AD">
        <w:rPr>
          <w:rFonts w:ascii="Times New Roman" w:hAnsi="Times New Roman" w:cs="Times New Roman"/>
          <w:sz w:val="24"/>
          <w:szCs w:val="24"/>
        </w:rPr>
        <w:t>and</w:t>
      </w:r>
      <w:r w:rsidR="006520AD" w:rsidRPr="006520AD">
        <w:rPr>
          <w:rFonts w:ascii="Times New Roman" w:hAnsi="Times New Roman" w:cs="Times New Roman"/>
          <w:sz w:val="24"/>
          <w:szCs w:val="24"/>
        </w:rPr>
        <w:t xml:space="preserve"> proxy </w:t>
      </w:r>
      <w:r w:rsidR="006520AD" w:rsidRPr="006520AD">
        <w:rPr>
          <w:rFonts w:ascii="Times New Roman" w:hAnsi="Times New Roman" w:cs="Times New Roman"/>
          <w:sz w:val="24"/>
          <w:szCs w:val="24"/>
        </w:rPr>
        <w:lastRenderedPageBreak/>
        <w:t>statements</w:t>
      </w:r>
      <w:r w:rsidR="00BB02FF" w:rsidRPr="00BB02FF">
        <w:rPr>
          <w:rFonts w:ascii="Times New Roman" w:hAnsi="Times New Roman" w:cs="Times New Roman"/>
          <w:sz w:val="24"/>
          <w:szCs w:val="24"/>
        </w:rPr>
        <w:t xml:space="preserve">. </w:t>
      </w:r>
    </w:p>
    <w:p w14:paraId="706EFA0C" w14:textId="133524BF" w:rsidR="00BB02FF" w:rsidRPr="00BB02FF" w:rsidRDefault="00BB02FF" w:rsidP="002110AA">
      <w:pPr>
        <w:spacing w:line="480" w:lineRule="auto"/>
        <w:ind w:left="283" w:firstLine="421"/>
        <w:rPr>
          <w:rFonts w:ascii="Times New Roman" w:hAnsi="Times New Roman" w:cs="Times New Roman"/>
          <w:sz w:val="24"/>
          <w:szCs w:val="24"/>
        </w:rPr>
      </w:pPr>
      <w:r w:rsidRPr="00BB02FF">
        <w:rPr>
          <w:rFonts w:ascii="Times New Roman" w:hAnsi="Times New Roman" w:cs="Times New Roman"/>
          <w:sz w:val="24"/>
          <w:szCs w:val="24"/>
        </w:rPr>
        <w:t xml:space="preserve">On the other hand, </w:t>
      </w:r>
      <w:r w:rsidR="00896823">
        <w:rPr>
          <w:rFonts w:ascii="Times New Roman" w:hAnsi="Times New Roman" w:cs="Times New Roman"/>
          <w:sz w:val="24"/>
          <w:szCs w:val="24"/>
        </w:rPr>
        <w:t>some</w:t>
      </w:r>
      <w:r w:rsidR="00466B98" w:rsidRPr="00BB02FF">
        <w:rPr>
          <w:rFonts w:ascii="Times New Roman" w:hAnsi="Times New Roman" w:cs="Times New Roman"/>
          <w:sz w:val="24"/>
          <w:szCs w:val="24"/>
        </w:rPr>
        <w:t xml:space="preserve"> </w:t>
      </w:r>
      <w:r w:rsidRPr="00BB02FF">
        <w:rPr>
          <w:rFonts w:ascii="Times New Roman" w:hAnsi="Times New Roman" w:cs="Times New Roman"/>
          <w:sz w:val="24"/>
          <w:szCs w:val="24"/>
        </w:rPr>
        <w:t xml:space="preserve">studies </w:t>
      </w:r>
      <w:r w:rsidR="00896823">
        <w:rPr>
          <w:rFonts w:ascii="Times New Roman" w:hAnsi="Times New Roman" w:cs="Times New Roman"/>
          <w:sz w:val="24"/>
          <w:szCs w:val="24"/>
        </w:rPr>
        <w:t xml:space="preserve">provide evidence of </w:t>
      </w:r>
      <w:r w:rsidRPr="00BB02FF">
        <w:rPr>
          <w:rFonts w:ascii="Times New Roman" w:hAnsi="Times New Roman" w:cs="Times New Roman"/>
          <w:sz w:val="24"/>
          <w:szCs w:val="24"/>
        </w:rPr>
        <w:t>the opportunistic use of non-GAAP earnings. For instance, Doyle</w:t>
      </w:r>
      <w:r w:rsidR="00F43045">
        <w:rPr>
          <w:rFonts w:ascii="Times New Roman" w:hAnsi="Times New Roman" w:cs="Times New Roman"/>
          <w:sz w:val="24"/>
          <w:szCs w:val="24"/>
        </w:rPr>
        <w:t xml:space="preserve">, </w:t>
      </w:r>
      <w:proofErr w:type="spellStart"/>
      <w:r w:rsidR="00F43045">
        <w:rPr>
          <w:rFonts w:ascii="Times New Roman" w:hAnsi="Times New Roman" w:cs="Times New Roman"/>
          <w:sz w:val="24"/>
          <w:szCs w:val="24"/>
        </w:rPr>
        <w:t>Lundholm</w:t>
      </w:r>
      <w:proofErr w:type="spellEnd"/>
      <w:r w:rsidR="002A02C5">
        <w:rPr>
          <w:rFonts w:ascii="Times New Roman" w:hAnsi="Times New Roman" w:cs="Times New Roman"/>
          <w:sz w:val="24"/>
          <w:szCs w:val="24"/>
        </w:rPr>
        <w:t>,</w:t>
      </w:r>
      <w:r w:rsidR="00F43045">
        <w:rPr>
          <w:rFonts w:ascii="Times New Roman" w:hAnsi="Times New Roman" w:cs="Times New Roman"/>
          <w:sz w:val="24"/>
          <w:szCs w:val="24"/>
        </w:rPr>
        <w:t xml:space="preserve"> </w:t>
      </w:r>
      <w:r w:rsidR="002A02C5">
        <w:rPr>
          <w:rFonts w:ascii="Times New Roman" w:hAnsi="Times New Roman" w:cs="Times New Roman"/>
          <w:sz w:val="24"/>
          <w:szCs w:val="24"/>
        </w:rPr>
        <w:t>and</w:t>
      </w:r>
      <w:r w:rsidR="00F43045">
        <w:rPr>
          <w:rFonts w:ascii="Times New Roman" w:hAnsi="Times New Roman" w:cs="Times New Roman"/>
          <w:sz w:val="24"/>
          <w:szCs w:val="24"/>
        </w:rPr>
        <w:t xml:space="preserve"> Soliman</w:t>
      </w:r>
      <w:r w:rsidRPr="00BB02FF">
        <w:rPr>
          <w:rFonts w:ascii="Times New Roman" w:hAnsi="Times New Roman" w:cs="Times New Roman"/>
          <w:sz w:val="24"/>
          <w:szCs w:val="24"/>
        </w:rPr>
        <w:t xml:space="preserve"> (2003) </w:t>
      </w:r>
      <w:r w:rsidR="00526799">
        <w:rPr>
          <w:rFonts w:ascii="Times New Roman" w:hAnsi="Times New Roman" w:cs="Times New Roman"/>
          <w:sz w:val="24"/>
          <w:szCs w:val="24"/>
        </w:rPr>
        <w:t>f</w:t>
      </w:r>
      <w:r w:rsidR="002C50D4">
        <w:rPr>
          <w:rFonts w:ascii="Times New Roman" w:hAnsi="Times New Roman" w:cs="Times New Roman"/>
          <w:sz w:val="24"/>
          <w:szCs w:val="24"/>
        </w:rPr>
        <w:t>ind</w:t>
      </w:r>
      <w:r w:rsidR="00526799" w:rsidRPr="00BB02FF">
        <w:rPr>
          <w:rFonts w:ascii="Times New Roman" w:hAnsi="Times New Roman" w:cs="Times New Roman"/>
          <w:sz w:val="24"/>
          <w:szCs w:val="24"/>
        </w:rPr>
        <w:t xml:space="preserve"> </w:t>
      </w:r>
      <w:r w:rsidRPr="00BB02FF">
        <w:rPr>
          <w:rFonts w:ascii="Times New Roman" w:hAnsi="Times New Roman" w:cs="Times New Roman"/>
          <w:sz w:val="24"/>
          <w:szCs w:val="24"/>
        </w:rPr>
        <w:t xml:space="preserve">that managers routinely exclude recurring expenses to mislead investors. Similarly, Black and Christensen (2009) </w:t>
      </w:r>
      <w:r w:rsidR="00F3072A">
        <w:rPr>
          <w:rFonts w:ascii="Times New Roman" w:hAnsi="Times New Roman" w:cs="Times New Roman"/>
          <w:sz w:val="24"/>
          <w:szCs w:val="24"/>
        </w:rPr>
        <w:t>and</w:t>
      </w:r>
      <w:r w:rsidRPr="00BB02FF">
        <w:rPr>
          <w:rFonts w:ascii="Times New Roman" w:hAnsi="Times New Roman" w:cs="Times New Roman"/>
          <w:sz w:val="24"/>
          <w:szCs w:val="24"/>
        </w:rPr>
        <w:t xml:space="preserve"> Doyle et al. (2013) provide evidence that managers </w:t>
      </w:r>
      <w:r w:rsidR="000257C7" w:rsidRPr="00BB02FF">
        <w:rPr>
          <w:rFonts w:ascii="Times New Roman" w:hAnsi="Times New Roman" w:cs="Times New Roman"/>
          <w:sz w:val="24"/>
          <w:szCs w:val="24"/>
        </w:rPr>
        <w:t>utilize</w:t>
      </w:r>
      <w:r w:rsidRPr="00BB02FF">
        <w:rPr>
          <w:rFonts w:ascii="Times New Roman" w:hAnsi="Times New Roman" w:cs="Times New Roman"/>
          <w:sz w:val="24"/>
          <w:szCs w:val="24"/>
        </w:rPr>
        <w:t xml:space="preserve"> non-GAAP exclusions to increase the likelihood of meeting or beating analyst earnings forecasts. </w:t>
      </w:r>
      <w:r w:rsidR="005322DD" w:rsidRPr="005322DD">
        <w:rPr>
          <w:rFonts w:ascii="Times New Roman" w:hAnsi="Times New Roman" w:cs="Times New Roman"/>
          <w:sz w:val="24"/>
          <w:szCs w:val="24"/>
        </w:rPr>
        <w:t>Henry</w:t>
      </w:r>
      <w:r w:rsidR="00996771">
        <w:rPr>
          <w:rFonts w:ascii="Times New Roman" w:hAnsi="Times New Roman" w:cs="Times New Roman"/>
          <w:sz w:val="24"/>
          <w:szCs w:val="24"/>
        </w:rPr>
        <w:t xml:space="preserve">, </w:t>
      </w:r>
      <w:r w:rsidR="00996771" w:rsidRPr="00996771">
        <w:rPr>
          <w:rFonts w:ascii="Times New Roman" w:hAnsi="Times New Roman" w:cs="Times New Roman"/>
          <w:sz w:val="24"/>
          <w:szCs w:val="24"/>
        </w:rPr>
        <w:t>Hu</w:t>
      </w:r>
      <w:r w:rsidR="00996771">
        <w:rPr>
          <w:rFonts w:ascii="Times New Roman" w:hAnsi="Times New Roman" w:cs="Times New Roman"/>
          <w:sz w:val="24"/>
          <w:szCs w:val="24"/>
        </w:rPr>
        <w:t xml:space="preserve">, </w:t>
      </w:r>
      <w:r w:rsidR="002110AA">
        <w:rPr>
          <w:rFonts w:ascii="Times New Roman" w:hAnsi="Times New Roman" w:cs="Times New Roman"/>
          <w:sz w:val="24"/>
          <w:szCs w:val="24"/>
        </w:rPr>
        <w:t>and</w:t>
      </w:r>
      <w:r w:rsidR="005322DD">
        <w:rPr>
          <w:rFonts w:ascii="Times New Roman" w:hAnsi="Times New Roman" w:cs="Times New Roman"/>
          <w:sz w:val="24"/>
          <w:szCs w:val="24"/>
        </w:rPr>
        <w:t xml:space="preserve"> </w:t>
      </w:r>
      <w:r w:rsidR="00996771" w:rsidRPr="00996771">
        <w:rPr>
          <w:rFonts w:ascii="Times New Roman" w:hAnsi="Times New Roman" w:cs="Times New Roman"/>
          <w:sz w:val="24"/>
          <w:szCs w:val="24"/>
        </w:rPr>
        <w:t>Jiang</w:t>
      </w:r>
      <w:r w:rsidR="005322DD">
        <w:rPr>
          <w:rFonts w:ascii="Times New Roman" w:hAnsi="Times New Roman" w:cs="Times New Roman"/>
          <w:sz w:val="24"/>
          <w:szCs w:val="24"/>
        </w:rPr>
        <w:t xml:space="preserve"> (2020) </w:t>
      </w:r>
      <w:r w:rsidR="002C50D4">
        <w:rPr>
          <w:rFonts w:ascii="Times New Roman" w:hAnsi="Times New Roman" w:cs="Times New Roman"/>
          <w:sz w:val="24"/>
          <w:szCs w:val="24"/>
        </w:rPr>
        <w:t xml:space="preserve">show </w:t>
      </w:r>
      <w:r w:rsidR="005322DD">
        <w:rPr>
          <w:rFonts w:ascii="Times New Roman" w:hAnsi="Times New Roman" w:cs="Times New Roman"/>
          <w:sz w:val="24"/>
          <w:szCs w:val="24"/>
        </w:rPr>
        <w:t xml:space="preserve">that in cases when </w:t>
      </w:r>
      <w:r w:rsidR="007E4CC3">
        <w:rPr>
          <w:rFonts w:ascii="Times New Roman" w:hAnsi="Times New Roman" w:cs="Times New Roman"/>
          <w:sz w:val="24"/>
          <w:szCs w:val="24"/>
        </w:rPr>
        <w:t>GAAP earn</w:t>
      </w:r>
      <w:r w:rsidR="00434735">
        <w:rPr>
          <w:rFonts w:ascii="Times New Roman" w:hAnsi="Times New Roman" w:cs="Times New Roman"/>
          <w:sz w:val="24"/>
          <w:szCs w:val="24"/>
        </w:rPr>
        <w:t xml:space="preserve">ings </w:t>
      </w:r>
      <w:r w:rsidR="0095471C">
        <w:rPr>
          <w:rFonts w:ascii="Times New Roman" w:hAnsi="Times New Roman" w:cs="Times New Roman"/>
          <w:sz w:val="24"/>
          <w:szCs w:val="24"/>
        </w:rPr>
        <w:t>are</w:t>
      </w:r>
      <w:r w:rsidR="00434735">
        <w:rPr>
          <w:rFonts w:ascii="Times New Roman" w:hAnsi="Times New Roman" w:cs="Times New Roman"/>
          <w:sz w:val="24"/>
          <w:szCs w:val="24"/>
        </w:rPr>
        <w:t xml:space="preserve"> lower</w:t>
      </w:r>
      <w:r w:rsidR="005E23BA">
        <w:rPr>
          <w:rFonts w:ascii="Times New Roman" w:hAnsi="Times New Roman" w:cs="Times New Roman"/>
          <w:sz w:val="24"/>
          <w:szCs w:val="24"/>
        </w:rPr>
        <w:t xml:space="preserve">, </w:t>
      </w:r>
      <w:r w:rsidR="00550553">
        <w:rPr>
          <w:rFonts w:ascii="Times New Roman" w:hAnsi="Times New Roman" w:cs="Times New Roman"/>
          <w:sz w:val="24"/>
          <w:szCs w:val="24"/>
        </w:rPr>
        <w:t>fail to achieve</w:t>
      </w:r>
      <w:r w:rsidR="00774B9A">
        <w:rPr>
          <w:rFonts w:ascii="Times New Roman" w:hAnsi="Times New Roman" w:cs="Times New Roman"/>
          <w:sz w:val="24"/>
          <w:szCs w:val="24"/>
        </w:rPr>
        <w:t xml:space="preserve"> a ben</w:t>
      </w:r>
      <w:r w:rsidR="00774B9A" w:rsidRPr="00A22E2C">
        <w:rPr>
          <w:rFonts w:ascii="Times New Roman" w:hAnsi="Times New Roman" w:cs="Times New Roman"/>
          <w:sz w:val="24"/>
          <w:szCs w:val="24"/>
        </w:rPr>
        <w:t>chmark</w:t>
      </w:r>
      <w:r w:rsidR="00A22E2C">
        <w:rPr>
          <w:rFonts w:ascii="Times New Roman" w:hAnsi="Times New Roman" w:cs="Times New Roman"/>
          <w:sz w:val="24"/>
          <w:szCs w:val="24"/>
        </w:rPr>
        <w:t>,</w:t>
      </w:r>
      <w:r w:rsidR="00774B9A">
        <w:rPr>
          <w:rFonts w:ascii="Times New Roman" w:hAnsi="Times New Roman" w:cs="Times New Roman"/>
          <w:sz w:val="24"/>
          <w:szCs w:val="24"/>
        </w:rPr>
        <w:t xml:space="preserve"> or</w:t>
      </w:r>
      <w:r w:rsidR="0064406A">
        <w:rPr>
          <w:rFonts w:ascii="Times New Roman" w:hAnsi="Times New Roman" w:cs="Times New Roman"/>
          <w:sz w:val="24"/>
          <w:szCs w:val="24"/>
        </w:rPr>
        <w:t xml:space="preserve"> </w:t>
      </w:r>
      <w:r w:rsidR="00774B9A">
        <w:rPr>
          <w:rFonts w:ascii="Times New Roman" w:hAnsi="Times New Roman" w:cs="Times New Roman"/>
          <w:sz w:val="24"/>
          <w:szCs w:val="24"/>
        </w:rPr>
        <w:t xml:space="preserve">less value-relevant, </w:t>
      </w:r>
      <w:r w:rsidR="00783552">
        <w:rPr>
          <w:rFonts w:ascii="Times New Roman" w:hAnsi="Times New Roman" w:cs="Times New Roman"/>
          <w:sz w:val="24"/>
          <w:szCs w:val="24"/>
        </w:rPr>
        <w:t xml:space="preserve">managers </w:t>
      </w:r>
      <w:r w:rsidR="00742CB3">
        <w:rPr>
          <w:rFonts w:ascii="Times New Roman" w:hAnsi="Times New Roman" w:cs="Times New Roman"/>
          <w:sz w:val="24"/>
          <w:szCs w:val="24"/>
        </w:rPr>
        <w:t xml:space="preserve">place greater emphasis on non-GAAP earnings in </w:t>
      </w:r>
      <w:r w:rsidR="0041678C">
        <w:rPr>
          <w:rFonts w:ascii="Times New Roman" w:hAnsi="Times New Roman" w:cs="Times New Roman"/>
          <w:sz w:val="24"/>
          <w:szCs w:val="24"/>
        </w:rPr>
        <w:t>conference calls.</w:t>
      </w:r>
      <w:r w:rsidR="006D79C0">
        <w:rPr>
          <w:rFonts w:ascii="Times New Roman" w:hAnsi="Times New Roman" w:cs="Times New Roman"/>
          <w:sz w:val="24"/>
          <w:szCs w:val="24"/>
        </w:rPr>
        <w:t xml:space="preserve"> </w:t>
      </w:r>
      <w:r w:rsidRPr="00BB02FF">
        <w:rPr>
          <w:rFonts w:ascii="Times New Roman" w:hAnsi="Times New Roman" w:cs="Times New Roman"/>
          <w:sz w:val="24"/>
          <w:szCs w:val="24"/>
        </w:rPr>
        <w:t xml:space="preserve">Collectively, these studies demonstrate that </w:t>
      </w:r>
      <w:r w:rsidR="00896823" w:rsidRPr="00896823">
        <w:rPr>
          <w:rFonts w:ascii="Times New Roman" w:hAnsi="Times New Roman" w:cs="Times New Roman"/>
          <w:sz w:val="24"/>
          <w:szCs w:val="24"/>
        </w:rPr>
        <w:t>non-GAAP earnings information can help firms present their core earnings more clearly and assist investors in better assessing operating performance</w:t>
      </w:r>
      <w:r w:rsidR="00761808">
        <w:rPr>
          <w:rFonts w:ascii="Times New Roman" w:hAnsi="Times New Roman" w:cs="Times New Roman"/>
          <w:sz w:val="24"/>
          <w:szCs w:val="24"/>
        </w:rPr>
        <w:t>, however</w:t>
      </w:r>
      <w:r w:rsidR="00896823" w:rsidRPr="00896823">
        <w:rPr>
          <w:rFonts w:ascii="Times New Roman" w:hAnsi="Times New Roman" w:cs="Times New Roman"/>
          <w:sz w:val="24"/>
          <w:szCs w:val="24"/>
        </w:rPr>
        <w:t xml:space="preserve"> it may also introduce variability among firms or be u</w:t>
      </w:r>
      <w:r w:rsidR="00896823">
        <w:rPr>
          <w:rFonts w:ascii="Times New Roman" w:hAnsi="Times New Roman" w:cs="Times New Roman"/>
          <w:sz w:val="24"/>
          <w:szCs w:val="24"/>
        </w:rPr>
        <w:t>sed opportunistically</w:t>
      </w:r>
      <w:r w:rsidR="00761808">
        <w:rPr>
          <w:rFonts w:ascii="Times New Roman" w:hAnsi="Times New Roman" w:cs="Times New Roman"/>
          <w:sz w:val="24"/>
          <w:szCs w:val="24"/>
        </w:rPr>
        <w:t>.</w:t>
      </w:r>
    </w:p>
    <w:p w14:paraId="24D059EF" w14:textId="1AB299AE" w:rsidR="0095471C" w:rsidRDefault="00BA7943" w:rsidP="0051255A">
      <w:pPr>
        <w:spacing w:line="480" w:lineRule="auto"/>
        <w:ind w:left="283" w:firstLine="421"/>
        <w:rPr>
          <w:rFonts w:ascii="Times New Roman" w:hAnsi="Times New Roman" w:cs="Times New Roman"/>
          <w:sz w:val="24"/>
          <w:szCs w:val="24"/>
        </w:rPr>
      </w:pPr>
      <w:r>
        <w:rPr>
          <w:rFonts w:ascii="Times New Roman" w:hAnsi="Times New Roman" w:cs="Times New Roman"/>
          <w:sz w:val="24"/>
          <w:szCs w:val="24"/>
        </w:rPr>
        <w:t>Existing</w:t>
      </w:r>
      <w:r w:rsidR="00BB02FF" w:rsidRPr="00BB02FF">
        <w:rPr>
          <w:rFonts w:ascii="Times New Roman" w:hAnsi="Times New Roman" w:cs="Times New Roman"/>
          <w:sz w:val="24"/>
          <w:szCs w:val="24"/>
        </w:rPr>
        <w:t xml:space="preserve"> research suggests that less sophisticated investors are more likely to trade on non-GAAP earnings</w:t>
      </w:r>
      <w:r>
        <w:rPr>
          <w:rFonts w:ascii="Times New Roman" w:hAnsi="Times New Roman" w:cs="Times New Roman"/>
          <w:sz w:val="24"/>
          <w:szCs w:val="24"/>
        </w:rPr>
        <w:t xml:space="preserve"> and</w:t>
      </w:r>
      <w:r w:rsidRPr="00BB02FF">
        <w:rPr>
          <w:rFonts w:ascii="Times New Roman" w:hAnsi="Times New Roman" w:cs="Times New Roman"/>
          <w:sz w:val="24"/>
          <w:szCs w:val="24"/>
        </w:rPr>
        <w:t xml:space="preserve"> are more prone to deception when managers disclose non-GAAP information for opportunistic reasons</w:t>
      </w:r>
      <w:r>
        <w:rPr>
          <w:rFonts w:ascii="Times New Roman" w:hAnsi="Times New Roman" w:cs="Times New Roman"/>
          <w:sz w:val="24"/>
          <w:szCs w:val="24"/>
        </w:rPr>
        <w:t xml:space="preserve"> </w:t>
      </w:r>
      <w:r w:rsidR="00BB02FF" w:rsidRPr="00BB02FF">
        <w:rPr>
          <w:rFonts w:ascii="Times New Roman" w:hAnsi="Times New Roman" w:cs="Times New Roman"/>
          <w:sz w:val="24"/>
          <w:szCs w:val="24"/>
        </w:rPr>
        <w:t>(Allee</w:t>
      </w:r>
      <w:r w:rsidR="00996771">
        <w:rPr>
          <w:rFonts w:ascii="Times New Roman" w:hAnsi="Times New Roman" w:cs="Times New Roman"/>
          <w:sz w:val="24"/>
          <w:szCs w:val="24"/>
        </w:rPr>
        <w:t xml:space="preserve">, </w:t>
      </w:r>
      <w:r w:rsidR="00996771" w:rsidRPr="00996771">
        <w:rPr>
          <w:rFonts w:ascii="Times New Roman" w:hAnsi="Times New Roman" w:cs="Times New Roman"/>
          <w:sz w:val="24"/>
          <w:szCs w:val="24"/>
        </w:rPr>
        <w:t>Bhattacharya</w:t>
      </w:r>
      <w:r w:rsidR="00996771">
        <w:rPr>
          <w:rFonts w:ascii="Times New Roman" w:hAnsi="Times New Roman" w:cs="Times New Roman"/>
          <w:sz w:val="24"/>
          <w:szCs w:val="24"/>
        </w:rPr>
        <w:t xml:space="preserve">, </w:t>
      </w:r>
      <w:r w:rsidR="00996771" w:rsidRPr="00996771">
        <w:rPr>
          <w:rFonts w:ascii="Times New Roman" w:hAnsi="Times New Roman" w:cs="Times New Roman"/>
          <w:sz w:val="24"/>
          <w:szCs w:val="24"/>
        </w:rPr>
        <w:t>Black</w:t>
      </w:r>
      <w:r w:rsidR="00996771">
        <w:rPr>
          <w:rFonts w:ascii="Times New Roman" w:hAnsi="Times New Roman" w:cs="Times New Roman"/>
          <w:sz w:val="24"/>
          <w:szCs w:val="24"/>
        </w:rPr>
        <w:t xml:space="preserve">, </w:t>
      </w:r>
      <w:r w:rsidR="003F5899">
        <w:rPr>
          <w:rFonts w:ascii="Times New Roman" w:hAnsi="Times New Roman" w:cs="Times New Roman"/>
          <w:sz w:val="24"/>
          <w:szCs w:val="24"/>
        </w:rPr>
        <w:t xml:space="preserve">&amp; </w:t>
      </w:r>
      <w:r w:rsidR="003F5899" w:rsidRPr="003F5899">
        <w:rPr>
          <w:rFonts w:ascii="Times New Roman" w:hAnsi="Times New Roman" w:cs="Times New Roman"/>
          <w:sz w:val="24"/>
          <w:szCs w:val="24"/>
        </w:rPr>
        <w:t>Christensen</w:t>
      </w:r>
      <w:r w:rsidR="0095471C">
        <w:rPr>
          <w:rFonts w:ascii="Times New Roman" w:hAnsi="Times New Roman" w:cs="Times New Roman"/>
          <w:sz w:val="24"/>
          <w:szCs w:val="24"/>
        </w:rPr>
        <w:t>,</w:t>
      </w:r>
      <w:r w:rsidR="00BB02FF" w:rsidRPr="00BB02FF">
        <w:rPr>
          <w:rFonts w:ascii="Times New Roman" w:hAnsi="Times New Roman" w:cs="Times New Roman"/>
          <w:sz w:val="24"/>
          <w:szCs w:val="24"/>
        </w:rPr>
        <w:t xml:space="preserve"> 2007; Bhattacharya</w:t>
      </w:r>
      <w:r w:rsidR="003F5899">
        <w:rPr>
          <w:rFonts w:ascii="Times New Roman" w:hAnsi="Times New Roman" w:cs="Times New Roman"/>
          <w:sz w:val="24"/>
          <w:szCs w:val="24"/>
        </w:rPr>
        <w:t xml:space="preserve">, </w:t>
      </w:r>
      <w:r w:rsidR="003F5899" w:rsidRPr="003F5899">
        <w:rPr>
          <w:rFonts w:ascii="Times New Roman" w:hAnsi="Times New Roman" w:cs="Times New Roman"/>
          <w:sz w:val="24"/>
          <w:szCs w:val="24"/>
        </w:rPr>
        <w:t>Black</w:t>
      </w:r>
      <w:r w:rsidR="003F5899">
        <w:rPr>
          <w:rFonts w:ascii="Times New Roman" w:hAnsi="Times New Roman" w:cs="Times New Roman"/>
          <w:sz w:val="24"/>
          <w:szCs w:val="24"/>
        </w:rPr>
        <w:t xml:space="preserve">, </w:t>
      </w:r>
      <w:r w:rsidR="003F5899" w:rsidRPr="003F5899">
        <w:rPr>
          <w:rFonts w:ascii="Times New Roman" w:hAnsi="Times New Roman" w:cs="Times New Roman"/>
          <w:sz w:val="24"/>
          <w:szCs w:val="24"/>
        </w:rPr>
        <w:t>Christensen</w:t>
      </w:r>
      <w:r w:rsidR="00671A72">
        <w:rPr>
          <w:rFonts w:ascii="Times New Roman" w:hAnsi="Times New Roman" w:cs="Times New Roman"/>
          <w:sz w:val="24"/>
          <w:szCs w:val="24"/>
        </w:rPr>
        <w:t xml:space="preserve"> </w:t>
      </w:r>
      <w:r w:rsidR="003F5899">
        <w:rPr>
          <w:rFonts w:ascii="Times New Roman" w:hAnsi="Times New Roman" w:cs="Times New Roman"/>
          <w:sz w:val="24"/>
          <w:szCs w:val="24"/>
        </w:rPr>
        <w:t xml:space="preserve">&amp; </w:t>
      </w:r>
      <w:r w:rsidR="003F5899" w:rsidRPr="003F5899">
        <w:rPr>
          <w:rFonts w:ascii="Times New Roman" w:hAnsi="Times New Roman" w:cs="Times New Roman"/>
          <w:sz w:val="24"/>
          <w:szCs w:val="24"/>
        </w:rPr>
        <w:t>Mergenthaler</w:t>
      </w:r>
      <w:r w:rsidR="0095471C">
        <w:rPr>
          <w:rFonts w:ascii="Times New Roman" w:hAnsi="Times New Roman" w:cs="Times New Roman"/>
          <w:sz w:val="24"/>
          <w:szCs w:val="24"/>
        </w:rPr>
        <w:t>,</w:t>
      </w:r>
      <w:r w:rsidR="00BB02FF" w:rsidRPr="00BB02FF">
        <w:rPr>
          <w:rFonts w:ascii="Times New Roman" w:hAnsi="Times New Roman" w:cs="Times New Roman"/>
          <w:sz w:val="24"/>
          <w:szCs w:val="24"/>
        </w:rPr>
        <w:t xml:space="preserve"> 2007; </w:t>
      </w:r>
      <w:r w:rsidR="00D32E77" w:rsidRPr="00BB02FF">
        <w:rPr>
          <w:rFonts w:ascii="Times New Roman" w:hAnsi="Times New Roman" w:cs="Times New Roman"/>
          <w:sz w:val="24"/>
          <w:szCs w:val="24"/>
        </w:rPr>
        <w:t>Elliott</w:t>
      </w:r>
      <w:r w:rsidR="0095471C">
        <w:rPr>
          <w:rFonts w:ascii="Times New Roman" w:hAnsi="Times New Roman" w:cs="Times New Roman"/>
          <w:sz w:val="24"/>
          <w:szCs w:val="24"/>
        </w:rPr>
        <w:t>,</w:t>
      </w:r>
      <w:r w:rsidR="00D32E77" w:rsidRPr="00BB02FF">
        <w:rPr>
          <w:rFonts w:ascii="Times New Roman" w:hAnsi="Times New Roman" w:cs="Times New Roman"/>
          <w:sz w:val="24"/>
          <w:szCs w:val="24"/>
        </w:rPr>
        <w:t xml:space="preserve"> 2006</w:t>
      </w:r>
      <w:r w:rsidR="009934B7">
        <w:rPr>
          <w:rFonts w:ascii="Times New Roman" w:hAnsi="Times New Roman" w:cs="Times New Roman"/>
          <w:sz w:val="24"/>
          <w:szCs w:val="24"/>
        </w:rPr>
        <w:t xml:space="preserve">; </w:t>
      </w:r>
      <w:r w:rsidR="00BB02FF" w:rsidRPr="00BB02FF">
        <w:rPr>
          <w:rFonts w:ascii="Times New Roman" w:hAnsi="Times New Roman" w:cs="Times New Roman"/>
          <w:sz w:val="24"/>
          <w:szCs w:val="24"/>
        </w:rPr>
        <w:t xml:space="preserve">Frederickson </w:t>
      </w:r>
      <w:r w:rsidR="0095471C">
        <w:rPr>
          <w:rFonts w:ascii="Times New Roman" w:hAnsi="Times New Roman" w:cs="Times New Roman"/>
          <w:sz w:val="24"/>
          <w:szCs w:val="24"/>
        </w:rPr>
        <w:t>&amp;</w:t>
      </w:r>
      <w:r w:rsidR="0095471C" w:rsidRPr="00BB02FF">
        <w:rPr>
          <w:rFonts w:ascii="Times New Roman" w:hAnsi="Times New Roman" w:cs="Times New Roman"/>
          <w:sz w:val="24"/>
          <w:szCs w:val="24"/>
        </w:rPr>
        <w:t xml:space="preserve"> </w:t>
      </w:r>
      <w:r w:rsidR="00BB02FF" w:rsidRPr="00BB02FF">
        <w:rPr>
          <w:rFonts w:ascii="Times New Roman" w:hAnsi="Times New Roman" w:cs="Times New Roman"/>
          <w:sz w:val="24"/>
          <w:szCs w:val="24"/>
        </w:rPr>
        <w:t>Miller</w:t>
      </w:r>
      <w:r w:rsidR="0095471C">
        <w:rPr>
          <w:rFonts w:ascii="Times New Roman" w:hAnsi="Times New Roman" w:cs="Times New Roman"/>
          <w:sz w:val="24"/>
          <w:szCs w:val="24"/>
        </w:rPr>
        <w:t>,</w:t>
      </w:r>
      <w:r w:rsidR="00BB02FF" w:rsidRPr="00BB02FF">
        <w:rPr>
          <w:rFonts w:ascii="Times New Roman" w:hAnsi="Times New Roman" w:cs="Times New Roman"/>
          <w:sz w:val="24"/>
          <w:szCs w:val="24"/>
        </w:rPr>
        <w:t xml:space="preserve"> 2004)</w:t>
      </w:r>
      <w:r>
        <w:rPr>
          <w:rFonts w:ascii="Times New Roman" w:hAnsi="Times New Roman" w:cs="Times New Roman"/>
          <w:sz w:val="24"/>
          <w:szCs w:val="24"/>
        </w:rPr>
        <w:t xml:space="preserve">. </w:t>
      </w:r>
      <w:r w:rsidR="00BB02FF" w:rsidRPr="00BB02FF">
        <w:rPr>
          <w:rFonts w:ascii="Times New Roman" w:hAnsi="Times New Roman" w:cs="Times New Roman"/>
          <w:sz w:val="24"/>
          <w:szCs w:val="24"/>
        </w:rPr>
        <w:t>This highlights the importan</w:t>
      </w:r>
      <w:r w:rsidR="002C50D4">
        <w:rPr>
          <w:rFonts w:ascii="Times New Roman" w:hAnsi="Times New Roman" w:cs="Times New Roman"/>
          <w:sz w:val="24"/>
          <w:szCs w:val="24"/>
        </w:rPr>
        <w:t>ce of the</w:t>
      </w:r>
      <w:r w:rsidR="0095471C">
        <w:rPr>
          <w:rFonts w:ascii="Times New Roman" w:hAnsi="Times New Roman" w:cs="Times New Roman"/>
          <w:sz w:val="24"/>
          <w:szCs w:val="24"/>
        </w:rPr>
        <w:t xml:space="preserve"> </w:t>
      </w:r>
      <w:r w:rsidR="00BB02FF" w:rsidRPr="00BB02FF">
        <w:rPr>
          <w:rFonts w:ascii="Times New Roman" w:hAnsi="Times New Roman" w:cs="Times New Roman"/>
          <w:sz w:val="24"/>
          <w:szCs w:val="24"/>
        </w:rPr>
        <w:t xml:space="preserve">role of </w:t>
      </w:r>
      <w:r w:rsidR="002C50D4">
        <w:rPr>
          <w:rFonts w:ascii="Times New Roman" w:hAnsi="Times New Roman" w:cs="Times New Roman"/>
          <w:sz w:val="24"/>
          <w:szCs w:val="24"/>
        </w:rPr>
        <w:t>ACs</w:t>
      </w:r>
      <w:r w:rsidR="00BB02FF" w:rsidRPr="00BB02FF">
        <w:rPr>
          <w:rFonts w:ascii="Times New Roman" w:hAnsi="Times New Roman" w:cs="Times New Roman"/>
          <w:sz w:val="24"/>
          <w:szCs w:val="24"/>
        </w:rPr>
        <w:t xml:space="preserve"> in protecting them. </w:t>
      </w:r>
      <w:r w:rsidR="003F0141">
        <w:rPr>
          <w:rFonts w:ascii="Times New Roman" w:hAnsi="Times New Roman" w:cs="Times New Roman"/>
          <w:sz w:val="24"/>
          <w:szCs w:val="24"/>
        </w:rPr>
        <w:t xml:space="preserve">Indeed, </w:t>
      </w:r>
      <w:r w:rsidR="00E13C94">
        <w:rPr>
          <w:rFonts w:ascii="Times New Roman" w:hAnsi="Times New Roman" w:cs="Times New Roman"/>
          <w:sz w:val="24"/>
          <w:szCs w:val="24"/>
        </w:rPr>
        <w:t xml:space="preserve">many </w:t>
      </w:r>
      <w:r w:rsidR="000C690E">
        <w:rPr>
          <w:rFonts w:ascii="Times New Roman" w:hAnsi="Times New Roman" w:cs="Times New Roman"/>
          <w:sz w:val="24"/>
          <w:szCs w:val="24"/>
        </w:rPr>
        <w:t xml:space="preserve">studies have </w:t>
      </w:r>
      <w:r w:rsidR="0080462C">
        <w:rPr>
          <w:rFonts w:ascii="Times New Roman" w:hAnsi="Times New Roman" w:cs="Times New Roman"/>
          <w:sz w:val="24"/>
          <w:szCs w:val="24"/>
        </w:rPr>
        <w:t xml:space="preserve">examined </w:t>
      </w:r>
      <w:r w:rsidR="00ED2CB6">
        <w:rPr>
          <w:rFonts w:ascii="Times New Roman" w:hAnsi="Times New Roman" w:cs="Times New Roman"/>
          <w:sz w:val="24"/>
          <w:szCs w:val="24"/>
        </w:rPr>
        <w:t xml:space="preserve">and </w:t>
      </w:r>
      <w:r w:rsidR="005301FA">
        <w:rPr>
          <w:rFonts w:ascii="Times New Roman" w:hAnsi="Times New Roman" w:cs="Times New Roman"/>
          <w:sz w:val="24"/>
          <w:szCs w:val="24"/>
        </w:rPr>
        <w:t xml:space="preserve">evidenced that </w:t>
      </w:r>
      <w:r w:rsidR="00813BAC">
        <w:rPr>
          <w:rFonts w:ascii="Times New Roman" w:hAnsi="Times New Roman" w:cs="Times New Roman"/>
          <w:sz w:val="24"/>
          <w:szCs w:val="24"/>
        </w:rPr>
        <w:t>the expertise</w:t>
      </w:r>
      <w:r w:rsidR="00391D9B">
        <w:rPr>
          <w:rFonts w:ascii="Times New Roman" w:hAnsi="Times New Roman" w:cs="Times New Roman"/>
          <w:sz w:val="24"/>
          <w:szCs w:val="24"/>
        </w:rPr>
        <w:t xml:space="preserve"> and </w:t>
      </w:r>
      <w:r w:rsidR="008E2341">
        <w:rPr>
          <w:rFonts w:ascii="Times New Roman" w:hAnsi="Times New Roman" w:cs="Times New Roman"/>
          <w:sz w:val="24"/>
          <w:szCs w:val="24"/>
        </w:rPr>
        <w:t xml:space="preserve">independence of </w:t>
      </w:r>
      <w:r w:rsidR="002C50D4">
        <w:rPr>
          <w:rFonts w:ascii="Times New Roman" w:hAnsi="Times New Roman" w:cs="Times New Roman"/>
          <w:sz w:val="24"/>
          <w:szCs w:val="24"/>
        </w:rPr>
        <w:t>ACs</w:t>
      </w:r>
      <w:r w:rsidR="001E7AAA">
        <w:rPr>
          <w:rFonts w:ascii="Times New Roman" w:hAnsi="Times New Roman" w:cs="Times New Roman"/>
          <w:sz w:val="24"/>
          <w:szCs w:val="24"/>
        </w:rPr>
        <w:t xml:space="preserve"> </w:t>
      </w:r>
      <w:r w:rsidR="00D51C28">
        <w:rPr>
          <w:rFonts w:ascii="Times New Roman" w:hAnsi="Times New Roman" w:cs="Times New Roman"/>
          <w:sz w:val="24"/>
          <w:szCs w:val="24"/>
        </w:rPr>
        <w:t>play</w:t>
      </w:r>
      <w:r w:rsidR="0095471C">
        <w:rPr>
          <w:rFonts w:ascii="Times New Roman" w:hAnsi="Times New Roman" w:cs="Times New Roman"/>
          <w:sz w:val="24"/>
          <w:szCs w:val="24"/>
        </w:rPr>
        <w:t xml:space="preserve"> an</w:t>
      </w:r>
      <w:r w:rsidR="00215656">
        <w:rPr>
          <w:rFonts w:ascii="Times New Roman" w:hAnsi="Times New Roman" w:cs="Times New Roman"/>
          <w:sz w:val="24"/>
          <w:szCs w:val="24"/>
        </w:rPr>
        <w:t xml:space="preserve"> important </w:t>
      </w:r>
      <w:r w:rsidR="0095471C">
        <w:rPr>
          <w:rFonts w:ascii="Times New Roman" w:hAnsi="Times New Roman" w:cs="Times New Roman"/>
          <w:sz w:val="24"/>
          <w:szCs w:val="24"/>
        </w:rPr>
        <w:t xml:space="preserve">part </w:t>
      </w:r>
      <w:r w:rsidR="00215656">
        <w:rPr>
          <w:rFonts w:ascii="Times New Roman" w:hAnsi="Times New Roman" w:cs="Times New Roman"/>
          <w:sz w:val="24"/>
          <w:szCs w:val="24"/>
        </w:rPr>
        <w:t xml:space="preserve">in </w:t>
      </w:r>
      <w:r w:rsidR="00FD5611">
        <w:rPr>
          <w:rFonts w:ascii="Times New Roman" w:hAnsi="Times New Roman" w:cs="Times New Roman"/>
          <w:sz w:val="24"/>
          <w:szCs w:val="24"/>
        </w:rPr>
        <w:t xml:space="preserve">improving financial reporting quality </w:t>
      </w:r>
      <w:r w:rsidR="007A4FC2">
        <w:rPr>
          <w:rFonts w:ascii="Times New Roman" w:hAnsi="Times New Roman" w:cs="Times New Roman"/>
          <w:sz w:val="24"/>
          <w:szCs w:val="24"/>
        </w:rPr>
        <w:t>and reducing</w:t>
      </w:r>
      <w:r w:rsidR="002B59A3">
        <w:rPr>
          <w:rFonts w:ascii="Times New Roman" w:hAnsi="Times New Roman" w:cs="Times New Roman"/>
          <w:sz w:val="24"/>
          <w:szCs w:val="24"/>
        </w:rPr>
        <w:t xml:space="preserve"> earning</w:t>
      </w:r>
      <w:r w:rsidR="00807905">
        <w:rPr>
          <w:rFonts w:ascii="Times New Roman" w:hAnsi="Times New Roman" w:cs="Times New Roman"/>
          <w:sz w:val="24"/>
          <w:szCs w:val="24"/>
        </w:rPr>
        <w:t xml:space="preserve"> management</w:t>
      </w:r>
      <w:r w:rsidR="00111D92">
        <w:rPr>
          <w:rFonts w:ascii="Times New Roman" w:hAnsi="Times New Roman" w:cs="Times New Roman"/>
          <w:sz w:val="24"/>
          <w:szCs w:val="24"/>
        </w:rPr>
        <w:t xml:space="preserve"> (e.g., </w:t>
      </w:r>
      <w:r w:rsidR="001E76AF" w:rsidRPr="001E76AF">
        <w:rPr>
          <w:rFonts w:ascii="Times New Roman" w:hAnsi="Times New Roman" w:cs="Times New Roman"/>
          <w:sz w:val="24"/>
          <w:szCs w:val="24"/>
        </w:rPr>
        <w:t>Ashraf</w:t>
      </w:r>
      <w:r w:rsidR="003F5899">
        <w:rPr>
          <w:rFonts w:ascii="Times New Roman" w:hAnsi="Times New Roman" w:cs="Times New Roman"/>
          <w:sz w:val="24"/>
          <w:szCs w:val="24"/>
        </w:rPr>
        <w:t xml:space="preserve">, </w:t>
      </w:r>
      <w:proofErr w:type="spellStart"/>
      <w:r w:rsidR="003F5899" w:rsidRPr="003F5899">
        <w:rPr>
          <w:rFonts w:ascii="Times New Roman" w:hAnsi="Times New Roman" w:cs="Times New Roman"/>
          <w:sz w:val="24"/>
          <w:szCs w:val="24"/>
        </w:rPr>
        <w:t>Michas</w:t>
      </w:r>
      <w:proofErr w:type="spellEnd"/>
      <w:r w:rsidR="003F5899">
        <w:rPr>
          <w:rFonts w:ascii="Times New Roman" w:hAnsi="Times New Roman" w:cs="Times New Roman"/>
          <w:sz w:val="24"/>
          <w:szCs w:val="24"/>
        </w:rPr>
        <w:t xml:space="preserve">, &amp; </w:t>
      </w:r>
      <w:proofErr w:type="spellStart"/>
      <w:r w:rsidR="003F5899" w:rsidRPr="003F5899">
        <w:rPr>
          <w:rFonts w:ascii="Times New Roman" w:hAnsi="Times New Roman" w:cs="Times New Roman"/>
          <w:sz w:val="24"/>
          <w:szCs w:val="24"/>
        </w:rPr>
        <w:t>Russomanno</w:t>
      </w:r>
      <w:proofErr w:type="spellEnd"/>
      <w:r w:rsidR="001E76AF">
        <w:rPr>
          <w:rFonts w:ascii="Times New Roman" w:hAnsi="Times New Roman" w:cs="Times New Roman"/>
          <w:sz w:val="24"/>
          <w:szCs w:val="24"/>
        </w:rPr>
        <w:t xml:space="preserve">, 2020; </w:t>
      </w:r>
      <w:r w:rsidR="004B5629" w:rsidRPr="004B5629">
        <w:rPr>
          <w:rFonts w:ascii="Times New Roman" w:hAnsi="Times New Roman" w:cs="Times New Roman"/>
          <w:sz w:val="24"/>
          <w:szCs w:val="24"/>
        </w:rPr>
        <w:t>Badolato</w:t>
      </w:r>
      <w:r w:rsidR="0015606E">
        <w:rPr>
          <w:rFonts w:ascii="Times New Roman" w:hAnsi="Times New Roman" w:cs="Times New Roman"/>
          <w:sz w:val="24"/>
          <w:szCs w:val="24"/>
        </w:rPr>
        <w:t xml:space="preserve"> et al.</w:t>
      </w:r>
      <w:r w:rsidR="004B5629">
        <w:rPr>
          <w:rFonts w:ascii="Times New Roman" w:hAnsi="Times New Roman" w:cs="Times New Roman"/>
          <w:sz w:val="24"/>
          <w:szCs w:val="24"/>
        </w:rPr>
        <w:t xml:space="preserve">, 2014; </w:t>
      </w:r>
      <w:r w:rsidR="00775EC8" w:rsidRPr="00775EC8">
        <w:rPr>
          <w:rFonts w:ascii="Times New Roman" w:hAnsi="Times New Roman" w:cs="Times New Roman"/>
          <w:sz w:val="24"/>
          <w:szCs w:val="24"/>
        </w:rPr>
        <w:t>Dhaliwal</w:t>
      </w:r>
      <w:r w:rsidR="00EB34EA">
        <w:rPr>
          <w:rFonts w:ascii="Times New Roman" w:hAnsi="Times New Roman" w:cs="Times New Roman"/>
          <w:sz w:val="24"/>
          <w:szCs w:val="24"/>
        </w:rPr>
        <w:t xml:space="preserve"> et al., </w:t>
      </w:r>
      <w:r w:rsidR="00775EC8">
        <w:rPr>
          <w:rFonts w:ascii="Times New Roman" w:hAnsi="Times New Roman" w:cs="Times New Roman"/>
          <w:sz w:val="24"/>
          <w:szCs w:val="24"/>
        </w:rPr>
        <w:t xml:space="preserve">2010; </w:t>
      </w:r>
      <w:r w:rsidR="000224C3" w:rsidRPr="000224C3">
        <w:rPr>
          <w:rFonts w:ascii="Times New Roman" w:hAnsi="Times New Roman" w:cs="Times New Roman"/>
          <w:sz w:val="24"/>
          <w:szCs w:val="24"/>
        </w:rPr>
        <w:t>Klein</w:t>
      </w:r>
      <w:r w:rsidR="000224C3">
        <w:rPr>
          <w:rFonts w:ascii="Times New Roman" w:hAnsi="Times New Roman" w:cs="Times New Roman"/>
          <w:sz w:val="24"/>
          <w:szCs w:val="24"/>
        </w:rPr>
        <w:t>, 2002;</w:t>
      </w:r>
      <w:r w:rsidR="00111D92">
        <w:rPr>
          <w:rFonts w:ascii="Times New Roman" w:hAnsi="Times New Roman" w:cs="Times New Roman"/>
          <w:sz w:val="24"/>
          <w:szCs w:val="24"/>
        </w:rPr>
        <w:t xml:space="preserve"> </w:t>
      </w:r>
      <w:proofErr w:type="spellStart"/>
      <w:r w:rsidR="005B05E7" w:rsidRPr="005B05E7">
        <w:rPr>
          <w:rFonts w:ascii="Times New Roman" w:hAnsi="Times New Roman" w:cs="Times New Roman"/>
          <w:sz w:val="24"/>
          <w:szCs w:val="24"/>
        </w:rPr>
        <w:t>Tanyi</w:t>
      </w:r>
      <w:proofErr w:type="spellEnd"/>
      <w:r w:rsidR="009934B7">
        <w:rPr>
          <w:rFonts w:ascii="Times New Roman" w:hAnsi="Times New Roman" w:cs="Times New Roman"/>
          <w:sz w:val="24"/>
          <w:szCs w:val="24"/>
        </w:rPr>
        <w:t xml:space="preserve"> </w:t>
      </w:r>
      <w:r w:rsidR="0095471C">
        <w:rPr>
          <w:rFonts w:ascii="Times New Roman" w:hAnsi="Times New Roman" w:cs="Times New Roman"/>
          <w:sz w:val="24"/>
          <w:szCs w:val="24"/>
        </w:rPr>
        <w:t xml:space="preserve">&amp; </w:t>
      </w:r>
      <w:r w:rsidR="009934B7">
        <w:rPr>
          <w:rFonts w:ascii="Times New Roman" w:hAnsi="Times New Roman" w:cs="Times New Roman"/>
          <w:sz w:val="24"/>
          <w:szCs w:val="24"/>
        </w:rPr>
        <w:t>Smith, 2015</w:t>
      </w:r>
      <w:r w:rsidR="009F7CE5">
        <w:rPr>
          <w:rFonts w:ascii="Times New Roman" w:hAnsi="Times New Roman" w:cs="Times New Roman"/>
          <w:sz w:val="24"/>
          <w:szCs w:val="24"/>
        </w:rPr>
        <w:t>)</w:t>
      </w:r>
      <w:r w:rsidR="00807905">
        <w:rPr>
          <w:rFonts w:ascii="Times New Roman" w:hAnsi="Times New Roman" w:cs="Times New Roman"/>
          <w:sz w:val="24"/>
          <w:szCs w:val="24"/>
        </w:rPr>
        <w:t xml:space="preserve">. </w:t>
      </w:r>
      <w:r w:rsidR="00540273" w:rsidRPr="00540273">
        <w:rPr>
          <w:rFonts w:ascii="Times New Roman" w:hAnsi="Times New Roman" w:cs="Times New Roman"/>
          <w:sz w:val="24"/>
          <w:szCs w:val="24"/>
        </w:rPr>
        <w:t xml:space="preserve">Given the </w:t>
      </w:r>
      <w:r w:rsidR="00EB34EA" w:rsidRPr="00540273">
        <w:rPr>
          <w:rFonts w:ascii="Times New Roman" w:hAnsi="Times New Roman" w:cs="Times New Roman"/>
          <w:sz w:val="24"/>
          <w:szCs w:val="24"/>
        </w:rPr>
        <w:t>AC chair</w:t>
      </w:r>
      <w:r w:rsidR="00EB34EA">
        <w:rPr>
          <w:rFonts w:ascii="Times New Roman" w:hAnsi="Times New Roman" w:cs="Times New Roman"/>
          <w:sz w:val="24"/>
          <w:szCs w:val="24"/>
        </w:rPr>
        <w:t>’s</w:t>
      </w:r>
      <w:r w:rsidR="00EB34EA" w:rsidRPr="00540273">
        <w:rPr>
          <w:rFonts w:ascii="Times New Roman" w:hAnsi="Times New Roman" w:cs="Times New Roman"/>
          <w:sz w:val="24"/>
          <w:szCs w:val="24"/>
        </w:rPr>
        <w:t xml:space="preserve"> </w:t>
      </w:r>
      <w:r w:rsidR="00540273" w:rsidRPr="00540273">
        <w:rPr>
          <w:rFonts w:ascii="Times New Roman" w:hAnsi="Times New Roman" w:cs="Times New Roman"/>
          <w:sz w:val="24"/>
          <w:szCs w:val="24"/>
        </w:rPr>
        <w:t>pivotal role in fostering open dialogue among committee members to thoroughly discuss significant financial reporting matters during formal meetings</w:t>
      </w:r>
      <w:r w:rsidR="00540273">
        <w:rPr>
          <w:rFonts w:ascii="Times New Roman" w:hAnsi="Times New Roman" w:cs="Times New Roman"/>
          <w:sz w:val="24"/>
          <w:szCs w:val="24"/>
        </w:rPr>
        <w:t xml:space="preserve"> (</w:t>
      </w:r>
      <w:r w:rsidR="00540273" w:rsidRPr="00BB02FF">
        <w:rPr>
          <w:rFonts w:ascii="Times New Roman" w:hAnsi="Times New Roman" w:cs="Times New Roman"/>
          <w:sz w:val="24"/>
          <w:szCs w:val="24"/>
        </w:rPr>
        <w:t>Free</w:t>
      </w:r>
      <w:r w:rsidR="002F5FB6">
        <w:rPr>
          <w:rFonts w:ascii="Times New Roman" w:hAnsi="Times New Roman" w:cs="Times New Roman"/>
          <w:sz w:val="24"/>
          <w:szCs w:val="24"/>
        </w:rPr>
        <w:t xml:space="preserve">, </w:t>
      </w:r>
      <w:r w:rsidR="002F5FB6" w:rsidRPr="002F5FB6">
        <w:rPr>
          <w:rFonts w:ascii="Times New Roman" w:hAnsi="Times New Roman" w:cs="Times New Roman"/>
          <w:sz w:val="24"/>
          <w:szCs w:val="24"/>
        </w:rPr>
        <w:t>Trotman</w:t>
      </w:r>
      <w:r w:rsidR="002F5FB6">
        <w:rPr>
          <w:rFonts w:ascii="Times New Roman" w:hAnsi="Times New Roman" w:cs="Times New Roman"/>
          <w:sz w:val="24"/>
          <w:szCs w:val="24"/>
        </w:rPr>
        <w:t xml:space="preserve">, &amp; </w:t>
      </w:r>
      <w:r w:rsidR="002F5FB6" w:rsidRPr="002F5FB6">
        <w:rPr>
          <w:rFonts w:ascii="Times New Roman" w:hAnsi="Times New Roman" w:cs="Times New Roman"/>
          <w:sz w:val="24"/>
          <w:szCs w:val="24"/>
        </w:rPr>
        <w:t>Trotman</w:t>
      </w:r>
      <w:r w:rsidR="0095471C">
        <w:rPr>
          <w:rFonts w:ascii="Times New Roman" w:hAnsi="Times New Roman" w:cs="Times New Roman"/>
          <w:sz w:val="24"/>
          <w:szCs w:val="24"/>
        </w:rPr>
        <w:t>,</w:t>
      </w:r>
      <w:r w:rsidR="00540273" w:rsidRPr="00BB02FF">
        <w:rPr>
          <w:rFonts w:ascii="Times New Roman" w:hAnsi="Times New Roman" w:cs="Times New Roman"/>
          <w:sz w:val="24"/>
          <w:szCs w:val="24"/>
        </w:rPr>
        <w:t xml:space="preserve"> 2021</w:t>
      </w:r>
      <w:r w:rsidR="00540273">
        <w:rPr>
          <w:rFonts w:ascii="Times New Roman" w:hAnsi="Times New Roman" w:cs="Times New Roman"/>
          <w:sz w:val="24"/>
          <w:szCs w:val="24"/>
        </w:rPr>
        <w:t>)</w:t>
      </w:r>
      <w:r w:rsidR="00540273" w:rsidRPr="00540273">
        <w:rPr>
          <w:rFonts w:ascii="Times New Roman" w:hAnsi="Times New Roman" w:cs="Times New Roman"/>
          <w:sz w:val="24"/>
          <w:szCs w:val="24"/>
        </w:rPr>
        <w:t>, several studies have close</w:t>
      </w:r>
      <w:r w:rsidR="00540273">
        <w:rPr>
          <w:rFonts w:ascii="Times New Roman" w:hAnsi="Times New Roman" w:cs="Times New Roman"/>
          <w:sz w:val="24"/>
          <w:szCs w:val="24"/>
        </w:rPr>
        <w:t>ly scrutinized</w:t>
      </w:r>
      <w:r w:rsidR="00540273" w:rsidRPr="00540273">
        <w:rPr>
          <w:rFonts w:ascii="Times New Roman" w:hAnsi="Times New Roman" w:cs="Times New Roman"/>
          <w:sz w:val="24"/>
          <w:szCs w:val="24"/>
        </w:rPr>
        <w:t xml:space="preserve"> </w:t>
      </w:r>
      <w:r w:rsidR="0095471C">
        <w:rPr>
          <w:rFonts w:ascii="Times New Roman" w:hAnsi="Times New Roman" w:cs="Times New Roman"/>
          <w:sz w:val="24"/>
          <w:szCs w:val="24"/>
        </w:rPr>
        <w:t>the</w:t>
      </w:r>
      <w:r w:rsidR="00EB34EA">
        <w:rPr>
          <w:rFonts w:ascii="Times New Roman" w:hAnsi="Times New Roman" w:cs="Times New Roman"/>
          <w:sz w:val="24"/>
          <w:szCs w:val="24"/>
        </w:rPr>
        <w:t>ir</w:t>
      </w:r>
      <w:r w:rsidR="0095471C">
        <w:rPr>
          <w:rFonts w:ascii="Times New Roman" w:hAnsi="Times New Roman" w:cs="Times New Roman"/>
          <w:sz w:val="24"/>
          <w:szCs w:val="24"/>
        </w:rPr>
        <w:t xml:space="preserve"> </w:t>
      </w:r>
      <w:r w:rsidR="00540273" w:rsidRPr="00540273">
        <w:rPr>
          <w:rFonts w:ascii="Times New Roman" w:hAnsi="Times New Roman" w:cs="Times New Roman"/>
          <w:sz w:val="24"/>
          <w:szCs w:val="24"/>
        </w:rPr>
        <w:t xml:space="preserve">influence </w:t>
      </w:r>
      <w:r w:rsidR="00896823">
        <w:rPr>
          <w:rFonts w:ascii="Times New Roman" w:hAnsi="Times New Roman" w:cs="Times New Roman"/>
          <w:sz w:val="24"/>
          <w:szCs w:val="24"/>
        </w:rPr>
        <w:t xml:space="preserve">(e.g., Krishnamoorthy et al., </w:t>
      </w:r>
      <w:r w:rsidR="00896823" w:rsidRPr="00896823">
        <w:rPr>
          <w:rFonts w:ascii="Times New Roman" w:hAnsi="Times New Roman" w:cs="Times New Roman"/>
          <w:sz w:val="24"/>
          <w:szCs w:val="24"/>
        </w:rPr>
        <w:t>2023</w:t>
      </w:r>
      <w:r w:rsidR="00896823">
        <w:rPr>
          <w:rFonts w:ascii="Times New Roman" w:hAnsi="Times New Roman" w:cs="Times New Roman"/>
          <w:sz w:val="24"/>
          <w:szCs w:val="24"/>
        </w:rPr>
        <w:t>;</w:t>
      </w:r>
      <w:r w:rsidR="000001CC">
        <w:rPr>
          <w:rFonts w:ascii="Times New Roman" w:hAnsi="Times New Roman" w:cs="Times New Roman"/>
          <w:sz w:val="24"/>
          <w:szCs w:val="24"/>
        </w:rPr>
        <w:t xml:space="preserve"> </w:t>
      </w:r>
      <w:r w:rsidR="00896823" w:rsidRPr="00FF4925">
        <w:rPr>
          <w:rFonts w:ascii="Times New Roman" w:hAnsi="Times New Roman" w:cs="Times New Roman"/>
          <w:sz w:val="24"/>
          <w:szCs w:val="24"/>
        </w:rPr>
        <w:t>Lee</w:t>
      </w:r>
      <w:r w:rsidR="00896823">
        <w:rPr>
          <w:rFonts w:ascii="Times New Roman" w:hAnsi="Times New Roman" w:cs="Times New Roman"/>
          <w:sz w:val="24"/>
          <w:szCs w:val="24"/>
        </w:rPr>
        <w:t>, 202</w:t>
      </w:r>
      <w:r w:rsidR="002110AA">
        <w:rPr>
          <w:rFonts w:ascii="Times New Roman" w:hAnsi="Times New Roman" w:cs="Times New Roman"/>
          <w:sz w:val="24"/>
          <w:szCs w:val="24"/>
        </w:rPr>
        <w:t>2</w:t>
      </w:r>
      <w:r w:rsidR="00896823">
        <w:rPr>
          <w:rFonts w:ascii="Times New Roman" w:hAnsi="Times New Roman" w:cs="Times New Roman"/>
          <w:sz w:val="24"/>
          <w:szCs w:val="24"/>
        </w:rPr>
        <w:t xml:space="preserve">; </w:t>
      </w:r>
      <w:proofErr w:type="spellStart"/>
      <w:r w:rsidR="00092FF2" w:rsidRPr="00092FF2">
        <w:rPr>
          <w:rFonts w:ascii="Times New Roman" w:hAnsi="Times New Roman" w:cs="Times New Roman"/>
          <w:sz w:val="24"/>
          <w:szCs w:val="24"/>
        </w:rPr>
        <w:t>Tanyi</w:t>
      </w:r>
      <w:proofErr w:type="spellEnd"/>
      <w:r w:rsidR="00092FF2" w:rsidRPr="00092FF2">
        <w:rPr>
          <w:rFonts w:ascii="Times New Roman" w:hAnsi="Times New Roman" w:cs="Times New Roman"/>
          <w:sz w:val="24"/>
          <w:szCs w:val="24"/>
        </w:rPr>
        <w:t xml:space="preserve"> </w:t>
      </w:r>
      <w:r w:rsidR="002F5FB6">
        <w:rPr>
          <w:rFonts w:ascii="Times New Roman" w:hAnsi="Times New Roman" w:cs="Times New Roman"/>
          <w:sz w:val="24"/>
          <w:szCs w:val="24"/>
        </w:rPr>
        <w:t>&amp; Smith</w:t>
      </w:r>
      <w:r w:rsidR="00896823">
        <w:rPr>
          <w:rFonts w:ascii="Times New Roman" w:hAnsi="Times New Roman" w:cs="Times New Roman"/>
          <w:sz w:val="24"/>
          <w:szCs w:val="24"/>
        </w:rPr>
        <w:t>,</w:t>
      </w:r>
      <w:r w:rsidR="00092FF2" w:rsidRPr="00092FF2">
        <w:rPr>
          <w:rFonts w:ascii="Times New Roman" w:hAnsi="Times New Roman" w:cs="Times New Roman"/>
          <w:sz w:val="24"/>
          <w:szCs w:val="24"/>
        </w:rPr>
        <w:t xml:space="preserve"> 2015)</w:t>
      </w:r>
      <w:r w:rsidR="00E92D5F">
        <w:rPr>
          <w:rFonts w:ascii="Times New Roman" w:hAnsi="Times New Roman" w:cs="Times New Roman"/>
          <w:sz w:val="24"/>
          <w:szCs w:val="24"/>
        </w:rPr>
        <w:t xml:space="preserve">. </w:t>
      </w:r>
    </w:p>
    <w:p w14:paraId="5837AA5B" w14:textId="7A29B74A" w:rsidR="00364B78" w:rsidRPr="00FD7B1D" w:rsidRDefault="00CC7E64" w:rsidP="00593112">
      <w:pPr>
        <w:spacing w:line="480" w:lineRule="auto"/>
        <w:ind w:left="283" w:firstLine="421"/>
        <w:rPr>
          <w:rFonts w:ascii="Times New Roman" w:hAnsi="Times New Roman" w:cs="Times New Roman"/>
          <w:sz w:val="24"/>
          <w:szCs w:val="24"/>
        </w:rPr>
      </w:pPr>
      <w:r>
        <w:rPr>
          <w:rFonts w:ascii="Times New Roman" w:hAnsi="Times New Roman" w:cs="Times New Roman"/>
          <w:sz w:val="24"/>
          <w:szCs w:val="24"/>
        </w:rPr>
        <w:lastRenderedPageBreak/>
        <w:t>Extending this line of research,</w:t>
      </w:r>
      <w:r w:rsidR="00F255CE">
        <w:rPr>
          <w:rFonts w:ascii="Times New Roman" w:hAnsi="Times New Roman" w:cs="Times New Roman"/>
          <w:sz w:val="24"/>
          <w:szCs w:val="24"/>
        </w:rPr>
        <w:t xml:space="preserve"> </w:t>
      </w:r>
      <w:r w:rsidR="00BB02FF" w:rsidRPr="00BB02FF">
        <w:rPr>
          <w:rFonts w:ascii="Times New Roman" w:hAnsi="Times New Roman" w:cs="Times New Roman"/>
          <w:sz w:val="24"/>
          <w:szCs w:val="24"/>
        </w:rPr>
        <w:t xml:space="preserve">we </w:t>
      </w:r>
      <w:r w:rsidR="002C50D4">
        <w:rPr>
          <w:rFonts w:ascii="Times New Roman" w:hAnsi="Times New Roman" w:cs="Times New Roman"/>
          <w:sz w:val="24"/>
          <w:szCs w:val="24"/>
        </w:rPr>
        <w:t>go</w:t>
      </w:r>
      <w:r w:rsidR="00BB02FF" w:rsidRPr="00BB02FF">
        <w:rPr>
          <w:rFonts w:ascii="Times New Roman" w:hAnsi="Times New Roman" w:cs="Times New Roman"/>
          <w:sz w:val="24"/>
          <w:szCs w:val="24"/>
        </w:rPr>
        <w:t xml:space="preserve"> beyond the conventional</w:t>
      </w:r>
      <w:r w:rsidR="002B7C7D">
        <w:rPr>
          <w:rFonts w:ascii="Times New Roman" w:hAnsi="Times New Roman" w:cs="Times New Roman"/>
          <w:sz w:val="24"/>
          <w:szCs w:val="24"/>
        </w:rPr>
        <w:t>ly examined</w:t>
      </w:r>
      <w:r w:rsidR="00BB02FF" w:rsidRPr="00BB02FF">
        <w:rPr>
          <w:rFonts w:ascii="Times New Roman" w:hAnsi="Times New Roman" w:cs="Times New Roman"/>
          <w:sz w:val="24"/>
          <w:szCs w:val="24"/>
        </w:rPr>
        <w:t xml:space="preserve"> characteristics of AC members</w:t>
      </w:r>
      <w:r w:rsidR="002C50D4">
        <w:rPr>
          <w:rFonts w:ascii="Times New Roman" w:hAnsi="Times New Roman" w:cs="Times New Roman"/>
          <w:sz w:val="24"/>
          <w:szCs w:val="24"/>
        </w:rPr>
        <w:t xml:space="preserve"> </w:t>
      </w:r>
      <w:r w:rsidR="00BB02FF" w:rsidRPr="00BB02FF">
        <w:rPr>
          <w:rFonts w:ascii="Times New Roman" w:hAnsi="Times New Roman" w:cs="Times New Roman"/>
          <w:sz w:val="24"/>
          <w:szCs w:val="24"/>
        </w:rPr>
        <w:t xml:space="preserve">to focus on a salient but less visible </w:t>
      </w:r>
      <w:r w:rsidR="002B7C7D">
        <w:rPr>
          <w:rFonts w:ascii="Times New Roman" w:hAnsi="Times New Roman" w:cs="Times New Roman"/>
          <w:sz w:val="24"/>
          <w:szCs w:val="24"/>
        </w:rPr>
        <w:t>trait</w:t>
      </w:r>
      <w:r w:rsidR="002C50D4">
        <w:rPr>
          <w:rFonts w:ascii="Times New Roman" w:hAnsi="Times New Roman" w:cs="Times New Roman"/>
          <w:sz w:val="24"/>
          <w:szCs w:val="24"/>
        </w:rPr>
        <w:t>-the</w:t>
      </w:r>
      <w:r w:rsidR="002C50D4" w:rsidRPr="00BB02FF">
        <w:rPr>
          <w:rFonts w:ascii="Times New Roman" w:hAnsi="Times New Roman" w:cs="Times New Roman"/>
          <w:sz w:val="24"/>
          <w:szCs w:val="24"/>
        </w:rPr>
        <w:t xml:space="preserve"> AC chair</w:t>
      </w:r>
      <w:r w:rsidR="002C50D4">
        <w:rPr>
          <w:rFonts w:ascii="Times New Roman" w:hAnsi="Times New Roman" w:cs="Times New Roman"/>
          <w:sz w:val="24"/>
          <w:szCs w:val="24"/>
        </w:rPr>
        <w:t xml:space="preserve">’s </w:t>
      </w:r>
      <w:r w:rsidR="002C50D4" w:rsidRPr="00BB02FF">
        <w:rPr>
          <w:rFonts w:ascii="Times New Roman" w:hAnsi="Times New Roman" w:cs="Times New Roman"/>
          <w:sz w:val="24"/>
          <w:szCs w:val="24"/>
        </w:rPr>
        <w:t>narcissism</w:t>
      </w:r>
      <w:r w:rsidR="002C50D4">
        <w:rPr>
          <w:rFonts w:ascii="Times New Roman" w:hAnsi="Times New Roman" w:cs="Times New Roman"/>
          <w:sz w:val="24"/>
          <w:szCs w:val="24"/>
        </w:rPr>
        <w:t>-that</w:t>
      </w:r>
      <w:r w:rsidR="002B7C7D">
        <w:rPr>
          <w:rFonts w:ascii="Times New Roman" w:hAnsi="Times New Roman" w:cs="Times New Roman"/>
          <w:sz w:val="24"/>
          <w:szCs w:val="24"/>
        </w:rPr>
        <w:t xml:space="preserve"> may </w:t>
      </w:r>
      <w:r w:rsidR="00BB02FF" w:rsidRPr="00BB02FF">
        <w:rPr>
          <w:rFonts w:ascii="Times New Roman" w:hAnsi="Times New Roman" w:cs="Times New Roman"/>
          <w:sz w:val="24"/>
          <w:szCs w:val="24"/>
        </w:rPr>
        <w:t>shap</w:t>
      </w:r>
      <w:r w:rsidR="002B7C7D">
        <w:rPr>
          <w:rFonts w:ascii="Times New Roman" w:hAnsi="Times New Roman" w:cs="Times New Roman"/>
          <w:sz w:val="24"/>
          <w:szCs w:val="24"/>
        </w:rPr>
        <w:t>e</w:t>
      </w:r>
      <w:r w:rsidR="00BB02FF" w:rsidRPr="00BB02FF">
        <w:rPr>
          <w:rFonts w:ascii="Times New Roman" w:hAnsi="Times New Roman" w:cs="Times New Roman"/>
          <w:sz w:val="24"/>
          <w:szCs w:val="24"/>
        </w:rPr>
        <w:t xml:space="preserve"> financial reporting decisions. Prior accounting studies show that having narcissistic CEOs and CFOs deteriorates financial reporting quality (</w:t>
      </w:r>
      <w:r w:rsidR="000F5A99">
        <w:rPr>
          <w:rFonts w:ascii="Times New Roman" w:hAnsi="Times New Roman" w:cs="Times New Roman"/>
          <w:sz w:val="24"/>
          <w:szCs w:val="24"/>
        </w:rPr>
        <w:t xml:space="preserve">e.g., </w:t>
      </w:r>
      <w:proofErr w:type="spellStart"/>
      <w:r w:rsidR="00BB02FF" w:rsidRPr="00BB02FF">
        <w:rPr>
          <w:rFonts w:ascii="Times New Roman" w:hAnsi="Times New Roman" w:cs="Times New Roman"/>
          <w:sz w:val="24"/>
          <w:szCs w:val="24"/>
        </w:rPr>
        <w:t>Capalbo</w:t>
      </w:r>
      <w:proofErr w:type="spellEnd"/>
      <w:r w:rsidR="002F5FB6">
        <w:rPr>
          <w:rFonts w:ascii="Times New Roman" w:hAnsi="Times New Roman" w:cs="Times New Roman"/>
          <w:sz w:val="24"/>
          <w:szCs w:val="24"/>
        </w:rPr>
        <w:t xml:space="preserve">, </w:t>
      </w:r>
      <w:proofErr w:type="spellStart"/>
      <w:r w:rsidR="002F5FB6" w:rsidRPr="002F5FB6">
        <w:rPr>
          <w:rFonts w:ascii="Times New Roman" w:hAnsi="Times New Roman" w:cs="Times New Roman"/>
          <w:sz w:val="24"/>
          <w:szCs w:val="24"/>
        </w:rPr>
        <w:t>Frino</w:t>
      </w:r>
      <w:proofErr w:type="spellEnd"/>
      <w:r w:rsidR="002F5FB6">
        <w:rPr>
          <w:rFonts w:ascii="Times New Roman" w:hAnsi="Times New Roman" w:cs="Times New Roman"/>
          <w:sz w:val="24"/>
          <w:szCs w:val="24"/>
        </w:rPr>
        <w:t xml:space="preserve">, </w:t>
      </w:r>
      <w:r w:rsidR="002F5FB6" w:rsidRPr="002F5FB6">
        <w:rPr>
          <w:rFonts w:ascii="Times New Roman" w:hAnsi="Times New Roman" w:cs="Times New Roman"/>
          <w:sz w:val="24"/>
          <w:szCs w:val="24"/>
        </w:rPr>
        <w:t>Lim</w:t>
      </w:r>
      <w:r w:rsidR="002F5FB6">
        <w:rPr>
          <w:rFonts w:ascii="Times New Roman" w:hAnsi="Times New Roman" w:cs="Times New Roman"/>
          <w:sz w:val="24"/>
          <w:szCs w:val="24"/>
        </w:rPr>
        <w:t xml:space="preserve">, </w:t>
      </w:r>
      <w:r w:rsidR="002F5FB6" w:rsidRPr="002F5FB6">
        <w:rPr>
          <w:rFonts w:ascii="Times New Roman" w:hAnsi="Times New Roman" w:cs="Times New Roman"/>
          <w:sz w:val="24"/>
          <w:szCs w:val="24"/>
        </w:rPr>
        <w:t>Mollica</w:t>
      </w:r>
      <w:r w:rsidR="002F5FB6">
        <w:rPr>
          <w:rFonts w:ascii="Times New Roman" w:hAnsi="Times New Roman" w:cs="Times New Roman"/>
          <w:sz w:val="24"/>
          <w:szCs w:val="24"/>
        </w:rPr>
        <w:t xml:space="preserve">, &amp; </w:t>
      </w:r>
      <w:r w:rsidR="002F5FB6" w:rsidRPr="002F5FB6">
        <w:rPr>
          <w:rFonts w:ascii="Times New Roman" w:hAnsi="Times New Roman" w:cs="Times New Roman"/>
          <w:sz w:val="24"/>
          <w:szCs w:val="24"/>
        </w:rPr>
        <w:t>Palumbo</w:t>
      </w:r>
      <w:r w:rsidR="002B7C7D">
        <w:rPr>
          <w:rFonts w:ascii="Times New Roman" w:hAnsi="Times New Roman" w:cs="Times New Roman"/>
          <w:sz w:val="24"/>
          <w:szCs w:val="24"/>
        </w:rPr>
        <w:t>,</w:t>
      </w:r>
      <w:r w:rsidR="00BB02FF" w:rsidRPr="00BB02FF">
        <w:rPr>
          <w:rFonts w:ascii="Times New Roman" w:hAnsi="Times New Roman" w:cs="Times New Roman"/>
          <w:sz w:val="24"/>
          <w:szCs w:val="24"/>
        </w:rPr>
        <w:t xml:space="preserve"> 2018; Ham et al.</w:t>
      </w:r>
      <w:r w:rsidR="002B7C7D">
        <w:rPr>
          <w:rFonts w:ascii="Times New Roman" w:hAnsi="Times New Roman" w:cs="Times New Roman"/>
          <w:sz w:val="24"/>
          <w:szCs w:val="24"/>
        </w:rPr>
        <w:t>,</w:t>
      </w:r>
      <w:r w:rsidR="00BB02FF" w:rsidRPr="00BB02FF">
        <w:rPr>
          <w:rFonts w:ascii="Times New Roman" w:hAnsi="Times New Roman" w:cs="Times New Roman"/>
          <w:sz w:val="24"/>
          <w:szCs w:val="24"/>
        </w:rPr>
        <w:t xml:space="preserve"> 2017; Olsen et al.</w:t>
      </w:r>
      <w:r w:rsidR="002B7C7D">
        <w:rPr>
          <w:rFonts w:ascii="Times New Roman" w:hAnsi="Times New Roman" w:cs="Times New Roman"/>
          <w:sz w:val="24"/>
          <w:szCs w:val="24"/>
        </w:rPr>
        <w:t>,</w:t>
      </w:r>
      <w:r w:rsidR="00BB02FF" w:rsidRPr="00BB02FF">
        <w:rPr>
          <w:rFonts w:ascii="Times New Roman" w:hAnsi="Times New Roman" w:cs="Times New Roman"/>
          <w:sz w:val="24"/>
          <w:szCs w:val="24"/>
        </w:rPr>
        <w:t xml:space="preserve"> 2014). However, less is known about how narcissism influences </w:t>
      </w:r>
      <w:r w:rsidR="00593112">
        <w:rPr>
          <w:rFonts w:ascii="Times New Roman" w:hAnsi="Times New Roman" w:cs="Times New Roman"/>
          <w:sz w:val="24"/>
          <w:szCs w:val="24"/>
        </w:rPr>
        <w:t>AC members</w:t>
      </w:r>
      <w:r w:rsidR="00BB02FF" w:rsidRPr="00BB02FF">
        <w:rPr>
          <w:rFonts w:ascii="Times New Roman" w:hAnsi="Times New Roman" w:cs="Times New Roman"/>
          <w:sz w:val="24"/>
          <w:szCs w:val="24"/>
        </w:rPr>
        <w:t>. Arguably, having this trait might be a double-edged sword</w:t>
      </w:r>
      <w:r w:rsidR="002C50D4">
        <w:rPr>
          <w:rFonts w:ascii="Times New Roman" w:hAnsi="Times New Roman" w:cs="Times New Roman"/>
          <w:sz w:val="24"/>
          <w:szCs w:val="24"/>
        </w:rPr>
        <w:t>,</w:t>
      </w:r>
      <w:r w:rsidR="00BB02FF" w:rsidRPr="00BB02FF">
        <w:rPr>
          <w:rFonts w:ascii="Times New Roman" w:hAnsi="Times New Roman" w:cs="Times New Roman"/>
          <w:sz w:val="24"/>
          <w:szCs w:val="24"/>
        </w:rPr>
        <w:t xml:space="preserve"> either improving or deteriorating the quality of monitoring. In the next section, we explore this in </w:t>
      </w:r>
      <w:r w:rsidR="007A4644" w:rsidRPr="00BB02FF">
        <w:rPr>
          <w:rFonts w:ascii="Times New Roman" w:hAnsi="Times New Roman" w:cs="Times New Roman"/>
          <w:sz w:val="24"/>
          <w:szCs w:val="24"/>
        </w:rPr>
        <w:t>detail</w:t>
      </w:r>
      <w:r w:rsidR="00BB02FF" w:rsidRPr="00BB02FF">
        <w:rPr>
          <w:rFonts w:ascii="Times New Roman" w:hAnsi="Times New Roman" w:cs="Times New Roman"/>
          <w:sz w:val="24"/>
          <w:szCs w:val="24"/>
        </w:rPr>
        <w:t>.</w:t>
      </w:r>
    </w:p>
    <w:p w14:paraId="4CC213EF" w14:textId="06A0CB3C" w:rsidR="00BA7943" w:rsidRDefault="00091BB2" w:rsidP="00761808">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4.2</w:t>
      </w:r>
      <w:r w:rsidR="00364B78">
        <w:rPr>
          <w:rFonts w:asciiTheme="majorBidi" w:hAnsiTheme="majorBidi"/>
          <w:i/>
          <w:iCs/>
          <w:color w:val="000000" w:themeColor="text1"/>
          <w:sz w:val="28"/>
          <w:szCs w:val="28"/>
        </w:rPr>
        <w:t xml:space="preserve"> </w:t>
      </w:r>
      <w:r w:rsidR="00BA7943">
        <w:rPr>
          <w:rFonts w:asciiTheme="majorBidi" w:hAnsiTheme="majorBidi"/>
          <w:i/>
          <w:iCs/>
          <w:color w:val="000000" w:themeColor="text1"/>
          <w:sz w:val="28"/>
          <w:szCs w:val="28"/>
        </w:rPr>
        <w:t>Hypothesis development</w:t>
      </w:r>
    </w:p>
    <w:p w14:paraId="01C4CFE4" w14:textId="42DEECD9" w:rsidR="004E0DDE" w:rsidRPr="005E73C2" w:rsidRDefault="00BA7943" w:rsidP="00FD7B1D">
      <w:pPr>
        <w:pStyle w:val="Heading2"/>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4.2.1 </w:t>
      </w:r>
      <w:r w:rsidR="004E0DDE" w:rsidRPr="005E73C2">
        <w:rPr>
          <w:rFonts w:asciiTheme="majorBidi" w:hAnsiTheme="majorBidi"/>
          <w:i/>
          <w:iCs/>
          <w:color w:val="000000" w:themeColor="text1"/>
          <w:sz w:val="28"/>
          <w:szCs w:val="28"/>
        </w:rPr>
        <w:t xml:space="preserve">The </w:t>
      </w:r>
      <w:r w:rsidR="002528F2" w:rsidRPr="005E73C2">
        <w:rPr>
          <w:rFonts w:asciiTheme="majorBidi" w:hAnsiTheme="majorBidi"/>
          <w:i/>
          <w:iCs/>
          <w:color w:val="000000" w:themeColor="text1"/>
          <w:sz w:val="28"/>
          <w:szCs w:val="28"/>
        </w:rPr>
        <w:t xml:space="preserve">bright side </w:t>
      </w:r>
      <w:r w:rsidR="004E0DDE" w:rsidRPr="005E73C2">
        <w:rPr>
          <w:rFonts w:asciiTheme="majorBidi" w:hAnsiTheme="majorBidi"/>
          <w:i/>
          <w:iCs/>
          <w:color w:val="000000" w:themeColor="text1"/>
          <w:sz w:val="28"/>
          <w:szCs w:val="28"/>
        </w:rPr>
        <w:t xml:space="preserve">of AC </w:t>
      </w:r>
      <w:r w:rsidR="002528F2" w:rsidRPr="005E73C2">
        <w:rPr>
          <w:rFonts w:asciiTheme="majorBidi" w:hAnsiTheme="majorBidi"/>
          <w:i/>
          <w:iCs/>
          <w:color w:val="000000" w:themeColor="text1"/>
          <w:sz w:val="28"/>
          <w:szCs w:val="28"/>
        </w:rPr>
        <w:t>chair narcissism</w:t>
      </w:r>
    </w:p>
    <w:p w14:paraId="7668016B" w14:textId="0756F304" w:rsidR="004E0DDE" w:rsidRPr="005E73C2" w:rsidRDefault="005A49A3" w:rsidP="005A49A3">
      <w:pPr>
        <w:spacing w:line="480" w:lineRule="auto"/>
        <w:ind w:left="284" w:firstLine="420"/>
        <w:rPr>
          <w:rFonts w:asciiTheme="majorBidi" w:hAnsiTheme="majorBidi" w:cstheme="majorBidi"/>
          <w:b/>
          <w:bCs/>
          <w:color w:val="000000" w:themeColor="text1"/>
          <w:sz w:val="24"/>
          <w:szCs w:val="28"/>
        </w:rPr>
      </w:pPr>
      <w:r w:rsidRPr="005A49A3">
        <w:rPr>
          <w:rFonts w:asciiTheme="majorBidi" w:hAnsiTheme="majorBidi" w:cstheme="majorBidi"/>
          <w:color w:val="000000" w:themeColor="text1"/>
          <w:sz w:val="24"/>
          <w:szCs w:val="28"/>
        </w:rPr>
        <w:t>As previously discussed</w:t>
      </w:r>
      <w:r>
        <w:rPr>
          <w:rFonts w:asciiTheme="majorBidi" w:hAnsiTheme="majorBidi" w:cstheme="majorBidi"/>
          <w:color w:val="000000" w:themeColor="text1"/>
          <w:sz w:val="24"/>
          <w:szCs w:val="28"/>
        </w:rPr>
        <w:t xml:space="preserve"> in section 3</w:t>
      </w:r>
      <w:r w:rsidRPr="005A49A3">
        <w:rPr>
          <w:rFonts w:asciiTheme="majorBidi" w:hAnsiTheme="majorBidi" w:cstheme="majorBidi"/>
          <w:color w:val="000000" w:themeColor="text1"/>
          <w:sz w:val="24"/>
          <w:szCs w:val="28"/>
        </w:rPr>
        <w:t xml:space="preserve">, we integrate agency theory and upper echelons theory to provide a comprehensive understanding of the role of </w:t>
      </w:r>
      <w:r w:rsidRPr="005E73C2">
        <w:rPr>
          <w:rFonts w:asciiTheme="majorBidi" w:hAnsiTheme="majorBidi" w:cstheme="majorBidi"/>
          <w:color w:val="000000" w:themeColor="text1"/>
          <w:sz w:val="24"/>
          <w:szCs w:val="28"/>
        </w:rPr>
        <w:t xml:space="preserve">narcissistic </w:t>
      </w:r>
      <w:r w:rsidRPr="005A49A3">
        <w:rPr>
          <w:rFonts w:asciiTheme="majorBidi" w:hAnsiTheme="majorBidi" w:cstheme="majorBidi"/>
          <w:color w:val="000000" w:themeColor="text1"/>
          <w:sz w:val="24"/>
          <w:szCs w:val="28"/>
        </w:rPr>
        <w:t>AC chair</w:t>
      </w:r>
      <w:r w:rsidR="00EB34EA">
        <w:rPr>
          <w:rFonts w:asciiTheme="majorBidi" w:hAnsiTheme="majorBidi" w:cstheme="majorBidi"/>
          <w:color w:val="000000" w:themeColor="text1"/>
          <w:sz w:val="24"/>
          <w:szCs w:val="28"/>
        </w:rPr>
        <w:t>s</w:t>
      </w:r>
      <w:r w:rsidRPr="005A49A3">
        <w:rPr>
          <w:rFonts w:asciiTheme="majorBidi" w:hAnsiTheme="majorBidi" w:cstheme="majorBidi"/>
          <w:color w:val="000000" w:themeColor="text1"/>
          <w:sz w:val="24"/>
          <w:szCs w:val="28"/>
        </w:rPr>
        <w:t xml:space="preserve">. </w:t>
      </w:r>
      <w:proofErr w:type="gramStart"/>
      <w:r w:rsidRPr="005A49A3">
        <w:rPr>
          <w:rFonts w:asciiTheme="majorBidi" w:hAnsiTheme="majorBidi" w:cstheme="majorBidi"/>
          <w:color w:val="000000" w:themeColor="text1"/>
          <w:sz w:val="24"/>
          <w:szCs w:val="28"/>
        </w:rPr>
        <w:t>In particular,</w:t>
      </w:r>
      <w:r>
        <w:rPr>
          <w:rFonts w:asciiTheme="majorBidi" w:hAnsiTheme="majorBidi" w:cstheme="majorBidi"/>
          <w:color w:val="000000" w:themeColor="text1"/>
          <w:sz w:val="24"/>
          <w:szCs w:val="28"/>
        </w:rPr>
        <w:t xml:space="preserve"> b</w:t>
      </w:r>
      <w:r w:rsidR="00EF314F">
        <w:rPr>
          <w:rFonts w:asciiTheme="majorBidi" w:hAnsiTheme="majorBidi" w:cstheme="majorBidi"/>
          <w:color w:val="000000" w:themeColor="text1"/>
          <w:sz w:val="24"/>
          <w:szCs w:val="28"/>
        </w:rPr>
        <w:t>ased</w:t>
      </w:r>
      <w:proofErr w:type="gramEnd"/>
      <w:r w:rsidR="00EF314F">
        <w:rPr>
          <w:rFonts w:asciiTheme="majorBidi" w:hAnsiTheme="majorBidi" w:cstheme="majorBidi"/>
          <w:color w:val="000000" w:themeColor="text1"/>
          <w:sz w:val="24"/>
          <w:szCs w:val="28"/>
        </w:rPr>
        <w:t xml:space="preserve"> on the characteristics of narcissism inherent in the</w:t>
      </w:r>
      <w:r w:rsidR="00D06177">
        <w:rPr>
          <w:rFonts w:asciiTheme="majorBidi" w:hAnsiTheme="majorBidi" w:cstheme="majorBidi"/>
          <w:color w:val="000000" w:themeColor="text1"/>
          <w:sz w:val="24"/>
          <w:szCs w:val="28"/>
        </w:rPr>
        <w:t xml:space="preserve"> </w:t>
      </w:r>
      <w:r w:rsidR="00EF314F">
        <w:rPr>
          <w:rFonts w:asciiTheme="majorBidi" w:hAnsiTheme="majorBidi" w:cstheme="majorBidi"/>
          <w:color w:val="000000" w:themeColor="text1"/>
          <w:sz w:val="24"/>
          <w:szCs w:val="28"/>
        </w:rPr>
        <w:t>dynamic self-regulatory system</w:t>
      </w:r>
      <w:r w:rsidR="002B1B9F">
        <w:rPr>
          <w:rFonts w:asciiTheme="majorBidi" w:hAnsiTheme="majorBidi" w:cstheme="majorBidi"/>
          <w:color w:val="000000" w:themeColor="text1"/>
          <w:sz w:val="24"/>
          <w:szCs w:val="28"/>
        </w:rPr>
        <w:t xml:space="preserve"> (</w:t>
      </w:r>
      <w:r w:rsidR="002B1B9F" w:rsidRPr="00F12695">
        <w:rPr>
          <w:rFonts w:asciiTheme="majorBidi" w:hAnsiTheme="majorBidi" w:cstheme="majorBidi"/>
          <w:color w:val="000000" w:themeColor="text1"/>
          <w:sz w:val="24"/>
          <w:szCs w:val="28"/>
        </w:rPr>
        <w:t>Cragun</w:t>
      </w:r>
      <w:r w:rsidR="002B1B9F">
        <w:rPr>
          <w:rFonts w:asciiTheme="majorBidi" w:hAnsiTheme="majorBidi" w:cstheme="majorBidi"/>
          <w:color w:val="000000" w:themeColor="text1"/>
          <w:sz w:val="24"/>
          <w:szCs w:val="28"/>
        </w:rPr>
        <w:t xml:space="preserve">, </w:t>
      </w:r>
      <w:r w:rsidR="002B1B9F" w:rsidRPr="00646D37">
        <w:rPr>
          <w:rFonts w:asciiTheme="majorBidi" w:hAnsiTheme="majorBidi" w:cstheme="majorBidi"/>
          <w:color w:val="000000" w:themeColor="text1"/>
          <w:sz w:val="24"/>
          <w:szCs w:val="28"/>
        </w:rPr>
        <w:t>Olsen</w:t>
      </w:r>
      <w:r w:rsidR="002B1B9F">
        <w:rPr>
          <w:rFonts w:asciiTheme="majorBidi" w:hAnsiTheme="majorBidi" w:cstheme="majorBidi"/>
          <w:color w:val="000000" w:themeColor="text1"/>
          <w:sz w:val="24"/>
          <w:szCs w:val="28"/>
        </w:rPr>
        <w:t xml:space="preserve">, </w:t>
      </w:r>
      <w:r w:rsidR="002110AA">
        <w:rPr>
          <w:rFonts w:asciiTheme="majorBidi" w:hAnsiTheme="majorBidi" w:cstheme="majorBidi"/>
          <w:color w:val="000000" w:themeColor="text1"/>
          <w:sz w:val="24"/>
          <w:szCs w:val="28"/>
        </w:rPr>
        <w:t>&amp;</w:t>
      </w:r>
      <w:r w:rsidR="002B1B9F">
        <w:rPr>
          <w:rFonts w:asciiTheme="majorBidi" w:hAnsiTheme="majorBidi" w:cstheme="majorBidi"/>
          <w:color w:val="000000" w:themeColor="text1"/>
          <w:sz w:val="24"/>
          <w:szCs w:val="28"/>
        </w:rPr>
        <w:t xml:space="preserve"> </w:t>
      </w:r>
      <w:r w:rsidR="002B1B9F" w:rsidRPr="00646D37">
        <w:rPr>
          <w:rFonts w:asciiTheme="majorBidi" w:hAnsiTheme="majorBidi" w:cstheme="majorBidi"/>
          <w:color w:val="000000" w:themeColor="text1"/>
          <w:sz w:val="24"/>
          <w:szCs w:val="28"/>
        </w:rPr>
        <w:t>Wright</w:t>
      </w:r>
      <w:r w:rsidR="002B1B9F">
        <w:rPr>
          <w:rFonts w:asciiTheme="majorBidi" w:hAnsiTheme="majorBidi" w:cstheme="majorBidi"/>
          <w:color w:val="000000" w:themeColor="text1"/>
          <w:sz w:val="24"/>
          <w:szCs w:val="28"/>
        </w:rPr>
        <w:t>, 2020)</w:t>
      </w:r>
      <w:r w:rsidR="00EF314F">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the </w:t>
      </w:r>
      <w:r w:rsidR="002B1B9F">
        <w:rPr>
          <w:rFonts w:asciiTheme="majorBidi" w:hAnsiTheme="majorBidi" w:cstheme="majorBidi"/>
          <w:color w:val="000000" w:themeColor="text1"/>
          <w:sz w:val="24"/>
          <w:szCs w:val="28"/>
        </w:rPr>
        <w:t xml:space="preserve">quality of </w:t>
      </w:r>
      <w:r w:rsidR="004E0DDE" w:rsidRPr="005E73C2">
        <w:rPr>
          <w:rFonts w:asciiTheme="majorBidi" w:hAnsiTheme="majorBidi" w:cstheme="majorBidi"/>
          <w:color w:val="000000" w:themeColor="text1"/>
          <w:sz w:val="24"/>
          <w:szCs w:val="28"/>
        </w:rPr>
        <w:t xml:space="preserve">monitoring exerted by </w:t>
      </w:r>
      <w:r w:rsidR="002B1B9F" w:rsidRPr="005E73C2">
        <w:rPr>
          <w:rFonts w:asciiTheme="majorBidi" w:hAnsiTheme="majorBidi" w:cstheme="majorBidi"/>
          <w:color w:val="000000" w:themeColor="text1"/>
          <w:sz w:val="24"/>
          <w:szCs w:val="28"/>
        </w:rPr>
        <w:t xml:space="preserve">narcissistic </w:t>
      </w:r>
      <w:r w:rsidR="004E0DDE" w:rsidRPr="005E73C2">
        <w:rPr>
          <w:rFonts w:asciiTheme="majorBidi" w:hAnsiTheme="majorBidi" w:cstheme="majorBidi"/>
          <w:color w:val="000000" w:themeColor="text1"/>
          <w:sz w:val="24"/>
          <w:szCs w:val="28"/>
        </w:rPr>
        <w:t xml:space="preserve">AC chairs </w:t>
      </w:r>
      <w:r w:rsidR="00D06177">
        <w:rPr>
          <w:rFonts w:asciiTheme="majorBidi" w:hAnsiTheme="majorBidi" w:cstheme="majorBidi"/>
          <w:color w:val="000000" w:themeColor="text1"/>
          <w:sz w:val="24"/>
          <w:szCs w:val="28"/>
        </w:rPr>
        <w:t xml:space="preserve">may be enhanced </w:t>
      </w:r>
      <w:r w:rsidR="004E0DDE" w:rsidRPr="005E73C2">
        <w:rPr>
          <w:rFonts w:asciiTheme="majorBidi" w:hAnsiTheme="majorBidi" w:cstheme="majorBidi"/>
          <w:color w:val="000000" w:themeColor="text1"/>
          <w:sz w:val="24"/>
          <w:szCs w:val="28"/>
        </w:rPr>
        <w:t xml:space="preserve">in three ways. First, narcissists are motivated by receiving praise from others and striving for self-sufficiency and perfection </w:t>
      </w:r>
      <w:r w:rsidR="004E0DDE" w:rsidRPr="005E73C2">
        <w:rPr>
          <w:rFonts w:asciiTheme="majorBidi" w:hAnsiTheme="majorBidi" w:cstheme="majorBidi"/>
          <w:noProof/>
          <w:color w:val="000000" w:themeColor="text1"/>
          <w:sz w:val="24"/>
          <w:szCs w:val="28"/>
        </w:rPr>
        <w:t xml:space="preserve">(Raskin </w:t>
      </w:r>
      <w:r w:rsidR="00D06177">
        <w:rPr>
          <w:rFonts w:asciiTheme="majorBidi" w:hAnsiTheme="majorBidi" w:cstheme="majorBidi"/>
          <w:noProof/>
          <w:color w:val="000000" w:themeColor="text1"/>
          <w:sz w:val="24"/>
          <w:szCs w:val="28"/>
        </w:rPr>
        <w:t>&amp;</w:t>
      </w:r>
      <w:r w:rsidR="00D06177" w:rsidRPr="005E73C2">
        <w:rPr>
          <w:rFonts w:asciiTheme="majorBidi" w:hAnsiTheme="majorBidi" w:cstheme="majorBidi"/>
          <w:noProof/>
          <w:color w:val="000000" w:themeColor="text1"/>
          <w:sz w:val="24"/>
          <w:szCs w:val="28"/>
        </w:rPr>
        <w:t xml:space="preserve"> </w:t>
      </w:r>
      <w:r w:rsidR="004E0DDE" w:rsidRPr="005E73C2">
        <w:rPr>
          <w:rFonts w:asciiTheme="majorBidi" w:hAnsiTheme="majorBidi" w:cstheme="majorBidi"/>
          <w:noProof/>
          <w:color w:val="000000" w:themeColor="text1"/>
          <w:sz w:val="24"/>
          <w:szCs w:val="28"/>
        </w:rPr>
        <w:t>Terry</w:t>
      </w:r>
      <w:r w:rsidR="00D06177">
        <w:rPr>
          <w:rFonts w:asciiTheme="majorBidi" w:hAnsiTheme="majorBidi" w:cstheme="majorBidi"/>
          <w:noProof/>
          <w:color w:val="000000" w:themeColor="text1"/>
          <w:sz w:val="24"/>
          <w:szCs w:val="28"/>
        </w:rPr>
        <w:t>,</w:t>
      </w:r>
      <w:r w:rsidR="004E0DDE" w:rsidRPr="005E73C2">
        <w:rPr>
          <w:rFonts w:asciiTheme="majorBidi" w:hAnsiTheme="majorBidi" w:cstheme="majorBidi"/>
          <w:noProof/>
          <w:color w:val="000000" w:themeColor="text1"/>
          <w:sz w:val="24"/>
          <w:szCs w:val="28"/>
        </w:rPr>
        <w:t xml:space="preserve"> 1988)</w:t>
      </w:r>
      <w:r w:rsidR="004E0DDE" w:rsidRPr="005E73C2">
        <w:rPr>
          <w:rFonts w:asciiTheme="majorBidi" w:hAnsiTheme="majorBidi" w:cstheme="majorBidi"/>
          <w:color w:val="000000" w:themeColor="text1"/>
          <w:sz w:val="24"/>
          <w:szCs w:val="28"/>
        </w:rPr>
        <w:t xml:space="preserve">, which might enhance the effectiveness of their monitoring role. </w:t>
      </w:r>
      <w:r w:rsidR="002B1B9F">
        <w:rPr>
          <w:rFonts w:asciiTheme="majorBidi" w:hAnsiTheme="majorBidi" w:cstheme="majorBidi"/>
          <w:color w:val="000000" w:themeColor="text1"/>
          <w:sz w:val="24"/>
          <w:szCs w:val="28"/>
        </w:rPr>
        <w:t>N</w:t>
      </w:r>
      <w:r w:rsidR="004E0DDE" w:rsidRPr="005E73C2">
        <w:rPr>
          <w:rFonts w:asciiTheme="majorBidi" w:hAnsiTheme="majorBidi" w:cstheme="majorBidi"/>
          <w:color w:val="000000" w:themeColor="text1"/>
          <w:sz w:val="24"/>
          <w:szCs w:val="28"/>
        </w:rPr>
        <w:t>arcissism involves a dynamic self-regulatory process with the objective of obtaining continuous self-affirmation</w:t>
      </w:r>
      <w:r w:rsidR="00D06177">
        <w:rPr>
          <w:rFonts w:asciiTheme="majorBidi" w:hAnsiTheme="majorBidi" w:cstheme="majorBidi"/>
          <w:color w:val="000000" w:themeColor="text1"/>
          <w:sz w:val="24"/>
          <w:szCs w:val="28"/>
        </w:rPr>
        <w:t xml:space="preserve"> externally</w:t>
      </w:r>
      <w:r w:rsidR="002B1B9F">
        <w:rPr>
          <w:rFonts w:asciiTheme="majorBidi" w:hAnsiTheme="majorBidi" w:cstheme="majorBidi"/>
          <w:color w:val="000000" w:themeColor="text1"/>
          <w:sz w:val="24"/>
          <w:szCs w:val="28"/>
        </w:rPr>
        <w:t xml:space="preserve"> (</w:t>
      </w:r>
      <w:r w:rsidR="002B1B9F" w:rsidRPr="005E73C2">
        <w:rPr>
          <w:rFonts w:asciiTheme="majorBidi" w:hAnsiTheme="majorBidi" w:cstheme="majorBidi"/>
          <w:noProof/>
          <w:color w:val="000000" w:themeColor="text1"/>
          <w:sz w:val="24"/>
          <w:szCs w:val="28"/>
        </w:rPr>
        <w:t xml:space="preserve">Morf </w:t>
      </w:r>
      <w:r w:rsidR="002110AA">
        <w:rPr>
          <w:rFonts w:asciiTheme="majorBidi" w:hAnsiTheme="majorBidi" w:cstheme="majorBidi"/>
          <w:noProof/>
          <w:color w:val="000000" w:themeColor="text1"/>
          <w:sz w:val="24"/>
          <w:szCs w:val="28"/>
        </w:rPr>
        <w:t>&amp;</w:t>
      </w:r>
      <w:r w:rsidR="002B1B9F" w:rsidRPr="005E73C2">
        <w:rPr>
          <w:rFonts w:asciiTheme="majorBidi" w:hAnsiTheme="majorBidi" w:cstheme="majorBidi"/>
          <w:noProof/>
          <w:color w:val="000000" w:themeColor="text1"/>
          <w:sz w:val="24"/>
          <w:szCs w:val="28"/>
        </w:rPr>
        <w:t xml:space="preserve"> Rhodewalt</w:t>
      </w:r>
      <w:r w:rsidR="002B1B9F">
        <w:rPr>
          <w:rFonts w:asciiTheme="majorBidi" w:hAnsiTheme="majorBidi" w:cstheme="majorBidi"/>
          <w:noProof/>
          <w:color w:val="000000" w:themeColor="text1"/>
          <w:sz w:val="24"/>
          <w:szCs w:val="28"/>
        </w:rPr>
        <w:t xml:space="preserve">, </w:t>
      </w:r>
      <w:r w:rsidR="002B1B9F" w:rsidRPr="005E73C2">
        <w:rPr>
          <w:rFonts w:asciiTheme="majorBidi" w:hAnsiTheme="majorBidi" w:cstheme="majorBidi"/>
          <w:noProof/>
          <w:color w:val="000000" w:themeColor="text1"/>
          <w:sz w:val="24"/>
          <w:szCs w:val="28"/>
        </w:rPr>
        <w:t>2001)</w:t>
      </w:r>
      <w:r w:rsidR="004E0DDE" w:rsidRPr="005E73C2">
        <w:rPr>
          <w:rFonts w:asciiTheme="majorBidi" w:hAnsiTheme="majorBidi" w:cstheme="majorBidi"/>
          <w:color w:val="000000" w:themeColor="text1"/>
          <w:sz w:val="24"/>
          <w:szCs w:val="28"/>
        </w:rPr>
        <w:t xml:space="preserve">. As an important player on the board of directors, the AC chair may be driven to develop an exceptional reputation in </w:t>
      </w:r>
      <w:r w:rsidR="00D06177">
        <w:rPr>
          <w:rFonts w:asciiTheme="majorBidi" w:hAnsiTheme="majorBidi" w:cstheme="majorBidi"/>
          <w:color w:val="000000" w:themeColor="text1"/>
          <w:sz w:val="24"/>
          <w:szCs w:val="28"/>
        </w:rPr>
        <w:t xml:space="preserve">his or her </w:t>
      </w:r>
      <w:r w:rsidR="004E0DDE" w:rsidRPr="005E73C2">
        <w:rPr>
          <w:rFonts w:asciiTheme="majorBidi" w:hAnsiTheme="majorBidi" w:cstheme="majorBidi"/>
          <w:color w:val="000000" w:themeColor="text1"/>
          <w:sz w:val="24"/>
          <w:szCs w:val="28"/>
        </w:rPr>
        <w:t xml:space="preserve">networks. Moreover, the effectiveness of </w:t>
      </w:r>
      <w:r w:rsidR="00EB34EA">
        <w:rPr>
          <w:rFonts w:asciiTheme="majorBidi" w:hAnsiTheme="majorBidi" w:cstheme="majorBidi"/>
          <w:color w:val="000000" w:themeColor="text1"/>
          <w:sz w:val="24"/>
          <w:szCs w:val="28"/>
        </w:rPr>
        <w:t>ACs</w:t>
      </w:r>
      <w:r w:rsidR="004E0DDE" w:rsidRPr="005E73C2">
        <w:rPr>
          <w:rFonts w:asciiTheme="majorBidi" w:hAnsiTheme="majorBidi" w:cstheme="majorBidi"/>
          <w:color w:val="000000" w:themeColor="text1"/>
          <w:sz w:val="24"/>
          <w:szCs w:val="28"/>
        </w:rPr>
        <w:t xml:space="preserve"> has been under the spotlight of regulators in various countries </w:t>
      </w:r>
      <w:r w:rsidR="002110AA">
        <w:rPr>
          <w:rFonts w:asciiTheme="majorBidi" w:hAnsiTheme="majorBidi" w:cstheme="majorBidi"/>
          <w:noProof/>
          <w:color w:val="000000" w:themeColor="text1"/>
          <w:sz w:val="24"/>
          <w:szCs w:val="28"/>
        </w:rPr>
        <w:t>(Cohen, Krishnamoorthy, &amp; Wright</w:t>
      </w:r>
      <w:r w:rsidR="00D06177">
        <w:rPr>
          <w:rFonts w:asciiTheme="majorBidi" w:hAnsiTheme="majorBidi" w:cstheme="majorBidi"/>
          <w:noProof/>
          <w:color w:val="000000" w:themeColor="text1"/>
          <w:sz w:val="24"/>
          <w:szCs w:val="28"/>
        </w:rPr>
        <w:t>,</w:t>
      </w:r>
      <w:r w:rsidR="004E0DDE" w:rsidRPr="005E73C2">
        <w:rPr>
          <w:rFonts w:asciiTheme="majorBidi" w:hAnsiTheme="majorBidi" w:cstheme="majorBidi"/>
          <w:noProof/>
          <w:color w:val="000000" w:themeColor="text1"/>
          <w:sz w:val="24"/>
          <w:szCs w:val="28"/>
        </w:rPr>
        <w:t xml:space="preserve"> 2002)</w:t>
      </w:r>
      <w:r w:rsidR="004E0DDE" w:rsidRPr="005E73C2">
        <w:rPr>
          <w:rFonts w:asciiTheme="majorBidi" w:hAnsiTheme="majorBidi" w:cstheme="majorBidi"/>
          <w:color w:val="000000" w:themeColor="text1"/>
          <w:sz w:val="24"/>
          <w:szCs w:val="28"/>
        </w:rPr>
        <w:t xml:space="preserve">. </w:t>
      </w:r>
      <w:r w:rsidR="002B1B9F">
        <w:rPr>
          <w:rFonts w:asciiTheme="majorBidi" w:hAnsiTheme="majorBidi" w:cstheme="majorBidi"/>
          <w:color w:val="000000" w:themeColor="text1"/>
          <w:sz w:val="24"/>
          <w:szCs w:val="28"/>
        </w:rPr>
        <w:t>AC m</w:t>
      </w:r>
      <w:r w:rsidR="004E0DDE" w:rsidRPr="005E73C2">
        <w:rPr>
          <w:rFonts w:asciiTheme="majorBidi" w:hAnsiTheme="majorBidi" w:cstheme="majorBidi"/>
          <w:color w:val="000000" w:themeColor="text1"/>
          <w:sz w:val="24"/>
          <w:szCs w:val="28"/>
        </w:rPr>
        <w:t xml:space="preserve">embers, including the chair, bear significant penalties </w:t>
      </w:r>
      <w:r w:rsidR="00505C72">
        <w:rPr>
          <w:rFonts w:asciiTheme="majorBidi" w:hAnsiTheme="majorBidi" w:cstheme="majorBidi"/>
          <w:color w:val="000000" w:themeColor="text1"/>
          <w:sz w:val="24"/>
          <w:szCs w:val="28"/>
        </w:rPr>
        <w:t>in</w:t>
      </w:r>
      <w:r w:rsidR="00505C72" w:rsidRPr="005E73C2">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the labor market when their firms are detected engaging in fraudulent financial reporting practices </w:t>
      </w:r>
      <w:r w:rsidR="004E0DDE" w:rsidRPr="005E73C2">
        <w:rPr>
          <w:rFonts w:asciiTheme="majorBidi" w:hAnsiTheme="majorBidi" w:cstheme="majorBidi"/>
          <w:noProof/>
          <w:color w:val="000000" w:themeColor="text1"/>
          <w:sz w:val="24"/>
          <w:szCs w:val="28"/>
        </w:rPr>
        <w:t>(Srinivasan</w:t>
      </w:r>
      <w:r w:rsidR="00D06177">
        <w:rPr>
          <w:rFonts w:asciiTheme="majorBidi" w:hAnsiTheme="majorBidi" w:cstheme="majorBidi"/>
          <w:noProof/>
          <w:color w:val="000000" w:themeColor="text1"/>
          <w:sz w:val="24"/>
          <w:szCs w:val="28"/>
        </w:rPr>
        <w:t>,</w:t>
      </w:r>
      <w:r w:rsidR="004E0DDE" w:rsidRPr="005E73C2">
        <w:rPr>
          <w:rFonts w:asciiTheme="majorBidi" w:hAnsiTheme="majorBidi" w:cstheme="majorBidi"/>
          <w:noProof/>
          <w:color w:val="000000" w:themeColor="text1"/>
          <w:sz w:val="24"/>
          <w:szCs w:val="28"/>
        </w:rPr>
        <w:t xml:space="preserve"> 2005)</w:t>
      </w:r>
      <w:r w:rsidR="004E0DDE" w:rsidRPr="005E73C2">
        <w:rPr>
          <w:rFonts w:asciiTheme="majorBidi" w:hAnsiTheme="majorBidi" w:cstheme="majorBidi"/>
          <w:color w:val="000000" w:themeColor="text1"/>
          <w:sz w:val="24"/>
          <w:szCs w:val="28"/>
        </w:rPr>
        <w:t>. Thus, a narcissistic AC chair may lean towards more stringent monitoring of non-IFRS earnings disclosure</w:t>
      </w:r>
      <w:r w:rsidR="002B1B9F">
        <w:rPr>
          <w:rFonts w:asciiTheme="majorBidi" w:hAnsiTheme="majorBidi" w:cstheme="majorBidi"/>
          <w:color w:val="000000" w:themeColor="text1"/>
          <w:sz w:val="24"/>
          <w:szCs w:val="28"/>
        </w:rPr>
        <w:t xml:space="preserve"> to enhance their </w:t>
      </w:r>
      <w:r w:rsidR="004E0DDE" w:rsidRPr="005E73C2">
        <w:rPr>
          <w:rFonts w:asciiTheme="majorBidi" w:hAnsiTheme="majorBidi" w:cstheme="majorBidi"/>
          <w:color w:val="000000" w:themeColor="text1"/>
          <w:sz w:val="24"/>
          <w:szCs w:val="28"/>
        </w:rPr>
        <w:lastRenderedPageBreak/>
        <w:t>reputation</w:t>
      </w:r>
      <w:r w:rsidR="00374166">
        <w:rPr>
          <w:rFonts w:asciiTheme="majorBidi" w:hAnsiTheme="majorBidi" w:cstheme="majorBidi"/>
          <w:color w:val="000000" w:themeColor="text1"/>
          <w:sz w:val="24"/>
          <w:szCs w:val="28"/>
        </w:rPr>
        <w:t>.</w:t>
      </w:r>
      <w:r w:rsidR="004E0DDE" w:rsidRPr="005E73C2">
        <w:rPr>
          <w:rFonts w:asciiTheme="majorBidi" w:hAnsiTheme="majorBidi" w:cstheme="majorBidi"/>
          <w:color w:val="000000" w:themeColor="text1"/>
          <w:sz w:val="24"/>
          <w:szCs w:val="28"/>
        </w:rPr>
        <w:t xml:space="preserve"> </w:t>
      </w:r>
    </w:p>
    <w:p w14:paraId="3825F4B1" w14:textId="580C692D" w:rsidR="00444414" w:rsidRDefault="004E0DDE">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Second, narcissists generally exhibit an inflated sense of self-worth and constantly seek ways to bolster their self-image, particularly in situations where they perceive threats to their self-worth </w:t>
      </w:r>
      <w:r w:rsidRPr="005E73C2">
        <w:rPr>
          <w:rFonts w:asciiTheme="majorBidi" w:hAnsiTheme="majorBidi" w:cstheme="majorBidi"/>
          <w:noProof/>
          <w:color w:val="000000" w:themeColor="text1"/>
          <w:sz w:val="24"/>
          <w:szCs w:val="28"/>
        </w:rPr>
        <w:t xml:space="preserve">(John </w:t>
      </w:r>
      <w:r w:rsidR="00444414">
        <w:rPr>
          <w:rFonts w:asciiTheme="majorBidi" w:hAnsiTheme="majorBidi" w:cstheme="majorBidi"/>
          <w:noProof/>
          <w:color w:val="000000" w:themeColor="text1"/>
          <w:sz w:val="24"/>
          <w:szCs w:val="28"/>
        </w:rPr>
        <w:t>&amp;</w:t>
      </w:r>
      <w:r w:rsidR="00444414" w:rsidRPr="005E73C2">
        <w:rPr>
          <w:rFonts w:asciiTheme="majorBidi" w:hAnsiTheme="majorBidi" w:cstheme="majorBidi"/>
          <w:noProof/>
          <w:color w:val="000000" w:themeColor="text1"/>
          <w:sz w:val="24"/>
          <w:szCs w:val="28"/>
        </w:rPr>
        <w:t xml:space="preserve"> </w:t>
      </w:r>
      <w:r w:rsidRPr="005E73C2">
        <w:rPr>
          <w:rFonts w:asciiTheme="majorBidi" w:hAnsiTheme="majorBidi" w:cstheme="majorBidi"/>
          <w:noProof/>
          <w:color w:val="000000" w:themeColor="text1"/>
          <w:sz w:val="24"/>
          <w:szCs w:val="28"/>
        </w:rPr>
        <w:t>Robins</w:t>
      </w:r>
      <w:r w:rsidR="00444414">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1994)</w:t>
      </w:r>
      <w:r w:rsidRPr="005E73C2">
        <w:rPr>
          <w:rFonts w:asciiTheme="majorBidi" w:hAnsiTheme="majorBidi" w:cstheme="majorBidi"/>
          <w:color w:val="000000" w:themeColor="text1"/>
          <w:sz w:val="24"/>
          <w:szCs w:val="28"/>
        </w:rPr>
        <w:t xml:space="preserve">. </w:t>
      </w:r>
      <w:r w:rsidR="00374166">
        <w:rPr>
          <w:rFonts w:asciiTheme="majorBidi" w:hAnsiTheme="majorBidi" w:cstheme="majorBidi"/>
          <w:color w:val="000000" w:themeColor="text1"/>
          <w:sz w:val="24"/>
          <w:szCs w:val="28"/>
        </w:rPr>
        <w:t xml:space="preserve">Building on this point, </w:t>
      </w:r>
      <w:r w:rsidRPr="005E73C2">
        <w:rPr>
          <w:rFonts w:asciiTheme="majorBidi" w:hAnsiTheme="majorBidi" w:cstheme="majorBidi"/>
          <w:color w:val="000000" w:themeColor="text1"/>
          <w:sz w:val="24"/>
          <w:szCs w:val="28"/>
        </w:rPr>
        <w:t xml:space="preserve">a narcissistic AC chair is likely to initiate more frequent meetings with </w:t>
      </w:r>
      <w:r w:rsidR="00444414">
        <w:rPr>
          <w:rFonts w:asciiTheme="majorBidi" w:hAnsiTheme="majorBidi" w:cstheme="majorBidi"/>
          <w:color w:val="000000" w:themeColor="text1"/>
          <w:sz w:val="24"/>
          <w:szCs w:val="28"/>
        </w:rPr>
        <w:t xml:space="preserve">senior </w:t>
      </w:r>
      <w:r w:rsidRPr="005E73C2">
        <w:rPr>
          <w:rFonts w:asciiTheme="majorBidi" w:hAnsiTheme="majorBidi" w:cstheme="majorBidi"/>
          <w:color w:val="000000" w:themeColor="text1"/>
          <w:sz w:val="24"/>
          <w:szCs w:val="28"/>
        </w:rPr>
        <w:t>management and internal and external audit to assert their status in the company as an essential board member. Furthermore, in formal meetings when the CEO and CFO attend, a narcissistic AC chair may more</w:t>
      </w:r>
      <w:r w:rsidR="00374166">
        <w:rPr>
          <w:rFonts w:asciiTheme="majorBidi" w:hAnsiTheme="majorBidi" w:cstheme="majorBidi"/>
          <w:color w:val="000000" w:themeColor="text1"/>
          <w:sz w:val="24"/>
          <w:szCs w:val="28"/>
        </w:rPr>
        <w:t xml:space="preserve"> frequently</w:t>
      </w:r>
      <w:r w:rsidRPr="005E73C2">
        <w:rPr>
          <w:rFonts w:asciiTheme="majorBidi" w:hAnsiTheme="majorBidi" w:cstheme="majorBidi"/>
          <w:color w:val="000000" w:themeColor="text1"/>
          <w:sz w:val="24"/>
          <w:szCs w:val="28"/>
        </w:rPr>
        <w:t xml:space="preserve"> raise both general and specific</w:t>
      </w:r>
      <w:r w:rsidR="00374166">
        <w:rPr>
          <w:rFonts w:asciiTheme="majorBidi" w:hAnsiTheme="majorBidi" w:cstheme="majorBidi"/>
          <w:color w:val="000000" w:themeColor="text1"/>
          <w:sz w:val="24"/>
          <w:szCs w:val="28"/>
        </w:rPr>
        <w:t xml:space="preserve"> issues concerning</w:t>
      </w:r>
      <w:r w:rsidRPr="005E73C2">
        <w:rPr>
          <w:rFonts w:asciiTheme="majorBidi" w:hAnsiTheme="majorBidi" w:cstheme="majorBidi"/>
          <w:color w:val="000000" w:themeColor="text1"/>
          <w:sz w:val="24"/>
          <w:szCs w:val="28"/>
        </w:rPr>
        <w:t xml:space="preserve"> draft financial statements, </w:t>
      </w:r>
      <w:r w:rsidR="00444414">
        <w:rPr>
          <w:rFonts w:asciiTheme="majorBidi" w:hAnsiTheme="majorBidi" w:cstheme="majorBidi"/>
          <w:color w:val="000000" w:themeColor="text1"/>
          <w:sz w:val="24"/>
          <w:szCs w:val="28"/>
        </w:rPr>
        <w:t xml:space="preserve">in their </w:t>
      </w:r>
      <w:r w:rsidRPr="005E73C2">
        <w:rPr>
          <w:rFonts w:asciiTheme="majorBidi" w:hAnsiTheme="majorBidi" w:cstheme="majorBidi"/>
          <w:color w:val="000000" w:themeColor="text1"/>
          <w:sz w:val="24"/>
          <w:szCs w:val="28"/>
        </w:rPr>
        <w:t>pursu</w:t>
      </w:r>
      <w:r w:rsidR="00444414">
        <w:rPr>
          <w:rFonts w:asciiTheme="majorBidi" w:hAnsiTheme="majorBidi" w:cstheme="majorBidi"/>
          <w:color w:val="000000" w:themeColor="text1"/>
          <w:sz w:val="24"/>
          <w:szCs w:val="28"/>
        </w:rPr>
        <w:t>it of</w:t>
      </w:r>
      <w:r w:rsidRPr="005E73C2">
        <w:rPr>
          <w:rFonts w:asciiTheme="majorBidi" w:hAnsiTheme="majorBidi" w:cstheme="majorBidi"/>
          <w:color w:val="000000" w:themeColor="text1"/>
          <w:sz w:val="24"/>
          <w:szCs w:val="28"/>
        </w:rPr>
        <w:t xml:space="preserve"> continuous self-promotion </w:t>
      </w:r>
      <w:r w:rsidRPr="005E73C2">
        <w:rPr>
          <w:rFonts w:asciiTheme="majorBidi" w:hAnsiTheme="majorBidi" w:cstheme="majorBidi"/>
          <w:noProof/>
          <w:color w:val="000000" w:themeColor="text1"/>
          <w:sz w:val="24"/>
          <w:szCs w:val="28"/>
        </w:rPr>
        <w:t xml:space="preserve">(Horvath </w:t>
      </w:r>
      <w:r w:rsidR="00444414">
        <w:rPr>
          <w:rFonts w:asciiTheme="majorBidi" w:hAnsiTheme="majorBidi" w:cstheme="majorBidi"/>
          <w:noProof/>
          <w:color w:val="000000" w:themeColor="text1"/>
          <w:sz w:val="24"/>
          <w:szCs w:val="28"/>
        </w:rPr>
        <w:t>&amp;</w:t>
      </w:r>
      <w:r w:rsidR="00444414" w:rsidRPr="005E73C2">
        <w:rPr>
          <w:rFonts w:asciiTheme="majorBidi" w:hAnsiTheme="majorBidi" w:cstheme="majorBidi"/>
          <w:noProof/>
          <w:color w:val="000000" w:themeColor="text1"/>
          <w:sz w:val="24"/>
          <w:szCs w:val="28"/>
        </w:rPr>
        <w:t xml:space="preserve"> </w:t>
      </w:r>
      <w:r w:rsidRPr="005E73C2">
        <w:rPr>
          <w:rFonts w:asciiTheme="majorBidi" w:hAnsiTheme="majorBidi" w:cstheme="majorBidi"/>
          <w:noProof/>
          <w:color w:val="000000" w:themeColor="text1"/>
          <w:sz w:val="24"/>
          <w:szCs w:val="28"/>
        </w:rPr>
        <w:t>Morf</w:t>
      </w:r>
      <w:r w:rsidR="00444414">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2010)</w:t>
      </w:r>
      <w:r w:rsidRPr="005E73C2">
        <w:rPr>
          <w:rFonts w:asciiTheme="majorBidi" w:hAnsiTheme="majorBidi" w:cstheme="majorBidi"/>
          <w:color w:val="000000" w:themeColor="text1"/>
          <w:sz w:val="24"/>
          <w:szCs w:val="28"/>
        </w:rPr>
        <w:t xml:space="preserve">. </w:t>
      </w:r>
      <w:r w:rsidR="009C4F70">
        <w:rPr>
          <w:rFonts w:asciiTheme="majorBidi" w:hAnsiTheme="majorBidi" w:cstheme="majorBidi"/>
          <w:color w:val="000000" w:themeColor="text1"/>
          <w:sz w:val="24"/>
          <w:szCs w:val="28"/>
        </w:rPr>
        <w:t xml:space="preserve">By raising </w:t>
      </w:r>
      <w:r w:rsidR="00374166">
        <w:rPr>
          <w:rFonts w:asciiTheme="majorBidi" w:hAnsiTheme="majorBidi" w:cstheme="majorBidi"/>
          <w:color w:val="000000" w:themeColor="text1"/>
          <w:sz w:val="24"/>
          <w:szCs w:val="28"/>
        </w:rPr>
        <w:t>additional issues</w:t>
      </w:r>
      <w:r w:rsidR="00444414">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w:t>
      </w:r>
      <w:r w:rsidR="00374166">
        <w:rPr>
          <w:rFonts w:asciiTheme="majorBidi" w:hAnsiTheme="majorBidi" w:cstheme="majorBidi"/>
          <w:color w:val="000000" w:themeColor="text1"/>
          <w:sz w:val="24"/>
          <w:szCs w:val="28"/>
        </w:rPr>
        <w:t xml:space="preserve">the </w:t>
      </w:r>
      <w:r w:rsidRPr="005E73C2">
        <w:rPr>
          <w:rFonts w:asciiTheme="majorBidi" w:hAnsiTheme="majorBidi" w:cstheme="majorBidi"/>
          <w:color w:val="000000" w:themeColor="text1"/>
          <w:sz w:val="24"/>
          <w:szCs w:val="28"/>
        </w:rPr>
        <w:t>AC</w:t>
      </w:r>
      <w:r w:rsidR="00374166">
        <w:rPr>
          <w:rFonts w:asciiTheme="majorBidi" w:hAnsiTheme="majorBidi" w:cstheme="majorBidi"/>
          <w:color w:val="000000" w:themeColor="text1"/>
          <w:sz w:val="24"/>
          <w:szCs w:val="28"/>
        </w:rPr>
        <w:t xml:space="preserve"> may have more</w:t>
      </w:r>
      <w:r w:rsidR="009C4F70">
        <w:rPr>
          <w:rFonts w:asciiTheme="majorBidi" w:hAnsiTheme="majorBidi" w:cstheme="majorBidi"/>
          <w:color w:val="000000" w:themeColor="text1"/>
          <w:sz w:val="24"/>
          <w:szCs w:val="28"/>
        </w:rPr>
        <w:t xml:space="preserve"> opportunit</w:t>
      </w:r>
      <w:r w:rsidR="00374166">
        <w:rPr>
          <w:rFonts w:asciiTheme="majorBidi" w:hAnsiTheme="majorBidi" w:cstheme="majorBidi"/>
          <w:color w:val="000000" w:themeColor="text1"/>
          <w:sz w:val="24"/>
          <w:szCs w:val="28"/>
        </w:rPr>
        <w:t>ies</w:t>
      </w:r>
      <w:r w:rsidR="009C4F70">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to </w:t>
      </w:r>
      <w:r w:rsidR="00374166">
        <w:rPr>
          <w:rFonts w:asciiTheme="majorBidi" w:hAnsiTheme="majorBidi" w:cstheme="majorBidi"/>
          <w:color w:val="000000" w:themeColor="text1"/>
          <w:sz w:val="24"/>
          <w:szCs w:val="28"/>
        </w:rPr>
        <w:t>assess</w:t>
      </w:r>
      <w:r w:rsidR="00374166"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the trustworthiness of manage</w:t>
      </w:r>
      <w:r w:rsidR="00444414">
        <w:rPr>
          <w:rFonts w:asciiTheme="majorBidi" w:hAnsiTheme="majorBidi" w:cstheme="majorBidi"/>
          <w:color w:val="000000" w:themeColor="text1"/>
          <w:sz w:val="24"/>
          <w:szCs w:val="28"/>
        </w:rPr>
        <w:t>ment</w:t>
      </w:r>
      <w:r w:rsidRPr="005E73C2">
        <w:rPr>
          <w:rFonts w:asciiTheme="majorBidi" w:hAnsiTheme="majorBidi" w:cstheme="majorBidi"/>
          <w:color w:val="000000" w:themeColor="text1"/>
          <w:sz w:val="24"/>
          <w:szCs w:val="28"/>
        </w:rPr>
        <w:t>s</w:t>
      </w:r>
      <w:r w:rsidR="009C4F70">
        <w:rPr>
          <w:rFonts w:asciiTheme="majorBidi" w:hAnsiTheme="majorBidi" w:cstheme="majorBidi"/>
          <w:color w:val="000000" w:themeColor="text1"/>
          <w:sz w:val="24"/>
          <w:szCs w:val="28"/>
        </w:rPr>
        <w:t>’ non-IFRS earnings disclosure</w:t>
      </w:r>
      <w:r w:rsidR="00444414">
        <w:rPr>
          <w:rFonts w:asciiTheme="majorBidi" w:hAnsiTheme="majorBidi" w:cstheme="majorBidi"/>
          <w:color w:val="000000" w:themeColor="text1"/>
          <w:sz w:val="24"/>
          <w:szCs w:val="28"/>
        </w:rPr>
        <w:t>s</w:t>
      </w:r>
      <w:r w:rsidRPr="005E73C2">
        <w:rPr>
          <w:rFonts w:asciiTheme="majorBidi" w:hAnsiTheme="majorBidi" w:cstheme="majorBidi"/>
          <w:color w:val="000000" w:themeColor="text1"/>
          <w:sz w:val="24"/>
          <w:szCs w:val="28"/>
        </w:rPr>
        <w:t xml:space="preserve">. </w:t>
      </w:r>
    </w:p>
    <w:p w14:paraId="0F0B4A6E" w14:textId="4B0A4B60" w:rsidR="004E0DDE" w:rsidRDefault="004E0DDE" w:rsidP="008F7A0D">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Third, narcissistic AC chairs may exhibit egocentrism and underestimate the judgment of others </w:t>
      </w:r>
      <w:r w:rsidRPr="005E73C2">
        <w:rPr>
          <w:rFonts w:asciiTheme="majorBidi" w:hAnsiTheme="majorBidi" w:cstheme="majorBidi"/>
          <w:noProof/>
          <w:color w:val="000000" w:themeColor="text1"/>
          <w:sz w:val="24"/>
          <w:szCs w:val="28"/>
        </w:rPr>
        <w:t>(Nevicka et al.</w:t>
      </w:r>
      <w:r w:rsidR="00444414">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2011)</w:t>
      </w:r>
      <w:r w:rsidRPr="005E73C2">
        <w:rPr>
          <w:rFonts w:asciiTheme="majorBidi" w:hAnsiTheme="majorBidi" w:cstheme="majorBidi"/>
          <w:color w:val="000000" w:themeColor="text1"/>
          <w:sz w:val="24"/>
          <w:szCs w:val="28"/>
        </w:rPr>
        <w:t>, which means they are more likely to challenge managers’ justifications and less likely to change their own opinions when assessing non-IFRS earnings disclosure</w:t>
      </w:r>
      <w:r w:rsidR="000F1DCD">
        <w:rPr>
          <w:rFonts w:asciiTheme="majorBidi" w:hAnsiTheme="majorBidi" w:cstheme="majorBidi"/>
          <w:color w:val="000000" w:themeColor="text1"/>
          <w:sz w:val="24"/>
          <w:szCs w:val="28"/>
        </w:rPr>
        <w:t>s</w:t>
      </w:r>
      <w:r w:rsidRPr="005E73C2">
        <w:rPr>
          <w:rFonts w:asciiTheme="majorBidi" w:hAnsiTheme="majorBidi" w:cstheme="majorBidi"/>
          <w:color w:val="000000" w:themeColor="text1"/>
          <w:sz w:val="24"/>
          <w:szCs w:val="28"/>
        </w:rPr>
        <w:t>, which may enhance the effectiveness of their monitoring.</w:t>
      </w:r>
    </w:p>
    <w:p w14:paraId="107F5919" w14:textId="1493199A" w:rsidR="002528F2" w:rsidRDefault="00091BB2" w:rsidP="00FD7B1D">
      <w:pPr>
        <w:pStyle w:val="Heading2"/>
        <w:spacing w:line="276" w:lineRule="auto"/>
        <w:rPr>
          <w:rFonts w:asciiTheme="majorBidi" w:hAnsiTheme="majorBidi"/>
          <w:color w:val="000000" w:themeColor="text1"/>
          <w:sz w:val="24"/>
          <w:szCs w:val="28"/>
        </w:rPr>
      </w:pPr>
      <w:r>
        <w:rPr>
          <w:rFonts w:asciiTheme="majorBidi" w:hAnsiTheme="majorBidi"/>
          <w:i/>
          <w:iCs/>
          <w:color w:val="000000" w:themeColor="text1"/>
          <w:sz w:val="28"/>
          <w:szCs w:val="28"/>
        </w:rPr>
        <w:t>4.</w:t>
      </w:r>
      <w:r w:rsidR="00BA7943">
        <w:rPr>
          <w:rFonts w:asciiTheme="majorBidi" w:hAnsiTheme="majorBidi"/>
          <w:i/>
          <w:iCs/>
          <w:color w:val="000000" w:themeColor="text1"/>
          <w:sz w:val="28"/>
          <w:szCs w:val="28"/>
        </w:rPr>
        <w:t>2.2</w:t>
      </w:r>
      <w:r w:rsidR="004E0DDE" w:rsidRPr="005E73C2">
        <w:rPr>
          <w:rFonts w:asciiTheme="majorBidi" w:hAnsiTheme="majorBidi"/>
          <w:i/>
          <w:iCs/>
          <w:color w:val="000000" w:themeColor="text1"/>
          <w:sz w:val="28"/>
          <w:szCs w:val="28"/>
        </w:rPr>
        <w:t xml:space="preserve"> The </w:t>
      </w:r>
      <w:r w:rsidR="002528F2" w:rsidRPr="005E73C2">
        <w:rPr>
          <w:rFonts w:asciiTheme="majorBidi" w:hAnsiTheme="majorBidi"/>
          <w:i/>
          <w:iCs/>
          <w:color w:val="000000" w:themeColor="text1"/>
          <w:sz w:val="28"/>
          <w:szCs w:val="28"/>
        </w:rPr>
        <w:t xml:space="preserve">dark side </w:t>
      </w:r>
      <w:r w:rsidR="004E0DDE" w:rsidRPr="005E73C2">
        <w:rPr>
          <w:rFonts w:asciiTheme="majorBidi" w:hAnsiTheme="majorBidi"/>
          <w:i/>
          <w:iCs/>
          <w:color w:val="000000" w:themeColor="text1"/>
          <w:sz w:val="28"/>
          <w:szCs w:val="28"/>
        </w:rPr>
        <w:t xml:space="preserve">of AC </w:t>
      </w:r>
      <w:r w:rsidR="002528F2" w:rsidRPr="005E73C2">
        <w:rPr>
          <w:rFonts w:asciiTheme="majorBidi" w:hAnsiTheme="majorBidi"/>
          <w:i/>
          <w:iCs/>
          <w:color w:val="000000" w:themeColor="text1"/>
          <w:sz w:val="28"/>
          <w:szCs w:val="28"/>
        </w:rPr>
        <w:t>chair narcissism</w:t>
      </w:r>
    </w:p>
    <w:p w14:paraId="27476F4E" w14:textId="607E6514" w:rsidR="004E0DDE" w:rsidRPr="005E73C2" w:rsidRDefault="004E0DDE">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Likewise, narcissism may </w:t>
      </w:r>
      <w:r w:rsidR="009728BE">
        <w:rPr>
          <w:rFonts w:asciiTheme="majorBidi" w:hAnsiTheme="majorBidi" w:cstheme="majorBidi"/>
          <w:color w:val="000000" w:themeColor="text1"/>
          <w:sz w:val="24"/>
          <w:szCs w:val="28"/>
        </w:rPr>
        <w:t>impair</w:t>
      </w:r>
      <w:r w:rsidR="009728BE"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the monitoring exerted by the AC chair in </w:t>
      </w:r>
      <w:r w:rsidR="004D06B5">
        <w:rPr>
          <w:rFonts w:asciiTheme="majorBidi" w:hAnsiTheme="majorBidi" w:cstheme="majorBidi"/>
          <w:color w:val="000000" w:themeColor="text1"/>
          <w:sz w:val="24"/>
          <w:szCs w:val="28"/>
        </w:rPr>
        <w:t>two</w:t>
      </w:r>
      <w:r w:rsidRPr="005E73C2">
        <w:rPr>
          <w:rFonts w:asciiTheme="majorBidi" w:hAnsiTheme="majorBidi" w:cstheme="majorBidi"/>
          <w:color w:val="000000" w:themeColor="text1"/>
          <w:sz w:val="24"/>
          <w:szCs w:val="28"/>
        </w:rPr>
        <w:t xml:space="preserve"> ways. First, the narcissistic AC chair with an egocentric tendency may constrain information sharing among </w:t>
      </w:r>
      <w:r w:rsidR="004B3D78">
        <w:rPr>
          <w:rFonts w:asciiTheme="majorBidi" w:hAnsiTheme="majorBidi" w:cstheme="majorBidi"/>
          <w:color w:val="000000" w:themeColor="text1"/>
          <w:sz w:val="24"/>
          <w:szCs w:val="28"/>
        </w:rPr>
        <w:t xml:space="preserve">AC </w:t>
      </w:r>
      <w:r w:rsidRPr="005E73C2">
        <w:rPr>
          <w:rFonts w:asciiTheme="majorBidi" w:hAnsiTheme="majorBidi" w:cstheme="majorBidi"/>
          <w:color w:val="000000" w:themeColor="text1"/>
          <w:sz w:val="24"/>
          <w:szCs w:val="28"/>
        </w:rPr>
        <w:t xml:space="preserve">members </w:t>
      </w:r>
      <w:r w:rsidRPr="005E73C2">
        <w:rPr>
          <w:rFonts w:asciiTheme="majorBidi" w:hAnsiTheme="majorBidi" w:cstheme="majorBidi"/>
          <w:noProof/>
          <w:color w:val="000000" w:themeColor="text1"/>
          <w:sz w:val="24"/>
          <w:szCs w:val="28"/>
        </w:rPr>
        <w:t>(Chou et al.</w:t>
      </w:r>
      <w:r w:rsidR="000F1DCD">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2021)</w:t>
      </w:r>
      <w:r w:rsidRPr="005E73C2">
        <w:rPr>
          <w:rFonts w:asciiTheme="majorBidi" w:hAnsiTheme="majorBidi" w:cstheme="majorBidi"/>
          <w:color w:val="000000" w:themeColor="text1"/>
          <w:sz w:val="24"/>
          <w:szCs w:val="28"/>
        </w:rPr>
        <w:t xml:space="preserve">. </w:t>
      </w:r>
      <w:r w:rsidR="009728BE">
        <w:rPr>
          <w:rFonts w:asciiTheme="majorBidi" w:hAnsiTheme="majorBidi" w:cstheme="majorBidi"/>
          <w:color w:val="000000" w:themeColor="text1"/>
          <w:sz w:val="24"/>
          <w:szCs w:val="28"/>
        </w:rPr>
        <w:t>S</w:t>
      </w:r>
      <w:r w:rsidR="009728BE" w:rsidRPr="005E73C2">
        <w:rPr>
          <w:rFonts w:asciiTheme="majorBidi" w:hAnsiTheme="majorBidi" w:cstheme="majorBidi"/>
          <w:color w:val="000000" w:themeColor="text1"/>
          <w:sz w:val="24"/>
          <w:szCs w:val="28"/>
        </w:rPr>
        <w:t>uboptimal decisions</w:t>
      </w:r>
      <w:r w:rsidR="009728BE">
        <w:rPr>
          <w:rFonts w:asciiTheme="majorBidi" w:hAnsiTheme="majorBidi" w:cstheme="majorBidi"/>
          <w:color w:val="000000" w:themeColor="text1"/>
          <w:sz w:val="24"/>
          <w:szCs w:val="28"/>
        </w:rPr>
        <w:t xml:space="preserve"> lead to</w:t>
      </w:r>
      <w:r w:rsidR="009728BE" w:rsidRPr="005E73C2">
        <w:rPr>
          <w:rFonts w:asciiTheme="majorBidi" w:hAnsiTheme="majorBidi" w:cstheme="majorBidi"/>
          <w:color w:val="000000" w:themeColor="text1"/>
          <w:sz w:val="24"/>
          <w:szCs w:val="28"/>
        </w:rPr>
        <w:t xml:space="preserve"> </w:t>
      </w:r>
      <w:r w:rsidR="009728BE">
        <w:rPr>
          <w:rFonts w:asciiTheme="majorBidi" w:hAnsiTheme="majorBidi" w:cstheme="majorBidi"/>
          <w:color w:val="000000" w:themeColor="text1"/>
          <w:sz w:val="24"/>
          <w:szCs w:val="28"/>
        </w:rPr>
        <w:t>diminished g</w:t>
      </w:r>
      <w:r w:rsidRPr="005E73C2">
        <w:rPr>
          <w:rFonts w:asciiTheme="majorBidi" w:hAnsiTheme="majorBidi" w:cstheme="majorBidi"/>
          <w:color w:val="000000" w:themeColor="text1"/>
          <w:sz w:val="24"/>
          <w:szCs w:val="28"/>
        </w:rPr>
        <w:t xml:space="preserve">roup performance </w:t>
      </w:r>
      <w:r w:rsidR="000F1DCD">
        <w:rPr>
          <w:rFonts w:asciiTheme="majorBidi" w:hAnsiTheme="majorBidi" w:cstheme="majorBidi"/>
          <w:color w:val="000000" w:themeColor="text1"/>
          <w:sz w:val="24"/>
          <w:szCs w:val="28"/>
        </w:rPr>
        <w:t>when</w:t>
      </w:r>
      <w:r w:rsidR="000F1DCD"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information within the group is not </w:t>
      </w:r>
      <w:r w:rsidR="000F1DCD">
        <w:rPr>
          <w:rFonts w:asciiTheme="majorBidi" w:hAnsiTheme="majorBidi" w:cstheme="majorBidi"/>
          <w:color w:val="000000" w:themeColor="text1"/>
          <w:sz w:val="24"/>
          <w:szCs w:val="28"/>
        </w:rPr>
        <w:t xml:space="preserve">shared and </w:t>
      </w:r>
      <w:r w:rsidRPr="005E73C2">
        <w:rPr>
          <w:rFonts w:asciiTheme="majorBidi" w:hAnsiTheme="majorBidi" w:cstheme="majorBidi"/>
          <w:color w:val="000000" w:themeColor="text1"/>
          <w:sz w:val="24"/>
          <w:szCs w:val="28"/>
        </w:rPr>
        <w:t xml:space="preserve">utilized </w:t>
      </w:r>
      <w:r w:rsidRPr="005E73C2">
        <w:rPr>
          <w:rFonts w:asciiTheme="majorBidi" w:hAnsiTheme="majorBidi" w:cstheme="majorBidi"/>
          <w:noProof/>
          <w:color w:val="000000" w:themeColor="text1"/>
          <w:sz w:val="24"/>
          <w:szCs w:val="28"/>
        </w:rPr>
        <w:t>(Nevicka et al.</w:t>
      </w:r>
      <w:r w:rsidR="000F1DCD">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2011)</w:t>
      </w:r>
      <w:r w:rsidRPr="005E73C2">
        <w:rPr>
          <w:rFonts w:asciiTheme="majorBidi" w:hAnsiTheme="majorBidi" w:cstheme="majorBidi"/>
          <w:color w:val="000000" w:themeColor="text1"/>
          <w:sz w:val="24"/>
          <w:szCs w:val="28"/>
        </w:rPr>
        <w:t xml:space="preserve">. </w:t>
      </w:r>
      <w:r w:rsidR="000F1DCD">
        <w:rPr>
          <w:rFonts w:asciiTheme="majorBidi" w:hAnsiTheme="majorBidi" w:cstheme="majorBidi"/>
          <w:color w:val="000000" w:themeColor="text1"/>
          <w:sz w:val="24"/>
          <w:szCs w:val="28"/>
        </w:rPr>
        <w:t>In the same vein</w:t>
      </w:r>
      <w:r w:rsidR="00EF314F">
        <w:rPr>
          <w:rFonts w:asciiTheme="majorBidi" w:hAnsiTheme="majorBidi" w:cstheme="majorBidi"/>
          <w:color w:val="000000" w:themeColor="text1"/>
          <w:sz w:val="24"/>
          <w:szCs w:val="28"/>
        </w:rPr>
        <w:t xml:space="preserve">, </w:t>
      </w:r>
      <w:r w:rsidRPr="005E73C2">
        <w:rPr>
          <w:rFonts w:asciiTheme="majorBidi" w:hAnsiTheme="majorBidi" w:cstheme="majorBidi"/>
          <w:noProof/>
          <w:color w:val="000000" w:themeColor="text1"/>
          <w:sz w:val="24"/>
          <w:szCs w:val="28"/>
        </w:rPr>
        <w:t>Free et al. (2021)</w:t>
      </w:r>
      <w:r w:rsidRPr="005E73C2">
        <w:rPr>
          <w:rFonts w:asciiTheme="majorBidi" w:hAnsiTheme="majorBidi" w:cstheme="majorBidi"/>
          <w:color w:val="000000" w:themeColor="text1"/>
          <w:sz w:val="24"/>
          <w:szCs w:val="28"/>
        </w:rPr>
        <w:t xml:space="preserve"> stress that the chair needs to promote AC members’ full involvement in the monitoring of financial statement quality and provide each with equal opportunity to express their </w:t>
      </w:r>
      <w:r w:rsidR="009728BE">
        <w:rPr>
          <w:rFonts w:asciiTheme="majorBidi" w:hAnsiTheme="majorBidi" w:cstheme="majorBidi"/>
          <w:color w:val="000000" w:themeColor="text1"/>
          <w:sz w:val="24"/>
          <w:szCs w:val="28"/>
        </w:rPr>
        <w:t>views</w:t>
      </w:r>
      <w:r w:rsidRPr="005E73C2">
        <w:rPr>
          <w:rFonts w:asciiTheme="majorBidi" w:hAnsiTheme="majorBidi" w:cstheme="majorBidi"/>
          <w:color w:val="000000" w:themeColor="text1"/>
          <w:sz w:val="24"/>
          <w:szCs w:val="28"/>
        </w:rPr>
        <w:t xml:space="preserve">. </w:t>
      </w:r>
      <w:r w:rsidRPr="00E84F5D">
        <w:rPr>
          <w:rFonts w:asciiTheme="majorBidi" w:hAnsiTheme="majorBidi" w:cstheme="majorBidi"/>
          <w:color w:val="000000" w:themeColor="text1"/>
          <w:sz w:val="24"/>
          <w:szCs w:val="28"/>
        </w:rPr>
        <w:t>Robust debate on major financial reporting issues</w:t>
      </w:r>
      <w:r w:rsidR="000F1DCD" w:rsidRPr="00E84F5D">
        <w:rPr>
          <w:rFonts w:asciiTheme="majorBidi" w:hAnsiTheme="majorBidi" w:cstheme="majorBidi"/>
          <w:color w:val="000000" w:themeColor="text1"/>
          <w:sz w:val="24"/>
          <w:szCs w:val="28"/>
        </w:rPr>
        <w:t>,</w:t>
      </w:r>
      <w:r w:rsidRPr="00E84F5D">
        <w:rPr>
          <w:rFonts w:asciiTheme="majorBidi" w:hAnsiTheme="majorBidi" w:cstheme="majorBidi"/>
          <w:color w:val="000000" w:themeColor="text1"/>
          <w:sz w:val="24"/>
          <w:szCs w:val="28"/>
        </w:rPr>
        <w:t xml:space="preserve"> </w:t>
      </w:r>
      <w:r w:rsidR="00024A8E" w:rsidRPr="00E84F5D">
        <w:rPr>
          <w:rFonts w:asciiTheme="majorBidi" w:hAnsiTheme="majorBidi" w:cstheme="majorBidi"/>
          <w:color w:val="000000" w:themeColor="text1"/>
          <w:sz w:val="24"/>
          <w:szCs w:val="28"/>
        </w:rPr>
        <w:t>including estimates on transit</w:t>
      </w:r>
      <w:r w:rsidR="00024A8E">
        <w:rPr>
          <w:rFonts w:asciiTheme="majorBidi" w:hAnsiTheme="majorBidi" w:cstheme="majorBidi"/>
          <w:color w:val="000000" w:themeColor="text1"/>
          <w:sz w:val="24"/>
          <w:szCs w:val="28"/>
        </w:rPr>
        <w:t>ory versus recurring items</w:t>
      </w:r>
      <w:r w:rsidR="000F1DCD">
        <w:rPr>
          <w:rFonts w:asciiTheme="majorBidi" w:hAnsiTheme="majorBidi" w:cstheme="majorBidi"/>
          <w:color w:val="000000" w:themeColor="text1"/>
          <w:sz w:val="24"/>
          <w:szCs w:val="28"/>
        </w:rPr>
        <w:t>,</w:t>
      </w:r>
      <w:r w:rsidR="00024A8E">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may be absent in the presence of a narcissistic AC chair, </w:t>
      </w:r>
      <w:r w:rsidR="009728BE">
        <w:rPr>
          <w:rFonts w:asciiTheme="majorBidi" w:hAnsiTheme="majorBidi" w:cstheme="majorBidi"/>
          <w:color w:val="000000" w:themeColor="text1"/>
          <w:sz w:val="24"/>
          <w:szCs w:val="28"/>
        </w:rPr>
        <w:t>leading to a lower likelihood of detecting</w:t>
      </w:r>
      <w:r w:rsidRPr="005E73C2">
        <w:rPr>
          <w:rFonts w:asciiTheme="majorBidi" w:hAnsiTheme="majorBidi" w:cstheme="majorBidi"/>
          <w:color w:val="000000" w:themeColor="text1"/>
          <w:sz w:val="24"/>
          <w:szCs w:val="28"/>
        </w:rPr>
        <w:t xml:space="preserve"> manager</w:t>
      </w:r>
      <w:r w:rsidR="000F1DCD">
        <w:rPr>
          <w:rFonts w:asciiTheme="majorBidi" w:hAnsiTheme="majorBidi" w:cstheme="majorBidi"/>
          <w:color w:val="000000" w:themeColor="text1"/>
          <w:sz w:val="24"/>
          <w:szCs w:val="28"/>
        </w:rPr>
        <w:t>ial</w:t>
      </w:r>
      <w:r w:rsidRPr="005E73C2">
        <w:rPr>
          <w:rFonts w:asciiTheme="majorBidi" w:hAnsiTheme="majorBidi" w:cstheme="majorBidi"/>
          <w:color w:val="000000" w:themeColor="text1"/>
          <w:sz w:val="24"/>
          <w:szCs w:val="28"/>
        </w:rPr>
        <w:t xml:space="preserve"> opportunis</w:t>
      </w:r>
      <w:r w:rsidR="000F1DCD">
        <w:rPr>
          <w:rFonts w:asciiTheme="majorBidi" w:hAnsiTheme="majorBidi" w:cstheme="majorBidi"/>
          <w:color w:val="000000" w:themeColor="text1"/>
          <w:sz w:val="24"/>
          <w:szCs w:val="28"/>
        </w:rPr>
        <w:t>m with</w:t>
      </w:r>
      <w:r w:rsidRPr="005E73C2">
        <w:rPr>
          <w:rFonts w:asciiTheme="majorBidi" w:hAnsiTheme="majorBidi" w:cstheme="majorBidi"/>
          <w:color w:val="000000" w:themeColor="text1"/>
          <w:sz w:val="24"/>
          <w:szCs w:val="28"/>
        </w:rPr>
        <w:t xml:space="preserve"> non-IFRS earnings.</w:t>
      </w:r>
    </w:p>
    <w:p w14:paraId="7C8E5880" w14:textId="71673B72" w:rsidR="004E0DDE" w:rsidRPr="005E73C2" w:rsidRDefault="004E0DDE">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lastRenderedPageBreak/>
        <w:t xml:space="preserve">Second, people high in narcissism tend to overestimate their current performance and are optimistic about future outcomes </w:t>
      </w:r>
      <w:r w:rsidRPr="005E73C2">
        <w:rPr>
          <w:rFonts w:asciiTheme="majorBidi" w:hAnsiTheme="majorBidi" w:cstheme="majorBidi"/>
          <w:noProof/>
          <w:color w:val="000000" w:themeColor="text1"/>
          <w:sz w:val="24"/>
          <w:szCs w:val="28"/>
        </w:rPr>
        <w:t xml:space="preserve">(Farwell </w:t>
      </w:r>
      <w:r w:rsidR="000F1DCD">
        <w:rPr>
          <w:rFonts w:asciiTheme="majorBidi" w:hAnsiTheme="majorBidi" w:cstheme="majorBidi"/>
          <w:noProof/>
          <w:color w:val="000000" w:themeColor="text1"/>
          <w:sz w:val="24"/>
          <w:szCs w:val="28"/>
        </w:rPr>
        <w:t>&amp;</w:t>
      </w:r>
      <w:r w:rsidR="000F1DCD" w:rsidRPr="005E73C2">
        <w:rPr>
          <w:rFonts w:asciiTheme="majorBidi" w:hAnsiTheme="majorBidi" w:cstheme="majorBidi"/>
          <w:noProof/>
          <w:color w:val="000000" w:themeColor="text1"/>
          <w:sz w:val="24"/>
          <w:szCs w:val="28"/>
        </w:rPr>
        <w:t xml:space="preserve"> </w:t>
      </w:r>
      <w:r w:rsidRPr="005E73C2">
        <w:rPr>
          <w:rFonts w:asciiTheme="majorBidi" w:hAnsiTheme="majorBidi" w:cstheme="majorBidi"/>
          <w:noProof/>
          <w:color w:val="000000" w:themeColor="text1"/>
          <w:sz w:val="24"/>
          <w:szCs w:val="28"/>
        </w:rPr>
        <w:t>Wohlwend-Lloyd</w:t>
      </w:r>
      <w:r w:rsidR="000F1DCD">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1998)</w:t>
      </w:r>
      <w:r w:rsidRPr="005E73C2">
        <w:rPr>
          <w:rFonts w:asciiTheme="majorBidi" w:hAnsiTheme="majorBidi" w:cstheme="majorBidi"/>
          <w:color w:val="000000" w:themeColor="text1"/>
          <w:sz w:val="24"/>
          <w:szCs w:val="28"/>
        </w:rPr>
        <w:t xml:space="preserve">. </w:t>
      </w:r>
      <w:r w:rsidR="009C46C1">
        <w:rPr>
          <w:rFonts w:asciiTheme="majorBidi" w:hAnsiTheme="majorBidi" w:cstheme="majorBidi"/>
          <w:color w:val="000000" w:themeColor="text1"/>
          <w:sz w:val="24"/>
          <w:szCs w:val="28"/>
        </w:rPr>
        <w:t>F</w:t>
      </w:r>
      <w:r w:rsidRPr="005E73C2">
        <w:rPr>
          <w:rFonts w:asciiTheme="majorBidi" w:hAnsiTheme="majorBidi" w:cstheme="majorBidi"/>
          <w:color w:val="000000" w:themeColor="text1"/>
          <w:sz w:val="24"/>
          <w:szCs w:val="28"/>
        </w:rPr>
        <w:t>ollow</w:t>
      </w:r>
      <w:r w:rsidR="009C46C1">
        <w:rPr>
          <w:rFonts w:asciiTheme="majorBidi" w:hAnsiTheme="majorBidi" w:cstheme="majorBidi"/>
          <w:color w:val="000000" w:themeColor="text1"/>
          <w:sz w:val="24"/>
          <w:szCs w:val="28"/>
        </w:rPr>
        <w:t xml:space="preserve">ing this argument, </w:t>
      </w:r>
      <w:r w:rsidRPr="005E73C2">
        <w:rPr>
          <w:rFonts w:asciiTheme="majorBidi" w:hAnsiTheme="majorBidi" w:cstheme="majorBidi"/>
          <w:color w:val="000000" w:themeColor="text1"/>
          <w:sz w:val="24"/>
          <w:szCs w:val="28"/>
        </w:rPr>
        <w:t xml:space="preserve">a narcissistic AC chair may have optimistic expectations about their own performance in monitoring and assert that they understand all aspects of financial reporting, including the company’s accounting standards and estimates. As such, </w:t>
      </w:r>
      <w:r w:rsidR="009C46C1">
        <w:rPr>
          <w:rFonts w:asciiTheme="majorBidi" w:hAnsiTheme="majorBidi" w:cstheme="majorBidi"/>
          <w:color w:val="000000" w:themeColor="text1"/>
          <w:sz w:val="24"/>
          <w:szCs w:val="28"/>
        </w:rPr>
        <w:t xml:space="preserve">a </w:t>
      </w:r>
      <w:r w:rsidRPr="005E73C2">
        <w:rPr>
          <w:rFonts w:asciiTheme="majorBidi" w:hAnsiTheme="majorBidi" w:cstheme="majorBidi"/>
          <w:color w:val="000000" w:themeColor="text1"/>
          <w:sz w:val="24"/>
          <w:szCs w:val="28"/>
        </w:rPr>
        <w:t xml:space="preserve">narcissistic AC chair may be less </w:t>
      </w:r>
      <w:r w:rsidR="000F1DCD">
        <w:rPr>
          <w:rFonts w:asciiTheme="majorBidi" w:hAnsiTheme="majorBidi" w:cstheme="majorBidi"/>
          <w:color w:val="000000" w:themeColor="text1"/>
          <w:sz w:val="24"/>
          <w:szCs w:val="28"/>
        </w:rPr>
        <w:t>willing to elicit and assimilate</w:t>
      </w:r>
      <w:r w:rsidR="009C46C1">
        <w:rPr>
          <w:rFonts w:asciiTheme="majorBidi" w:hAnsiTheme="majorBidi" w:cstheme="majorBidi"/>
          <w:color w:val="000000" w:themeColor="text1"/>
          <w:sz w:val="24"/>
          <w:szCs w:val="28"/>
        </w:rPr>
        <w:t xml:space="preserve"> information</w:t>
      </w:r>
      <w:r w:rsidR="000F1DCD">
        <w:rPr>
          <w:rFonts w:asciiTheme="majorBidi" w:hAnsiTheme="majorBidi" w:cstheme="majorBidi"/>
          <w:color w:val="000000" w:themeColor="text1"/>
          <w:sz w:val="24"/>
          <w:szCs w:val="28"/>
        </w:rPr>
        <w:t xml:space="preserve">, </w:t>
      </w:r>
      <w:r w:rsidR="009C46C1">
        <w:rPr>
          <w:rFonts w:asciiTheme="majorBidi" w:hAnsiTheme="majorBidi" w:cstheme="majorBidi"/>
          <w:color w:val="000000" w:themeColor="text1"/>
          <w:sz w:val="24"/>
          <w:szCs w:val="28"/>
        </w:rPr>
        <w:t xml:space="preserve">and therefore </w:t>
      </w:r>
      <w:r w:rsidR="000F1DCD">
        <w:rPr>
          <w:rFonts w:asciiTheme="majorBidi" w:hAnsiTheme="majorBidi" w:cstheme="majorBidi"/>
          <w:color w:val="000000" w:themeColor="text1"/>
          <w:sz w:val="24"/>
          <w:szCs w:val="28"/>
        </w:rPr>
        <w:t xml:space="preserve">less </w:t>
      </w:r>
      <w:r w:rsidRPr="005E73C2">
        <w:rPr>
          <w:rFonts w:asciiTheme="majorBidi" w:hAnsiTheme="majorBidi" w:cstheme="majorBidi"/>
          <w:color w:val="000000" w:themeColor="text1"/>
          <w:sz w:val="24"/>
          <w:szCs w:val="28"/>
        </w:rPr>
        <w:t xml:space="preserve">likely to hold regular meetings with management to discuss the </w:t>
      </w:r>
      <w:r w:rsidR="009C46C1">
        <w:rPr>
          <w:rFonts w:asciiTheme="majorBidi" w:hAnsiTheme="majorBidi" w:cstheme="majorBidi"/>
          <w:color w:val="000000" w:themeColor="text1"/>
          <w:sz w:val="24"/>
          <w:szCs w:val="28"/>
        </w:rPr>
        <w:t>use of</w:t>
      </w:r>
      <w:r w:rsidRPr="005E73C2">
        <w:rPr>
          <w:rFonts w:asciiTheme="majorBidi" w:hAnsiTheme="majorBidi" w:cstheme="majorBidi"/>
          <w:color w:val="000000" w:themeColor="text1"/>
          <w:sz w:val="24"/>
          <w:szCs w:val="28"/>
        </w:rPr>
        <w:t xml:space="preserve"> certain accounting standards and non-IFRS earnings</w:t>
      </w:r>
      <w:r w:rsidR="009C46C1">
        <w:rPr>
          <w:rFonts w:asciiTheme="majorBidi" w:hAnsiTheme="majorBidi" w:cstheme="majorBidi"/>
          <w:color w:val="000000" w:themeColor="text1"/>
          <w:sz w:val="24"/>
          <w:szCs w:val="28"/>
        </w:rPr>
        <w:t xml:space="preserve"> definitions</w:t>
      </w:r>
      <w:r w:rsidRPr="005E73C2">
        <w:rPr>
          <w:rFonts w:asciiTheme="majorBidi" w:hAnsiTheme="majorBidi" w:cstheme="majorBidi"/>
          <w:color w:val="000000" w:themeColor="text1"/>
          <w:sz w:val="24"/>
          <w:szCs w:val="28"/>
        </w:rPr>
        <w:t xml:space="preserve">, </w:t>
      </w:r>
      <w:r w:rsidR="009C46C1">
        <w:rPr>
          <w:rFonts w:asciiTheme="majorBidi" w:hAnsiTheme="majorBidi" w:cstheme="majorBidi"/>
          <w:color w:val="000000" w:themeColor="text1"/>
          <w:sz w:val="24"/>
          <w:szCs w:val="28"/>
        </w:rPr>
        <w:t>potentially</w:t>
      </w:r>
      <w:r w:rsidRPr="005E73C2">
        <w:rPr>
          <w:rFonts w:asciiTheme="majorBidi" w:hAnsiTheme="majorBidi" w:cstheme="majorBidi"/>
          <w:color w:val="000000" w:themeColor="text1"/>
          <w:sz w:val="24"/>
          <w:szCs w:val="28"/>
        </w:rPr>
        <w:t xml:space="preserve"> impair</w:t>
      </w:r>
      <w:r w:rsidR="009C46C1">
        <w:rPr>
          <w:rFonts w:asciiTheme="majorBidi" w:hAnsiTheme="majorBidi" w:cstheme="majorBidi"/>
          <w:color w:val="000000" w:themeColor="text1"/>
          <w:sz w:val="24"/>
          <w:szCs w:val="28"/>
        </w:rPr>
        <w:t>ing</w:t>
      </w:r>
      <w:r w:rsidRPr="005E73C2">
        <w:rPr>
          <w:rFonts w:asciiTheme="majorBidi" w:hAnsiTheme="majorBidi" w:cstheme="majorBidi"/>
          <w:color w:val="000000" w:themeColor="text1"/>
          <w:sz w:val="24"/>
          <w:szCs w:val="28"/>
        </w:rPr>
        <w:t xml:space="preserve"> their competence in detecting opportunistic use of non-recurring items.</w:t>
      </w:r>
    </w:p>
    <w:p w14:paraId="7BE615EA" w14:textId="63EB043D" w:rsidR="004E0DDE" w:rsidRPr="005E73C2" w:rsidRDefault="004E0DDE" w:rsidP="008F7A0D">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To sum up, given the above discussion on the bright and dark sides of AC chair narcissism, </w:t>
      </w:r>
      <w:proofErr w:type="gramStart"/>
      <w:r w:rsidRPr="005E73C2">
        <w:rPr>
          <w:rFonts w:asciiTheme="majorBidi" w:hAnsiTheme="majorBidi" w:cstheme="majorBidi"/>
          <w:color w:val="000000" w:themeColor="text1"/>
          <w:sz w:val="24"/>
          <w:szCs w:val="28"/>
        </w:rPr>
        <w:t xml:space="preserve">it </w:t>
      </w:r>
      <w:r w:rsidR="009C46C1">
        <w:rPr>
          <w:rFonts w:asciiTheme="majorBidi" w:hAnsiTheme="majorBidi" w:cstheme="majorBidi"/>
          <w:color w:val="000000" w:themeColor="text1"/>
          <w:sz w:val="24"/>
          <w:szCs w:val="28"/>
        </w:rPr>
        <w:t>is</w:t>
      </w:r>
      <w:r w:rsidR="000F1DCD"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clear that whether</w:t>
      </w:r>
      <w:proofErr w:type="gramEnd"/>
      <w:r w:rsidRPr="005E73C2">
        <w:rPr>
          <w:rFonts w:asciiTheme="majorBidi" w:hAnsiTheme="majorBidi" w:cstheme="majorBidi"/>
          <w:color w:val="000000" w:themeColor="text1"/>
          <w:sz w:val="24"/>
          <w:szCs w:val="28"/>
        </w:rPr>
        <w:t xml:space="preserve"> a narcissistic AC chair mitigate or facilitate opportunistic non-IFRS disclosure </w:t>
      </w:r>
      <w:r w:rsidR="009C46C1">
        <w:rPr>
          <w:rFonts w:asciiTheme="majorBidi" w:hAnsiTheme="majorBidi" w:cstheme="majorBidi"/>
          <w:color w:val="000000" w:themeColor="text1"/>
          <w:sz w:val="24"/>
          <w:szCs w:val="28"/>
        </w:rPr>
        <w:t>warrants</w:t>
      </w:r>
      <w:r w:rsidRPr="005E73C2">
        <w:rPr>
          <w:rFonts w:asciiTheme="majorBidi" w:hAnsiTheme="majorBidi" w:cstheme="majorBidi"/>
          <w:color w:val="000000" w:themeColor="text1"/>
          <w:sz w:val="24"/>
          <w:szCs w:val="28"/>
        </w:rPr>
        <w:t xml:space="preserve"> </w:t>
      </w:r>
      <w:r w:rsidR="000F1DCD" w:rsidRPr="005E73C2">
        <w:rPr>
          <w:rFonts w:asciiTheme="majorBidi" w:hAnsiTheme="majorBidi" w:cstheme="majorBidi"/>
          <w:color w:val="000000" w:themeColor="text1"/>
          <w:sz w:val="24"/>
          <w:szCs w:val="28"/>
        </w:rPr>
        <w:t xml:space="preserve">empirical </w:t>
      </w:r>
      <w:r w:rsidRPr="005E73C2">
        <w:rPr>
          <w:rFonts w:asciiTheme="majorBidi" w:hAnsiTheme="majorBidi" w:cstheme="majorBidi"/>
          <w:color w:val="000000" w:themeColor="text1"/>
          <w:sz w:val="24"/>
          <w:szCs w:val="28"/>
        </w:rPr>
        <w:t>investigation. We thus state our hypothesis in a non-directional form:</w:t>
      </w:r>
    </w:p>
    <w:p w14:paraId="44E3B61B" w14:textId="77777777" w:rsidR="004E0DDE" w:rsidRPr="005E73C2" w:rsidRDefault="004E0DDE"/>
    <w:p w14:paraId="6ECE0CA3" w14:textId="2E5E2A9E" w:rsidR="004E0DDE" w:rsidRPr="005E73C2" w:rsidRDefault="004E0DDE" w:rsidP="008F7A0D">
      <w:pPr>
        <w:rPr>
          <w:rFonts w:asciiTheme="majorBidi" w:hAnsiTheme="majorBidi" w:cstheme="majorBidi"/>
          <w:color w:val="000000" w:themeColor="text1"/>
          <w:sz w:val="24"/>
          <w:szCs w:val="28"/>
        </w:rPr>
      </w:pPr>
      <w:r w:rsidRPr="005E73C2">
        <w:rPr>
          <w:rFonts w:asciiTheme="majorBidi" w:hAnsiTheme="majorBidi" w:cstheme="majorBidi"/>
          <w:b/>
          <w:bCs/>
          <w:i/>
          <w:iCs/>
          <w:color w:val="000000" w:themeColor="text1"/>
          <w:sz w:val="24"/>
          <w:szCs w:val="28"/>
        </w:rPr>
        <w:t>H1</w:t>
      </w:r>
      <w:r w:rsidRPr="005E73C2">
        <w:rPr>
          <w:rFonts w:asciiTheme="majorBidi" w:hAnsiTheme="majorBidi" w:cstheme="majorBidi"/>
          <w:color w:val="000000" w:themeColor="text1"/>
          <w:sz w:val="24"/>
          <w:szCs w:val="28"/>
        </w:rPr>
        <w:t xml:space="preserve">: </w:t>
      </w:r>
      <w:r w:rsidRPr="005E73C2">
        <w:rPr>
          <w:rFonts w:asciiTheme="majorBidi" w:hAnsiTheme="majorBidi" w:cstheme="majorBidi"/>
          <w:i/>
          <w:iCs/>
          <w:color w:val="000000" w:themeColor="text1"/>
          <w:sz w:val="24"/>
          <w:szCs w:val="28"/>
        </w:rPr>
        <w:t xml:space="preserve">The personal narcissism of an AC chair </w:t>
      </w:r>
      <w:r w:rsidR="000F1DCD">
        <w:rPr>
          <w:rFonts w:asciiTheme="majorBidi" w:hAnsiTheme="majorBidi" w:cstheme="majorBidi"/>
          <w:i/>
          <w:iCs/>
          <w:color w:val="000000" w:themeColor="text1"/>
          <w:sz w:val="24"/>
          <w:szCs w:val="28"/>
        </w:rPr>
        <w:t>a</w:t>
      </w:r>
      <w:r w:rsidR="000F1DCD" w:rsidRPr="005E73C2">
        <w:rPr>
          <w:rFonts w:asciiTheme="majorBidi" w:hAnsiTheme="majorBidi" w:cstheme="majorBidi"/>
          <w:i/>
          <w:iCs/>
          <w:color w:val="000000" w:themeColor="text1"/>
          <w:sz w:val="24"/>
          <w:szCs w:val="28"/>
        </w:rPr>
        <w:t xml:space="preserve">ffects </w:t>
      </w:r>
      <w:r w:rsidRPr="005E73C2">
        <w:rPr>
          <w:rFonts w:asciiTheme="majorBidi" w:hAnsiTheme="majorBidi" w:cstheme="majorBidi"/>
          <w:i/>
          <w:iCs/>
          <w:color w:val="000000" w:themeColor="text1"/>
          <w:sz w:val="24"/>
          <w:szCs w:val="28"/>
        </w:rPr>
        <w:t>the quality of the company’s non-IFRS disclosure</w:t>
      </w:r>
      <w:r w:rsidRPr="005E73C2">
        <w:rPr>
          <w:rFonts w:asciiTheme="majorBidi" w:hAnsiTheme="majorBidi" w:cstheme="majorBidi"/>
          <w:color w:val="000000" w:themeColor="text1"/>
          <w:sz w:val="24"/>
          <w:szCs w:val="28"/>
        </w:rPr>
        <w:t>.</w:t>
      </w:r>
    </w:p>
    <w:p w14:paraId="71C7B974" w14:textId="77777777" w:rsidR="004E0DDE" w:rsidRDefault="004E0DDE"/>
    <w:p w14:paraId="16229B3E" w14:textId="49C41768" w:rsidR="004E0DDE" w:rsidRDefault="00182207" w:rsidP="008F7A0D">
      <w:pPr>
        <w:pStyle w:val="Heading1"/>
        <w:rPr>
          <w:rFonts w:asciiTheme="majorBidi" w:hAnsiTheme="majorBidi"/>
          <w:b/>
          <w:bCs/>
          <w:color w:val="000000" w:themeColor="text1"/>
        </w:rPr>
      </w:pPr>
      <w:r>
        <w:rPr>
          <w:rFonts w:asciiTheme="majorBidi" w:hAnsiTheme="majorBidi"/>
          <w:b/>
          <w:bCs/>
          <w:color w:val="000000" w:themeColor="text1"/>
        </w:rPr>
        <w:t>5</w:t>
      </w:r>
      <w:r w:rsidR="004E0DDE" w:rsidRPr="002934C7">
        <w:rPr>
          <w:rFonts w:asciiTheme="majorBidi" w:hAnsiTheme="majorBidi"/>
          <w:b/>
          <w:bCs/>
          <w:color w:val="000000" w:themeColor="text1"/>
        </w:rPr>
        <w:t xml:space="preserve"> </w:t>
      </w:r>
      <w:r w:rsidR="003E30F8" w:rsidRPr="003E30F8">
        <w:rPr>
          <w:rFonts w:asciiTheme="majorBidi" w:hAnsiTheme="majorBidi"/>
          <w:b/>
          <w:bCs/>
          <w:color w:val="000000" w:themeColor="text1"/>
        </w:rPr>
        <w:t>Research design</w:t>
      </w:r>
    </w:p>
    <w:p w14:paraId="12C36BA7" w14:textId="77777777" w:rsidR="002528F2" w:rsidRPr="0087365D" w:rsidRDefault="002528F2" w:rsidP="0087365D"/>
    <w:p w14:paraId="57D4CC8A" w14:textId="5C051390" w:rsidR="002528F2" w:rsidRPr="00FD7B1D" w:rsidRDefault="00182207" w:rsidP="00FD7B1D">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5</w:t>
      </w:r>
      <w:r w:rsidR="004E0DDE" w:rsidRPr="005E73C2">
        <w:rPr>
          <w:rFonts w:asciiTheme="majorBidi" w:hAnsiTheme="majorBidi"/>
          <w:i/>
          <w:iCs/>
          <w:color w:val="000000" w:themeColor="text1"/>
          <w:sz w:val="28"/>
          <w:szCs w:val="28"/>
        </w:rPr>
        <w:t>.1</w:t>
      </w:r>
      <w:r w:rsidR="002934C7">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Measure of </w:t>
      </w:r>
      <w:r w:rsidR="002528F2">
        <w:rPr>
          <w:rFonts w:asciiTheme="majorBidi" w:hAnsiTheme="majorBidi"/>
          <w:i/>
          <w:iCs/>
          <w:color w:val="000000" w:themeColor="text1"/>
          <w:sz w:val="28"/>
          <w:szCs w:val="28"/>
        </w:rPr>
        <w:t>n</w:t>
      </w:r>
      <w:r w:rsidR="004E0DDE" w:rsidRPr="005E73C2">
        <w:rPr>
          <w:rFonts w:asciiTheme="majorBidi" w:hAnsiTheme="majorBidi"/>
          <w:i/>
          <w:iCs/>
          <w:color w:val="000000" w:themeColor="text1"/>
          <w:sz w:val="28"/>
          <w:szCs w:val="28"/>
        </w:rPr>
        <w:t>arcissism</w:t>
      </w:r>
    </w:p>
    <w:p w14:paraId="506E54EE" w14:textId="268439AE" w:rsidR="004E0DDE" w:rsidRPr="005E73C2" w:rsidRDefault="00CA4CA2" w:rsidP="002110AA">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w:t>
      </w:r>
      <w:r w:rsidR="004E0DDE" w:rsidRPr="005E73C2">
        <w:rPr>
          <w:rFonts w:asciiTheme="majorBidi" w:hAnsiTheme="majorBidi" w:cstheme="majorBidi"/>
          <w:color w:val="000000" w:themeColor="text1"/>
          <w:sz w:val="24"/>
          <w:szCs w:val="24"/>
        </w:rPr>
        <w:t>ollow</w:t>
      </w:r>
      <w:r>
        <w:rPr>
          <w:rFonts w:asciiTheme="majorBidi" w:hAnsiTheme="majorBidi" w:cstheme="majorBidi"/>
          <w:color w:val="000000" w:themeColor="text1"/>
          <w:sz w:val="24"/>
          <w:szCs w:val="24"/>
        </w:rPr>
        <w:t>ing</w:t>
      </w:r>
      <w:r w:rsidR="004E0DDE" w:rsidRPr="005E73C2">
        <w:rPr>
          <w:rFonts w:asciiTheme="majorBidi" w:hAnsiTheme="majorBidi" w:cstheme="majorBidi"/>
          <w:color w:val="000000" w:themeColor="text1"/>
          <w:sz w:val="24"/>
          <w:szCs w:val="24"/>
        </w:rPr>
        <w:t xml:space="preserve"> </w:t>
      </w:r>
      <w:r w:rsidR="004E0DDE" w:rsidRPr="005E73C2">
        <w:rPr>
          <w:rFonts w:asciiTheme="majorBidi" w:hAnsiTheme="majorBidi" w:cstheme="majorBidi"/>
          <w:noProof/>
          <w:color w:val="000000" w:themeColor="text1"/>
          <w:sz w:val="24"/>
          <w:szCs w:val="24"/>
        </w:rPr>
        <w:t>Church</w:t>
      </w:r>
      <w:r w:rsidR="003C1013">
        <w:rPr>
          <w:rFonts w:asciiTheme="majorBidi" w:hAnsiTheme="majorBidi" w:cstheme="majorBidi"/>
          <w:noProof/>
          <w:color w:val="000000" w:themeColor="text1"/>
          <w:sz w:val="24"/>
          <w:szCs w:val="24"/>
        </w:rPr>
        <w:t xml:space="preserve">, </w:t>
      </w:r>
      <w:r w:rsidR="003C1013" w:rsidRPr="003C1013">
        <w:rPr>
          <w:rFonts w:asciiTheme="majorBidi" w:hAnsiTheme="majorBidi" w:cstheme="majorBidi"/>
          <w:noProof/>
          <w:color w:val="000000" w:themeColor="text1"/>
          <w:sz w:val="24"/>
          <w:szCs w:val="24"/>
        </w:rPr>
        <w:t>Dai</w:t>
      </w:r>
      <w:r w:rsidR="003C1013">
        <w:rPr>
          <w:rFonts w:asciiTheme="majorBidi" w:hAnsiTheme="majorBidi" w:cstheme="majorBidi"/>
          <w:noProof/>
          <w:color w:val="000000" w:themeColor="text1"/>
          <w:sz w:val="24"/>
          <w:szCs w:val="24"/>
        </w:rPr>
        <w:t xml:space="preserve">, </w:t>
      </w:r>
      <w:r w:rsidR="003C1013" w:rsidRPr="003C1013">
        <w:rPr>
          <w:rFonts w:asciiTheme="majorBidi" w:hAnsiTheme="majorBidi" w:cstheme="majorBidi"/>
          <w:noProof/>
          <w:color w:val="000000" w:themeColor="text1"/>
          <w:sz w:val="24"/>
          <w:szCs w:val="24"/>
        </w:rPr>
        <w:t>Kuang</w:t>
      </w:r>
      <w:r w:rsidR="003C1013">
        <w:rPr>
          <w:rFonts w:asciiTheme="majorBidi" w:hAnsiTheme="majorBidi" w:cstheme="majorBidi"/>
          <w:noProof/>
          <w:color w:val="000000" w:themeColor="text1"/>
          <w:sz w:val="24"/>
          <w:szCs w:val="24"/>
        </w:rPr>
        <w:t xml:space="preserve">, </w:t>
      </w:r>
      <w:r w:rsidR="002A02C5">
        <w:rPr>
          <w:rFonts w:asciiTheme="majorBidi" w:hAnsiTheme="majorBidi" w:cstheme="majorBidi"/>
          <w:noProof/>
          <w:color w:val="000000" w:themeColor="text1"/>
          <w:sz w:val="24"/>
          <w:szCs w:val="24"/>
        </w:rPr>
        <w:t>and</w:t>
      </w:r>
      <w:r w:rsidR="00671A72">
        <w:rPr>
          <w:rFonts w:asciiTheme="majorBidi" w:hAnsiTheme="majorBidi" w:cstheme="majorBidi"/>
          <w:noProof/>
          <w:color w:val="000000" w:themeColor="text1"/>
          <w:sz w:val="24"/>
          <w:szCs w:val="24"/>
        </w:rPr>
        <w:t xml:space="preserve"> </w:t>
      </w:r>
      <w:r w:rsidR="003C1013" w:rsidRPr="003C1013">
        <w:rPr>
          <w:rFonts w:asciiTheme="majorBidi" w:hAnsiTheme="majorBidi" w:cstheme="majorBidi"/>
          <w:noProof/>
          <w:color w:val="000000" w:themeColor="text1"/>
          <w:sz w:val="24"/>
          <w:szCs w:val="24"/>
        </w:rPr>
        <w:t xml:space="preserve">Liu </w:t>
      </w:r>
      <w:r w:rsidR="004E0DDE" w:rsidRPr="005E73C2">
        <w:rPr>
          <w:rFonts w:asciiTheme="majorBidi" w:hAnsiTheme="majorBidi" w:cstheme="majorBidi"/>
          <w:noProof/>
          <w:color w:val="000000" w:themeColor="text1"/>
          <w:sz w:val="24"/>
          <w:szCs w:val="24"/>
        </w:rPr>
        <w:t>(2020)</w:t>
      </w:r>
      <w:r w:rsidR="004E0DDE" w:rsidRPr="005E73C2">
        <w:rPr>
          <w:rFonts w:asciiTheme="majorBidi" w:hAnsiTheme="majorBidi" w:cstheme="majorBidi"/>
          <w:color w:val="000000" w:themeColor="text1"/>
          <w:sz w:val="24"/>
          <w:szCs w:val="24"/>
        </w:rPr>
        <w:t xml:space="preserve"> and </w:t>
      </w:r>
      <w:r w:rsidR="004E0DDE" w:rsidRPr="005E73C2">
        <w:rPr>
          <w:rFonts w:asciiTheme="majorBidi" w:hAnsiTheme="majorBidi" w:cstheme="majorBidi"/>
          <w:noProof/>
          <w:color w:val="000000" w:themeColor="text1"/>
          <w:sz w:val="24"/>
          <w:szCs w:val="24"/>
        </w:rPr>
        <w:t>Ham et al. (2017)</w:t>
      </w:r>
      <w:r>
        <w:rPr>
          <w:rFonts w:asciiTheme="majorBidi" w:hAnsiTheme="majorBidi" w:cstheme="majorBidi"/>
          <w:noProof/>
          <w:color w:val="000000" w:themeColor="text1"/>
          <w:sz w:val="24"/>
          <w:szCs w:val="24"/>
        </w:rPr>
        <w:t>, we</w:t>
      </w:r>
      <w:r w:rsidR="004E0DDE" w:rsidRPr="005E73C2">
        <w:rPr>
          <w:rFonts w:asciiTheme="majorBidi" w:hAnsiTheme="majorBidi" w:cstheme="majorBidi"/>
          <w:color w:val="000000" w:themeColor="text1"/>
          <w:sz w:val="24"/>
          <w:szCs w:val="24"/>
        </w:rPr>
        <w:t xml:space="preserve"> measure narcissism by signature size. There is evidence that </w:t>
      </w:r>
      <w:r w:rsidRPr="005E73C2">
        <w:rPr>
          <w:rFonts w:asciiTheme="majorBidi" w:hAnsiTheme="majorBidi" w:cstheme="majorBidi"/>
          <w:color w:val="000000" w:themeColor="text1"/>
          <w:sz w:val="24"/>
          <w:szCs w:val="24"/>
        </w:rPr>
        <w:t>signature size</w:t>
      </w:r>
      <w:r w:rsidRPr="005E73C2" w:rsidDel="00CA4CA2">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 xml:space="preserve">is positively associated with personality traits </w:t>
      </w:r>
      <w:r>
        <w:rPr>
          <w:rFonts w:asciiTheme="majorBidi" w:hAnsiTheme="majorBidi" w:cstheme="majorBidi"/>
          <w:color w:val="000000" w:themeColor="text1"/>
          <w:sz w:val="24"/>
          <w:szCs w:val="24"/>
        </w:rPr>
        <w:t>related</w:t>
      </w:r>
      <w:r w:rsidRPr="005E73C2">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to narcissism</w:t>
      </w:r>
      <w:r w:rsidR="000C076B">
        <w:rPr>
          <w:rFonts w:asciiTheme="majorBidi" w:hAnsiTheme="majorBidi" w:cstheme="majorBidi"/>
          <w:color w:val="000000" w:themeColor="text1"/>
          <w:sz w:val="24"/>
          <w:szCs w:val="24"/>
        </w:rPr>
        <w:t xml:space="preserve"> </w:t>
      </w:r>
      <w:r w:rsidR="004E0DDE" w:rsidRPr="005E73C2">
        <w:rPr>
          <w:rFonts w:asciiTheme="majorBidi" w:hAnsiTheme="majorBidi" w:cstheme="majorBidi"/>
          <w:noProof/>
          <w:color w:val="000000" w:themeColor="text1"/>
          <w:sz w:val="24"/>
          <w:szCs w:val="24"/>
        </w:rPr>
        <w:t>(</w:t>
      </w:r>
      <w:r w:rsidR="000C076B" w:rsidRPr="005E73C2">
        <w:rPr>
          <w:rFonts w:asciiTheme="majorBidi" w:hAnsiTheme="majorBidi" w:cstheme="majorBidi"/>
          <w:noProof/>
          <w:color w:val="000000" w:themeColor="text1"/>
          <w:sz w:val="24"/>
          <w:szCs w:val="24"/>
        </w:rPr>
        <w:t>Jorgenson</w:t>
      </w:r>
      <w:r w:rsidR="000C076B">
        <w:rPr>
          <w:rFonts w:asciiTheme="majorBidi" w:hAnsiTheme="majorBidi" w:cstheme="majorBidi"/>
          <w:noProof/>
          <w:color w:val="000000" w:themeColor="text1"/>
          <w:sz w:val="24"/>
          <w:szCs w:val="24"/>
        </w:rPr>
        <w:t>,</w:t>
      </w:r>
      <w:r w:rsidR="000C076B" w:rsidRPr="005E73C2">
        <w:rPr>
          <w:rFonts w:asciiTheme="majorBidi" w:hAnsiTheme="majorBidi" w:cstheme="majorBidi"/>
          <w:noProof/>
          <w:color w:val="000000" w:themeColor="text1"/>
          <w:sz w:val="24"/>
          <w:szCs w:val="24"/>
        </w:rPr>
        <w:t xml:space="preserve"> 1977; Mailhos</w:t>
      </w:r>
      <w:r w:rsidR="004B3D78">
        <w:rPr>
          <w:rFonts w:asciiTheme="majorBidi" w:hAnsiTheme="majorBidi" w:cstheme="majorBidi"/>
          <w:noProof/>
          <w:color w:val="000000" w:themeColor="text1"/>
          <w:sz w:val="24"/>
          <w:szCs w:val="24"/>
        </w:rPr>
        <w:t>, Buunk &amp; Cabana</w:t>
      </w:r>
      <w:r w:rsidR="000C076B">
        <w:rPr>
          <w:rFonts w:asciiTheme="majorBidi" w:hAnsiTheme="majorBidi" w:cstheme="majorBidi"/>
          <w:noProof/>
          <w:color w:val="000000" w:themeColor="text1"/>
          <w:sz w:val="24"/>
          <w:szCs w:val="24"/>
        </w:rPr>
        <w:t>,</w:t>
      </w:r>
      <w:r w:rsidR="000C076B" w:rsidRPr="005E73C2">
        <w:rPr>
          <w:rFonts w:asciiTheme="majorBidi" w:hAnsiTheme="majorBidi" w:cstheme="majorBidi"/>
          <w:noProof/>
          <w:color w:val="000000" w:themeColor="text1"/>
          <w:sz w:val="24"/>
          <w:szCs w:val="24"/>
        </w:rPr>
        <w:t xml:space="preserve"> 2016</w:t>
      </w:r>
      <w:r w:rsidR="000C076B">
        <w:rPr>
          <w:rFonts w:asciiTheme="majorBidi" w:hAnsiTheme="majorBidi" w:cstheme="majorBidi"/>
          <w:noProof/>
          <w:color w:val="000000" w:themeColor="text1"/>
          <w:sz w:val="24"/>
          <w:szCs w:val="24"/>
        </w:rPr>
        <w:t xml:space="preserve">; </w:t>
      </w:r>
      <w:r w:rsidR="004E0DDE" w:rsidRPr="005E73C2">
        <w:rPr>
          <w:rFonts w:asciiTheme="majorBidi" w:hAnsiTheme="majorBidi" w:cstheme="majorBidi"/>
          <w:noProof/>
          <w:color w:val="000000" w:themeColor="text1"/>
          <w:sz w:val="24"/>
          <w:szCs w:val="24"/>
        </w:rPr>
        <w:t>Zweigenhaft</w:t>
      </w:r>
      <w:r w:rsidR="00FC72BC">
        <w:rPr>
          <w:rFonts w:asciiTheme="majorBidi" w:hAnsiTheme="majorBidi" w:cstheme="majorBidi"/>
          <w:noProof/>
          <w:color w:val="000000" w:themeColor="text1"/>
          <w:sz w:val="24"/>
          <w:szCs w:val="24"/>
        </w:rPr>
        <w:t>,</w:t>
      </w:r>
      <w:r w:rsidR="004E0DDE" w:rsidRPr="005E73C2">
        <w:rPr>
          <w:rFonts w:asciiTheme="majorBidi" w:hAnsiTheme="majorBidi" w:cstheme="majorBidi"/>
          <w:noProof/>
          <w:color w:val="000000" w:themeColor="text1"/>
          <w:sz w:val="24"/>
          <w:szCs w:val="24"/>
        </w:rPr>
        <w:t xml:space="preserve"> 1970; Zweigenhaft </w:t>
      </w:r>
      <w:r w:rsidR="000C0433">
        <w:rPr>
          <w:rFonts w:asciiTheme="majorBidi" w:hAnsiTheme="majorBidi" w:cstheme="majorBidi"/>
          <w:noProof/>
          <w:color w:val="000000" w:themeColor="text1"/>
          <w:sz w:val="24"/>
          <w:szCs w:val="24"/>
        </w:rPr>
        <w:t>&amp;</w:t>
      </w:r>
      <w:r w:rsidR="000C0433" w:rsidRPr="005E73C2">
        <w:rPr>
          <w:rFonts w:asciiTheme="majorBidi" w:hAnsiTheme="majorBidi" w:cstheme="majorBidi"/>
          <w:noProof/>
          <w:color w:val="000000" w:themeColor="text1"/>
          <w:sz w:val="24"/>
          <w:szCs w:val="24"/>
        </w:rPr>
        <w:t xml:space="preserve"> </w:t>
      </w:r>
      <w:r w:rsidR="004E0DDE" w:rsidRPr="005E73C2">
        <w:rPr>
          <w:rFonts w:asciiTheme="majorBidi" w:hAnsiTheme="majorBidi" w:cstheme="majorBidi"/>
          <w:noProof/>
          <w:color w:val="000000" w:themeColor="text1"/>
          <w:sz w:val="24"/>
          <w:szCs w:val="24"/>
        </w:rPr>
        <w:t>Marlowe</w:t>
      </w:r>
      <w:r w:rsidR="00FC72BC">
        <w:rPr>
          <w:rFonts w:asciiTheme="majorBidi" w:hAnsiTheme="majorBidi" w:cstheme="majorBidi"/>
          <w:noProof/>
          <w:color w:val="000000" w:themeColor="text1"/>
          <w:sz w:val="24"/>
          <w:szCs w:val="24"/>
        </w:rPr>
        <w:t>,</w:t>
      </w:r>
      <w:r w:rsidR="004E0DDE" w:rsidRPr="005E73C2">
        <w:rPr>
          <w:rFonts w:asciiTheme="majorBidi" w:hAnsiTheme="majorBidi" w:cstheme="majorBidi"/>
          <w:noProof/>
          <w:color w:val="000000" w:themeColor="text1"/>
          <w:sz w:val="24"/>
          <w:szCs w:val="24"/>
        </w:rPr>
        <w:t xml:space="preserve"> 1973)</w:t>
      </w:r>
      <w:r w:rsidR="004E0DDE" w:rsidRPr="005E73C2">
        <w:rPr>
          <w:rFonts w:asciiTheme="majorBidi" w:hAnsiTheme="majorBidi" w:cstheme="majorBidi"/>
          <w:color w:val="000000" w:themeColor="text1"/>
          <w:sz w:val="24"/>
          <w:szCs w:val="24"/>
        </w:rPr>
        <w:t xml:space="preserve">. Recent empirical accounting studies have validated the use of signature size as proxy for an individual’s degree of narcissism because of its positive relationship with the NPI-40 </w:t>
      </w:r>
      <w:r w:rsidR="004E0DDE" w:rsidRPr="005E73C2">
        <w:rPr>
          <w:rFonts w:asciiTheme="majorBidi" w:hAnsiTheme="majorBidi" w:cstheme="majorBidi"/>
          <w:noProof/>
          <w:color w:val="000000" w:themeColor="text1"/>
          <w:sz w:val="24"/>
          <w:szCs w:val="24"/>
        </w:rPr>
        <w:t>(Church et al.</w:t>
      </w:r>
      <w:r w:rsidR="00FC72BC">
        <w:rPr>
          <w:rFonts w:asciiTheme="majorBidi" w:hAnsiTheme="majorBidi" w:cstheme="majorBidi"/>
          <w:noProof/>
          <w:color w:val="000000" w:themeColor="text1"/>
          <w:sz w:val="24"/>
          <w:szCs w:val="24"/>
        </w:rPr>
        <w:t>,</w:t>
      </w:r>
      <w:r w:rsidR="004E0DDE" w:rsidRPr="005E73C2">
        <w:rPr>
          <w:rFonts w:asciiTheme="majorBidi" w:hAnsiTheme="majorBidi" w:cstheme="majorBidi"/>
          <w:noProof/>
          <w:color w:val="000000" w:themeColor="text1"/>
          <w:sz w:val="24"/>
          <w:szCs w:val="24"/>
        </w:rPr>
        <w:t xml:space="preserve"> 2020; Ham et al.</w:t>
      </w:r>
      <w:r w:rsidR="00FC72BC">
        <w:rPr>
          <w:rFonts w:asciiTheme="majorBidi" w:hAnsiTheme="majorBidi" w:cstheme="majorBidi"/>
          <w:noProof/>
          <w:color w:val="000000" w:themeColor="text1"/>
          <w:sz w:val="24"/>
          <w:szCs w:val="24"/>
        </w:rPr>
        <w:t>,</w:t>
      </w:r>
      <w:r w:rsidR="004E0DDE" w:rsidRPr="005E73C2">
        <w:rPr>
          <w:rFonts w:asciiTheme="majorBidi" w:hAnsiTheme="majorBidi" w:cstheme="majorBidi"/>
          <w:noProof/>
          <w:color w:val="000000" w:themeColor="text1"/>
          <w:sz w:val="24"/>
          <w:szCs w:val="24"/>
        </w:rPr>
        <w:t xml:space="preserve"> 2017)</w:t>
      </w:r>
      <w:r w:rsidR="004E0DDE" w:rsidRPr="005E73C2">
        <w:rPr>
          <w:rFonts w:asciiTheme="majorBidi" w:hAnsiTheme="majorBidi" w:cstheme="majorBidi"/>
          <w:color w:val="000000" w:themeColor="text1"/>
          <w:sz w:val="24"/>
          <w:szCs w:val="24"/>
        </w:rPr>
        <w:t xml:space="preserve">. Likewise, through experimental studies and correlation tests, </w:t>
      </w:r>
      <w:r w:rsidR="004E0DDE" w:rsidRPr="005E73C2">
        <w:rPr>
          <w:rFonts w:asciiTheme="majorBidi" w:hAnsiTheme="majorBidi" w:cstheme="majorBidi"/>
          <w:noProof/>
          <w:color w:val="000000" w:themeColor="text1"/>
          <w:sz w:val="24"/>
          <w:szCs w:val="24"/>
        </w:rPr>
        <w:t>Ham</w:t>
      </w:r>
      <w:r w:rsidR="003C1013">
        <w:rPr>
          <w:rFonts w:asciiTheme="majorBidi" w:hAnsiTheme="majorBidi" w:cstheme="majorBidi"/>
          <w:noProof/>
          <w:color w:val="000000" w:themeColor="text1"/>
          <w:sz w:val="24"/>
          <w:szCs w:val="24"/>
        </w:rPr>
        <w:t xml:space="preserve">, </w:t>
      </w:r>
      <w:r w:rsidR="003C1013" w:rsidRPr="003C1013">
        <w:rPr>
          <w:rFonts w:asciiTheme="majorBidi" w:hAnsiTheme="majorBidi" w:cstheme="majorBidi"/>
          <w:noProof/>
          <w:color w:val="000000" w:themeColor="text1"/>
          <w:sz w:val="24"/>
          <w:szCs w:val="24"/>
        </w:rPr>
        <w:t>Seybert</w:t>
      </w:r>
      <w:r w:rsidR="003C1013">
        <w:rPr>
          <w:rFonts w:asciiTheme="majorBidi" w:hAnsiTheme="majorBidi" w:cstheme="majorBidi"/>
          <w:noProof/>
          <w:color w:val="000000" w:themeColor="text1"/>
          <w:sz w:val="24"/>
          <w:szCs w:val="24"/>
        </w:rPr>
        <w:t xml:space="preserve">, </w:t>
      </w:r>
      <w:r w:rsidR="00610CF8">
        <w:rPr>
          <w:rFonts w:asciiTheme="majorBidi" w:hAnsiTheme="majorBidi" w:cstheme="majorBidi"/>
          <w:noProof/>
          <w:color w:val="000000" w:themeColor="text1"/>
          <w:sz w:val="24"/>
          <w:szCs w:val="24"/>
        </w:rPr>
        <w:t>and</w:t>
      </w:r>
      <w:r w:rsidR="003C1013">
        <w:rPr>
          <w:rFonts w:asciiTheme="majorBidi" w:hAnsiTheme="majorBidi" w:cstheme="majorBidi"/>
          <w:noProof/>
          <w:color w:val="000000" w:themeColor="text1"/>
          <w:sz w:val="24"/>
          <w:szCs w:val="24"/>
        </w:rPr>
        <w:t xml:space="preserve"> </w:t>
      </w:r>
      <w:r w:rsidR="003C1013" w:rsidRPr="003C1013">
        <w:rPr>
          <w:rFonts w:asciiTheme="majorBidi" w:hAnsiTheme="majorBidi" w:cstheme="majorBidi"/>
          <w:noProof/>
          <w:color w:val="000000" w:themeColor="text1"/>
          <w:sz w:val="24"/>
          <w:szCs w:val="24"/>
        </w:rPr>
        <w:t>Wang</w:t>
      </w:r>
      <w:r w:rsidR="004E0DDE" w:rsidRPr="005E73C2">
        <w:rPr>
          <w:rFonts w:asciiTheme="majorBidi" w:hAnsiTheme="majorBidi" w:cstheme="majorBidi"/>
          <w:noProof/>
          <w:color w:val="000000" w:themeColor="text1"/>
          <w:sz w:val="24"/>
          <w:szCs w:val="24"/>
        </w:rPr>
        <w:t xml:space="preserve"> (2018)</w:t>
      </w:r>
      <w:r w:rsidR="004E0DDE" w:rsidRPr="005E73C2">
        <w:rPr>
          <w:rFonts w:asciiTheme="majorBidi" w:hAnsiTheme="majorBidi" w:cstheme="majorBidi"/>
          <w:color w:val="000000" w:themeColor="text1"/>
          <w:sz w:val="24"/>
          <w:szCs w:val="24"/>
        </w:rPr>
        <w:t xml:space="preserve"> have validated that signature size is an appropriate method for measuring </w:t>
      </w:r>
      <w:r w:rsidR="004E0DDE" w:rsidRPr="005E73C2">
        <w:rPr>
          <w:rFonts w:asciiTheme="majorBidi" w:hAnsiTheme="majorBidi" w:cstheme="majorBidi"/>
          <w:color w:val="000000" w:themeColor="text1"/>
          <w:sz w:val="24"/>
          <w:szCs w:val="24"/>
        </w:rPr>
        <w:lastRenderedPageBreak/>
        <w:t>narcissism.</w:t>
      </w:r>
    </w:p>
    <w:p w14:paraId="30FFB37C" w14:textId="3ABBE47F" w:rsidR="000C0433" w:rsidRPr="005E73C2" w:rsidRDefault="004E0DDE" w:rsidP="00FD7B1D">
      <w:pPr>
        <w:spacing w:line="480" w:lineRule="auto"/>
        <w:ind w:left="284" w:firstLine="420"/>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4"/>
        </w:rPr>
        <w:t>Following previous accounting studies</w:t>
      </w:r>
      <w:r w:rsidR="000C076B">
        <w:rPr>
          <w:rFonts w:asciiTheme="majorBidi" w:hAnsiTheme="majorBidi" w:cstheme="majorBidi"/>
          <w:color w:val="000000" w:themeColor="text1"/>
          <w:sz w:val="24"/>
          <w:szCs w:val="24"/>
        </w:rPr>
        <w:t xml:space="preserve"> </w:t>
      </w:r>
      <w:r w:rsidR="000C076B" w:rsidRPr="005E73C2">
        <w:rPr>
          <w:rFonts w:asciiTheme="majorBidi" w:hAnsiTheme="majorBidi" w:cstheme="majorBidi"/>
          <w:noProof/>
          <w:color w:val="000000" w:themeColor="text1"/>
          <w:sz w:val="24"/>
          <w:szCs w:val="24"/>
        </w:rPr>
        <w:t>(Church et al.</w:t>
      </w:r>
      <w:r w:rsidR="000C076B">
        <w:rPr>
          <w:rFonts w:asciiTheme="majorBidi" w:hAnsiTheme="majorBidi" w:cstheme="majorBidi"/>
          <w:noProof/>
          <w:color w:val="000000" w:themeColor="text1"/>
          <w:sz w:val="24"/>
          <w:szCs w:val="24"/>
        </w:rPr>
        <w:t>,</w:t>
      </w:r>
      <w:r w:rsidR="000C076B" w:rsidRPr="005E73C2">
        <w:rPr>
          <w:rFonts w:asciiTheme="majorBidi" w:hAnsiTheme="majorBidi" w:cstheme="majorBidi"/>
          <w:noProof/>
          <w:color w:val="000000" w:themeColor="text1"/>
          <w:sz w:val="24"/>
          <w:szCs w:val="24"/>
        </w:rPr>
        <w:t xml:space="preserve"> 2020; Ham et al.</w:t>
      </w:r>
      <w:r w:rsidR="000C076B">
        <w:rPr>
          <w:rFonts w:asciiTheme="majorBidi" w:hAnsiTheme="majorBidi" w:cstheme="majorBidi"/>
          <w:noProof/>
          <w:color w:val="000000" w:themeColor="text1"/>
          <w:sz w:val="24"/>
          <w:szCs w:val="24"/>
        </w:rPr>
        <w:t>,</w:t>
      </w:r>
      <w:r w:rsidR="000C076B" w:rsidRPr="005E73C2">
        <w:rPr>
          <w:rFonts w:asciiTheme="majorBidi" w:hAnsiTheme="majorBidi" w:cstheme="majorBidi"/>
          <w:noProof/>
          <w:color w:val="000000" w:themeColor="text1"/>
          <w:sz w:val="24"/>
          <w:szCs w:val="24"/>
        </w:rPr>
        <w:t xml:space="preserve"> 2017; Ham et al.</w:t>
      </w:r>
      <w:r w:rsidR="000C076B">
        <w:rPr>
          <w:rFonts w:asciiTheme="majorBidi" w:hAnsiTheme="majorBidi" w:cstheme="majorBidi"/>
          <w:noProof/>
          <w:color w:val="000000" w:themeColor="text1"/>
          <w:sz w:val="24"/>
          <w:szCs w:val="24"/>
        </w:rPr>
        <w:t>,</w:t>
      </w:r>
      <w:r w:rsidR="000C076B" w:rsidRPr="005E73C2">
        <w:rPr>
          <w:rFonts w:asciiTheme="majorBidi" w:hAnsiTheme="majorBidi" w:cstheme="majorBidi"/>
          <w:noProof/>
          <w:color w:val="000000" w:themeColor="text1"/>
          <w:sz w:val="24"/>
          <w:szCs w:val="24"/>
        </w:rPr>
        <w:t xml:space="preserve"> 2018)</w:t>
      </w:r>
      <w:r w:rsidRPr="005E73C2">
        <w:rPr>
          <w:rFonts w:asciiTheme="majorBidi" w:hAnsiTheme="majorBidi" w:cstheme="majorBidi"/>
          <w:color w:val="000000" w:themeColor="text1"/>
          <w:sz w:val="24"/>
          <w:szCs w:val="24"/>
        </w:rPr>
        <w:t>, we</w:t>
      </w:r>
      <w:r w:rsidR="000C076B">
        <w:rPr>
          <w:rFonts w:asciiTheme="majorBidi" w:hAnsiTheme="majorBidi" w:cstheme="majorBidi"/>
          <w:color w:val="000000" w:themeColor="text1"/>
          <w:sz w:val="24"/>
          <w:szCs w:val="24"/>
        </w:rPr>
        <w:t xml:space="preserve"> draw </w:t>
      </w:r>
      <w:r w:rsidRPr="005E73C2">
        <w:rPr>
          <w:rFonts w:asciiTheme="majorBidi" w:hAnsiTheme="majorBidi" w:cstheme="majorBidi"/>
          <w:color w:val="000000" w:themeColor="text1"/>
          <w:sz w:val="24"/>
          <w:szCs w:val="24"/>
        </w:rPr>
        <w:t>a rectangle around each AC chair’s signature, wherein each side of the rectangle touches the most extreme endpoint of the signature. The area occupied by the signature is then computed by multiplying the length and width of the rectangle. After that, the square area of the signature is divided by the number of letters in the chair’s name. In our sample, the longest name contains 21 letters, while the shortest contains 6 letters. The average area per letter of the chairs’ signatures is 0.30 cm</w:t>
      </w:r>
      <w:r w:rsidRPr="005E73C2">
        <w:rPr>
          <w:rFonts w:asciiTheme="majorBidi" w:hAnsiTheme="majorBidi" w:cstheme="majorBidi"/>
          <w:color w:val="000000" w:themeColor="text1"/>
          <w:sz w:val="24"/>
          <w:szCs w:val="24"/>
          <w:vertAlign w:val="superscript"/>
        </w:rPr>
        <w:t>2</w:t>
      </w:r>
      <w:r w:rsidRPr="005E73C2">
        <w:rPr>
          <w:rFonts w:asciiTheme="majorBidi" w:hAnsiTheme="majorBidi" w:cstheme="majorBidi"/>
          <w:color w:val="000000" w:themeColor="text1"/>
          <w:sz w:val="24"/>
          <w:szCs w:val="24"/>
        </w:rPr>
        <w:t>.</w:t>
      </w:r>
    </w:p>
    <w:p w14:paraId="08C31711" w14:textId="2381394E" w:rsidR="000C0433" w:rsidRPr="00FD7B1D" w:rsidRDefault="00182207" w:rsidP="00FD7B1D">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5</w:t>
      </w:r>
      <w:r w:rsidR="004E0DDE" w:rsidRPr="005E73C2">
        <w:rPr>
          <w:rFonts w:asciiTheme="majorBidi" w:hAnsiTheme="majorBidi"/>
          <w:i/>
          <w:iCs/>
          <w:color w:val="000000" w:themeColor="text1"/>
          <w:sz w:val="28"/>
          <w:szCs w:val="28"/>
        </w:rPr>
        <w:t>.2</w:t>
      </w:r>
      <w:r w:rsidR="002934C7">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Sampling and </w:t>
      </w:r>
      <w:r w:rsidR="002528F2" w:rsidRPr="005E73C2">
        <w:rPr>
          <w:rFonts w:asciiTheme="majorBidi" w:hAnsiTheme="majorBidi"/>
          <w:i/>
          <w:iCs/>
          <w:color w:val="000000" w:themeColor="text1"/>
          <w:sz w:val="28"/>
          <w:szCs w:val="28"/>
        </w:rPr>
        <w:t>data sources</w:t>
      </w:r>
    </w:p>
    <w:p w14:paraId="55BE9FC8" w14:textId="71A8DA79" w:rsidR="004E0DDE" w:rsidRPr="00671A72" w:rsidRDefault="001F056B" w:rsidP="00B5645B">
      <w:pPr>
        <w:spacing w:line="480" w:lineRule="auto"/>
        <w:ind w:left="284" w:firstLine="420"/>
        <w:rPr>
          <w:rFonts w:asciiTheme="majorBidi" w:hAnsiTheme="majorBidi" w:cstheme="majorBidi"/>
          <w:sz w:val="24"/>
          <w:szCs w:val="24"/>
        </w:rPr>
      </w:pPr>
      <w:r w:rsidRPr="00671A72">
        <w:rPr>
          <w:rFonts w:asciiTheme="majorBidi" w:hAnsiTheme="majorBidi" w:cstheme="majorBidi"/>
          <w:sz w:val="24"/>
          <w:szCs w:val="24"/>
        </w:rPr>
        <w:t xml:space="preserve">We start </w:t>
      </w:r>
      <w:r w:rsidR="004E0DDE" w:rsidRPr="00671A72">
        <w:rPr>
          <w:rFonts w:asciiTheme="majorBidi" w:hAnsiTheme="majorBidi" w:cstheme="majorBidi"/>
          <w:sz w:val="24"/>
          <w:szCs w:val="24"/>
        </w:rPr>
        <w:t xml:space="preserve">our sampling </w:t>
      </w:r>
      <w:r w:rsidRPr="00671A72">
        <w:rPr>
          <w:rFonts w:asciiTheme="majorBidi" w:hAnsiTheme="majorBidi" w:cstheme="majorBidi"/>
          <w:sz w:val="24"/>
          <w:szCs w:val="24"/>
        </w:rPr>
        <w:t xml:space="preserve">by </w:t>
      </w:r>
      <w:r w:rsidR="004E0DDE" w:rsidRPr="00671A72">
        <w:rPr>
          <w:rFonts w:asciiTheme="majorBidi" w:hAnsiTheme="majorBidi" w:cstheme="majorBidi"/>
          <w:sz w:val="24"/>
          <w:szCs w:val="24"/>
        </w:rPr>
        <w:t>identifying all companies listed on the FTSE All-Share index.</w:t>
      </w:r>
      <w:r w:rsidR="0072215C" w:rsidRPr="00671A72">
        <w:rPr>
          <w:rStyle w:val="FootnoteReference"/>
          <w:rFonts w:asciiTheme="majorBidi" w:hAnsiTheme="majorBidi" w:cstheme="majorBidi"/>
          <w:sz w:val="24"/>
          <w:szCs w:val="24"/>
        </w:rPr>
        <w:footnoteReference w:id="6"/>
      </w:r>
      <w:r w:rsidR="004E0DDE" w:rsidRPr="00671A72">
        <w:rPr>
          <w:rFonts w:asciiTheme="majorBidi" w:hAnsiTheme="majorBidi" w:cstheme="majorBidi"/>
          <w:sz w:val="24"/>
          <w:szCs w:val="24"/>
        </w:rPr>
        <w:t xml:space="preserve"> </w:t>
      </w:r>
      <w:r>
        <w:rPr>
          <w:rFonts w:asciiTheme="majorBidi" w:hAnsiTheme="majorBidi" w:cstheme="majorBidi"/>
          <w:color w:val="000000" w:themeColor="text1"/>
          <w:sz w:val="24"/>
          <w:szCs w:val="24"/>
        </w:rPr>
        <w:t>We</w:t>
      </w:r>
      <w:r w:rsidR="004E0DDE" w:rsidRPr="005E73C2">
        <w:rPr>
          <w:rFonts w:asciiTheme="majorBidi" w:hAnsiTheme="majorBidi" w:cstheme="majorBidi"/>
          <w:color w:val="000000" w:themeColor="text1"/>
          <w:sz w:val="24"/>
          <w:szCs w:val="24"/>
        </w:rPr>
        <w:t xml:space="preserve"> exclude financial companies due to their different regulatory environment</w:t>
      </w:r>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and also</w:t>
      </w:r>
      <w:proofErr w:type="gramEnd"/>
      <w:r>
        <w:rPr>
          <w:rFonts w:asciiTheme="majorBidi" w:hAnsiTheme="majorBidi" w:cstheme="majorBidi"/>
          <w:color w:val="000000" w:themeColor="text1"/>
          <w:sz w:val="24"/>
          <w:szCs w:val="24"/>
        </w:rPr>
        <w:t xml:space="preserve"> </w:t>
      </w:r>
      <w:r w:rsidR="004E0DDE" w:rsidRPr="005E73C2">
        <w:rPr>
          <w:rFonts w:asciiTheme="majorBidi" w:hAnsiTheme="majorBidi" w:cstheme="majorBidi"/>
          <w:color w:val="000000" w:themeColor="text1"/>
          <w:sz w:val="24"/>
          <w:szCs w:val="24"/>
        </w:rPr>
        <w:t xml:space="preserve">exclude observations with missing AC chair signatures. These procedures lead to a final sample of 670 valid observations and 131 unique firms covering the period between 2013 and 2020 </w:t>
      </w:r>
      <w:r w:rsidR="004E0DDE" w:rsidRPr="00F05816">
        <w:rPr>
          <w:rFonts w:asciiTheme="majorBidi" w:hAnsiTheme="majorBidi" w:cstheme="majorBidi"/>
          <w:color w:val="000000" w:themeColor="text1"/>
          <w:sz w:val="24"/>
          <w:szCs w:val="24"/>
        </w:rPr>
        <w:t xml:space="preserve">(an unbalanced panel). We start from 2013 when the signature of the AC chair </w:t>
      </w:r>
      <w:r w:rsidR="000C0433" w:rsidRPr="00F05816">
        <w:rPr>
          <w:rFonts w:asciiTheme="majorBidi" w:hAnsiTheme="majorBidi" w:cstheme="majorBidi"/>
          <w:color w:val="000000" w:themeColor="text1"/>
          <w:sz w:val="24"/>
          <w:szCs w:val="24"/>
        </w:rPr>
        <w:t xml:space="preserve">became </w:t>
      </w:r>
      <w:r w:rsidR="004E0DDE" w:rsidRPr="00F05816">
        <w:rPr>
          <w:rFonts w:asciiTheme="majorBidi" w:hAnsiTheme="majorBidi" w:cstheme="majorBidi"/>
          <w:color w:val="000000" w:themeColor="text1"/>
          <w:sz w:val="24"/>
          <w:szCs w:val="24"/>
        </w:rPr>
        <w:t xml:space="preserve">available. </w:t>
      </w:r>
      <w:r w:rsidR="00C1076D" w:rsidRPr="00671A72">
        <w:rPr>
          <w:rFonts w:asciiTheme="majorBidi" w:hAnsiTheme="majorBidi" w:cstheme="majorBidi"/>
          <w:sz w:val="24"/>
          <w:szCs w:val="24"/>
        </w:rPr>
        <w:t>Since</w:t>
      </w:r>
      <w:r w:rsidR="004E0DDE" w:rsidRPr="00671A72">
        <w:rPr>
          <w:rFonts w:asciiTheme="majorBidi" w:hAnsiTheme="majorBidi" w:cstheme="majorBidi"/>
          <w:sz w:val="24"/>
          <w:szCs w:val="24"/>
        </w:rPr>
        <w:t xml:space="preserve"> September 2012, the revised UK corporate governance code </w:t>
      </w:r>
      <w:r w:rsidR="000C0433" w:rsidRPr="00671A72">
        <w:rPr>
          <w:rFonts w:asciiTheme="majorBidi" w:hAnsiTheme="majorBidi" w:cstheme="majorBidi"/>
          <w:sz w:val="24"/>
          <w:szCs w:val="24"/>
        </w:rPr>
        <w:t xml:space="preserve">has </w:t>
      </w:r>
      <w:r w:rsidR="00CA4CA2" w:rsidRPr="00671A72">
        <w:rPr>
          <w:rFonts w:asciiTheme="majorBidi" w:hAnsiTheme="majorBidi" w:cstheme="majorBidi"/>
          <w:sz w:val="24"/>
          <w:szCs w:val="24"/>
        </w:rPr>
        <w:t>required ACs</w:t>
      </w:r>
      <w:r w:rsidR="004E0DDE" w:rsidRPr="00671A72">
        <w:rPr>
          <w:rFonts w:asciiTheme="majorBidi" w:hAnsiTheme="majorBidi" w:cstheme="majorBidi"/>
          <w:sz w:val="24"/>
          <w:szCs w:val="24"/>
        </w:rPr>
        <w:t xml:space="preserve"> to report their duties related to financial reporting oversight and significant issues discussed during scheduled meetings </w:t>
      </w:r>
      <w:r w:rsidR="00C1076D" w:rsidRPr="00671A72">
        <w:rPr>
          <w:rFonts w:asciiTheme="majorBidi" w:hAnsiTheme="majorBidi" w:cstheme="majorBidi"/>
          <w:sz w:val="24"/>
          <w:szCs w:val="24"/>
        </w:rPr>
        <w:t>in</w:t>
      </w:r>
      <w:r w:rsidR="004E0DDE" w:rsidRPr="00671A72">
        <w:rPr>
          <w:rFonts w:asciiTheme="majorBidi" w:hAnsiTheme="majorBidi" w:cstheme="majorBidi"/>
          <w:sz w:val="24"/>
          <w:szCs w:val="24"/>
        </w:rPr>
        <w:t xml:space="preserve"> a separate section of the annual report, which is signed by the AC chair.</w:t>
      </w:r>
      <w:r w:rsidR="00B5645B" w:rsidRPr="00671A72">
        <w:rPr>
          <w:rStyle w:val="FootnoteReference"/>
          <w:rFonts w:asciiTheme="majorBidi" w:hAnsiTheme="majorBidi" w:cstheme="majorBidi"/>
          <w:sz w:val="24"/>
          <w:szCs w:val="24"/>
        </w:rPr>
        <w:footnoteReference w:id="7"/>
      </w:r>
    </w:p>
    <w:p w14:paraId="0D048D42" w14:textId="0AB9B78D" w:rsidR="004E0DDE" w:rsidRPr="005E73C2" w:rsidRDefault="004E0DDE" w:rsidP="008F7A0D">
      <w:pPr>
        <w:widowControl/>
        <w:spacing w:line="480" w:lineRule="auto"/>
        <w:ind w:left="284" w:firstLine="420"/>
        <w:jc w:val="left"/>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Table </w:t>
      </w:r>
      <w:r w:rsidR="00AF4991">
        <w:rPr>
          <w:rFonts w:asciiTheme="majorBidi" w:hAnsiTheme="majorBidi" w:cstheme="majorBidi"/>
          <w:color w:val="000000" w:themeColor="text1"/>
          <w:sz w:val="24"/>
          <w:szCs w:val="28"/>
        </w:rPr>
        <w:t>1</w:t>
      </w:r>
      <w:r w:rsidR="00153370" w:rsidRPr="005E73C2">
        <w:rPr>
          <w:rFonts w:asciiTheme="majorBidi" w:hAnsiTheme="majorBidi" w:cstheme="majorBidi"/>
          <w:color w:val="000000" w:themeColor="text1"/>
          <w:sz w:val="24"/>
          <w:szCs w:val="28"/>
        </w:rPr>
        <w:t xml:space="preserve"> </w:t>
      </w:r>
      <w:r w:rsidR="00A150ED">
        <w:rPr>
          <w:rFonts w:asciiTheme="majorBidi" w:hAnsiTheme="majorBidi" w:cstheme="majorBidi"/>
          <w:color w:val="000000" w:themeColor="text1"/>
          <w:sz w:val="24"/>
          <w:szCs w:val="28"/>
        </w:rPr>
        <w:t xml:space="preserve">presents </w:t>
      </w:r>
      <w:r w:rsidR="00207091">
        <w:rPr>
          <w:rFonts w:asciiTheme="majorBidi" w:hAnsiTheme="majorBidi" w:cstheme="majorBidi"/>
          <w:color w:val="000000" w:themeColor="text1"/>
          <w:sz w:val="24"/>
          <w:szCs w:val="28"/>
        </w:rPr>
        <w:t>the construction and distribution of our sample.</w:t>
      </w:r>
    </w:p>
    <w:p w14:paraId="26EAAF67" w14:textId="01A202AB" w:rsidR="00341C80" w:rsidRDefault="00341C80" w:rsidP="00980B95">
      <w:pPr>
        <w:widowControl/>
        <w:jc w:val="center"/>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{INSERT TABLE ONE ABOUT HERE}</w:t>
      </w:r>
    </w:p>
    <w:p w14:paraId="5399FD85" w14:textId="77777777" w:rsidR="00207091" w:rsidRDefault="00207091" w:rsidP="00980B95">
      <w:pPr>
        <w:widowControl/>
        <w:jc w:val="center"/>
        <w:rPr>
          <w:rFonts w:asciiTheme="majorBidi" w:hAnsiTheme="majorBidi" w:cstheme="majorBidi"/>
          <w:color w:val="000000" w:themeColor="text1"/>
          <w:sz w:val="24"/>
          <w:szCs w:val="28"/>
        </w:rPr>
      </w:pPr>
    </w:p>
    <w:p w14:paraId="6E139742" w14:textId="2F80209B" w:rsidR="002528F2" w:rsidRPr="00FD7B1D" w:rsidRDefault="00182207" w:rsidP="00FD7B1D">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5</w:t>
      </w:r>
      <w:r w:rsidR="004E0DDE" w:rsidRPr="005E73C2">
        <w:rPr>
          <w:rFonts w:asciiTheme="majorBidi" w:hAnsiTheme="majorBidi"/>
          <w:i/>
          <w:iCs/>
          <w:color w:val="000000" w:themeColor="text1"/>
          <w:sz w:val="28"/>
          <w:szCs w:val="28"/>
        </w:rPr>
        <w:t>.3</w:t>
      </w:r>
      <w:r w:rsidR="002934C7">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Regression </w:t>
      </w:r>
      <w:r w:rsidR="002528F2" w:rsidRPr="005E73C2">
        <w:rPr>
          <w:rFonts w:asciiTheme="majorBidi" w:hAnsiTheme="majorBidi"/>
          <w:i/>
          <w:iCs/>
          <w:color w:val="000000" w:themeColor="text1"/>
          <w:sz w:val="28"/>
          <w:szCs w:val="28"/>
        </w:rPr>
        <w:t>models and variables</w:t>
      </w:r>
    </w:p>
    <w:p w14:paraId="0B37582C" w14:textId="5B914B35" w:rsidR="004E0DDE" w:rsidRPr="005E73C2" w:rsidRDefault="004E0DDE" w:rsidP="00CE5718">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To investigate whether the narcissism of the AC chair influences the quality of non-IFRS disclosures, we estimate the following regression equation:</w:t>
      </w:r>
    </w:p>
    <w:bookmarkStart w:id="0" w:name="_Hlk84936019"/>
    <w:p w14:paraId="653E3D17" w14:textId="7B46860B" w:rsidR="004E0DDE" w:rsidRPr="005E73C2" w:rsidRDefault="0033525A" w:rsidP="00E83E49">
      <w:pPr>
        <w:spacing w:line="360" w:lineRule="auto"/>
        <w:rPr>
          <w:rFonts w:asciiTheme="majorBidi" w:hAnsiTheme="majorBidi" w:cstheme="majorBidi"/>
          <w:color w:val="000000" w:themeColor="text1"/>
          <w:sz w:val="24"/>
          <w:szCs w:val="24"/>
        </w:rPr>
      </w:pPr>
      <m:oMath>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IFRSEPS</m:t>
            </m:r>
          </m:e>
          <m:sub>
            <m:r>
              <w:rPr>
                <w:rFonts w:ascii="Cambria Math" w:hAnsi="Cambria Math" w:cstheme="majorBidi"/>
                <w:color w:val="000000" w:themeColor="text1"/>
                <w:sz w:val="24"/>
                <w:szCs w:val="24"/>
              </w:rPr>
              <m:t>ij</m:t>
            </m:r>
            <m:r>
              <w:rPr>
                <w:rFonts w:ascii="Cambria Math" w:hAnsi="Cambria Math" w:cstheme="majorBidi"/>
                <w:color w:val="000000" w:themeColor="text1"/>
                <w:sz w:val="24"/>
                <w:szCs w:val="24"/>
              </w:rPr>
              <m:t xml:space="preserve">,  </m:t>
            </m:r>
            <m:r>
              <w:rPr>
                <w:rFonts w:ascii="Cambria Math" w:hAnsi="Cambria Math" w:cstheme="majorBidi"/>
                <w:color w:val="000000" w:themeColor="text1"/>
                <w:sz w:val="24"/>
                <w:szCs w:val="24"/>
              </w:rPr>
              <m:t>t</m:t>
            </m:r>
            <m:r>
              <w:rPr>
                <w:rFonts w:ascii="Cambria Math" w:hAnsi="Cambria Math" w:cstheme="majorBidi"/>
                <w:color w:val="000000" w:themeColor="text1"/>
                <w:sz w:val="24"/>
                <w:szCs w:val="24"/>
              </w:rPr>
              <m:t>+1</m:t>
            </m:r>
          </m:sub>
        </m:sSub>
        <w:bookmarkEnd w:id="0"/>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0</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NONIFRS</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w:bookmarkStart w:id="1" w:name="_Hlk92991420"/>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2</m:t>
            </m:r>
          </m:sub>
        </m:sSub>
        <w:bookmarkStart w:id="2" w:name="_Hlk84939597"/>
        <w:bookmarkEnd w:id="1"/>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EXCLUSION</m:t>
            </m:r>
          </m:e>
          <m:sub>
            <m:r>
              <w:rPr>
                <w:rFonts w:ascii="Cambria Math" w:hAnsi="Cambria Math" w:cstheme="majorBidi"/>
                <w:color w:val="000000" w:themeColor="text1"/>
                <w:sz w:val="24"/>
                <w:szCs w:val="24"/>
              </w:rPr>
              <m:t>ijt</m:t>
            </m:r>
          </m:sub>
        </m:sSub>
        <w:bookmarkEnd w:id="2"/>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3</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NARCIS</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4</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NONIFRS</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NARCIS</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5</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EXCLUSION</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NARCIS</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6</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ROA</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7</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LEV</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8</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SG</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9</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AGE</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10</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SIZE</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11</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ACCRUAL</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12</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LOSS</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13</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DUAL</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14</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TENURE</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15</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INDEP</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16</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BDSIZE</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17</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ACSIZE</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18</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FEMALE</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19</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ACCEXP</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20</m:t>
            </m:r>
          </m:sub>
        </m:sSub>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COMPENSATION</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m:t>
        </m:r>
        <m:r>
          <w:rPr>
            <w:rFonts w:ascii="Cambria Math" w:hAnsi="Cambria Math" w:cstheme="majorBidi"/>
            <w:color w:val="000000" w:themeColor="text1"/>
            <w:sz w:val="24"/>
            <w:szCs w:val="24"/>
          </w:rPr>
          <m:t>Industry</m:t>
        </m:r>
        <m:r>
          <w:rPr>
            <w:rFonts w:ascii="Cambria Math" w:hAnsi="Cambria Math" w:cstheme="majorBidi"/>
            <w:color w:val="000000" w:themeColor="text1"/>
            <w:sz w:val="24"/>
            <w:szCs w:val="24"/>
          </w:rPr>
          <m:t>+</m:t>
        </m:r>
        <m:r>
          <w:rPr>
            <w:rFonts w:ascii="Cambria Math" w:hAnsi="Cambria Math" w:cstheme="majorBidi"/>
            <w:color w:val="000000" w:themeColor="text1"/>
            <w:sz w:val="24"/>
            <w:szCs w:val="24"/>
          </w:rPr>
          <m:t>Year</m:t>
        </m:r>
        <m:r>
          <w:rPr>
            <w:rFonts w:ascii="Cambria Math" w:hAnsi="Cambria Math" w:cstheme="majorBidi"/>
            <w:color w:val="000000" w:themeColor="text1"/>
            <w:sz w:val="24"/>
            <w:szCs w:val="24"/>
          </w:rPr>
          <m:t>+</m:t>
        </m:r>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ε</m:t>
            </m:r>
          </m:e>
          <m:sub>
            <m:r>
              <w:rPr>
                <w:rFonts w:ascii="Cambria Math" w:hAnsi="Cambria Math" w:cstheme="majorBidi"/>
                <w:color w:val="000000" w:themeColor="text1"/>
                <w:sz w:val="24"/>
                <w:szCs w:val="24"/>
              </w:rPr>
              <m:t>ijt</m:t>
            </m:r>
          </m:sub>
        </m:sSub>
        <m:r>
          <w:rPr>
            <w:rFonts w:ascii="Cambria Math" w:hAnsi="Cambria Math" w:cstheme="majorBidi"/>
            <w:color w:val="000000" w:themeColor="text1"/>
            <w:sz w:val="24"/>
            <w:szCs w:val="24"/>
          </w:rPr>
          <m:t xml:space="preserve">                                                                                                                                                              (1)</m:t>
        </m:r>
      </m:oMath>
      <w:r w:rsidR="00CE5718">
        <w:rPr>
          <w:rFonts w:asciiTheme="majorBidi" w:hAnsiTheme="majorBidi" w:cstheme="majorBidi"/>
          <w:color w:val="000000" w:themeColor="text1"/>
          <w:sz w:val="24"/>
          <w:szCs w:val="24"/>
        </w:rPr>
        <w:t xml:space="preserve"> </w:t>
      </w:r>
    </w:p>
    <w:p w14:paraId="1FBA8289" w14:textId="77777777" w:rsidR="004E0DDE" w:rsidRPr="005E73C2" w:rsidRDefault="004E0DDE" w:rsidP="008F7A0D">
      <w:pPr>
        <w:rPr>
          <w:rFonts w:asciiTheme="majorBidi" w:hAnsiTheme="majorBidi" w:cstheme="majorBidi"/>
          <w:color w:val="000000" w:themeColor="text1"/>
          <w:sz w:val="24"/>
          <w:szCs w:val="24"/>
        </w:rPr>
      </w:pPr>
    </w:p>
    <w:p w14:paraId="512E79D1" w14:textId="41ADFD06" w:rsidR="004E0DDE" w:rsidRPr="005E73C2" w:rsidRDefault="004E0DDE" w:rsidP="00B61B68">
      <w:pPr>
        <w:spacing w:line="480" w:lineRule="auto"/>
        <w:ind w:left="284" w:firstLine="420"/>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4"/>
        </w:rPr>
        <w:t xml:space="preserve">In this and all subsequent equations, the subscripts </w:t>
      </w:r>
      <m:oMath>
        <m:r>
          <w:rPr>
            <w:rFonts w:ascii="Cambria Math" w:hAnsi="Cambria Math" w:cstheme="majorBidi"/>
            <w:color w:val="000000" w:themeColor="text1"/>
            <w:sz w:val="24"/>
            <w:szCs w:val="24"/>
          </w:rPr>
          <m:t>ijt</m:t>
        </m:r>
      </m:oMath>
      <w:r w:rsidRPr="005E73C2">
        <w:rPr>
          <w:rFonts w:asciiTheme="majorBidi" w:hAnsiTheme="majorBidi" w:cstheme="majorBidi"/>
          <w:color w:val="000000" w:themeColor="text1"/>
          <w:sz w:val="24"/>
          <w:szCs w:val="24"/>
        </w:rPr>
        <w:t xml:space="preserve"> represent chair </w:t>
      </w:r>
      <m:oMath>
        <m:r>
          <w:rPr>
            <w:rFonts w:ascii="Cambria Math" w:hAnsi="Cambria Math" w:cstheme="majorBidi"/>
            <w:color w:val="000000" w:themeColor="text1"/>
            <w:sz w:val="24"/>
            <w:szCs w:val="24"/>
          </w:rPr>
          <m:t>i</m:t>
        </m:r>
      </m:oMath>
      <w:r w:rsidRPr="005E73C2">
        <w:rPr>
          <w:rFonts w:asciiTheme="majorBidi" w:hAnsiTheme="majorBidi" w:cstheme="majorBidi"/>
          <w:color w:val="000000" w:themeColor="text1"/>
          <w:sz w:val="24"/>
          <w:szCs w:val="24"/>
        </w:rPr>
        <w:t xml:space="preserve"> and company </w:t>
      </w:r>
      <m:oMath>
        <m:r>
          <w:rPr>
            <w:rFonts w:ascii="Cambria Math" w:hAnsi="Cambria Math" w:cstheme="majorBidi"/>
            <w:color w:val="000000" w:themeColor="text1"/>
            <w:sz w:val="24"/>
            <w:szCs w:val="24"/>
          </w:rPr>
          <m:t>j</m:t>
        </m:r>
      </m:oMath>
      <w:r w:rsidRPr="005E73C2">
        <w:rPr>
          <w:rFonts w:asciiTheme="majorBidi" w:hAnsiTheme="majorBidi" w:cstheme="majorBidi"/>
          <w:color w:val="000000" w:themeColor="text1"/>
          <w:sz w:val="24"/>
          <w:szCs w:val="24"/>
        </w:rPr>
        <w:t xml:space="preserve"> in year </w:t>
      </w:r>
      <m:oMath>
        <m:r>
          <w:rPr>
            <w:rFonts w:ascii="Cambria Math" w:hAnsi="Cambria Math" w:cstheme="majorBidi"/>
            <w:color w:val="000000" w:themeColor="text1"/>
            <w:sz w:val="24"/>
            <w:szCs w:val="24"/>
          </w:rPr>
          <m:t>t</m:t>
        </m:r>
      </m:oMath>
      <w:r w:rsidRPr="005E73C2">
        <w:rPr>
          <w:rFonts w:asciiTheme="majorBidi" w:hAnsiTheme="majorBidi" w:cstheme="majorBidi"/>
          <w:color w:val="000000" w:themeColor="text1"/>
          <w:sz w:val="24"/>
          <w:szCs w:val="24"/>
        </w:rPr>
        <w:t xml:space="preserve">. </w:t>
      </w:r>
      <w:r w:rsidRPr="005E73C2">
        <w:rPr>
          <w:rFonts w:asciiTheme="majorBidi" w:hAnsiTheme="majorBidi" w:cstheme="majorBidi"/>
          <w:i/>
          <w:iCs/>
          <w:color w:val="000000" w:themeColor="text1"/>
          <w:sz w:val="24"/>
          <w:szCs w:val="24"/>
        </w:rPr>
        <w:t>IFRSEPS</w:t>
      </w:r>
      <w:r w:rsidRPr="005E73C2">
        <w:rPr>
          <w:rFonts w:asciiTheme="majorBidi" w:hAnsiTheme="majorBidi" w:cstheme="majorBidi"/>
          <w:color w:val="000000" w:themeColor="text1"/>
          <w:sz w:val="24"/>
          <w:szCs w:val="24"/>
        </w:rPr>
        <w:t xml:space="preserve"> is the dependent variable, which equals the company’s earnings per share from continuing operations in the following year. </w:t>
      </w:r>
      <w:r w:rsidRPr="005E73C2">
        <w:rPr>
          <w:rFonts w:asciiTheme="majorBidi" w:hAnsiTheme="majorBidi" w:cstheme="majorBidi"/>
          <w:i/>
          <w:iCs/>
          <w:color w:val="000000" w:themeColor="text1"/>
          <w:sz w:val="24"/>
          <w:szCs w:val="24"/>
        </w:rPr>
        <w:t>NONIFRS</w:t>
      </w:r>
      <w:r w:rsidRPr="005E73C2">
        <w:rPr>
          <w:rFonts w:asciiTheme="majorBidi" w:hAnsiTheme="majorBidi" w:cstheme="majorBidi"/>
          <w:color w:val="000000" w:themeColor="text1"/>
          <w:sz w:val="24"/>
          <w:szCs w:val="24"/>
        </w:rPr>
        <w:t xml:space="preserve"> refers to the non-IFRS earnings metric in our study, which is defined as</w:t>
      </w:r>
      <w:r w:rsidRPr="005E73C2">
        <w:rPr>
          <w:rFonts w:asciiTheme="majorBidi" w:hAnsiTheme="majorBidi" w:cstheme="majorBidi"/>
          <w:color w:val="000000" w:themeColor="text1"/>
          <w:sz w:val="18"/>
          <w:szCs w:val="18"/>
        </w:rPr>
        <w:t xml:space="preserve"> </w:t>
      </w:r>
      <w:r w:rsidRPr="005E73C2">
        <w:rPr>
          <w:rFonts w:asciiTheme="majorBidi" w:hAnsiTheme="majorBidi" w:cstheme="majorBidi"/>
          <w:color w:val="000000" w:themeColor="text1"/>
          <w:sz w:val="24"/>
          <w:szCs w:val="24"/>
        </w:rPr>
        <w:t xml:space="preserve">underlying EPS, adjusted EPS, headline EPS, core EPS, and EPS before exceptional items. </w:t>
      </w:r>
      <w:r w:rsidRPr="005E73C2">
        <w:rPr>
          <w:rFonts w:asciiTheme="majorBidi" w:hAnsiTheme="majorBidi" w:cstheme="majorBidi"/>
          <w:i/>
          <w:iCs/>
          <w:color w:val="000000" w:themeColor="text1"/>
          <w:sz w:val="24"/>
          <w:szCs w:val="24"/>
        </w:rPr>
        <w:t>EXCLUSION</w:t>
      </w:r>
      <w:r w:rsidRPr="005E73C2">
        <w:rPr>
          <w:rFonts w:asciiTheme="majorBidi" w:hAnsiTheme="majorBidi" w:cstheme="majorBidi"/>
          <w:color w:val="000000" w:themeColor="text1"/>
          <w:sz w:val="24"/>
          <w:szCs w:val="24"/>
        </w:rPr>
        <w:t xml:space="preserve"> is the difference between non-IFRS earnings and IFRS earnings, wherein IFRS earnings is the reported EPS from continuing operations. A positive value of </w:t>
      </w:r>
      <w:r w:rsidRPr="005E73C2">
        <w:rPr>
          <w:rFonts w:asciiTheme="majorBidi" w:hAnsiTheme="majorBidi" w:cstheme="majorBidi"/>
          <w:i/>
          <w:iCs/>
          <w:color w:val="000000" w:themeColor="text1"/>
          <w:sz w:val="24"/>
          <w:szCs w:val="24"/>
        </w:rPr>
        <w:t>EXCLUSION</w:t>
      </w:r>
      <w:r w:rsidRPr="005E73C2">
        <w:rPr>
          <w:rFonts w:asciiTheme="majorBidi" w:hAnsiTheme="majorBidi" w:cstheme="majorBidi"/>
          <w:color w:val="000000" w:themeColor="text1"/>
          <w:sz w:val="24"/>
          <w:szCs w:val="24"/>
        </w:rPr>
        <w:t xml:space="preserve"> indicates exclusions of income-decreasing items (expenses), while a negative value of </w:t>
      </w:r>
      <w:r w:rsidRPr="005E73C2">
        <w:rPr>
          <w:rFonts w:asciiTheme="majorBidi" w:hAnsiTheme="majorBidi" w:cstheme="majorBidi"/>
          <w:i/>
          <w:iCs/>
          <w:color w:val="000000" w:themeColor="text1"/>
          <w:sz w:val="24"/>
          <w:szCs w:val="24"/>
        </w:rPr>
        <w:t>EXCLUSION</w:t>
      </w:r>
      <w:r w:rsidRPr="005E73C2">
        <w:rPr>
          <w:rFonts w:asciiTheme="majorBidi" w:hAnsiTheme="majorBidi" w:cstheme="majorBidi"/>
          <w:color w:val="000000" w:themeColor="text1"/>
          <w:sz w:val="24"/>
          <w:szCs w:val="24"/>
        </w:rPr>
        <w:t xml:space="preserve"> indicates exclusions of income-increasing items (revenues). If the items excluded from non-IFRS earnings are irrelevant to the company’s core businesses and transitory, then the coefficient on </w:t>
      </w:r>
      <w:r w:rsidRPr="005E73C2">
        <w:rPr>
          <w:rFonts w:asciiTheme="majorBidi" w:hAnsiTheme="majorBidi" w:cstheme="majorBidi"/>
          <w:i/>
          <w:iCs/>
          <w:color w:val="000000" w:themeColor="text1"/>
          <w:sz w:val="24"/>
          <w:szCs w:val="24"/>
        </w:rPr>
        <w:t xml:space="preserve">EXCLUSION </w:t>
      </w:r>
      <w:r w:rsidRPr="005E73C2">
        <w:rPr>
          <w:rFonts w:asciiTheme="majorBidi" w:hAnsiTheme="majorBidi" w:cstheme="majorBidi"/>
          <w:color w:val="000000" w:themeColor="text1"/>
          <w:sz w:val="24"/>
          <w:szCs w:val="24"/>
        </w:rPr>
        <w:t>in Eq</w:t>
      </w:r>
      <w:r w:rsidR="002F7CD8">
        <w:rPr>
          <w:rFonts w:asciiTheme="majorBidi" w:hAnsiTheme="majorBidi" w:cstheme="majorBidi"/>
          <w:color w:val="000000" w:themeColor="text1"/>
          <w:sz w:val="24"/>
          <w:szCs w:val="24"/>
        </w:rPr>
        <w:t>uation</w:t>
      </w:r>
      <w:r w:rsidRPr="005E73C2">
        <w:rPr>
          <w:rFonts w:asciiTheme="majorBidi" w:hAnsiTheme="majorBidi" w:cstheme="majorBidi"/>
          <w:color w:val="000000" w:themeColor="text1"/>
          <w:sz w:val="24"/>
          <w:szCs w:val="24"/>
        </w:rPr>
        <w:t xml:space="preserve"> (1)</w:t>
      </w:r>
      <w:r w:rsidR="002F7CD8">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 xml:space="preserve">i.e., </w:t>
      </w:r>
      <m:oMath>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2</m:t>
            </m:r>
          </m:sub>
        </m:sSub>
      </m:oMath>
      <w:r w:rsidR="002F7CD8">
        <w:rPr>
          <w:rFonts w:asciiTheme="majorBidi" w:hAnsiTheme="majorBidi" w:cstheme="majorBidi"/>
          <w:color w:val="000000" w:themeColor="text1"/>
          <w:sz w:val="24"/>
          <w:szCs w:val="24"/>
        </w:rPr>
        <w:t>,</w:t>
      </w:r>
      <w:r w:rsidRPr="005E73C2">
        <w:rPr>
          <w:rFonts w:asciiTheme="majorBidi" w:hAnsiTheme="majorBidi" w:cstheme="majorBidi"/>
          <w:color w:val="000000" w:themeColor="text1"/>
          <w:sz w:val="24"/>
          <w:szCs w:val="24"/>
        </w:rPr>
        <w:t xml:space="preserve"> should equal zero</w:t>
      </w:r>
      <w:r w:rsidR="001F056B">
        <w:rPr>
          <w:rFonts w:asciiTheme="majorBidi" w:hAnsiTheme="majorBidi" w:cstheme="majorBidi"/>
          <w:color w:val="000000" w:themeColor="text1"/>
          <w:sz w:val="24"/>
          <w:szCs w:val="24"/>
        </w:rPr>
        <w:t xml:space="preserve"> </w:t>
      </w:r>
      <w:r w:rsidRPr="005E73C2">
        <w:rPr>
          <w:rFonts w:asciiTheme="majorBidi" w:hAnsiTheme="majorBidi" w:cstheme="majorBidi"/>
          <w:noProof/>
          <w:color w:val="000000" w:themeColor="text1"/>
          <w:sz w:val="24"/>
          <w:szCs w:val="24"/>
        </w:rPr>
        <w:t>(Doyle et al.</w:t>
      </w:r>
      <w:r w:rsidR="002F7CD8">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2003; Frankel et al.</w:t>
      </w:r>
      <w:r w:rsidR="002F7CD8">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2011; Abdel-Meguid et al.</w:t>
      </w:r>
      <w:r w:rsidR="002F7CD8">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2021)</w:t>
      </w:r>
      <w:r w:rsidRPr="005E73C2">
        <w:rPr>
          <w:rFonts w:asciiTheme="majorBidi" w:hAnsiTheme="majorBidi" w:cstheme="majorBidi"/>
          <w:color w:val="000000" w:themeColor="text1"/>
          <w:sz w:val="24"/>
          <w:szCs w:val="24"/>
        </w:rPr>
        <w:t xml:space="preserve">. </w:t>
      </w:r>
      <w:r w:rsidR="000644E2">
        <w:rPr>
          <w:rFonts w:asciiTheme="majorBidi" w:hAnsiTheme="majorBidi" w:cstheme="majorBidi"/>
          <w:i/>
          <w:iCs/>
          <w:color w:val="000000" w:themeColor="text1"/>
          <w:sz w:val="24"/>
          <w:szCs w:val="24"/>
        </w:rPr>
        <w:t>NARCIS</w:t>
      </w:r>
      <w:r w:rsidRPr="005E73C2">
        <w:rPr>
          <w:rFonts w:asciiTheme="majorBidi" w:hAnsiTheme="majorBidi" w:cstheme="majorBidi"/>
          <w:color w:val="000000" w:themeColor="text1"/>
          <w:sz w:val="24"/>
          <w:szCs w:val="24"/>
        </w:rPr>
        <w:t xml:space="preserve"> represents our measurement of the narcissism of the AC chair. The coefficient on the interaction between </w:t>
      </w:r>
      <w:r w:rsidRPr="005E73C2">
        <w:rPr>
          <w:rFonts w:asciiTheme="majorBidi" w:hAnsiTheme="majorBidi" w:cstheme="majorBidi"/>
          <w:i/>
          <w:iCs/>
          <w:color w:val="000000" w:themeColor="text1"/>
          <w:sz w:val="24"/>
          <w:szCs w:val="24"/>
        </w:rPr>
        <w:t>EXCLUSION</w:t>
      </w:r>
      <w:r w:rsidRPr="005E73C2">
        <w:rPr>
          <w:rFonts w:asciiTheme="majorBidi" w:hAnsiTheme="majorBidi" w:cstheme="majorBidi"/>
          <w:color w:val="000000" w:themeColor="text1"/>
          <w:sz w:val="24"/>
          <w:szCs w:val="24"/>
        </w:rPr>
        <w:t xml:space="preserve"> and </w:t>
      </w:r>
      <w:r w:rsidR="00F05816">
        <w:rPr>
          <w:rFonts w:asciiTheme="majorBidi" w:hAnsiTheme="majorBidi" w:cstheme="majorBidi"/>
          <w:i/>
          <w:iCs/>
          <w:color w:val="000000" w:themeColor="text1"/>
          <w:sz w:val="24"/>
          <w:szCs w:val="24"/>
        </w:rPr>
        <w:t>NARCIS</w:t>
      </w:r>
      <w:r w:rsidR="002F7CD8">
        <w:rPr>
          <w:rFonts w:asciiTheme="majorBidi" w:hAnsiTheme="majorBidi" w:cstheme="majorBidi"/>
          <w:color w:val="000000" w:themeColor="text1"/>
          <w:sz w:val="24"/>
          <w:szCs w:val="24"/>
        </w:rPr>
        <w:t>,</w:t>
      </w:r>
      <w:r w:rsidRPr="005E73C2">
        <w:rPr>
          <w:rFonts w:asciiTheme="majorBidi" w:hAnsiTheme="majorBidi" w:cstheme="majorBidi"/>
          <w:color w:val="000000" w:themeColor="text1"/>
          <w:sz w:val="24"/>
          <w:szCs w:val="24"/>
        </w:rPr>
        <w:t xml:space="preserve"> i.e., </w:t>
      </w:r>
      <m:oMath>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5</m:t>
            </m:r>
          </m:sub>
        </m:sSub>
      </m:oMath>
      <w:r w:rsidR="002F7CD8">
        <w:rPr>
          <w:rFonts w:asciiTheme="majorBidi" w:hAnsiTheme="majorBidi" w:cstheme="majorBidi"/>
          <w:color w:val="000000" w:themeColor="text1"/>
          <w:sz w:val="24"/>
          <w:szCs w:val="24"/>
        </w:rPr>
        <w:t>,</w:t>
      </w:r>
      <w:r w:rsidRPr="005E73C2">
        <w:rPr>
          <w:rFonts w:asciiTheme="majorBidi" w:hAnsiTheme="majorBidi" w:cstheme="majorBidi"/>
          <w:color w:val="000000" w:themeColor="text1"/>
          <w:sz w:val="24"/>
          <w:szCs w:val="24"/>
        </w:rPr>
        <w:t xml:space="preserve"> is the coefficient of interest. If non-IFRS exclusions of companies with more narcissistic AC chairs are of lower quality than the average non-IFRS exclusions, we expect </w:t>
      </w:r>
      <m:oMath>
        <m:sSub>
          <m:sSubPr>
            <m:ctrlPr>
              <w:rPr>
                <w:rFonts w:ascii="Cambria Math" w:hAnsi="Cambria Math" w:cstheme="majorBidi"/>
                <w:i/>
                <w:color w:val="000000" w:themeColor="text1"/>
                <w:sz w:val="24"/>
                <w:szCs w:val="24"/>
              </w:rPr>
            </m:ctrlPr>
          </m:sSubPr>
          <m:e>
            <m:r>
              <w:rPr>
                <w:rFonts w:ascii="Cambria Math" w:hAnsi="Cambria Math" w:cstheme="majorBidi"/>
                <w:color w:val="000000" w:themeColor="text1"/>
                <w:sz w:val="24"/>
                <w:szCs w:val="24"/>
              </w:rPr>
              <m:t>β</m:t>
            </m:r>
          </m:e>
          <m:sub>
            <m:r>
              <w:rPr>
                <w:rFonts w:ascii="Cambria Math" w:hAnsi="Cambria Math" w:cstheme="majorBidi"/>
                <w:color w:val="000000" w:themeColor="text1"/>
                <w:sz w:val="24"/>
                <w:szCs w:val="24"/>
              </w:rPr>
              <m:t>5</m:t>
            </m:r>
          </m:sub>
        </m:sSub>
      </m:oMath>
      <w:r w:rsidRPr="005E73C2">
        <w:rPr>
          <w:rFonts w:asciiTheme="majorBidi" w:hAnsiTheme="majorBidi" w:cstheme="majorBidi"/>
          <w:color w:val="000000" w:themeColor="text1"/>
          <w:sz w:val="24"/>
          <w:szCs w:val="24"/>
        </w:rPr>
        <w:t xml:space="preserve"> to be negative.</w:t>
      </w:r>
    </w:p>
    <w:p w14:paraId="5C277161" w14:textId="6474B620" w:rsidR="004E0DDE" w:rsidRPr="005E73C2" w:rsidRDefault="004E0DDE" w:rsidP="00B5645B">
      <w:pPr>
        <w:spacing w:before="240"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We include seven company-level control variables in our non-IFRS model. </w:t>
      </w:r>
      <w:r w:rsidR="008B07DA">
        <w:rPr>
          <w:rFonts w:asciiTheme="majorBidi" w:hAnsiTheme="majorBidi" w:cstheme="majorBidi"/>
          <w:color w:val="000000" w:themeColor="text1"/>
          <w:sz w:val="24"/>
          <w:szCs w:val="28"/>
        </w:rPr>
        <w:t>Return on assets (</w:t>
      </w:r>
      <w:r w:rsidRPr="005E73C2">
        <w:rPr>
          <w:rFonts w:asciiTheme="majorBidi" w:hAnsiTheme="majorBidi" w:cstheme="majorBidi"/>
          <w:i/>
          <w:iCs/>
          <w:color w:val="000000" w:themeColor="text1"/>
          <w:sz w:val="24"/>
          <w:szCs w:val="28"/>
        </w:rPr>
        <w:t>ROA</w:t>
      </w:r>
      <w:r w:rsidR="008B07DA">
        <w:rPr>
          <w:rFonts w:asciiTheme="majorBidi" w:hAnsiTheme="majorBidi" w:cstheme="majorBidi"/>
          <w:color w:val="000000" w:themeColor="text1"/>
          <w:sz w:val="24"/>
          <w:szCs w:val="28"/>
        </w:rPr>
        <w:t>), leverage (</w:t>
      </w:r>
      <w:r w:rsidRPr="005E73C2">
        <w:rPr>
          <w:rFonts w:asciiTheme="majorBidi" w:hAnsiTheme="majorBidi" w:cstheme="majorBidi"/>
          <w:i/>
          <w:iCs/>
          <w:color w:val="000000" w:themeColor="text1"/>
          <w:sz w:val="24"/>
          <w:szCs w:val="28"/>
        </w:rPr>
        <w:t>LEV</w:t>
      </w:r>
      <w:r w:rsidR="008B07DA">
        <w:rPr>
          <w:rFonts w:asciiTheme="majorBidi" w:hAnsiTheme="majorBidi" w:cstheme="majorBidi"/>
          <w:color w:val="000000" w:themeColor="text1"/>
          <w:sz w:val="24"/>
          <w:szCs w:val="28"/>
        </w:rPr>
        <w:t>), size (</w:t>
      </w:r>
      <w:r w:rsidR="000644E2">
        <w:rPr>
          <w:rFonts w:asciiTheme="majorBidi" w:hAnsiTheme="majorBidi" w:cstheme="majorBidi"/>
          <w:i/>
          <w:iCs/>
          <w:color w:val="000000" w:themeColor="text1"/>
          <w:sz w:val="24"/>
          <w:szCs w:val="28"/>
        </w:rPr>
        <w:t>SIZE</w:t>
      </w:r>
      <w:r w:rsidR="008B07DA">
        <w:rPr>
          <w:rFonts w:asciiTheme="majorBidi" w:hAnsiTheme="majorBidi" w:cstheme="majorBidi"/>
          <w:color w:val="000000" w:themeColor="text1"/>
          <w:sz w:val="24"/>
          <w:szCs w:val="28"/>
        </w:rPr>
        <w:t>), sales growth (</w:t>
      </w:r>
      <w:r w:rsidR="002A0C6F">
        <w:rPr>
          <w:rFonts w:asciiTheme="majorBidi" w:hAnsiTheme="majorBidi" w:cstheme="majorBidi"/>
          <w:i/>
          <w:iCs/>
          <w:color w:val="000000" w:themeColor="text1"/>
          <w:sz w:val="24"/>
          <w:szCs w:val="28"/>
        </w:rPr>
        <w:t>SG</w:t>
      </w:r>
      <w:r w:rsidR="008B07DA">
        <w:rPr>
          <w:rFonts w:asciiTheme="majorBidi" w:hAnsiTheme="majorBidi" w:cstheme="majorBidi"/>
          <w:color w:val="000000" w:themeColor="text1"/>
          <w:sz w:val="24"/>
          <w:szCs w:val="28"/>
        </w:rPr>
        <w:t>), firm age (</w:t>
      </w:r>
      <w:r w:rsidRPr="005E73C2">
        <w:rPr>
          <w:rFonts w:asciiTheme="majorBidi" w:hAnsiTheme="majorBidi" w:cstheme="majorBidi"/>
          <w:i/>
          <w:iCs/>
          <w:color w:val="000000" w:themeColor="text1"/>
          <w:sz w:val="24"/>
          <w:szCs w:val="28"/>
        </w:rPr>
        <w:t>AGE</w:t>
      </w:r>
      <w:r w:rsidR="008B07DA">
        <w:rPr>
          <w:rFonts w:asciiTheme="majorBidi" w:hAnsiTheme="majorBidi" w:cstheme="majorBidi"/>
          <w:color w:val="000000" w:themeColor="text1"/>
          <w:sz w:val="24"/>
          <w:szCs w:val="28"/>
        </w:rPr>
        <w:t>), accruals (</w:t>
      </w:r>
      <w:r w:rsidRPr="005E73C2">
        <w:rPr>
          <w:rFonts w:asciiTheme="majorBidi" w:hAnsiTheme="majorBidi" w:cstheme="majorBidi"/>
          <w:i/>
          <w:iCs/>
          <w:color w:val="000000" w:themeColor="text1"/>
          <w:sz w:val="24"/>
          <w:szCs w:val="28"/>
        </w:rPr>
        <w:t>ACCRUAL</w:t>
      </w:r>
      <w:r w:rsidR="008B07DA">
        <w:rPr>
          <w:rFonts w:asciiTheme="majorBidi" w:hAnsiTheme="majorBidi" w:cstheme="majorBidi"/>
          <w:color w:val="000000" w:themeColor="text1"/>
          <w:sz w:val="24"/>
          <w:szCs w:val="28"/>
        </w:rPr>
        <w:t>) and losses (</w:t>
      </w:r>
      <w:r w:rsidRPr="005E73C2">
        <w:rPr>
          <w:rFonts w:asciiTheme="majorBidi" w:hAnsiTheme="majorBidi" w:cstheme="majorBidi"/>
          <w:i/>
          <w:iCs/>
          <w:color w:val="000000" w:themeColor="text1"/>
          <w:sz w:val="24"/>
          <w:szCs w:val="28"/>
        </w:rPr>
        <w:t>LOSS</w:t>
      </w:r>
      <w:r w:rsidR="008B07DA">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In addition to company controls, we also include </w:t>
      </w:r>
      <w:r w:rsidR="00C96476">
        <w:rPr>
          <w:rFonts w:asciiTheme="majorBidi" w:hAnsiTheme="majorBidi" w:cstheme="majorBidi"/>
          <w:color w:val="000000" w:themeColor="text1"/>
          <w:sz w:val="24"/>
          <w:szCs w:val="28"/>
        </w:rPr>
        <w:t xml:space="preserve">an array </w:t>
      </w:r>
      <w:r w:rsidR="00650310">
        <w:rPr>
          <w:rFonts w:asciiTheme="majorBidi" w:hAnsiTheme="majorBidi" w:cstheme="majorBidi"/>
          <w:color w:val="000000" w:themeColor="text1"/>
          <w:sz w:val="24"/>
          <w:szCs w:val="28"/>
        </w:rPr>
        <w:lastRenderedPageBreak/>
        <w:t>of</w:t>
      </w:r>
      <w:r w:rsidR="00C96476"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board-level controls in our non-IFRS model. </w:t>
      </w:r>
      <w:r w:rsidR="008B07DA">
        <w:rPr>
          <w:rFonts w:asciiTheme="majorBidi" w:hAnsiTheme="majorBidi" w:cstheme="majorBidi"/>
          <w:color w:val="000000" w:themeColor="text1"/>
          <w:sz w:val="24"/>
          <w:szCs w:val="28"/>
        </w:rPr>
        <w:t>In particular, CEO duality (</w:t>
      </w:r>
      <w:r w:rsidRPr="005E73C2">
        <w:rPr>
          <w:rFonts w:asciiTheme="majorBidi" w:hAnsiTheme="majorBidi" w:cstheme="majorBidi"/>
          <w:i/>
          <w:iCs/>
          <w:color w:val="000000" w:themeColor="text1"/>
          <w:sz w:val="24"/>
          <w:szCs w:val="28"/>
        </w:rPr>
        <w:t>DU</w:t>
      </w:r>
      <w:r w:rsidR="000644E2">
        <w:rPr>
          <w:rFonts w:asciiTheme="majorBidi" w:hAnsiTheme="majorBidi" w:cstheme="majorBidi"/>
          <w:i/>
          <w:iCs/>
          <w:color w:val="000000" w:themeColor="text1"/>
          <w:sz w:val="24"/>
          <w:szCs w:val="28"/>
        </w:rPr>
        <w:t>AL</w:t>
      </w:r>
      <w:r w:rsidR="008B07DA" w:rsidRPr="000A4E1E">
        <w:rPr>
          <w:rFonts w:asciiTheme="majorBidi" w:hAnsiTheme="majorBidi" w:cstheme="majorBidi"/>
          <w:color w:val="000000" w:themeColor="text1"/>
          <w:sz w:val="24"/>
          <w:szCs w:val="28"/>
        </w:rPr>
        <w:t>)</w:t>
      </w:r>
      <w:r w:rsidR="008B07DA">
        <w:rPr>
          <w:rFonts w:asciiTheme="majorBidi" w:hAnsiTheme="majorBidi" w:cstheme="majorBidi"/>
          <w:color w:val="000000" w:themeColor="text1"/>
          <w:sz w:val="24"/>
          <w:szCs w:val="28"/>
        </w:rPr>
        <w:t xml:space="preserve">, </w:t>
      </w:r>
      <w:r w:rsidR="008B07DA" w:rsidRPr="005E73C2">
        <w:rPr>
          <w:rFonts w:asciiTheme="majorBidi" w:hAnsiTheme="majorBidi" w:cstheme="majorBidi"/>
          <w:color w:val="000000" w:themeColor="text1"/>
          <w:sz w:val="24"/>
          <w:szCs w:val="28"/>
        </w:rPr>
        <w:t>CEO</w:t>
      </w:r>
      <w:r w:rsidR="008B07DA">
        <w:rPr>
          <w:rFonts w:asciiTheme="majorBidi" w:hAnsiTheme="majorBidi" w:cstheme="majorBidi"/>
          <w:color w:val="000000" w:themeColor="text1"/>
          <w:sz w:val="24"/>
          <w:szCs w:val="28"/>
        </w:rPr>
        <w:t xml:space="preserve"> tenure (</w:t>
      </w:r>
      <w:r w:rsidRPr="005E73C2">
        <w:rPr>
          <w:rFonts w:asciiTheme="majorBidi" w:hAnsiTheme="majorBidi" w:cstheme="majorBidi"/>
          <w:i/>
          <w:iCs/>
          <w:color w:val="000000" w:themeColor="text1"/>
          <w:sz w:val="24"/>
          <w:szCs w:val="28"/>
        </w:rPr>
        <w:t>TENU</w:t>
      </w:r>
      <w:r w:rsidR="000644E2">
        <w:rPr>
          <w:rFonts w:asciiTheme="majorBidi" w:hAnsiTheme="majorBidi" w:cstheme="majorBidi"/>
          <w:i/>
          <w:iCs/>
          <w:color w:val="000000" w:themeColor="text1"/>
          <w:sz w:val="24"/>
          <w:szCs w:val="28"/>
        </w:rPr>
        <w:t>RE</w:t>
      </w:r>
      <w:r w:rsidR="008B07DA">
        <w:rPr>
          <w:rFonts w:asciiTheme="majorBidi" w:hAnsiTheme="majorBidi" w:cstheme="majorBidi"/>
          <w:color w:val="000000" w:themeColor="text1"/>
          <w:sz w:val="24"/>
          <w:szCs w:val="28"/>
        </w:rPr>
        <w:t xml:space="preserve">), </w:t>
      </w:r>
      <w:r w:rsidR="008B07DA" w:rsidRPr="005E73C2">
        <w:rPr>
          <w:rFonts w:asciiTheme="majorBidi" w:hAnsiTheme="majorBidi" w:cstheme="majorBidi"/>
          <w:color w:val="000000" w:themeColor="text1"/>
          <w:sz w:val="24"/>
          <w:szCs w:val="28"/>
        </w:rPr>
        <w:t>independent directors</w:t>
      </w:r>
      <w:r w:rsidR="008B07DA">
        <w:rPr>
          <w:rFonts w:asciiTheme="majorBidi" w:hAnsiTheme="majorBidi" w:cstheme="majorBidi"/>
          <w:color w:val="000000" w:themeColor="text1"/>
          <w:sz w:val="24"/>
          <w:szCs w:val="28"/>
        </w:rPr>
        <w:t xml:space="preserve"> (</w:t>
      </w:r>
      <w:r w:rsidRPr="005E73C2">
        <w:rPr>
          <w:rFonts w:asciiTheme="majorBidi" w:hAnsiTheme="majorBidi" w:cstheme="majorBidi"/>
          <w:i/>
          <w:iCs/>
          <w:color w:val="000000" w:themeColor="text1"/>
          <w:sz w:val="24"/>
          <w:szCs w:val="28"/>
        </w:rPr>
        <w:t>IND</w:t>
      </w:r>
      <w:r w:rsidR="000644E2">
        <w:rPr>
          <w:rFonts w:asciiTheme="majorBidi" w:hAnsiTheme="majorBidi" w:cstheme="majorBidi"/>
          <w:i/>
          <w:iCs/>
          <w:color w:val="000000" w:themeColor="text1"/>
          <w:sz w:val="24"/>
          <w:szCs w:val="28"/>
        </w:rPr>
        <w:t>EP</w:t>
      </w:r>
      <w:r w:rsidR="000644E2">
        <w:rPr>
          <w:rFonts w:asciiTheme="majorBidi" w:hAnsiTheme="majorBidi" w:cstheme="majorBidi"/>
          <w:color w:val="000000" w:themeColor="text1"/>
          <w:sz w:val="24"/>
          <w:szCs w:val="28"/>
        </w:rPr>
        <w:t>)</w:t>
      </w:r>
      <w:r w:rsidR="008B07DA">
        <w:rPr>
          <w:rFonts w:asciiTheme="majorBidi" w:hAnsiTheme="majorBidi" w:cstheme="majorBidi"/>
          <w:color w:val="000000" w:themeColor="text1"/>
          <w:sz w:val="24"/>
          <w:szCs w:val="28"/>
        </w:rPr>
        <w:t>, board (</w:t>
      </w:r>
      <w:r w:rsidRPr="005E73C2">
        <w:rPr>
          <w:rFonts w:asciiTheme="majorBidi" w:hAnsiTheme="majorBidi" w:cstheme="majorBidi"/>
          <w:i/>
          <w:iCs/>
          <w:color w:val="000000" w:themeColor="text1"/>
          <w:sz w:val="24"/>
          <w:szCs w:val="28"/>
        </w:rPr>
        <w:t>B</w:t>
      </w:r>
      <w:r w:rsidR="000644E2">
        <w:rPr>
          <w:rFonts w:asciiTheme="majorBidi" w:hAnsiTheme="majorBidi" w:cstheme="majorBidi"/>
          <w:i/>
          <w:iCs/>
          <w:color w:val="000000" w:themeColor="text1"/>
          <w:sz w:val="24"/>
          <w:szCs w:val="28"/>
        </w:rPr>
        <w:t>D</w:t>
      </w:r>
      <w:r w:rsidRPr="005E73C2">
        <w:rPr>
          <w:rFonts w:asciiTheme="majorBidi" w:hAnsiTheme="majorBidi" w:cstheme="majorBidi"/>
          <w:i/>
          <w:iCs/>
          <w:color w:val="000000" w:themeColor="text1"/>
          <w:sz w:val="24"/>
          <w:szCs w:val="28"/>
        </w:rPr>
        <w:t>SIZE</w:t>
      </w:r>
      <w:r w:rsidR="008B07DA">
        <w:rPr>
          <w:rFonts w:asciiTheme="majorBidi" w:hAnsiTheme="majorBidi" w:cstheme="majorBidi"/>
          <w:color w:val="000000" w:themeColor="text1"/>
          <w:sz w:val="24"/>
          <w:szCs w:val="28"/>
        </w:rPr>
        <w:t xml:space="preserve">) and </w:t>
      </w:r>
      <w:r w:rsidR="00205236">
        <w:rPr>
          <w:rFonts w:asciiTheme="majorBidi" w:hAnsiTheme="majorBidi" w:cstheme="majorBidi"/>
          <w:color w:val="000000" w:themeColor="text1"/>
          <w:sz w:val="24"/>
          <w:szCs w:val="28"/>
        </w:rPr>
        <w:t>AC</w:t>
      </w:r>
      <w:r w:rsidR="008B07DA">
        <w:rPr>
          <w:rFonts w:asciiTheme="majorBidi" w:hAnsiTheme="majorBidi" w:cstheme="majorBidi"/>
          <w:color w:val="000000" w:themeColor="text1"/>
          <w:sz w:val="24"/>
          <w:szCs w:val="28"/>
        </w:rPr>
        <w:t xml:space="preserve"> </w:t>
      </w:r>
      <w:r w:rsidR="00205236">
        <w:rPr>
          <w:rFonts w:asciiTheme="majorBidi" w:hAnsiTheme="majorBidi" w:cstheme="majorBidi"/>
          <w:color w:val="000000" w:themeColor="text1"/>
          <w:sz w:val="24"/>
          <w:szCs w:val="28"/>
        </w:rPr>
        <w:t xml:space="preserve">size </w:t>
      </w:r>
      <w:r w:rsidR="008B07DA">
        <w:rPr>
          <w:rFonts w:asciiTheme="majorBidi" w:hAnsiTheme="majorBidi" w:cstheme="majorBidi"/>
          <w:color w:val="000000" w:themeColor="text1"/>
          <w:sz w:val="24"/>
          <w:szCs w:val="28"/>
        </w:rPr>
        <w:t>(</w:t>
      </w:r>
      <w:r w:rsidRPr="005E73C2">
        <w:rPr>
          <w:rFonts w:asciiTheme="majorBidi" w:hAnsiTheme="majorBidi" w:cstheme="majorBidi"/>
          <w:i/>
          <w:iCs/>
          <w:color w:val="000000" w:themeColor="text1"/>
          <w:sz w:val="24"/>
          <w:szCs w:val="28"/>
        </w:rPr>
        <w:t>ACSIZE</w:t>
      </w:r>
      <w:r w:rsidR="008B07DA">
        <w:rPr>
          <w:rFonts w:asciiTheme="majorBidi" w:hAnsiTheme="majorBidi" w:cstheme="majorBidi"/>
          <w:color w:val="000000" w:themeColor="text1"/>
          <w:sz w:val="24"/>
          <w:szCs w:val="28"/>
        </w:rPr>
        <w:t>), female directors on the AC (</w:t>
      </w:r>
      <w:r w:rsidRPr="005E73C2">
        <w:rPr>
          <w:rFonts w:asciiTheme="majorBidi" w:hAnsiTheme="majorBidi" w:cstheme="majorBidi"/>
          <w:i/>
          <w:iCs/>
          <w:color w:val="000000" w:themeColor="text1"/>
          <w:sz w:val="24"/>
          <w:szCs w:val="28"/>
        </w:rPr>
        <w:t>FEMALE</w:t>
      </w:r>
      <w:r w:rsidR="008B07DA">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w:t>
      </w:r>
      <w:r w:rsidRPr="005D0049">
        <w:rPr>
          <w:rFonts w:asciiTheme="majorBidi" w:hAnsiTheme="majorBidi" w:cstheme="majorBidi"/>
          <w:color w:val="FF0000"/>
          <w:sz w:val="24"/>
          <w:szCs w:val="28"/>
        </w:rPr>
        <w:t xml:space="preserve"> </w:t>
      </w:r>
      <w:r w:rsidR="008B07DA" w:rsidRPr="00671A72">
        <w:rPr>
          <w:rFonts w:asciiTheme="majorBidi" w:hAnsiTheme="majorBidi" w:cstheme="majorBidi"/>
          <w:sz w:val="24"/>
          <w:szCs w:val="28"/>
        </w:rPr>
        <w:t>AC members who have accounting expertis</w:t>
      </w:r>
      <w:r w:rsidR="00F05816" w:rsidRPr="00671A72">
        <w:rPr>
          <w:rFonts w:asciiTheme="majorBidi" w:hAnsiTheme="majorBidi" w:cstheme="majorBidi"/>
          <w:sz w:val="24"/>
          <w:szCs w:val="28"/>
        </w:rPr>
        <w:t>e</w:t>
      </w:r>
      <w:r w:rsidR="008B07DA" w:rsidRPr="00671A72">
        <w:rPr>
          <w:rFonts w:asciiTheme="majorBidi" w:hAnsiTheme="majorBidi" w:cstheme="majorBidi"/>
          <w:sz w:val="24"/>
          <w:szCs w:val="28"/>
        </w:rPr>
        <w:t xml:space="preserve"> (</w:t>
      </w:r>
      <w:r w:rsidR="008B07DA" w:rsidRPr="00671A72">
        <w:rPr>
          <w:rFonts w:asciiTheme="majorBidi" w:hAnsiTheme="majorBidi" w:cstheme="majorBidi"/>
          <w:i/>
          <w:iCs/>
          <w:sz w:val="24"/>
          <w:szCs w:val="28"/>
        </w:rPr>
        <w:t>ACCEXP</w:t>
      </w:r>
      <w:r w:rsidR="008B07DA" w:rsidRPr="00671A72">
        <w:rPr>
          <w:rFonts w:asciiTheme="majorBidi" w:hAnsiTheme="majorBidi" w:cstheme="majorBidi"/>
          <w:sz w:val="24"/>
          <w:szCs w:val="28"/>
        </w:rPr>
        <w:t xml:space="preserve">) and </w:t>
      </w:r>
      <w:r w:rsidR="00A73CEF" w:rsidRPr="00671A72">
        <w:rPr>
          <w:rFonts w:asciiTheme="majorBidi" w:hAnsiTheme="majorBidi" w:cstheme="majorBidi"/>
          <w:sz w:val="24"/>
          <w:szCs w:val="28"/>
        </w:rPr>
        <w:t>AC chair compensation</w:t>
      </w:r>
      <w:r w:rsidR="008B07DA" w:rsidRPr="00671A72">
        <w:rPr>
          <w:rFonts w:asciiTheme="majorBidi" w:hAnsiTheme="majorBidi" w:cstheme="majorBidi"/>
          <w:sz w:val="24"/>
          <w:szCs w:val="28"/>
        </w:rPr>
        <w:t xml:space="preserve"> (</w:t>
      </w:r>
      <w:r w:rsidR="00116304" w:rsidRPr="00671A72">
        <w:rPr>
          <w:rFonts w:asciiTheme="majorBidi" w:hAnsiTheme="majorBidi" w:cstheme="majorBidi"/>
          <w:i/>
          <w:iCs/>
          <w:sz w:val="24"/>
          <w:szCs w:val="28"/>
        </w:rPr>
        <w:t>COMPEN</w:t>
      </w:r>
      <w:r w:rsidR="000644E2" w:rsidRPr="00671A72">
        <w:rPr>
          <w:rFonts w:asciiTheme="majorBidi" w:hAnsiTheme="majorBidi" w:cstheme="majorBidi"/>
          <w:i/>
          <w:iCs/>
          <w:sz w:val="24"/>
          <w:szCs w:val="28"/>
        </w:rPr>
        <w:t>SATION</w:t>
      </w:r>
      <w:r w:rsidR="008B07DA" w:rsidRPr="00671A72">
        <w:rPr>
          <w:rFonts w:asciiTheme="majorBidi" w:hAnsiTheme="majorBidi" w:cstheme="majorBidi"/>
          <w:sz w:val="24"/>
          <w:szCs w:val="28"/>
        </w:rPr>
        <w:t>)</w:t>
      </w:r>
      <w:r w:rsidR="00057ADD" w:rsidRPr="00671A72">
        <w:rPr>
          <w:rFonts w:asciiTheme="majorBidi" w:hAnsiTheme="majorBidi" w:cstheme="majorBidi" w:hint="eastAsia"/>
          <w:sz w:val="24"/>
          <w:szCs w:val="28"/>
        </w:rPr>
        <w:t xml:space="preserve"> are</w:t>
      </w:r>
      <w:r w:rsidR="00057ADD" w:rsidRPr="00671A72">
        <w:rPr>
          <w:rFonts w:asciiTheme="majorBidi" w:hAnsiTheme="majorBidi" w:cstheme="majorBidi"/>
          <w:sz w:val="24"/>
          <w:szCs w:val="28"/>
        </w:rPr>
        <w:t xml:space="preserve"> included</w:t>
      </w:r>
      <w:r w:rsidR="00BD5516" w:rsidRPr="00671A72">
        <w:rPr>
          <w:rFonts w:asciiTheme="majorBidi" w:hAnsiTheme="majorBidi" w:cstheme="majorBidi"/>
          <w:sz w:val="24"/>
          <w:szCs w:val="28"/>
        </w:rPr>
        <w:t>.</w:t>
      </w:r>
      <w:r w:rsidR="00B5645B" w:rsidRPr="00671A72">
        <w:rPr>
          <w:rStyle w:val="FootnoteReference"/>
          <w:rFonts w:asciiTheme="majorBidi" w:hAnsiTheme="majorBidi" w:cstheme="majorBidi"/>
          <w:sz w:val="24"/>
          <w:szCs w:val="28"/>
        </w:rPr>
        <w:footnoteReference w:id="8"/>
      </w:r>
      <w:r w:rsidR="008B07DA" w:rsidRPr="00671A72">
        <w:rPr>
          <w:rFonts w:asciiTheme="majorBidi" w:hAnsiTheme="majorBidi" w:cstheme="majorBidi"/>
          <w:sz w:val="24"/>
          <w:szCs w:val="28"/>
        </w:rPr>
        <w:t xml:space="preserve"> </w:t>
      </w:r>
      <w:r w:rsidRPr="005E73C2">
        <w:rPr>
          <w:rFonts w:asciiTheme="majorBidi" w:hAnsiTheme="majorBidi" w:cstheme="majorBidi"/>
          <w:color w:val="000000" w:themeColor="text1"/>
          <w:sz w:val="24"/>
          <w:szCs w:val="28"/>
        </w:rPr>
        <w:t>Finally,</w:t>
      </w:r>
      <w:r w:rsidRPr="005E73C2">
        <w:rPr>
          <w:rFonts w:asciiTheme="majorBidi" w:hAnsiTheme="majorBidi" w:cstheme="majorBidi"/>
          <w:i/>
          <w:iCs/>
          <w:color w:val="000000" w:themeColor="text1"/>
          <w:sz w:val="24"/>
          <w:szCs w:val="28"/>
        </w:rPr>
        <w:t xml:space="preserve"> Industry</w:t>
      </w:r>
      <w:r w:rsidRPr="005E73C2">
        <w:rPr>
          <w:rFonts w:asciiTheme="majorBidi" w:hAnsiTheme="majorBidi" w:cstheme="majorBidi"/>
          <w:color w:val="000000" w:themeColor="text1"/>
          <w:sz w:val="24"/>
          <w:szCs w:val="28"/>
        </w:rPr>
        <w:t xml:space="preserve"> and </w:t>
      </w:r>
      <w:r w:rsidRPr="005E73C2">
        <w:rPr>
          <w:rFonts w:asciiTheme="majorBidi" w:hAnsiTheme="majorBidi" w:cstheme="majorBidi"/>
          <w:i/>
          <w:iCs/>
          <w:color w:val="000000" w:themeColor="text1"/>
          <w:sz w:val="24"/>
          <w:szCs w:val="28"/>
        </w:rPr>
        <w:t>Year</w:t>
      </w:r>
      <w:r w:rsidRPr="005E73C2">
        <w:rPr>
          <w:rFonts w:asciiTheme="majorBidi" w:hAnsiTheme="majorBidi" w:cstheme="majorBidi"/>
          <w:color w:val="000000" w:themeColor="text1"/>
          <w:sz w:val="24"/>
          <w:szCs w:val="28"/>
        </w:rPr>
        <w:t xml:space="preserve"> denote the industry and year indicators respectively, which are used to control for industry fixed effects and year fixed effects</w:t>
      </w:r>
      <w:r w:rsidR="00BD505B">
        <w:rPr>
          <w:rFonts w:asciiTheme="majorBidi" w:hAnsiTheme="majorBidi" w:cstheme="majorBidi"/>
          <w:color w:val="000000" w:themeColor="text1"/>
          <w:sz w:val="24"/>
          <w:szCs w:val="28"/>
        </w:rPr>
        <w:t>. S</w:t>
      </w:r>
      <w:r w:rsidRPr="005E73C2">
        <w:rPr>
          <w:rFonts w:asciiTheme="majorBidi" w:hAnsiTheme="majorBidi" w:cstheme="majorBidi"/>
          <w:color w:val="000000" w:themeColor="text1"/>
          <w:sz w:val="24"/>
          <w:szCs w:val="28"/>
        </w:rPr>
        <w:t>ee Appendix A for detailed definitions of all variables used in our model. We cluster standard errors by company to account for any correlation of residuals caused by company effects</w:t>
      </w:r>
      <w:r w:rsidR="008A384D">
        <w:rPr>
          <w:rFonts w:asciiTheme="majorBidi" w:hAnsiTheme="majorBidi" w:cstheme="majorBidi"/>
          <w:color w:val="000000" w:themeColor="text1"/>
          <w:sz w:val="24"/>
          <w:szCs w:val="28"/>
        </w:rPr>
        <w:t xml:space="preserve"> </w:t>
      </w:r>
      <w:r w:rsidRPr="005E73C2">
        <w:rPr>
          <w:rFonts w:asciiTheme="majorBidi" w:hAnsiTheme="majorBidi" w:cstheme="majorBidi"/>
          <w:noProof/>
          <w:color w:val="000000" w:themeColor="text1"/>
          <w:sz w:val="24"/>
          <w:szCs w:val="28"/>
        </w:rPr>
        <w:t>(Petersen</w:t>
      </w:r>
      <w:r w:rsidR="00BD505B">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2009)</w:t>
      </w:r>
      <w:r w:rsidRPr="005E73C2">
        <w:rPr>
          <w:rFonts w:asciiTheme="majorBidi" w:hAnsiTheme="majorBidi" w:cstheme="majorBidi"/>
          <w:color w:val="000000" w:themeColor="text1"/>
          <w:sz w:val="24"/>
          <w:szCs w:val="28"/>
        </w:rPr>
        <w:t>.</w:t>
      </w:r>
    </w:p>
    <w:p w14:paraId="7F6C1F9E" w14:textId="4909F906" w:rsidR="004E0DDE" w:rsidRDefault="00182207" w:rsidP="008F7A0D">
      <w:pPr>
        <w:pStyle w:val="Heading1"/>
        <w:rPr>
          <w:rFonts w:asciiTheme="majorBidi" w:hAnsiTheme="majorBidi"/>
          <w:b/>
          <w:bCs/>
          <w:color w:val="000000" w:themeColor="text1"/>
        </w:rPr>
      </w:pPr>
      <w:r>
        <w:rPr>
          <w:rFonts w:asciiTheme="majorBidi" w:hAnsiTheme="majorBidi"/>
          <w:b/>
          <w:bCs/>
          <w:color w:val="000000" w:themeColor="text1"/>
        </w:rPr>
        <w:t>6</w:t>
      </w:r>
      <w:r w:rsidR="002934C7" w:rsidRPr="002934C7">
        <w:rPr>
          <w:rFonts w:asciiTheme="majorBidi" w:hAnsiTheme="majorBidi"/>
          <w:b/>
          <w:bCs/>
          <w:color w:val="000000" w:themeColor="text1"/>
        </w:rPr>
        <w:t>.</w:t>
      </w:r>
      <w:r w:rsidR="004E0DDE" w:rsidRPr="002934C7">
        <w:rPr>
          <w:rFonts w:asciiTheme="majorBidi" w:hAnsiTheme="majorBidi"/>
          <w:b/>
          <w:bCs/>
          <w:color w:val="000000" w:themeColor="text1"/>
        </w:rPr>
        <w:t xml:space="preserve"> </w:t>
      </w:r>
      <w:r w:rsidR="00CD445B" w:rsidRPr="00CD445B">
        <w:rPr>
          <w:rFonts w:asciiTheme="majorBidi" w:hAnsiTheme="majorBidi"/>
          <w:b/>
          <w:bCs/>
          <w:color w:val="000000" w:themeColor="text1"/>
        </w:rPr>
        <w:t>Empirical results and discussion</w:t>
      </w:r>
    </w:p>
    <w:p w14:paraId="0D67E324" w14:textId="77777777" w:rsidR="002528F2" w:rsidRPr="0087365D" w:rsidRDefault="002528F2" w:rsidP="0087365D"/>
    <w:p w14:paraId="79227E17" w14:textId="168BB990" w:rsidR="002528F2" w:rsidRPr="00FD7B1D" w:rsidRDefault="00182207" w:rsidP="00FD7B1D">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4E0DDE" w:rsidRPr="005E73C2">
        <w:rPr>
          <w:rFonts w:asciiTheme="majorBidi" w:hAnsiTheme="majorBidi"/>
          <w:i/>
          <w:iCs/>
          <w:color w:val="000000" w:themeColor="text1"/>
          <w:sz w:val="28"/>
          <w:szCs w:val="28"/>
        </w:rPr>
        <w:t>.1</w:t>
      </w:r>
      <w:r w:rsidR="001240FD">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Descriptive</w:t>
      </w:r>
    </w:p>
    <w:p w14:paraId="569FDA0D" w14:textId="13AED3CD" w:rsidR="00465E9D" w:rsidRDefault="004E0DDE" w:rsidP="007C09AA">
      <w:pPr>
        <w:spacing w:line="480" w:lineRule="auto"/>
        <w:ind w:left="284" w:firstLine="420"/>
        <w:rPr>
          <w:rFonts w:asciiTheme="majorBidi" w:hAnsiTheme="majorBidi" w:cstheme="majorBidi"/>
          <w:color w:val="000000" w:themeColor="text1"/>
          <w:sz w:val="24"/>
          <w:szCs w:val="28"/>
        </w:rPr>
      </w:pPr>
      <w:r w:rsidRPr="007A4644">
        <w:rPr>
          <w:rFonts w:asciiTheme="majorBidi" w:hAnsiTheme="majorBidi" w:cstheme="majorBidi"/>
          <w:color w:val="000000" w:themeColor="text1"/>
          <w:sz w:val="24"/>
          <w:szCs w:val="28"/>
        </w:rPr>
        <w:t xml:space="preserve">Table 2 provides </w:t>
      </w:r>
      <w:r w:rsidRPr="004F7535">
        <w:rPr>
          <w:rFonts w:asciiTheme="majorBidi" w:hAnsiTheme="majorBidi" w:cstheme="majorBidi"/>
          <w:color w:val="000000" w:themeColor="text1"/>
          <w:sz w:val="24"/>
          <w:szCs w:val="28"/>
        </w:rPr>
        <w:t>descriptive statistics</w:t>
      </w:r>
      <w:r w:rsidR="00031368" w:rsidRPr="004F7535">
        <w:rPr>
          <w:rFonts w:asciiTheme="majorBidi" w:hAnsiTheme="majorBidi" w:cstheme="majorBidi"/>
          <w:color w:val="000000" w:themeColor="text1"/>
          <w:sz w:val="24"/>
          <w:szCs w:val="28"/>
        </w:rPr>
        <w:t xml:space="preserve"> of the main variables, firm, board, </w:t>
      </w:r>
      <w:r w:rsidR="00465E9D">
        <w:rPr>
          <w:rFonts w:asciiTheme="majorBidi" w:hAnsiTheme="majorBidi" w:cstheme="majorBidi"/>
          <w:color w:val="000000" w:themeColor="text1"/>
          <w:sz w:val="24"/>
          <w:szCs w:val="28"/>
        </w:rPr>
        <w:t xml:space="preserve">and </w:t>
      </w:r>
      <w:r w:rsidR="00031368" w:rsidRPr="00A22E2C">
        <w:rPr>
          <w:rFonts w:asciiTheme="majorBidi" w:hAnsiTheme="majorBidi" w:cstheme="majorBidi"/>
          <w:color w:val="000000" w:themeColor="text1"/>
          <w:sz w:val="24"/>
          <w:szCs w:val="28"/>
        </w:rPr>
        <w:t>AC</w:t>
      </w:r>
      <w:r w:rsidR="00031368" w:rsidRPr="004F7535">
        <w:rPr>
          <w:rFonts w:asciiTheme="majorBidi" w:hAnsiTheme="majorBidi" w:cstheme="majorBidi"/>
          <w:color w:val="000000" w:themeColor="text1"/>
          <w:sz w:val="24"/>
          <w:szCs w:val="28"/>
        </w:rPr>
        <w:t xml:space="preserve"> characteristics</w:t>
      </w:r>
      <w:r w:rsidRPr="004F7535">
        <w:rPr>
          <w:rFonts w:asciiTheme="majorBidi" w:hAnsiTheme="majorBidi" w:cstheme="majorBidi"/>
          <w:color w:val="000000" w:themeColor="text1"/>
          <w:sz w:val="24"/>
          <w:szCs w:val="28"/>
        </w:rPr>
        <w:t xml:space="preserve"> </w:t>
      </w:r>
      <w:r w:rsidR="00031368" w:rsidRPr="004F7535">
        <w:rPr>
          <w:rFonts w:asciiTheme="majorBidi" w:hAnsiTheme="majorBidi" w:cstheme="majorBidi"/>
          <w:color w:val="000000" w:themeColor="text1"/>
          <w:sz w:val="24"/>
          <w:szCs w:val="28"/>
        </w:rPr>
        <w:t>over the sample period</w:t>
      </w:r>
      <w:r w:rsidRPr="004F7535">
        <w:rPr>
          <w:rFonts w:asciiTheme="majorBidi" w:hAnsiTheme="majorBidi" w:cstheme="majorBidi"/>
          <w:color w:val="000000" w:themeColor="text1"/>
          <w:sz w:val="24"/>
          <w:szCs w:val="28"/>
        </w:rPr>
        <w:t>.</w:t>
      </w:r>
      <w:r w:rsidR="007F76CD" w:rsidRPr="004F7535">
        <w:rPr>
          <w:rFonts w:asciiTheme="majorBidi" w:hAnsiTheme="majorBidi" w:cstheme="majorBidi"/>
          <w:color w:val="000000" w:themeColor="text1"/>
          <w:sz w:val="24"/>
          <w:szCs w:val="28"/>
        </w:rPr>
        <w:t xml:space="preserve"> </w:t>
      </w:r>
      <w:r w:rsidR="009D3B3B" w:rsidRPr="004F7535">
        <w:rPr>
          <w:rFonts w:asciiTheme="majorBidi" w:hAnsiTheme="majorBidi" w:cstheme="majorBidi"/>
          <w:color w:val="000000" w:themeColor="text1"/>
          <w:sz w:val="24"/>
          <w:szCs w:val="28"/>
        </w:rPr>
        <w:t xml:space="preserve">The mean (median) of </w:t>
      </w:r>
      <w:r w:rsidR="009D3B3B" w:rsidRPr="004F7535">
        <w:rPr>
          <w:rFonts w:asciiTheme="majorBidi" w:hAnsiTheme="majorBidi" w:cstheme="majorBidi"/>
          <w:i/>
          <w:iCs/>
          <w:color w:val="000000" w:themeColor="text1"/>
          <w:sz w:val="24"/>
          <w:szCs w:val="28"/>
        </w:rPr>
        <w:t>IFRSEPS</w:t>
      </w:r>
      <w:r w:rsidR="009D3B3B" w:rsidRPr="004F7535">
        <w:rPr>
          <w:rFonts w:asciiTheme="majorBidi" w:hAnsiTheme="majorBidi" w:cstheme="majorBidi"/>
          <w:color w:val="000000" w:themeColor="text1"/>
          <w:sz w:val="24"/>
          <w:szCs w:val="28"/>
        </w:rPr>
        <w:t xml:space="preserve"> is 0.48 (0.21), while the mean (median) of </w:t>
      </w:r>
      <w:r w:rsidR="009D3B3B" w:rsidRPr="004F7535">
        <w:rPr>
          <w:rFonts w:asciiTheme="majorBidi" w:hAnsiTheme="majorBidi" w:cstheme="majorBidi"/>
          <w:i/>
          <w:iCs/>
          <w:color w:val="000000" w:themeColor="text1"/>
          <w:sz w:val="24"/>
          <w:szCs w:val="28"/>
        </w:rPr>
        <w:t>NONIFRS</w:t>
      </w:r>
      <w:r w:rsidR="009D3B3B" w:rsidRPr="004F7535">
        <w:rPr>
          <w:rFonts w:asciiTheme="majorBidi" w:hAnsiTheme="majorBidi" w:cstheme="majorBidi"/>
          <w:color w:val="000000" w:themeColor="text1"/>
          <w:sz w:val="24"/>
          <w:szCs w:val="28"/>
        </w:rPr>
        <w:t xml:space="preserve"> is </w:t>
      </w:r>
      <w:r w:rsidR="00370678" w:rsidRPr="004F7535">
        <w:rPr>
          <w:rFonts w:asciiTheme="majorBidi" w:hAnsiTheme="majorBidi" w:cstheme="majorBidi"/>
          <w:color w:val="000000" w:themeColor="text1"/>
          <w:sz w:val="24"/>
          <w:szCs w:val="28"/>
        </w:rPr>
        <w:t>0.61 (0.27</w:t>
      </w:r>
      <w:r w:rsidR="00632345" w:rsidRPr="004F7535">
        <w:rPr>
          <w:rFonts w:asciiTheme="majorBidi" w:hAnsiTheme="majorBidi" w:cstheme="majorBidi"/>
          <w:color w:val="000000" w:themeColor="text1"/>
          <w:sz w:val="24"/>
          <w:szCs w:val="28"/>
        </w:rPr>
        <w:t>). The gap in amounts between the reported IFRS earnings and non-IFRS earnings</w:t>
      </w:r>
      <w:r w:rsidR="00370678" w:rsidRPr="004F7535">
        <w:rPr>
          <w:rFonts w:asciiTheme="majorBidi" w:hAnsiTheme="majorBidi" w:cstheme="majorBidi"/>
          <w:color w:val="000000" w:themeColor="text1"/>
          <w:sz w:val="24"/>
          <w:szCs w:val="28"/>
        </w:rPr>
        <w:t xml:space="preserve"> </w:t>
      </w:r>
      <w:r w:rsidR="00632345" w:rsidRPr="004F7535">
        <w:rPr>
          <w:rFonts w:asciiTheme="majorBidi" w:hAnsiTheme="majorBidi" w:cstheme="majorBidi"/>
          <w:color w:val="000000" w:themeColor="text1"/>
          <w:sz w:val="24"/>
          <w:szCs w:val="28"/>
        </w:rPr>
        <w:t xml:space="preserve">suggests </w:t>
      </w:r>
      <w:r w:rsidR="00370678" w:rsidRPr="004F7535">
        <w:rPr>
          <w:rFonts w:asciiTheme="majorBidi" w:hAnsiTheme="majorBidi" w:cstheme="majorBidi"/>
          <w:color w:val="000000" w:themeColor="text1"/>
          <w:sz w:val="24"/>
          <w:szCs w:val="28"/>
        </w:rPr>
        <w:t>that non</w:t>
      </w:r>
      <w:r w:rsidR="00370678">
        <w:rPr>
          <w:rFonts w:asciiTheme="majorBidi" w:hAnsiTheme="majorBidi" w:cstheme="majorBidi"/>
          <w:color w:val="000000" w:themeColor="text1"/>
          <w:sz w:val="24"/>
          <w:szCs w:val="28"/>
        </w:rPr>
        <w:t xml:space="preserve">-IFRS earnings metrics </w:t>
      </w:r>
      <w:r w:rsidR="003D0765">
        <w:rPr>
          <w:rFonts w:asciiTheme="majorBidi" w:hAnsiTheme="majorBidi" w:cstheme="majorBidi"/>
          <w:color w:val="000000" w:themeColor="text1"/>
          <w:sz w:val="24"/>
          <w:szCs w:val="28"/>
        </w:rPr>
        <w:t>general</w:t>
      </w:r>
      <w:r w:rsidR="004F7535">
        <w:rPr>
          <w:rFonts w:asciiTheme="majorBidi" w:hAnsiTheme="majorBidi" w:cstheme="majorBidi"/>
          <w:color w:val="000000" w:themeColor="text1"/>
          <w:sz w:val="24"/>
          <w:szCs w:val="28"/>
        </w:rPr>
        <w:t>ly</w:t>
      </w:r>
      <w:r w:rsidR="003D0765">
        <w:rPr>
          <w:rFonts w:asciiTheme="majorBidi" w:hAnsiTheme="majorBidi" w:cstheme="majorBidi"/>
          <w:color w:val="000000" w:themeColor="text1"/>
          <w:sz w:val="24"/>
          <w:szCs w:val="28"/>
        </w:rPr>
        <w:t xml:space="preserve"> </w:t>
      </w:r>
      <w:r w:rsidR="008542AA">
        <w:rPr>
          <w:rFonts w:asciiTheme="majorBidi" w:hAnsiTheme="majorBidi" w:cstheme="majorBidi"/>
          <w:color w:val="000000" w:themeColor="text1"/>
          <w:sz w:val="24"/>
          <w:szCs w:val="28"/>
        </w:rPr>
        <w:t xml:space="preserve">provide UK firms with </w:t>
      </w:r>
      <w:r w:rsidR="00370678">
        <w:rPr>
          <w:rFonts w:asciiTheme="majorBidi" w:hAnsiTheme="majorBidi" w:cstheme="majorBidi"/>
          <w:color w:val="000000" w:themeColor="text1"/>
          <w:sz w:val="24"/>
          <w:szCs w:val="28"/>
        </w:rPr>
        <w:t xml:space="preserve">more favorable operating </w:t>
      </w:r>
      <w:r w:rsidR="008542AA">
        <w:rPr>
          <w:rFonts w:asciiTheme="majorBidi" w:hAnsiTheme="majorBidi" w:cstheme="majorBidi"/>
          <w:color w:val="000000" w:themeColor="text1"/>
          <w:sz w:val="24"/>
          <w:szCs w:val="28"/>
        </w:rPr>
        <w:t xml:space="preserve">results. </w:t>
      </w:r>
      <w:r w:rsidR="00632345">
        <w:rPr>
          <w:rFonts w:asciiTheme="majorBidi" w:hAnsiTheme="majorBidi" w:cstheme="majorBidi"/>
          <w:color w:val="000000" w:themeColor="text1"/>
          <w:sz w:val="24"/>
          <w:szCs w:val="28"/>
        </w:rPr>
        <w:t>Also, t</w:t>
      </w:r>
      <w:r w:rsidR="008542AA" w:rsidRPr="007A4644">
        <w:rPr>
          <w:rFonts w:asciiTheme="majorBidi" w:hAnsiTheme="majorBidi" w:cstheme="majorBidi"/>
          <w:color w:val="000000" w:themeColor="text1"/>
          <w:sz w:val="24"/>
          <w:szCs w:val="28"/>
        </w:rPr>
        <w:t xml:space="preserve">he </w:t>
      </w:r>
      <w:r w:rsidRPr="007A4644">
        <w:rPr>
          <w:rFonts w:asciiTheme="majorBidi" w:hAnsiTheme="majorBidi" w:cstheme="majorBidi"/>
          <w:color w:val="000000" w:themeColor="text1"/>
          <w:sz w:val="24"/>
          <w:szCs w:val="28"/>
        </w:rPr>
        <w:t xml:space="preserve">non-IFRS </w:t>
      </w:r>
      <w:r w:rsidR="00B436B6">
        <w:rPr>
          <w:rFonts w:asciiTheme="majorBidi" w:hAnsiTheme="majorBidi" w:cstheme="majorBidi"/>
          <w:color w:val="000000" w:themeColor="text1"/>
          <w:sz w:val="24"/>
          <w:szCs w:val="28"/>
        </w:rPr>
        <w:t>exclusions</w:t>
      </w:r>
      <w:r w:rsidRPr="007A4644">
        <w:rPr>
          <w:rFonts w:asciiTheme="majorBidi" w:hAnsiTheme="majorBidi" w:cstheme="majorBidi"/>
          <w:color w:val="000000" w:themeColor="text1"/>
          <w:sz w:val="24"/>
          <w:szCs w:val="28"/>
        </w:rPr>
        <w:t xml:space="preserve"> are</w:t>
      </w:r>
      <w:r w:rsidR="008542AA">
        <w:rPr>
          <w:rFonts w:asciiTheme="majorBidi" w:hAnsiTheme="majorBidi" w:cstheme="majorBidi"/>
          <w:color w:val="000000" w:themeColor="text1"/>
          <w:sz w:val="24"/>
          <w:szCs w:val="28"/>
        </w:rPr>
        <w:t xml:space="preserve">, </w:t>
      </w:r>
      <w:r w:rsidR="008542AA" w:rsidRPr="007A4644">
        <w:rPr>
          <w:rFonts w:asciiTheme="majorBidi" w:hAnsiTheme="majorBidi" w:cstheme="majorBidi"/>
          <w:color w:val="000000" w:themeColor="text1"/>
          <w:sz w:val="24"/>
          <w:szCs w:val="28"/>
        </w:rPr>
        <w:t>on average,</w:t>
      </w:r>
      <w:r w:rsidRPr="007A4644">
        <w:rPr>
          <w:rFonts w:asciiTheme="majorBidi" w:hAnsiTheme="majorBidi" w:cstheme="majorBidi"/>
          <w:color w:val="000000" w:themeColor="text1"/>
          <w:sz w:val="24"/>
          <w:szCs w:val="28"/>
        </w:rPr>
        <w:t xml:space="preserve"> </w:t>
      </w:r>
      <w:r w:rsidR="008542AA">
        <w:rPr>
          <w:rFonts w:asciiTheme="majorBidi" w:hAnsiTheme="majorBidi" w:cstheme="majorBidi"/>
          <w:color w:val="000000" w:themeColor="text1"/>
          <w:sz w:val="24"/>
          <w:szCs w:val="28"/>
        </w:rPr>
        <w:t>£0.</w:t>
      </w:r>
      <w:r w:rsidRPr="007A4644">
        <w:rPr>
          <w:rFonts w:asciiTheme="majorBidi" w:hAnsiTheme="majorBidi" w:cstheme="majorBidi"/>
          <w:color w:val="000000" w:themeColor="text1"/>
          <w:sz w:val="24"/>
          <w:szCs w:val="28"/>
        </w:rPr>
        <w:t xml:space="preserve">16 per share. </w:t>
      </w:r>
    </w:p>
    <w:p w14:paraId="2CA0309B" w14:textId="46FB3D5D" w:rsidR="000B7665" w:rsidRDefault="000B7665" w:rsidP="00B61B68">
      <w:pPr>
        <w:spacing w:line="480" w:lineRule="auto"/>
        <w:ind w:left="284" w:firstLine="420"/>
        <w:rPr>
          <w:rFonts w:asciiTheme="majorBidi" w:hAnsiTheme="majorBidi" w:cstheme="majorBidi"/>
          <w:color w:val="000000" w:themeColor="text1"/>
          <w:sz w:val="24"/>
          <w:szCs w:val="28"/>
        </w:rPr>
      </w:pPr>
      <w:r w:rsidRPr="000B7665">
        <w:rPr>
          <w:rFonts w:asciiTheme="majorBidi" w:hAnsiTheme="majorBidi" w:cstheme="majorBidi"/>
          <w:color w:val="000000" w:themeColor="text1"/>
          <w:sz w:val="24"/>
          <w:szCs w:val="28"/>
        </w:rPr>
        <w:t>In addition, we conduct skewness</w:t>
      </w:r>
      <w:r w:rsidR="006854F6">
        <w:rPr>
          <w:rFonts w:asciiTheme="majorBidi" w:hAnsiTheme="majorBidi" w:cstheme="majorBidi"/>
          <w:color w:val="000000" w:themeColor="text1"/>
          <w:sz w:val="24"/>
          <w:szCs w:val="28"/>
        </w:rPr>
        <w:t xml:space="preserve"> </w:t>
      </w:r>
      <w:r w:rsidRPr="000B7665">
        <w:rPr>
          <w:rFonts w:asciiTheme="majorBidi" w:hAnsiTheme="majorBidi" w:cstheme="majorBidi"/>
          <w:color w:val="000000" w:themeColor="text1"/>
          <w:sz w:val="24"/>
          <w:szCs w:val="28"/>
        </w:rPr>
        <w:t xml:space="preserve">tests for all </w:t>
      </w:r>
      <w:r w:rsidR="004F7535">
        <w:rPr>
          <w:rFonts w:asciiTheme="majorBidi" w:hAnsiTheme="majorBidi" w:cstheme="majorBidi"/>
          <w:color w:val="000000" w:themeColor="text1"/>
          <w:sz w:val="24"/>
          <w:szCs w:val="28"/>
        </w:rPr>
        <w:t xml:space="preserve">the </w:t>
      </w:r>
      <w:r w:rsidRPr="000B7665">
        <w:rPr>
          <w:rFonts w:asciiTheme="majorBidi" w:hAnsiTheme="majorBidi" w:cstheme="majorBidi"/>
          <w:color w:val="000000" w:themeColor="text1"/>
          <w:sz w:val="24"/>
          <w:szCs w:val="28"/>
        </w:rPr>
        <w:t>continuous variables</w:t>
      </w:r>
      <w:r w:rsidR="0085736B">
        <w:rPr>
          <w:rFonts w:asciiTheme="majorBidi" w:hAnsiTheme="majorBidi" w:cstheme="majorBidi"/>
          <w:color w:val="000000" w:themeColor="text1"/>
          <w:sz w:val="24"/>
          <w:szCs w:val="28"/>
        </w:rPr>
        <w:t>.</w:t>
      </w:r>
      <w:r w:rsidRPr="000B7665">
        <w:rPr>
          <w:rFonts w:asciiTheme="majorBidi" w:hAnsiTheme="majorBidi" w:cstheme="majorBidi"/>
          <w:color w:val="000000" w:themeColor="text1"/>
          <w:sz w:val="24"/>
          <w:szCs w:val="28"/>
        </w:rPr>
        <w:t xml:space="preserve"> As reported in </w:t>
      </w:r>
      <w:r w:rsidR="006854F6">
        <w:rPr>
          <w:rFonts w:asciiTheme="majorBidi" w:hAnsiTheme="majorBidi" w:cstheme="majorBidi"/>
          <w:color w:val="000000" w:themeColor="text1"/>
          <w:sz w:val="24"/>
          <w:szCs w:val="28"/>
        </w:rPr>
        <w:t xml:space="preserve">Panel A of </w:t>
      </w:r>
      <w:r w:rsidRPr="000B7665">
        <w:rPr>
          <w:rFonts w:asciiTheme="majorBidi" w:hAnsiTheme="majorBidi" w:cstheme="majorBidi"/>
          <w:color w:val="000000" w:themeColor="text1"/>
          <w:sz w:val="24"/>
          <w:szCs w:val="28"/>
        </w:rPr>
        <w:t xml:space="preserve">Table </w:t>
      </w:r>
      <w:r w:rsidR="006854F6">
        <w:rPr>
          <w:rFonts w:asciiTheme="majorBidi" w:hAnsiTheme="majorBidi" w:cstheme="majorBidi"/>
          <w:color w:val="000000" w:themeColor="text1"/>
          <w:sz w:val="24"/>
          <w:szCs w:val="28"/>
        </w:rPr>
        <w:t>2</w:t>
      </w:r>
      <w:r w:rsidRPr="000B7665">
        <w:rPr>
          <w:rFonts w:asciiTheme="majorBidi" w:hAnsiTheme="majorBidi" w:cstheme="majorBidi"/>
          <w:color w:val="000000" w:themeColor="text1"/>
          <w:sz w:val="24"/>
          <w:szCs w:val="28"/>
        </w:rPr>
        <w:t>, most of the variables are skewed, indicating that our data contains more outliers</w:t>
      </w:r>
      <w:r w:rsidR="004F7535">
        <w:rPr>
          <w:rFonts w:asciiTheme="majorBidi" w:hAnsiTheme="majorBidi" w:cstheme="majorBidi"/>
          <w:color w:val="000000" w:themeColor="text1"/>
          <w:sz w:val="24"/>
          <w:szCs w:val="28"/>
        </w:rPr>
        <w:t xml:space="preserve"> than expected</w:t>
      </w:r>
      <w:r w:rsidRPr="000B7665">
        <w:rPr>
          <w:rFonts w:asciiTheme="majorBidi" w:hAnsiTheme="majorBidi" w:cstheme="majorBidi"/>
          <w:color w:val="000000" w:themeColor="text1"/>
          <w:sz w:val="24"/>
          <w:szCs w:val="28"/>
        </w:rPr>
        <w:t xml:space="preserve">. To mitigate the effects of these outliers, we </w:t>
      </w:r>
      <w:proofErr w:type="spellStart"/>
      <w:r w:rsidRPr="000B7665">
        <w:rPr>
          <w:rFonts w:asciiTheme="majorBidi" w:hAnsiTheme="majorBidi" w:cstheme="majorBidi"/>
          <w:color w:val="000000" w:themeColor="text1"/>
          <w:sz w:val="24"/>
          <w:szCs w:val="28"/>
        </w:rPr>
        <w:t>winsorize</w:t>
      </w:r>
      <w:proofErr w:type="spellEnd"/>
      <w:r w:rsidRPr="000B7665">
        <w:rPr>
          <w:rFonts w:asciiTheme="majorBidi" w:hAnsiTheme="majorBidi" w:cstheme="majorBidi"/>
          <w:color w:val="000000" w:themeColor="text1"/>
          <w:sz w:val="24"/>
          <w:szCs w:val="28"/>
        </w:rPr>
        <w:t xml:space="preserve"> all continuous variables at the 1</w:t>
      </w:r>
      <w:r w:rsidRPr="0087365D">
        <w:rPr>
          <w:rFonts w:asciiTheme="majorBidi" w:hAnsiTheme="majorBidi" w:cstheme="majorBidi"/>
          <w:color w:val="000000" w:themeColor="text1"/>
          <w:sz w:val="24"/>
          <w:szCs w:val="28"/>
          <w:vertAlign w:val="superscript"/>
        </w:rPr>
        <w:t>st</w:t>
      </w:r>
      <w:r w:rsidR="004F7535">
        <w:rPr>
          <w:rFonts w:asciiTheme="majorBidi" w:hAnsiTheme="majorBidi" w:cstheme="majorBidi"/>
          <w:color w:val="000000" w:themeColor="text1"/>
          <w:sz w:val="24"/>
          <w:szCs w:val="28"/>
        </w:rPr>
        <w:t xml:space="preserve"> </w:t>
      </w:r>
      <w:r w:rsidRPr="000B7665">
        <w:rPr>
          <w:rFonts w:asciiTheme="majorBidi" w:hAnsiTheme="majorBidi" w:cstheme="majorBidi"/>
          <w:color w:val="000000" w:themeColor="text1"/>
          <w:sz w:val="24"/>
          <w:szCs w:val="28"/>
        </w:rPr>
        <w:t>and 99</w:t>
      </w:r>
      <w:r w:rsidRPr="0087365D">
        <w:rPr>
          <w:rFonts w:asciiTheme="majorBidi" w:hAnsiTheme="majorBidi" w:cstheme="majorBidi"/>
          <w:color w:val="000000" w:themeColor="text1"/>
          <w:sz w:val="24"/>
          <w:szCs w:val="28"/>
          <w:vertAlign w:val="superscript"/>
        </w:rPr>
        <w:t>th</w:t>
      </w:r>
      <w:r w:rsidRPr="000B7665">
        <w:rPr>
          <w:rFonts w:asciiTheme="majorBidi" w:hAnsiTheme="majorBidi" w:cstheme="majorBidi"/>
          <w:color w:val="000000" w:themeColor="text1"/>
          <w:sz w:val="24"/>
          <w:szCs w:val="28"/>
        </w:rPr>
        <w:t xml:space="preserve"> percentiles in </w:t>
      </w:r>
      <w:r w:rsidR="004F7535">
        <w:rPr>
          <w:rFonts w:asciiTheme="majorBidi" w:hAnsiTheme="majorBidi" w:cstheme="majorBidi"/>
          <w:color w:val="000000" w:themeColor="text1"/>
          <w:sz w:val="24"/>
          <w:szCs w:val="28"/>
        </w:rPr>
        <w:t xml:space="preserve">a </w:t>
      </w:r>
      <w:r w:rsidRPr="000B7665">
        <w:rPr>
          <w:rFonts w:asciiTheme="majorBidi" w:hAnsiTheme="majorBidi" w:cstheme="majorBidi"/>
          <w:color w:val="000000" w:themeColor="text1"/>
          <w:sz w:val="24"/>
          <w:szCs w:val="28"/>
        </w:rPr>
        <w:t>subsequent analysis.</w:t>
      </w:r>
      <w:r>
        <w:rPr>
          <w:rFonts w:asciiTheme="majorBidi" w:hAnsiTheme="majorBidi" w:cstheme="majorBidi"/>
          <w:color w:val="000000" w:themeColor="text1"/>
          <w:sz w:val="24"/>
          <w:szCs w:val="28"/>
        </w:rPr>
        <w:t xml:space="preserve"> </w:t>
      </w:r>
      <w:r w:rsidR="00354F46">
        <w:rPr>
          <w:rFonts w:asciiTheme="majorBidi" w:hAnsiTheme="majorBidi" w:cstheme="majorBidi"/>
          <w:color w:val="000000" w:themeColor="text1"/>
          <w:sz w:val="24"/>
          <w:szCs w:val="28"/>
        </w:rPr>
        <w:t xml:space="preserve">As reported in Panel B, we </w:t>
      </w:r>
      <w:r>
        <w:rPr>
          <w:rFonts w:asciiTheme="majorBidi" w:hAnsiTheme="majorBidi" w:cstheme="majorBidi"/>
          <w:color w:val="000000" w:themeColor="text1"/>
          <w:sz w:val="24"/>
          <w:szCs w:val="28"/>
        </w:rPr>
        <w:t xml:space="preserve">note that the skewness of the variables </w:t>
      </w:r>
      <w:r w:rsidR="00057ADD">
        <w:rPr>
          <w:rFonts w:asciiTheme="majorBidi" w:hAnsiTheme="majorBidi" w:cstheme="majorBidi"/>
          <w:color w:val="000000" w:themeColor="text1"/>
          <w:sz w:val="24"/>
          <w:szCs w:val="28"/>
        </w:rPr>
        <w:t>improves</w:t>
      </w:r>
      <w:r>
        <w:rPr>
          <w:rFonts w:asciiTheme="majorBidi" w:hAnsiTheme="majorBidi" w:cstheme="majorBidi"/>
          <w:color w:val="000000" w:themeColor="text1"/>
          <w:sz w:val="24"/>
          <w:szCs w:val="28"/>
        </w:rPr>
        <w:t xml:space="preserve"> significantly after the </w:t>
      </w:r>
      <w:proofErr w:type="spellStart"/>
      <w:r>
        <w:rPr>
          <w:rFonts w:asciiTheme="majorBidi" w:hAnsiTheme="majorBidi" w:cstheme="majorBidi"/>
          <w:color w:val="000000" w:themeColor="text1"/>
          <w:sz w:val="24"/>
          <w:szCs w:val="28"/>
        </w:rPr>
        <w:t>winsorization</w:t>
      </w:r>
      <w:proofErr w:type="spellEnd"/>
      <w:r>
        <w:rPr>
          <w:rFonts w:asciiTheme="majorBidi" w:hAnsiTheme="majorBidi" w:cstheme="majorBidi"/>
          <w:color w:val="000000" w:themeColor="text1"/>
          <w:sz w:val="24"/>
          <w:szCs w:val="28"/>
        </w:rPr>
        <w:t>.</w:t>
      </w:r>
    </w:p>
    <w:p w14:paraId="7F1A0DEB" w14:textId="0BF4F70C" w:rsidR="008C0B28" w:rsidRPr="005E73C2" w:rsidRDefault="004E0DDE" w:rsidP="00FD7B1D">
      <w:pPr>
        <w:spacing w:line="480" w:lineRule="auto"/>
        <w:jc w:val="cente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{INSERT TABLE </w:t>
      </w:r>
      <w:r w:rsidR="00005C08">
        <w:rPr>
          <w:rFonts w:asciiTheme="majorBidi" w:hAnsiTheme="majorBidi" w:cstheme="majorBidi"/>
          <w:color w:val="000000" w:themeColor="text1"/>
          <w:sz w:val="24"/>
          <w:szCs w:val="28"/>
        </w:rPr>
        <w:t>TWO</w:t>
      </w:r>
      <w:r w:rsidR="00232B30"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ABOUT HERE}</w:t>
      </w:r>
    </w:p>
    <w:p w14:paraId="3842F1C5" w14:textId="49AE9D77" w:rsidR="002528F2" w:rsidRPr="00FD7B1D" w:rsidRDefault="00182207" w:rsidP="00FD7B1D">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lastRenderedPageBreak/>
        <w:t>6</w:t>
      </w:r>
      <w:r w:rsidR="004E0DDE" w:rsidRPr="005E73C2">
        <w:rPr>
          <w:rFonts w:asciiTheme="majorBidi" w:hAnsiTheme="majorBidi"/>
          <w:i/>
          <w:iCs/>
          <w:color w:val="000000" w:themeColor="text1"/>
          <w:sz w:val="28"/>
          <w:szCs w:val="28"/>
        </w:rPr>
        <w:t>.2</w:t>
      </w:r>
      <w:r w:rsidR="001240FD">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Correlation</w:t>
      </w:r>
    </w:p>
    <w:p w14:paraId="763F444F" w14:textId="18521DC9" w:rsidR="004E0DDE" w:rsidRPr="005E73C2" w:rsidRDefault="004E0DDE" w:rsidP="00B436B6">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Table </w:t>
      </w:r>
      <w:r w:rsidR="00B95C6C">
        <w:rPr>
          <w:rFonts w:asciiTheme="majorBidi" w:hAnsiTheme="majorBidi" w:cstheme="majorBidi"/>
          <w:color w:val="000000" w:themeColor="text1"/>
          <w:sz w:val="24"/>
          <w:szCs w:val="28"/>
        </w:rPr>
        <w:t>3</w:t>
      </w:r>
      <w:r w:rsidRPr="005E73C2">
        <w:rPr>
          <w:rFonts w:asciiTheme="majorBidi" w:hAnsiTheme="majorBidi" w:cstheme="majorBidi"/>
          <w:color w:val="000000" w:themeColor="text1"/>
          <w:sz w:val="24"/>
          <w:szCs w:val="28"/>
        </w:rPr>
        <w:t xml:space="preserve"> presents </w:t>
      </w:r>
      <w:r w:rsidR="00403A71">
        <w:rPr>
          <w:rFonts w:asciiTheme="majorBidi" w:hAnsiTheme="majorBidi" w:cstheme="majorBidi"/>
          <w:color w:val="000000" w:themeColor="text1"/>
          <w:sz w:val="24"/>
          <w:szCs w:val="28"/>
        </w:rPr>
        <w:t xml:space="preserve">the two-way Pearson correlations </w:t>
      </w:r>
      <w:r w:rsidR="00270931">
        <w:rPr>
          <w:rFonts w:asciiTheme="majorBidi" w:hAnsiTheme="majorBidi" w:cstheme="majorBidi"/>
          <w:color w:val="000000" w:themeColor="text1"/>
          <w:sz w:val="24"/>
          <w:szCs w:val="28"/>
        </w:rPr>
        <w:t>for</w:t>
      </w:r>
      <w:r w:rsidR="00403A71">
        <w:rPr>
          <w:rFonts w:asciiTheme="majorBidi" w:hAnsiTheme="majorBidi" w:cstheme="majorBidi"/>
          <w:color w:val="000000" w:themeColor="text1"/>
          <w:sz w:val="24"/>
          <w:szCs w:val="28"/>
        </w:rPr>
        <w:t xml:space="preserve"> </w:t>
      </w:r>
      <w:r w:rsidR="00270931">
        <w:rPr>
          <w:rFonts w:asciiTheme="majorBidi" w:hAnsiTheme="majorBidi" w:cstheme="majorBidi"/>
          <w:color w:val="000000" w:themeColor="text1"/>
          <w:sz w:val="24"/>
          <w:szCs w:val="28"/>
        </w:rPr>
        <w:t>the dependent, indepen</w:t>
      </w:r>
      <w:r w:rsidR="00270931" w:rsidRPr="00A22E2C">
        <w:rPr>
          <w:rFonts w:asciiTheme="majorBidi" w:hAnsiTheme="majorBidi" w:cstheme="majorBidi"/>
          <w:color w:val="000000" w:themeColor="text1"/>
          <w:sz w:val="24"/>
          <w:szCs w:val="28"/>
        </w:rPr>
        <w:t>dent</w:t>
      </w:r>
      <w:r w:rsidR="00A22E2C">
        <w:rPr>
          <w:rFonts w:asciiTheme="majorBidi" w:hAnsiTheme="majorBidi" w:cstheme="majorBidi"/>
          <w:color w:val="000000" w:themeColor="text1"/>
          <w:sz w:val="24"/>
          <w:szCs w:val="28"/>
        </w:rPr>
        <w:t>,</w:t>
      </w:r>
      <w:r w:rsidR="00270931">
        <w:rPr>
          <w:rFonts w:asciiTheme="majorBidi" w:hAnsiTheme="majorBidi" w:cstheme="majorBidi"/>
          <w:color w:val="000000" w:themeColor="text1"/>
          <w:sz w:val="24"/>
          <w:szCs w:val="28"/>
        </w:rPr>
        <w:t xml:space="preserve"> and control</w:t>
      </w:r>
      <w:r w:rsidR="00403A71">
        <w:rPr>
          <w:rFonts w:asciiTheme="majorBidi" w:hAnsiTheme="majorBidi" w:cstheme="majorBidi"/>
          <w:color w:val="000000" w:themeColor="text1"/>
          <w:sz w:val="24"/>
          <w:szCs w:val="28"/>
        </w:rPr>
        <w:t xml:space="preserve"> variables </w:t>
      </w:r>
      <w:r w:rsidRPr="005E73C2">
        <w:rPr>
          <w:rFonts w:asciiTheme="majorBidi" w:hAnsiTheme="majorBidi" w:cstheme="majorBidi"/>
          <w:color w:val="000000" w:themeColor="text1"/>
          <w:sz w:val="24"/>
          <w:szCs w:val="28"/>
        </w:rPr>
        <w:t xml:space="preserve">used in our model. </w:t>
      </w:r>
      <w:r w:rsidR="00B06D5C">
        <w:rPr>
          <w:rFonts w:asciiTheme="majorBidi" w:hAnsiTheme="majorBidi" w:cstheme="majorBidi"/>
          <w:color w:val="000000" w:themeColor="text1"/>
          <w:sz w:val="24"/>
          <w:szCs w:val="28"/>
        </w:rPr>
        <w:t xml:space="preserve">Non-IFRS earnings is correlated with </w:t>
      </w:r>
      <w:r w:rsidR="009A58C5">
        <w:rPr>
          <w:rFonts w:asciiTheme="majorBidi" w:hAnsiTheme="majorBidi" w:cstheme="majorBidi"/>
          <w:color w:val="000000" w:themeColor="text1"/>
          <w:sz w:val="24"/>
          <w:szCs w:val="28"/>
        </w:rPr>
        <w:t xml:space="preserve">future </w:t>
      </w:r>
      <w:r w:rsidR="00B06D5C">
        <w:rPr>
          <w:rFonts w:asciiTheme="majorBidi" w:hAnsiTheme="majorBidi" w:cstheme="majorBidi"/>
          <w:color w:val="000000" w:themeColor="text1"/>
          <w:sz w:val="24"/>
          <w:szCs w:val="28"/>
        </w:rPr>
        <w:t xml:space="preserve">IFRS </w:t>
      </w:r>
      <w:r w:rsidR="009A58C5">
        <w:rPr>
          <w:rFonts w:asciiTheme="majorBidi" w:hAnsiTheme="majorBidi" w:cstheme="majorBidi"/>
          <w:color w:val="000000" w:themeColor="text1"/>
          <w:sz w:val="24"/>
          <w:szCs w:val="28"/>
        </w:rPr>
        <w:t xml:space="preserve">reported </w:t>
      </w:r>
      <w:r w:rsidR="00B06D5C">
        <w:rPr>
          <w:rFonts w:asciiTheme="majorBidi" w:hAnsiTheme="majorBidi" w:cstheme="majorBidi"/>
          <w:color w:val="000000" w:themeColor="text1"/>
          <w:sz w:val="24"/>
          <w:szCs w:val="28"/>
        </w:rPr>
        <w:t>earnings at 0.76, providing</w:t>
      </w:r>
      <w:r w:rsidR="009A58C5">
        <w:rPr>
          <w:rFonts w:asciiTheme="majorBidi" w:hAnsiTheme="majorBidi" w:cstheme="majorBidi"/>
          <w:color w:val="000000" w:themeColor="text1"/>
          <w:sz w:val="24"/>
          <w:szCs w:val="28"/>
        </w:rPr>
        <w:t xml:space="preserve"> some</w:t>
      </w:r>
      <w:r w:rsidR="00B06D5C">
        <w:rPr>
          <w:rFonts w:asciiTheme="majorBidi" w:hAnsiTheme="majorBidi" w:cstheme="majorBidi"/>
          <w:color w:val="000000" w:themeColor="text1"/>
          <w:sz w:val="24"/>
          <w:szCs w:val="28"/>
        </w:rPr>
        <w:t xml:space="preserve"> initial insights that managers’ adjusted earnings are persistent. </w:t>
      </w:r>
      <w:r w:rsidR="009A58C5">
        <w:rPr>
          <w:rFonts w:asciiTheme="majorBidi" w:hAnsiTheme="majorBidi" w:cstheme="majorBidi"/>
          <w:color w:val="000000" w:themeColor="text1"/>
          <w:sz w:val="24"/>
          <w:szCs w:val="28"/>
        </w:rPr>
        <w:t>Exclusions and both non-IFRS and IFRS earnings are positively correlated</w:t>
      </w:r>
      <w:r w:rsidR="004C22D4">
        <w:rPr>
          <w:rFonts w:asciiTheme="majorBidi" w:hAnsiTheme="majorBidi" w:cstheme="majorBidi"/>
          <w:color w:val="000000" w:themeColor="text1"/>
          <w:sz w:val="24"/>
          <w:szCs w:val="28"/>
        </w:rPr>
        <w:t>, consistent with</w:t>
      </w:r>
      <w:r w:rsidR="00154FB2">
        <w:rPr>
          <w:rFonts w:asciiTheme="majorBidi" w:hAnsiTheme="majorBidi" w:cstheme="majorBidi"/>
          <w:color w:val="000000" w:themeColor="text1"/>
          <w:sz w:val="24"/>
          <w:szCs w:val="28"/>
        </w:rPr>
        <w:t xml:space="preserve"> our conjecture</w:t>
      </w:r>
      <w:r w:rsidR="004C22D4">
        <w:rPr>
          <w:rFonts w:asciiTheme="majorBidi" w:hAnsiTheme="majorBidi" w:cstheme="majorBidi"/>
          <w:color w:val="000000" w:themeColor="text1"/>
          <w:sz w:val="24"/>
          <w:szCs w:val="28"/>
        </w:rPr>
        <w:t xml:space="preserve"> that non-IFRS exclusions are not completely transitory.</w:t>
      </w:r>
      <w:r w:rsidR="009A58C5">
        <w:rPr>
          <w:rFonts w:asciiTheme="majorBidi" w:hAnsiTheme="majorBidi" w:cstheme="majorBidi"/>
          <w:color w:val="000000" w:themeColor="text1"/>
          <w:sz w:val="24"/>
          <w:szCs w:val="28"/>
        </w:rPr>
        <w:t xml:space="preserve"> </w:t>
      </w:r>
      <w:r w:rsidR="00495EAB">
        <w:rPr>
          <w:rFonts w:asciiTheme="majorBidi" w:hAnsiTheme="majorBidi" w:cstheme="majorBidi"/>
          <w:color w:val="000000" w:themeColor="text1"/>
          <w:sz w:val="24"/>
          <w:szCs w:val="28"/>
        </w:rPr>
        <w:t>We further conduct a variance inflation factor (VIF) analysis</w:t>
      </w:r>
      <w:r w:rsidR="009137B4">
        <w:rPr>
          <w:rFonts w:asciiTheme="majorBidi" w:hAnsiTheme="majorBidi" w:cstheme="majorBidi"/>
          <w:color w:val="000000" w:themeColor="text1"/>
          <w:sz w:val="24"/>
          <w:szCs w:val="28"/>
        </w:rPr>
        <w:t xml:space="preserve"> </w:t>
      </w:r>
      <w:r w:rsidR="004F7535">
        <w:rPr>
          <w:rFonts w:asciiTheme="majorBidi" w:hAnsiTheme="majorBidi" w:cstheme="majorBidi"/>
          <w:color w:val="000000" w:themeColor="text1"/>
          <w:sz w:val="24"/>
          <w:szCs w:val="28"/>
        </w:rPr>
        <w:t xml:space="preserve">(un-tabulated) </w:t>
      </w:r>
      <w:r w:rsidR="009137B4">
        <w:rPr>
          <w:rFonts w:asciiTheme="majorBidi" w:hAnsiTheme="majorBidi" w:cstheme="majorBidi"/>
          <w:color w:val="000000" w:themeColor="text1"/>
          <w:sz w:val="24"/>
          <w:szCs w:val="28"/>
        </w:rPr>
        <w:t>as a robust</w:t>
      </w:r>
      <w:r w:rsidR="00306657">
        <w:rPr>
          <w:rFonts w:asciiTheme="majorBidi" w:hAnsiTheme="majorBidi" w:cstheme="majorBidi"/>
          <w:color w:val="000000" w:themeColor="text1"/>
          <w:sz w:val="24"/>
          <w:szCs w:val="28"/>
        </w:rPr>
        <w:t>ness</w:t>
      </w:r>
      <w:r w:rsidR="009137B4">
        <w:rPr>
          <w:rFonts w:asciiTheme="majorBidi" w:hAnsiTheme="majorBidi" w:cstheme="majorBidi"/>
          <w:color w:val="000000" w:themeColor="text1"/>
          <w:sz w:val="24"/>
          <w:szCs w:val="28"/>
        </w:rPr>
        <w:t xml:space="preserve"> check for</w:t>
      </w:r>
      <w:r w:rsidR="00495EAB">
        <w:rPr>
          <w:rFonts w:asciiTheme="majorBidi" w:hAnsiTheme="majorBidi" w:cstheme="majorBidi"/>
          <w:color w:val="000000" w:themeColor="text1"/>
          <w:sz w:val="24"/>
          <w:szCs w:val="28"/>
        </w:rPr>
        <w:t xml:space="preserve"> </w:t>
      </w:r>
      <w:r w:rsidR="009137B4">
        <w:rPr>
          <w:rFonts w:asciiTheme="majorBidi" w:hAnsiTheme="majorBidi" w:cstheme="majorBidi"/>
          <w:color w:val="000000" w:themeColor="text1"/>
          <w:sz w:val="24"/>
          <w:szCs w:val="28"/>
        </w:rPr>
        <w:t xml:space="preserve">multicollinearity </w:t>
      </w:r>
      <w:r w:rsidR="00495EAB">
        <w:rPr>
          <w:rFonts w:asciiTheme="majorBidi" w:hAnsiTheme="majorBidi" w:cstheme="majorBidi"/>
          <w:color w:val="000000" w:themeColor="text1"/>
          <w:sz w:val="24"/>
          <w:szCs w:val="28"/>
        </w:rPr>
        <w:t xml:space="preserve">and find that </w:t>
      </w:r>
      <w:r w:rsidR="009137B4">
        <w:rPr>
          <w:rFonts w:asciiTheme="majorBidi" w:hAnsiTheme="majorBidi" w:cstheme="majorBidi"/>
          <w:color w:val="000000" w:themeColor="text1"/>
          <w:sz w:val="24"/>
          <w:szCs w:val="28"/>
        </w:rPr>
        <w:t>none of the</w:t>
      </w:r>
      <w:r w:rsidR="00306657">
        <w:rPr>
          <w:rFonts w:asciiTheme="majorBidi" w:hAnsiTheme="majorBidi" w:cstheme="majorBidi"/>
          <w:color w:val="000000" w:themeColor="text1"/>
          <w:sz w:val="24"/>
          <w:szCs w:val="28"/>
        </w:rPr>
        <w:t xml:space="preserve"> </w:t>
      </w:r>
      <w:r w:rsidR="009137B4">
        <w:rPr>
          <w:rFonts w:asciiTheme="majorBidi" w:hAnsiTheme="majorBidi" w:cstheme="majorBidi"/>
          <w:color w:val="000000" w:themeColor="text1"/>
          <w:sz w:val="24"/>
          <w:szCs w:val="28"/>
        </w:rPr>
        <w:t>VIF</w:t>
      </w:r>
      <w:r w:rsidR="00306657">
        <w:rPr>
          <w:rFonts w:asciiTheme="majorBidi" w:hAnsiTheme="majorBidi" w:cstheme="majorBidi"/>
          <w:color w:val="000000" w:themeColor="text1"/>
          <w:sz w:val="24"/>
          <w:szCs w:val="28"/>
        </w:rPr>
        <w:t xml:space="preserve"> values</w:t>
      </w:r>
      <w:r w:rsidR="009137B4">
        <w:rPr>
          <w:rFonts w:asciiTheme="majorBidi" w:hAnsiTheme="majorBidi" w:cstheme="majorBidi"/>
          <w:color w:val="000000" w:themeColor="text1"/>
          <w:sz w:val="24"/>
          <w:szCs w:val="28"/>
        </w:rPr>
        <w:t xml:space="preserve"> exceed</w:t>
      </w:r>
      <w:r w:rsidR="00306657">
        <w:rPr>
          <w:rFonts w:asciiTheme="majorBidi" w:hAnsiTheme="majorBidi" w:cstheme="majorBidi"/>
          <w:color w:val="000000" w:themeColor="text1"/>
          <w:sz w:val="24"/>
          <w:szCs w:val="28"/>
        </w:rPr>
        <w:t>s</w:t>
      </w:r>
      <w:r w:rsidR="009137B4">
        <w:rPr>
          <w:rFonts w:asciiTheme="majorBidi" w:hAnsiTheme="majorBidi" w:cstheme="majorBidi"/>
          <w:color w:val="000000" w:themeColor="text1"/>
          <w:sz w:val="24"/>
          <w:szCs w:val="28"/>
        </w:rPr>
        <w:t xml:space="preserve"> </w:t>
      </w:r>
      <w:r w:rsidR="000F2FCE">
        <w:rPr>
          <w:rFonts w:asciiTheme="majorBidi" w:hAnsiTheme="majorBidi" w:cstheme="majorBidi"/>
          <w:color w:val="000000" w:themeColor="text1"/>
          <w:sz w:val="24"/>
          <w:szCs w:val="28"/>
        </w:rPr>
        <w:t>5 (</w:t>
      </w:r>
      <w:r w:rsidR="00FD37BF" w:rsidRPr="00FD37BF">
        <w:rPr>
          <w:rFonts w:asciiTheme="majorBidi" w:hAnsiTheme="majorBidi" w:cstheme="majorBidi"/>
          <w:color w:val="000000" w:themeColor="text1"/>
          <w:sz w:val="24"/>
          <w:szCs w:val="28"/>
        </w:rPr>
        <w:t>Gujarati</w:t>
      </w:r>
      <w:r w:rsidR="00FD37BF">
        <w:rPr>
          <w:rFonts w:asciiTheme="majorBidi" w:hAnsiTheme="majorBidi" w:cstheme="majorBidi"/>
          <w:color w:val="000000" w:themeColor="text1"/>
          <w:sz w:val="24"/>
          <w:szCs w:val="28"/>
        </w:rPr>
        <w:t xml:space="preserve"> </w:t>
      </w:r>
      <w:r w:rsidR="004F7535">
        <w:rPr>
          <w:rFonts w:asciiTheme="majorBidi" w:hAnsiTheme="majorBidi" w:cstheme="majorBidi"/>
          <w:color w:val="000000" w:themeColor="text1"/>
          <w:sz w:val="24"/>
          <w:szCs w:val="28"/>
        </w:rPr>
        <w:t xml:space="preserve">&amp; </w:t>
      </w:r>
      <w:r w:rsidR="00FD37BF" w:rsidRPr="00FD37BF">
        <w:rPr>
          <w:rFonts w:asciiTheme="majorBidi" w:hAnsiTheme="majorBidi" w:cstheme="majorBidi"/>
          <w:color w:val="000000" w:themeColor="text1"/>
          <w:sz w:val="24"/>
          <w:szCs w:val="28"/>
        </w:rPr>
        <w:t>Porter,</w:t>
      </w:r>
      <w:r w:rsidR="000F2FCE">
        <w:rPr>
          <w:rFonts w:asciiTheme="majorBidi" w:hAnsiTheme="majorBidi" w:cstheme="majorBidi"/>
          <w:color w:val="000000" w:themeColor="text1"/>
          <w:sz w:val="24"/>
          <w:szCs w:val="28"/>
        </w:rPr>
        <w:t xml:space="preserve"> 20</w:t>
      </w:r>
      <w:r w:rsidR="00270931">
        <w:rPr>
          <w:rFonts w:asciiTheme="majorBidi" w:hAnsiTheme="majorBidi" w:cstheme="majorBidi"/>
          <w:color w:val="000000" w:themeColor="text1"/>
          <w:sz w:val="24"/>
          <w:szCs w:val="28"/>
        </w:rPr>
        <w:t>0</w:t>
      </w:r>
      <w:r w:rsidR="00FD37BF">
        <w:rPr>
          <w:rFonts w:asciiTheme="majorBidi" w:hAnsiTheme="majorBidi" w:cstheme="majorBidi"/>
          <w:color w:val="000000" w:themeColor="text1"/>
          <w:sz w:val="24"/>
          <w:szCs w:val="28"/>
        </w:rPr>
        <w:t>9</w:t>
      </w:r>
      <w:r w:rsidR="000F2FCE">
        <w:rPr>
          <w:rFonts w:asciiTheme="majorBidi" w:hAnsiTheme="majorBidi" w:cstheme="majorBidi"/>
          <w:color w:val="000000" w:themeColor="text1"/>
          <w:sz w:val="24"/>
          <w:szCs w:val="28"/>
        </w:rPr>
        <w:t>)</w:t>
      </w:r>
      <w:r w:rsidR="00306657">
        <w:rPr>
          <w:rFonts w:asciiTheme="majorBidi" w:hAnsiTheme="majorBidi" w:cstheme="majorBidi"/>
          <w:color w:val="000000" w:themeColor="text1"/>
          <w:sz w:val="24"/>
          <w:szCs w:val="28"/>
        </w:rPr>
        <w:t>.</w:t>
      </w:r>
      <w:r w:rsidR="000F2FCE">
        <w:rPr>
          <w:rFonts w:asciiTheme="majorBidi" w:hAnsiTheme="majorBidi" w:cstheme="majorBidi"/>
          <w:color w:val="000000" w:themeColor="text1"/>
          <w:sz w:val="24"/>
          <w:szCs w:val="28"/>
        </w:rPr>
        <w:t xml:space="preserve"> </w:t>
      </w:r>
      <w:r w:rsidR="00495EAB">
        <w:rPr>
          <w:rFonts w:asciiTheme="majorBidi" w:hAnsiTheme="majorBidi" w:cstheme="majorBidi"/>
          <w:color w:val="000000" w:themeColor="text1"/>
          <w:sz w:val="24"/>
          <w:szCs w:val="28"/>
        </w:rPr>
        <w:t xml:space="preserve"> </w:t>
      </w:r>
    </w:p>
    <w:p w14:paraId="057B1BC3" w14:textId="74EFA37B" w:rsidR="004F7535" w:rsidRPr="005E73C2" w:rsidRDefault="004E0DDE" w:rsidP="00FD7B1D">
      <w:pPr>
        <w:spacing w:line="480" w:lineRule="auto"/>
        <w:jc w:val="cente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{INSERT TABLE </w:t>
      </w:r>
      <w:r w:rsidR="00B95C6C">
        <w:rPr>
          <w:rFonts w:asciiTheme="majorBidi" w:hAnsiTheme="majorBidi" w:cstheme="majorBidi"/>
          <w:color w:val="000000" w:themeColor="text1"/>
          <w:sz w:val="24"/>
          <w:szCs w:val="28"/>
        </w:rPr>
        <w:t>THREE</w:t>
      </w:r>
      <w:r w:rsidR="008C0B28"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ABOUT HERE}</w:t>
      </w:r>
    </w:p>
    <w:p w14:paraId="44EDE418" w14:textId="59AB5523" w:rsidR="002528F2" w:rsidRPr="00FD7B1D" w:rsidRDefault="00182207" w:rsidP="00FD7B1D">
      <w:pPr>
        <w:pStyle w:val="Heading2"/>
        <w:spacing w:line="480" w:lineRule="auto"/>
        <w:rPr>
          <w:rFonts w:asciiTheme="majorBidi" w:hAnsiTheme="majorBidi"/>
          <w:b/>
          <w:bCs/>
          <w:i/>
          <w:iCs/>
          <w:color w:val="000000" w:themeColor="text1"/>
          <w:sz w:val="28"/>
          <w:szCs w:val="28"/>
        </w:rPr>
      </w:pPr>
      <w:r>
        <w:rPr>
          <w:rFonts w:asciiTheme="majorBidi" w:hAnsiTheme="majorBidi"/>
          <w:i/>
          <w:iCs/>
          <w:color w:val="000000" w:themeColor="text1"/>
          <w:sz w:val="28"/>
          <w:szCs w:val="28"/>
        </w:rPr>
        <w:t>6</w:t>
      </w:r>
      <w:r w:rsidR="004E0DDE" w:rsidRPr="005E73C2">
        <w:rPr>
          <w:rFonts w:asciiTheme="majorBidi" w:hAnsiTheme="majorBidi"/>
          <w:i/>
          <w:iCs/>
          <w:color w:val="000000" w:themeColor="text1"/>
          <w:sz w:val="28"/>
          <w:szCs w:val="28"/>
        </w:rPr>
        <w:t>.3</w:t>
      </w:r>
      <w:r w:rsidR="001240FD">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Main </w:t>
      </w:r>
      <w:r w:rsidR="0066519D">
        <w:rPr>
          <w:rFonts w:asciiTheme="majorBidi" w:hAnsiTheme="majorBidi"/>
          <w:i/>
          <w:iCs/>
          <w:color w:val="000000" w:themeColor="text1"/>
          <w:sz w:val="28"/>
          <w:szCs w:val="28"/>
        </w:rPr>
        <w:t>a</w:t>
      </w:r>
      <w:r w:rsidR="004E0DDE" w:rsidRPr="005E73C2">
        <w:rPr>
          <w:rFonts w:asciiTheme="majorBidi" w:hAnsiTheme="majorBidi"/>
          <w:i/>
          <w:iCs/>
          <w:color w:val="000000" w:themeColor="text1"/>
          <w:sz w:val="28"/>
          <w:szCs w:val="28"/>
        </w:rPr>
        <w:t xml:space="preserve">nalysis </w:t>
      </w:r>
    </w:p>
    <w:p w14:paraId="67C42D26" w14:textId="18DFBC56" w:rsidR="00F255CE" w:rsidRPr="001F08C5" w:rsidRDefault="004E0DDE" w:rsidP="00F92CD6">
      <w:pPr>
        <w:spacing w:line="480" w:lineRule="auto"/>
        <w:ind w:left="284" w:firstLine="420"/>
        <w:rPr>
          <w:rFonts w:ascii="Times New Roman" w:hAnsi="Times New Roman" w:cs="Times New Roman"/>
          <w:sz w:val="24"/>
          <w:szCs w:val="24"/>
        </w:rPr>
      </w:pPr>
      <w:r w:rsidRPr="005E73C2">
        <w:rPr>
          <w:rFonts w:asciiTheme="majorBidi" w:hAnsiTheme="majorBidi" w:cstheme="majorBidi"/>
          <w:color w:val="000000" w:themeColor="text1"/>
          <w:sz w:val="24"/>
          <w:szCs w:val="28"/>
        </w:rPr>
        <w:t xml:space="preserve">Before investigating our main hypothesis, we use our sample to replicate prior US studies and investigate whether UK firms </w:t>
      </w:r>
      <w:r w:rsidR="000257C7" w:rsidRPr="005E73C2">
        <w:rPr>
          <w:rFonts w:asciiTheme="majorBidi" w:hAnsiTheme="majorBidi" w:cstheme="majorBidi"/>
          <w:color w:val="000000" w:themeColor="text1"/>
          <w:sz w:val="24"/>
          <w:szCs w:val="28"/>
        </w:rPr>
        <w:t>utilize</w:t>
      </w:r>
      <w:r w:rsidRPr="005E73C2">
        <w:rPr>
          <w:rFonts w:asciiTheme="majorBidi" w:hAnsiTheme="majorBidi" w:cstheme="majorBidi"/>
          <w:color w:val="000000" w:themeColor="text1"/>
          <w:sz w:val="24"/>
          <w:szCs w:val="28"/>
        </w:rPr>
        <w:t xml:space="preserve"> non-IFRS earnings for informative or opportunistic purposes. As reported under Column (1) of Table </w:t>
      </w:r>
      <w:r w:rsidR="00B95C6C">
        <w:rPr>
          <w:rFonts w:asciiTheme="majorBidi" w:hAnsiTheme="majorBidi" w:cstheme="majorBidi"/>
          <w:color w:val="000000" w:themeColor="text1"/>
          <w:sz w:val="24"/>
          <w:szCs w:val="28"/>
        </w:rPr>
        <w:t>4</w:t>
      </w:r>
      <w:r w:rsidRPr="005E73C2">
        <w:rPr>
          <w:rFonts w:asciiTheme="majorBidi" w:hAnsiTheme="majorBidi" w:cstheme="majorBidi"/>
          <w:color w:val="000000" w:themeColor="text1"/>
          <w:sz w:val="24"/>
          <w:szCs w:val="28"/>
        </w:rPr>
        <w:t>, the coefficient on the non-IFRS earnings is 0.85 and significant at the 1</w:t>
      </w:r>
      <w:r w:rsidR="00F1474F">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level</w:t>
      </w:r>
      <w:r w:rsidR="00FB040E">
        <w:rPr>
          <w:rFonts w:asciiTheme="majorBidi" w:hAnsiTheme="majorBidi" w:cstheme="majorBidi"/>
          <w:color w:val="000000" w:themeColor="text1"/>
          <w:sz w:val="24"/>
          <w:szCs w:val="28"/>
        </w:rPr>
        <w:t xml:space="preserve">, while </w:t>
      </w:r>
      <w:r w:rsidRPr="005E73C2">
        <w:rPr>
          <w:rFonts w:asciiTheme="majorBidi" w:hAnsiTheme="majorBidi" w:cstheme="majorBidi"/>
          <w:color w:val="000000" w:themeColor="text1"/>
          <w:sz w:val="24"/>
          <w:szCs w:val="28"/>
        </w:rPr>
        <w:t xml:space="preserve">the coefficient on </w:t>
      </w:r>
      <w:r w:rsidRPr="005E73C2">
        <w:rPr>
          <w:rFonts w:asciiTheme="majorBidi" w:hAnsiTheme="majorBidi" w:cstheme="majorBidi"/>
          <w:i/>
          <w:iCs/>
          <w:color w:val="000000" w:themeColor="text1"/>
          <w:sz w:val="24"/>
          <w:szCs w:val="28"/>
        </w:rPr>
        <w:t xml:space="preserve">EXCLUSION </w:t>
      </w:r>
      <w:r w:rsidRPr="005E73C2">
        <w:rPr>
          <w:rFonts w:asciiTheme="majorBidi" w:hAnsiTheme="majorBidi" w:cstheme="majorBidi"/>
          <w:color w:val="000000" w:themeColor="text1"/>
          <w:sz w:val="24"/>
          <w:szCs w:val="28"/>
        </w:rPr>
        <w:t>is -0.1</w:t>
      </w:r>
      <w:r w:rsidR="00A9144F">
        <w:rPr>
          <w:rFonts w:asciiTheme="majorBidi" w:hAnsiTheme="majorBidi" w:cstheme="majorBidi"/>
          <w:color w:val="000000" w:themeColor="text1"/>
          <w:sz w:val="24"/>
          <w:szCs w:val="28"/>
        </w:rPr>
        <w:t>4</w:t>
      </w:r>
      <w:r w:rsidRPr="005E73C2">
        <w:rPr>
          <w:rFonts w:asciiTheme="majorBidi" w:hAnsiTheme="majorBidi" w:cstheme="majorBidi"/>
          <w:color w:val="000000" w:themeColor="text1"/>
          <w:sz w:val="24"/>
          <w:szCs w:val="28"/>
        </w:rPr>
        <w:t xml:space="preserve"> and significant at the </w:t>
      </w:r>
      <w:r>
        <w:rPr>
          <w:rFonts w:asciiTheme="majorBidi" w:hAnsiTheme="majorBidi" w:cstheme="majorBidi"/>
          <w:color w:val="000000" w:themeColor="text1"/>
          <w:sz w:val="24"/>
          <w:szCs w:val="28"/>
        </w:rPr>
        <w:t>5</w:t>
      </w:r>
      <w:r w:rsidR="00F1474F">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level. Consistent with previous studies, non-IFRS exclusions are less persistent than non-IFRS earnings (-0.1</w:t>
      </w:r>
      <w:r w:rsidR="00A9144F">
        <w:rPr>
          <w:rFonts w:asciiTheme="majorBidi" w:hAnsiTheme="majorBidi" w:cstheme="majorBidi"/>
          <w:color w:val="000000" w:themeColor="text1"/>
          <w:sz w:val="24"/>
          <w:szCs w:val="28"/>
        </w:rPr>
        <w:t>4</w:t>
      </w:r>
      <w:r w:rsidRPr="005E73C2">
        <w:rPr>
          <w:rFonts w:asciiTheme="majorBidi" w:hAnsiTheme="majorBidi" w:cstheme="majorBidi"/>
          <w:color w:val="000000" w:themeColor="text1"/>
          <w:sz w:val="24"/>
          <w:szCs w:val="28"/>
        </w:rPr>
        <w:t xml:space="preserve"> &lt; 0.85</w:t>
      </w:r>
      <w:proofErr w:type="gramStart"/>
      <w:r w:rsidRPr="005E73C2">
        <w:rPr>
          <w:rFonts w:asciiTheme="majorBidi" w:hAnsiTheme="majorBidi" w:cstheme="majorBidi"/>
          <w:color w:val="000000" w:themeColor="text1"/>
          <w:sz w:val="24"/>
          <w:szCs w:val="28"/>
        </w:rPr>
        <w:t>)</w:t>
      </w:r>
      <w:proofErr w:type="gramEnd"/>
      <w:r w:rsidRPr="005E73C2">
        <w:rPr>
          <w:rFonts w:asciiTheme="majorBidi" w:hAnsiTheme="majorBidi" w:cstheme="majorBidi"/>
          <w:color w:val="000000" w:themeColor="text1"/>
          <w:sz w:val="24"/>
          <w:szCs w:val="28"/>
        </w:rPr>
        <w:t xml:space="preserve"> but they are not completely transitory </w:t>
      </w:r>
      <w:r w:rsidRPr="005E73C2">
        <w:rPr>
          <w:rFonts w:asciiTheme="majorBidi" w:hAnsiTheme="majorBidi" w:cstheme="majorBidi"/>
          <w:noProof/>
          <w:color w:val="000000" w:themeColor="text1"/>
          <w:sz w:val="24"/>
          <w:szCs w:val="28"/>
        </w:rPr>
        <w:t>(Frankel et al.</w:t>
      </w:r>
      <w:r w:rsidR="00F1474F">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2011; Abdel-Meguid et al.</w:t>
      </w:r>
      <w:r w:rsidR="00F1474F">
        <w:rPr>
          <w:rFonts w:asciiTheme="majorBidi" w:hAnsiTheme="majorBidi" w:cstheme="majorBidi"/>
          <w:noProof/>
          <w:color w:val="000000" w:themeColor="text1"/>
          <w:sz w:val="24"/>
          <w:szCs w:val="28"/>
        </w:rPr>
        <w:t>,</w:t>
      </w:r>
      <w:r w:rsidRPr="005E73C2">
        <w:rPr>
          <w:rFonts w:asciiTheme="majorBidi" w:hAnsiTheme="majorBidi" w:cstheme="majorBidi"/>
          <w:noProof/>
          <w:color w:val="000000" w:themeColor="text1"/>
          <w:sz w:val="24"/>
          <w:szCs w:val="28"/>
        </w:rPr>
        <w:t xml:space="preserve"> 2021)</w:t>
      </w:r>
      <w:r w:rsidRPr="005E73C2">
        <w:rPr>
          <w:rFonts w:asciiTheme="majorBidi" w:hAnsiTheme="majorBidi" w:cstheme="majorBidi"/>
          <w:color w:val="000000" w:themeColor="text1"/>
          <w:sz w:val="24"/>
          <w:szCs w:val="28"/>
        </w:rPr>
        <w:t xml:space="preserve">. </w:t>
      </w:r>
      <w:proofErr w:type="gramStart"/>
      <w:r w:rsidRPr="005E73C2">
        <w:rPr>
          <w:rFonts w:asciiTheme="majorBidi" w:hAnsiTheme="majorBidi" w:cstheme="majorBidi"/>
          <w:color w:val="000000" w:themeColor="text1"/>
          <w:sz w:val="24"/>
          <w:szCs w:val="28"/>
        </w:rPr>
        <w:t>In order to</w:t>
      </w:r>
      <w:proofErr w:type="gramEnd"/>
      <w:r w:rsidRPr="005E73C2">
        <w:rPr>
          <w:rFonts w:asciiTheme="majorBidi" w:hAnsiTheme="majorBidi" w:cstheme="majorBidi"/>
          <w:color w:val="000000" w:themeColor="text1"/>
          <w:sz w:val="24"/>
          <w:szCs w:val="28"/>
        </w:rPr>
        <w:t xml:space="preserve"> provide a sharp analysis on the opportunistic use of non-IFRS earnings, we focus on a setting where firms are more likely to mislead investors, namely </w:t>
      </w:r>
      <w:r w:rsidR="00F1474F">
        <w:rPr>
          <w:rFonts w:asciiTheme="majorBidi" w:hAnsiTheme="majorBidi" w:cstheme="majorBidi"/>
          <w:color w:val="000000" w:themeColor="text1"/>
          <w:sz w:val="24"/>
          <w:szCs w:val="28"/>
        </w:rPr>
        <w:t xml:space="preserve">the </w:t>
      </w:r>
      <w:r w:rsidRPr="005E73C2">
        <w:rPr>
          <w:rFonts w:asciiTheme="majorBidi" w:hAnsiTheme="majorBidi" w:cstheme="majorBidi"/>
          <w:color w:val="000000" w:themeColor="text1"/>
          <w:sz w:val="24"/>
          <w:szCs w:val="28"/>
        </w:rPr>
        <w:t>report</w:t>
      </w:r>
      <w:r w:rsidR="00F9746A">
        <w:rPr>
          <w:rFonts w:asciiTheme="majorBidi" w:hAnsiTheme="majorBidi" w:cstheme="majorBidi"/>
          <w:color w:val="000000" w:themeColor="text1"/>
          <w:sz w:val="24"/>
          <w:szCs w:val="28"/>
        </w:rPr>
        <w:t>ed</w:t>
      </w:r>
      <w:r w:rsidR="00F1474F">
        <w:rPr>
          <w:rFonts w:asciiTheme="majorBidi" w:hAnsiTheme="majorBidi" w:cstheme="majorBidi"/>
          <w:color w:val="000000" w:themeColor="text1"/>
        </w:rPr>
        <w:t xml:space="preserve"> </w:t>
      </w:r>
      <w:r w:rsidRPr="005E73C2">
        <w:rPr>
          <w:rFonts w:asciiTheme="majorBidi" w:hAnsiTheme="majorBidi" w:cstheme="majorBidi"/>
          <w:color w:val="000000" w:themeColor="text1"/>
          <w:sz w:val="24"/>
          <w:szCs w:val="28"/>
        </w:rPr>
        <w:t xml:space="preserve">non-IFRS earnings </w:t>
      </w:r>
      <w:r w:rsidR="00F9746A">
        <w:rPr>
          <w:rFonts w:asciiTheme="majorBidi" w:hAnsiTheme="majorBidi" w:cstheme="majorBidi"/>
          <w:color w:val="000000" w:themeColor="text1"/>
          <w:sz w:val="24"/>
          <w:szCs w:val="28"/>
        </w:rPr>
        <w:t>is</w:t>
      </w:r>
      <w:r w:rsidR="00F1474F">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higher than IFRS earnings. That is, we create a dummy variable</w:t>
      </w:r>
      <w:r w:rsidR="00F1474F">
        <w:rPr>
          <w:rFonts w:asciiTheme="majorBidi" w:hAnsiTheme="majorBidi" w:cstheme="majorBidi"/>
          <w:color w:val="000000" w:themeColor="text1"/>
          <w:sz w:val="24"/>
          <w:szCs w:val="28"/>
        </w:rPr>
        <w:t xml:space="preserve">, </w:t>
      </w:r>
      <w:r>
        <w:rPr>
          <w:rFonts w:asciiTheme="majorBidi" w:hAnsiTheme="majorBidi" w:cstheme="majorBidi"/>
          <w:i/>
          <w:iCs/>
          <w:color w:val="000000" w:themeColor="text1"/>
          <w:sz w:val="24"/>
          <w:szCs w:val="28"/>
        </w:rPr>
        <w:t>HIGH</w:t>
      </w:r>
      <w:r w:rsidR="00F1474F">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set to </w:t>
      </w:r>
      <w:r w:rsidR="00F1474F">
        <w:rPr>
          <w:rFonts w:asciiTheme="majorBidi" w:hAnsiTheme="majorBidi" w:cstheme="majorBidi"/>
          <w:color w:val="000000" w:themeColor="text1"/>
          <w:sz w:val="24"/>
          <w:szCs w:val="28"/>
        </w:rPr>
        <w:t>1</w:t>
      </w:r>
      <w:r w:rsidR="00F1474F"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if the firm reported non-IFRS earnings higher than GAAP earnings, and 0 otherwise. We then interact </w:t>
      </w:r>
      <w:r>
        <w:rPr>
          <w:rFonts w:asciiTheme="majorBidi" w:hAnsiTheme="majorBidi" w:cstheme="majorBidi"/>
          <w:i/>
          <w:iCs/>
          <w:color w:val="000000" w:themeColor="text1"/>
          <w:sz w:val="24"/>
          <w:szCs w:val="28"/>
        </w:rPr>
        <w:t>HIGH</w:t>
      </w:r>
      <w:r w:rsidRPr="005E73C2">
        <w:rPr>
          <w:rFonts w:asciiTheme="majorBidi" w:hAnsiTheme="majorBidi" w:cstheme="majorBidi"/>
          <w:color w:val="000000" w:themeColor="text1"/>
          <w:sz w:val="24"/>
          <w:szCs w:val="28"/>
        </w:rPr>
        <w:t xml:space="preserve"> with </w:t>
      </w:r>
      <w:r w:rsidRPr="005E73C2">
        <w:rPr>
          <w:rFonts w:asciiTheme="majorBidi" w:hAnsiTheme="majorBidi" w:cstheme="majorBidi"/>
          <w:i/>
          <w:iCs/>
          <w:color w:val="000000" w:themeColor="text1"/>
          <w:sz w:val="24"/>
          <w:szCs w:val="28"/>
        </w:rPr>
        <w:t>EXCLUSION</w:t>
      </w:r>
      <w:r w:rsidRPr="005E73C2">
        <w:rPr>
          <w:rFonts w:asciiTheme="majorBidi" w:hAnsiTheme="majorBidi" w:cstheme="majorBidi"/>
          <w:color w:val="000000" w:themeColor="text1"/>
          <w:sz w:val="24"/>
          <w:szCs w:val="28"/>
        </w:rPr>
        <w:t xml:space="preserve"> and report the results of this analysis under Column (2) of Table </w:t>
      </w:r>
      <w:r w:rsidR="00B95C6C">
        <w:rPr>
          <w:rFonts w:asciiTheme="majorBidi" w:hAnsiTheme="majorBidi" w:cstheme="majorBidi"/>
          <w:color w:val="000000" w:themeColor="text1"/>
          <w:sz w:val="24"/>
          <w:szCs w:val="28"/>
        </w:rPr>
        <w:t>4</w:t>
      </w:r>
      <w:r w:rsidR="00C65829">
        <w:rPr>
          <w:rFonts w:asciiTheme="majorBidi" w:hAnsiTheme="majorBidi" w:cstheme="majorBidi"/>
          <w:color w:val="000000" w:themeColor="text1"/>
          <w:sz w:val="24"/>
          <w:szCs w:val="28"/>
        </w:rPr>
        <w:t xml:space="preserve">. </w:t>
      </w:r>
      <w:r w:rsidR="00C65829" w:rsidRPr="005E73C2">
        <w:rPr>
          <w:rFonts w:asciiTheme="majorBidi" w:hAnsiTheme="majorBidi" w:cstheme="majorBidi"/>
          <w:color w:val="000000" w:themeColor="text1"/>
          <w:sz w:val="24"/>
          <w:szCs w:val="28"/>
        </w:rPr>
        <w:t>It</w:t>
      </w:r>
      <w:r w:rsidRPr="005E73C2">
        <w:rPr>
          <w:rFonts w:asciiTheme="majorBidi" w:hAnsiTheme="majorBidi" w:cstheme="majorBidi"/>
          <w:color w:val="000000" w:themeColor="text1"/>
          <w:sz w:val="24"/>
          <w:szCs w:val="28"/>
        </w:rPr>
        <w:t xml:space="preserve"> shows that the coefficient on the interaction between </w:t>
      </w:r>
      <w:r>
        <w:rPr>
          <w:rFonts w:asciiTheme="majorBidi" w:hAnsiTheme="majorBidi" w:cstheme="majorBidi"/>
          <w:i/>
          <w:iCs/>
          <w:color w:val="000000" w:themeColor="text1"/>
          <w:sz w:val="24"/>
          <w:szCs w:val="28"/>
        </w:rPr>
        <w:t>HIGH</w:t>
      </w:r>
      <w:r w:rsidRPr="005E73C2">
        <w:rPr>
          <w:rFonts w:asciiTheme="majorBidi" w:hAnsiTheme="majorBidi" w:cstheme="majorBidi"/>
          <w:color w:val="000000" w:themeColor="text1"/>
          <w:sz w:val="24"/>
          <w:szCs w:val="28"/>
        </w:rPr>
        <w:t xml:space="preserve"> and </w:t>
      </w:r>
      <w:r w:rsidRPr="005E73C2">
        <w:rPr>
          <w:rFonts w:asciiTheme="majorBidi" w:hAnsiTheme="majorBidi" w:cstheme="majorBidi"/>
          <w:i/>
          <w:iCs/>
          <w:color w:val="000000" w:themeColor="text1"/>
          <w:sz w:val="24"/>
          <w:szCs w:val="28"/>
        </w:rPr>
        <w:t>EXCLUSION</w:t>
      </w:r>
      <w:r w:rsidRPr="005E73C2">
        <w:rPr>
          <w:rFonts w:asciiTheme="majorBidi" w:hAnsiTheme="majorBidi" w:cstheme="majorBidi"/>
          <w:color w:val="000000" w:themeColor="text1"/>
          <w:sz w:val="24"/>
          <w:szCs w:val="28"/>
        </w:rPr>
        <w:t xml:space="preserve"> is negative and significant (</w:t>
      </w:r>
      <w:r w:rsidRPr="00133F3F">
        <w:rPr>
          <w:rFonts w:asciiTheme="majorBidi" w:hAnsiTheme="majorBidi" w:cstheme="majorBidi"/>
          <w:i/>
          <w:iCs/>
          <w:color w:val="000000" w:themeColor="text1"/>
          <w:sz w:val="24"/>
          <w:szCs w:val="28"/>
        </w:rPr>
        <w:t>β</w:t>
      </w:r>
      <w:r w:rsidRPr="005E73C2">
        <w:rPr>
          <w:rFonts w:asciiTheme="majorBidi" w:hAnsiTheme="majorBidi" w:cstheme="majorBidi"/>
          <w:color w:val="000000" w:themeColor="text1"/>
          <w:sz w:val="24"/>
          <w:szCs w:val="28"/>
        </w:rPr>
        <w:t xml:space="preserve"> = -0.29; </w:t>
      </w:r>
      <w:r w:rsidRPr="00133F3F">
        <w:rPr>
          <w:rFonts w:asciiTheme="majorBidi" w:hAnsiTheme="majorBidi" w:cstheme="majorBidi"/>
          <w:i/>
          <w:iCs/>
          <w:color w:val="000000" w:themeColor="text1"/>
          <w:sz w:val="24"/>
          <w:szCs w:val="28"/>
        </w:rPr>
        <w:t>p</w:t>
      </w:r>
      <w:r w:rsidRPr="005E73C2">
        <w:rPr>
          <w:rFonts w:asciiTheme="majorBidi" w:hAnsiTheme="majorBidi" w:cstheme="majorBidi"/>
          <w:color w:val="000000" w:themeColor="text1"/>
          <w:sz w:val="24"/>
          <w:szCs w:val="28"/>
        </w:rPr>
        <w:t xml:space="preserve"> &lt; 0.10)</w:t>
      </w:r>
      <w:r w:rsidR="00F9746A">
        <w:rPr>
          <w:rFonts w:asciiTheme="majorBidi" w:hAnsiTheme="majorBidi" w:cstheme="majorBidi"/>
          <w:color w:val="000000" w:themeColor="text1"/>
          <w:sz w:val="24"/>
          <w:szCs w:val="28"/>
        </w:rPr>
        <w:t>,</w:t>
      </w:r>
      <w:r>
        <w:rPr>
          <w:rFonts w:asciiTheme="majorBidi" w:hAnsiTheme="majorBidi" w:cstheme="majorBidi"/>
          <w:color w:val="000000" w:themeColor="text1"/>
          <w:sz w:val="24"/>
          <w:szCs w:val="28"/>
        </w:rPr>
        <w:t xml:space="preserve"> providing some support that </w:t>
      </w:r>
      <w:r w:rsidRPr="005E73C2">
        <w:rPr>
          <w:rFonts w:asciiTheme="majorBidi" w:hAnsiTheme="majorBidi" w:cstheme="majorBidi"/>
          <w:color w:val="000000" w:themeColor="text1"/>
          <w:sz w:val="24"/>
          <w:szCs w:val="28"/>
        </w:rPr>
        <w:t xml:space="preserve">these non-IFRS </w:t>
      </w:r>
      <w:r w:rsidRPr="005E73C2">
        <w:rPr>
          <w:rFonts w:asciiTheme="majorBidi" w:hAnsiTheme="majorBidi" w:cstheme="majorBidi"/>
          <w:color w:val="000000" w:themeColor="text1"/>
          <w:sz w:val="24"/>
          <w:szCs w:val="28"/>
        </w:rPr>
        <w:lastRenderedPageBreak/>
        <w:t xml:space="preserve">adjustments are more persistent </w:t>
      </w:r>
      <w:r w:rsidR="00F92CD6">
        <w:rPr>
          <w:rFonts w:asciiTheme="majorBidi" w:hAnsiTheme="majorBidi" w:cstheme="majorBidi"/>
          <w:color w:val="000000" w:themeColor="text1"/>
          <w:sz w:val="24"/>
          <w:szCs w:val="28"/>
        </w:rPr>
        <w:t xml:space="preserve">when they enable firms to inflate their </w:t>
      </w:r>
      <w:r w:rsidRPr="005E73C2">
        <w:rPr>
          <w:rFonts w:asciiTheme="majorBidi" w:hAnsiTheme="majorBidi" w:cstheme="majorBidi"/>
          <w:color w:val="000000" w:themeColor="text1"/>
          <w:sz w:val="24"/>
          <w:szCs w:val="28"/>
        </w:rPr>
        <w:t xml:space="preserve">non-IFRS earnings. </w:t>
      </w:r>
      <w:r w:rsidR="00136A88">
        <w:rPr>
          <w:rFonts w:asciiTheme="majorBidi" w:hAnsiTheme="majorBidi" w:cstheme="majorBidi"/>
          <w:color w:val="000000" w:themeColor="text1"/>
          <w:sz w:val="24"/>
          <w:szCs w:val="28"/>
        </w:rPr>
        <w:t>Collectively,</w:t>
      </w:r>
      <w:r w:rsidR="004C701A">
        <w:rPr>
          <w:rFonts w:asciiTheme="majorBidi" w:hAnsiTheme="majorBidi" w:cstheme="majorBidi"/>
          <w:color w:val="000000" w:themeColor="text1"/>
          <w:sz w:val="24"/>
          <w:szCs w:val="28"/>
        </w:rPr>
        <w:t xml:space="preserve"> consistent with the US evidence (i.e., </w:t>
      </w:r>
      <w:r w:rsidR="004C701A" w:rsidRPr="00BB02FF">
        <w:rPr>
          <w:rFonts w:ascii="Times New Roman" w:hAnsi="Times New Roman" w:cs="Times New Roman"/>
          <w:sz w:val="24"/>
          <w:szCs w:val="24"/>
        </w:rPr>
        <w:t xml:space="preserve">Black </w:t>
      </w:r>
      <w:r w:rsidR="004C701A">
        <w:rPr>
          <w:rFonts w:ascii="Times New Roman" w:hAnsi="Times New Roman" w:cs="Times New Roman"/>
          <w:sz w:val="24"/>
          <w:szCs w:val="24"/>
        </w:rPr>
        <w:t>&amp;</w:t>
      </w:r>
      <w:r w:rsidR="004C701A" w:rsidRPr="00BB02FF">
        <w:rPr>
          <w:rFonts w:ascii="Times New Roman" w:hAnsi="Times New Roman" w:cs="Times New Roman"/>
          <w:sz w:val="24"/>
          <w:szCs w:val="24"/>
        </w:rPr>
        <w:t xml:space="preserve"> Chri</w:t>
      </w:r>
      <w:r w:rsidR="004C701A">
        <w:rPr>
          <w:rFonts w:ascii="Times New Roman" w:hAnsi="Times New Roman" w:cs="Times New Roman"/>
          <w:sz w:val="24"/>
          <w:szCs w:val="24"/>
        </w:rPr>
        <w:t xml:space="preserve">stensen, </w:t>
      </w:r>
      <w:r w:rsidR="004C701A" w:rsidRPr="00BB02FF">
        <w:rPr>
          <w:rFonts w:ascii="Times New Roman" w:hAnsi="Times New Roman" w:cs="Times New Roman"/>
          <w:sz w:val="24"/>
          <w:szCs w:val="24"/>
        </w:rPr>
        <w:t>2009</w:t>
      </w:r>
      <w:r w:rsidR="004C701A">
        <w:rPr>
          <w:rFonts w:ascii="Times New Roman" w:hAnsi="Times New Roman" w:cs="Times New Roman"/>
          <w:sz w:val="24"/>
          <w:szCs w:val="24"/>
        </w:rPr>
        <w:t xml:space="preserve">; Doyle et al., </w:t>
      </w:r>
      <w:r w:rsidR="004C701A" w:rsidRPr="00BB02FF">
        <w:rPr>
          <w:rFonts w:ascii="Times New Roman" w:hAnsi="Times New Roman" w:cs="Times New Roman"/>
          <w:sz w:val="24"/>
          <w:szCs w:val="24"/>
        </w:rPr>
        <w:t>2003</w:t>
      </w:r>
      <w:r w:rsidR="004C701A">
        <w:rPr>
          <w:rFonts w:ascii="Times New Roman" w:hAnsi="Times New Roman" w:cs="Times New Roman"/>
          <w:sz w:val="24"/>
          <w:szCs w:val="24"/>
        </w:rPr>
        <w:t>, 2013</w:t>
      </w:r>
      <w:r w:rsidR="004C701A" w:rsidRPr="00BB02FF">
        <w:rPr>
          <w:rFonts w:ascii="Times New Roman" w:hAnsi="Times New Roman" w:cs="Times New Roman"/>
          <w:sz w:val="24"/>
          <w:szCs w:val="24"/>
        </w:rPr>
        <w:t>)</w:t>
      </w:r>
      <w:r w:rsidR="004C701A">
        <w:rPr>
          <w:rFonts w:ascii="Times New Roman" w:hAnsi="Times New Roman" w:cs="Times New Roman"/>
          <w:sz w:val="24"/>
          <w:szCs w:val="24"/>
        </w:rPr>
        <w:t>,</w:t>
      </w:r>
      <w:r w:rsidR="00136A88">
        <w:rPr>
          <w:rFonts w:asciiTheme="majorBidi" w:hAnsiTheme="majorBidi" w:cstheme="majorBidi"/>
          <w:color w:val="000000" w:themeColor="text1"/>
          <w:sz w:val="24"/>
          <w:szCs w:val="28"/>
        </w:rPr>
        <w:t xml:space="preserve"> the results reported in Table </w:t>
      </w:r>
      <w:r w:rsidR="00B95C6C">
        <w:rPr>
          <w:rFonts w:asciiTheme="majorBidi" w:hAnsiTheme="majorBidi" w:cstheme="majorBidi"/>
          <w:color w:val="000000" w:themeColor="text1"/>
          <w:sz w:val="24"/>
          <w:szCs w:val="28"/>
        </w:rPr>
        <w:t>4</w:t>
      </w:r>
      <w:r w:rsidR="00136A88">
        <w:rPr>
          <w:rFonts w:asciiTheme="majorBidi" w:hAnsiTheme="majorBidi" w:cstheme="majorBidi"/>
          <w:color w:val="000000" w:themeColor="text1"/>
          <w:sz w:val="24"/>
          <w:szCs w:val="28"/>
        </w:rPr>
        <w:t xml:space="preserve"> demonstrate that some UK firms </w:t>
      </w:r>
      <w:r w:rsidR="00C65829">
        <w:rPr>
          <w:rFonts w:asciiTheme="majorBidi" w:hAnsiTheme="majorBidi" w:cstheme="majorBidi"/>
          <w:color w:val="000000" w:themeColor="text1"/>
          <w:sz w:val="24"/>
          <w:szCs w:val="28"/>
        </w:rPr>
        <w:t>exploit the flexibility</w:t>
      </w:r>
      <w:r w:rsidR="00136A88" w:rsidRPr="00136A88">
        <w:rPr>
          <w:rFonts w:asciiTheme="majorBidi" w:hAnsiTheme="majorBidi" w:cstheme="majorBidi"/>
          <w:color w:val="000000" w:themeColor="text1"/>
          <w:sz w:val="24"/>
          <w:szCs w:val="24"/>
        </w:rPr>
        <w:t xml:space="preserve"> </w:t>
      </w:r>
      <w:r w:rsidR="00136A88" w:rsidRPr="00136A88">
        <w:rPr>
          <w:rFonts w:asciiTheme="majorBidi" w:hAnsiTheme="majorBidi" w:cstheme="majorBidi"/>
          <w:color w:val="000000" w:themeColor="text1"/>
          <w:sz w:val="24"/>
          <w:szCs w:val="28"/>
        </w:rPr>
        <w:t>under IFRS</w:t>
      </w:r>
      <w:r w:rsidR="00C65829">
        <w:rPr>
          <w:rFonts w:asciiTheme="majorBidi" w:hAnsiTheme="majorBidi" w:cstheme="majorBidi"/>
          <w:color w:val="000000" w:themeColor="text1"/>
          <w:sz w:val="24"/>
          <w:szCs w:val="28"/>
        </w:rPr>
        <w:t xml:space="preserve"> </w:t>
      </w:r>
      <w:r w:rsidR="00136A88">
        <w:rPr>
          <w:rFonts w:asciiTheme="majorBidi" w:hAnsiTheme="majorBidi" w:cstheme="majorBidi"/>
          <w:color w:val="000000" w:themeColor="text1"/>
          <w:sz w:val="24"/>
          <w:szCs w:val="28"/>
        </w:rPr>
        <w:t>and opportunistically exclude some</w:t>
      </w:r>
      <w:r w:rsidRPr="005E73C2">
        <w:rPr>
          <w:rFonts w:asciiTheme="majorBidi" w:hAnsiTheme="majorBidi" w:cstheme="majorBidi"/>
          <w:color w:val="000000" w:themeColor="text1"/>
          <w:sz w:val="24"/>
          <w:szCs w:val="28"/>
        </w:rPr>
        <w:t xml:space="preserve"> income-increasing </w:t>
      </w:r>
      <w:r w:rsidR="00136A88">
        <w:rPr>
          <w:rFonts w:asciiTheme="majorBidi" w:hAnsiTheme="majorBidi" w:cstheme="majorBidi"/>
          <w:color w:val="000000" w:themeColor="text1"/>
          <w:sz w:val="24"/>
          <w:szCs w:val="28"/>
        </w:rPr>
        <w:t>items</w:t>
      </w:r>
      <w:r w:rsidRPr="005E73C2">
        <w:rPr>
          <w:rFonts w:asciiTheme="majorBidi" w:hAnsiTheme="majorBidi" w:cstheme="majorBidi"/>
          <w:color w:val="000000" w:themeColor="text1"/>
          <w:sz w:val="24"/>
          <w:szCs w:val="28"/>
        </w:rPr>
        <w:t xml:space="preserve"> to report a more </w:t>
      </w:r>
      <w:r w:rsidR="000257C7" w:rsidRPr="005E73C2">
        <w:rPr>
          <w:rFonts w:asciiTheme="majorBidi" w:hAnsiTheme="majorBidi" w:cstheme="majorBidi"/>
          <w:color w:val="000000" w:themeColor="text1"/>
          <w:sz w:val="24"/>
          <w:szCs w:val="28"/>
        </w:rPr>
        <w:t>favorable</w:t>
      </w:r>
      <w:r w:rsidRPr="005E73C2">
        <w:rPr>
          <w:rFonts w:asciiTheme="majorBidi" w:hAnsiTheme="majorBidi" w:cstheme="majorBidi"/>
          <w:color w:val="000000" w:themeColor="text1"/>
          <w:sz w:val="24"/>
          <w:szCs w:val="28"/>
        </w:rPr>
        <w:t xml:space="preserve"> earnings performance</w:t>
      </w:r>
      <w:r w:rsidR="00136A88">
        <w:rPr>
          <w:rFonts w:ascii="Times New Roman" w:hAnsi="Times New Roman" w:cs="Times New Roman"/>
          <w:sz w:val="24"/>
          <w:szCs w:val="24"/>
        </w:rPr>
        <w:t xml:space="preserve">. </w:t>
      </w:r>
    </w:p>
    <w:p w14:paraId="6F12A865" w14:textId="1C9B79BB" w:rsidR="004E0DDE" w:rsidRPr="005E73C2" w:rsidRDefault="004E0DDE" w:rsidP="0072215C">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These results </w:t>
      </w:r>
      <w:r w:rsidR="00F92CD6" w:rsidRPr="00F92CD6">
        <w:rPr>
          <w:rFonts w:asciiTheme="majorBidi" w:hAnsiTheme="majorBidi" w:cstheme="majorBidi"/>
          <w:color w:val="000000" w:themeColor="text1"/>
          <w:sz w:val="24"/>
          <w:szCs w:val="28"/>
        </w:rPr>
        <w:t xml:space="preserve">highlight the importance </w:t>
      </w:r>
      <w:r w:rsidR="00593112" w:rsidRPr="00F92CD6">
        <w:rPr>
          <w:rFonts w:asciiTheme="majorBidi" w:hAnsiTheme="majorBidi" w:cstheme="majorBidi"/>
          <w:color w:val="000000" w:themeColor="text1"/>
          <w:sz w:val="24"/>
          <w:szCs w:val="28"/>
        </w:rPr>
        <w:t xml:space="preserve">of </w:t>
      </w:r>
      <w:r w:rsidR="000257C7" w:rsidRPr="005E73C2">
        <w:rPr>
          <w:rFonts w:asciiTheme="majorBidi" w:hAnsiTheme="majorBidi" w:cstheme="majorBidi"/>
          <w:color w:val="000000" w:themeColor="text1"/>
          <w:sz w:val="24"/>
          <w:szCs w:val="28"/>
        </w:rPr>
        <w:t>analyzing</w:t>
      </w:r>
      <w:r w:rsidR="00F92CD6"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the role </w:t>
      </w:r>
      <w:r w:rsidR="00F1474F">
        <w:rPr>
          <w:rFonts w:asciiTheme="majorBidi" w:hAnsiTheme="majorBidi" w:cstheme="majorBidi"/>
          <w:color w:val="000000" w:themeColor="text1"/>
          <w:sz w:val="24"/>
          <w:szCs w:val="28"/>
        </w:rPr>
        <w:t xml:space="preserve">of the </w:t>
      </w:r>
      <w:r w:rsidRPr="005E73C2">
        <w:rPr>
          <w:rFonts w:asciiTheme="majorBidi" w:hAnsiTheme="majorBidi" w:cstheme="majorBidi"/>
          <w:color w:val="000000" w:themeColor="text1"/>
          <w:sz w:val="24"/>
          <w:szCs w:val="28"/>
        </w:rPr>
        <w:t>AC chair in mitigating such practices</w:t>
      </w:r>
      <w:r w:rsidR="00CC1A01">
        <w:rPr>
          <w:rFonts w:asciiTheme="majorBidi" w:hAnsiTheme="majorBidi" w:cstheme="majorBidi"/>
          <w:color w:val="000000" w:themeColor="text1"/>
          <w:sz w:val="24"/>
          <w:szCs w:val="28"/>
        </w:rPr>
        <w:t>. T</w:t>
      </w:r>
      <w:r w:rsidRPr="005E73C2">
        <w:rPr>
          <w:rFonts w:asciiTheme="majorBidi" w:hAnsiTheme="majorBidi" w:cstheme="majorBidi"/>
          <w:color w:val="000000" w:themeColor="text1"/>
          <w:sz w:val="24"/>
          <w:szCs w:val="28"/>
        </w:rPr>
        <w:t>o investigate this</w:t>
      </w:r>
      <w:r w:rsidR="00CC1A01">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we focus on the interaction between </w:t>
      </w:r>
      <w:r w:rsidRPr="005E73C2">
        <w:rPr>
          <w:rFonts w:asciiTheme="majorBidi" w:hAnsiTheme="majorBidi" w:cstheme="majorBidi"/>
          <w:i/>
          <w:iCs/>
          <w:color w:val="000000" w:themeColor="text1"/>
          <w:sz w:val="24"/>
          <w:szCs w:val="28"/>
        </w:rPr>
        <w:t xml:space="preserve">EXCLUSION </w:t>
      </w:r>
      <w:r w:rsidRPr="005E73C2">
        <w:rPr>
          <w:rFonts w:asciiTheme="majorBidi" w:hAnsiTheme="majorBidi" w:cstheme="majorBidi"/>
          <w:color w:val="000000" w:themeColor="text1"/>
          <w:sz w:val="24"/>
          <w:szCs w:val="28"/>
        </w:rPr>
        <w:t>and</w:t>
      </w:r>
      <w:r w:rsidRPr="005E73C2">
        <w:rPr>
          <w:rFonts w:asciiTheme="majorBidi" w:hAnsiTheme="majorBidi" w:cstheme="majorBidi"/>
          <w:i/>
          <w:iCs/>
          <w:color w:val="000000" w:themeColor="text1"/>
          <w:sz w:val="24"/>
          <w:szCs w:val="28"/>
        </w:rPr>
        <w:t xml:space="preserve"> </w:t>
      </w:r>
      <w:r w:rsidR="000644E2">
        <w:rPr>
          <w:rFonts w:asciiTheme="majorBidi" w:hAnsiTheme="majorBidi" w:cstheme="majorBidi"/>
          <w:i/>
          <w:iCs/>
          <w:color w:val="000000" w:themeColor="text1"/>
          <w:sz w:val="24"/>
          <w:szCs w:val="28"/>
        </w:rPr>
        <w:t>NARCIS</w:t>
      </w:r>
      <w:r w:rsidRPr="005E73C2">
        <w:rPr>
          <w:rFonts w:asciiTheme="majorBidi" w:hAnsiTheme="majorBidi" w:cstheme="majorBidi"/>
          <w:i/>
          <w:iCs/>
          <w:color w:val="000000" w:themeColor="text1"/>
          <w:sz w:val="24"/>
          <w:szCs w:val="28"/>
        </w:rPr>
        <w:t xml:space="preserve">. </w:t>
      </w:r>
      <w:r w:rsidRPr="005E73C2">
        <w:rPr>
          <w:rFonts w:asciiTheme="majorBidi" w:hAnsiTheme="majorBidi" w:cstheme="majorBidi"/>
          <w:color w:val="000000" w:themeColor="text1"/>
          <w:sz w:val="24"/>
          <w:szCs w:val="28"/>
        </w:rPr>
        <w:t>As reported in</w:t>
      </w:r>
      <w:r w:rsidR="001F08C5">
        <w:rPr>
          <w:rFonts w:asciiTheme="majorBidi" w:hAnsiTheme="majorBidi" w:cstheme="majorBidi"/>
          <w:color w:val="000000" w:themeColor="text1"/>
          <w:sz w:val="24"/>
          <w:szCs w:val="28"/>
        </w:rPr>
        <w:t xml:space="preserve"> Column (3) of Table 4</w:t>
      </w:r>
      <w:r w:rsidRPr="005E73C2">
        <w:rPr>
          <w:rFonts w:asciiTheme="majorBidi" w:hAnsiTheme="majorBidi" w:cstheme="majorBidi"/>
          <w:color w:val="000000" w:themeColor="text1"/>
          <w:sz w:val="24"/>
          <w:szCs w:val="28"/>
        </w:rPr>
        <w:t xml:space="preserve">, consistent with </w:t>
      </w:r>
      <w:r w:rsidRPr="005E73C2">
        <w:rPr>
          <w:rFonts w:asciiTheme="majorBidi" w:hAnsiTheme="majorBidi" w:cstheme="majorBidi"/>
          <w:i/>
          <w:iCs/>
          <w:color w:val="000000" w:themeColor="text1"/>
          <w:sz w:val="24"/>
          <w:szCs w:val="28"/>
        </w:rPr>
        <w:t>H1</w:t>
      </w:r>
      <w:r w:rsidRPr="005E73C2">
        <w:rPr>
          <w:rFonts w:asciiTheme="majorBidi" w:hAnsiTheme="majorBidi" w:cstheme="majorBidi"/>
          <w:color w:val="000000" w:themeColor="text1"/>
          <w:sz w:val="24"/>
          <w:szCs w:val="28"/>
        </w:rPr>
        <w:t xml:space="preserve">, the coefficient on the interaction between </w:t>
      </w:r>
      <w:r w:rsidRPr="005E73C2">
        <w:rPr>
          <w:rFonts w:asciiTheme="majorBidi" w:hAnsiTheme="majorBidi" w:cstheme="majorBidi"/>
          <w:i/>
          <w:iCs/>
          <w:color w:val="000000" w:themeColor="text1"/>
          <w:sz w:val="24"/>
          <w:szCs w:val="28"/>
        </w:rPr>
        <w:t>EXCLUSION</w:t>
      </w:r>
      <w:r w:rsidRPr="005E73C2">
        <w:rPr>
          <w:rFonts w:asciiTheme="majorBidi" w:hAnsiTheme="majorBidi" w:cstheme="majorBidi"/>
          <w:color w:val="000000" w:themeColor="text1"/>
          <w:sz w:val="24"/>
          <w:szCs w:val="28"/>
        </w:rPr>
        <w:t xml:space="preserve"> and </w:t>
      </w:r>
      <w:r w:rsidR="000644E2">
        <w:rPr>
          <w:rFonts w:asciiTheme="majorBidi" w:hAnsiTheme="majorBidi" w:cstheme="majorBidi"/>
          <w:i/>
          <w:iCs/>
          <w:color w:val="000000" w:themeColor="text1"/>
          <w:sz w:val="24"/>
          <w:szCs w:val="28"/>
        </w:rPr>
        <w:t>NARCIS</w:t>
      </w:r>
      <w:r w:rsidRPr="005E73C2">
        <w:rPr>
          <w:rFonts w:asciiTheme="majorBidi" w:hAnsiTheme="majorBidi" w:cstheme="majorBidi"/>
          <w:color w:val="000000" w:themeColor="text1"/>
          <w:sz w:val="24"/>
          <w:szCs w:val="28"/>
        </w:rPr>
        <w:t xml:space="preserve"> is negative and significant (</w:t>
      </w:r>
      <w:r w:rsidRPr="00133F3F">
        <w:rPr>
          <w:rFonts w:asciiTheme="majorBidi" w:hAnsiTheme="majorBidi" w:cstheme="majorBidi"/>
          <w:i/>
          <w:iCs/>
          <w:color w:val="000000" w:themeColor="text1"/>
          <w:sz w:val="24"/>
          <w:szCs w:val="28"/>
        </w:rPr>
        <w:t>β</w:t>
      </w:r>
      <w:r w:rsidRPr="005E73C2">
        <w:rPr>
          <w:rFonts w:asciiTheme="majorBidi" w:hAnsiTheme="majorBidi" w:cstheme="majorBidi"/>
          <w:color w:val="000000" w:themeColor="text1"/>
          <w:sz w:val="24"/>
          <w:szCs w:val="28"/>
        </w:rPr>
        <w:t xml:space="preserve"> = -1.</w:t>
      </w:r>
      <w:r w:rsidR="0049156F">
        <w:rPr>
          <w:rFonts w:asciiTheme="majorBidi" w:hAnsiTheme="majorBidi" w:cstheme="majorBidi"/>
          <w:color w:val="000000" w:themeColor="text1"/>
          <w:sz w:val="24"/>
          <w:szCs w:val="28"/>
        </w:rPr>
        <w:t>15</w:t>
      </w:r>
      <w:r w:rsidRPr="005E73C2">
        <w:rPr>
          <w:rFonts w:asciiTheme="majorBidi" w:hAnsiTheme="majorBidi" w:cstheme="majorBidi"/>
          <w:color w:val="000000" w:themeColor="text1"/>
          <w:sz w:val="24"/>
          <w:szCs w:val="28"/>
        </w:rPr>
        <w:t xml:space="preserve">; </w:t>
      </w:r>
      <w:r w:rsidRPr="00133F3F">
        <w:rPr>
          <w:rFonts w:asciiTheme="majorBidi" w:hAnsiTheme="majorBidi" w:cstheme="majorBidi"/>
          <w:i/>
          <w:iCs/>
          <w:color w:val="000000" w:themeColor="text1"/>
          <w:sz w:val="24"/>
          <w:szCs w:val="28"/>
        </w:rPr>
        <w:t>p</w:t>
      </w:r>
      <w:r w:rsidRPr="005E73C2">
        <w:rPr>
          <w:rFonts w:asciiTheme="majorBidi" w:hAnsiTheme="majorBidi" w:cstheme="majorBidi"/>
          <w:color w:val="000000" w:themeColor="text1"/>
          <w:sz w:val="24"/>
          <w:szCs w:val="28"/>
        </w:rPr>
        <w:t xml:space="preserve"> &lt; 0.0</w:t>
      </w:r>
      <w:r w:rsidR="0049156F">
        <w:rPr>
          <w:rFonts w:asciiTheme="majorBidi" w:hAnsiTheme="majorBidi" w:cstheme="majorBidi"/>
          <w:color w:val="000000" w:themeColor="text1"/>
          <w:sz w:val="24"/>
          <w:szCs w:val="28"/>
        </w:rPr>
        <w:t>1</w:t>
      </w:r>
      <w:r w:rsidRPr="005E73C2">
        <w:rPr>
          <w:rFonts w:asciiTheme="majorBidi" w:hAnsiTheme="majorBidi" w:cstheme="majorBidi"/>
          <w:color w:val="000000" w:themeColor="text1"/>
          <w:sz w:val="24"/>
          <w:szCs w:val="28"/>
        </w:rPr>
        <w:t>)</w:t>
      </w:r>
      <w:r w:rsidR="00F9746A">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suggesting that these non-IFRS exclusions are more persistent in firms with narcissistic AC chairs</w:t>
      </w:r>
      <w:r w:rsidR="00F1474F">
        <w:rPr>
          <w:rFonts w:asciiTheme="majorBidi" w:hAnsiTheme="majorBidi" w:cstheme="majorBidi"/>
          <w:color w:val="000000" w:themeColor="text1"/>
          <w:sz w:val="24"/>
          <w:szCs w:val="28"/>
        </w:rPr>
        <w:t>. This</w:t>
      </w:r>
      <w:r w:rsidRPr="005E73C2">
        <w:rPr>
          <w:rFonts w:asciiTheme="majorBidi" w:hAnsiTheme="majorBidi" w:cstheme="majorBidi"/>
          <w:color w:val="000000" w:themeColor="text1"/>
          <w:sz w:val="24"/>
          <w:szCs w:val="28"/>
        </w:rPr>
        <w:t xml:space="preserve"> demonstrat</w:t>
      </w:r>
      <w:r w:rsidR="00F1474F">
        <w:rPr>
          <w:rFonts w:asciiTheme="majorBidi" w:hAnsiTheme="majorBidi" w:cstheme="majorBidi"/>
          <w:color w:val="000000" w:themeColor="text1"/>
          <w:sz w:val="24"/>
          <w:szCs w:val="28"/>
        </w:rPr>
        <w:t>es</w:t>
      </w:r>
      <w:r w:rsidRPr="005E73C2">
        <w:rPr>
          <w:rFonts w:asciiTheme="majorBidi" w:hAnsiTheme="majorBidi" w:cstheme="majorBidi"/>
          <w:color w:val="000000" w:themeColor="text1"/>
          <w:sz w:val="24"/>
          <w:szCs w:val="28"/>
        </w:rPr>
        <w:t xml:space="preserve"> that some of these exclusions </w:t>
      </w:r>
      <w:r w:rsidR="00F9746A">
        <w:rPr>
          <w:rFonts w:asciiTheme="majorBidi" w:hAnsiTheme="majorBidi" w:cstheme="majorBidi"/>
          <w:color w:val="000000" w:themeColor="text1"/>
          <w:sz w:val="24"/>
          <w:szCs w:val="28"/>
        </w:rPr>
        <w:t>involve</w:t>
      </w:r>
      <w:r w:rsidRPr="005E73C2">
        <w:rPr>
          <w:rFonts w:asciiTheme="majorBidi" w:hAnsiTheme="majorBidi" w:cstheme="majorBidi"/>
          <w:color w:val="000000" w:themeColor="text1"/>
          <w:sz w:val="24"/>
          <w:szCs w:val="28"/>
        </w:rPr>
        <w:t xml:space="preserve"> items that were excluded for opportunistic </w:t>
      </w:r>
      <w:r w:rsidR="00F9746A">
        <w:rPr>
          <w:rFonts w:asciiTheme="majorBidi" w:hAnsiTheme="majorBidi" w:cstheme="majorBidi"/>
          <w:color w:val="000000" w:themeColor="text1"/>
          <w:sz w:val="24"/>
          <w:szCs w:val="28"/>
        </w:rPr>
        <w:t>reasons</w:t>
      </w:r>
      <w:r w:rsidRPr="005E73C2">
        <w:rPr>
          <w:rFonts w:asciiTheme="majorBidi" w:hAnsiTheme="majorBidi" w:cstheme="majorBidi"/>
          <w:color w:val="000000" w:themeColor="text1"/>
          <w:sz w:val="24"/>
          <w:szCs w:val="28"/>
        </w:rPr>
        <w:t xml:space="preserve">. Exclusions from non-IFRS earnings are associated with </w:t>
      </w:r>
      <w:r w:rsidR="00F1474F">
        <w:rPr>
          <w:rFonts w:asciiTheme="majorBidi" w:hAnsiTheme="majorBidi" w:cstheme="majorBidi"/>
          <w:color w:val="000000" w:themeColor="text1"/>
          <w:sz w:val="24"/>
          <w:szCs w:val="28"/>
        </w:rPr>
        <w:t xml:space="preserve">a </w:t>
      </w:r>
      <w:r w:rsidRPr="005E73C2">
        <w:rPr>
          <w:rFonts w:asciiTheme="majorBidi" w:hAnsiTheme="majorBidi" w:cstheme="majorBidi"/>
          <w:color w:val="000000" w:themeColor="text1"/>
          <w:sz w:val="24"/>
          <w:szCs w:val="28"/>
        </w:rPr>
        <w:t>lower future IFRS earnings per share of £1.2</w:t>
      </w:r>
      <w:r w:rsidR="0049156F">
        <w:rPr>
          <w:rFonts w:asciiTheme="majorBidi" w:hAnsiTheme="majorBidi" w:cstheme="majorBidi"/>
          <w:color w:val="000000" w:themeColor="text1"/>
          <w:sz w:val="24"/>
          <w:szCs w:val="28"/>
        </w:rPr>
        <w:t>6</w:t>
      </w:r>
      <w:r w:rsidRPr="005E73C2">
        <w:rPr>
          <w:rFonts w:asciiTheme="majorBidi" w:hAnsiTheme="majorBidi" w:cstheme="majorBidi"/>
          <w:color w:val="000000" w:themeColor="text1"/>
          <w:sz w:val="24"/>
          <w:szCs w:val="28"/>
        </w:rPr>
        <w:t xml:space="preserve"> (£0.1</w:t>
      </w:r>
      <w:r w:rsidR="0049156F">
        <w:rPr>
          <w:rFonts w:asciiTheme="majorBidi" w:hAnsiTheme="majorBidi" w:cstheme="majorBidi"/>
          <w:color w:val="000000" w:themeColor="text1"/>
          <w:sz w:val="24"/>
          <w:szCs w:val="28"/>
        </w:rPr>
        <w:t>1</w:t>
      </w:r>
      <w:r w:rsidRPr="005E73C2">
        <w:rPr>
          <w:rFonts w:asciiTheme="majorBidi" w:hAnsiTheme="majorBidi" w:cstheme="majorBidi"/>
          <w:color w:val="000000" w:themeColor="text1"/>
          <w:sz w:val="24"/>
          <w:szCs w:val="28"/>
        </w:rPr>
        <w:t xml:space="preserve"> + £1.</w:t>
      </w:r>
      <w:r w:rsidR="0049156F">
        <w:rPr>
          <w:rFonts w:asciiTheme="majorBidi" w:hAnsiTheme="majorBidi" w:cstheme="majorBidi"/>
          <w:color w:val="000000" w:themeColor="text1"/>
          <w:sz w:val="24"/>
          <w:szCs w:val="28"/>
        </w:rPr>
        <w:t>15</w:t>
      </w:r>
      <w:r w:rsidRPr="005E73C2">
        <w:rPr>
          <w:rFonts w:asciiTheme="majorBidi" w:hAnsiTheme="majorBidi" w:cstheme="majorBidi"/>
          <w:color w:val="000000" w:themeColor="text1"/>
          <w:sz w:val="24"/>
          <w:szCs w:val="28"/>
        </w:rPr>
        <w:t>) in companies whose ACs are chaired by more narcissistic persons, compared with £0.1</w:t>
      </w:r>
      <w:r w:rsidR="0049156F">
        <w:rPr>
          <w:rFonts w:asciiTheme="majorBidi" w:hAnsiTheme="majorBidi" w:cstheme="majorBidi"/>
          <w:color w:val="000000" w:themeColor="text1"/>
          <w:sz w:val="24"/>
          <w:szCs w:val="28"/>
        </w:rPr>
        <w:t>1</w:t>
      </w:r>
      <w:r w:rsidRPr="005E73C2">
        <w:rPr>
          <w:rFonts w:asciiTheme="majorBidi" w:hAnsiTheme="majorBidi" w:cstheme="majorBidi"/>
          <w:color w:val="000000" w:themeColor="text1"/>
          <w:sz w:val="24"/>
          <w:szCs w:val="28"/>
        </w:rPr>
        <w:t xml:space="preserve"> in companies whose ACs are chaired </w:t>
      </w:r>
      <w:r w:rsidRPr="00F05816">
        <w:rPr>
          <w:rFonts w:asciiTheme="majorBidi" w:hAnsiTheme="majorBidi" w:cstheme="majorBidi"/>
          <w:color w:val="000000" w:themeColor="text1"/>
          <w:sz w:val="24"/>
          <w:szCs w:val="28"/>
        </w:rPr>
        <w:t xml:space="preserve">by less narcissistic counterparts, </w:t>
      </w:r>
      <w:r w:rsidRPr="00671A72">
        <w:rPr>
          <w:rFonts w:asciiTheme="majorBidi" w:hAnsiTheme="majorBidi" w:cstheme="majorBidi"/>
          <w:sz w:val="24"/>
          <w:szCs w:val="28"/>
        </w:rPr>
        <w:t>which is an economically significant difference.</w:t>
      </w:r>
      <w:r w:rsidR="0072215C" w:rsidRPr="00671A72">
        <w:rPr>
          <w:rStyle w:val="FootnoteReference"/>
          <w:rFonts w:asciiTheme="majorBidi" w:hAnsiTheme="majorBidi" w:cstheme="majorBidi"/>
          <w:sz w:val="24"/>
          <w:szCs w:val="28"/>
        </w:rPr>
        <w:footnoteReference w:id="9"/>
      </w:r>
      <w:r w:rsidR="00CC1A01" w:rsidRPr="00671A72">
        <w:rPr>
          <w:rFonts w:asciiTheme="majorBidi" w:hAnsiTheme="majorBidi" w:cstheme="majorBidi"/>
          <w:sz w:val="24"/>
          <w:szCs w:val="28"/>
        </w:rPr>
        <w:t xml:space="preserve"> </w:t>
      </w:r>
      <w:r w:rsidR="00C65829" w:rsidRPr="00F05816">
        <w:rPr>
          <w:rFonts w:asciiTheme="majorBidi" w:hAnsiTheme="majorBidi" w:cstheme="majorBidi"/>
          <w:color w:val="000000" w:themeColor="text1"/>
          <w:sz w:val="24"/>
          <w:szCs w:val="28"/>
        </w:rPr>
        <w:t>These</w:t>
      </w:r>
      <w:r w:rsidR="00C65829" w:rsidRPr="00C65829">
        <w:rPr>
          <w:rFonts w:asciiTheme="majorBidi" w:hAnsiTheme="majorBidi" w:cstheme="majorBidi"/>
          <w:color w:val="000000" w:themeColor="text1"/>
          <w:sz w:val="24"/>
          <w:szCs w:val="28"/>
        </w:rPr>
        <w:t xml:space="preserve"> results align with the dark side of AC chair nar</w:t>
      </w:r>
      <w:r w:rsidR="00C65829" w:rsidRPr="00F05816">
        <w:rPr>
          <w:rFonts w:asciiTheme="majorBidi" w:hAnsiTheme="majorBidi" w:cstheme="majorBidi"/>
          <w:color w:val="000000" w:themeColor="text1"/>
          <w:sz w:val="24"/>
          <w:szCs w:val="28"/>
        </w:rPr>
        <w:t xml:space="preserve">cissism, </w:t>
      </w:r>
      <w:r w:rsidR="00F1474F" w:rsidRPr="00F05816">
        <w:rPr>
          <w:rFonts w:asciiTheme="majorBidi" w:hAnsiTheme="majorBidi" w:cstheme="majorBidi"/>
          <w:color w:val="000000" w:themeColor="text1"/>
          <w:sz w:val="24"/>
          <w:szCs w:val="28"/>
        </w:rPr>
        <w:t>indicating possible</w:t>
      </w:r>
      <w:r w:rsidR="00C65829" w:rsidRPr="00F05816">
        <w:rPr>
          <w:rFonts w:asciiTheme="majorBidi" w:hAnsiTheme="majorBidi" w:cstheme="majorBidi"/>
          <w:color w:val="000000" w:themeColor="text1"/>
          <w:sz w:val="24"/>
          <w:szCs w:val="28"/>
        </w:rPr>
        <w:t xml:space="preserve"> degrad</w:t>
      </w:r>
      <w:r w:rsidR="00F1474F" w:rsidRPr="00F05816">
        <w:rPr>
          <w:rFonts w:asciiTheme="majorBidi" w:hAnsiTheme="majorBidi" w:cstheme="majorBidi"/>
          <w:color w:val="000000" w:themeColor="text1"/>
          <w:sz w:val="24"/>
          <w:szCs w:val="28"/>
        </w:rPr>
        <w:t xml:space="preserve">ation of </w:t>
      </w:r>
      <w:r w:rsidR="00C65829" w:rsidRPr="00F05816">
        <w:rPr>
          <w:rFonts w:asciiTheme="majorBidi" w:hAnsiTheme="majorBidi" w:cstheme="majorBidi"/>
          <w:color w:val="000000" w:themeColor="text1"/>
          <w:sz w:val="24"/>
          <w:szCs w:val="28"/>
        </w:rPr>
        <w:t xml:space="preserve">the quality of </w:t>
      </w:r>
      <w:r w:rsidR="00F1474F" w:rsidRPr="00F05816">
        <w:rPr>
          <w:rFonts w:asciiTheme="majorBidi" w:hAnsiTheme="majorBidi" w:cstheme="majorBidi"/>
          <w:color w:val="000000" w:themeColor="text1"/>
          <w:sz w:val="24"/>
          <w:szCs w:val="28"/>
        </w:rPr>
        <w:t xml:space="preserve">their </w:t>
      </w:r>
      <w:r w:rsidR="00C65829" w:rsidRPr="00F05816">
        <w:rPr>
          <w:rFonts w:asciiTheme="majorBidi" w:hAnsiTheme="majorBidi" w:cstheme="majorBidi"/>
          <w:color w:val="000000" w:themeColor="text1"/>
          <w:sz w:val="24"/>
          <w:szCs w:val="28"/>
        </w:rPr>
        <w:t>monitoring.</w:t>
      </w:r>
      <w:r w:rsidR="00F05816" w:rsidRPr="00F05816">
        <w:rPr>
          <w:rStyle w:val="FootnoteReference"/>
          <w:rFonts w:asciiTheme="majorBidi" w:hAnsiTheme="majorBidi" w:cstheme="majorBidi"/>
          <w:color w:val="000000" w:themeColor="text1"/>
          <w:sz w:val="24"/>
          <w:szCs w:val="28"/>
        </w:rPr>
        <w:footnoteReference w:id="10"/>
      </w:r>
      <w:r w:rsidR="00611B0D">
        <w:rPr>
          <w:rFonts w:ascii="Times New Roman" w:hAnsi="Times New Roman" w:cs="Times New Roman"/>
          <w:sz w:val="24"/>
          <w:szCs w:val="24"/>
        </w:rPr>
        <w:t xml:space="preserve"> </w:t>
      </w:r>
    </w:p>
    <w:p w14:paraId="6207A2F0" w14:textId="7A239DA6" w:rsidR="004E0DDE" w:rsidRPr="005E73C2" w:rsidRDefault="004E0DDE" w:rsidP="00593112">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The results are </w:t>
      </w:r>
      <w:r>
        <w:rPr>
          <w:rFonts w:asciiTheme="majorBidi" w:hAnsiTheme="majorBidi" w:cstheme="majorBidi"/>
          <w:color w:val="000000" w:themeColor="text1"/>
          <w:sz w:val="24"/>
          <w:szCs w:val="28"/>
        </w:rPr>
        <w:t xml:space="preserve">relatively </w:t>
      </w:r>
      <w:r w:rsidRPr="005E73C2">
        <w:rPr>
          <w:rFonts w:asciiTheme="majorBidi" w:hAnsiTheme="majorBidi" w:cstheme="majorBidi"/>
          <w:color w:val="000000" w:themeColor="text1"/>
          <w:sz w:val="24"/>
          <w:szCs w:val="28"/>
        </w:rPr>
        <w:t>similar when we use a firm fixed</w:t>
      </w:r>
      <w:r w:rsidR="00BD505B">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effects model</w:t>
      </w:r>
      <w:r w:rsidR="00764820">
        <w:rPr>
          <w:rFonts w:asciiTheme="majorBidi" w:hAnsiTheme="majorBidi" w:cstheme="majorBidi"/>
          <w:color w:val="000000" w:themeColor="text1"/>
          <w:sz w:val="24"/>
          <w:szCs w:val="28"/>
        </w:rPr>
        <w:t xml:space="preserve"> </w:t>
      </w:r>
      <w:r w:rsidR="004C701A">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Column (</w:t>
      </w:r>
      <w:r w:rsidR="001F08C5">
        <w:rPr>
          <w:rFonts w:asciiTheme="majorBidi" w:hAnsiTheme="majorBidi" w:cstheme="majorBidi"/>
          <w:color w:val="000000" w:themeColor="text1"/>
          <w:sz w:val="24"/>
          <w:szCs w:val="28"/>
        </w:rPr>
        <w:t>4</w:t>
      </w:r>
      <w:r w:rsidRPr="005E73C2">
        <w:rPr>
          <w:rFonts w:asciiTheme="majorBidi" w:hAnsiTheme="majorBidi" w:cstheme="majorBidi"/>
          <w:color w:val="000000" w:themeColor="text1"/>
          <w:sz w:val="24"/>
          <w:szCs w:val="28"/>
        </w:rPr>
        <w:t>)</w:t>
      </w:r>
      <w:r w:rsidR="00D42CA8">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w:t>
      </w:r>
      <w:r w:rsidR="00611B0D" w:rsidRPr="00611B0D">
        <w:rPr>
          <w:rFonts w:asciiTheme="majorBidi" w:hAnsiTheme="majorBidi" w:cstheme="majorBidi"/>
          <w:color w:val="000000" w:themeColor="text1"/>
          <w:sz w:val="24"/>
          <w:szCs w:val="28"/>
        </w:rPr>
        <w:t>Collectively, our results align with empirical studies on CEO/CFO narcissism (e.g., Abdel-</w:t>
      </w:r>
      <w:proofErr w:type="spellStart"/>
      <w:r w:rsidR="00611B0D" w:rsidRPr="00611B0D">
        <w:rPr>
          <w:rFonts w:asciiTheme="majorBidi" w:hAnsiTheme="majorBidi" w:cstheme="majorBidi"/>
          <w:color w:val="000000" w:themeColor="text1"/>
          <w:sz w:val="24"/>
          <w:szCs w:val="28"/>
        </w:rPr>
        <w:t>Meguid</w:t>
      </w:r>
      <w:proofErr w:type="spellEnd"/>
      <w:r w:rsidR="00611B0D" w:rsidRPr="00611B0D">
        <w:rPr>
          <w:rFonts w:asciiTheme="majorBidi" w:hAnsiTheme="majorBidi" w:cstheme="majorBidi"/>
          <w:color w:val="000000" w:themeColor="text1"/>
          <w:sz w:val="24"/>
          <w:szCs w:val="28"/>
        </w:rPr>
        <w:t xml:space="preserve"> et al., 2021; </w:t>
      </w:r>
      <w:proofErr w:type="spellStart"/>
      <w:r w:rsidR="00611B0D" w:rsidRPr="00611B0D">
        <w:rPr>
          <w:rFonts w:asciiTheme="majorBidi" w:hAnsiTheme="majorBidi" w:cstheme="majorBidi"/>
          <w:color w:val="000000" w:themeColor="text1"/>
          <w:sz w:val="24"/>
          <w:szCs w:val="28"/>
        </w:rPr>
        <w:t>Capalbo</w:t>
      </w:r>
      <w:proofErr w:type="spellEnd"/>
      <w:r w:rsidR="00611B0D" w:rsidRPr="00611B0D">
        <w:rPr>
          <w:rFonts w:asciiTheme="majorBidi" w:hAnsiTheme="majorBidi" w:cstheme="majorBidi"/>
          <w:color w:val="000000" w:themeColor="text1"/>
          <w:sz w:val="24"/>
          <w:szCs w:val="28"/>
        </w:rPr>
        <w:t xml:space="preserve"> et al., 2018; Ham et al., 2017; Olsen et al., 2014).</w:t>
      </w:r>
      <w:r w:rsidR="0046587C">
        <w:rPr>
          <w:rFonts w:asciiTheme="majorBidi" w:hAnsiTheme="majorBidi" w:cstheme="majorBidi"/>
          <w:color w:val="000000" w:themeColor="text1"/>
          <w:sz w:val="24"/>
          <w:szCs w:val="28"/>
        </w:rPr>
        <w:t xml:space="preserve"> While these </w:t>
      </w:r>
      <w:r w:rsidR="0046587C" w:rsidRPr="0046587C">
        <w:rPr>
          <w:rFonts w:asciiTheme="majorBidi" w:hAnsiTheme="majorBidi" w:cstheme="majorBidi"/>
          <w:color w:val="000000" w:themeColor="text1"/>
          <w:sz w:val="24"/>
          <w:szCs w:val="28"/>
        </w:rPr>
        <w:t xml:space="preserve">findings could suggest that narcissistic individuals form a homogeneous group and </w:t>
      </w:r>
      <w:r w:rsidR="0046587C" w:rsidRPr="0046587C">
        <w:rPr>
          <w:rFonts w:asciiTheme="majorBidi" w:hAnsiTheme="majorBidi" w:cstheme="majorBidi"/>
          <w:color w:val="000000" w:themeColor="text1"/>
          <w:sz w:val="24"/>
          <w:szCs w:val="28"/>
        </w:rPr>
        <w:lastRenderedPageBreak/>
        <w:t>consistently elevate agency cost regardless of their positions within corporate board hier</w:t>
      </w:r>
      <w:r w:rsidR="0046587C" w:rsidRPr="00F05816">
        <w:rPr>
          <w:rFonts w:asciiTheme="majorBidi" w:hAnsiTheme="majorBidi" w:cstheme="majorBidi"/>
          <w:color w:val="000000" w:themeColor="text1"/>
          <w:sz w:val="24"/>
          <w:szCs w:val="28"/>
        </w:rPr>
        <w:t>arch</w:t>
      </w:r>
      <w:r w:rsidR="00D26C76" w:rsidRPr="00F05816">
        <w:rPr>
          <w:rFonts w:asciiTheme="majorBidi" w:hAnsiTheme="majorBidi" w:cstheme="majorBidi"/>
          <w:color w:val="000000" w:themeColor="text1"/>
          <w:sz w:val="24"/>
          <w:szCs w:val="28"/>
        </w:rPr>
        <w:t>ies</w:t>
      </w:r>
      <w:r w:rsidR="0046587C" w:rsidRPr="00F05816">
        <w:rPr>
          <w:rFonts w:asciiTheme="majorBidi" w:hAnsiTheme="majorBidi" w:cstheme="majorBidi"/>
          <w:color w:val="000000" w:themeColor="text1"/>
          <w:sz w:val="24"/>
          <w:szCs w:val="28"/>
        </w:rPr>
        <w:t>, we argue that it is premature to make this conclusion without considering AC chair</w:t>
      </w:r>
      <w:r w:rsidR="004C701A" w:rsidRPr="00F05816">
        <w:rPr>
          <w:rFonts w:asciiTheme="majorBidi" w:hAnsiTheme="majorBidi" w:cstheme="majorBidi"/>
          <w:color w:val="000000" w:themeColor="text1"/>
          <w:sz w:val="24"/>
          <w:szCs w:val="28"/>
        </w:rPr>
        <w:t>’s</w:t>
      </w:r>
      <w:r w:rsidR="0046587C" w:rsidRPr="00F05816">
        <w:rPr>
          <w:rFonts w:asciiTheme="majorBidi" w:hAnsiTheme="majorBidi" w:cstheme="majorBidi"/>
          <w:color w:val="000000" w:themeColor="text1"/>
          <w:sz w:val="24"/>
          <w:szCs w:val="28"/>
        </w:rPr>
        <w:t xml:space="preserve"> competence, firm complexity, power distribution, and external oversigh</w:t>
      </w:r>
      <w:r w:rsidR="00DC587B" w:rsidRPr="00F05816">
        <w:rPr>
          <w:rFonts w:asciiTheme="majorBidi" w:hAnsiTheme="majorBidi" w:cstheme="majorBidi"/>
          <w:color w:val="000000" w:themeColor="text1"/>
          <w:sz w:val="24"/>
          <w:szCs w:val="28"/>
        </w:rPr>
        <w:t>t</w:t>
      </w:r>
      <w:r w:rsidR="0046587C" w:rsidRPr="00F05816">
        <w:rPr>
          <w:rFonts w:asciiTheme="majorBidi" w:hAnsiTheme="majorBidi" w:cstheme="majorBidi"/>
          <w:color w:val="000000" w:themeColor="text1"/>
          <w:sz w:val="24"/>
          <w:szCs w:val="28"/>
        </w:rPr>
        <w:t>.</w:t>
      </w:r>
      <w:r w:rsidR="00F05816" w:rsidRPr="00F05816">
        <w:rPr>
          <w:rStyle w:val="FootnoteReference"/>
          <w:rFonts w:asciiTheme="majorBidi" w:hAnsiTheme="majorBidi" w:cstheme="majorBidi"/>
          <w:color w:val="000000" w:themeColor="text1"/>
          <w:sz w:val="24"/>
          <w:szCs w:val="28"/>
        </w:rPr>
        <w:footnoteReference w:id="11"/>
      </w:r>
    </w:p>
    <w:p w14:paraId="5BAF4B26" w14:textId="39B23BA5" w:rsidR="00C7137D" w:rsidRDefault="004E0DDE" w:rsidP="00FD7B1D">
      <w:pPr>
        <w:spacing w:line="480" w:lineRule="auto"/>
        <w:jc w:val="cente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{INSERT TABLE </w:t>
      </w:r>
      <w:r w:rsidR="001F08C5">
        <w:rPr>
          <w:rFonts w:asciiTheme="majorBidi" w:hAnsiTheme="majorBidi" w:cstheme="majorBidi"/>
          <w:color w:val="000000" w:themeColor="text1"/>
          <w:sz w:val="24"/>
          <w:szCs w:val="28"/>
        </w:rPr>
        <w:t>FOUR</w:t>
      </w:r>
      <w:r w:rsidR="008C0B28"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ABOUT HERE}</w:t>
      </w:r>
    </w:p>
    <w:p w14:paraId="3FEE2D18" w14:textId="0F1359B2" w:rsidR="00CB63E2" w:rsidRPr="002D7BC3" w:rsidRDefault="00182207" w:rsidP="00F3640E">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CB63E2" w:rsidRPr="002D7BC3">
        <w:rPr>
          <w:rFonts w:asciiTheme="majorBidi" w:hAnsiTheme="majorBidi"/>
          <w:i/>
          <w:iCs/>
          <w:color w:val="000000" w:themeColor="text1"/>
          <w:sz w:val="28"/>
          <w:szCs w:val="28"/>
        </w:rPr>
        <w:t>.</w:t>
      </w:r>
      <w:r w:rsidR="00A14A6B" w:rsidRPr="002D7BC3">
        <w:rPr>
          <w:rFonts w:asciiTheme="majorBidi" w:hAnsiTheme="majorBidi"/>
          <w:i/>
          <w:iCs/>
          <w:color w:val="000000" w:themeColor="text1"/>
          <w:sz w:val="28"/>
          <w:szCs w:val="28"/>
        </w:rPr>
        <w:t>4</w:t>
      </w:r>
      <w:r w:rsidR="002E3CFB" w:rsidRPr="002D7BC3">
        <w:rPr>
          <w:rFonts w:asciiTheme="majorBidi" w:hAnsiTheme="majorBidi"/>
          <w:i/>
          <w:iCs/>
          <w:color w:val="000000" w:themeColor="text1"/>
          <w:sz w:val="28"/>
          <w:szCs w:val="28"/>
        </w:rPr>
        <w:t>.</w:t>
      </w:r>
      <w:r w:rsidR="00CB63E2" w:rsidRPr="002D7BC3">
        <w:rPr>
          <w:rFonts w:asciiTheme="majorBidi" w:hAnsiTheme="majorBidi"/>
          <w:i/>
          <w:iCs/>
          <w:color w:val="000000" w:themeColor="text1"/>
          <w:sz w:val="28"/>
          <w:szCs w:val="28"/>
        </w:rPr>
        <w:t xml:space="preserve"> </w:t>
      </w:r>
      <w:r w:rsidR="00E86043" w:rsidRPr="002D7BC3">
        <w:rPr>
          <w:rFonts w:asciiTheme="majorBidi" w:hAnsiTheme="majorBidi"/>
          <w:i/>
          <w:iCs/>
          <w:color w:val="000000" w:themeColor="text1"/>
          <w:sz w:val="28"/>
          <w:szCs w:val="28"/>
        </w:rPr>
        <w:t>Channel analysis</w:t>
      </w:r>
      <w:r w:rsidR="0034668B" w:rsidRPr="002D7BC3">
        <w:rPr>
          <w:rFonts w:asciiTheme="majorBidi" w:hAnsiTheme="majorBidi"/>
          <w:i/>
          <w:iCs/>
          <w:color w:val="000000" w:themeColor="text1"/>
          <w:sz w:val="28"/>
          <w:szCs w:val="28"/>
        </w:rPr>
        <w:t xml:space="preserve"> </w:t>
      </w:r>
    </w:p>
    <w:p w14:paraId="58499458" w14:textId="088DC45E" w:rsidR="002528F2" w:rsidRPr="00FD7B1D" w:rsidRDefault="004112B2" w:rsidP="00291FD5">
      <w:pPr>
        <w:spacing w:line="480" w:lineRule="auto"/>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2528F2">
        <w:rPr>
          <w:rFonts w:asciiTheme="majorBidi" w:hAnsiTheme="majorBidi" w:cstheme="majorBidi"/>
          <w:color w:val="000000" w:themeColor="text1"/>
          <w:sz w:val="24"/>
          <w:szCs w:val="28"/>
        </w:rPr>
        <w:tab/>
      </w:r>
      <w:r w:rsidR="00D449A6">
        <w:rPr>
          <w:rFonts w:asciiTheme="majorBidi" w:hAnsiTheme="majorBidi" w:cstheme="majorBidi"/>
          <w:color w:val="000000" w:themeColor="text1"/>
          <w:sz w:val="24"/>
          <w:szCs w:val="28"/>
        </w:rPr>
        <w:t>In</w:t>
      </w:r>
      <w:r w:rsidR="00D449A6" w:rsidRPr="00B007E6">
        <w:rPr>
          <w:rFonts w:asciiTheme="majorBidi" w:hAnsiTheme="majorBidi" w:cstheme="majorBidi"/>
          <w:color w:val="000000" w:themeColor="text1"/>
          <w:sz w:val="24"/>
          <w:szCs w:val="28"/>
        </w:rPr>
        <w:t xml:space="preserve"> </w:t>
      </w:r>
      <w:r w:rsidR="00B007E6" w:rsidRPr="00B007E6">
        <w:rPr>
          <w:rFonts w:asciiTheme="majorBidi" w:hAnsiTheme="majorBidi" w:cstheme="majorBidi"/>
          <w:color w:val="000000" w:themeColor="text1"/>
          <w:sz w:val="24"/>
          <w:szCs w:val="28"/>
        </w:rPr>
        <w:t xml:space="preserve">the main analysis, </w:t>
      </w:r>
      <w:r w:rsidR="00D449A6">
        <w:rPr>
          <w:rFonts w:asciiTheme="majorBidi" w:hAnsiTheme="majorBidi" w:cstheme="majorBidi"/>
          <w:color w:val="000000" w:themeColor="text1"/>
          <w:sz w:val="24"/>
          <w:szCs w:val="28"/>
        </w:rPr>
        <w:t>we assume</w:t>
      </w:r>
      <w:r w:rsidR="00B007E6">
        <w:rPr>
          <w:rFonts w:asciiTheme="majorBidi" w:hAnsiTheme="majorBidi" w:cstheme="majorBidi"/>
          <w:color w:val="000000" w:themeColor="text1"/>
          <w:sz w:val="24"/>
          <w:szCs w:val="28"/>
        </w:rPr>
        <w:t xml:space="preserve"> </w:t>
      </w:r>
      <w:r w:rsidR="00B007E6" w:rsidRPr="00B007E6">
        <w:rPr>
          <w:rFonts w:asciiTheme="majorBidi" w:hAnsiTheme="majorBidi" w:cstheme="majorBidi"/>
          <w:color w:val="000000" w:themeColor="text1"/>
          <w:sz w:val="24"/>
          <w:szCs w:val="28"/>
        </w:rPr>
        <w:t xml:space="preserve">that narcissism is a stable and </w:t>
      </w:r>
      <w:r w:rsidR="00D449A6">
        <w:rPr>
          <w:rFonts w:asciiTheme="majorBidi" w:hAnsiTheme="majorBidi" w:cstheme="majorBidi"/>
          <w:color w:val="000000" w:themeColor="text1"/>
          <w:sz w:val="24"/>
          <w:szCs w:val="28"/>
        </w:rPr>
        <w:t xml:space="preserve">uniform </w:t>
      </w:r>
      <w:r w:rsidR="00D449A6" w:rsidRPr="00B007E6">
        <w:rPr>
          <w:rFonts w:asciiTheme="majorBidi" w:hAnsiTheme="majorBidi" w:cstheme="majorBidi"/>
          <w:color w:val="000000" w:themeColor="text1"/>
          <w:sz w:val="24"/>
          <w:szCs w:val="28"/>
        </w:rPr>
        <w:t>personality</w:t>
      </w:r>
      <w:r w:rsidR="00D449A6" w:rsidRPr="00D449A6">
        <w:rPr>
          <w:color w:val="FF0000"/>
        </w:rPr>
        <w:t xml:space="preserve"> </w:t>
      </w:r>
      <w:r w:rsidR="00D449A6" w:rsidRPr="00D449A6">
        <w:rPr>
          <w:rFonts w:asciiTheme="majorBidi" w:hAnsiTheme="majorBidi" w:cstheme="majorBidi"/>
          <w:color w:val="000000" w:themeColor="text1"/>
          <w:sz w:val="24"/>
          <w:szCs w:val="28"/>
        </w:rPr>
        <w:t>trait</w:t>
      </w:r>
      <w:r w:rsidR="00D449A6" w:rsidRPr="00B007E6">
        <w:rPr>
          <w:rFonts w:asciiTheme="majorBidi" w:hAnsiTheme="majorBidi" w:cstheme="majorBidi"/>
          <w:color w:val="000000" w:themeColor="text1"/>
          <w:sz w:val="24"/>
          <w:szCs w:val="28"/>
        </w:rPr>
        <w:t xml:space="preserve"> </w:t>
      </w:r>
      <w:r w:rsidR="00D449A6">
        <w:rPr>
          <w:rFonts w:asciiTheme="majorBidi" w:hAnsiTheme="majorBidi" w:cstheme="majorBidi"/>
          <w:color w:val="000000" w:themeColor="text1"/>
          <w:sz w:val="24"/>
          <w:szCs w:val="28"/>
        </w:rPr>
        <w:t>among</w:t>
      </w:r>
      <w:r w:rsidR="00D449A6" w:rsidRPr="00B007E6">
        <w:rPr>
          <w:rFonts w:asciiTheme="majorBidi" w:hAnsiTheme="majorBidi" w:cstheme="majorBidi"/>
          <w:color w:val="000000" w:themeColor="text1"/>
          <w:sz w:val="24"/>
          <w:szCs w:val="28"/>
        </w:rPr>
        <w:t xml:space="preserve"> </w:t>
      </w:r>
      <w:r w:rsidR="00B007E6" w:rsidRPr="00B007E6">
        <w:rPr>
          <w:rFonts w:asciiTheme="majorBidi" w:hAnsiTheme="majorBidi" w:cstheme="majorBidi"/>
          <w:color w:val="000000" w:themeColor="text1"/>
          <w:sz w:val="24"/>
          <w:szCs w:val="28"/>
        </w:rPr>
        <w:t>AC chairs</w:t>
      </w:r>
      <w:r w:rsidR="0049610F">
        <w:rPr>
          <w:rFonts w:asciiTheme="majorBidi" w:hAnsiTheme="majorBidi" w:cstheme="majorBidi"/>
          <w:color w:val="000000" w:themeColor="text1"/>
          <w:sz w:val="24"/>
          <w:szCs w:val="28"/>
        </w:rPr>
        <w:t>, overlooking</w:t>
      </w:r>
      <w:r w:rsidR="00D449A6" w:rsidRPr="00D449A6">
        <w:rPr>
          <w:rFonts w:asciiTheme="majorBidi" w:hAnsiTheme="majorBidi" w:cstheme="majorBidi"/>
          <w:color w:val="000000" w:themeColor="text1"/>
          <w:sz w:val="24"/>
          <w:szCs w:val="28"/>
        </w:rPr>
        <w:t xml:space="preserve"> the mechanisms</w:t>
      </w:r>
      <w:r w:rsidR="00D449A6">
        <w:rPr>
          <w:rFonts w:asciiTheme="majorBidi" w:hAnsiTheme="majorBidi" w:cstheme="majorBidi"/>
          <w:color w:val="000000" w:themeColor="text1"/>
          <w:sz w:val="24"/>
          <w:szCs w:val="28"/>
        </w:rPr>
        <w:t xml:space="preserve"> that m</w:t>
      </w:r>
      <w:r w:rsidR="00D449A6" w:rsidRPr="00D449A6">
        <w:rPr>
          <w:rFonts w:asciiTheme="majorBidi" w:hAnsiTheme="majorBidi" w:cstheme="majorBidi"/>
          <w:color w:val="000000" w:themeColor="text1"/>
          <w:sz w:val="24"/>
          <w:szCs w:val="28"/>
        </w:rPr>
        <w:t>ay influence the quality of their monitoring</w:t>
      </w:r>
      <w:r w:rsidR="00D449A6">
        <w:rPr>
          <w:rFonts w:asciiTheme="majorBidi" w:hAnsiTheme="majorBidi" w:cstheme="majorBidi"/>
          <w:color w:val="000000" w:themeColor="text1"/>
          <w:sz w:val="24"/>
          <w:szCs w:val="28"/>
        </w:rPr>
        <w:t xml:space="preserve">, </w:t>
      </w:r>
      <w:r w:rsidR="00B007E6" w:rsidRPr="00B007E6">
        <w:rPr>
          <w:rFonts w:asciiTheme="majorBidi" w:hAnsiTheme="majorBidi" w:cstheme="majorBidi"/>
          <w:color w:val="000000" w:themeColor="text1"/>
          <w:sz w:val="24"/>
          <w:szCs w:val="28"/>
        </w:rPr>
        <w:t>such as their</w:t>
      </w:r>
      <w:r w:rsidR="00A9247E">
        <w:rPr>
          <w:rFonts w:asciiTheme="majorBidi" w:hAnsiTheme="majorBidi" w:cstheme="majorBidi"/>
          <w:color w:val="000000" w:themeColor="text1"/>
          <w:sz w:val="24"/>
          <w:szCs w:val="28"/>
        </w:rPr>
        <w:t xml:space="preserve"> </w:t>
      </w:r>
      <w:r w:rsidR="00B007E6">
        <w:rPr>
          <w:rFonts w:asciiTheme="majorBidi" w:hAnsiTheme="majorBidi" w:cstheme="majorBidi"/>
          <w:color w:val="000000" w:themeColor="text1"/>
          <w:sz w:val="24"/>
          <w:szCs w:val="28"/>
        </w:rPr>
        <w:t xml:space="preserve">competence </w:t>
      </w:r>
      <w:r w:rsidR="007A576E">
        <w:rPr>
          <w:rFonts w:asciiTheme="majorBidi" w:hAnsiTheme="majorBidi" w:cstheme="majorBidi"/>
          <w:color w:val="000000" w:themeColor="text1"/>
          <w:sz w:val="24"/>
          <w:szCs w:val="28"/>
        </w:rPr>
        <w:t>(</w:t>
      </w:r>
      <w:r w:rsidR="00AC4F1E">
        <w:rPr>
          <w:rFonts w:asciiTheme="majorBidi" w:hAnsiTheme="majorBidi" w:cstheme="majorBidi"/>
          <w:color w:val="000000" w:themeColor="text1"/>
          <w:sz w:val="24"/>
          <w:szCs w:val="28"/>
        </w:rPr>
        <w:t xml:space="preserve">i.e., </w:t>
      </w:r>
      <w:r w:rsidR="00B007E6" w:rsidRPr="00B007E6">
        <w:rPr>
          <w:rFonts w:asciiTheme="majorBidi" w:hAnsiTheme="majorBidi" w:cstheme="majorBidi"/>
          <w:color w:val="000000" w:themeColor="text1"/>
          <w:sz w:val="24"/>
          <w:szCs w:val="28"/>
        </w:rPr>
        <w:t>experience</w:t>
      </w:r>
      <w:r w:rsidR="007A576E">
        <w:rPr>
          <w:rFonts w:asciiTheme="majorBidi" w:hAnsiTheme="majorBidi" w:cstheme="majorBidi"/>
          <w:color w:val="000000" w:themeColor="text1"/>
          <w:sz w:val="24"/>
          <w:szCs w:val="28"/>
        </w:rPr>
        <w:t>)</w:t>
      </w:r>
      <w:r w:rsidR="00B007E6">
        <w:rPr>
          <w:rFonts w:asciiTheme="majorBidi" w:hAnsiTheme="majorBidi" w:cstheme="majorBidi"/>
          <w:color w:val="000000" w:themeColor="text1"/>
          <w:sz w:val="24"/>
          <w:szCs w:val="28"/>
        </w:rPr>
        <w:t>,</w:t>
      </w:r>
      <w:r w:rsidR="00AC4F1E">
        <w:rPr>
          <w:rFonts w:asciiTheme="majorBidi" w:hAnsiTheme="majorBidi" w:cstheme="majorBidi"/>
          <w:color w:val="000000" w:themeColor="text1"/>
          <w:sz w:val="24"/>
          <w:szCs w:val="28"/>
        </w:rPr>
        <w:t xml:space="preserve"> a</w:t>
      </w:r>
      <w:r w:rsidR="00AC4F1E" w:rsidRPr="00F05816">
        <w:rPr>
          <w:rFonts w:asciiTheme="majorBidi" w:hAnsiTheme="majorBidi" w:cstheme="majorBidi"/>
          <w:color w:val="000000" w:themeColor="text1"/>
          <w:sz w:val="24"/>
          <w:szCs w:val="28"/>
        </w:rPr>
        <w:t>bility</w:t>
      </w:r>
      <w:r w:rsidR="00B007E6" w:rsidRPr="00F05816">
        <w:rPr>
          <w:rFonts w:asciiTheme="majorBidi" w:hAnsiTheme="majorBidi" w:cstheme="majorBidi"/>
          <w:color w:val="000000" w:themeColor="text1"/>
          <w:sz w:val="24"/>
          <w:szCs w:val="28"/>
        </w:rPr>
        <w:t xml:space="preserve"> </w:t>
      </w:r>
      <w:r w:rsidR="00AC4F1E" w:rsidRPr="00F05816">
        <w:rPr>
          <w:rFonts w:asciiTheme="majorBidi" w:hAnsiTheme="majorBidi" w:cstheme="majorBidi"/>
          <w:color w:val="000000" w:themeColor="text1"/>
          <w:sz w:val="24"/>
          <w:szCs w:val="28"/>
        </w:rPr>
        <w:t>(</w:t>
      </w:r>
      <w:r w:rsidR="00A9247E" w:rsidRPr="00F05816">
        <w:rPr>
          <w:rFonts w:asciiTheme="majorBidi" w:hAnsiTheme="majorBidi" w:cstheme="majorBidi"/>
          <w:color w:val="000000" w:themeColor="text1"/>
          <w:sz w:val="24"/>
          <w:szCs w:val="28"/>
        </w:rPr>
        <w:t xml:space="preserve">power distribution), </w:t>
      </w:r>
      <w:r w:rsidR="000D2A16" w:rsidRPr="00F05816">
        <w:rPr>
          <w:rFonts w:asciiTheme="majorBidi" w:hAnsiTheme="majorBidi" w:cstheme="majorBidi"/>
          <w:color w:val="000000" w:themeColor="text1"/>
          <w:sz w:val="24"/>
          <w:szCs w:val="28"/>
        </w:rPr>
        <w:t>motivation to monitor (</w:t>
      </w:r>
      <w:r w:rsidR="00B007E6" w:rsidRPr="00F05816">
        <w:rPr>
          <w:rFonts w:asciiTheme="majorBidi" w:hAnsiTheme="majorBidi" w:cstheme="majorBidi"/>
          <w:color w:val="000000" w:themeColor="text1"/>
          <w:sz w:val="24"/>
          <w:szCs w:val="28"/>
        </w:rPr>
        <w:t>firm</w:t>
      </w:r>
      <w:r w:rsidR="00D26C76" w:rsidRPr="00F05816">
        <w:rPr>
          <w:rFonts w:asciiTheme="majorBidi" w:hAnsiTheme="majorBidi" w:cstheme="majorBidi"/>
          <w:color w:val="000000" w:themeColor="text1"/>
          <w:sz w:val="24"/>
          <w:szCs w:val="28"/>
        </w:rPr>
        <w:t>’</w:t>
      </w:r>
      <w:r w:rsidR="00B007E6" w:rsidRPr="00F05816">
        <w:rPr>
          <w:rFonts w:asciiTheme="majorBidi" w:hAnsiTheme="majorBidi" w:cstheme="majorBidi"/>
          <w:color w:val="000000" w:themeColor="text1"/>
          <w:sz w:val="24"/>
          <w:szCs w:val="28"/>
        </w:rPr>
        <w:t>s complexity</w:t>
      </w:r>
      <w:r w:rsidR="000D2A16" w:rsidRPr="00F05816">
        <w:rPr>
          <w:rFonts w:asciiTheme="majorBidi" w:hAnsiTheme="majorBidi" w:cstheme="majorBidi"/>
          <w:color w:val="000000" w:themeColor="text1"/>
          <w:sz w:val="24"/>
          <w:szCs w:val="28"/>
        </w:rPr>
        <w:t>)</w:t>
      </w:r>
      <w:r w:rsidR="00A9247E" w:rsidRPr="00F05816">
        <w:rPr>
          <w:rFonts w:asciiTheme="majorBidi" w:hAnsiTheme="majorBidi" w:cstheme="majorBidi"/>
          <w:color w:val="000000" w:themeColor="text1"/>
          <w:sz w:val="24"/>
          <w:szCs w:val="28"/>
        </w:rPr>
        <w:t xml:space="preserve"> and their independence</w:t>
      </w:r>
      <w:r w:rsidR="00B007E6" w:rsidRPr="00F05816">
        <w:rPr>
          <w:rFonts w:asciiTheme="majorBidi" w:hAnsiTheme="majorBidi" w:cstheme="majorBidi"/>
          <w:color w:val="000000" w:themeColor="text1"/>
          <w:sz w:val="24"/>
          <w:szCs w:val="28"/>
        </w:rPr>
        <w:t xml:space="preserve">. Accordingly, in this section, we </w:t>
      </w:r>
      <w:r w:rsidR="00291FD5" w:rsidRPr="00F05816">
        <w:rPr>
          <w:rFonts w:asciiTheme="majorBidi" w:hAnsiTheme="majorBidi" w:cstheme="majorBidi"/>
          <w:color w:val="000000" w:themeColor="text1"/>
          <w:sz w:val="24"/>
          <w:szCs w:val="28"/>
        </w:rPr>
        <w:t xml:space="preserve">provide in-depth analyses and </w:t>
      </w:r>
      <w:r w:rsidR="00B007E6" w:rsidRPr="00F05816">
        <w:rPr>
          <w:rFonts w:asciiTheme="majorBidi" w:hAnsiTheme="majorBidi" w:cstheme="majorBidi"/>
          <w:color w:val="000000" w:themeColor="text1"/>
          <w:sz w:val="24"/>
          <w:szCs w:val="28"/>
        </w:rPr>
        <w:t>extend our main anal</w:t>
      </w:r>
      <w:r w:rsidR="00770F59" w:rsidRPr="00F05816">
        <w:rPr>
          <w:rFonts w:asciiTheme="majorBidi" w:hAnsiTheme="majorBidi" w:cstheme="majorBidi"/>
          <w:color w:val="000000" w:themeColor="text1"/>
          <w:sz w:val="24"/>
          <w:szCs w:val="28"/>
        </w:rPr>
        <w:t>ysis by considering</w:t>
      </w:r>
      <w:r w:rsidR="00B007E6" w:rsidRPr="00F05816">
        <w:rPr>
          <w:rFonts w:asciiTheme="majorBidi" w:hAnsiTheme="majorBidi" w:cstheme="majorBidi"/>
          <w:color w:val="000000" w:themeColor="text1"/>
          <w:sz w:val="24"/>
          <w:szCs w:val="28"/>
        </w:rPr>
        <w:t xml:space="preserve"> </w:t>
      </w:r>
      <w:r w:rsidR="00BC6F7E" w:rsidRPr="00F05816">
        <w:rPr>
          <w:rFonts w:asciiTheme="majorBidi" w:hAnsiTheme="majorBidi" w:cstheme="majorBidi"/>
          <w:color w:val="000000" w:themeColor="text1"/>
          <w:sz w:val="24"/>
          <w:szCs w:val="28"/>
        </w:rPr>
        <w:t>these mechanisms such</w:t>
      </w:r>
      <w:r w:rsidR="0049610F" w:rsidRPr="00F05816">
        <w:rPr>
          <w:rFonts w:asciiTheme="majorBidi" w:hAnsiTheme="majorBidi" w:cstheme="majorBidi"/>
          <w:color w:val="000000" w:themeColor="text1"/>
          <w:sz w:val="24"/>
          <w:szCs w:val="28"/>
        </w:rPr>
        <w:t xml:space="preserve"> as</w:t>
      </w:r>
      <w:r w:rsidR="00BC6F7E" w:rsidRPr="00F05816">
        <w:rPr>
          <w:rFonts w:asciiTheme="majorBidi" w:hAnsiTheme="majorBidi" w:cstheme="majorBidi"/>
          <w:color w:val="000000" w:themeColor="text1"/>
          <w:sz w:val="24"/>
          <w:szCs w:val="28"/>
        </w:rPr>
        <w:t xml:space="preserve"> </w:t>
      </w:r>
      <w:r w:rsidR="00B007E6" w:rsidRPr="00F05816">
        <w:rPr>
          <w:rFonts w:asciiTheme="majorBidi" w:hAnsiTheme="majorBidi" w:cstheme="majorBidi"/>
          <w:color w:val="000000" w:themeColor="text1"/>
          <w:sz w:val="24"/>
          <w:szCs w:val="28"/>
        </w:rPr>
        <w:t>AC chair</w:t>
      </w:r>
      <w:r w:rsidR="00770F59" w:rsidRPr="00F05816">
        <w:rPr>
          <w:rFonts w:asciiTheme="majorBidi" w:hAnsiTheme="majorBidi" w:cstheme="majorBidi"/>
          <w:color w:val="000000" w:themeColor="text1"/>
          <w:sz w:val="24"/>
          <w:szCs w:val="28"/>
        </w:rPr>
        <w:t xml:space="preserve">’s </w:t>
      </w:r>
      <w:r w:rsidR="00B007E6" w:rsidRPr="00F05816">
        <w:rPr>
          <w:rFonts w:asciiTheme="majorBidi" w:hAnsiTheme="majorBidi" w:cstheme="majorBidi"/>
          <w:color w:val="000000" w:themeColor="text1"/>
          <w:sz w:val="24"/>
          <w:szCs w:val="28"/>
        </w:rPr>
        <w:t>accounting expertise, tenure, outside directorships</w:t>
      </w:r>
      <w:r w:rsidR="00A22E2C" w:rsidRPr="00F05816">
        <w:rPr>
          <w:rFonts w:asciiTheme="majorBidi" w:hAnsiTheme="majorBidi" w:cstheme="majorBidi"/>
          <w:color w:val="000000" w:themeColor="text1"/>
          <w:sz w:val="24"/>
          <w:szCs w:val="28"/>
        </w:rPr>
        <w:t>,</w:t>
      </w:r>
      <w:r w:rsidR="00B007E6" w:rsidRPr="00F05816">
        <w:rPr>
          <w:rFonts w:asciiTheme="majorBidi" w:hAnsiTheme="majorBidi" w:cstheme="majorBidi"/>
          <w:color w:val="000000" w:themeColor="text1"/>
          <w:sz w:val="24"/>
          <w:szCs w:val="28"/>
        </w:rPr>
        <w:t xml:space="preserve"> </w:t>
      </w:r>
      <w:r w:rsidR="00A9247E" w:rsidRPr="00F05816">
        <w:rPr>
          <w:rFonts w:asciiTheme="majorBidi" w:hAnsiTheme="majorBidi" w:cstheme="majorBidi"/>
          <w:color w:val="000000" w:themeColor="text1"/>
          <w:sz w:val="24"/>
          <w:szCs w:val="28"/>
        </w:rPr>
        <w:t xml:space="preserve">independence, power distribution, </w:t>
      </w:r>
      <w:r w:rsidR="00770F59" w:rsidRPr="00F05816">
        <w:rPr>
          <w:rFonts w:asciiTheme="majorBidi" w:hAnsiTheme="majorBidi" w:cstheme="majorBidi"/>
          <w:color w:val="000000" w:themeColor="text1"/>
          <w:sz w:val="24"/>
          <w:szCs w:val="28"/>
        </w:rPr>
        <w:t>and firm</w:t>
      </w:r>
      <w:r w:rsidR="007A576E" w:rsidRPr="00F05816">
        <w:rPr>
          <w:rFonts w:asciiTheme="majorBidi" w:hAnsiTheme="majorBidi" w:cstheme="majorBidi"/>
          <w:color w:val="000000" w:themeColor="text1"/>
          <w:sz w:val="24"/>
          <w:szCs w:val="28"/>
        </w:rPr>
        <w:t>’</w:t>
      </w:r>
      <w:r w:rsidR="00770F59" w:rsidRPr="00F05816">
        <w:rPr>
          <w:rFonts w:asciiTheme="majorBidi" w:hAnsiTheme="majorBidi" w:cstheme="majorBidi"/>
          <w:color w:val="000000" w:themeColor="text1"/>
          <w:sz w:val="24"/>
          <w:szCs w:val="28"/>
        </w:rPr>
        <w:t>s complexity.</w:t>
      </w:r>
      <w:r w:rsidR="00F05816" w:rsidRPr="00F05816">
        <w:rPr>
          <w:rStyle w:val="FootnoteReference"/>
          <w:rFonts w:asciiTheme="majorBidi" w:hAnsiTheme="majorBidi" w:cstheme="majorBidi"/>
          <w:color w:val="000000" w:themeColor="text1"/>
          <w:sz w:val="24"/>
          <w:szCs w:val="28"/>
        </w:rPr>
        <w:footnoteReference w:id="12"/>
      </w:r>
      <w:r w:rsidR="00770F59">
        <w:rPr>
          <w:rFonts w:asciiTheme="majorBidi" w:hAnsiTheme="majorBidi" w:cstheme="majorBidi"/>
          <w:color w:val="000000" w:themeColor="text1"/>
          <w:sz w:val="24"/>
          <w:szCs w:val="28"/>
        </w:rPr>
        <w:t xml:space="preserve">  </w:t>
      </w:r>
    </w:p>
    <w:p w14:paraId="4330371C" w14:textId="45BEDC07" w:rsidR="002528F2" w:rsidRPr="00FD7B1D" w:rsidRDefault="00331AE5" w:rsidP="00FD7B1D">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6.4.1 </w:t>
      </w:r>
      <w:r w:rsidR="00F00146" w:rsidRPr="0087365D">
        <w:rPr>
          <w:rFonts w:asciiTheme="majorBidi" w:hAnsiTheme="majorBidi"/>
          <w:i/>
          <w:iCs/>
          <w:color w:val="000000" w:themeColor="text1"/>
          <w:sz w:val="28"/>
          <w:szCs w:val="28"/>
        </w:rPr>
        <w:t>Accounting expertise</w:t>
      </w:r>
    </w:p>
    <w:p w14:paraId="05CA70BC" w14:textId="23318568" w:rsidR="00F00146" w:rsidRPr="005E73C2" w:rsidRDefault="00F00146" w:rsidP="00B42509">
      <w:pPr>
        <w:widowControl/>
        <w:spacing w:line="480" w:lineRule="auto"/>
        <w:ind w:left="284" w:firstLine="420"/>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4"/>
        </w:rPr>
        <w:t>One major driving factor of AC monitoring efficacy is accounti</w:t>
      </w:r>
      <w:r w:rsidRPr="00B95C6C">
        <w:rPr>
          <w:rFonts w:asciiTheme="majorBidi" w:hAnsiTheme="majorBidi" w:cstheme="majorBidi"/>
          <w:color w:val="000000" w:themeColor="text1"/>
          <w:sz w:val="24"/>
          <w:szCs w:val="24"/>
        </w:rPr>
        <w:t>ng expertise. Beasley</w:t>
      </w:r>
      <w:r w:rsidR="00D15443">
        <w:rPr>
          <w:rFonts w:asciiTheme="majorBidi" w:hAnsiTheme="majorBidi" w:cstheme="majorBidi"/>
          <w:color w:val="000000" w:themeColor="text1"/>
          <w:sz w:val="24"/>
          <w:szCs w:val="24"/>
        </w:rPr>
        <w:t xml:space="preserve">, </w:t>
      </w:r>
      <w:proofErr w:type="spellStart"/>
      <w:r w:rsidR="00D15443">
        <w:rPr>
          <w:rFonts w:asciiTheme="majorBidi" w:hAnsiTheme="majorBidi" w:cstheme="majorBidi"/>
          <w:color w:val="000000" w:themeColor="text1"/>
          <w:sz w:val="24"/>
          <w:szCs w:val="24"/>
        </w:rPr>
        <w:t>Carcello</w:t>
      </w:r>
      <w:proofErr w:type="spellEnd"/>
      <w:r w:rsidR="00D15443">
        <w:rPr>
          <w:rFonts w:asciiTheme="majorBidi" w:hAnsiTheme="majorBidi" w:cstheme="majorBidi"/>
          <w:color w:val="000000" w:themeColor="text1"/>
          <w:sz w:val="24"/>
          <w:szCs w:val="24"/>
        </w:rPr>
        <w:t>, Hermanson</w:t>
      </w:r>
      <w:r w:rsidR="002A02C5">
        <w:rPr>
          <w:rFonts w:asciiTheme="majorBidi" w:hAnsiTheme="majorBidi" w:cstheme="majorBidi"/>
          <w:color w:val="000000" w:themeColor="text1"/>
          <w:sz w:val="24"/>
          <w:szCs w:val="24"/>
        </w:rPr>
        <w:t xml:space="preserve">, and </w:t>
      </w:r>
      <w:r w:rsidR="00D15443">
        <w:rPr>
          <w:rFonts w:asciiTheme="majorBidi" w:hAnsiTheme="majorBidi" w:cstheme="majorBidi"/>
          <w:color w:val="000000" w:themeColor="text1"/>
          <w:sz w:val="24"/>
          <w:szCs w:val="24"/>
        </w:rPr>
        <w:t>Neal</w:t>
      </w:r>
      <w:r w:rsidRPr="00B95C6C">
        <w:rPr>
          <w:rFonts w:asciiTheme="majorBidi" w:hAnsiTheme="majorBidi" w:cstheme="majorBidi"/>
          <w:color w:val="000000" w:themeColor="text1"/>
          <w:sz w:val="24"/>
          <w:szCs w:val="24"/>
        </w:rPr>
        <w:t xml:space="preserve"> (2009) noted that AC members </w:t>
      </w:r>
      <w:r w:rsidR="0049610F">
        <w:rPr>
          <w:rFonts w:asciiTheme="majorBidi" w:hAnsiTheme="majorBidi" w:cstheme="majorBidi"/>
          <w:color w:val="000000" w:themeColor="text1"/>
          <w:sz w:val="24"/>
          <w:szCs w:val="24"/>
        </w:rPr>
        <w:t>with</w:t>
      </w:r>
      <w:r w:rsidRPr="00B95C6C">
        <w:rPr>
          <w:rFonts w:asciiTheme="majorBidi" w:hAnsiTheme="majorBidi" w:cstheme="majorBidi"/>
          <w:color w:val="000000" w:themeColor="text1"/>
          <w:sz w:val="24"/>
          <w:szCs w:val="24"/>
        </w:rPr>
        <w:t xml:space="preserve"> accounting expert</w:t>
      </w:r>
      <w:r w:rsidR="0049610F">
        <w:rPr>
          <w:rFonts w:asciiTheme="majorBidi" w:hAnsiTheme="majorBidi" w:cstheme="majorBidi"/>
          <w:color w:val="000000" w:themeColor="text1"/>
          <w:sz w:val="24"/>
          <w:szCs w:val="24"/>
        </w:rPr>
        <w:t>ise</w:t>
      </w:r>
      <w:r w:rsidRPr="00B95C6C">
        <w:rPr>
          <w:rFonts w:asciiTheme="majorBidi" w:hAnsiTheme="majorBidi" w:cstheme="majorBidi"/>
          <w:color w:val="000000" w:themeColor="text1"/>
          <w:sz w:val="24"/>
          <w:szCs w:val="24"/>
        </w:rPr>
        <w:t xml:space="preserve"> </w:t>
      </w:r>
      <w:r w:rsidR="0049610F">
        <w:rPr>
          <w:rFonts w:asciiTheme="majorBidi" w:hAnsiTheme="majorBidi" w:cstheme="majorBidi"/>
          <w:color w:val="000000" w:themeColor="text1"/>
          <w:sz w:val="24"/>
          <w:szCs w:val="24"/>
        </w:rPr>
        <w:t>enhance</w:t>
      </w:r>
      <w:r w:rsidRPr="00B95C6C">
        <w:rPr>
          <w:rFonts w:asciiTheme="majorBidi" w:hAnsiTheme="majorBidi" w:cstheme="majorBidi"/>
          <w:color w:val="000000" w:themeColor="text1"/>
          <w:sz w:val="24"/>
          <w:szCs w:val="24"/>
        </w:rPr>
        <w:t xml:space="preserve"> the AC</w:t>
      </w:r>
      <w:r w:rsidR="0049610F">
        <w:rPr>
          <w:rFonts w:asciiTheme="majorBidi" w:hAnsiTheme="majorBidi" w:cstheme="majorBidi"/>
          <w:color w:val="000000" w:themeColor="text1"/>
          <w:sz w:val="24"/>
          <w:szCs w:val="24"/>
        </w:rPr>
        <w:t>’s</w:t>
      </w:r>
      <w:r w:rsidRPr="00B95C6C">
        <w:rPr>
          <w:rFonts w:asciiTheme="majorBidi" w:hAnsiTheme="majorBidi" w:cstheme="majorBidi"/>
          <w:color w:val="000000" w:themeColor="text1"/>
          <w:sz w:val="24"/>
          <w:szCs w:val="24"/>
        </w:rPr>
        <w:t xml:space="preserve"> oversight process by facilitating in-depth dis</w:t>
      </w:r>
      <w:r w:rsidRPr="005E73C2">
        <w:rPr>
          <w:rFonts w:asciiTheme="majorBidi" w:hAnsiTheme="majorBidi" w:cstheme="majorBidi"/>
          <w:color w:val="000000" w:themeColor="text1"/>
          <w:sz w:val="24"/>
          <w:szCs w:val="24"/>
        </w:rPr>
        <w:t xml:space="preserve">cussions on estimates and accounting treatments that </w:t>
      </w:r>
      <w:r w:rsidR="0049610F">
        <w:rPr>
          <w:rFonts w:asciiTheme="majorBidi" w:hAnsiTheme="majorBidi" w:cstheme="majorBidi"/>
          <w:color w:val="000000" w:themeColor="text1"/>
          <w:sz w:val="24"/>
          <w:szCs w:val="24"/>
        </w:rPr>
        <w:t xml:space="preserve">require </w:t>
      </w:r>
      <w:r w:rsidRPr="005E73C2">
        <w:rPr>
          <w:rFonts w:asciiTheme="majorBidi" w:hAnsiTheme="majorBidi" w:cstheme="majorBidi"/>
          <w:color w:val="000000" w:themeColor="text1"/>
          <w:sz w:val="24"/>
          <w:szCs w:val="24"/>
        </w:rPr>
        <w:t xml:space="preserve">significant managerial discretion. Indeed, numerous studies have shown that managers are less likely to engage in earnings </w:t>
      </w:r>
      <w:r w:rsidR="00EE71A7">
        <w:rPr>
          <w:rFonts w:asciiTheme="majorBidi" w:hAnsiTheme="majorBidi" w:cstheme="majorBidi"/>
          <w:color w:val="000000" w:themeColor="text1"/>
          <w:sz w:val="24"/>
          <w:szCs w:val="24"/>
        </w:rPr>
        <w:t>management</w:t>
      </w:r>
      <w:r w:rsidR="00EE71A7" w:rsidRPr="00B95C6C">
        <w:rPr>
          <w:rFonts w:asciiTheme="majorBidi" w:hAnsiTheme="majorBidi" w:cstheme="majorBidi"/>
          <w:color w:val="000000" w:themeColor="text1"/>
          <w:sz w:val="24"/>
          <w:szCs w:val="24"/>
        </w:rPr>
        <w:t xml:space="preserve"> </w:t>
      </w:r>
      <w:r w:rsidRPr="00B95C6C">
        <w:rPr>
          <w:rFonts w:asciiTheme="majorBidi" w:hAnsiTheme="majorBidi" w:cstheme="majorBidi"/>
          <w:color w:val="000000" w:themeColor="text1"/>
          <w:sz w:val="24"/>
          <w:szCs w:val="24"/>
        </w:rPr>
        <w:t xml:space="preserve">when the AC </w:t>
      </w:r>
      <w:r w:rsidR="00F71A5D" w:rsidRPr="00B95C6C">
        <w:rPr>
          <w:rFonts w:asciiTheme="majorBidi" w:hAnsiTheme="majorBidi" w:cstheme="majorBidi"/>
          <w:color w:val="000000" w:themeColor="text1"/>
          <w:sz w:val="24"/>
          <w:szCs w:val="24"/>
        </w:rPr>
        <w:t xml:space="preserve">is composed of </w:t>
      </w:r>
      <w:r w:rsidRPr="00B95C6C">
        <w:rPr>
          <w:rFonts w:asciiTheme="majorBidi" w:hAnsiTheme="majorBidi" w:cstheme="majorBidi"/>
          <w:color w:val="000000" w:themeColor="text1"/>
          <w:sz w:val="24"/>
          <w:szCs w:val="24"/>
        </w:rPr>
        <w:t>accounting experts (e.g., Badolato et al.</w:t>
      </w:r>
      <w:r w:rsidR="00F71A5D" w:rsidRPr="00B95C6C">
        <w:rPr>
          <w:rFonts w:asciiTheme="majorBidi" w:hAnsiTheme="majorBidi" w:cstheme="majorBidi"/>
          <w:color w:val="000000" w:themeColor="text1"/>
          <w:sz w:val="24"/>
          <w:szCs w:val="24"/>
        </w:rPr>
        <w:t>,</w:t>
      </w:r>
      <w:r w:rsidRPr="00B95C6C">
        <w:rPr>
          <w:rFonts w:asciiTheme="majorBidi" w:hAnsiTheme="majorBidi" w:cstheme="majorBidi"/>
          <w:color w:val="000000" w:themeColor="text1"/>
          <w:sz w:val="24"/>
          <w:szCs w:val="24"/>
        </w:rPr>
        <w:t xml:space="preserve"> 2014; </w:t>
      </w:r>
      <w:proofErr w:type="spellStart"/>
      <w:r w:rsidRPr="00B95C6C">
        <w:rPr>
          <w:rFonts w:asciiTheme="majorBidi" w:hAnsiTheme="majorBidi" w:cstheme="majorBidi"/>
          <w:color w:val="000000" w:themeColor="text1"/>
          <w:sz w:val="24"/>
          <w:szCs w:val="24"/>
        </w:rPr>
        <w:t>DeZoort</w:t>
      </w:r>
      <w:proofErr w:type="spellEnd"/>
      <w:r w:rsidR="00A25CF9">
        <w:rPr>
          <w:rFonts w:asciiTheme="majorBidi" w:hAnsiTheme="majorBidi" w:cstheme="majorBidi"/>
          <w:color w:val="000000" w:themeColor="text1"/>
          <w:sz w:val="24"/>
          <w:szCs w:val="24"/>
        </w:rPr>
        <w:t xml:space="preserve"> et al.</w:t>
      </w:r>
      <w:r w:rsidR="00F71A5D" w:rsidRPr="00B95C6C">
        <w:rPr>
          <w:rFonts w:asciiTheme="majorBidi" w:hAnsiTheme="majorBidi" w:cstheme="majorBidi"/>
          <w:color w:val="000000" w:themeColor="text1"/>
          <w:sz w:val="24"/>
          <w:szCs w:val="24"/>
        </w:rPr>
        <w:t>,</w:t>
      </w:r>
      <w:r w:rsidRPr="00B95C6C">
        <w:rPr>
          <w:rFonts w:asciiTheme="majorBidi" w:hAnsiTheme="majorBidi" w:cstheme="majorBidi"/>
          <w:color w:val="000000" w:themeColor="text1"/>
          <w:sz w:val="24"/>
          <w:szCs w:val="24"/>
        </w:rPr>
        <w:t xml:space="preserve"> 2002; Dhaliwal et al.</w:t>
      </w:r>
      <w:r w:rsidR="00F71A5D" w:rsidRPr="00B95C6C">
        <w:rPr>
          <w:rFonts w:asciiTheme="majorBidi" w:hAnsiTheme="majorBidi" w:cstheme="majorBidi"/>
          <w:color w:val="000000" w:themeColor="text1"/>
          <w:sz w:val="24"/>
          <w:szCs w:val="24"/>
        </w:rPr>
        <w:t>,</w:t>
      </w:r>
      <w:r w:rsidRPr="00B95C6C">
        <w:rPr>
          <w:rFonts w:asciiTheme="majorBidi" w:hAnsiTheme="majorBidi" w:cstheme="majorBidi"/>
          <w:color w:val="000000" w:themeColor="text1"/>
          <w:sz w:val="24"/>
          <w:szCs w:val="24"/>
        </w:rPr>
        <w:t xml:space="preserve"> 2010</w:t>
      </w:r>
      <w:r w:rsidRPr="005E73C2">
        <w:rPr>
          <w:rFonts w:asciiTheme="majorBidi" w:hAnsiTheme="majorBidi" w:cstheme="majorBidi"/>
          <w:color w:val="000000" w:themeColor="text1"/>
          <w:sz w:val="24"/>
          <w:szCs w:val="24"/>
        </w:rPr>
        <w:t xml:space="preserve">). </w:t>
      </w:r>
      <w:r w:rsidR="00F71A5D">
        <w:rPr>
          <w:rFonts w:asciiTheme="majorBidi" w:hAnsiTheme="majorBidi" w:cstheme="majorBidi"/>
          <w:color w:val="000000" w:themeColor="text1"/>
          <w:sz w:val="24"/>
          <w:szCs w:val="24"/>
        </w:rPr>
        <w:t>Accordingly</w:t>
      </w:r>
      <w:r w:rsidRPr="005E73C2">
        <w:rPr>
          <w:rFonts w:asciiTheme="majorBidi" w:hAnsiTheme="majorBidi" w:cstheme="majorBidi"/>
          <w:color w:val="000000" w:themeColor="text1"/>
          <w:sz w:val="24"/>
          <w:szCs w:val="24"/>
        </w:rPr>
        <w:t xml:space="preserve">, </w:t>
      </w:r>
      <w:r w:rsidR="00D57FD8">
        <w:rPr>
          <w:rFonts w:asciiTheme="majorBidi" w:hAnsiTheme="majorBidi" w:cstheme="majorBidi"/>
          <w:color w:val="000000" w:themeColor="text1"/>
          <w:sz w:val="24"/>
          <w:szCs w:val="24"/>
        </w:rPr>
        <w:t xml:space="preserve">we </w:t>
      </w:r>
      <w:r w:rsidR="00D57FD8" w:rsidRPr="00D57FD8">
        <w:rPr>
          <w:rFonts w:asciiTheme="majorBidi" w:hAnsiTheme="majorBidi" w:cstheme="majorBidi"/>
          <w:color w:val="000000" w:themeColor="text1"/>
          <w:sz w:val="24"/>
          <w:szCs w:val="24"/>
        </w:rPr>
        <w:t xml:space="preserve">postulate that </w:t>
      </w:r>
      <w:r w:rsidR="00D57FD8">
        <w:rPr>
          <w:rFonts w:asciiTheme="majorBidi" w:hAnsiTheme="majorBidi" w:cstheme="majorBidi"/>
          <w:color w:val="000000" w:themeColor="text1"/>
          <w:sz w:val="24"/>
          <w:szCs w:val="24"/>
        </w:rPr>
        <w:t xml:space="preserve">while </w:t>
      </w:r>
      <w:r w:rsidR="00D57FD8" w:rsidRPr="00D57FD8">
        <w:rPr>
          <w:rFonts w:asciiTheme="majorBidi" w:hAnsiTheme="majorBidi" w:cstheme="majorBidi"/>
          <w:color w:val="000000" w:themeColor="text1"/>
          <w:sz w:val="24"/>
          <w:szCs w:val="24"/>
        </w:rPr>
        <w:t>the narcissistic traits of an AC chair may motivate them to rigorously monitor executive directors</w:t>
      </w:r>
      <w:r w:rsidR="00D57FD8">
        <w:rPr>
          <w:rFonts w:asciiTheme="majorBidi" w:hAnsiTheme="majorBidi" w:cstheme="majorBidi"/>
          <w:color w:val="000000" w:themeColor="text1"/>
          <w:sz w:val="24"/>
          <w:szCs w:val="24"/>
        </w:rPr>
        <w:t xml:space="preserve">, </w:t>
      </w:r>
      <w:r w:rsidR="00D57FD8" w:rsidRPr="00D57FD8">
        <w:rPr>
          <w:rFonts w:asciiTheme="majorBidi" w:hAnsiTheme="majorBidi" w:cstheme="majorBidi"/>
          <w:color w:val="000000" w:themeColor="text1"/>
          <w:sz w:val="24"/>
          <w:szCs w:val="24"/>
        </w:rPr>
        <w:t xml:space="preserve">their ability to effectively detect accounting irregularities may be </w:t>
      </w:r>
      <w:r w:rsidR="00D57FD8" w:rsidRPr="00F05816">
        <w:rPr>
          <w:rFonts w:asciiTheme="majorBidi" w:hAnsiTheme="majorBidi" w:cstheme="majorBidi"/>
          <w:color w:val="000000" w:themeColor="text1"/>
          <w:sz w:val="24"/>
          <w:szCs w:val="24"/>
        </w:rPr>
        <w:t xml:space="preserve">contingent upon their accounting </w:t>
      </w:r>
      <w:r w:rsidR="00D57FD8" w:rsidRPr="00F05816">
        <w:rPr>
          <w:rFonts w:asciiTheme="majorBidi" w:hAnsiTheme="majorBidi" w:cstheme="majorBidi"/>
          <w:color w:val="000000" w:themeColor="text1"/>
          <w:sz w:val="24"/>
          <w:szCs w:val="24"/>
        </w:rPr>
        <w:lastRenderedPageBreak/>
        <w:t xml:space="preserve">expertise. That is, </w:t>
      </w:r>
      <w:r w:rsidRPr="00121E52">
        <w:rPr>
          <w:rFonts w:asciiTheme="majorBidi" w:hAnsiTheme="majorBidi" w:cstheme="majorBidi"/>
          <w:sz w:val="24"/>
          <w:szCs w:val="24"/>
        </w:rPr>
        <w:t xml:space="preserve">we expect </w:t>
      </w:r>
      <w:r w:rsidR="00A52C50" w:rsidRPr="00121E52">
        <w:rPr>
          <w:rFonts w:asciiTheme="majorBidi" w:hAnsiTheme="majorBidi" w:cstheme="majorBidi"/>
          <w:sz w:val="24"/>
          <w:szCs w:val="24"/>
        </w:rPr>
        <w:t xml:space="preserve">that professional accounting expertise </w:t>
      </w:r>
      <w:r w:rsidR="0049610F" w:rsidRPr="00121E52">
        <w:rPr>
          <w:rFonts w:asciiTheme="majorBidi" w:hAnsiTheme="majorBidi" w:cstheme="majorBidi"/>
          <w:sz w:val="24"/>
          <w:szCs w:val="24"/>
        </w:rPr>
        <w:t>serves as</w:t>
      </w:r>
      <w:r w:rsidR="00A52C50" w:rsidRPr="00121E52">
        <w:rPr>
          <w:rFonts w:asciiTheme="majorBidi" w:hAnsiTheme="majorBidi" w:cstheme="majorBidi"/>
          <w:sz w:val="24"/>
          <w:szCs w:val="24"/>
        </w:rPr>
        <w:t xml:space="preserve"> </w:t>
      </w:r>
      <w:r w:rsidR="0049610F" w:rsidRPr="00121E52">
        <w:rPr>
          <w:rFonts w:asciiTheme="majorBidi" w:hAnsiTheme="majorBidi" w:cstheme="majorBidi"/>
          <w:sz w:val="24"/>
          <w:szCs w:val="24"/>
        </w:rPr>
        <w:t xml:space="preserve">a </w:t>
      </w:r>
      <w:r w:rsidR="00A52C50" w:rsidRPr="00121E52">
        <w:rPr>
          <w:rFonts w:asciiTheme="majorBidi" w:hAnsiTheme="majorBidi" w:cstheme="majorBidi"/>
          <w:sz w:val="24"/>
          <w:szCs w:val="28"/>
        </w:rPr>
        <w:t>mechanism that influence</w:t>
      </w:r>
      <w:r w:rsidR="0049610F" w:rsidRPr="00121E52">
        <w:rPr>
          <w:rFonts w:asciiTheme="majorBidi" w:hAnsiTheme="majorBidi" w:cstheme="majorBidi"/>
          <w:sz w:val="24"/>
          <w:szCs w:val="28"/>
        </w:rPr>
        <w:t>s</w:t>
      </w:r>
      <w:r w:rsidR="00A52C50" w:rsidRPr="00121E52">
        <w:rPr>
          <w:rFonts w:asciiTheme="majorBidi" w:hAnsiTheme="majorBidi" w:cstheme="majorBidi"/>
          <w:sz w:val="24"/>
          <w:szCs w:val="28"/>
        </w:rPr>
        <w:t xml:space="preserve"> the monitoring quality of </w:t>
      </w:r>
      <w:r w:rsidRPr="00121E52">
        <w:rPr>
          <w:rFonts w:asciiTheme="majorBidi" w:hAnsiTheme="majorBidi" w:cstheme="majorBidi"/>
          <w:sz w:val="24"/>
          <w:szCs w:val="24"/>
        </w:rPr>
        <w:t>narcissistic AC chairs</w:t>
      </w:r>
      <w:r w:rsidR="0049610F" w:rsidRPr="00F05816">
        <w:rPr>
          <w:rFonts w:asciiTheme="majorBidi" w:hAnsiTheme="majorBidi" w:cstheme="majorBidi"/>
          <w:color w:val="000000" w:themeColor="text1"/>
          <w:sz w:val="24"/>
          <w:szCs w:val="24"/>
        </w:rPr>
        <w:t>, enhancing</w:t>
      </w:r>
      <w:r w:rsidR="00A9247E" w:rsidRPr="00F05816">
        <w:rPr>
          <w:rFonts w:asciiTheme="majorBidi" w:hAnsiTheme="majorBidi" w:cstheme="majorBidi"/>
          <w:color w:val="000000" w:themeColor="text1"/>
          <w:sz w:val="24"/>
          <w:szCs w:val="24"/>
        </w:rPr>
        <w:t xml:space="preserve"> their ability to scrutinize non-IFRS disclosure and detect irregularities</w:t>
      </w:r>
      <w:r w:rsidRPr="00F05816">
        <w:rPr>
          <w:rFonts w:asciiTheme="majorBidi" w:hAnsiTheme="majorBidi" w:cstheme="majorBidi"/>
          <w:color w:val="000000" w:themeColor="text1"/>
          <w:sz w:val="24"/>
          <w:szCs w:val="24"/>
        </w:rPr>
        <w:t>.</w:t>
      </w:r>
      <w:r w:rsidR="00B42509">
        <w:rPr>
          <w:rStyle w:val="FootnoteReference"/>
          <w:rFonts w:asciiTheme="majorBidi" w:hAnsiTheme="majorBidi" w:cstheme="majorBidi"/>
          <w:color w:val="000000" w:themeColor="text1"/>
          <w:sz w:val="24"/>
          <w:szCs w:val="24"/>
        </w:rPr>
        <w:footnoteReference w:id="13"/>
      </w:r>
      <w:r w:rsidR="00D57FD8" w:rsidRPr="00F05816">
        <w:rPr>
          <w:rFonts w:asciiTheme="majorBidi" w:hAnsiTheme="majorBidi" w:cstheme="majorBidi"/>
          <w:color w:val="000000" w:themeColor="text1"/>
          <w:sz w:val="24"/>
          <w:szCs w:val="24"/>
        </w:rPr>
        <w:t xml:space="preserve"> </w:t>
      </w:r>
      <w:r w:rsidRPr="00F05816">
        <w:rPr>
          <w:rFonts w:asciiTheme="majorBidi" w:hAnsiTheme="majorBidi" w:cstheme="majorBidi"/>
          <w:color w:val="000000" w:themeColor="text1"/>
          <w:sz w:val="24"/>
          <w:szCs w:val="24"/>
        </w:rPr>
        <w:t>In o</w:t>
      </w:r>
      <w:r w:rsidRPr="005E73C2">
        <w:rPr>
          <w:rFonts w:asciiTheme="majorBidi" w:hAnsiTheme="majorBidi" w:cstheme="majorBidi"/>
          <w:color w:val="000000" w:themeColor="text1"/>
          <w:sz w:val="24"/>
          <w:szCs w:val="24"/>
        </w:rPr>
        <w:t>rder to investigate our proposition, we estimate the below equation:</w:t>
      </w:r>
    </w:p>
    <w:p w14:paraId="425395EB" w14:textId="3D99088D" w:rsidR="00F00146" w:rsidRPr="005E73C2" w:rsidRDefault="0033525A" w:rsidP="00CE5718">
      <w:pPr>
        <w:widowControl/>
        <w:spacing w:line="360" w:lineRule="auto"/>
        <w:ind w:left="284"/>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ACC</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ACC</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ACC</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ACC</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ACC</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(2)</m:t>
        </m:r>
      </m:oMath>
      <w:r w:rsidR="00CE5718">
        <w:rPr>
          <w:rFonts w:asciiTheme="majorBidi" w:hAnsiTheme="majorBidi" w:cstheme="majorBidi"/>
          <w:color w:val="000000" w:themeColor="text1"/>
          <w:sz w:val="24"/>
          <w:szCs w:val="24"/>
        </w:rPr>
        <w:t xml:space="preserve"> </w:t>
      </w:r>
    </w:p>
    <w:p w14:paraId="1BAB2600" w14:textId="77777777" w:rsidR="00F00146" w:rsidRPr="005E73C2" w:rsidRDefault="00F00146" w:rsidP="00F00146">
      <w:pPr>
        <w:widowControl/>
        <w:rPr>
          <w:rFonts w:asciiTheme="majorBidi" w:hAnsiTheme="majorBidi" w:cstheme="majorBidi"/>
          <w:color w:val="000000" w:themeColor="text1"/>
          <w:sz w:val="24"/>
          <w:szCs w:val="24"/>
        </w:rPr>
      </w:pPr>
    </w:p>
    <w:p w14:paraId="70AA559A" w14:textId="72BBC416" w:rsidR="00F00146" w:rsidRPr="006E3B21" w:rsidRDefault="00D42CA8" w:rsidP="00EF2580">
      <w:pPr>
        <w:widowControl/>
        <w:spacing w:line="480" w:lineRule="auto"/>
        <w:ind w:left="284" w:firstLine="420"/>
        <w:rPr>
          <w:rFonts w:asciiTheme="majorBidi" w:hAnsiTheme="majorBidi" w:cstheme="majorBidi"/>
          <w:b/>
          <w:bCs/>
          <w:color w:val="000000" w:themeColor="text1"/>
          <w:sz w:val="18"/>
          <w:szCs w:val="18"/>
        </w:rPr>
      </w:pPr>
      <w:r>
        <w:rPr>
          <w:rFonts w:asciiTheme="majorBidi" w:hAnsiTheme="majorBidi" w:cstheme="majorBidi"/>
          <w:color w:val="000000" w:themeColor="text1"/>
          <w:sz w:val="24"/>
          <w:szCs w:val="24"/>
        </w:rPr>
        <w:t xml:space="preserve">Column (1) of </w:t>
      </w:r>
      <w:r w:rsidR="00F00146" w:rsidRPr="005E73C2">
        <w:rPr>
          <w:rFonts w:asciiTheme="majorBidi" w:hAnsiTheme="majorBidi" w:cstheme="majorBidi"/>
          <w:color w:val="000000" w:themeColor="text1"/>
          <w:sz w:val="24"/>
          <w:szCs w:val="24"/>
        </w:rPr>
        <w:t xml:space="preserve">Table </w:t>
      </w:r>
      <w:r>
        <w:rPr>
          <w:rFonts w:asciiTheme="majorBidi" w:hAnsiTheme="majorBidi" w:cstheme="majorBidi"/>
          <w:color w:val="000000" w:themeColor="text1"/>
          <w:sz w:val="24"/>
          <w:szCs w:val="24"/>
        </w:rPr>
        <w:t>5</w:t>
      </w:r>
      <w:r w:rsidR="00F00146" w:rsidRPr="005E73C2">
        <w:rPr>
          <w:rFonts w:asciiTheme="majorBidi" w:hAnsiTheme="majorBidi" w:cstheme="majorBidi"/>
          <w:color w:val="000000" w:themeColor="text1"/>
          <w:sz w:val="24"/>
          <w:szCs w:val="24"/>
        </w:rPr>
        <w:t xml:space="preserve"> indicates that </w:t>
      </w:r>
      <w:r w:rsidR="00953B6F" w:rsidRPr="005E73C2">
        <w:rPr>
          <w:rFonts w:asciiTheme="majorBidi" w:hAnsiTheme="majorBidi" w:cstheme="majorBidi"/>
          <w:color w:val="000000" w:themeColor="text1"/>
          <w:sz w:val="24"/>
          <w:szCs w:val="24"/>
        </w:rPr>
        <w:t xml:space="preserve">the coefficient on the interaction between </w:t>
      </w:r>
      <w:r w:rsidR="00953B6F" w:rsidRPr="005E73C2">
        <w:rPr>
          <w:rFonts w:asciiTheme="majorBidi" w:hAnsiTheme="majorBidi" w:cstheme="majorBidi"/>
          <w:i/>
          <w:iCs/>
          <w:color w:val="000000" w:themeColor="text1"/>
          <w:sz w:val="24"/>
          <w:szCs w:val="24"/>
        </w:rPr>
        <w:t>EXCLUSION</w:t>
      </w:r>
      <w:r w:rsidR="00953B6F" w:rsidRPr="005E73C2">
        <w:rPr>
          <w:rFonts w:asciiTheme="majorBidi" w:hAnsiTheme="majorBidi" w:cstheme="majorBidi"/>
          <w:color w:val="000000" w:themeColor="text1"/>
          <w:sz w:val="24"/>
          <w:szCs w:val="24"/>
        </w:rPr>
        <w:t xml:space="preserve"> and </w:t>
      </w:r>
      <w:r w:rsidR="00E24CF1">
        <w:rPr>
          <w:rFonts w:asciiTheme="majorBidi" w:hAnsiTheme="majorBidi" w:cstheme="majorBidi"/>
          <w:i/>
          <w:iCs/>
          <w:color w:val="000000" w:themeColor="text1"/>
          <w:sz w:val="24"/>
          <w:szCs w:val="24"/>
        </w:rPr>
        <w:t>NARCIS</w:t>
      </w:r>
      <w:r w:rsidR="00953B6F" w:rsidRPr="005E73C2">
        <w:rPr>
          <w:rFonts w:asciiTheme="majorBidi" w:hAnsiTheme="majorBidi" w:cstheme="majorBidi"/>
          <w:color w:val="000000" w:themeColor="text1"/>
          <w:sz w:val="24"/>
          <w:szCs w:val="24"/>
        </w:rPr>
        <w:t xml:space="preserve"> is </w:t>
      </w:r>
      <w:r w:rsidR="00953B6F">
        <w:rPr>
          <w:rFonts w:asciiTheme="majorBidi" w:hAnsiTheme="majorBidi" w:cstheme="majorBidi"/>
          <w:color w:val="000000" w:themeColor="text1"/>
          <w:sz w:val="24"/>
          <w:szCs w:val="24"/>
        </w:rPr>
        <w:t xml:space="preserve">still </w:t>
      </w:r>
      <w:r w:rsidR="00953B6F" w:rsidRPr="005E73C2">
        <w:rPr>
          <w:rFonts w:asciiTheme="majorBidi" w:hAnsiTheme="majorBidi" w:cstheme="majorBidi"/>
          <w:color w:val="000000" w:themeColor="text1"/>
          <w:sz w:val="24"/>
          <w:szCs w:val="24"/>
        </w:rPr>
        <w:t>negative and significant</w:t>
      </w:r>
      <w:r w:rsidR="00953B6F">
        <w:rPr>
          <w:rFonts w:asciiTheme="majorBidi" w:hAnsiTheme="majorBidi" w:cstheme="majorBidi"/>
          <w:color w:val="000000" w:themeColor="text1"/>
          <w:sz w:val="24"/>
          <w:szCs w:val="24"/>
        </w:rPr>
        <w:t xml:space="preserve">, while </w:t>
      </w:r>
      <w:r w:rsidR="00F00146" w:rsidRPr="005E73C2">
        <w:rPr>
          <w:rFonts w:asciiTheme="majorBidi" w:hAnsiTheme="majorBidi" w:cstheme="majorBidi"/>
          <w:color w:val="000000" w:themeColor="text1"/>
          <w:sz w:val="24"/>
          <w:szCs w:val="24"/>
        </w:rPr>
        <w:t xml:space="preserve">the coefficient on the interaction between </w:t>
      </w:r>
      <w:r w:rsidR="00F00146" w:rsidRPr="005E73C2">
        <w:rPr>
          <w:rFonts w:asciiTheme="majorBidi" w:hAnsiTheme="majorBidi" w:cstheme="majorBidi"/>
          <w:i/>
          <w:iCs/>
          <w:color w:val="000000" w:themeColor="text1"/>
          <w:sz w:val="24"/>
          <w:szCs w:val="24"/>
        </w:rPr>
        <w:t>EXCLUSION</w:t>
      </w:r>
      <w:r w:rsidR="00F00146" w:rsidRPr="005E73C2">
        <w:rPr>
          <w:rFonts w:asciiTheme="majorBidi" w:hAnsiTheme="majorBidi" w:cstheme="majorBidi"/>
          <w:color w:val="000000" w:themeColor="text1"/>
          <w:sz w:val="24"/>
          <w:szCs w:val="24"/>
        </w:rPr>
        <w:t>,</w:t>
      </w:r>
      <w:r w:rsidR="00BC6F7E">
        <w:rPr>
          <w:rFonts w:asciiTheme="majorBidi" w:hAnsiTheme="majorBidi" w:cstheme="majorBidi"/>
          <w:color w:val="000000" w:themeColor="text1"/>
          <w:sz w:val="24"/>
          <w:szCs w:val="24"/>
        </w:rPr>
        <w:t xml:space="preserve"> </w:t>
      </w:r>
      <w:r w:rsidR="00E24CF1">
        <w:rPr>
          <w:rFonts w:asciiTheme="majorBidi" w:hAnsiTheme="majorBidi" w:cstheme="majorBidi"/>
          <w:i/>
          <w:iCs/>
          <w:color w:val="000000" w:themeColor="text1"/>
          <w:sz w:val="24"/>
          <w:szCs w:val="24"/>
        </w:rPr>
        <w:t>NARCIS</w:t>
      </w:r>
      <w:r w:rsidR="00A22E2C">
        <w:rPr>
          <w:rFonts w:asciiTheme="majorBidi" w:hAnsiTheme="majorBidi" w:cstheme="majorBidi"/>
          <w:i/>
          <w:iCs/>
          <w:color w:val="000000" w:themeColor="text1"/>
          <w:sz w:val="24"/>
          <w:szCs w:val="24"/>
        </w:rPr>
        <w:t>,</w:t>
      </w:r>
      <w:r w:rsidR="00F00146" w:rsidRPr="00A22E2C">
        <w:rPr>
          <w:rFonts w:asciiTheme="majorBidi" w:hAnsiTheme="majorBidi" w:cstheme="majorBidi"/>
          <w:color w:val="000000" w:themeColor="text1"/>
          <w:sz w:val="24"/>
          <w:szCs w:val="24"/>
        </w:rPr>
        <w:t xml:space="preserve"> and</w:t>
      </w:r>
      <w:r w:rsidR="00F00146" w:rsidRPr="005E73C2">
        <w:rPr>
          <w:rFonts w:asciiTheme="majorBidi" w:hAnsiTheme="majorBidi" w:cstheme="majorBidi"/>
          <w:color w:val="000000" w:themeColor="text1"/>
          <w:sz w:val="24"/>
          <w:szCs w:val="24"/>
        </w:rPr>
        <w:t xml:space="preserve"> </w:t>
      </w:r>
      <w:r w:rsidR="00315354">
        <w:rPr>
          <w:rFonts w:asciiTheme="majorBidi" w:hAnsiTheme="majorBidi" w:cstheme="majorBidi"/>
          <w:i/>
          <w:iCs/>
          <w:color w:val="000000" w:themeColor="text1"/>
          <w:sz w:val="24"/>
          <w:szCs w:val="24"/>
        </w:rPr>
        <w:t>ACC_</w:t>
      </w:r>
      <w:r w:rsidR="00F00146" w:rsidRPr="005E73C2">
        <w:rPr>
          <w:rFonts w:asciiTheme="majorBidi" w:hAnsiTheme="majorBidi" w:cstheme="majorBidi"/>
          <w:i/>
          <w:iCs/>
          <w:color w:val="000000" w:themeColor="text1"/>
          <w:sz w:val="24"/>
          <w:szCs w:val="24"/>
        </w:rPr>
        <w:t xml:space="preserve">EXP </w:t>
      </w:r>
      <w:r w:rsidR="00F00146" w:rsidRPr="005E73C2">
        <w:rPr>
          <w:rFonts w:asciiTheme="majorBidi" w:hAnsiTheme="majorBidi" w:cstheme="majorBidi"/>
          <w:color w:val="000000" w:themeColor="text1"/>
          <w:sz w:val="24"/>
          <w:szCs w:val="24"/>
        </w:rPr>
        <w:t xml:space="preserve">is positive and significant, demonstrating that narcissistic AC chairs improve the quality of non-IFRS exclusions when they </w:t>
      </w:r>
      <w:r w:rsidR="00F71A5D">
        <w:rPr>
          <w:rFonts w:asciiTheme="majorBidi" w:hAnsiTheme="majorBidi" w:cstheme="majorBidi"/>
          <w:color w:val="000000" w:themeColor="text1"/>
          <w:sz w:val="24"/>
          <w:szCs w:val="24"/>
        </w:rPr>
        <w:t>have</w:t>
      </w:r>
      <w:r w:rsidR="00F71A5D" w:rsidRPr="005E73C2">
        <w:rPr>
          <w:rFonts w:asciiTheme="majorBidi" w:hAnsiTheme="majorBidi" w:cstheme="majorBidi"/>
          <w:color w:val="000000" w:themeColor="text1"/>
          <w:sz w:val="24"/>
          <w:szCs w:val="24"/>
        </w:rPr>
        <w:t xml:space="preserve"> </w:t>
      </w:r>
      <w:r w:rsidR="00F00146" w:rsidRPr="005E73C2">
        <w:rPr>
          <w:rFonts w:asciiTheme="majorBidi" w:hAnsiTheme="majorBidi" w:cstheme="majorBidi"/>
          <w:color w:val="000000" w:themeColor="text1"/>
          <w:sz w:val="24"/>
          <w:szCs w:val="24"/>
        </w:rPr>
        <w:t xml:space="preserve">professional accounting expertise. This </w:t>
      </w:r>
      <w:r w:rsidR="00A52C50">
        <w:rPr>
          <w:rFonts w:asciiTheme="majorBidi" w:hAnsiTheme="majorBidi" w:cstheme="majorBidi"/>
          <w:color w:val="000000" w:themeColor="text1"/>
          <w:sz w:val="24"/>
          <w:szCs w:val="24"/>
        </w:rPr>
        <w:t>demonstrates</w:t>
      </w:r>
      <w:r w:rsidR="00F00146" w:rsidRPr="005E73C2">
        <w:rPr>
          <w:rFonts w:asciiTheme="majorBidi" w:hAnsiTheme="majorBidi" w:cstheme="majorBidi"/>
          <w:color w:val="000000" w:themeColor="text1"/>
          <w:sz w:val="24"/>
          <w:szCs w:val="24"/>
        </w:rPr>
        <w:t xml:space="preserve"> that accounting experts can make significant contributions to the oversight of critical financial reporting issues, </w:t>
      </w:r>
      <w:r w:rsidR="00F71A5D">
        <w:rPr>
          <w:rFonts w:asciiTheme="majorBidi" w:hAnsiTheme="majorBidi" w:cstheme="majorBidi"/>
          <w:color w:val="000000" w:themeColor="text1"/>
          <w:sz w:val="24"/>
          <w:szCs w:val="24"/>
        </w:rPr>
        <w:t>such as</w:t>
      </w:r>
      <w:r w:rsidR="00F00146" w:rsidRPr="005E73C2">
        <w:rPr>
          <w:rFonts w:asciiTheme="majorBidi" w:hAnsiTheme="majorBidi" w:cstheme="majorBidi"/>
          <w:color w:val="000000" w:themeColor="text1"/>
          <w:sz w:val="24"/>
          <w:szCs w:val="24"/>
        </w:rPr>
        <w:t xml:space="preserve"> recognition of non-recurring items, by </w:t>
      </w:r>
      <w:r w:rsidR="00F71A5D">
        <w:rPr>
          <w:rFonts w:asciiTheme="majorBidi" w:hAnsiTheme="majorBidi" w:cstheme="majorBidi"/>
          <w:color w:val="000000" w:themeColor="text1"/>
          <w:sz w:val="24"/>
          <w:szCs w:val="24"/>
        </w:rPr>
        <w:t>drawing on</w:t>
      </w:r>
      <w:r w:rsidR="00F71A5D" w:rsidRPr="005E73C2">
        <w:rPr>
          <w:rFonts w:asciiTheme="majorBidi" w:hAnsiTheme="majorBidi" w:cstheme="majorBidi"/>
          <w:color w:val="000000" w:themeColor="text1"/>
          <w:sz w:val="24"/>
          <w:szCs w:val="24"/>
        </w:rPr>
        <w:t xml:space="preserve"> </w:t>
      </w:r>
      <w:r w:rsidR="00F00146" w:rsidRPr="005E73C2">
        <w:rPr>
          <w:rFonts w:asciiTheme="majorBidi" w:hAnsiTheme="majorBidi" w:cstheme="majorBidi"/>
          <w:color w:val="000000" w:themeColor="text1"/>
          <w:sz w:val="24"/>
          <w:szCs w:val="24"/>
        </w:rPr>
        <w:t xml:space="preserve">their </w:t>
      </w:r>
      <w:r w:rsidR="00F71A5D">
        <w:rPr>
          <w:rFonts w:asciiTheme="majorBidi" w:hAnsiTheme="majorBidi" w:cstheme="majorBidi"/>
          <w:color w:val="000000" w:themeColor="text1"/>
          <w:sz w:val="24"/>
          <w:szCs w:val="24"/>
        </w:rPr>
        <w:t xml:space="preserve">deep </w:t>
      </w:r>
      <w:r w:rsidR="00F00146" w:rsidRPr="005E73C2">
        <w:rPr>
          <w:rFonts w:asciiTheme="majorBidi" w:hAnsiTheme="majorBidi" w:cstheme="majorBidi"/>
          <w:color w:val="000000" w:themeColor="text1"/>
          <w:sz w:val="24"/>
          <w:szCs w:val="24"/>
        </w:rPr>
        <w:t xml:space="preserve">knowledge of accounting </w:t>
      </w:r>
      <w:r w:rsidR="00F71A5D">
        <w:rPr>
          <w:rFonts w:asciiTheme="majorBidi" w:hAnsiTheme="majorBidi" w:cstheme="majorBidi"/>
          <w:color w:val="000000" w:themeColor="text1"/>
          <w:sz w:val="24"/>
          <w:szCs w:val="24"/>
        </w:rPr>
        <w:t>nuances</w:t>
      </w:r>
      <w:r w:rsidR="00F71A5D" w:rsidRPr="005E73C2">
        <w:rPr>
          <w:rFonts w:asciiTheme="majorBidi" w:hAnsiTheme="majorBidi" w:cstheme="majorBidi"/>
          <w:color w:val="000000" w:themeColor="text1"/>
          <w:sz w:val="24"/>
          <w:szCs w:val="24"/>
        </w:rPr>
        <w:t xml:space="preserve"> </w:t>
      </w:r>
      <w:r w:rsidR="00F00146" w:rsidRPr="005E73C2">
        <w:rPr>
          <w:rFonts w:asciiTheme="majorBidi" w:hAnsiTheme="majorBidi" w:cstheme="majorBidi"/>
          <w:color w:val="000000" w:themeColor="text1"/>
          <w:sz w:val="24"/>
          <w:szCs w:val="24"/>
        </w:rPr>
        <w:t>and the auditing process (</w:t>
      </w:r>
      <w:r w:rsidR="002C4D23" w:rsidRPr="00B95C6C">
        <w:rPr>
          <w:rFonts w:asciiTheme="majorBidi" w:hAnsiTheme="majorBidi" w:cstheme="majorBidi"/>
          <w:color w:val="000000" w:themeColor="text1"/>
          <w:sz w:val="24"/>
          <w:szCs w:val="24"/>
        </w:rPr>
        <w:t>Badolato et al., 2014</w:t>
      </w:r>
      <w:r w:rsidR="002C4D23">
        <w:rPr>
          <w:rFonts w:asciiTheme="majorBidi" w:hAnsiTheme="majorBidi" w:cstheme="majorBidi"/>
          <w:color w:val="000000" w:themeColor="text1"/>
          <w:sz w:val="24"/>
          <w:szCs w:val="24"/>
        </w:rPr>
        <w:t xml:space="preserve">; </w:t>
      </w:r>
      <w:r w:rsidR="00F00146" w:rsidRPr="005E73C2">
        <w:rPr>
          <w:rFonts w:asciiTheme="majorBidi" w:hAnsiTheme="majorBidi" w:cstheme="majorBidi"/>
          <w:color w:val="000000" w:themeColor="text1"/>
          <w:sz w:val="24"/>
          <w:szCs w:val="24"/>
        </w:rPr>
        <w:t>Dhaliwal et al.</w:t>
      </w:r>
      <w:r w:rsidR="00F71A5D">
        <w:rPr>
          <w:rFonts w:asciiTheme="majorBidi" w:hAnsiTheme="majorBidi" w:cstheme="majorBidi"/>
          <w:color w:val="000000" w:themeColor="text1"/>
          <w:sz w:val="24"/>
          <w:szCs w:val="24"/>
        </w:rPr>
        <w:t>,</w:t>
      </w:r>
      <w:r w:rsidR="00F00146" w:rsidRPr="005E73C2">
        <w:rPr>
          <w:rFonts w:asciiTheme="majorBidi" w:hAnsiTheme="majorBidi" w:cstheme="majorBidi"/>
          <w:color w:val="000000" w:themeColor="text1"/>
          <w:sz w:val="24"/>
          <w:szCs w:val="24"/>
        </w:rPr>
        <w:t xml:space="preserve"> 2010). </w:t>
      </w:r>
      <w:r w:rsidR="002C75EA">
        <w:rPr>
          <w:rFonts w:asciiTheme="majorBidi" w:hAnsiTheme="majorBidi" w:cstheme="majorBidi"/>
          <w:color w:val="000000" w:themeColor="text1"/>
          <w:sz w:val="24"/>
          <w:szCs w:val="24"/>
        </w:rPr>
        <w:t>This</w:t>
      </w:r>
      <w:r w:rsidR="00F00146" w:rsidRPr="005E73C2">
        <w:rPr>
          <w:rFonts w:asciiTheme="majorBidi" w:hAnsiTheme="majorBidi" w:cstheme="majorBidi"/>
          <w:color w:val="000000" w:themeColor="text1"/>
          <w:sz w:val="24"/>
          <w:szCs w:val="24"/>
        </w:rPr>
        <w:t xml:space="preserve"> finding </w:t>
      </w:r>
      <w:r w:rsidR="002C75EA">
        <w:rPr>
          <w:rFonts w:asciiTheme="majorBidi" w:hAnsiTheme="majorBidi" w:cstheme="majorBidi"/>
          <w:color w:val="000000" w:themeColor="text1"/>
          <w:sz w:val="24"/>
          <w:szCs w:val="28"/>
        </w:rPr>
        <w:t>indicates</w:t>
      </w:r>
      <w:r w:rsidR="002C75EA" w:rsidRPr="005E73C2">
        <w:rPr>
          <w:rFonts w:asciiTheme="majorBidi" w:hAnsiTheme="majorBidi" w:cstheme="majorBidi"/>
          <w:color w:val="000000" w:themeColor="text1"/>
          <w:sz w:val="24"/>
          <w:szCs w:val="28"/>
        </w:rPr>
        <w:t xml:space="preserve"> </w:t>
      </w:r>
      <w:r w:rsidR="00F00146" w:rsidRPr="005E73C2">
        <w:rPr>
          <w:rFonts w:asciiTheme="majorBidi" w:hAnsiTheme="majorBidi" w:cstheme="majorBidi"/>
          <w:color w:val="000000" w:themeColor="text1"/>
          <w:sz w:val="24"/>
          <w:szCs w:val="28"/>
        </w:rPr>
        <w:t xml:space="preserve">that </w:t>
      </w:r>
      <w:r w:rsidR="002C75EA">
        <w:rPr>
          <w:rFonts w:asciiTheme="majorBidi" w:hAnsiTheme="majorBidi" w:cstheme="majorBidi"/>
          <w:color w:val="000000" w:themeColor="text1"/>
          <w:sz w:val="24"/>
          <w:szCs w:val="28"/>
        </w:rPr>
        <w:t xml:space="preserve">the results reported in </w:t>
      </w:r>
      <w:r w:rsidR="00F00146" w:rsidRPr="005E73C2">
        <w:rPr>
          <w:rFonts w:asciiTheme="majorBidi" w:hAnsiTheme="majorBidi" w:cstheme="majorBidi"/>
          <w:color w:val="000000" w:themeColor="text1"/>
          <w:sz w:val="24"/>
          <w:szCs w:val="28"/>
        </w:rPr>
        <w:t xml:space="preserve">our main analysis are driven </w:t>
      </w:r>
      <w:r w:rsidR="00F00146">
        <w:rPr>
          <w:rFonts w:asciiTheme="majorBidi" w:hAnsiTheme="majorBidi" w:cstheme="majorBidi"/>
          <w:color w:val="000000" w:themeColor="text1"/>
          <w:sz w:val="24"/>
          <w:szCs w:val="28"/>
        </w:rPr>
        <w:t>by inexpert</w:t>
      </w:r>
      <w:r w:rsidR="00F00146" w:rsidRPr="005E73C2">
        <w:rPr>
          <w:rFonts w:asciiTheme="majorBidi" w:hAnsiTheme="majorBidi" w:cstheme="majorBidi"/>
          <w:color w:val="000000" w:themeColor="text1"/>
          <w:sz w:val="24"/>
          <w:szCs w:val="28"/>
        </w:rPr>
        <w:t xml:space="preserve"> AC chairs.</w:t>
      </w:r>
    </w:p>
    <w:p w14:paraId="51CA5A0D" w14:textId="10CE0620" w:rsidR="002528F2" w:rsidRPr="00FD7B1D" w:rsidRDefault="00331AE5" w:rsidP="00095E64">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6.4.2 </w:t>
      </w:r>
      <w:r w:rsidR="00095E64">
        <w:rPr>
          <w:rFonts w:asciiTheme="majorBidi" w:hAnsiTheme="majorBidi"/>
          <w:i/>
          <w:iCs/>
          <w:color w:val="000000" w:themeColor="text1"/>
          <w:sz w:val="28"/>
          <w:szCs w:val="28"/>
        </w:rPr>
        <w:t>T</w:t>
      </w:r>
      <w:r w:rsidR="00F00146" w:rsidRPr="0087365D">
        <w:rPr>
          <w:rFonts w:asciiTheme="majorBidi" w:hAnsiTheme="majorBidi"/>
          <w:i/>
          <w:iCs/>
          <w:color w:val="000000" w:themeColor="text1"/>
          <w:sz w:val="28"/>
          <w:szCs w:val="28"/>
        </w:rPr>
        <w:t>enure</w:t>
      </w:r>
    </w:p>
    <w:p w14:paraId="382E7658" w14:textId="3331CF59" w:rsidR="00F00146" w:rsidRDefault="00F00146" w:rsidP="00E045E5">
      <w:pPr>
        <w:widowControl/>
        <w:spacing w:line="480" w:lineRule="auto"/>
        <w:ind w:left="284" w:firstLine="420"/>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4"/>
        </w:rPr>
        <w:t xml:space="preserve">Based on upper echelons theory, tenure </w:t>
      </w:r>
      <w:r w:rsidR="002C75EA">
        <w:rPr>
          <w:rFonts w:asciiTheme="majorBidi" w:hAnsiTheme="majorBidi" w:cstheme="majorBidi"/>
          <w:color w:val="000000" w:themeColor="text1"/>
          <w:sz w:val="24"/>
          <w:szCs w:val="24"/>
        </w:rPr>
        <w:t>represents</w:t>
      </w:r>
      <w:r w:rsidR="002C75EA" w:rsidRPr="005E73C2">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 xml:space="preserve">a distinct attribute of top decision-makers that reflects their values and cognitive </w:t>
      </w:r>
      <w:r w:rsidR="002C75EA">
        <w:rPr>
          <w:rFonts w:asciiTheme="majorBidi" w:hAnsiTheme="majorBidi" w:cstheme="majorBidi"/>
          <w:color w:val="000000" w:themeColor="text1"/>
          <w:sz w:val="24"/>
          <w:szCs w:val="24"/>
        </w:rPr>
        <w:t>foundation, influencing</w:t>
      </w:r>
      <w:r w:rsidRPr="005E73C2">
        <w:rPr>
          <w:rFonts w:asciiTheme="majorBidi" w:hAnsiTheme="majorBidi" w:cstheme="majorBidi"/>
          <w:color w:val="000000" w:themeColor="text1"/>
          <w:sz w:val="24"/>
          <w:szCs w:val="24"/>
        </w:rPr>
        <w:t xml:space="preserve"> them to make different strategic choices </w:t>
      </w:r>
      <w:r w:rsidRPr="005E73C2">
        <w:rPr>
          <w:rFonts w:asciiTheme="majorBidi" w:hAnsiTheme="majorBidi" w:cstheme="majorBidi"/>
          <w:noProof/>
          <w:color w:val="000000" w:themeColor="text1"/>
          <w:sz w:val="24"/>
          <w:szCs w:val="24"/>
        </w:rPr>
        <w:t xml:space="preserve">(Hambrick </w:t>
      </w:r>
      <w:r w:rsidR="00F71A5D">
        <w:rPr>
          <w:rFonts w:asciiTheme="majorBidi" w:hAnsiTheme="majorBidi" w:cstheme="majorBidi"/>
          <w:noProof/>
          <w:color w:val="000000" w:themeColor="text1"/>
          <w:sz w:val="24"/>
          <w:szCs w:val="24"/>
        </w:rPr>
        <w:t>&amp;</w:t>
      </w:r>
      <w:r w:rsidR="00F71A5D" w:rsidRPr="005E73C2">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Mason</w:t>
      </w:r>
      <w:r w:rsidR="00F71A5D">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1984)</w:t>
      </w:r>
      <w:r w:rsidRPr="005E73C2">
        <w:rPr>
          <w:rFonts w:asciiTheme="majorBidi" w:hAnsiTheme="majorBidi" w:cstheme="majorBidi"/>
          <w:color w:val="000000" w:themeColor="text1"/>
          <w:sz w:val="24"/>
          <w:szCs w:val="24"/>
        </w:rPr>
        <w:t xml:space="preserve">. Long service on the board increases </w:t>
      </w:r>
      <w:r w:rsidR="006C2FFD">
        <w:rPr>
          <w:rFonts w:asciiTheme="majorBidi" w:hAnsiTheme="majorBidi" w:cstheme="majorBidi"/>
          <w:color w:val="000000" w:themeColor="text1"/>
          <w:sz w:val="24"/>
          <w:szCs w:val="24"/>
        </w:rPr>
        <w:t xml:space="preserve">independent </w:t>
      </w:r>
      <w:r w:rsidRPr="005E73C2">
        <w:rPr>
          <w:rFonts w:asciiTheme="majorBidi" w:hAnsiTheme="majorBidi" w:cstheme="majorBidi"/>
          <w:color w:val="000000" w:themeColor="text1"/>
          <w:sz w:val="24"/>
          <w:szCs w:val="24"/>
        </w:rPr>
        <w:t xml:space="preserve">directors’ knowledge and experience </w:t>
      </w:r>
      <w:r w:rsidR="00F71A5D">
        <w:rPr>
          <w:rFonts w:asciiTheme="majorBidi" w:hAnsiTheme="majorBidi" w:cstheme="majorBidi"/>
          <w:color w:val="000000" w:themeColor="text1"/>
          <w:sz w:val="24"/>
          <w:szCs w:val="24"/>
        </w:rPr>
        <w:t>of</w:t>
      </w:r>
      <w:r w:rsidR="00F71A5D" w:rsidRPr="005E73C2">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their firms’ operations</w:t>
      </w:r>
      <w:r w:rsidR="00E045E5">
        <w:rPr>
          <w:rFonts w:asciiTheme="majorBidi" w:hAnsiTheme="majorBidi" w:cstheme="majorBidi"/>
          <w:color w:val="000000" w:themeColor="text1"/>
          <w:sz w:val="24"/>
          <w:szCs w:val="24"/>
        </w:rPr>
        <w:t>,</w:t>
      </w:r>
      <w:r w:rsidR="00E045E5" w:rsidRPr="00E045E5">
        <w:rPr>
          <w:rFonts w:asciiTheme="majorBidi" w:hAnsiTheme="majorBidi" w:cstheme="majorBidi"/>
          <w:color w:val="000000" w:themeColor="text1"/>
          <w:sz w:val="24"/>
          <w:szCs w:val="24"/>
        </w:rPr>
        <w:t xml:space="preserve"> risks</w:t>
      </w:r>
      <w:r w:rsidRPr="005E73C2">
        <w:rPr>
          <w:rFonts w:asciiTheme="majorBidi" w:hAnsiTheme="majorBidi" w:cstheme="majorBidi"/>
          <w:color w:val="000000" w:themeColor="text1"/>
          <w:sz w:val="24"/>
          <w:szCs w:val="24"/>
        </w:rPr>
        <w:t xml:space="preserve"> and </w:t>
      </w:r>
      <w:r w:rsidRPr="005E73C2">
        <w:rPr>
          <w:rFonts w:asciiTheme="majorBidi" w:hAnsiTheme="majorBidi" w:cstheme="majorBidi"/>
          <w:color w:val="000000" w:themeColor="text1"/>
          <w:sz w:val="24"/>
          <w:szCs w:val="24"/>
        </w:rPr>
        <w:lastRenderedPageBreak/>
        <w:t>culture</w:t>
      </w:r>
      <w:r w:rsidR="002C75EA">
        <w:rPr>
          <w:rFonts w:asciiTheme="majorBidi" w:hAnsiTheme="majorBidi" w:cstheme="majorBidi"/>
          <w:color w:val="000000" w:themeColor="text1"/>
          <w:sz w:val="24"/>
          <w:szCs w:val="24"/>
        </w:rPr>
        <w:t>, making</w:t>
      </w:r>
      <w:r w:rsidR="00F71A5D">
        <w:rPr>
          <w:rFonts w:asciiTheme="majorBidi" w:hAnsiTheme="majorBidi" w:cstheme="majorBidi"/>
          <w:color w:val="000000" w:themeColor="text1"/>
          <w:sz w:val="24"/>
          <w:szCs w:val="24"/>
        </w:rPr>
        <w:t xml:space="preserve"> </w:t>
      </w:r>
      <w:r w:rsidR="002C75EA">
        <w:rPr>
          <w:rFonts w:asciiTheme="majorBidi" w:hAnsiTheme="majorBidi" w:cstheme="majorBidi"/>
          <w:color w:val="000000" w:themeColor="text1"/>
          <w:sz w:val="24"/>
          <w:szCs w:val="24"/>
        </w:rPr>
        <w:t>them</w:t>
      </w:r>
      <w:r w:rsidRPr="005E73C2">
        <w:rPr>
          <w:rFonts w:asciiTheme="majorBidi" w:hAnsiTheme="majorBidi" w:cstheme="majorBidi"/>
          <w:color w:val="000000" w:themeColor="text1"/>
          <w:sz w:val="24"/>
          <w:szCs w:val="24"/>
        </w:rPr>
        <w:t xml:space="preserve"> less dependent on executive directors and more likely to exercise independent judgement </w:t>
      </w:r>
      <w:r w:rsidRPr="005E73C2">
        <w:rPr>
          <w:rFonts w:asciiTheme="majorBidi" w:hAnsiTheme="majorBidi" w:cstheme="majorBidi"/>
          <w:noProof/>
          <w:color w:val="000000" w:themeColor="text1"/>
          <w:sz w:val="24"/>
          <w:szCs w:val="24"/>
        </w:rPr>
        <w:t>(</w:t>
      </w:r>
      <w:r w:rsidR="002C4D23" w:rsidRPr="002C4D23">
        <w:rPr>
          <w:rFonts w:asciiTheme="majorBidi" w:hAnsiTheme="majorBidi" w:cstheme="majorBidi"/>
          <w:noProof/>
          <w:color w:val="000000" w:themeColor="text1"/>
          <w:sz w:val="24"/>
          <w:szCs w:val="24"/>
        </w:rPr>
        <w:t>Bedard</w:t>
      </w:r>
      <w:r w:rsidR="0015606E">
        <w:rPr>
          <w:rFonts w:asciiTheme="majorBidi" w:hAnsiTheme="majorBidi" w:cstheme="majorBidi"/>
          <w:noProof/>
          <w:color w:val="000000" w:themeColor="text1"/>
          <w:sz w:val="24"/>
          <w:szCs w:val="24"/>
        </w:rPr>
        <w:t xml:space="preserve"> et al.</w:t>
      </w:r>
      <w:r w:rsidR="007F5A76">
        <w:rPr>
          <w:rFonts w:asciiTheme="majorBidi" w:hAnsiTheme="majorBidi" w:cstheme="majorBidi"/>
          <w:noProof/>
          <w:color w:val="000000" w:themeColor="text1"/>
          <w:sz w:val="24"/>
          <w:szCs w:val="28"/>
        </w:rPr>
        <w:t>,</w:t>
      </w:r>
      <w:r w:rsidR="007F5A76" w:rsidRPr="005E73C2">
        <w:rPr>
          <w:rFonts w:asciiTheme="majorBidi" w:hAnsiTheme="majorBidi" w:cstheme="majorBidi"/>
          <w:noProof/>
          <w:color w:val="000000" w:themeColor="text1"/>
          <w:sz w:val="24"/>
          <w:szCs w:val="28"/>
        </w:rPr>
        <w:t xml:space="preserve"> 2004</w:t>
      </w:r>
      <w:r w:rsidR="002C4D23">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 xml:space="preserve">Kim </w:t>
      </w:r>
      <w:r w:rsidR="00F71A5D">
        <w:rPr>
          <w:rFonts w:asciiTheme="majorBidi" w:hAnsiTheme="majorBidi" w:cstheme="majorBidi"/>
          <w:noProof/>
          <w:color w:val="000000" w:themeColor="text1"/>
          <w:sz w:val="24"/>
          <w:szCs w:val="24"/>
        </w:rPr>
        <w:t>&amp;</w:t>
      </w:r>
      <w:r w:rsidR="00F71A5D" w:rsidRPr="005E73C2">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Yang</w:t>
      </w:r>
      <w:r w:rsidR="00F71A5D">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2014; Liu </w:t>
      </w:r>
      <w:r w:rsidR="00F71A5D">
        <w:rPr>
          <w:rFonts w:asciiTheme="majorBidi" w:hAnsiTheme="majorBidi" w:cstheme="majorBidi"/>
          <w:noProof/>
          <w:color w:val="000000" w:themeColor="text1"/>
          <w:sz w:val="24"/>
          <w:szCs w:val="24"/>
        </w:rPr>
        <w:t>&amp;</w:t>
      </w:r>
      <w:r w:rsidR="00F71A5D" w:rsidRPr="005E73C2">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Sun</w:t>
      </w:r>
      <w:r w:rsidR="00F71A5D">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2010; Yang </w:t>
      </w:r>
      <w:r w:rsidR="00F71A5D">
        <w:rPr>
          <w:rFonts w:asciiTheme="majorBidi" w:hAnsiTheme="majorBidi" w:cstheme="majorBidi"/>
          <w:noProof/>
          <w:color w:val="000000" w:themeColor="text1"/>
          <w:sz w:val="24"/>
          <w:szCs w:val="24"/>
        </w:rPr>
        <w:t>&amp;</w:t>
      </w:r>
      <w:r w:rsidR="00F71A5D" w:rsidRPr="005E73C2">
        <w:rPr>
          <w:rFonts w:asciiTheme="majorBidi" w:hAnsiTheme="majorBidi" w:cstheme="majorBidi"/>
          <w:noProof/>
          <w:color w:val="000000" w:themeColor="text1"/>
          <w:sz w:val="24"/>
          <w:szCs w:val="24"/>
        </w:rPr>
        <w:t xml:space="preserve"> </w:t>
      </w:r>
      <w:r w:rsidRPr="005E73C2">
        <w:rPr>
          <w:rFonts w:asciiTheme="majorBidi" w:hAnsiTheme="majorBidi" w:cstheme="majorBidi"/>
          <w:noProof/>
          <w:color w:val="000000" w:themeColor="text1"/>
          <w:sz w:val="24"/>
          <w:szCs w:val="24"/>
        </w:rPr>
        <w:t>Krishnan</w:t>
      </w:r>
      <w:r w:rsidR="00F71A5D">
        <w:rPr>
          <w:rFonts w:asciiTheme="majorBidi" w:hAnsiTheme="majorBidi" w:cstheme="majorBidi"/>
          <w:noProof/>
          <w:color w:val="000000" w:themeColor="text1"/>
          <w:sz w:val="24"/>
          <w:szCs w:val="24"/>
        </w:rPr>
        <w:t>,</w:t>
      </w:r>
      <w:r w:rsidRPr="005E73C2">
        <w:rPr>
          <w:rFonts w:asciiTheme="majorBidi" w:hAnsiTheme="majorBidi" w:cstheme="majorBidi"/>
          <w:noProof/>
          <w:color w:val="000000" w:themeColor="text1"/>
          <w:sz w:val="24"/>
          <w:szCs w:val="24"/>
        </w:rPr>
        <w:t xml:space="preserve"> 2005)</w:t>
      </w:r>
      <w:r w:rsidRPr="005E73C2">
        <w:rPr>
          <w:rFonts w:asciiTheme="majorBidi" w:hAnsiTheme="majorBidi" w:cstheme="majorBidi"/>
          <w:color w:val="000000" w:themeColor="text1"/>
          <w:sz w:val="24"/>
          <w:szCs w:val="24"/>
        </w:rPr>
        <w:t>.</w:t>
      </w:r>
      <w:r w:rsidR="002C75EA">
        <w:rPr>
          <w:rFonts w:asciiTheme="majorBidi" w:hAnsiTheme="majorBidi" w:cstheme="majorBidi"/>
          <w:color w:val="000000" w:themeColor="text1"/>
          <w:sz w:val="24"/>
          <w:szCs w:val="24"/>
        </w:rPr>
        <w:t xml:space="preserve"> T</w:t>
      </w:r>
      <w:r w:rsidRPr="005E73C2">
        <w:rPr>
          <w:rFonts w:asciiTheme="majorBidi" w:hAnsiTheme="majorBidi" w:cstheme="majorBidi"/>
          <w:color w:val="000000" w:themeColor="text1"/>
          <w:sz w:val="24"/>
          <w:szCs w:val="24"/>
        </w:rPr>
        <w:t xml:space="preserve">heir accumulated knowledge and experience might enable them to differentiate between recurring and non-recurring expenses and mitigate any opportunistic exclusions from recurring expenses. </w:t>
      </w:r>
      <w:r>
        <w:rPr>
          <w:rFonts w:asciiTheme="majorBidi" w:hAnsiTheme="majorBidi" w:cstheme="majorBidi"/>
          <w:color w:val="000000" w:themeColor="text1"/>
          <w:sz w:val="24"/>
          <w:szCs w:val="24"/>
        </w:rPr>
        <w:t>E</w:t>
      </w:r>
      <w:r w:rsidRPr="005E73C2">
        <w:rPr>
          <w:rFonts w:asciiTheme="majorBidi" w:hAnsiTheme="majorBidi" w:cstheme="majorBidi"/>
          <w:color w:val="000000" w:themeColor="text1"/>
          <w:sz w:val="24"/>
          <w:szCs w:val="24"/>
        </w:rPr>
        <w:t xml:space="preserve">xtant accounting studies suggest that long tenure improves </w:t>
      </w:r>
      <w:r w:rsidR="00E530EF">
        <w:rPr>
          <w:rFonts w:asciiTheme="majorBidi" w:hAnsiTheme="majorBidi" w:cstheme="majorBidi"/>
          <w:color w:val="000000" w:themeColor="text1"/>
          <w:sz w:val="24"/>
          <w:szCs w:val="24"/>
        </w:rPr>
        <w:t xml:space="preserve">the oversight of </w:t>
      </w:r>
      <w:r w:rsidRPr="005E73C2">
        <w:rPr>
          <w:rFonts w:asciiTheme="majorBidi" w:hAnsiTheme="majorBidi" w:cstheme="majorBidi"/>
          <w:color w:val="000000" w:themeColor="text1"/>
          <w:sz w:val="24"/>
          <w:szCs w:val="24"/>
        </w:rPr>
        <w:t xml:space="preserve">financial reporting </w:t>
      </w:r>
      <w:r>
        <w:rPr>
          <w:rFonts w:asciiTheme="majorBidi" w:hAnsiTheme="majorBidi" w:cstheme="majorBidi"/>
          <w:color w:val="000000" w:themeColor="text1"/>
          <w:sz w:val="24"/>
          <w:szCs w:val="24"/>
        </w:rPr>
        <w:t>(</w:t>
      </w:r>
      <w:r w:rsidR="00E530EF">
        <w:rPr>
          <w:rFonts w:asciiTheme="majorBidi" w:hAnsiTheme="majorBidi" w:cstheme="majorBidi"/>
          <w:color w:val="000000" w:themeColor="text1"/>
          <w:sz w:val="24"/>
          <w:szCs w:val="24"/>
        </w:rPr>
        <w:t>e.g., Beasley, 1996</w:t>
      </w:r>
      <w:r>
        <w:rPr>
          <w:rFonts w:asciiTheme="majorBidi" w:hAnsiTheme="majorBidi" w:cstheme="majorBidi"/>
          <w:color w:val="000000" w:themeColor="text1"/>
          <w:sz w:val="24"/>
          <w:szCs w:val="24"/>
        </w:rPr>
        <w:t>)</w:t>
      </w:r>
      <w:r w:rsidR="00E530EF">
        <w:rPr>
          <w:rFonts w:asciiTheme="majorBidi" w:hAnsiTheme="majorBidi" w:cstheme="majorBidi"/>
          <w:color w:val="000000" w:themeColor="text1"/>
          <w:sz w:val="24"/>
          <w:szCs w:val="24"/>
        </w:rPr>
        <w:t>.</w:t>
      </w:r>
      <w:r w:rsidRPr="005E73C2">
        <w:rPr>
          <w:rFonts w:asciiTheme="majorBidi" w:hAnsiTheme="majorBidi" w:cstheme="majorBidi"/>
          <w:color w:val="000000" w:themeColor="text1"/>
          <w:sz w:val="24"/>
          <w:szCs w:val="24"/>
        </w:rPr>
        <w:t xml:space="preserve"> Therefore, we expect that narcissistic AC chairs w</w:t>
      </w:r>
      <w:r w:rsidR="000850EF">
        <w:rPr>
          <w:rFonts w:asciiTheme="majorBidi" w:hAnsiTheme="majorBidi" w:cstheme="majorBidi"/>
          <w:color w:val="000000" w:themeColor="text1"/>
          <w:sz w:val="24"/>
          <w:szCs w:val="24"/>
        </w:rPr>
        <w:t>ith long tenure w</w:t>
      </w:r>
      <w:r w:rsidR="000850EF" w:rsidRPr="000850EF">
        <w:rPr>
          <w:rFonts w:asciiTheme="majorBidi" w:hAnsiTheme="majorBidi" w:cstheme="majorBidi"/>
          <w:color w:val="000000" w:themeColor="text1"/>
          <w:sz w:val="24"/>
          <w:szCs w:val="24"/>
        </w:rPr>
        <w:t>ill be better equipped</w:t>
      </w:r>
      <w:r w:rsidR="000850EF">
        <w:rPr>
          <w:rFonts w:asciiTheme="majorBidi" w:hAnsiTheme="majorBidi" w:cstheme="majorBidi"/>
          <w:color w:val="000000" w:themeColor="text1"/>
          <w:sz w:val="24"/>
          <w:szCs w:val="24"/>
        </w:rPr>
        <w:t xml:space="preserve"> to monitor non-IFRS disclosure more effectively</w:t>
      </w:r>
      <w:r w:rsidRPr="005E73C2">
        <w:rPr>
          <w:rFonts w:asciiTheme="majorBidi" w:hAnsiTheme="majorBidi" w:cstheme="majorBidi"/>
          <w:color w:val="000000" w:themeColor="text1"/>
          <w:sz w:val="24"/>
          <w:szCs w:val="24"/>
        </w:rPr>
        <w:t xml:space="preserve">. </w:t>
      </w:r>
      <w:proofErr w:type="gramStart"/>
      <w:r w:rsidRPr="005E73C2">
        <w:rPr>
          <w:rFonts w:asciiTheme="majorBidi" w:hAnsiTheme="majorBidi" w:cstheme="majorBidi"/>
          <w:color w:val="000000" w:themeColor="text1"/>
          <w:sz w:val="24"/>
          <w:szCs w:val="24"/>
        </w:rPr>
        <w:t>In order to</w:t>
      </w:r>
      <w:proofErr w:type="gramEnd"/>
      <w:r w:rsidRPr="005E73C2">
        <w:rPr>
          <w:rFonts w:asciiTheme="majorBidi" w:hAnsiTheme="majorBidi" w:cstheme="majorBidi"/>
          <w:color w:val="000000" w:themeColor="text1"/>
          <w:sz w:val="24"/>
          <w:szCs w:val="24"/>
        </w:rPr>
        <w:t xml:space="preserve"> investigate </w:t>
      </w:r>
      <w:r w:rsidR="00F71A5D">
        <w:rPr>
          <w:rFonts w:asciiTheme="majorBidi" w:hAnsiTheme="majorBidi" w:cstheme="majorBidi"/>
          <w:color w:val="000000" w:themeColor="text1"/>
          <w:sz w:val="24"/>
          <w:szCs w:val="24"/>
        </w:rPr>
        <w:t>this</w:t>
      </w:r>
      <w:r w:rsidR="00F71A5D" w:rsidRPr="005E73C2">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 xml:space="preserve">proposition, we estimate the </w:t>
      </w:r>
      <w:r w:rsidR="00F71A5D">
        <w:rPr>
          <w:rFonts w:asciiTheme="majorBidi" w:hAnsiTheme="majorBidi" w:cstheme="majorBidi"/>
          <w:color w:val="000000" w:themeColor="text1"/>
          <w:sz w:val="24"/>
          <w:szCs w:val="24"/>
        </w:rPr>
        <w:t>following</w:t>
      </w:r>
      <w:r w:rsidR="00F71A5D" w:rsidRPr="005E73C2">
        <w:rPr>
          <w:rFonts w:asciiTheme="majorBidi" w:hAnsiTheme="majorBidi" w:cstheme="majorBidi"/>
          <w:color w:val="000000" w:themeColor="text1"/>
          <w:sz w:val="24"/>
          <w:szCs w:val="24"/>
        </w:rPr>
        <w:t xml:space="preserve"> </w:t>
      </w:r>
      <w:r w:rsidRPr="005E73C2">
        <w:rPr>
          <w:rFonts w:asciiTheme="majorBidi" w:hAnsiTheme="majorBidi" w:cstheme="majorBidi"/>
          <w:color w:val="000000" w:themeColor="text1"/>
          <w:sz w:val="24"/>
          <w:szCs w:val="24"/>
        </w:rPr>
        <w:t>equation:</w:t>
      </w:r>
    </w:p>
    <w:p w14:paraId="697EDB84" w14:textId="0E824352" w:rsidR="00F00146" w:rsidRPr="005E73C2" w:rsidRDefault="0033525A" w:rsidP="00E83E49">
      <w:pPr>
        <w:widowControl/>
        <w:spacing w:line="360" w:lineRule="auto"/>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FIRM</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FIRM</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FIRM</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FIRM</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FIRM</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(3)</m:t>
        </m:r>
      </m:oMath>
      <w:r w:rsidR="00315354">
        <w:rPr>
          <w:rFonts w:asciiTheme="majorBidi" w:hAnsiTheme="majorBidi" w:cstheme="majorBidi"/>
          <w:color w:val="000000" w:themeColor="text1"/>
          <w:sz w:val="24"/>
          <w:szCs w:val="24"/>
        </w:rPr>
        <w:t xml:space="preserve"> </w:t>
      </w:r>
    </w:p>
    <w:p w14:paraId="42B85715" w14:textId="77777777" w:rsidR="00F00146" w:rsidRPr="005E73C2" w:rsidRDefault="00F00146" w:rsidP="00F00146">
      <w:pPr>
        <w:rPr>
          <w:rFonts w:asciiTheme="majorBidi" w:hAnsiTheme="majorBidi" w:cstheme="majorBidi"/>
          <w:color w:val="000000" w:themeColor="text1"/>
          <w:sz w:val="24"/>
          <w:szCs w:val="28"/>
        </w:rPr>
      </w:pPr>
    </w:p>
    <w:p w14:paraId="7643B6FB" w14:textId="015E8049" w:rsidR="00F00146" w:rsidRPr="005E73C2" w:rsidRDefault="00D42CA8" w:rsidP="006E3B21">
      <w:pPr>
        <w:spacing w:line="480" w:lineRule="auto"/>
        <w:ind w:left="284" w:firstLine="420"/>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Column (2) of </w:t>
      </w:r>
      <w:r w:rsidR="00F00146" w:rsidRPr="005E73C2">
        <w:rPr>
          <w:rFonts w:asciiTheme="majorBidi" w:hAnsiTheme="majorBidi" w:cstheme="majorBidi"/>
          <w:color w:val="000000" w:themeColor="text1"/>
          <w:sz w:val="24"/>
          <w:szCs w:val="28"/>
        </w:rPr>
        <w:t xml:space="preserve">Table </w:t>
      </w:r>
      <w:r>
        <w:rPr>
          <w:rFonts w:asciiTheme="majorBidi" w:hAnsiTheme="majorBidi" w:cstheme="majorBidi"/>
          <w:color w:val="000000" w:themeColor="text1"/>
          <w:sz w:val="24"/>
          <w:szCs w:val="28"/>
        </w:rPr>
        <w:t xml:space="preserve">5 </w:t>
      </w:r>
      <w:r w:rsidR="00F00146" w:rsidRPr="005E73C2">
        <w:rPr>
          <w:rFonts w:asciiTheme="majorBidi" w:hAnsiTheme="majorBidi" w:cstheme="majorBidi"/>
          <w:color w:val="000000" w:themeColor="text1"/>
          <w:sz w:val="24"/>
          <w:szCs w:val="28"/>
        </w:rPr>
        <w:t xml:space="preserve">indicates that </w:t>
      </w:r>
      <w:r w:rsidR="00953B6F" w:rsidRPr="005E73C2">
        <w:rPr>
          <w:rFonts w:asciiTheme="majorBidi" w:hAnsiTheme="majorBidi" w:cstheme="majorBidi"/>
          <w:color w:val="000000" w:themeColor="text1"/>
          <w:sz w:val="24"/>
          <w:szCs w:val="28"/>
        </w:rPr>
        <w:t xml:space="preserve">the coefficient on the interaction between </w:t>
      </w:r>
      <w:r w:rsidR="00953B6F" w:rsidRPr="005E73C2">
        <w:rPr>
          <w:rFonts w:asciiTheme="majorBidi" w:hAnsiTheme="majorBidi" w:cstheme="majorBidi"/>
          <w:i/>
          <w:iCs/>
          <w:color w:val="000000" w:themeColor="text1"/>
          <w:sz w:val="24"/>
          <w:szCs w:val="28"/>
        </w:rPr>
        <w:t>EXCLUSION</w:t>
      </w:r>
      <w:r w:rsidR="00953B6F" w:rsidRPr="005E73C2">
        <w:rPr>
          <w:rFonts w:asciiTheme="majorBidi" w:hAnsiTheme="majorBidi" w:cstheme="majorBidi"/>
          <w:color w:val="000000" w:themeColor="text1"/>
          <w:sz w:val="24"/>
          <w:szCs w:val="28"/>
        </w:rPr>
        <w:t xml:space="preserve"> and </w:t>
      </w:r>
      <w:r w:rsidR="00E24CF1">
        <w:rPr>
          <w:rFonts w:asciiTheme="majorBidi" w:hAnsiTheme="majorBidi" w:cstheme="majorBidi"/>
          <w:i/>
          <w:iCs/>
          <w:color w:val="000000" w:themeColor="text1"/>
          <w:sz w:val="24"/>
          <w:szCs w:val="28"/>
        </w:rPr>
        <w:t>NARCIS</w:t>
      </w:r>
      <w:r w:rsidR="00953B6F" w:rsidRPr="005E73C2">
        <w:rPr>
          <w:rFonts w:asciiTheme="majorBidi" w:hAnsiTheme="majorBidi" w:cstheme="majorBidi"/>
          <w:color w:val="000000" w:themeColor="text1"/>
          <w:sz w:val="24"/>
          <w:szCs w:val="28"/>
        </w:rPr>
        <w:t xml:space="preserve"> is negative and significant</w:t>
      </w:r>
      <w:r w:rsidR="00953B6F">
        <w:rPr>
          <w:rFonts w:asciiTheme="majorBidi" w:hAnsiTheme="majorBidi" w:cstheme="majorBidi"/>
          <w:color w:val="000000" w:themeColor="text1"/>
          <w:sz w:val="24"/>
          <w:szCs w:val="28"/>
        </w:rPr>
        <w:t xml:space="preserve">, while </w:t>
      </w:r>
      <w:r w:rsidR="00F00146" w:rsidRPr="005E73C2">
        <w:rPr>
          <w:rFonts w:asciiTheme="majorBidi" w:hAnsiTheme="majorBidi" w:cstheme="majorBidi"/>
          <w:color w:val="000000" w:themeColor="text1"/>
          <w:sz w:val="24"/>
          <w:szCs w:val="28"/>
        </w:rPr>
        <w:t xml:space="preserve">the coefficient on the interaction between </w:t>
      </w:r>
      <w:r w:rsidR="00F00146" w:rsidRPr="005E73C2">
        <w:rPr>
          <w:rFonts w:asciiTheme="majorBidi" w:hAnsiTheme="majorBidi" w:cstheme="majorBidi"/>
          <w:i/>
          <w:iCs/>
          <w:color w:val="000000" w:themeColor="text1"/>
          <w:sz w:val="24"/>
          <w:szCs w:val="28"/>
        </w:rPr>
        <w:t>EXCLUSION</w:t>
      </w:r>
      <w:r w:rsidR="00F00146" w:rsidRPr="005E73C2">
        <w:rPr>
          <w:rFonts w:asciiTheme="majorBidi" w:hAnsiTheme="majorBidi" w:cstheme="majorBidi"/>
          <w:color w:val="000000" w:themeColor="text1"/>
          <w:sz w:val="24"/>
          <w:szCs w:val="28"/>
        </w:rPr>
        <w:t xml:space="preserve">, </w:t>
      </w:r>
      <w:r w:rsidR="00E24CF1">
        <w:rPr>
          <w:rFonts w:asciiTheme="majorBidi" w:hAnsiTheme="majorBidi" w:cstheme="majorBidi"/>
          <w:i/>
          <w:iCs/>
          <w:color w:val="000000" w:themeColor="text1"/>
          <w:sz w:val="24"/>
          <w:szCs w:val="28"/>
        </w:rPr>
        <w:t>NARCIS</w:t>
      </w:r>
      <w:r w:rsidR="00A22E2C" w:rsidRPr="0087365D">
        <w:rPr>
          <w:rFonts w:asciiTheme="majorBidi" w:hAnsiTheme="majorBidi" w:cstheme="majorBidi"/>
          <w:i/>
          <w:iCs/>
          <w:color w:val="000000" w:themeColor="text1"/>
          <w:sz w:val="24"/>
          <w:szCs w:val="28"/>
        </w:rPr>
        <w:t>,</w:t>
      </w:r>
      <w:r w:rsidR="00F00146" w:rsidRPr="00A22E2C">
        <w:rPr>
          <w:rFonts w:asciiTheme="majorBidi" w:hAnsiTheme="majorBidi" w:cstheme="majorBidi"/>
          <w:color w:val="000000" w:themeColor="text1"/>
          <w:sz w:val="24"/>
          <w:szCs w:val="28"/>
        </w:rPr>
        <w:t xml:space="preserve"> and</w:t>
      </w:r>
      <w:r w:rsidR="00F00146" w:rsidRPr="005E73C2">
        <w:rPr>
          <w:rFonts w:asciiTheme="majorBidi" w:hAnsiTheme="majorBidi" w:cstheme="majorBidi"/>
          <w:color w:val="000000" w:themeColor="text1"/>
          <w:sz w:val="24"/>
          <w:szCs w:val="28"/>
        </w:rPr>
        <w:t xml:space="preserve"> </w:t>
      </w:r>
      <w:r w:rsidR="00BB0D1D">
        <w:rPr>
          <w:rFonts w:asciiTheme="majorBidi" w:hAnsiTheme="majorBidi" w:cstheme="majorBidi"/>
          <w:i/>
          <w:iCs/>
          <w:color w:val="000000" w:themeColor="text1"/>
          <w:sz w:val="24"/>
          <w:szCs w:val="28"/>
        </w:rPr>
        <w:t>FIRM_EXP</w:t>
      </w:r>
      <w:r w:rsidR="00F00146" w:rsidRPr="005E73C2">
        <w:rPr>
          <w:rFonts w:asciiTheme="majorBidi" w:hAnsiTheme="majorBidi" w:cstheme="majorBidi"/>
          <w:i/>
          <w:iCs/>
          <w:color w:val="000000" w:themeColor="text1"/>
          <w:sz w:val="24"/>
          <w:szCs w:val="28"/>
        </w:rPr>
        <w:t xml:space="preserve"> </w:t>
      </w:r>
      <w:r w:rsidR="00F00146" w:rsidRPr="005E73C2">
        <w:rPr>
          <w:rFonts w:asciiTheme="majorBidi" w:hAnsiTheme="majorBidi" w:cstheme="majorBidi"/>
          <w:color w:val="000000" w:themeColor="text1"/>
          <w:sz w:val="24"/>
          <w:szCs w:val="28"/>
        </w:rPr>
        <w:t xml:space="preserve">is positive and significant, demonstrating that our previous findings are driven by AC chairs </w:t>
      </w:r>
      <w:r w:rsidR="00F71A5D">
        <w:rPr>
          <w:rFonts w:asciiTheme="majorBidi" w:hAnsiTheme="majorBidi" w:cstheme="majorBidi"/>
          <w:color w:val="000000" w:themeColor="text1"/>
          <w:sz w:val="24"/>
          <w:szCs w:val="28"/>
        </w:rPr>
        <w:t>having</w:t>
      </w:r>
      <w:r w:rsidR="00F71A5D" w:rsidRPr="005E73C2">
        <w:rPr>
          <w:rFonts w:asciiTheme="majorBidi" w:hAnsiTheme="majorBidi" w:cstheme="majorBidi"/>
          <w:color w:val="000000" w:themeColor="text1"/>
          <w:sz w:val="24"/>
          <w:szCs w:val="28"/>
        </w:rPr>
        <w:t xml:space="preserve"> </w:t>
      </w:r>
      <w:r w:rsidR="00F00146" w:rsidRPr="005E73C2">
        <w:rPr>
          <w:rFonts w:asciiTheme="majorBidi" w:hAnsiTheme="majorBidi" w:cstheme="majorBidi"/>
          <w:color w:val="000000" w:themeColor="text1"/>
          <w:sz w:val="24"/>
          <w:szCs w:val="28"/>
        </w:rPr>
        <w:t xml:space="preserve">short tenure. </w:t>
      </w:r>
      <w:r w:rsidR="006D0193">
        <w:rPr>
          <w:rFonts w:asciiTheme="majorBidi" w:hAnsiTheme="majorBidi" w:cstheme="majorBidi"/>
          <w:color w:val="000000" w:themeColor="text1"/>
          <w:sz w:val="24"/>
          <w:szCs w:val="28"/>
        </w:rPr>
        <w:t>This suggests</w:t>
      </w:r>
      <w:r w:rsidR="00F00146" w:rsidRPr="005E73C2">
        <w:rPr>
          <w:rFonts w:asciiTheme="majorBidi" w:hAnsiTheme="majorBidi" w:cstheme="majorBidi"/>
          <w:color w:val="000000" w:themeColor="text1"/>
          <w:sz w:val="24"/>
          <w:szCs w:val="28"/>
        </w:rPr>
        <w:t xml:space="preserve"> that AC chairs with long tenure have extensive firm-specific experience</w:t>
      </w:r>
      <w:r w:rsidR="006D0193">
        <w:rPr>
          <w:rFonts w:asciiTheme="majorBidi" w:hAnsiTheme="majorBidi" w:cstheme="majorBidi"/>
          <w:color w:val="000000" w:themeColor="text1"/>
          <w:sz w:val="24"/>
          <w:szCs w:val="28"/>
        </w:rPr>
        <w:t>, which</w:t>
      </w:r>
      <w:r w:rsidR="00F00146" w:rsidRPr="005E73C2">
        <w:rPr>
          <w:rFonts w:asciiTheme="majorBidi" w:hAnsiTheme="majorBidi" w:cstheme="majorBidi"/>
          <w:color w:val="000000" w:themeColor="text1"/>
          <w:sz w:val="24"/>
          <w:szCs w:val="28"/>
        </w:rPr>
        <w:t xml:space="preserve"> enable</w:t>
      </w:r>
      <w:r w:rsidR="006D0193">
        <w:rPr>
          <w:rFonts w:asciiTheme="majorBidi" w:hAnsiTheme="majorBidi" w:cstheme="majorBidi"/>
          <w:color w:val="000000" w:themeColor="text1"/>
          <w:sz w:val="24"/>
          <w:szCs w:val="28"/>
        </w:rPr>
        <w:t>s</w:t>
      </w:r>
      <w:r w:rsidR="00F00146" w:rsidRPr="005E73C2">
        <w:rPr>
          <w:rFonts w:asciiTheme="majorBidi" w:hAnsiTheme="majorBidi" w:cstheme="majorBidi"/>
          <w:color w:val="000000" w:themeColor="text1"/>
          <w:sz w:val="24"/>
          <w:szCs w:val="28"/>
        </w:rPr>
        <w:t xml:space="preserve"> them to </w:t>
      </w:r>
      <w:r w:rsidR="006D0193">
        <w:rPr>
          <w:rFonts w:asciiTheme="majorBidi" w:hAnsiTheme="majorBidi" w:cstheme="majorBidi"/>
          <w:color w:val="000000" w:themeColor="text1"/>
          <w:sz w:val="24"/>
          <w:szCs w:val="28"/>
        </w:rPr>
        <w:t xml:space="preserve">better </w:t>
      </w:r>
      <w:r w:rsidR="00F00146" w:rsidRPr="005E73C2">
        <w:rPr>
          <w:rFonts w:asciiTheme="majorBidi" w:hAnsiTheme="majorBidi" w:cstheme="majorBidi"/>
          <w:color w:val="000000" w:themeColor="text1"/>
          <w:sz w:val="24"/>
          <w:szCs w:val="28"/>
        </w:rPr>
        <w:t>differentiate between recurring and non-recurring items</w:t>
      </w:r>
      <w:r w:rsidR="00F71A5D">
        <w:rPr>
          <w:rFonts w:asciiTheme="majorBidi" w:hAnsiTheme="majorBidi" w:cstheme="majorBidi"/>
          <w:color w:val="000000" w:themeColor="text1"/>
          <w:sz w:val="24"/>
          <w:szCs w:val="28"/>
        </w:rPr>
        <w:t xml:space="preserve">; </w:t>
      </w:r>
      <w:r w:rsidR="00F00146" w:rsidRPr="005E73C2">
        <w:rPr>
          <w:rFonts w:asciiTheme="majorBidi" w:hAnsiTheme="majorBidi" w:cstheme="majorBidi"/>
          <w:color w:val="000000" w:themeColor="text1"/>
          <w:sz w:val="24"/>
          <w:szCs w:val="28"/>
        </w:rPr>
        <w:t>thus</w:t>
      </w:r>
      <w:r w:rsidR="00F71A5D">
        <w:rPr>
          <w:rFonts w:asciiTheme="majorBidi" w:hAnsiTheme="majorBidi" w:cstheme="majorBidi"/>
          <w:color w:val="000000" w:themeColor="text1"/>
          <w:sz w:val="24"/>
          <w:szCs w:val="28"/>
        </w:rPr>
        <w:t>,</w:t>
      </w:r>
      <w:r w:rsidR="00F00146" w:rsidRPr="005E73C2">
        <w:rPr>
          <w:rFonts w:asciiTheme="majorBidi" w:hAnsiTheme="majorBidi" w:cstheme="majorBidi"/>
          <w:color w:val="000000" w:themeColor="text1"/>
          <w:sz w:val="24"/>
          <w:szCs w:val="28"/>
        </w:rPr>
        <w:t xml:space="preserve"> </w:t>
      </w:r>
      <w:r w:rsidR="00F71A5D">
        <w:rPr>
          <w:rFonts w:asciiTheme="majorBidi" w:hAnsiTheme="majorBidi" w:cstheme="majorBidi"/>
          <w:color w:val="000000" w:themeColor="text1"/>
          <w:sz w:val="24"/>
          <w:szCs w:val="28"/>
        </w:rPr>
        <w:t xml:space="preserve">they are </w:t>
      </w:r>
      <w:r w:rsidR="00F00146" w:rsidRPr="005E73C2">
        <w:rPr>
          <w:rFonts w:asciiTheme="majorBidi" w:hAnsiTheme="majorBidi" w:cstheme="majorBidi"/>
          <w:color w:val="000000" w:themeColor="text1"/>
          <w:sz w:val="24"/>
          <w:szCs w:val="28"/>
        </w:rPr>
        <w:t>more effective in constraining opportunistic managerial behavio</w:t>
      </w:r>
      <w:r w:rsidR="000257C7">
        <w:rPr>
          <w:rFonts w:asciiTheme="majorBidi" w:hAnsiTheme="majorBidi" w:cstheme="majorBidi"/>
          <w:color w:val="000000" w:themeColor="text1"/>
          <w:sz w:val="24"/>
          <w:szCs w:val="28"/>
        </w:rPr>
        <w:t>r</w:t>
      </w:r>
      <w:r w:rsidR="00D40DCD">
        <w:rPr>
          <w:rFonts w:asciiTheme="majorBidi" w:hAnsiTheme="majorBidi" w:cstheme="majorBidi"/>
          <w:color w:val="000000" w:themeColor="text1"/>
          <w:sz w:val="24"/>
          <w:szCs w:val="28"/>
        </w:rPr>
        <w:t>s</w:t>
      </w:r>
      <w:r w:rsidR="00F00146" w:rsidRPr="005E73C2">
        <w:rPr>
          <w:rFonts w:asciiTheme="majorBidi" w:hAnsiTheme="majorBidi" w:cstheme="majorBidi"/>
          <w:color w:val="000000" w:themeColor="text1"/>
          <w:sz w:val="24"/>
          <w:szCs w:val="28"/>
        </w:rPr>
        <w:t xml:space="preserve"> </w:t>
      </w:r>
      <w:r w:rsidR="00F00146" w:rsidRPr="005E73C2">
        <w:rPr>
          <w:rFonts w:asciiTheme="majorBidi" w:hAnsiTheme="majorBidi" w:cstheme="majorBidi"/>
          <w:noProof/>
          <w:color w:val="000000" w:themeColor="text1"/>
          <w:sz w:val="24"/>
          <w:szCs w:val="28"/>
        </w:rPr>
        <w:t>(</w:t>
      </w:r>
      <w:r w:rsidR="002C4D23">
        <w:rPr>
          <w:rFonts w:asciiTheme="majorBidi" w:hAnsiTheme="majorBidi" w:cstheme="majorBidi"/>
          <w:noProof/>
          <w:color w:val="000000" w:themeColor="text1"/>
          <w:sz w:val="24"/>
          <w:szCs w:val="28"/>
        </w:rPr>
        <w:t xml:space="preserve">Bedard et al., 2004; </w:t>
      </w:r>
      <w:r w:rsidR="00F00146" w:rsidRPr="005E73C2">
        <w:rPr>
          <w:rFonts w:asciiTheme="majorBidi" w:hAnsiTheme="majorBidi" w:cstheme="majorBidi"/>
          <w:noProof/>
          <w:color w:val="000000" w:themeColor="text1"/>
          <w:sz w:val="24"/>
          <w:szCs w:val="28"/>
        </w:rPr>
        <w:t xml:space="preserve">Kim </w:t>
      </w:r>
      <w:r w:rsidR="00D40DCD">
        <w:rPr>
          <w:rFonts w:asciiTheme="majorBidi" w:hAnsiTheme="majorBidi" w:cstheme="majorBidi"/>
          <w:noProof/>
          <w:color w:val="000000" w:themeColor="text1"/>
          <w:sz w:val="24"/>
          <w:szCs w:val="28"/>
        </w:rPr>
        <w:t>&amp;</w:t>
      </w:r>
      <w:r w:rsidR="00D40DCD" w:rsidRPr="005E73C2">
        <w:rPr>
          <w:rFonts w:asciiTheme="majorBidi" w:hAnsiTheme="majorBidi" w:cstheme="majorBidi"/>
          <w:noProof/>
          <w:color w:val="000000" w:themeColor="text1"/>
          <w:sz w:val="24"/>
          <w:szCs w:val="28"/>
        </w:rPr>
        <w:t xml:space="preserve"> </w:t>
      </w:r>
      <w:r w:rsidR="00F00146" w:rsidRPr="005E73C2">
        <w:rPr>
          <w:rFonts w:asciiTheme="majorBidi" w:hAnsiTheme="majorBidi" w:cstheme="majorBidi"/>
          <w:noProof/>
          <w:color w:val="000000" w:themeColor="text1"/>
          <w:sz w:val="24"/>
          <w:szCs w:val="28"/>
        </w:rPr>
        <w:t>Yang</w:t>
      </w:r>
      <w:r w:rsidR="00D40DCD">
        <w:rPr>
          <w:rFonts w:asciiTheme="majorBidi" w:hAnsiTheme="majorBidi" w:cstheme="majorBidi"/>
          <w:noProof/>
          <w:color w:val="000000" w:themeColor="text1"/>
          <w:sz w:val="24"/>
          <w:szCs w:val="28"/>
        </w:rPr>
        <w:t>,</w:t>
      </w:r>
      <w:r w:rsidR="00F00146" w:rsidRPr="005E73C2">
        <w:rPr>
          <w:rFonts w:asciiTheme="majorBidi" w:hAnsiTheme="majorBidi" w:cstheme="majorBidi"/>
          <w:noProof/>
          <w:color w:val="000000" w:themeColor="text1"/>
          <w:sz w:val="24"/>
          <w:szCs w:val="28"/>
        </w:rPr>
        <w:t xml:space="preserve"> 2014)</w:t>
      </w:r>
      <w:r w:rsidR="00F00146" w:rsidRPr="005E73C2">
        <w:rPr>
          <w:rFonts w:asciiTheme="majorBidi" w:hAnsiTheme="majorBidi" w:cstheme="majorBidi"/>
          <w:color w:val="000000" w:themeColor="text1"/>
          <w:sz w:val="24"/>
          <w:szCs w:val="28"/>
        </w:rPr>
        <w:t>.</w:t>
      </w:r>
    </w:p>
    <w:p w14:paraId="0A345772" w14:textId="41CB11D1" w:rsidR="002528F2" w:rsidRPr="00FD7B1D" w:rsidRDefault="00331AE5" w:rsidP="00FD7B1D">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6.4.3 </w:t>
      </w:r>
      <w:r w:rsidR="00F00146" w:rsidRPr="0087365D">
        <w:rPr>
          <w:rFonts w:asciiTheme="majorBidi" w:hAnsiTheme="majorBidi"/>
          <w:i/>
          <w:iCs/>
          <w:color w:val="000000" w:themeColor="text1"/>
          <w:sz w:val="28"/>
          <w:szCs w:val="28"/>
        </w:rPr>
        <w:t>Outside directorships</w:t>
      </w:r>
    </w:p>
    <w:p w14:paraId="66E7DEA2" w14:textId="64F7D02B" w:rsidR="00F00146" w:rsidRPr="005E73C2" w:rsidRDefault="00F00146" w:rsidP="006C2FFD">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noProof/>
          <w:color w:val="000000" w:themeColor="text1"/>
          <w:sz w:val="24"/>
          <w:szCs w:val="28"/>
        </w:rPr>
        <w:t>Fama and Jensen (1983)</w:t>
      </w:r>
      <w:r w:rsidRPr="005E73C2">
        <w:rPr>
          <w:rFonts w:asciiTheme="majorBidi" w:hAnsiTheme="majorBidi" w:cstheme="majorBidi"/>
          <w:color w:val="000000" w:themeColor="text1"/>
          <w:sz w:val="24"/>
          <w:szCs w:val="28"/>
        </w:rPr>
        <w:t xml:space="preserve"> noted that </w:t>
      </w:r>
      <w:r w:rsidR="000257C7">
        <w:rPr>
          <w:rFonts w:asciiTheme="majorBidi" w:hAnsiTheme="majorBidi" w:cstheme="majorBidi"/>
          <w:color w:val="000000" w:themeColor="text1"/>
          <w:sz w:val="24"/>
          <w:szCs w:val="28"/>
        </w:rPr>
        <w:t>labor</w:t>
      </w:r>
      <w:r w:rsidR="006D0193"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market motivates outside directors to monitor executives. </w:t>
      </w:r>
      <w:r w:rsidR="006D0193">
        <w:rPr>
          <w:rFonts w:asciiTheme="majorBidi" w:hAnsiTheme="majorBidi" w:cstheme="majorBidi"/>
          <w:color w:val="000000" w:themeColor="text1"/>
          <w:sz w:val="24"/>
          <w:szCs w:val="28"/>
        </w:rPr>
        <w:t>They</w:t>
      </w:r>
      <w:r w:rsidRPr="005E73C2">
        <w:rPr>
          <w:rFonts w:asciiTheme="majorBidi" w:hAnsiTheme="majorBidi" w:cstheme="majorBidi"/>
          <w:color w:val="000000" w:themeColor="text1"/>
          <w:sz w:val="24"/>
          <w:szCs w:val="28"/>
        </w:rPr>
        <w:t xml:space="preserve"> are motivated to </w:t>
      </w:r>
      <w:r w:rsidR="006D0193">
        <w:rPr>
          <w:rFonts w:asciiTheme="majorBidi" w:hAnsiTheme="majorBidi" w:cstheme="majorBidi"/>
          <w:color w:val="000000" w:themeColor="text1"/>
          <w:sz w:val="24"/>
          <w:szCs w:val="28"/>
        </w:rPr>
        <w:t>establish themselves as effective</w:t>
      </w:r>
      <w:r w:rsidRPr="005E73C2">
        <w:rPr>
          <w:rFonts w:asciiTheme="majorBidi" w:hAnsiTheme="majorBidi" w:cstheme="majorBidi"/>
          <w:color w:val="000000" w:themeColor="text1"/>
          <w:sz w:val="24"/>
          <w:szCs w:val="28"/>
        </w:rPr>
        <w:t xml:space="preserve"> monitors</w:t>
      </w:r>
      <w:r w:rsidR="006D0193">
        <w:rPr>
          <w:rFonts w:asciiTheme="majorBidi" w:hAnsiTheme="majorBidi" w:cstheme="majorBidi"/>
          <w:color w:val="000000" w:themeColor="text1"/>
          <w:sz w:val="24"/>
          <w:szCs w:val="28"/>
        </w:rPr>
        <w:t xml:space="preserve"> and</w:t>
      </w:r>
      <w:r w:rsidRPr="005E73C2">
        <w:rPr>
          <w:rFonts w:asciiTheme="majorBidi" w:hAnsiTheme="majorBidi" w:cstheme="majorBidi"/>
          <w:color w:val="000000" w:themeColor="text1"/>
          <w:sz w:val="24"/>
          <w:szCs w:val="28"/>
        </w:rPr>
        <w:t xml:space="preserve"> being </w:t>
      </w:r>
      <w:r w:rsidR="00D40DCD">
        <w:rPr>
          <w:rFonts w:asciiTheme="majorBidi" w:hAnsiTheme="majorBidi" w:cstheme="majorBidi"/>
          <w:color w:val="000000" w:themeColor="text1"/>
          <w:sz w:val="24"/>
          <w:szCs w:val="28"/>
        </w:rPr>
        <w:t xml:space="preserve">a </w:t>
      </w:r>
      <w:r w:rsidRPr="005E73C2">
        <w:rPr>
          <w:rFonts w:asciiTheme="majorBidi" w:hAnsiTheme="majorBidi" w:cstheme="majorBidi"/>
          <w:color w:val="000000" w:themeColor="text1"/>
          <w:sz w:val="24"/>
          <w:szCs w:val="28"/>
        </w:rPr>
        <w:lastRenderedPageBreak/>
        <w:t xml:space="preserve">director in a well operated company enhances their monitoring reputation, </w:t>
      </w:r>
      <w:r w:rsidR="00291FD5" w:rsidRPr="00291FD5">
        <w:rPr>
          <w:rFonts w:asciiTheme="majorBidi" w:hAnsiTheme="majorBidi" w:cstheme="majorBidi"/>
          <w:color w:val="000000" w:themeColor="text1"/>
          <w:sz w:val="24"/>
          <w:szCs w:val="28"/>
        </w:rPr>
        <w:t>potentially lead</w:t>
      </w:r>
      <w:r w:rsidR="006D0193">
        <w:rPr>
          <w:rFonts w:asciiTheme="majorBidi" w:hAnsiTheme="majorBidi" w:cstheme="majorBidi"/>
          <w:color w:val="000000" w:themeColor="text1"/>
          <w:sz w:val="24"/>
          <w:szCs w:val="28"/>
        </w:rPr>
        <w:t xml:space="preserve">ing </w:t>
      </w:r>
      <w:r w:rsidR="00291FD5" w:rsidRPr="00291FD5">
        <w:rPr>
          <w:rFonts w:asciiTheme="majorBidi" w:hAnsiTheme="majorBidi" w:cstheme="majorBidi"/>
          <w:color w:val="000000" w:themeColor="text1"/>
          <w:sz w:val="24"/>
          <w:szCs w:val="28"/>
        </w:rPr>
        <w:t xml:space="preserve">to </w:t>
      </w:r>
      <w:r w:rsidRPr="005E73C2">
        <w:rPr>
          <w:rFonts w:asciiTheme="majorBidi" w:hAnsiTheme="majorBidi" w:cstheme="majorBidi"/>
          <w:color w:val="000000" w:themeColor="text1"/>
          <w:sz w:val="24"/>
          <w:szCs w:val="28"/>
        </w:rPr>
        <w:t xml:space="preserve">additional directorships or at least secure their current directorship. In fact, </w:t>
      </w:r>
      <w:r w:rsidRPr="005E73C2">
        <w:rPr>
          <w:rFonts w:asciiTheme="majorBidi" w:hAnsiTheme="majorBidi" w:cstheme="majorBidi"/>
          <w:noProof/>
          <w:color w:val="000000" w:themeColor="text1"/>
          <w:sz w:val="24"/>
          <w:szCs w:val="28"/>
        </w:rPr>
        <w:t>Srinivasan (2005)</w:t>
      </w:r>
      <w:r w:rsidRPr="005E73C2">
        <w:rPr>
          <w:rFonts w:asciiTheme="majorBidi" w:hAnsiTheme="majorBidi" w:cstheme="majorBidi"/>
          <w:color w:val="000000" w:themeColor="text1"/>
          <w:sz w:val="24"/>
          <w:szCs w:val="28"/>
        </w:rPr>
        <w:t xml:space="preserve"> show</w:t>
      </w:r>
      <w:r w:rsidR="00953A64">
        <w:rPr>
          <w:rFonts w:asciiTheme="majorBidi" w:hAnsiTheme="majorBidi" w:cstheme="majorBidi"/>
          <w:color w:val="000000" w:themeColor="text1"/>
          <w:sz w:val="24"/>
          <w:szCs w:val="28"/>
        </w:rPr>
        <w:t>ed</w:t>
      </w:r>
      <w:r w:rsidRPr="005E73C2">
        <w:rPr>
          <w:rFonts w:asciiTheme="majorBidi" w:hAnsiTheme="majorBidi" w:cstheme="majorBidi"/>
          <w:color w:val="000000" w:themeColor="text1"/>
          <w:sz w:val="24"/>
          <w:szCs w:val="28"/>
        </w:rPr>
        <w:t xml:space="preserve"> that independent directors lose 25% of their outside directorships in firms experiencing restatements, with this </w:t>
      </w:r>
      <w:r w:rsidR="00D40DCD">
        <w:rPr>
          <w:rFonts w:asciiTheme="majorBidi" w:hAnsiTheme="majorBidi" w:cstheme="majorBidi"/>
          <w:color w:val="000000" w:themeColor="text1"/>
          <w:sz w:val="24"/>
          <w:szCs w:val="28"/>
        </w:rPr>
        <w:t>penalty</w:t>
      </w:r>
      <w:r w:rsidR="00D40DCD"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more pronounced for AC members. Furthermore, holding additional outside directorships is likely to enrich directors’ experience in monitoring executives and award them with expertise in </w:t>
      </w:r>
      <w:r w:rsidR="00D40DCD" w:rsidRPr="005E73C2">
        <w:rPr>
          <w:rFonts w:asciiTheme="majorBidi" w:hAnsiTheme="majorBidi" w:cstheme="majorBidi"/>
          <w:color w:val="000000" w:themeColor="text1"/>
          <w:sz w:val="24"/>
          <w:szCs w:val="28"/>
        </w:rPr>
        <w:t xml:space="preserve">governance </w:t>
      </w:r>
      <w:r w:rsidRPr="005E73C2">
        <w:rPr>
          <w:rFonts w:asciiTheme="majorBidi" w:hAnsiTheme="majorBidi" w:cstheme="majorBidi"/>
          <w:color w:val="000000" w:themeColor="text1"/>
          <w:sz w:val="24"/>
          <w:szCs w:val="28"/>
        </w:rPr>
        <w:t xml:space="preserve">best practice </w:t>
      </w:r>
      <w:r w:rsidRPr="005E73C2">
        <w:rPr>
          <w:rFonts w:asciiTheme="majorBidi" w:hAnsiTheme="majorBidi" w:cstheme="majorBidi"/>
          <w:noProof/>
          <w:color w:val="000000" w:themeColor="text1"/>
          <w:sz w:val="24"/>
          <w:szCs w:val="28"/>
        </w:rPr>
        <w:t>(Bedard</w:t>
      </w:r>
      <w:r w:rsidR="007F5A76">
        <w:rPr>
          <w:rFonts w:asciiTheme="majorBidi" w:hAnsiTheme="majorBidi" w:cstheme="majorBidi"/>
          <w:noProof/>
          <w:color w:val="000000" w:themeColor="text1"/>
          <w:sz w:val="24"/>
          <w:szCs w:val="28"/>
        </w:rPr>
        <w:t xml:space="preserve"> et al., </w:t>
      </w:r>
      <w:r w:rsidRPr="005E73C2">
        <w:rPr>
          <w:rFonts w:asciiTheme="majorBidi" w:hAnsiTheme="majorBidi" w:cstheme="majorBidi"/>
          <w:noProof/>
          <w:color w:val="000000" w:themeColor="text1"/>
          <w:sz w:val="24"/>
          <w:szCs w:val="28"/>
        </w:rPr>
        <w:t>2004)</w:t>
      </w:r>
      <w:r w:rsidRPr="005E73C2">
        <w:rPr>
          <w:rFonts w:asciiTheme="majorBidi" w:hAnsiTheme="majorBidi" w:cstheme="majorBidi"/>
          <w:color w:val="000000" w:themeColor="text1"/>
          <w:sz w:val="24"/>
          <w:szCs w:val="28"/>
        </w:rPr>
        <w:t xml:space="preserve">. Therefore, we expect that narcissistic AC chairs would be more </w:t>
      </w:r>
      <w:r w:rsidR="006C2FFD">
        <w:rPr>
          <w:rFonts w:asciiTheme="majorBidi" w:hAnsiTheme="majorBidi" w:cstheme="majorBidi"/>
          <w:color w:val="000000" w:themeColor="text1"/>
          <w:sz w:val="24"/>
          <w:szCs w:val="28"/>
        </w:rPr>
        <w:t xml:space="preserve">able and </w:t>
      </w:r>
      <w:r w:rsidRPr="005E73C2">
        <w:rPr>
          <w:rFonts w:asciiTheme="majorBidi" w:hAnsiTheme="majorBidi" w:cstheme="majorBidi"/>
          <w:color w:val="000000" w:themeColor="text1"/>
          <w:sz w:val="24"/>
          <w:szCs w:val="28"/>
        </w:rPr>
        <w:t xml:space="preserve">motivated to exercise </w:t>
      </w:r>
      <w:r w:rsidR="006D0193">
        <w:rPr>
          <w:rFonts w:asciiTheme="majorBidi" w:hAnsiTheme="majorBidi" w:cstheme="majorBidi"/>
          <w:color w:val="000000" w:themeColor="text1"/>
          <w:sz w:val="24"/>
          <w:szCs w:val="28"/>
        </w:rPr>
        <w:t xml:space="preserve">stringent </w:t>
      </w:r>
      <w:r w:rsidRPr="005E73C2">
        <w:rPr>
          <w:rFonts w:asciiTheme="majorBidi" w:hAnsiTheme="majorBidi" w:cstheme="majorBidi"/>
          <w:color w:val="000000" w:themeColor="text1"/>
          <w:sz w:val="24"/>
          <w:szCs w:val="28"/>
        </w:rPr>
        <w:t xml:space="preserve">monitoring when they hold more outside directorships, </w:t>
      </w:r>
      <w:r w:rsidR="006D0193">
        <w:rPr>
          <w:rFonts w:asciiTheme="majorBidi" w:hAnsiTheme="majorBidi" w:cstheme="majorBidi"/>
          <w:color w:val="000000" w:themeColor="text1"/>
          <w:sz w:val="24"/>
          <w:szCs w:val="28"/>
        </w:rPr>
        <w:t>due to the</w:t>
      </w:r>
      <w:r w:rsidR="006C2FFD">
        <w:rPr>
          <w:rFonts w:asciiTheme="majorBidi" w:hAnsiTheme="majorBidi" w:cstheme="majorBidi"/>
          <w:color w:val="000000" w:themeColor="text1"/>
          <w:sz w:val="24"/>
          <w:szCs w:val="28"/>
        </w:rPr>
        <w:t xml:space="preserve">ir governance knowledge and </w:t>
      </w:r>
      <w:r w:rsidR="006C2FFD" w:rsidRPr="005E73C2">
        <w:rPr>
          <w:rFonts w:asciiTheme="majorBidi" w:hAnsiTheme="majorBidi" w:cstheme="majorBidi"/>
          <w:color w:val="000000" w:themeColor="text1"/>
          <w:sz w:val="24"/>
          <w:szCs w:val="28"/>
        </w:rPr>
        <w:t>fear</w:t>
      </w:r>
      <w:r w:rsidRPr="005E73C2">
        <w:rPr>
          <w:rFonts w:asciiTheme="majorBidi" w:hAnsiTheme="majorBidi" w:cstheme="majorBidi"/>
          <w:color w:val="000000" w:themeColor="text1"/>
          <w:sz w:val="24"/>
          <w:szCs w:val="28"/>
        </w:rPr>
        <w:t xml:space="preserve"> of losing </w:t>
      </w:r>
      <w:r w:rsidR="006C2FFD">
        <w:rPr>
          <w:rFonts w:asciiTheme="majorBidi" w:hAnsiTheme="majorBidi" w:cstheme="majorBidi"/>
          <w:color w:val="000000" w:themeColor="text1"/>
          <w:sz w:val="24"/>
          <w:szCs w:val="28"/>
        </w:rPr>
        <w:t>other</w:t>
      </w:r>
      <w:r w:rsidRPr="005E73C2">
        <w:rPr>
          <w:rFonts w:asciiTheme="majorBidi" w:hAnsiTheme="majorBidi" w:cstheme="majorBidi"/>
          <w:color w:val="000000" w:themeColor="text1"/>
          <w:sz w:val="24"/>
          <w:szCs w:val="28"/>
        </w:rPr>
        <w:t xml:space="preserve"> roles </w:t>
      </w:r>
      <w:r w:rsidR="006D0193">
        <w:rPr>
          <w:rFonts w:asciiTheme="majorBidi" w:hAnsiTheme="majorBidi" w:cstheme="majorBidi"/>
          <w:color w:val="000000" w:themeColor="text1"/>
          <w:sz w:val="24"/>
          <w:szCs w:val="28"/>
        </w:rPr>
        <w:t>if</w:t>
      </w:r>
      <w:r w:rsidR="00D40DCD"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their firm engages in opportunistic financial reporting practices. </w:t>
      </w:r>
      <w:proofErr w:type="gramStart"/>
      <w:r w:rsidRPr="005E73C2">
        <w:rPr>
          <w:rFonts w:asciiTheme="majorBidi" w:hAnsiTheme="majorBidi" w:cstheme="majorBidi"/>
          <w:color w:val="000000" w:themeColor="text1"/>
          <w:sz w:val="24"/>
          <w:szCs w:val="28"/>
        </w:rPr>
        <w:t>In order to</w:t>
      </w:r>
      <w:proofErr w:type="gramEnd"/>
      <w:r w:rsidRPr="005E73C2">
        <w:rPr>
          <w:rFonts w:asciiTheme="majorBidi" w:hAnsiTheme="majorBidi" w:cstheme="majorBidi"/>
          <w:color w:val="000000" w:themeColor="text1"/>
          <w:sz w:val="24"/>
          <w:szCs w:val="28"/>
        </w:rPr>
        <w:t xml:space="preserve"> investigate our proposition, we estimate the equation</w:t>
      </w:r>
      <w:r w:rsidR="00D40DCD" w:rsidRPr="00D40DCD">
        <w:rPr>
          <w:rFonts w:asciiTheme="majorBidi" w:hAnsiTheme="majorBidi" w:cstheme="majorBidi"/>
          <w:color w:val="000000" w:themeColor="text1"/>
          <w:sz w:val="24"/>
          <w:szCs w:val="28"/>
        </w:rPr>
        <w:t xml:space="preserve"> </w:t>
      </w:r>
      <w:r w:rsidR="00D40DCD" w:rsidRPr="005E73C2">
        <w:rPr>
          <w:rFonts w:asciiTheme="majorBidi" w:hAnsiTheme="majorBidi" w:cstheme="majorBidi"/>
          <w:color w:val="000000" w:themeColor="text1"/>
          <w:sz w:val="24"/>
          <w:szCs w:val="28"/>
        </w:rPr>
        <w:t>below</w:t>
      </w:r>
      <w:r w:rsidRPr="005E73C2">
        <w:rPr>
          <w:rFonts w:asciiTheme="majorBidi" w:hAnsiTheme="majorBidi" w:cstheme="majorBidi"/>
          <w:color w:val="000000" w:themeColor="text1"/>
          <w:sz w:val="24"/>
          <w:szCs w:val="28"/>
        </w:rPr>
        <w:t>.</w:t>
      </w:r>
    </w:p>
    <w:p w14:paraId="6854D8AC" w14:textId="08697F10" w:rsidR="00F00146" w:rsidRPr="005E73C2" w:rsidRDefault="0033525A" w:rsidP="00E83E49">
      <w:pPr>
        <w:spacing w:line="360" w:lineRule="auto"/>
        <w:rPr>
          <w:rFonts w:asciiTheme="majorBidi" w:hAnsiTheme="majorBidi" w:cstheme="majorBidi"/>
          <w:color w:val="000000" w:themeColor="text1"/>
          <w:sz w:val="24"/>
          <w:szCs w:val="28"/>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GOV</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GOV</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GOV</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GOV</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GOV</m:t>
            </m:r>
            <m:r>
              <w:rPr>
                <w:rFonts w:ascii="Cambria Math" w:hAnsi="Cambria Math" w:cstheme="majorBidi"/>
                <w:noProof/>
                <w:color w:val="000000" w:themeColor="text1"/>
                <w:sz w:val="24"/>
                <w:szCs w:val="24"/>
              </w:rPr>
              <m:t>_</m:t>
            </m:r>
            <m:r>
              <w:rPr>
                <w:rFonts w:ascii="Cambria Math" w:hAnsi="Cambria Math" w:cstheme="majorBidi"/>
                <w:noProof/>
                <w:color w:val="000000" w:themeColor="text1"/>
                <w:sz w:val="24"/>
                <w:szCs w:val="24"/>
              </w:rPr>
              <m:t>EXP</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(4)</m:t>
        </m:r>
      </m:oMath>
      <w:r w:rsidR="00315354">
        <w:rPr>
          <w:rFonts w:asciiTheme="majorBidi" w:hAnsiTheme="majorBidi" w:cstheme="majorBidi"/>
          <w:color w:val="000000" w:themeColor="text1"/>
          <w:sz w:val="24"/>
          <w:szCs w:val="28"/>
        </w:rPr>
        <w:t xml:space="preserve"> </w:t>
      </w:r>
    </w:p>
    <w:p w14:paraId="1A0926F0" w14:textId="77777777" w:rsidR="00F00146" w:rsidRPr="005E73C2" w:rsidRDefault="00F00146" w:rsidP="00F00146">
      <w:pPr>
        <w:rPr>
          <w:rFonts w:asciiTheme="majorBidi" w:hAnsiTheme="majorBidi" w:cstheme="majorBidi"/>
          <w:color w:val="000000" w:themeColor="text1"/>
          <w:sz w:val="24"/>
          <w:szCs w:val="28"/>
        </w:rPr>
      </w:pPr>
    </w:p>
    <w:p w14:paraId="01256136" w14:textId="2803F032" w:rsidR="00D57FD8" w:rsidRDefault="00D42CA8" w:rsidP="002110AA">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8"/>
        </w:rPr>
        <w:t xml:space="preserve">Column (3) </w:t>
      </w:r>
      <w:r w:rsidR="00F00146" w:rsidRPr="005E73C2">
        <w:rPr>
          <w:rFonts w:asciiTheme="majorBidi" w:hAnsiTheme="majorBidi" w:cstheme="majorBidi"/>
          <w:color w:val="000000" w:themeColor="text1"/>
          <w:sz w:val="24"/>
          <w:szCs w:val="28"/>
        </w:rPr>
        <w:t>Table</w:t>
      </w:r>
      <w:r w:rsidR="00385869">
        <w:rPr>
          <w:rFonts w:asciiTheme="majorBidi" w:hAnsiTheme="majorBidi" w:cstheme="majorBidi"/>
          <w:color w:val="000000" w:themeColor="text1"/>
          <w:sz w:val="24"/>
          <w:szCs w:val="28"/>
        </w:rPr>
        <w:t xml:space="preserve"> </w:t>
      </w:r>
      <w:r>
        <w:rPr>
          <w:rFonts w:asciiTheme="majorBidi" w:hAnsiTheme="majorBidi" w:cstheme="majorBidi"/>
          <w:color w:val="000000" w:themeColor="text1"/>
          <w:sz w:val="24"/>
          <w:szCs w:val="28"/>
        </w:rPr>
        <w:t>5</w:t>
      </w:r>
      <w:r w:rsidR="00F00146" w:rsidRPr="005E73C2">
        <w:rPr>
          <w:rFonts w:asciiTheme="majorBidi" w:hAnsiTheme="majorBidi" w:cstheme="majorBidi"/>
          <w:color w:val="000000" w:themeColor="text1"/>
          <w:sz w:val="24"/>
          <w:szCs w:val="28"/>
        </w:rPr>
        <w:t xml:space="preserve"> indicates that the coefficient on the interaction between </w:t>
      </w:r>
      <w:r w:rsidR="00F00146" w:rsidRPr="005E73C2">
        <w:rPr>
          <w:rFonts w:asciiTheme="majorBidi" w:hAnsiTheme="majorBidi" w:cstheme="majorBidi"/>
          <w:i/>
          <w:iCs/>
          <w:color w:val="000000" w:themeColor="text1"/>
          <w:sz w:val="24"/>
          <w:szCs w:val="28"/>
        </w:rPr>
        <w:t>EXCLUSION</w:t>
      </w:r>
      <w:r w:rsidR="00F00146" w:rsidRPr="005E73C2">
        <w:rPr>
          <w:rFonts w:asciiTheme="majorBidi" w:hAnsiTheme="majorBidi" w:cstheme="majorBidi"/>
          <w:color w:val="000000" w:themeColor="text1"/>
          <w:sz w:val="24"/>
          <w:szCs w:val="28"/>
        </w:rPr>
        <w:t xml:space="preserve">, </w:t>
      </w:r>
      <w:r w:rsidR="007978D8">
        <w:rPr>
          <w:rFonts w:asciiTheme="majorBidi" w:hAnsiTheme="majorBidi" w:cstheme="majorBidi"/>
          <w:i/>
          <w:iCs/>
          <w:color w:val="000000" w:themeColor="text1"/>
          <w:sz w:val="24"/>
          <w:szCs w:val="28"/>
        </w:rPr>
        <w:t>NARCIS</w:t>
      </w:r>
      <w:r w:rsidR="00A22E2C">
        <w:rPr>
          <w:rFonts w:asciiTheme="majorBidi" w:hAnsiTheme="majorBidi" w:cstheme="majorBidi"/>
          <w:i/>
          <w:iCs/>
          <w:color w:val="000000" w:themeColor="text1"/>
          <w:sz w:val="24"/>
          <w:szCs w:val="28"/>
        </w:rPr>
        <w:t>,</w:t>
      </w:r>
      <w:r w:rsidR="00F00146" w:rsidRPr="00A22E2C">
        <w:rPr>
          <w:rFonts w:asciiTheme="majorBidi" w:hAnsiTheme="majorBidi" w:cstheme="majorBidi"/>
          <w:color w:val="000000" w:themeColor="text1"/>
          <w:sz w:val="24"/>
          <w:szCs w:val="28"/>
        </w:rPr>
        <w:t xml:space="preserve"> and</w:t>
      </w:r>
      <w:r w:rsidR="00F00146" w:rsidRPr="005E73C2">
        <w:rPr>
          <w:rFonts w:asciiTheme="majorBidi" w:hAnsiTheme="majorBidi" w:cstheme="majorBidi"/>
          <w:color w:val="000000" w:themeColor="text1"/>
          <w:sz w:val="24"/>
          <w:szCs w:val="28"/>
        </w:rPr>
        <w:t xml:space="preserve"> </w:t>
      </w:r>
      <w:r w:rsidR="007978D8">
        <w:rPr>
          <w:rFonts w:asciiTheme="majorBidi" w:hAnsiTheme="majorBidi" w:cstheme="majorBidi"/>
          <w:i/>
          <w:iCs/>
          <w:color w:val="000000" w:themeColor="text1"/>
          <w:sz w:val="24"/>
          <w:szCs w:val="28"/>
        </w:rPr>
        <w:t>GOV</w:t>
      </w:r>
      <w:r w:rsidR="00BB0D1D">
        <w:rPr>
          <w:rFonts w:asciiTheme="majorBidi" w:hAnsiTheme="majorBidi" w:cstheme="majorBidi"/>
          <w:i/>
          <w:iCs/>
          <w:color w:val="000000" w:themeColor="text1"/>
          <w:sz w:val="24"/>
          <w:szCs w:val="28"/>
        </w:rPr>
        <w:t>_EXP</w:t>
      </w:r>
      <w:r w:rsidR="00F00146" w:rsidRPr="005E73C2">
        <w:rPr>
          <w:rFonts w:asciiTheme="majorBidi" w:hAnsiTheme="majorBidi" w:cstheme="majorBidi"/>
          <w:i/>
          <w:iCs/>
          <w:color w:val="000000" w:themeColor="text1"/>
          <w:sz w:val="24"/>
          <w:szCs w:val="28"/>
        </w:rPr>
        <w:t xml:space="preserve"> </w:t>
      </w:r>
      <w:r w:rsidR="00F00146" w:rsidRPr="005E73C2">
        <w:rPr>
          <w:rFonts w:asciiTheme="majorBidi" w:hAnsiTheme="majorBidi" w:cstheme="majorBidi"/>
          <w:color w:val="000000" w:themeColor="text1"/>
          <w:sz w:val="24"/>
          <w:szCs w:val="28"/>
        </w:rPr>
        <w:t xml:space="preserve">is positive and significant, while the coefficient on the interaction between </w:t>
      </w:r>
      <w:r w:rsidR="00F00146" w:rsidRPr="005E73C2">
        <w:rPr>
          <w:rFonts w:asciiTheme="majorBidi" w:hAnsiTheme="majorBidi" w:cstheme="majorBidi"/>
          <w:i/>
          <w:iCs/>
          <w:color w:val="000000" w:themeColor="text1"/>
          <w:sz w:val="24"/>
          <w:szCs w:val="28"/>
        </w:rPr>
        <w:t>EXCLUSION</w:t>
      </w:r>
      <w:r w:rsidR="00F00146" w:rsidRPr="005E73C2">
        <w:rPr>
          <w:rFonts w:asciiTheme="majorBidi" w:hAnsiTheme="majorBidi" w:cstheme="majorBidi"/>
          <w:color w:val="000000" w:themeColor="text1"/>
          <w:sz w:val="24"/>
          <w:szCs w:val="28"/>
        </w:rPr>
        <w:t xml:space="preserve"> and </w:t>
      </w:r>
      <w:r w:rsidR="007978D8">
        <w:rPr>
          <w:rFonts w:asciiTheme="majorBidi" w:hAnsiTheme="majorBidi" w:cstheme="majorBidi"/>
          <w:i/>
          <w:iCs/>
          <w:color w:val="000000" w:themeColor="text1"/>
          <w:sz w:val="24"/>
          <w:szCs w:val="28"/>
        </w:rPr>
        <w:t>NARCIS</w:t>
      </w:r>
      <w:r w:rsidR="00F00146" w:rsidRPr="005E73C2">
        <w:rPr>
          <w:rFonts w:asciiTheme="majorBidi" w:hAnsiTheme="majorBidi" w:cstheme="majorBidi"/>
          <w:color w:val="000000" w:themeColor="text1"/>
          <w:sz w:val="24"/>
          <w:szCs w:val="28"/>
        </w:rPr>
        <w:t xml:space="preserve"> is </w:t>
      </w:r>
      <w:r w:rsidR="00953B6F">
        <w:rPr>
          <w:rFonts w:asciiTheme="majorBidi" w:hAnsiTheme="majorBidi" w:cstheme="majorBidi"/>
          <w:color w:val="000000" w:themeColor="text1"/>
          <w:sz w:val="24"/>
          <w:szCs w:val="28"/>
        </w:rPr>
        <w:t xml:space="preserve">still </w:t>
      </w:r>
      <w:r w:rsidR="00F00146" w:rsidRPr="005E73C2">
        <w:rPr>
          <w:rFonts w:asciiTheme="majorBidi" w:hAnsiTheme="majorBidi" w:cstheme="majorBidi"/>
          <w:color w:val="000000" w:themeColor="text1"/>
          <w:sz w:val="24"/>
          <w:szCs w:val="28"/>
        </w:rPr>
        <w:t>negative and significant</w:t>
      </w:r>
      <w:r w:rsidR="00D40DCD">
        <w:rPr>
          <w:rFonts w:asciiTheme="majorBidi" w:hAnsiTheme="majorBidi" w:cstheme="majorBidi"/>
          <w:color w:val="000000" w:themeColor="text1"/>
          <w:sz w:val="24"/>
          <w:szCs w:val="28"/>
        </w:rPr>
        <w:t>,</w:t>
      </w:r>
      <w:r w:rsidR="00F00146" w:rsidRPr="005E73C2">
        <w:rPr>
          <w:rFonts w:asciiTheme="majorBidi" w:hAnsiTheme="majorBidi" w:cstheme="majorBidi"/>
          <w:color w:val="000000" w:themeColor="text1"/>
          <w:sz w:val="24"/>
          <w:szCs w:val="28"/>
        </w:rPr>
        <w:t xml:space="preserve"> demonstrating that narcissistic AC chairs play a key role in improving the quality of non-IFRS exclusions when they hold more outside directorships. This is consistent with the </w:t>
      </w:r>
      <w:r w:rsidR="006D0193">
        <w:rPr>
          <w:rFonts w:asciiTheme="majorBidi" w:hAnsiTheme="majorBidi" w:cstheme="majorBidi"/>
          <w:color w:val="000000" w:themeColor="text1"/>
          <w:sz w:val="24"/>
          <w:szCs w:val="28"/>
        </w:rPr>
        <w:t xml:space="preserve">suggestion that </w:t>
      </w:r>
      <w:r w:rsidR="00F00146" w:rsidRPr="005E73C2">
        <w:rPr>
          <w:rFonts w:asciiTheme="majorBidi" w:hAnsiTheme="majorBidi" w:cstheme="majorBidi"/>
          <w:color w:val="000000" w:themeColor="text1"/>
          <w:sz w:val="24"/>
          <w:szCs w:val="28"/>
        </w:rPr>
        <w:t xml:space="preserve">corporate governance experience gained from other outside directorships </w:t>
      </w:r>
      <w:r w:rsidR="00F00146" w:rsidRPr="005E73C2">
        <w:rPr>
          <w:rFonts w:asciiTheme="majorBidi" w:hAnsiTheme="majorBidi" w:cstheme="majorBidi"/>
          <w:color w:val="000000" w:themeColor="text1"/>
          <w:sz w:val="24"/>
          <w:szCs w:val="24"/>
        </w:rPr>
        <w:t>help</w:t>
      </w:r>
      <w:r w:rsidR="006D0193">
        <w:rPr>
          <w:rFonts w:asciiTheme="majorBidi" w:hAnsiTheme="majorBidi" w:cstheme="majorBidi"/>
          <w:color w:val="000000" w:themeColor="text1"/>
          <w:sz w:val="24"/>
          <w:szCs w:val="24"/>
        </w:rPr>
        <w:t>s</w:t>
      </w:r>
      <w:r w:rsidR="00F00146" w:rsidRPr="005E73C2">
        <w:rPr>
          <w:rFonts w:asciiTheme="majorBidi" w:hAnsiTheme="majorBidi" w:cstheme="majorBidi"/>
          <w:color w:val="000000" w:themeColor="text1"/>
          <w:sz w:val="24"/>
          <w:szCs w:val="24"/>
        </w:rPr>
        <w:t xml:space="preserve"> </w:t>
      </w:r>
      <w:r w:rsidR="00AD0582" w:rsidRPr="005E73C2">
        <w:rPr>
          <w:rFonts w:asciiTheme="majorBidi" w:hAnsiTheme="majorBidi" w:cstheme="majorBidi"/>
          <w:color w:val="000000" w:themeColor="text1"/>
          <w:sz w:val="24"/>
          <w:szCs w:val="24"/>
        </w:rPr>
        <w:t>mitigat</w:t>
      </w:r>
      <w:r w:rsidR="006D0193">
        <w:rPr>
          <w:rFonts w:asciiTheme="majorBidi" w:hAnsiTheme="majorBidi" w:cstheme="majorBidi"/>
          <w:color w:val="000000" w:themeColor="text1"/>
          <w:sz w:val="24"/>
          <w:szCs w:val="24"/>
        </w:rPr>
        <w:t>e</w:t>
      </w:r>
      <w:r w:rsidR="00AD0582" w:rsidRPr="005E73C2">
        <w:rPr>
          <w:rFonts w:asciiTheme="majorBidi" w:hAnsiTheme="majorBidi" w:cstheme="majorBidi"/>
          <w:color w:val="000000" w:themeColor="text1"/>
          <w:sz w:val="24"/>
          <w:szCs w:val="24"/>
        </w:rPr>
        <w:t xml:space="preserve"> </w:t>
      </w:r>
      <w:r w:rsidR="00F00146" w:rsidRPr="005E73C2">
        <w:rPr>
          <w:rFonts w:asciiTheme="majorBidi" w:hAnsiTheme="majorBidi" w:cstheme="majorBidi"/>
          <w:color w:val="000000" w:themeColor="text1"/>
          <w:sz w:val="24"/>
          <w:szCs w:val="24"/>
        </w:rPr>
        <w:t>the opportunistic use of non-IFRS disclosure</w:t>
      </w:r>
      <w:r w:rsidR="00AD0582">
        <w:rPr>
          <w:rFonts w:asciiTheme="majorBidi" w:hAnsiTheme="majorBidi" w:cstheme="majorBidi"/>
          <w:color w:val="000000" w:themeColor="text1"/>
          <w:sz w:val="24"/>
          <w:szCs w:val="24"/>
        </w:rPr>
        <w:t xml:space="preserve"> (</w:t>
      </w:r>
      <w:r w:rsidR="00AD0582" w:rsidRPr="005E73C2">
        <w:rPr>
          <w:rFonts w:asciiTheme="majorBidi" w:hAnsiTheme="majorBidi" w:cstheme="majorBidi"/>
          <w:noProof/>
          <w:color w:val="000000" w:themeColor="text1"/>
          <w:sz w:val="24"/>
          <w:szCs w:val="28"/>
        </w:rPr>
        <w:t>Bedard et al.</w:t>
      </w:r>
      <w:r w:rsidR="00D40DCD">
        <w:rPr>
          <w:rFonts w:asciiTheme="majorBidi" w:hAnsiTheme="majorBidi" w:cstheme="majorBidi"/>
          <w:noProof/>
          <w:color w:val="000000" w:themeColor="text1"/>
          <w:sz w:val="24"/>
          <w:szCs w:val="28"/>
        </w:rPr>
        <w:t>,</w:t>
      </w:r>
      <w:r w:rsidR="00AD0582" w:rsidRPr="005E73C2">
        <w:rPr>
          <w:rFonts w:asciiTheme="majorBidi" w:hAnsiTheme="majorBidi" w:cstheme="majorBidi"/>
          <w:noProof/>
          <w:color w:val="000000" w:themeColor="text1"/>
          <w:sz w:val="24"/>
          <w:szCs w:val="28"/>
        </w:rPr>
        <w:t xml:space="preserve"> 2004</w:t>
      </w:r>
      <w:r w:rsidR="007F5A76">
        <w:rPr>
          <w:rFonts w:asciiTheme="majorBidi" w:hAnsiTheme="majorBidi" w:cstheme="majorBidi"/>
          <w:noProof/>
          <w:color w:val="000000" w:themeColor="text1"/>
          <w:sz w:val="24"/>
          <w:szCs w:val="28"/>
        </w:rPr>
        <w:t xml:space="preserve">; </w:t>
      </w:r>
      <w:r w:rsidR="007F5A76">
        <w:rPr>
          <w:rFonts w:ascii="Times New Roman" w:eastAsia="SimSun" w:hAnsi="Times New Roman" w:cs="Times New Roman"/>
          <w:kern w:val="0"/>
          <w:sz w:val="23"/>
          <w:szCs w:val="23"/>
          <w:lang w:eastAsia="en-US"/>
        </w:rPr>
        <w:t xml:space="preserve">Yang </w:t>
      </w:r>
      <w:r w:rsidR="002110AA">
        <w:rPr>
          <w:rFonts w:ascii="Times New Roman" w:eastAsia="SimSun" w:hAnsi="Times New Roman" w:cs="Times New Roman"/>
          <w:kern w:val="0"/>
          <w:sz w:val="23"/>
          <w:szCs w:val="23"/>
          <w:lang w:eastAsia="en-US"/>
        </w:rPr>
        <w:t>&amp;</w:t>
      </w:r>
      <w:r w:rsidR="007F5A76">
        <w:rPr>
          <w:rFonts w:ascii="Times New Roman" w:eastAsia="SimSun" w:hAnsi="Times New Roman" w:cs="Times New Roman"/>
          <w:kern w:val="0"/>
          <w:sz w:val="23"/>
          <w:szCs w:val="23"/>
          <w:lang w:eastAsia="en-US"/>
        </w:rPr>
        <w:t xml:space="preserve"> Krishnan; 2005</w:t>
      </w:r>
      <w:r w:rsidR="00AD0582">
        <w:rPr>
          <w:rFonts w:asciiTheme="majorBidi" w:hAnsiTheme="majorBidi" w:cstheme="majorBidi"/>
          <w:noProof/>
          <w:color w:val="000000" w:themeColor="text1"/>
          <w:sz w:val="24"/>
          <w:szCs w:val="28"/>
        </w:rPr>
        <w:t>)</w:t>
      </w:r>
      <w:r w:rsidR="00F00146" w:rsidRPr="005E73C2">
        <w:rPr>
          <w:rFonts w:asciiTheme="majorBidi" w:hAnsiTheme="majorBidi" w:cstheme="majorBidi"/>
          <w:color w:val="000000" w:themeColor="text1"/>
          <w:sz w:val="24"/>
          <w:szCs w:val="24"/>
        </w:rPr>
        <w:t>.</w:t>
      </w:r>
      <w:r w:rsidR="00AA3EE9">
        <w:rPr>
          <w:rFonts w:asciiTheme="majorBidi" w:hAnsiTheme="majorBidi" w:cstheme="majorBidi"/>
          <w:color w:val="000000" w:themeColor="text1"/>
          <w:sz w:val="24"/>
          <w:szCs w:val="24"/>
        </w:rPr>
        <w:t xml:space="preserve"> </w:t>
      </w:r>
    </w:p>
    <w:p w14:paraId="78E43CB9" w14:textId="790648D7" w:rsidR="00AA3EE9" w:rsidRDefault="00D57FD8" w:rsidP="00D57FD8">
      <w:pPr>
        <w:spacing w:line="480" w:lineRule="auto"/>
        <w:ind w:left="284" w:firstLine="4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Collectively</w:t>
      </w:r>
      <w:r w:rsidR="00AA3EE9">
        <w:rPr>
          <w:rFonts w:asciiTheme="majorBidi" w:hAnsiTheme="majorBidi" w:cstheme="majorBidi"/>
          <w:color w:val="000000" w:themeColor="text1"/>
          <w:sz w:val="24"/>
          <w:szCs w:val="24"/>
        </w:rPr>
        <w:t>, our results in Table 5</w:t>
      </w:r>
      <w:r w:rsidR="00AA3EE9" w:rsidRPr="00AA3EE9">
        <w:rPr>
          <w:rFonts w:asciiTheme="majorBidi" w:hAnsiTheme="majorBidi" w:cstheme="majorBidi"/>
          <w:color w:val="000000" w:themeColor="text1"/>
          <w:sz w:val="24"/>
          <w:szCs w:val="24"/>
        </w:rPr>
        <w:t xml:space="preserve"> suggest that</w:t>
      </w:r>
      <w:r w:rsidR="00E5638D">
        <w:rPr>
          <w:rFonts w:asciiTheme="majorBidi" w:hAnsiTheme="majorBidi" w:cstheme="majorBidi"/>
          <w:color w:val="000000" w:themeColor="text1"/>
          <w:sz w:val="24"/>
          <w:szCs w:val="24"/>
        </w:rPr>
        <w:t xml:space="preserve"> non-IFRS adjustments are less persistent </w:t>
      </w:r>
      <w:r w:rsidR="00E5638D">
        <w:rPr>
          <w:rFonts w:asciiTheme="majorBidi" w:hAnsiTheme="majorBidi" w:cstheme="majorBidi"/>
          <w:color w:val="000000" w:themeColor="text1"/>
          <w:sz w:val="24"/>
          <w:szCs w:val="24"/>
        </w:rPr>
        <w:lastRenderedPageBreak/>
        <w:t xml:space="preserve">only </w:t>
      </w:r>
      <w:r w:rsidR="00E5638D" w:rsidRPr="009B5D79">
        <w:rPr>
          <w:rFonts w:asciiTheme="majorBidi" w:hAnsiTheme="majorBidi" w:cstheme="majorBidi"/>
          <w:color w:val="000000" w:themeColor="text1"/>
          <w:sz w:val="24"/>
          <w:szCs w:val="24"/>
        </w:rPr>
        <w:t>when AC chair</w:t>
      </w:r>
      <w:r w:rsidR="00E5638D">
        <w:rPr>
          <w:rFonts w:asciiTheme="majorBidi" w:hAnsiTheme="majorBidi" w:cstheme="majorBidi"/>
          <w:color w:val="000000" w:themeColor="text1"/>
          <w:sz w:val="24"/>
          <w:szCs w:val="24"/>
        </w:rPr>
        <w:t>s</w:t>
      </w:r>
      <w:r w:rsidR="00E5638D" w:rsidRPr="009B5D79">
        <w:rPr>
          <w:rFonts w:asciiTheme="majorBidi" w:hAnsiTheme="majorBidi" w:cstheme="majorBidi"/>
          <w:color w:val="000000" w:themeColor="text1"/>
          <w:sz w:val="24"/>
          <w:szCs w:val="24"/>
        </w:rPr>
        <w:t xml:space="preserve"> </w:t>
      </w:r>
      <w:r w:rsidR="00E5638D">
        <w:rPr>
          <w:rFonts w:asciiTheme="majorBidi" w:hAnsiTheme="majorBidi" w:cstheme="majorBidi"/>
          <w:color w:val="000000" w:themeColor="text1"/>
          <w:sz w:val="24"/>
          <w:szCs w:val="24"/>
        </w:rPr>
        <w:t>are competent demonstrating that</w:t>
      </w:r>
      <w:r w:rsidR="00AA3EE9" w:rsidRPr="00AA3EE9">
        <w:rPr>
          <w:rFonts w:asciiTheme="majorBidi" w:hAnsiTheme="majorBidi" w:cstheme="majorBidi"/>
          <w:color w:val="000000" w:themeColor="text1"/>
          <w:sz w:val="24"/>
          <w:szCs w:val="24"/>
        </w:rPr>
        <w:t xml:space="preserve"> the combination of narcissism and experience creates a dynamic where strong oversight is not only motivated but also executed with competence.</w:t>
      </w:r>
    </w:p>
    <w:p w14:paraId="0C7A6BD4" w14:textId="06839CAF" w:rsidR="00D42CA8" w:rsidRDefault="00D42CA8" w:rsidP="00FD7B1D">
      <w:pPr>
        <w:spacing w:line="480" w:lineRule="auto"/>
        <w:ind w:firstLine="420"/>
        <w:jc w:val="center"/>
        <w:rPr>
          <w:rFonts w:asciiTheme="majorBidi" w:hAnsiTheme="majorBidi" w:cstheme="majorBidi"/>
          <w:color w:val="000000" w:themeColor="text1"/>
          <w:sz w:val="24"/>
          <w:szCs w:val="24"/>
        </w:rPr>
      </w:pPr>
      <w:r w:rsidRPr="005E73C2">
        <w:rPr>
          <w:rFonts w:asciiTheme="majorBidi" w:hAnsiTheme="majorBidi" w:cstheme="majorBidi"/>
          <w:color w:val="000000" w:themeColor="text1"/>
          <w:sz w:val="24"/>
          <w:szCs w:val="28"/>
        </w:rPr>
        <w:t xml:space="preserve">{INSERT TABLE </w:t>
      </w:r>
      <w:r>
        <w:rPr>
          <w:rFonts w:asciiTheme="majorBidi" w:hAnsiTheme="majorBidi" w:cstheme="majorBidi"/>
          <w:color w:val="000000" w:themeColor="text1"/>
          <w:sz w:val="24"/>
          <w:szCs w:val="28"/>
        </w:rPr>
        <w:t>FIVE</w:t>
      </w:r>
      <w:r w:rsidRPr="005E73C2">
        <w:rPr>
          <w:rFonts w:asciiTheme="majorBidi" w:hAnsiTheme="majorBidi" w:cstheme="majorBidi"/>
          <w:color w:val="000000" w:themeColor="text1"/>
          <w:sz w:val="24"/>
          <w:szCs w:val="28"/>
        </w:rPr>
        <w:t xml:space="preserve"> ABOUT HERE}</w:t>
      </w:r>
    </w:p>
    <w:p w14:paraId="2318C078" w14:textId="021EA5CB" w:rsidR="00D42CA8" w:rsidRPr="00FD7B1D" w:rsidRDefault="00331AE5" w:rsidP="00FD7B1D">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6.4.4 </w:t>
      </w:r>
      <w:r w:rsidR="00A2068D" w:rsidRPr="0087365D">
        <w:rPr>
          <w:rFonts w:asciiTheme="majorBidi" w:hAnsiTheme="majorBidi"/>
          <w:i/>
          <w:iCs/>
          <w:color w:val="000000" w:themeColor="text1"/>
          <w:sz w:val="28"/>
          <w:szCs w:val="28"/>
        </w:rPr>
        <w:t>Power distribution between executives and non-executives</w:t>
      </w:r>
    </w:p>
    <w:p w14:paraId="154CAC22" w14:textId="27FF4681" w:rsidR="00A2068D" w:rsidRDefault="00D42CA8" w:rsidP="001A7925">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095E64" w:rsidRPr="00095E64">
        <w:rPr>
          <w:rFonts w:asciiTheme="majorBidi" w:hAnsiTheme="majorBidi" w:cstheme="majorBidi"/>
          <w:color w:val="000000" w:themeColor="text1"/>
          <w:sz w:val="24"/>
          <w:szCs w:val="24"/>
        </w:rPr>
        <w:t xml:space="preserve">The ability of the AC chair to effectively monitor executives is another key mechanism that shapes </w:t>
      </w:r>
      <w:r w:rsidR="001A7925">
        <w:rPr>
          <w:rFonts w:asciiTheme="majorBidi" w:hAnsiTheme="majorBidi" w:cstheme="majorBidi"/>
          <w:color w:val="000000" w:themeColor="text1"/>
          <w:sz w:val="24"/>
          <w:szCs w:val="24"/>
        </w:rPr>
        <w:t xml:space="preserve">the quality of </w:t>
      </w:r>
      <w:r w:rsidR="00095E64" w:rsidRPr="00095E64">
        <w:rPr>
          <w:rFonts w:asciiTheme="majorBidi" w:hAnsiTheme="majorBidi" w:cstheme="majorBidi"/>
          <w:color w:val="000000" w:themeColor="text1"/>
          <w:sz w:val="24"/>
          <w:szCs w:val="24"/>
        </w:rPr>
        <w:t>their oversight. However, this ability can be diminished in firms with powerful CEOs.</w:t>
      </w:r>
      <w:r w:rsidR="00095E64">
        <w:rPr>
          <w:rFonts w:asciiTheme="majorBidi" w:hAnsiTheme="majorBidi" w:cstheme="majorBidi"/>
          <w:color w:val="000000" w:themeColor="text1"/>
          <w:sz w:val="24"/>
          <w:szCs w:val="24"/>
        </w:rPr>
        <w:t xml:space="preserve"> </w:t>
      </w:r>
      <w:r w:rsidR="008A291A">
        <w:rPr>
          <w:rFonts w:asciiTheme="majorBidi" w:hAnsiTheme="majorBidi" w:cstheme="majorBidi"/>
          <w:color w:val="000000" w:themeColor="text1"/>
          <w:sz w:val="24"/>
          <w:szCs w:val="24"/>
        </w:rPr>
        <w:t>D</w:t>
      </w:r>
      <w:r w:rsidR="00A2068D" w:rsidRPr="00597AB8">
        <w:rPr>
          <w:rFonts w:asciiTheme="majorBidi" w:hAnsiTheme="majorBidi" w:cstheme="majorBidi"/>
          <w:color w:val="000000" w:themeColor="text1"/>
          <w:sz w:val="24"/>
          <w:szCs w:val="24"/>
        </w:rPr>
        <w:t xml:space="preserve">espite </w:t>
      </w:r>
      <w:r w:rsidR="00A2068D" w:rsidRPr="007426DC">
        <w:rPr>
          <w:rFonts w:asciiTheme="majorBidi" w:hAnsiTheme="majorBidi" w:cstheme="majorBidi"/>
          <w:color w:val="000000" w:themeColor="text1"/>
          <w:sz w:val="24"/>
          <w:szCs w:val="24"/>
        </w:rPr>
        <w:t>restrictions</w:t>
      </w:r>
      <w:r w:rsidR="00A2068D" w:rsidRPr="00597AB8">
        <w:rPr>
          <w:rFonts w:asciiTheme="majorBidi" w:hAnsiTheme="majorBidi" w:cstheme="majorBidi"/>
          <w:color w:val="000000" w:themeColor="text1"/>
          <w:sz w:val="24"/>
          <w:szCs w:val="24"/>
        </w:rPr>
        <w:t xml:space="preserve"> on CEOs serving on the nominating committee,</w:t>
      </w:r>
      <w:r w:rsidR="00A2068D">
        <w:rPr>
          <w:rFonts w:asciiTheme="majorBidi" w:hAnsiTheme="majorBidi" w:cstheme="majorBidi"/>
          <w:color w:val="000000" w:themeColor="text1"/>
          <w:sz w:val="24"/>
          <w:szCs w:val="24"/>
        </w:rPr>
        <w:t xml:space="preserve"> they can</w:t>
      </w:r>
      <w:r w:rsidR="00A2068D" w:rsidRPr="00597AB8">
        <w:rPr>
          <w:rFonts w:asciiTheme="majorBidi" w:hAnsiTheme="majorBidi" w:cstheme="majorBidi"/>
          <w:color w:val="000000" w:themeColor="text1"/>
          <w:sz w:val="24"/>
          <w:szCs w:val="24"/>
        </w:rPr>
        <w:t xml:space="preserve"> still influence board selection. For instance, </w:t>
      </w:r>
      <w:r w:rsidR="00095E64" w:rsidRPr="00095E64">
        <w:rPr>
          <w:rFonts w:asciiTheme="majorBidi" w:hAnsiTheme="majorBidi" w:cstheme="majorBidi"/>
          <w:color w:val="000000" w:themeColor="text1"/>
          <w:sz w:val="24"/>
          <w:szCs w:val="24"/>
        </w:rPr>
        <w:t>Cohen et al. (2013) found that 73% of directors acknowledged CEO influence in the selection of audit committee members, while Clune</w:t>
      </w:r>
      <w:r w:rsidR="00222786">
        <w:rPr>
          <w:rFonts w:asciiTheme="majorBidi" w:hAnsiTheme="majorBidi" w:cstheme="majorBidi"/>
          <w:color w:val="000000" w:themeColor="text1"/>
          <w:sz w:val="24"/>
          <w:szCs w:val="24"/>
        </w:rPr>
        <w:t>, Hermanson, Tompkins</w:t>
      </w:r>
      <w:r w:rsidR="002A02C5">
        <w:rPr>
          <w:rFonts w:asciiTheme="majorBidi" w:hAnsiTheme="majorBidi" w:cstheme="majorBidi"/>
          <w:color w:val="000000" w:themeColor="text1"/>
          <w:sz w:val="24"/>
          <w:szCs w:val="24"/>
        </w:rPr>
        <w:t>,</w:t>
      </w:r>
      <w:r w:rsidR="00222786">
        <w:rPr>
          <w:rFonts w:asciiTheme="majorBidi" w:hAnsiTheme="majorBidi" w:cstheme="majorBidi"/>
          <w:color w:val="000000" w:themeColor="text1"/>
          <w:sz w:val="24"/>
          <w:szCs w:val="24"/>
        </w:rPr>
        <w:t xml:space="preserve"> </w:t>
      </w:r>
      <w:r w:rsidR="002A02C5">
        <w:rPr>
          <w:rFonts w:asciiTheme="majorBidi" w:hAnsiTheme="majorBidi" w:cstheme="majorBidi"/>
          <w:color w:val="000000" w:themeColor="text1"/>
          <w:sz w:val="24"/>
          <w:szCs w:val="24"/>
        </w:rPr>
        <w:t>and</w:t>
      </w:r>
      <w:r w:rsidR="00222786">
        <w:rPr>
          <w:rFonts w:asciiTheme="majorBidi" w:hAnsiTheme="majorBidi" w:cstheme="majorBidi"/>
          <w:color w:val="000000" w:themeColor="text1"/>
          <w:sz w:val="24"/>
          <w:szCs w:val="24"/>
        </w:rPr>
        <w:t xml:space="preserve"> Ye </w:t>
      </w:r>
      <w:r w:rsidR="00095E64" w:rsidRPr="00095E64">
        <w:rPr>
          <w:rFonts w:asciiTheme="majorBidi" w:hAnsiTheme="majorBidi" w:cstheme="majorBidi"/>
          <w:color w:val="000000" w:themeColor="text1"/>
          <w:sz w:val="24"/>
          <w:szCs w:val="24"/>
        </w:rPr>
        <w:t>(2014) reported that 53% of interviewees recognized substantial CEO involvement in new director nominations. Similarly, Clune et al. (2019) observed that 50% of interviewees noted CEO influenc</w:t>
      </w:r>
      <w:r w:rsidR="00095E64">
        <w:rPr>
          <w:rFonts w:asciiTheme="majorBidi" w:hAnsiTheme="majorBidi" w:cstheme="majorBidi"/>
          <w:color w:val="000000" w:themeColor="text1"/>
          <w:sz w:val="24"/>
          <w:szCs w:val="24"/>
        </w:rPr>
        <w:t>e in selecting committee chairs</w:t>
      </w:r>
      <w:r w:rsidR="00A2068D" w:rsidRPr="00597AB8">
        <w:rPr>
          <w:rFonts w:asciiTheme="majorBidi" w:hAnsiTheme="majorBidi" w:cstheme="majorBidi"/>
          <w:color w:val="000000" w:themeColor="text1"/>
          <w:sz w:val="24"/>
          <w:szCs w:val="24"/>
        </w:rPr>
        <w:t>.</w:t>
      </w:r>
      <w:r w:rsidR="00A2068D">
        <w:rPr>
          <w:rFonts w:asciiTheme="majorBidi" w:hAnsiTheme="majorBidi" w:cstheme="majorBidi"/>
          <w:color w:val="000000" w:themeColor="text1"/>
          <w:sz w:val="24"/>
          <w:szCs w:val="24"/>
        </w:rPr>
        <w:t xml:space="preserve"> </w:t>
      </w:r>
      <w:r w:rsidR="00A2068D" w:rsidRPr="007426DC">
        <w:rPr>
          <w:rFonts w:asciiTheme="majorBidi" w:hAnsiTheme="majorBidi" w:cstheme="majorBidi"/>
          <w:color w:val="000000" w:themeColor="text1"/>
          <w:sz w:val="24"/>
          <w:szCs w:val="24"/>
        </w:rPr>
        <w:t>Consequently</w:t>
      </w:r>
      <w:r w:rsidR="00A2068D" w:rsidRPr="00597AB8">
        <w:rPr>
          <w:rFonts w:asciiTheme="majorBidi" w:hAnsiTheme="majorBidi" w:cstheme="majorBidi"/>
          <w:color w:val="000000" w:themeColor="text1"/>
          <w:sz w:val="24"/>
          <w:szCs w:val="24"/>
        </w:rPr>
        <w:t xml:space="preserve">, </w:t>
      </w:r>
      <w:r w:rsidR="004E39F0" w:rsidRPr="004E39F0">
        <w:rPr>
          <w:rFonts w:asciiTheme="majorBidi" w:hAnsiTheme="majorBidi" w:cstheme="majorBidi"/>
          <w:color w:val="000000" w:themeColor="text1"/>
          <w:sz w:val="24"/>
          <w:szCs w:val="24"/>
        </w:rPr>
        <w:t>AC chairs may align with the</w:t>
      </w:r>
      <w:r w:rsidR="00A2068D" w:rsidRPr="00597AB8">
        <w:rPr>
          <w:rFonts w:asciiTheme="majorBidi" w:hAnsiTheme="majorBidi" w:cstheme="majorBidi"/>
          <w:color w:val="000000" w:themeColor="text1"/>
          <w:sz w:val="24"/>
          <w:szCs w:val="24"/>
        </w:rPr>
        <w:t xml:space="preserve"> CEO</w:t>
      </w:r>
      <w:r w:rsidR="00A2068D">
        <w:rPr>
          <w:rFonts w:asciiTheme="majorBidi" w:hAnsiTheme="majorBidi" w:cstheme="majorBidi"/>
          <w:color w:val="000000" w:themeColor="text1"/>
          <w:sz w:val="24"/>
          <w:szCs w:val="24"/>
        </w:rPr>
        <w:t>’</w:t>
      </w:r>
      <w:r w:rsidR="00A2068D" w:rsidRPr="00597AB8">
        <w:rPr>
          <w:rFonts w:asciiTheme="majorBidi" w:hAnsiTheme="majorBidi" w:cstheme="majorBidi"/>
          <w:color w:val="000000" w:themeColor="text1"/>
          <w:sz w:val="24"/>
          <w:szCs w:val="24"/>
        </w:rPr>
        <w:t>s financial reporting choices to avoid conflicts</w:t>
      </w:r>
      <w:r w:rsidR="00A2068D">
        <w:rPr>
          <w:rFonts w:asciiTheme="majorBidi" w:hAnsiTheme="majorBidi" w:cstheme="majorBidi"/>
          <w:color w:val="000000" w:themeColor="text1"/>
          <w:sz w:val="24"/>
          <w:szCs w:val="24"/>
        </w:rPr>
        <w:t xml:space="preserve"> and </w:t>
      </w:r>
      <w:r w:rsidR="00A2068D" w:rsidRPr="00FD773F">
        <w:rPr>
          <w:rFonts w:asciiTheme="majorBidi" w:hAnsiTheme="majorBidi" w:cstheme="majorBidi"/>
          <w:color w:val="000000" w:themeColor="text1"/>
          <w:sz w:val="24"/>
          <w:szCs w:val="24"/>
        </w:rPr>
        <w:t xml:space="preserve">gain </w:t>
      </w:r>
      <w:r w:rsidR="000257C7" w:rsidRPr="00FD773F">
        <w:rPr>
          <w:rFonts w:asciiTheme="majorBidi" w:hAnsiTheme="majorBidi" w:cstheme="majorBidi"/>
          <w:color w:val="000000" w:themeColor="text1"/>
          <w:sz w:val="24"/>
          <w:szCs w:val="24"/>
        </w:rPr>
        <w:t>favo</w:t>
      </w:r>
      <w:r w:rsidR="000257C7">
        <w:rPr>
          <w:rFonts w:asciiTheme="majorBidi" w:hAnsiTheme="majorBidi" w:cstheme="majorBidi"/>
          <w:color w:val="000000" w:themeColor="text1"/>
          <w:sz w:val="24"/>
          <w:szCs w:val="24"/>
        </w:rPr>
        <w:t>r</w:t>
      </w:r>
      <w:r w:rsidR="00A2068D" w:rsidRPr="00FD773F">
        <w:rPr>
          <w:rFonts w:asciiTheme="majorBidi" w:hAnsiTheme="majorBidi" w:cstheme="majorBidi"/>
          <w:color w:val="000000" w:themeColor="text1"/>
          <w:sz w:val="24"/>
          <w:szCs w:val="24"/>
        </w:rPr>
        <w:t xml:space="preserve"> </w:t>
      </w:r>
      <w:r w:rsidR="00A2068D">
        <w:rPr>
          <w:rFonts w:asciiTheme="majorBidi" w:hAnsiTheme="majorBidi" w:cstheme="majorBidi"/>
          <w:color w:val="000000" w:themeColor="text1"/>
          <w:sz w:val="24"/>
          <w:szCs w:val="24"/>
        </w:rPr>
        <w:t>or</w:t>
      </w:r>
      <w:r w:rsidR="00A2068D" w:rsidRPr="00FD773F">
        <w:rPr>
          <w:rFonts w:asciiTheme="majorBidi" w:hAnsiTheme="majorBidi" w:cstheme="majorBidi"/>
          <w:color w:val="000000" w:themeColor="text1"/>
          <w:sz w:val="24"/>
          <w:szCs w:val="24"/>
        </w:rPr>
        <w:t xml:space="preserve"> </w:t>
      </w:r>
      <w:r w:rsidR="004E39F0" w:rsidRPr="004E39F0">
        <w:rPr>
          <w:rFonts w:asciiTheme="majorBidi" w:hAnsiTheme="majorBidi" w:cstheme="majorBidi"/>
          <w:color w:val="000000" w:themeColor="text1"/>
          <w:sz w:val="24"/>
          <w:szCs w:val="24"/>
        </w:rPr>
        <w:t>pursue personal advancement, thereby compromising their objectivity and diminishing their ability to provide rigorous oversight.</w:t>
      </w:r>
    </w:p>
    <w:p w14:paraId="39745923" w14:textId="4F6A8EDC" w:rsidR="00A2068D" w:rsidRDefault="0026049E" w:rsidP="007F11BE">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A2068D" w:rsidRPr="00597AB8">
        <w:rPr>
          <w:rFonts w:asciiTheme="majorBidi" w:hAnsiTheme="majorBidi" w:cstheme="majorBidi"/>
          <w:color w:val="000000" w:themeColor="text1"/>
          <w:sz w:val="24"/>
          <w:szCs w:val="24"/>
        </w:rPr>
        <w:t>Additionally, powerful CEOs often play a central role in setting the agenda for board meetings (</w:t>
      </w:r>
      <w:proofErr w:type="spellStart"/>
      <w:r w:rsidR="00A2068D" w:rsidRPr="00597AB8">
        <w:rPr>
          <w:rFonts w:asciiTheme="majorBidi" w:hAnsiTheme="majorBidi" w:cstheme="majorBidi"/>
          <w:color w:val="000000" w:themeColor="text1"/>
          <w:sz w:val="24"/>
          <w:szCs w:val="24"/>
        </w:rPr>
        <w:t>Faleye</w:t>
      </w:r>
      <w:proofErr w:type="spellEnd"/>
      <w:r w:rsidR="00A2068D">
        <w:rPr>
          <w:rFonts w:asciiTheme="majorBidi" w:hAnsiTheme="majorBidi" w:cstheme="majorBidi"/>
          <w:color w:val="000000" w:themeColor="text1"/>
          <w:sz w:val="24"/>
          <w:szCs w:val="24"/>
        </w:rPr>
        <w:t>,</w:t>
      </w:r>
      <w:r w:rsidR="00A2068D" w:rsidRPr="007E2599">
        <w:rPr>
          <w:rFonts w:ascii="Arial" w:hAnsi="Arial" w:cs="Arial"/>
          <w:color w:val="222222"/>
          <w:sz w:val="20"/>
          <w:szCs w:val="20"/>
          <w:shd w:val="clear" w:color="auto" w:fill="FFFFFF"/>
        </w:rPr>
        <w:t xml:space="preserve"> </w:t>
      </w:r>
      <w:proofErr w:type="spellStart"/>
      <w:r w:rsidR="00A2068D" w:rsidRPr="007E2599">
        <w:rPr>
          <w:rFonts w:asciiTheme="majorBidi" w:hAnsiTheme="majorBidi" w:cstheme="majorBidi"/>
          <w:color w:val="000000" w:themeColor="text1"/>
          <w:sz w:val="24"/>
          <w:szCs w:val="24"/>
        </w:rPr>
        <w:t>Hoitash</w:t>
      </w:r>
      <w:proofErr w:type="spellEnd"/>
      <w:r w:rsidR="00A2068D">
        <w:rPr>
          <w:rFonts w:asciiTheme="majorBidi" w:hAnsiTheme="majorBidi" w:cstheme="majorBidi"/>
          <w:color w:val="000000" w:themeColor="text1"/>
          <w:sz w:val="24"/>
          <w:szCs w:val="24"/>
        </w:rPr>
        <w:t xml:space="preserve">, &amp; </w:t>
      </w:r>
      <w:proofErr w:type="spellStart"/>
      <w:r w:rsidR="00A2068D" w:rsidRPr="007E2599">
        <w:rPr>
          <w:rFonts w:asciiTheme="majorBidi" w:hAnsiTheme="majorBidi" w:cstheme="majorBidi"/>
          <w:color w:val="000000" w:themeColor="text1"/>
          <w:sz w:val="24"/>
          <w:szCs w:val="24"/>
        </w:rPr>
        <w:t>Hoitash</w:t>
      </w:r>
      <w:proofErr w:type="spellEnd"/>
      <w:r w:rsidR="00A2068D" w:rsidRPr="00597AB8">
        <w:rPr>
          <w:rFonts w:asciiTheme="majorBidi" w:hAnsiTheme="majorBidi" w:cstheme="majorBidi"/>
          <w:color w:val="000000" w:themeColor="text1"/>
          <w:sz w:val="24"/>
          <w:szCs w:val="24"/>
        </w:rPr>
        <w:t>, 201</w:t>
      </w:r>
      <w:r w:rsidR="00A2068D">
        <w:rPr>
          <w:rFonts w:asciiTheme="majorBidi" w:hAnsiTheme="majorBidi" w:cstheme="majorBidi"/>
          <w:color w:val="000000" w:themeColor="text1"/>
          <w:sz w:val="24"/>
          <w:szCs w:val="24"/>
        </w:rPr>
        <w:t>3</w:t>
      </w:r>
      <w:r w:rsidR="00A2068D" w:rsidRPr="00597AB8">
        <w:rPr>
          <w:rFonts w:asciiTheme="majorBidi" w:hAnsiTheme="majorBidi" w:cstheme="majorBidi"/>
          <w:color w:val="000000" w:themeColor="text1"/>
          <w:sz w:val="24"/>
          <w:szCs w:val="24"/>
        </w:rPr>
        <w:t xml:space="preserve">), allowing them to prioritize topics </w:t>
      </w:r>
      <w:r w:rsidR="000257C7" w:rsidRPr="00597AB8">
        <w:rPr>
          <w:rFonts w:asciiTheme="majorBidi" w:hAnsiTheme="majorBidi" w:cstheme="majorBidi"/>
          <w:color w:val="000000" w:themeColor="text1"/>
          <w:sz w:val="24"/>
          <w:szCs w:val="24"/>
        </w:rPr>
        <w:t>favo</w:t>
      </w:r>
      <w:r w:rsidR="000257C7">
        <w:rPr>
          <w:rFonts w:asciiTheme="majorBidi" w:hAnsiTheme="majorBidi" w:cstheme="majorBidi"/>
          <w:color w:val="000000" w:themeColor="text1"/>
          <w:sz w:val="24"/>
          <w:szCs w:val="24"/>
        </w:rPr>
        <w:t>r</w:t>
      </w:r>
      <w:r w:rsidR="000257C7" w:rsidRPr="00597AB8">
        <w:rPr>
          <w:rFonts w:asciiTheme="majorBidi" w:hAnsiTheme="majorBidi" w:cstheme="majorBidi"/>
          <w:color w:val="000000" w:themeColor="text1"/>
          <w:sz w:val="24"/>
          <w:szCs w:val="24"/>
        </w:rPr>
        <w:t>able</w:t>
      </w:r>
      <w:r w:rsidR="00A2068D" w:rsidRPr="00597AB8">
        <w:rPr>
          <w:rFonts w:asciiTheme="majorBidi" w:hAnsiTheme="majorBidi" w:cstheme="majorBidi"/>
          <w:color w:val="000000" w:themeColor="text1"/>
          <w:sz w:val="24"/>
          <w:szCs w:val="24"/>
        </w:rPr>
        <w:t xml:space="preserve"> to their agenda while downplaying or avoiding discussions that may challenge their financial reporting decisions, including non-IFRS disclosures.</w:t>
      </w:r>
      <w:r w:rsidR="00A2068D">
        <w:rPr>
          <w:rFonts w:asciiTheme="majorBidi" w:hAnsiTheme="majorBidi" w:cstheme="majorBidi"/>
          <w:color w:val="000000" w:themeColor="text1"/>
          <w:sz w:val="24"/>
          <w:szCs w:val="24"/>
        </w:rPr>
        <w:t xml:space="preserve"> </w:t>
      </w:r>
      <w:r w:rsidR="004F4F22">
        <w:rPr>
          <w:rFonts w:asciiTheme="majorBidi" w:hAnsiTheme="majorBidi" w:cstheme="majorBidi"/>
          <w:color w:val="000000" w:themeColor="text1"/>
          <w:sz w:val="24"/>
          <w:szCs w:val="24"/>
        </w:rPr>
        <w:t xml:space="preserve">That is, in firms led by </w:t>
      </w:r>
      <w:r w:rsidR="004F4F22" w:rsidRPr="004F4F22">
        <w:rPr>
          <w:rFonts w:asciiTheme="majorBidi" w:hAnsiTheme="majorBidi" w:cstheme="majorBidi"/>
          <w:color w:val="000000" w:themeColor="text1"/>
          <w:sz w:val="24"/>
          <w:szCs w:val="24"/>
        </w:rPr>
        <w:t>powerful CEOs, the AC chair may have diminished access to timely and necessary information</w:t>
      </w:r>
      <w:r w:rsidR="004F4F22">
        <w:rPr>
          <w:rFonts w:asciiTheme="majorBidi" w:hAnsiTheme="majorBidi" w:cstheme="majorBidi"/>
          <w:color w:val="000000" w:themeColor="text1"/>
          <w:sz w:val="24"/>
          <w:szCs w:val="24"/>
        </w:rPr>
        <w:t xml:space="preserve">, </w:t>
      </w:r>
      <w:r w:rsidR="004F4F22" w:rsidRPr="004F4F22">
        <w:rPr>
          <w:rFonts w:asciiTheme="majorBidi" w:hAnsiTheme="majorBidi" w:cstheme="majorBidi"/>
          <w:color w:val="000000" w:themeColor="text1"/>
          <w:sz w:val="24"/>
          <w:szCs w:val="24"/>
        </w:rPr>
        <w:t xml:space="preserve">thereby undermining </w:t>
      </w:r>
      <w:r w:rsidR="007F11BE">
        <w:rPr>
          <w:rFonts w:asciiTheme="majorBidi" w:hAnsiTheme="majorBidi" w:cstheme="majorBidi"/>
          <w:color w:val="000000" w:themeColor="text1"/>
          <w:sz w:val="24"/>
          <w:szCs w:val="24"/>
        </w:rPr>
        <w:t>the quality of their monitoring (Bedford</w:t>
      </w:r>
      <w:r w:rsidR="00A2068D" w:rsidRPr="00F62069">
        <w:rPr>
          <w:rFonts w:asciiTheme="majorBidi" w:hAnsiTheme="majorBidi" w:cstheme="majorBidi"/>
          <w:color w:val="000000" w:themeColor="text1"/>
          <w:sz w:val="24"/>
          <w:szCs w:val="24"/>
        </w:rPr>
        <w:t xml:space="preserve">, </w:t>
      </w:r>
      <w:proofErr w:type="spellStart"/>
      <w:r w:rsidR="00A2068D" w:rsidRPr="00F62069">
        <w:rPr>
          <w:rFonts w:asciiTheme="majorBidi" w:hAnsiTheme="majorBidi" w:cstheme="majorBidi"/>
          <w:color w:val="000000" w:themeColor="text1"/>
          <w:sz w:val="24"/>
          <w:szCs w:val="24"/>
        </w:rPr>
        <w:t>Ghannam</w:t>
      </w:r>
      <w:proofErr w:type="spellEnd"/>
      <w:r w:rsidR="00A2068D" w:rsidRPr="00F62069">
        <w:rPr>
          <w:rFonts w:asciiTheme="majorBidi" w:hAnsiTheme="majorBidi" w:cstheme="majorBidi"/>
          <w:color w:val="000000" w:themeColor="text1"/>
          <w:sz w:val="24"/>
          <w:szCs w:val="24"/>
        </w:rPr>
        <w:t>, Grosse, &amp; Ma</w:t>
      </w:r>
      <w:r w:rsidR="007F11BE">
        <w:rPr>
          <w:rFonts w:asciiTheme="majorBidi" w:hAnsiTheme="majorBidi" w:cstheme="majorBidi"/>
          <w:color w:val="000000" w:themeColor="text1"/>
          <w:sz w:val="24"/>
          <w:szCs w:val="24"/>
        </w:rPr>
        <w:t xml:space="preserve">, </w:t>
      </w:r>
      <w:r w:rsidR="00A2068D" w:rsidRPr="00F62069">
        <w:rPr>
          <w:rFonts w:asciiTheme="majorBidi" w:hAnsiTheme="majorBidi" w:cstheme="majorBidi"/>
          <w:color w:val="000000" w:themeColor="text1"/>
          <w:sz w:val="24"/>
          <w:szCs w:val="24"/>
        </w:rPr>
        <w:t>2023)</w:t>
      </w:r>
      <w:r w:rsidR="00A2068D">
        <w:rPr>
          <w:rFonts w:asciiTheme="majorBidi" w:hAnsiTheme="majorBidi" w:cstheme="majorBidi"/>
          <w:color w:val="000000" w:themeColor="text1"/>
          <w:sz w:val="24"/>
          <w:szCs w:val="24"/>
        </w:rPr>
        <w:t>.</w:t>
      </w:r>
      <w:r w:rsidR="004F4F22">
        <w:rPr>
          <w:rFonts w:asciiTheme="majorBidi" w:hAnsiTheme="majorBidi" w:cstheme="majorBidi"/>
          <w:color w:val="000000" w:themeColor="text1"/>
          <w:sz w:val="24"/>
          <w:szCs w:val="24"/>
        </w:rPr>
        <w:t xml:space="preserve"> </w:t>
      </w:r>
      <w:r w:rsidR="00A2068D">
        <w:rPr>
          <w:rFonts w:asciiTheme="majorBidi" w:hAnsiTheme="majorBidi" w:cstheme="majorBidi"/>
          <w:color w:val="000000" w:themeColor="text1"/>
          <w:sz w:val="24"/>
          <w:szCs w:val="24"/>
        </w:rPr>
        <w:t>O</w:t>
      </w:r>
      <w:r w:rsidR="00A2068D" w:rsidRPr="008471CE">
        <w:rPr>
          <w:rFonts w:asciiTheme="majorBidi" w:hAnsiTheme="majorBidi" w:cstheme="majorBidi"/>
          <w:color w:val="000000" w:themeColor="text1"/>
          <w:sz w:val="24"/>
          <w:szCs w:val="24"/>
        </w:rPr>
        <w:t>ne could argue</w:t>
      </w:r>
      <w:r w:rsidR="00A2068D">
        <w:rPr>
          <w:rFonts w:asciiTheme="majorBidi" w:hAnsiTheme="majorBidi" w:cstheme="majorBidi"/>
          <w:color w:val="000000" w:themeColor="text1"/>
          <w:sz w:val="24"/>
          <w:szCs w:val="24"/>
        </w:rPr>
        <w:t>, therefore,</w:t>
      </w:r>
      <w:r w:rsidR="00A2068D" w:rsidRPr="008471CE">
        <w:rPr>
          <w:rFonts w:asciiTheme="majorBidi" w:hAnsiTheme="majorBidi" w:cstheme="majorBidi"/>
          <w:color w:val="000000" w:themeColor="text1"/>
          <w:sz w:val="24"/>
          <w:szCs w:val="24"/>
        </w:rPr>
        <w:t xml:space="preserve"> that narcissistic AC chairs are </w:t>
      </w:r>
      <w:r w:rsidR="00CB2909">
        <w:rPr>
          <w:rFonts w:asciiTheme="majorBidi" w:hAnsiTheme="majorBidi" w:cstheme="majorBidi"/>
          <w:color w:val="000000" w:themeColor="text1"/>
          <w:sz w:val="24"/>
          <w:szCs w:val="24"/>
        </w:rPr>
        <w:t>more able</w:t>
      </w:r>
      <w:r w:rsidR="00A2068D" w:rsidRPr="004644CE">
        <w:rPr>
          <w:rFonts w:asciiTheme="majorBidi" w:hAnsiTheme="majorBidi" w:cstheme="majorBidi"/>
          <w:color w:val="000000" w:themeColor="text1"/>
          <w:sz w:val="24"/>
          <w:szCs w:val="24"/>
        </w:rPr>
        <w:t xml:space="preserve"> </w:t>
      </w:r>
      <w:r w:rsidR="00A2068D" w:rsidRPr="008471CE">
        <w:rPr>
          <w:rFonts w:asciiTheme="majorBidi" w:hAnsiTheme="majorBidi" w:cstheme="majorBidi"/>
          <w:color w:val="000000" w:themeColor="text1"/>
          <w:sz w:val="24"/>
          <w:szCs w:val="24"/>
        </w:rPr>
        <w:t>to challenge non-IFRS disclosure</w:t>
      </w:r>
      <w:r w:rsidR="00A2068D">
        <w:rPr>
          <w:rFonts w:asciiTheme="majorBidi" w:hAnsiTheme="majorBidi" w:cstheme="majorBidi"/>
          <w:color w:val="000000" w:themeColor="text1"/>
          <w:sz w:val="24"/>
          <w:szCs w:val="24"/>
        </w:rPr>
        <w:t xml:space="preserve"> in firms led by less </w:t>
      </w:r>
      <w:r w:rsidR="00A2068D" w:rsidRPr="008471CE">
        <w:rPr>
          <w:rFonts w:asciiTheme="majorBidi" w:hAnsiTheme="majorBidi" w:cstheme="majorBidi"/>
          <w:color w:val="000000" w:themeColor="text1"/>
          <w:sz w:val="24"/>
          <w:szCs w:val="24"/>
        </w:rPr>
        <w:t xml:space="preserve">powerful </w:t>
      </w:r>
      <w:r w:rsidR="00A2068D">
        <w:rPr>
          <w:rFonts w:asciiTheme="majorBidi" w:hAnsiTheme="majorBidi" w:cstheme="majorBidi"/>
          <w:color w:val="000000" w:themeColor="text1"/>
          <w:sz w:val="24"/>
          <w:szCs w:val="24"/>
        </w:rPr>
        <w:t xml:space="preserve">or </w:t>
      </w:r>
      <w:r w:rsidR="00A2068D" w:rsidRPr="000D2A16">
        <w:rPr>
          <w:rFonts w:asciiTheme="majorBidi" w:hAnsiTheme="majorBidi" w:cstheme="majorBidi"/>
          <w:color w:val="000000" w:themeColor="text1"/>
          <w:sz w:val="24"/>
          <w:szCs w:val="24"/>
        </w:rPr>
        <w:t xml:space="preserve">influential </w:t>
      </w:r>
      <w:r w:rsidR="00A2068D" w:rsidRPr="008471CE">
        <w:rPr>
          <w:rFonts w:asciiTheme="majorBidi" w:hAnsiTheme="majorBidi" w:cstheme="majorBidi"/>
          <w:color w:val="000000" w:themeColor="text1"/>
          <w:sz w:val="24"/>
          <w:szCs w:val="24"/>
        </w:rPr>
        <w:t>CEOs</w:t>
      </w:r>
      <w:r w:rsidR="00A2068D">
        <w:rPr>
          <w:rFonts w:asciiTheme="majorBidi" w:hAnsiTheme="majorBidi" w:cstheme="majorBidi"/>
          <w:color w:val="000000" w:themeColor="text1"/>
          <w:sz w:val="24"/>
          <w:szCs w:val="24"/>
        </w:rPr>
        <w:t>. To investigate this assertion, we focus on three dimensions to capture CEO power, namely limited</w:t>
      </w:r>
      <w:r w:rsidR="00A2068D" w:rsidRPr="000D2A16">
        <w:rPr>
          <w:rFonts w:asciiTheme="majorBidi" w:hAnsiTheme="majorBidi" w:cstheme="majorBidi"/>
          <w:color w:val="000000" w:themeColor="text1"/>
          <w:sz w:val="24"/>
          <w:szCs w:val="24"/>
        </w:rPr>
        <w:t xml:space="preserve"> </w:t>
      </w:r>
      <w:r w:rsidR="00A2068D">
        <w:rPr>
          <w:rFonts w:asciiTheme="majorBidi" w:hAnsiTheme="majorBidi" w:cstheme="majorBidi"/>
          <w:color w:val="000000" w:themeColor="text1"/>
          <w:sz w:val="24"/>
          <w:szCs w:val="24"/>
        </w:rPr>
        <w:t>structural power (</w:t>
      </w:r>
      <w:r w:rsidR="00A2068D">
        <w:rPr>
          <w:rFonts w:asciiTheme="majorBidi" w:hAnsiTheme="majorBidi" w:cstheme="majorBidi"/>
          <w:i/>
          <w:iCs/>
          <w:color w:val="000000" w:themeColor="text1"/>
          <w:sz w:val="24"/>
          <w:szCs w:val="24"/>
        </w:rPr>
        <w:t>LOW</w:t>
      </w:r>
      <w:r w:rsidR="00A2068D" w:rsidRPr="003B343E">
        <w:rPr>
          <w:rFonts w:asciiTheme="majorBidi" w:hAnsiTheme="majorBidi" w:cstheme="majorBidi"/>
          <w:i/>
          <w:iCs/>
          <w:color w:val="000000" w:themeColor="text1"/>
          <w:sz w:val="24"/>
          <w:szCs w:val="24"/>
        </w:rPr>
        <w:t>STRUCTURE</w:t>
      </w:r>
      <w:r w:rsidR="00A2068D">
        <w:rPr>
          <w:rFonts w:asciiTheme="majorBidi" w:hAnsiTheme="majorBidi" w:cstheme="majorBidi"/>
          <w:color w:val="000000" w:themeColor="text1"/>
          <w:sz w:val="24"/>
          <w:szCs w:val="24"/>
        </w:rPr>
        <w:t>), limited expert power (</w:t>
      </w:r>
      <w:r w:rsidR="00A2068D">
        <w:rPr>
          <w:rFonts w:asciiTheme="majorBidi" w:hAnsiTheme="majorBidi" w:cstheme="majorBidi"/>
          <w:i/>
          <w:iCs/>
          <w:color w:val="000000" w:themeColor="text1"/>
          <w:sz w:val="24"/>
          <w:szCs w:val="24"/>
        </w:rPr>
        <w:t>LOW</w:t>
      </w:r>
      <w:r w:rsidR="00A2068D" w:rsidRPr="003B343E">
        <w:rPr>
          <w:rFonts w:asciiTheme="majorBidi" w:hAnsiTheme="majorBidi" w:cstheme="majorBidi"/>
          <w:i/>
          <w:iCs/>
          <w:color w:val="000000" w:themeColor="text1"/>
          <w:sz w:val="24"/>
          <w:szCs w:val="24"/>
        </w:rPr>
        <w:t>EXPERT</w:t>
      </w:r>
      <w:r w:rsidR="00A2068D">
        <w:rPr>
          <w:rFonts w:asciiTheme="majorBidi" w:hAnsiTheme="majorBidi" w:cstheme="majorBidi"/>
          <w:color w:val="000000" w:themeColor="text1"/>
          <w:sz w:val="24"/>
          <w:szCs w:val="24"/>
        </w:rPr>
        <w:t xml:space="preserve">), and limited ownership power </w:t>
      </w:r>
      <w:r w:rsidR="00A2068D">
        <w:rPr>
          <w:rFonts w:asciiTheme="majorBidi" w:hAnsiTheme="majorBidi" w:cstheme="majorBidi"/>
          <w:color w:val="000000" w:themeColor="text1"/>
          <w:sz w:val="24"/>
          <w:szCs w:val="24"/>
        </w:rPr>
        <w:lastRenderedPageBreak/>
        <w:t>(</w:t>
      </w:r>
      <w:r w:rsidR="00A2068D">
        <w:rPr>
          <w:rFonts w:asciiTheme="majorBidi" w:hAnsiTheme="majorBidi" w:cstheme="majorBidi"/>
          <w:i/>
          <w:iCs/>
          <w:color w:val="000000" w:themeColor="text1"/>
          <w:sz w:val="24"/>
          <w:szCs w:val="24"/>
        </w:rPr>
        <w:t>LOW</w:t>
      </w:r>
      <w:r w:rsidR="00A2068D" w:rsidRPr="003B343E">
        <w:rPr>
          <w:rFonts w:asciiTheme="majorBidi" w:hAnsiTheme="majorBidi" w:cstheme="majorBidi"/>
          <w:i/>
          <w:iCs/>
          <w:color w:val="000000" w:themeColor="text1"/>
          <w:sz w:val="24"/>
          <w:szCs w:val="24"/>
        </w:rPr>
        <w:t>OWNERSHIP</w:t>
      </w:r>
      <w:r w:rsidR="00A2068D">
        <w:rPr>
          <w:rFonts w:asciiTheme="majorBidi" w:hAnsiTheme="majorBidi" w:cstheme="majorBidi"/>
          <w:color w:val="000000" w:themeColor="text1"/>
          <w:sz w:val="24"/>
          <w:szCs w:val="24"/>
        </w:rPr>
        <w:t>). We exclude the prestige dimension of CEO power because prior studies (</w:t>
      </w:r>
      <w:r w:rsidR="00A2068D" w:rsidRPr="00F62069">
        <w:rPr>
          <w:rFonts w:asciiTheme="majorBidi" w:hAnsiTheme="majorBidi" w:cstheme="majorBidi"/>
          <w:color w:val="000000" w:themeColor="text1"/>
          <w:sz w:val="24"/>
          <w:szCs w:val="24"/>
        </w:rPr>
        <w:t>Tang, Crossan, &amp; Rowe, 2011; Sheikh, 2022</w:t>
      </w:r>
      <w:r w:rsidR="00A2068D">
        <w:rPr>
          <w:rFonts w:asciiTheme="majorBidi" w:hAnsiTheme="majorBidi" w:cstheme="majorBidi"/>
          <w:color w:val="000000" w:themeColor="text1"/>
          <w:sz w:val="24"/>
          <w:szCs w:val="24"/>
        </w:rPr>
        <w:t xml:space="preserve">) have suggested that the prestige dimension is not a proximal measure of CEO power compared to other dimensions.  </w:t>
      </w:r>
    </w:p>
    <w:p w14:paraId="3F8C63D0" w14:textId="664713D9" w:rsidR="00A2068D" w:rsidRDefault="0026049E" w:rsidP="0026049E">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A2068D">
        <w:rPr>
          <w:rFonts w:asciiTheme="majorBidi" w:hAnsiTheme="majorBidi" w:cstheme="majorBidi"/>
          <w:color w:val="000000" w:themeColor="text1"/>
          <w:sz w:val="24"/>
          <w:szCs w:val="24"/>
        </w:rPr>
        <w:t xml:space="preserve">We measure </w:t>
      </w:r>
      <w:r w:rsidR="00A2068D">
        <w:rPr>
          <w:rFonts w:asciiTheme="majorBidi" w:hAnsiTheme="majorBidi" w:cstheme="majorBidi"/>
          <w:i/>
          <w:iCs/>
          <w:color w:val="000000" w:themeColor="text1"/>
          <w:sz w:val="24"/>
          <w:szCs w:val="24"/>
        </w:rPr>
        <w:t>LOW</w:t>
      </w:r>
      <w:r w:rsidR="00A2068D" w:rsidRPr="003B343E">
        <w:rPr>
          <w:rFonts w:asciiTheme="majorBidi" w:hAnsiTheme="majorBidi" w:cstheme="majorBidi"/>
          <w:i/>
          <w:iCs/>
          <w:color w:val="000000" w:themeColor="text1"/>
          <w:sz w:val="24"/>
          <w:szCs w:val="24"/>
        </w:rPr>
        <w:t>STRUCTURE</w:t>
      </w:r>
      <w:r w:rsidR="00A2068D">
        <w:rPr>
          <w:rFonts w:asciiTheme="majorBidi" w:hAnsiTheme="majorBidi" w:cstheme="majorBidi"/>
          <w:color w:val="000000" w:themeColor="text1"/>
          <w:sz w:val="24"/>
          <w:szCs w:val="24"/>
        </w:rPr>
        <w:t xml:space="preserve"> by combining four indicator variables, duality (set to 1 if the two positions of CEO and board chair are separate, and 0 otherwise), committee memberships (set to 1 if the CEO does not have a role in other board committees, and 0 otherwise), board power (set to 1 if the percentage of independent non-executive directors is higher than the industry median, and 0 </w:t>
      </w:r>
      <w:r w:rsidR="00A2068D" w:rsidRPr="00A22E2C">
        <w:rPr>
          <w:rFonts w:asciiTheme="majorBidi" w:hAnsiTheme="majorBidi" w:cstheme="majorBidi"/>
          <w:color w:val="000000" w:themeColor="text1"/>
          <w:sz w:val="24"/>
          <w:szCs w:val="24"/>
        </w:rPr>
        <w:t>otherwise), and</w:t>
      </w:r>
      <w:r w:rsidR="00A2068D">
        <w:rPr>
          <w:rFonts w:asciiTheme="majorBidi" w:hAnsiTheme="majorBidi" w:cstheme="majorBidi"/>
          <w:color w:val="000000" w:themeColor="text1"/>
          <w:sz w:val="24"/>
          <w:szCs w:val="24"/>
        </w:rPr>
        <w:t xml:space="preserve"> co-opted directors (set to 1 if the percentage of directors appointed during the CEO’s tenure is less than 50%, and 0 otherwise). </w:t>
      </w:r>
      <w:r w:rsidR="00A2068D">
        <w:rPr>
          <w:rFonts w:asciiTheme="majorBidi" w:hAnsiTheme="majorBidi" w:cstheme="majorBidi"/>
          <w:i/>
          <w:iCs/>
          <w:color w:val="000000" w:themeColor="text1"/>
          <w:sz w:val="24"/>
          <w:szCs w:val="24"/>
        </w:rPr>
        <w:t>LOW</w:t>
      </w:r>
      <w:r w:rsidR="00A2068D" w:rsidRPr="00F7038F">
        <w:rPr>
          <w:rFonts w:asciiTheme="majorBidi" w:hAnsiTheme="majorBidi" w:cstheme="majorBidi"/>
          <w:i/>
          <w:iCs/>
          <w:color w:val="000000" w:themeColor="text1"/>
          <w:sz w:val="24"/>
          <w:szCs w:val="24"/>
        </w:rPr>
        <w:t>EXPERT</w:t>
      </w:r>
      <w:r w:rsidR="00A2068D">
        <w:rPr>
          <w:rFonts w:asciiTheme="majorBidi" w:hAnsiTheme="majorBidi" w:cstheme="majorBidi"/>
          <w:color w:val="000000" w:themeColor="text1"/>
          <w:sz w:val="24"/>
          <w:szCs w:val="24"/>
        </w:rPr>
        <w:t xml:space="preserve"> is an indicator variable equal to 1 if the CEO’s tenure is below the industry median, and 0 otherwise. </w:t>
      </w:r>
      <w:r w:rsidR="00A2068D">
        <w:rPr>
          <w:rFonts w:asciiTheme="majorBidi" w:hAnsiTheme="majorBidi" w:cstheme="majorBidi"/>
          <w:i/>
          <w:iCs/>
          <w:color w:val="000000" w:themeColor="text1"/>
          <w:sz w:val="24"/>
          <w:szCs w:val="24"/>
        </w:rPr>
        <w:t>LOW</w:t>
      </w:r>
      <w:r w:rsidR="00A2068D" w:rsidRPr="003B343E">
        <w:rPr>
          <w:rFonts w:asciiTheme="majorBidi" w:hAnsiTheme="majorBidi" w:cstheme="majorBidi"/>
          <w:i/>
          <w:iCs/>
          <w:color w:val="000000" w:themeColor="text1"/>
          <w:sz w:val="24"/>
          <w:szCs w:val="24"/>
        </w:rPr>
        <w:t>OWNERSHIP</w:t>
      </w:r>
      <w:r w:rsidR="00A2068D">
        <w:rPr>
          <w:rFonts w:asciiTheme="majorBidi" w:hAnsiTheme="majorBidi" w:cstheme="majorBidi"/>
          <w:color w:val="000000" w:themeColor="text1"/>
          <w:sz w:val="24"/>
          <w:szCs w:val="24"/>
        </w:rPr>
        <w:t xml:space="preserve"> is an indicator variable equal to 1 if the percentage of the CEO’s stock ownership is lower than the industry median, and 0 otherwise. We use the following equation to examine how CEO power shapes the association between AC chair narcissism and the quality of non-IFRS exclusions:</w:t>
      </w:r>
    </w:p>
    <w:p w14:paraId="07DE0313" w14:textId="002CC640" w:rsidR="00A2068D" w:rsidRPr="00B95A5B" w:rsidRDefault="0033525A" w:rsidP="00E83E49">
      <w:pPr>
        <w:spacing w:line="360" w:lineRule="auto"/>
        <w:ind w:left="283"/>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LESSCEOPOWER</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LESSCEOPOWER</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LESSCEOPOWER</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LESSCEOPOWER</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LESSCEOPOWER</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(5)</m:t>
        </m:r>
      </m:oMath>
      <w:r w:rsidR="00BB0D1D">
        <w:rPr>
          <w:rFonts w:asciiTheme="majorBidi" w:hAnsiTheme="majorBidi" w:cstheme="majorBidi"/>
          <w:color w:val="000000" w:themeColor="text1"/>
          <w:sz w:val="24"/>
          <w:szCs w:val="24"/>
        </w:rPr>
        <w:t xml:space="preserve"> </w:t>
      </w:r>
    </w:p>
    <w:p w14:paraId="6B28A194" w14:textId="77777777" w:rsidR="00A2068D" w:rsidRPr="005710EC" w:rsidRDefault="00A2068D" w:rsidP="00D42CA8">
      <w:pPr>
        <w:ind w:left="283"/>
        <w:rPr>
          <w:rFonts w:asciiTheme="majorBidi" w:hAnsiTheme="majorBidi" w:cstheme="majorBidi"/>
          <w:color w:val="000000" w:themeColor="text1"/>
          <w:sz w:val="24"/>
          <w:szCs w:val="24"/>
        </w:rPr>
      </w:pPr>
    </w:p>
    <w:p w14:paraId="785C4AC2" w14:textId="2C5052F7" w:rsidR="0050080D" w:rsidRDefault="0026049E" w:rsidP="00B831DC">
      <w:pPr>
        <w:spacing w:line="480" w:lineRule="auto"/>
        <w:ind w:left="283"/>
        <w:rPr>
          <w:rFonts w:asciiTheme="majorBidi" w:hAnsiTheme="majorBidi" w:cstheme="majorBidi"/>
          <w:color w:val="000000" w:themeColor="text1"/>
          <w:sz w:val="24"/>
          <w:szCs w:val="28"/>
        </w:rPr>
      </w:pPr>
      <w:r>
        <w:rPr>
          <w:rFonts w:asciiTheme="majorBidi" w:hAnsiTheme="majorBidi" w:cstheme="majorBidi"/>
          <w:color w:val="000000" w:themeColor="text1"/>
          <w:sz w:val="24"/>
          <w:szCs w:val="24"/>
        </w:rPr>
        <w:t xml:space="preserve">       </w:t>
      </w:r>
      <w:r w:rsidR="00A2068D">
        <w:rPr>
          <w:rFonts w:asciiTheme="majorBidi" w:hAnsiTheme="majorBidi" w:cstheme="majorBidi"/>
          <w:color w:val="000000" w:themeColor="text1"/>
          <w:sz w:val="24"/>
          <w:szCs w:val="24"/>
        </w:rPr>
        <w:t xml:space="preserve">As reported in </w:t>
      </w:r>
      <w:r w:rsidR="0050080D">
        <w:rPr>
          <w:rFonts w:asciiTheme="majorBidi" w:hAnsiTheme="majorBidi" w:cstheme="majorBidi"/>
          <w:color w:val="000000" w:themeColor="text1"/>
          <w:sz w:val="24"/>
          <w:szCs w:val="24"/>
        </w:rPr>
        <w:t xml:space="preserve">Column (1), (2) and (3) of </w:t>
      </w:r>
      <w:r w:rsidR="00A2068D">
        <w:rPr>
          <w:rFonts w:asciiTheme="majorBidi" w:hAnsiTheme="majorBidi" w:cstheme="majorBidi"/>
          <w:color w:val="000000" w:themeColor="text1"/>
          <w:sz w:val="24"/>
          <w:szCs w:val="24"/>
        </w:rPr>
        <w:t xml:space="preserve">Table </w:t>
      </w:r>
      <w:r w:rsidR="0050080D">
        <w:rPr>
          <w:rFonts w:asciiTheme="majorBidi" w:hAnsiTheme="majorBidi" w:cstheme="majorBidi"/>
          <w:color w:val="000000" w:themeColor="text1"/>
          <w:sz w:val="24"/>
          <w:szCs w:val="24"/>
        </w:rPr>
        <w:t>6</w:t>
      </w:r>
      <w:r w:rsidR="00A2068D">
        <w:rPr>
          <w:rFonts w:asciiTheme="majorBidi" w:hAnsiTheme="majorBidi" w:cstheme="majorBidi"/>
          <w:color w:val="000000" w:themeColor="text1"/>
          <w:sz w:val="24"/>
          <w:szCs w:val="24"/>
        </w:rPr>
        <w:t xml:space="preserve">, the coefficient on the interaction between </w:t>
      </w:r>
      <w:r w:rsidR="00A2068D" w:rsidRPr="00F515D5">
        <w:rPr>
          <w:rFonts w:asciiTheme="majorBidi" w:hAnsiTheme="majorBidi" w:cstheme="majorBidi"/>
          <w:i/>
          <w:iCs/>
          <w:color w:val="000000" w:themeColor="text1"/>
          <w:sz w:val="24"/>
          <w:szCs w:val="24"/>
        </w:rPr>
        <w:t>EXCLUSION</w:t>
      </w:r>
      <w:r w:rsidR="00A2068D">
        <w:rPr>
          <w:rFonts w:asciiTheme="majorBidi" w:hAnsiTheme="majorBidi" w:cstheme="majorBidi"/>
          <w:color w:val="000000" w:themeColor="text1"/>
          <w:sz w:val="24"/>
          <w:szCs w:val="24"/>
        </w:rPr>
        <w:t xml:space="preserve">, </w:t>
      </w:r>
      <w:r w:rsidR="00784952">
        <w:rPr>
          <w:rFonts w:asciiTheme="majorBidi" w:hAnsiTheme="majorBidi" w:cstheme="majorBidi"/>
          <w:i/>
          <w:iCs/>
          <w:color w:val="000000" w:themeColor="text1"/>
          <w:sz w:val="24"/>
          <w:szCs w:val="24"/>
        </w:rPr>
        <w:t>NARCIS</w:t>
      </w:r>
      <w:r w:rsidR="00A2068D">
        <w:rPr>
          <w:rFonts w:asciiTheme="majorBidi" w:hAnsiTheme="majorBidi" w:cstheme="majorBidi"/>
          <w:i/>
          <w:iCs/>
          <w:color w:val="000000" w:themeColor="text1"/>
          <w:sz w:val="24"/>
          <w:szCs w:val="24"/>
        </w:rPr>
        <w:t>,</w:t>
      </w:r>
      <w:r w:rsidR="00A2068D" w:rsidRPr="00A22E2C">
        <w:rPr>
          <w:rFonts w:asciiTheme="majorBidi" w:hAnsiTheme="majorBidi" w:cstheme="majorBidi"/>
          <w:color w:val="000000" w:themeColor="text1"/>
          <w:sz w:val="24"/>
          <w:szCs w:val="24"/>
        </w:rPr>
        <w:t xml:space="preserve"> and</w:t>
      </w:r>
      <w:r w:rsidR="00A2068D">
        <w:rPr>
          <w:rFonts w:asciiTheme="majorBidi" w:hAnsiTheme="majorBidi" w:cstheme="majorBidi"/>
          <w:color w:val="000000" w:themeColor="text1"/>
          <w:sz w:val="24"/>
          <w:szCs w:val="24"/>
        </w:rPr>
        <w:t xml:space="preserve"> </w:t>
      </w:r>
      <w:r w:rsidR="00CB2909" w:rsidRPr="00CB2909">
        <w:rPr>
          <w:rFonts w:asciiTheme="majorBidi" w:hAnsiTheme="majorBidi" w:cstheme="majorBidi"/>
          <w:i/>
          <w:iCs/>
          <w:color w:val="000000" w:themeColor="text1"/>
          <w:sz w:val="24"/>
          <w:szCs w:val="24"/>
        </w:rPr>
        <w:t>L</w:t>
      </w:r>
      <w:r w:rsidR="00CB2909" w:rsidRPr="00CB2909">
        <w:rPr>
          <w:rFonts w:asciiTheme="majorBidi" w:hAnsiTheme="majorBidi" w:cstheme="majorBidi" w:hint="eastAsia"/>
          <w:i/>
          <w:iCs/>
          <w:color w:val="000000" w:themeColor="text1"/>
          <w:sz w:val="24"/>
          <w:szCs w:val="24"/>
        </w:rPr>
        <w:t>ESSCEOPOWER</w:t>
      </w:r>
      <w:r w:rsidR="00A2068D">
        <w:rPr>
          <w:rFonts w:asciiTheme="majorBidi" w:hAnsiTheme="majorBidi" w:cstheme="majorBidi"/>
          <w:color w:val="000000" w:themeColor="text1"/>
          <w:sz w:val="24"/>
          <w:szCs w:val="24"/>
        </w:rPr>
        <w:t xml:space="preserve"> is significantly positive across three dimensions of CEO power: </w:t>
      </w:r>
      <w:r w:rsidR="00E73895">
        <w:rPr>
          <w:rFonts w:asciiTheme="majorBidi" w:hAnsiTheme="majorBidi" w:cstheme="majorBidi"/>
          <w:color w:val="000000" w:themeColor="text1"/>
          <w:sz w:val="24"/>
          <w:szCs w:val="24"/>
        </w:rPr>
        <w:t xml:space="preserve">limited </w:t>
      </w:r>
      <w:r w:rsidR="00A2068D">
        <w:rPr>
          <w:rFonts w:asciiTheme="majorBidi" w:hAnsiTheme="majorBidi" w:cstheme="majorBidi"/>
          <w:color w:val="000000" w:themeColor="text1"/>
          <w:sz w:val="24"/>
          <w:szCs w:val="24"/>
        </w:rPr>
        <w:t xml:space="preserve">structural, expert, and ownership power. </w:t>
      </w:r>
      <w:r w:rsidR="00A2068D" w:rsidRPr="00EF5866">
        <w:rPr>
          <w:rFonts w:asciiTheme="majorBidi" w:hAnsiTheme="majorBidi" w:cstheme="majorBidi"/>
          <w:color w:val="000000" w:themeColor="text1"/>
          <w:sz w:val="24"/>
          <w:szCs w:val="24"/>
        </w:rPr>
        <w:t xml:space="preserve">This demonstrates that narcissistic AC chairs </w:t>
      </w:r>
      <w:r w:rsidR="00CB2909">
        <w:rPr>
          <w:rFonts w:asciiTheme="majorBidi" w:hAnsiTheme="majorBidi" w:cstheme="majorBidi"/>
          <w:color w:val="000000" w:themeColor="text1"/>
          <w:sz w:val="24"/>
          <w:szCs w:val="24"/>
        </w:rPr>
        <w:t>are more able</w:t>
      </w:r>
      <w:r w:rsidR="00A2068D" w:rsidRPr="00EF5866">
        <w:rPr>
          <w:rFonts w:asciiTheme="majorBidi" w:hAnsiTheme="majorBidi" w:cstheme="majorBidi"/>
          <w:color w:val="000000" w:themeColor="text1"/>
          <w:sz w:val="24"/>
          <w:szCs w:val="24"/>
        </w:rPr>
        <w:t xml:space="preserve"> </w:t>
      </w:r>
      <w:r w:rsidR="00D21B54">
        <w:rPr>
          <w:rFonts w:asciiTheme="majorBidi" w:hAnsiTheme="majorBidi" w:cstheme="majorBidi"/>
          <w:color w:val="000000" w:themeColor="text1"/>
          <w:sz w:val="24"/>
          <w:szCs w:val="24"/>
        </w:rPr>
        <w:t xml:space="preserve">to </w:t>
      </w:r>
      <w:r w:rsidR="00A2068D" w:rsidRPr="00EF5866">
        <w:rPr>
          <w:rFonts w:asciiTheme="majorBidi" w:hAnsiTheme="majorBidi" w:cstheme="majorBidi"/>
          <w:color w:val="000000" w:themeColor="text1"/>
          <w:sz w:val="24"/>
          <w:szCs w:val="24"/>
        </w:rPr>
        <w:t>challenge non-IFRS disclosure in setting</w:t>
      </w:r>
      <w:r w:rsidR="00A2068D">
        <w:rPr>
          <w:rFonts w:asciiTheme="majorBidi" w:hAnsiTheme="majorBidi" w:cstheme="majorBidi"/>
          <w:color w:val="000000" w:themeColor="text1"/>
          <w:sz w:val="24"/>
          <w:szCs w:val="24"/>
        </w:rPr>
        <w:t>s</w:t>
      </w:r>
      <w:r w:rsidR="00A2068D" w:rsidRPr="00EF5866">
        <w:rPr>
          <w:rFonts w:asciiTheme="majorBidi" w:hAnsiTheme="majorBidi" w:cstheme="majorBidi"/>
          <w:color w:val="000000" w:themeColor="text1"/>
          <w:sz w:val="24"/>
          <w:szCs w:val="24"/>
        </w:rPr>
        <w:t xml:space="preserve"> characterized by less powerful CEOs</w:t>
      </w:r>
      <w:r w:rsidR="00A2068D">
        <w:rPr>
          <w:rFonts w:asciiTheme="majorBidi" w:hAnsiTheme="majorBidi" w:cstheme="majorBidi"/>
          <w:color w:val="000000" w:themeColor="text1"/>
          <w:sz w:val="24"/>
          <w:szCs w:val="24"/>
        </w:rPr>
        <w:t xml:space="preserve">. Furthermore, the coefficient on the interaction between </w:t>
      </w:r>
      <w:r w:rsidR="00A2068D" w:rsidRPr="005E73C2">
        <w:rPr>
          <w:rFonts w:asciiTheme="majorBidi" w:hAnsiTheme="majorBidi" w:cstheme="majorBidi"/>
          <w:i/>
          <w:iCs/>
          <w:color w:val="000000" w:themeColor="text1"/>
          <w:sz w:val="24"/>
          <w:szCs w:val="28"/>
        </w:rPr>
        <w:t>EXCLUSION</w:t>
      </w:r>
      <w:r w:rsidR="00A2068D" w:rsidRPr="005E73C2">
        <w:rPr>
          <w:rFonts w:asciiTheme="majorBidi" w:hAnsiTheme="majorBidi" w:cstheme="majorBidi"/>
          <w:color w:val="000000" w:themeColor="text1"/>
          <w:sz w:val="24"/>
          <w:szCs w:val="28"/>
        </w:rPr>
        <w:t xml:space="preserve"> and </w:t>
      </w:r>
      <w:r w:rsidR="003B0BB2">
        <w:rPr>
          <w:rFonts w:asciiTheme="majorBidi" w:hAnsiTheme="majorBidi" w:cstheme="majorBidi"/>
          <w:i/>
          <w:iCs/>
          <w:color w:val="000000" w:themeColor="text1"/>
          <w:sz w:val="24"/>
          <w:szCs w:val="28"/>
        </w:rPr>
        <w:t>NARCIS</w:t>
      </w:r>
      <w:r w:rsidR="00A2068D">
        <w:rPr>
          <w:rFonts w:asciiTheme="majorBidi" w:hAnsiTheme="majorBidi" w:cstheme="majorBidi"/>
          <w:color w:val="000000" w:themeColor="text1"/>
          <w:sz w:val="24"/>
          <w:szCs w:val="28"/>
        </w:rPr>
        <w:t xml:space="preserve"> is </w:t>
      </w:r>
      <w:r w:rsidR="008A19AE">
        <w:rPr>
          <w:rFonts w:asciiTheme="majorBidi" w:hAnsiTheme="majorBidi" w:cstheme="majorBidi"/>
          <w:color w:val="000000" w:themeColor="text1"/>
          <w:sz w:val="24"/>
          <w:szCs w:val="28"/>
        </w:rPr>
        <w:t xml:space="preserve">still </w:t>
      </w:r>
      <w:r w:rsidR="00A2068D">
        <w:rPr>
          <w:rFonts w:asciiTheme="majorBidi" w:hAnsiTheme="majorBidi" w:cstheme="majorBidi"/>
          <w:color w:val="000000" w:themeColor="text1"/>
          <w:sz w:val="24"/>
          <w:szCs w:val="28"/>
        </w:rPr>
        <w:t>significantly negative</w:t>
      </w:r>
      <w:r w:rsidR="008A19AE">
        <w:rPr>
          <w:rFonts w:asciiTheme="majorBidi" w:hAnsiTheme="majorBidi" w:cstheme="majorBidi"/>
          <w:color w:val="000000" w:themeColor="text1"/>
          <w:sz w:val="24"/>
          <w:szCs w:val="28"/>
        </w:rPr>
        <w:t xml:space="preserve">, demonstrating </w:t>
      </w:r>
      <w:r w:rsidR="00A2068D">
        <w:rPr>
          <w:rFonts w:asciiTheme="majorBidi" w:hAnsiTheme="majorBidi" w:cstheme="majorBidi"/>
          <w:color w:val="000000" w:themeColor="text1"/>
          <w:sz w:val="24"/>
          <w:szCs w:val="28"/>
        </w:rPr>
        <w:t xml:space="preserve">that having </w:t>
      </w:r>
      <w:r w:rsidR="00E73895">
        <w:rPr>
          <w:rFonts w:asciiTheme="majorBidi" w:hAnsiTheme="majorBidi" w:cstheme="majorBidi"/>
          <w:color w:val="000000" w:themeColor="text1"/>
          <w:sz w:val="24"/>
          <w:szCs w:val="28"/>
        </w:rPr>
        <w:lastRenderedPageBreak/>
        <w:t xml:space="preserve">more </w:t>
      </w:r>
      <w:r w:rsidR="00A2068D">
        <w:rPr>
          <w:rFonts w:asciiTheme="majorBidi" w:hAnsiTheme="majorBidi" w:cstheme="majorBidi"/>
          <w:color w:val="000000" w:themeColor="text1"/>
          <w:sz w:val="24"/>
          <w:szCs w:val="28"/>
        </w:rPr>
        <w:t>powerful CEO on board accentuates the negative association between AC chair narcissism and the quality of non-IFRS exclusions, consistent with the intuition that CEO power deteriorates AC monitoring effective</w:t>
      </w:r>
      <w:r w:rsidR="00A2068D" w:rsidRPr="00F62069">
        <w:rPr>
          <w:rFonts w:asciiTheme="majorBidi" w:hAnsiTheme="majorBidi" w:cstheme="majorBidi"/>
          <w:color w:val="000000" w:themeColor="text1"/>
          <w:sz w:val="24"/>
          <w:szCs w:val="28"/>
        </w:rPr>
        <w:t>ness (</w:t>
      </w:r>
      <w:proofErr w:type="spellStart"/>
      <w:r w:rsidR="00A2068D" w:rsidRPr="00F62069">
        <w:rPr>
          <w:rFonts w:asciiTheme="majorBidi" w:hAnsiTheme="majorBidi" w:cstheme="majorBidi"/>
          <w:color w:val="000000" w:themeColor="text1"/>
          <w:sz w:val="24"/>
          <w:szCs w:val="28"/>
        </w:rPr>
        <w:t>Lisic</w:t>
      </w:r>
      <w:proofErr w:type="spellEnd"/>
      <w:r w:rsidR="00A2068D" w:rsidRPr="00F62069">
        <w:rPr>
          <w:rFonts w:asciiTheme="majorBidi" w:hAnsiTheme="majorBidi" w:cstheme="majorBidi"/>
          <w:color w:val="000000" w:themeColor="text1"/>
          <w:sz w:val="24"/>
          <w:szCs w:val="28"/>
        </w:rPr>
        <w:t>, Neal, Zhang, &amp; Zhang, 2015).</w:t>
      </w:r>
      <w:r w:rsidR="00A2068D">
        <w:rPr>
          <w:rFonts w:asciiTheme="majorBidi" w:hAnsiTheme="majorBidi" w:cstheme="majorBidi"/>
          <w:color w:val="000000" w:themeColor="text1"/>
          <w:sz w:val="24"/>
          <w:szCs w:val="28"/>
        </w:rPr>
        <w:t xml:space="preserve"> </w:t>
      </w:r>
    </w:p>
    <w:p w14:paraId="4B331FC4" w14:textId="6D995333" w:rsidR="00D42CA8" w:rsidRPr="00FD7B1D" w:rsidRDefault="00331AE5" w:rsidP="00FD7B1D">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6.4.5 </w:t>
      </w:r>
      <w:r w:rsidR="004F4F22" w:rsidRPr="0087365D">
        <w:rPr>
          <w:rFonts w:asciiTheme="majorBidi" w:hAnsiTheme="majorBidi"/>
          <w:i/>
          <w:iCs/>
          <w:color w:val="000000" w:themeColor="text1"/>
          <w:sz w:val="28"/>
          <w:szCs w:val="28"/>
        </w:rPr>
        <w:t>AC chair independence</w:t>
      </w:r>
    </w:p>
    <w:p w14:paraId="582C6264" w14:textId="592DDC3F" w:rsidR="004F4F22" w:rsidRDefault="0026049E" w:rsidP="002110AA">
      <w:pPr>
        <w:spacing w:line="480" w:lineRule="auto"/>
        <w:ind w:left="283"/>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4E39F0" w:rsidRPr="004E39F0">
        <w:rPr>
          <w:rFonts w:asciiTheme="majorBidi" w:hAnsiTheme="majorBidi" w:cstheme="majorBidi"/>
          <w:color w:val="000000" w:themeColor="text1"/>
          <w:sz w:val="24"/>
          <w:szCs w:val="28"/>
        </w:rPr>
        <w:t xml:space="preserve">The independence of AC chairs </w:t>
      </w:r>
      <w:r w:rsidR="00C42393">
        <w:rPr>
          <w:rFonts w:asciiTheme="majorBidi" w:hAnsiTheme="majorBidi" w:cstheme="majorBidi"/>
          <w:color w:val="000000" w:themeColor="text1"/>
          <w:sz w:val="24"/>
          <w:szCs w:val="28"/>
        </w:rPr>
        <w:t>(i.e.,</w:t>
      </w:r>
      <w:r w:rsidR="004E39F0" w:rsidRPr="004E39F0">
        <w:rPr>
          <w:rFonts w:asciiTheme="majorBidi" w:hAnsiTheme="majorBidi" w:cstheme="majorBidi"/>
          <w:color w:val="000000" w:themeColor="text1"/>
          <w:sz w:val="24"/>
          <w:szCs w:val="28"/>
        </w:rPr>
        <w:t xml:space="preserve"> limited ties to the CEO</w:t>
      </w:r>
      <w:r w:rsidR="00C42393">
        <w:rPr>
          <w:rFonts w:asciiTheme="majorBidi" w:hAnsiTheme="majorBidi" w:cstheme="majorBidi"/>
          <w:color w:val="000000" w:themeColor="text1"/>
          <w:sz w:val="24"/>
          <w:szCs w:val="28"/>
        </w:rPr>
        <w:t>)</w:t>
      </w:r>
      <w:r w:rsidR="004E39F0" w:rsidRPr="004E39F0">
        <w:rPr>
          <w:rFonts w:asciiTheme="majorBidi" w:hAnsiTheme="majorBidi" w:cstheme="majorBidi"/>
          <w:color w:val="000000" w:themeColor="text1"/>
          <w:sz w:val="24"/>
          <w:szCs w:val="28"/>
        </w:rPr>
        <w:t xml:space="preserve"> </w:t>
      </w:r>
      <w:r w:rsidR="00C42393">
        <w:rPr>
          <w:rFonts w:asciiTheme="majorBidi" w:hAnsiTheme="majorBidi" w:cstheme="majorBidi"/>
          <w:color w:val="000000" w:themeColor="text1"/>
          <w:sz w:val="24"/>
          <w:szCs w:val="28"/>
        </w:rPr>
        <w:t>is</w:t>
      </w:r>
      <w:r w:rsidR="004E39F0" w:rsidRPr="004E39F0">
        <w:rPr>
          <w:rFonts w:asciiTheme="majorBidi" w:hAnsiTheme="majorBidi" w:cstheme="majorBidi"/>
          <w:color w:val="000000" w:themeColor="text1"/>
          <w:sz w:val="24"/>
          <w:szCs w:val="28"/>
        </w:rPr>
        <w:t xml:space="preserve"> </w:t>
      </w:r>
      <w:r w:rsidR="00C42393" w:rsidRPr="00C42393">
        <w:rPr>
          <w:rFonts w:asciiTheme="majorBidi" w:hAnsiTheme="majorBidi" w:cstheme="majorBidi"/>
          <w:color w:val="000000" w:themeColor="text1"/>
          <w:sz w:val="24"/>
          <w:szCs w:val="28"/>
        </w:rPr>
        <w:t>essential for effective monitoring</w:t>
      </w:r>
      <w:r w:rsidR="004E39F0" w:rsidRPr="004E39F0">
        <w:rPr>
          <w:rFonts w:asciiTheme="majorBidi" w:hAnsiTheme="majorBidi" w:cstheme="majorBidi"/>
          <w:color w:val="000000" w:themeColor="text1"/>
          <w:sz w:val="24"/>
          <w:szCs w:val="28"/>
        </w:rPr>
        <w:t>.</w:t>
      </w:r>
      <w:r w:rsidR="00C42393">
        <w:rPr>
          <w:rFonts w:asciiTheme="majorBidi" w:hAnsiTheme="majorBidi" w:cstheme="majorBidi"/>
          <w:color w:val="000000" w:themeColor="text1"/>
          <w:sz w:val="24"/>
          <w:szCs w:val="28"/>
        </w:rPr>
        <w:t xml:space="preserve"> </w:t>
      </w:r>
      <w:r w:rsidR="00C42393" w:rsidRPr="004E39F0">
        <w:rPr>
          <w:rFonts w:asciiTheme="majorBidi" w:hAnsiTheme="majorBidi" w:cstheme="majorBidi"/>
          <w:color w:val="000000" w:themeColor="text1"/>
          <w:sz w:val="24"/>
          <w:szCs w:val="28"/>
        </w:rPr>
        <w:t>Enhanced independence</w:t>
      </w:r>
      <w:r w:rsidR="00C42393">
        <w:rPr>
          <w:rFonts w:asciiTheme="majorBidi" w:hAnsiTheme="majorBidi" w:cstheme="majorBidi"/>
          <w:color w:val="000000" w:themeColor="text1"/>
          <w:sz w:val="24"/>
          <w:szCs w:val="28"/>
        </w:rPr>
        <w:t xml:space="preserve"> </w:t>
      </w:r>
      <w:r w:rsidR="00C42393" w:rsidRPr="00C42393">
        <w:rPr>
          <w:rFonts w:asciiTheme="majorBidi" w:hAnsiTheme="majorBidi" w:cstheme="majorBidi"/>
          <w:color w:val="000000" w:themeColor="text1"/>
          <w:sz w:val="24"/>
          <w:szCs w:val="28"/>
        </w:rPr>
        <w:t xml:space="preserve">empowers AC chairs to exercise objective judgment and challenge executive decisions, thereby enhancing oversight and accountability within the </w:t>
      </w:r>
      <w:r w:rsidR="00C42393">
        <w:rPr>
          <w:rFonts w:asciiTheme="majorBidi" w:hAnsiTheme="majorBidi" w:cstheme="majorBidi"/>
          <w:color w:val="000000" w:themeColor="text1"/>
          <w:sz w:val="24"/>
          <w:szCs w:val="28"/>
        </w:rPr>
        <w:t>firm</w:t>
      </w:r>
      <w:r w:rsidR="00C42393" w:rsidRPr="00C42393">
        <w:rPr>
          <w:rFonts w:asciiTheme="majorBidi" w:hAnsiTheme="majorBidi" w:cstheme="majorBidi"/>
          <w:color w:val="000000" w:themeColor="text1"/>
          <w:sz w:val="24"/>
          <w:szCs w:val="28"/>
        </w:rPr>
        <w:t>.</w:t>
      </w:r>
      <w:r w:rsidR="00C42393">
        <w:rPr>
          <w:rFonts w:asciiTheme="majorBidi" w:hAnsiTheme="majorBidi" w:cstheme="majorBidi"/>
          <w:color w:val="000000" w:themeColor="text1"/>
          <w:sz w:val="24"/>
          <w:szCs w:val="28"/>
        </w:rPr>
        <w:t xml:space="preserve"> </w:t>
      </w:r>
      <w:r w:rsidR="004F4F22">
        <w:rPr>
          <w:rFonts w:asciiTheme="majorBidi" w:hAnsiTheme="majorBidi" w:cstheme="majorBidi"/>
          <w:color w:val="000000" w:themeColor="text1"/>
          <w:sz w:val="24"/>
          <w:szCs w:val="28"/>
        </w:rPr>
        <w:t>Prior stu</w:t>
      </w:r>
      <w:r w:rsidR="004F4F22" w:rsidRPr="00B95C6C">
        <w:rPr>
          <w:rFonts w:asciiTheme="majorBidi" w:hAnsiTheme="majorBidi" w:cstheme="majorBidi"/>
          <w:color w:val="000000" w:themeColor="text1"/>
          <w:sz w:val="24"/>
          <w:szCs w:val="28"/>
        </w:rPr>
        <w:t xml:space="preserve">dies suggest that AC </w:t>
      </w:r>
      <w:r w:rsidR="00C42393">
        <w:rPr>
          <w:rFonts w:asciiTheme="majorBidi" w:hAnsiTheme="majorBidi" w:cstheme="majorBidi"/>
          <w:color w:val="000000" w:themeColor="text1"/>
          <w:sz w:val="24"/>
          <w:szCs w:val="28"/>
        </w:rPr>
        <w:t>members</w:t>
      </w:r>
      <w:r w:rsidR="004F4F22" w:rsidRPr="00B95C6C">
        <w:rPr>
          <w:rFonts w:asciiTheme="majorBidi" w:hAnsiTheme="majorBidi" w:cstheme="majorBidi"/>
          <w:color w:val="000000" w:themeColor="text1"/>
          <w:sz w:val="24"/>
          <w:szCs w:val="28"/>
        </w:rPr>
        <w:t xml:space="preserve"> with considerable personal ties to the CEO are less likely to exercise independent judgment (e.g., Wilbanks,</w:t>
      </w:r>
      <w:r w:rsidR="004F4F22" w:rsidRPr="00B95C6C">
        <w:t xml:space="preserve"> </w:t>
      </w:r>
      <w:r w:rsidR="004F4F22" w:rsidRPr="00B95C6C">
        <w:rPr>
          <w:rFonts w:asciiTheme="majorBidi" w:hAnsiTheme="majorBidi" w:cstheme="majorBidi"/>
          <w:color w:val="000000" w:themeColor="text1"/>
          <w:sz w:val="24"/>
          <w:szCs w:val="28"/>
        </w:rPr>
        <w:t>Hermanson, &amp; Sharma, 2017). Henc</w:t>
      </w:r>
      <w:r w:rsidR="004F4F22" w:rsidRPr="00930BD6">
        <w:rPr>
          <w:rFonts w:asciiTheme="majorBidi" w:hAnsiTheme="majorBidi" w:cstheme="majorBidi"/>
          <w:color w:val="000000" w:themeColor="text1"/>
          <w:sz w:val="24"/>
          <w:szCs w:val="28"/>
        </w:rPr>
        <w:t xml:space="preserve">e, our </w:t>
      </w:r>
      <w:r w:rsidR="007466AB">
        <w:rPr>
          <w:rFonts w:asciiTheme="majorBidi" w:hAnsiTheme="majorBidi" w:cstheme="majorBidi"/>
          <w:color w:val="000000" w:themeColor="text1"/>
          <w:sz w:val="24"/>
          <w:szCs w:val="28"/>
        </w:rPr>
        <w:t>baseline</w:t>
      </w:r>
      <w:r w:rsidR="004F4F22" w:rsidRPr="00930BD6">
        <w:rPr>
          <w:rFonts w:asciiTheme="majorBidi" w:hAnsiTheme="majorBidi" w:cstheme="majorBidi"/>
          <w:color w:val="000000" w:themeColor="text1"/>
          <w:sz w:val="24"/>
          <w:szCs w:val="28"/>
        </w:rPr>
        <w:t xml:space="preserve"> findings indicating a decline in narcissistic AC chair monitoring effectiveness may be </w:t>
      </w:r>
      <w:r w:rsidR="007466AB">
        <w:rPr>
          <w:rFonts w:asciiTheme="majorBidi" w:hAnsiTheme="majorBidi" w:cstheme="majorBidi"/>
          <w:color w:val="000000" w:themeColor="text1"/>
          <w:sz w:val="24"/>
          <w:szCs w:val="28"/>
        </w:rPr>
        <w:t>more pronounced</w:t>
      </w:r>
      <w:r w:rsidR="004F4F22" w:rsidRPr="00930BD6">
        <w:rPr>
          <w:rFonts w:asciiTheme="majorBidi" w:hAnsiTheme="majorBidi" w:cstheme="majorBidi"/>
          <w:color w:val="000000" w:themeColor="text1"/>
          <w:sz w:val="24"/>
          <w:szCs w:val="28"/>
        </w:rPr>
        <w:t xml:space="preserve"> </w:t>
      </w:r>
      <w:r w:rsidR="007466AB">
        <w:rPr>
          <w:rFonts w:asciiTheme="majorBidi" w:hAnsiTheme="majorBidi" w:cstheme="majorBidi"/>
          <w:color w:val="000000" w:themeColor="text1"/>
          <w:sz w:val="24"/>
          <w:szCs w:val="28"/>
        </w:rPr>
        <w:t>in</w:t>
      </w:r>
      <w:r w:rsidR="004F4F22" w:rsidRPr="00930BD6">
        <w:rPr>
          <w:rFonts w:asciiTheme="majorBidi" w:hAnsiTheme="majorBidi" w:cstheme="majorBidi"/>
          <w:color w:val="000000" w:themeColor="text1"/>
          <w:sz w:val="24"/>
          <w:szCs w:val="28"/>
        </w:rPr>
        <w:t xml:space="preserve"> firms where narcissistic AC chairs have social ties with the CEO.</w:t>
      </w:r>
      <w:r w:rsidR="004F4F22">
        <w:rPr>
          <w:rFonts w:asciiTheme="majorBidi" w:hAnsiTheme="majorBidi" w:cstheme="majorBidi"/>
          <w:color w:val="000000" w:themeColor="text1"/>
          <w:sz w:val="24"/>
          <w:szCs w:val="28"/>
        </w:rPr>
        <w:t xml:space="preserve"> To test this conjecture, we follow </w:t>
      </w:r>
      <w:proofErr w:type="spellStart"/>
      <w:r w:rsidR="004F4F22" w:rsidRPr="00540825">
        <w:rPr>
          <w:rFonts w:asciiTheme="majorBidi" w:hAnsiTheme="majorBidi" w:cstheme="majorBidi"/>
          <w:color w:val="000000" w:themeColor="text1"/>
          <w:sz w:val="24"/>
          <w:szCs w:val="28"/>
        </w:rPr>
        <w:t>Hoitash</w:t>
      </w:r>
      <w:proofErr w:type="spellEnd"/>
      <w:r w:rsidR="004F4F22" w:rsidRPr="00540825">
        <w:rPr>
          <w:rFonts w:asciiTheme="majorBidi" w:hAnsiTheme="majorBidi" w:cstheme="majorBidi"/>
          <w:color w:val="000000" w:themeColor="text1"/>
          <w:sz w:val="24"/>
          <w:szCs w:val="28"/>
        </w:rPr>
        <w:t xml:space="preserve"> </w:t>
      </w:r>
      <w:r w:rsidR="004F4F22">
        <w:rPr>
          <w:rFonts w:asciiTheme="majorBidi" w:hAnsiTheme="majorBidi" w:cstheme="majorBidi"/>
          <w:color w:val="000000" w:themeColor="text1"/>
          <w:sz w:val="24"/>
          <w:szCs w:val="28"/>
        </w:rPr>
        <w:t>(201</w:t>
      </w:r>
      <w:r w:rsidR="002110AA">
        <w:rPr>
          <w:rFonts w:asciiTheme="majorBidi" w:hAnsiTheme="majorBidi" w:cstheme="majorBidi"/>
          <w:color w:val="000000" w:themeColor="text1"/>
          <w:sz w:val="24"/>
          <w:szCs w:val="28"/>
        </w:rPr>
        <w:t>1</w:t>
      </w:r>
      <w:r w:rsidR="004F4F22">
        <w:rPr>
          <w:rFonts w:asciiTheme="majorBidi" w:hAnsiTheme="majorBidi" w:cstheme="majorBidi"/>
          <w:color w:val="000000" w:themeColor="text1"/>
          <w:sz w:val="24"/>
          <w:szCs w:val="28"/>
        </w:rPr>
        <w:t xml:space="preserve">) and collect the current and historical board appointments of AC chairs and CEOs from the </w:t>
      </w:r>
      <w:proofErr w:type="spellStart"/>
      <w:r w:rsidR="004F4F22">
        <w:rPr>
          <w:rFonts w:asciiTheme="majorBidi" w:hAnsiTheme="majorBidi" w:cstheme="majorBidi"/>
          <w:color w:val="000000" w:themeColor="text1"/>
          <w:sz w:val="24"/>
          <w:szCs w:val="28"/>
        </w:rPr>
        <w:t>BoardEx</w:t>
      </w:r>
      <w:proofErr w:type="spellEnd"/>
      <w:r w:rsidR="004F4F22">
        <w:rPr>
          <w:rFonts w:asciiTheme="majorBidi" w:hAnsiTheme="majorBidi" w:cstheme="majorBidi"/>
          <w:color w:val="000000" w:themeColor="text1"/>
          <w:sz w:val="24"/>
          <w:szCs w:val="28"/>
        </w:rPr>
        <w:t xml:space="preserve"> database, and then generate an indicator variable </w:t>
      </w:r>
      <w:r w:rsidR="004F4F22">
        <w:rPr>
          <w:rFonts w:asciiTheme="majorBidi" w:hAnsiTheme="majorBidi" w:cstheme="majorBidi"/>
          <w:i/>
          <w:iCs/>
          <w:color w:val="000000" w:themeColor="text1"/>
          <w:sz w:val="24"/>
          <w:szCs w:val="28"/>
        </w:rPr>
        <w:t>LOW</w:t>
      </w:r>
      <w:r w:rsidR="004F4F22" w:rsidRPr="00930BD6">
        <w:rPr>
          <w:rFonts w:asciiTheme="majorBidi" w:hAnsiTheme="majorBidi" w:cstheme="majorBidi"/>
          <w:i/>
          <w:iCs/>
          <w:color w:val="000000" w:themeColor="text1"/>
          <w:sz w:val="24"/>
          <w:szCs w:val="28"/>
        </w:rPr>
        <w:t>INDEPENDENCE</w:t>
      </w:r>
      <w:r w:rsidR="004F4F22">
        <w:rPr>
          <w:rFonts w:asciiTheme="majorBidi" w:hAnsiTheme="majorBidi" w:cstheme="majorBidi"/>
          <w:color w:val="000000" w:themeColor="text1"/>
          <w:sz w:val="24"/>
          <w:szCs w:val="28"/>
        </w:rPr>
        <w:t xml:space="preserve">, which equals 1 if the AC chair has </w:t>
      </w:r>
      <w:r w:rsidR="004F4F22" w:rsidRPr="00364E7F">
        <w:rPr>
          <w:rFonts w:asciiTheme="majorBidi" w:hAnsiTheme="majorBidi" w:cstheme="majorBidi"/>
          <w:color w:val="000000" w:themeColor="text1"/>
          <w:sz w:val="24"/>
          <w:szCs w:val="28"/>
        </w:rPr>
        <w:t xml:space="preserve">other current or past board </w:t>
      </w:r>
      <w:r w:rsidR="004F4F22">
        <w:rPr>
          <w:rFonts w:asciiTheme="majorBidi" w:hAnsiTheme="majorBidi" w:cstheme="majorBidi"/>
          <w:color w:val="000000" w:themeColor="text1"/>
          <w:sz w:val="24"/>
          <w:szCs w:val="28"/>
        </w:rPr>
        <w:t>ties</w:t>
      </w:r>
      <w:r w:rsidR="004F4F22" w:rsidRPr="00364E7F">
        <w:rPr>
          <w:rFonts w:asciiTheme="majorBidi" w:hAnsiTheme="majorBidi" w:cstheme="majorBidi"/>
          <w:color w:val="000000" w:themeColor="text1"/>
          <w:sz w:val="24"/>
          <w:szCs w:val="28"/>
        </w:rPr>
        <w:t xml:space="preserve"> with </w:t>
      </w:r>
      <w:r w:rsidR="004F4F22">
        <w:rPr>
          <w:rFonts w:asciiTheme="majorBidi" w:hAnsiTheme="majorBidi" w:cstheme="majorBidi"/>
          <w:color w:val="000000" w:themeColor="text1"/>
          <w:sz w:val="24"/>
          <w:szCs w:val="28"/>
        </w:rPr>
        <w:t>a</w:t>
      </w:r>
      <w:r w:rsidR="004F4F22" w:rsidRPr="00364E7F">
        <w:rPr>
          <w:rFonts w:asciiTheme="majorBidi" w:hAnsiTheme="majorBidi" w:cstheme="majorBidi"/>
          <w:color w:val="000000" w:themeColor="text1"/>
          <w:sz w:val="24"/>
          <w:szCs w:val="28"/>
        </w:rPr>
        <w:t xml:space="preserve"> </w:t>
      </w:r>
      <w:r w:rsidR="004F4F22">
        <w:rPr>
          <w:rFonts w:asciiTheme="majorBidi" w:hAnsiTheme="majorBidi" w:cstheme="majorBidi"/>
          <w:color w:val="000000" w:themeColor="text1"/>
          <w:sz w:val="24"/>
          <w:szCs w:val="28"/>
        </w:rPr>
        <w:t>CEO</w:t>
      </w:r>
      <w:r w:rsidR="004F4F22" w:rsidRPr="00364E7F">
        <w:rPr>
          <w:rFonts w:asciiTheme="majorBidi" w:hAnsiTheme="majorBidi" w:cstheme="majorBidi"/>
          <w:color w:val="000000" w:themeColor="text1"/>
          <w:sz w:val="24"/>
          <w:szCs w:val="28"/>
        </w:rPr>
        <w:t xml:space="preserve"> at other </w:t>
      </w:r>
      <w:r w:rsidR="004F4F22">
        <w:rPr>
          <w:rFonts w:asciiTheme="majorBidi" w:hAnsiTheme="majorBidi" w:cstheme="majorBidi"/>
          <w:color w:val="000000" w:themeColor="text1"/>
          <w:sz w:val="24"/>
          <w:szCs w:val="28"/>
        </w:rPr>
        <w:t>firms, and 0 otherwise. We then estimate the below equation to investigate whether the effect of narcissistic AC chairs is driven by decreased independence:</w:t>
      </w:r>
    </w:p>
    <w:p w14:paraId="39C76FDE" w14:textId="6271BDEE" w:rsidR="004F4F22" w:rsidRDefault="0033525A" w:rsidP="00E83E49">
      <w:pPr>
        <w:spacing w:line="360" w:lineRule="auto"/>
        <w:ind w:left="283"/>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r>
          <w:rPr>
            <w:rFonts w:ascii="Cambria Math" w:hAnsi="Cambria Math" w:cstheme="majorBidi"/>
            <w:noProof/>
            <w:color w:val="000000" w:themeColor="text1"/>
            <w:sz w:val="24"/>
            <w:szCs w:val="24"/>
          </w:rPr>
          <m:t>LOW</m:t>
        </m:r>
        <m:sSub>
          <m:sSubPr>
            <m:ctrlPr>
              <w:rPr>
                <w:rFonts w:ascii="Cambria Math" w:hAnsi="Cambria Math" w:cstheme="majorBidi"/>
                <w:i/>
                <w:noProof/>
                <w:color w:val="000000" w:themeColor="text1"/>
                <w:sz w:val="24"/>
                <w:szCs w:val="24"/>
              </w:rPr>
            </m:ctrlPr>
          </m:sSubPr>
          <m:e>
            <m:r>
              <w:rPr>
                <w:rFonts w:ascii="Cambria Math" w:hAnsi="Cambria Math" w:cstheme="majorBidi"/>
                <w:color w:val="000000" w:themeColor="text1"/>
                <w:sz w:val="24"/>
                <w:szCs w:val="28"/>
              </w:rPr>
              <m:t>INDEPENDENCE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color w:val="000000" w:themeColor="text1"/>
                <w:sz w:val="24"/>
                <w:szCs w:val="28"/>
              </w:rPr>
              <m:t>LOWINDEPENDENCE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color w:val="000000" w:themeColor="text1"/>
                <w:sz w:val="24"/>
                <w:szCs w:val="28"/>
              </w:rPr>
              <m:t>LOWINDEPENDENCE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color w:val="000000" w:themeColor="text1"/>
                <w:sz w:val="24"/>
                <w:szCs w:val="28"/>
              </w:rPr>
              <m:t>LOWINDEPENDENCE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color w:val="000000" w:themeColor="text1"/>
                <w:sz w:val="24"/>
                <w:szCs w:val="28"/>
              </w:rPr>
              <m:t>LOWINDEPENDENCE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(6)</m:t>
        </m:r>
      </m:oMath>
      <w:r w:rsidR="00FC31F8">
        <w:rPr>
          <w:rFonts w:asciiTheme="majorBidi" w:hAnsiTheme="majorBidi" w:cstheme="majorBidi"/>
          <w:color w:val="000000" w:themeColor="text1"/>
          <w:sz w:val="24"/>
          <w:szCs w:val="24"/>
        </w:rPr>
        <w:t xml:space="preserve"> </w:t>
      </w:r>
    </w:p>
    <w:p w14:paraId="331B73D0" w14:textId="77777777" w:rsidR="004F4F22" w:rsidRDefault="004F4F22" w:rsidP="0050080D">
      <w:pPr>
        <w:ind w:left="283"/>
        <w:rPr>
          <w:rFonts w:asciiTheme="majorBidi" w:hAnsiTheme="majorBidi" w:cstheme="majorBidi"/>
          <w:color w:val="000000" w:themeColor="text1"/>
          <w:sz w:val="24"/>
          <w:szCs w:val="28"/>
        </w:rPr>
      </w:pPr>
    </w:p>
    <w:p w14:paraId="4706A000" w14:textId="3C5708C8" w:rsidR="00A2068D" w:rsidRPr="0026049E" w:rsidRDefault="0026049E" w:rsidP="0026049E">
      <w:pPr>
        <w:spacing w:line="480" w:lineRule="auto"/>
        <w:ind w:left="283"/>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4F4F22">
        <w:rPr>
          <w:rFonts w:asciiTheme="majorBidi" w:hAnsiTheme="majorBidi" w:cstheme="majorBidi"/>
          <w:color w:val="000000" w:themeColor="text1"/>
          <w:sz w:val="24"/>
          <w:szCs w:val="28"/>
        </w:rPr>
        <w:t>In Column (</w:t>
      </w:r>
      <w:r w:rsidR="0050080D">
        <w:rPr>
          <w:rFonts w:asciiTheme="majorBidi" w:hAnsiTheme="majorBidi" w:cstheme="majorBidi"/>
          <w:color w:val="000000" w:themeColor="text1"/>
          <w:sz w:val="24"/>
          <w:szCs w:val="28"/>
        </w:rPr>
        <w:t>4</w:t>
      </w:r>
      <w:r w:rsidR="004F4F22">
        <w:rPr>
          <w:rFonts w:asciiTheme="majorBidi" w:hAnsiTheme="majorBidi" w:cstheme="majorBidi"/>
          <w:color w:val="000000" w:themeColor="text1"/>
          <w:sz w:val="24"/>
          <w:szCs w:val="28"/>
        </w:rPr>
        <w:t xml:space="preserve">) of Table 6 the coefficient on </w:t>
      </w:r>
      <w:r w:rsidR="004F4F22">
        <w:rPr>
          <w:rFonts w:ascii="Times New Roman" w:hAnsi="Times New Roman" w:cs="Times New Roman"/>
          <w:color w:val="000000"/>
          <w:sz w:val="24"/>
          <w:szCs w:val="24"/>
        </w:rPr>
        <w:t>the coefficient on</w:t>
      </w:r>
      <w:r w:rsidR="004F4F22" w:rsidRPr="00EE722A">
        <w:rPr>
          <w:rFonts w:ascii="Times New Roman" w:hAnsi="Times New Roman" w:cs="Times New Roman"/>
          <w:i/>
          <w:iCs/>
          <w:color w:val="000000"/>
          <w:sz w:val="24"/>
          <w:szCs w:val="24"/>
        </w:rPr>
        <w:t xml:space="preserve"> </w:t>
      </w:r>
      <w:r w:rsidR="004F4F22" w:rsidRPr="00AC5521">
        <w:rPr>
          <w:rFonts w:ascii="Times New Roman" w:hAnsi="Times New Roman" w:cs="Times New Roman"/>
          <w:i/>
          <w:iCs/>
          <w:color w:val="000000"/>
          <w:sz w:val="24"/>
          <w:szCs w:val="24"/>
        </w:rPr>
        <w:t>EXCLUSION×</w:t>
      </w:r>
      <w:r w:rsidR="00784952">
        <w:rPr>
          <w:rFonts w:ascii="Times New Roman" w:hAnsi="Times New Roman" w:cs="Times New Roman"/>
          <w:i/>
          <w:iCs/>
          <w:color w:val="000000"/>
          <w:sz w:val="24"/>
          <w:szCs w:val="24"/>
        </w:rPr>
        <w:t>NARCIS</w:t>
      </w:r>
      <w:r w:rsidR="004F4F22" w:rsidRPr="00AC5521">
        <w:rPr>
          <w:rFonts w:ascii="Times New Roman" w:hAnsi="Times New Roman" w:cs="Times New Roman"/>
          <w:i/>
          <w:iCs/>
          <w:color w:val="000000"/>
          <w:sz w:val="24"/>
          <w:szCs w:val="24"/>
        </w:rPr>
        <w:t>×</w:t>
      </w:r>
      <w:r w:rsidR="004F4F22">
        <w:rPr>
          <w:rFonts w:ascii="Times New Roman" w:hAnsi="Times New Roman" w:cs="Times New Roman"/>
          <w:i/>
          <w:iCs/>
          <w:color w:val="000000"/>
          <w:sz w:val="24"/>
          <w:szCs w:val="24"/>
        </w:rPr>
        <w:t>LOW</w:t>
      </w:r>
      <w:r w:rsidR="004F4F22" w:rsidRPr="00930BD6">
        <w:rPr>
          <w:rFonts w:asciiTheme="majorBidi" w:hAnsiTheme="majorBidi" w:cstheme="majorBidi"/>
          <w:i/>
          <w:iCs/>
          <w:color w:val="000000" w:themeColor="text1"/>
          <w:sz w:val="24"/>
          <w:szCs w:val="28"/>
        </w:rPr>
        <w:t>INDEPENDENCE</w:t>
      </w:r>
      <w:r w:rsidR="004F4F22" w:rsidRPr="00AC5521" w:rsidDel="00F17A40">
        <w:rPr>
          <w:rFonts w:ascii="Times New Roman" w:hAnsi="Times New Roman" w:cs="Times New Roman"/>
          <w:i/>
          <w:iCs/>
          <w:color w:val="000000"/>
          <w:sz w:val="24"/>
          <w:szCs w:val="24"/>
        </w:rPr>
        <w:t xml:space="preserve"> </w:t>
      </w:r>
      <w:r w:rsidR="004F4F22">
        <w:rPr>
          <w:rFonts w:ascii="Times New Roman" w:hAnsi="Times New Roman" w:cs="Times New Roman"/>
          <w:color w:val="000000"/>
          <w:sz w:val="24"/>
          <w:szCs w:val="24"/>
        </w:rPr>
        <w:t xml:space="preserve">is significantly negative at 5%. This suggest that the effect of narcissism on the quality of non-IFRS exclusion significantly </w:t>
      </w:r>
      <w:r w:rsidR="004F4F22">
        <w:rPr>
          <w:rFonts w:ascii="Times New Roman" w:hAnsi="Times New Roman" w:cs="Times New Roman"/>
          <w:color w:val="000000"/>
          <w:sz w:val="24"/>
          <w:szCs w:val="24"/>
        </w:rPr>
        <w:lastRenderedPageBreak/>
        <w:t xml:space="preserve">manifests when AC chair independence is likely to suffer, demonstrating that decreased independence is a mechanism that </w:t>
      </w:r>
      <w:r w:rsidR="004F4F22">
        <w:rPr>
          <w:rFonts w:asciiTheme="majorBidi" w:hAnsiTheme="majorBidi" w:cstheme="majorBidi"/>
          <w:color w:val="000000" w:themeColor="text1"/>
          <w:sz w:val="24"/>
          <w:szCs w:val="28"/>
        </w:rPr>
        <w:t>deteriorates the quality of narcissistic AC chairs monitoring of non-IFRS exclusions.</w:t>
      </w:r>
    </w:p>
    <w:p w14:paraId="104EDD48" w14:textId="7F750B18" w:rsidR="0050080D" w:rsidRPr="0026049E" w:rsidRDefault="00331AE5" w:rsidP="0026049E">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 xml:space="preserve">6.4.6 </w:t>
      </w:r>
      <w:r w:rsidR="002B7705" w:rsidRPr="0087365D">
        <w:rPr>
          <w:rFonts w:asciiTheme="majorBidi" w:hAnsiTheme="majorBidi"/>
          <w:i/>
          <w:iCs/>
          <w:color w:val="000000" w:themeColor="text1"/>
          <w:sz w:val="28"/>
          <w:szCs w:val="28"/>
        </w:rPr>
        <w:t xml:space="preserve">Firm complexity </w:t>
      </w:r>
    </w:p>
    <w:p w14:paraId="69636E77" w14:textId="1877A2BB" w:rsidR="00B61B68" w:rsidRDefault="0026049E" w:rsidP="007A7654">
      <w:pPr>
        <w:spacing w:line="480" w:lineRule="auto"/>
        <w:ind w:left="283"/>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251419" w:rsidRPr="00251419">
        <w:rPr>
          <w:rFonts w:asciiTheme="majorBidi" w:hAnsiTheme="majorBidi" w:cstheme="majorBidi"/>
          <w:color w:val="000000" w:themeColor="text1"/>
          <w:sz w:val="24"/>
          <w:szCs w:val="28"/>
        </w:rPr>
        <w:t xml:space="preserve">The demand for intensive oversight </w:t>
      </w:r>
      <w:r w:rsidR="00251419">
        <w:rPr>
          <w:rFonts w:asciiTheme="majorBidi" w:hAnsiTheme="majorBidi" w:cstheme="majorBidi"/>
          <w:color w:val="000000" w:themeColor="text1"/>
          <w:sz w:val="24"/>
          <w:szCs w:val="28"/>
        </w:rPr>
        <w:t xml:space="preserve">can </w:t>
      </w:r>
      <w:r w:rsidR="00251419" w:rsidRPr="00251419">
        <w:rPr>
          <w:rFonts w:asciiTheme="majorBidi" w:hAnsiTheme="majorBidi" w:cstheme="majorBidi"/>
          <w:color w:val="000000" w:themeColor="text1"/>
          <w:sz w:val="24"/>
          <w:szCs w:val="28"/>
        </w:rPr>
        <w:t xml:space="preserve">serve as a significant mechanism influencing the motivation of narcissistic </w:t>
      </w:r>
      <w:r w:rsidR="007A7654">
        <w:rPr>
          <w:rFonts w:asciiTheme="majorBidi" w:hAnsiTheme="majorBidi" w:cstheme="majorBidi"/>
          <w:color w:val="000000" w:themeColor="text1"/>
          <w:sz w:val="24"/>
          <w:szCs w:val="28"/>
        </w:rPr>
        <w:t>AC chair</w:t>
      </w:r>
      <w:r w:rsidR="00251419" w:rsidRPr="00251419">
        <w:rPr>
          <w:rFonts w:asciiTheme="majorBidi" w:hAnsiTheme="majorBidi" w:cstheme="majorBidi"/>
          <w:color w:val="000000" w:themeColor="text1"/>
          <w:sz w:val="24"/>
          <w:szCs w:val="28"/>
        </w:rPr>
        <w:t xml:space="preserve"> to monitor executive directors. Engel, Hayes, and Wang (2010) assert that firms with complex business operations face an increased risk of financial misstatement, thereby intensifying shareholders’ demand for rigorous oversight. In this context, and </w:t>
      </w:r>
      <w:proofErr w:type="gramStart"/>
      <w:r w:rsidR="00251419" w:rsidRPr="00251419">
        <w:rPr>
          <w:rFonts w:asciiTheme="majorBidi" w:hAnsiTheme="majorBidi" w:cstheme="majorBidi"/>
          <w:color w:val="000000" w:themeColor="text1"/>
          <w:sz w:val="24"/>
          <w:szCs w:val="28"/>
        </w:rPr>
        <w:t>in light of</w:t>
      </w:r>
      <w:proofErr w:type="gramEnd"/>
      <w:r w:rsidR="00251419" w:rsidRPr="00251419">
        <w:rPr>
          <w:rFonts w:asciiTheme="majorBidi" w:hAnsiTheme="majorBidi" w:cstheme="majorBidi"/>
          <w:color w:val="000000" w:themeColor="text1"/>
          <w:sz w:val="24"/>
          <w:szCs w:val="28"/>
        </w:rPr>
        <w:t xml:space="preserve"> their intrinsic desire for recognition (Brunell et al., 2008; Campbell et al., 2004; Wink, 1991), we posit that narcissistic AC chairs are particularly </w:t>
      </w:r>
      <w:r w:rsidR="00404205">
        <w:rPr>
          <w:rFonts w:asciiTheme="majorBidi" w:hAnsiTheme="majorBidi" w:cstheme="majorBidi"/>
          <w:color w:val="000000" w:themeColor="text1"/>
          <w:sz w:val="24"/>
          <w:szCs w:val="28"/>
        </w:rPr>
        <w:t xml:space="preserve">more </w:t>
      </w:r>
      <w:r w:rsidR="00251419" w:rsidRPr="00251419">
        <w:rPr>
          <w:rFonts w:asciiTheme="majorBidi" w:hAnsiTheme="majorBidi" w:cstheme="majorBidi"/>
          <w:color w:val="000000" w:themeColor="text1"/>
          <w:sz w:val="24"/>
          <w:szCs w:val="28"/>
        </w:rPr>
        <w:t>motivated to showcase their capabilities and assert their authority in overseeing the financial reporting process.</w:t>
      </w:r>
      <w:r w:rsidR="00F255CE">
        <w:rPr>
          <w:rFonts w:asciiTheme="majorBidi" w:hAnsiTheme="majorBidi" w:cstheme="majorBidi"/>
          <w:color w:val="000000" w:themeColor="text1"/>
          <w:sz w:val="24"/>
          <w:szCs w:val="28"/>
        </w:rPr>
        <w:t xml:space="preserve"> </w:t>
      </w:r>
      <w:r w:rsidR="002F0755">
        <w:rPr>
          <w:rFonts w:asciiTheme="majorBidi" w:hAnsiTheme="majorBidi" w:cstheme="majorBidi"/>
          <w:color w:val="000000" w:themeColor="text1"/>
          <w:sz w:val="24"/>
          <w:szCs w:val="28"/>
        </w:rPr>
        <w:t>To test this proposition, we develop</w:t>
      </w:r>
      <w:r w:rsidR="0000208B">
        <w:rPr>
          <w:rFonts w:asciiTheme="majorBidi" w:hAnsiTheme="majorBidi" w:cstheme="majorBidi"/>
          <w:color w:val="000000" w:themeColor="text1"/>
          <w:sz w:val="24"/>
          <w:szCs w:val="28"/>
        </w:rPr>
        <w:t xml:space="preserve"> a proxy for complex firms</w:t>
      </w:r>
      <w:r w:rsidR="002F0755">
        <w:rPr>
          <w:rFonts w:asciiTheme="majorBidi" w:hAnsiTheme="majorBidi" w:cstheme="majorBidi"/>
          <w:color w:val="000000" w:themeColor="text1"/>
          <w:sz w:val="24"/>
          <w:szCs w:val="28"/>
        </w:rPr>
        <w:t xml:space="preserve"> based on </w:t>
      </w:r>
      <w:r w:rsidR="00E812D9">
        <w:rPr>
          <w:rFonts w:asciiTheme="majorBidi" w:hAnsiTheme="majorBidi" w:cstheme="majorBidi"/>
          <w:color w:val="000000" w:themeColor="text1"/>
          <w:sz w:val="24"/>
          <w:szCs w:val="28"/>
        </w:rPr>
        <w:t xml:space="preserve">the number of </w:t>
      </w:r>
      <w:r w:rsidR="00DB1F87">
        <w:rPr>
          <w:rFonts w:asciiTheme="majorBidi" w:hAnsiTheme="majorBidi" w:cstheme="majorBidi"/>
          <w:color w:val="000000" w:themeColor="text1"/>
          <w:sz w:val="24"/>
          <w:szCs w:val="28"/>
        </w:rPr>
        <w:t>business segments</w:t>
      </w:r>
      <w:r w:rsidR="0000208B">
        <w:rPr>
          <w:rFonts w:asciiTheme="majorBidi" w:hAnsiTheme="majorBidi" w:cstheme="majorBidi"/>
          <w:color w:val="000000" w:themeColor="text1"/>
          <w:sz w:val="24"/>
          <w:szCs w:val="28"/>
        </w:rPr>
        <w:t xml:space="preserve">. </w:t>
      </w:r>
      <w:proofErr w:type="gramStart"/>
      <w:r w:rsidR="002F0755">
        <w:rPr>
          <w:rFonts w:asciiTheme="majorBidi" w:hAnsiTheme="majorBidi" w:cstheme="majorBidi"/>
          <w:color w:val="000000" w:themeColor="text1"/>
          <w:sz w:val="24"/>
          <w:szCs w:val="28"/>
        </w:rPr>
        <w:t xml:space="preserve">In particular, </w:t>
      </w:r>
      <w:r w:rsidR="0000208B">
        <w:rPr>
          <w:rFonts w:asciiTheme="majorBidi" w:hAnsiTheme="majorBidi" w:cstheme="majorBidi"/>
          <w:color w:val="000000" w:themeColor="text1"/>
          <w:sz w:val="24"/>
          <w:szCs w:val="28"/>
        </w:rPr>
        <w:t>we</w:t>
      </w:r>
      <w:proofErr w:type="gramEnd"/>
      <w:r w:rsidR="0000208B">
        <w:rPr>
          <w:rFonts w:asciiTheme="majorBidi" w:hAnsiTheme="majorBidi" w:cstheme="majorBidi"/>
          <w:color w:val="000000" w:themeColor="text1"/>
          <w:sz w:val="24"/>
          <w:szCs w:val="28"/>
        </w:rPr>
        <w:t xml:space="preserve"> </w:t>
      </w:r>
      <w:r w:rsidR="00030AA5">
        <w:rPr>
          <w:rFonts w:asciiTheme="majorBidi" w:hAnsiTheme="majorBidi" w:cstheme="majorBidi"/>
          <w:color w:val="000000" w:themeColor="text1"/>
          <w:sz w:val="24"/>
          <w:szCs w:val="28"/>
        </w:rPr>
        <w:t xml:space="preserve">generate </w:t>
      </w:r>
      <w:r w:rsidR="000F6414">
        <w:rPr>
          <w:rFonts w:asciiTheme="majorBidi" w:hAnsiTheme="majorBidi" w:cstheme="majorBidi"/>
          <w:color w:val="000000" w:themeColor="text1"/>
          <w:sz w:val="24"/>
          <w:szCs w:val="28"/>
        </w:rPr>
        <w:t>an indicator variable</w:t>
      </w:r>
      <w:r w:rsidR="0000208B">
        <w:rPr>
          <w:rFonts w:asciiTheme="majorBidi" w:hAnsiTheme="majorBidi" w:cstheme="majorBidi"/>
          <w:color w:val="000000" w:themeColor="text1"/>
          <w:sz w:val="24"/>
          <w:szCs w:val="28"/>
        </w:rPr>
        <w:t>,</w:t>
      </w:r>
      <w:r w:rsidR="000F6414">
        <w:rPr>
          <w:rFonts w:asciiTheme="majorBidi" w:hAnsiTheme="majorBidi" w:cstheme="majorBidi"/>
          <w:color w:val="000000" w:themeColor="text1"/>
          <w:sz w:val="24"/>
          <w:szCs w:val="28"/>
        </w:rPr>
        <w:t xml:space="preserve"> </w:t>
      </w:r>
      <w:r w:rsidR="00E64060">
        <w:rPr>
          <w:rFonts w:asciiTheme="majorBidi" w:hAnsiTheme="majorBidi" w:cstheme="majorBidi"/>
          <w:i/>
          <w:iCs/>
          <w:color w:val="000000" w:themeColor="text1"/>
          <w:sz w:val="24"/>
          <w:szCs w:val="28"/>
        </w:rPr>
        <w:t>HIGH</w:t>
      </w:r>
      <w:r w:rsidR="000573D2">
        <w:rPr>
          <w:rFonts w:asciiTheme="majorBidi" w:hAnsiTheme="majorBidi" w:cstheme="majorBidi"/>
          <w:i/>
          <w:iCs/>
          <w:color w:val="000000" w:themeColor="text1"/>
          <w:sz w:val="24"/>
          <w:szCs w:val="28"/>
        </w:rPr>
        <w:t>COMPLEXITY</w:t>
      </w:r>
      <w:r w:rsidR="000573D2">
        <w:rPr>
          <w:rFonts w:asciiTheme="majorBidi" w:hAnsiTheme="majorBidi" w:cstheme="majorBidi"/>
          <w:color w:val="000000" w:themeColor="text1"/>
          <w:sz w:val="24"/>
          <w:szCs w:val="28"/>
        </w:rPr>
        <w:t xml:space="preserve">, </w:t>
      </w:r>
      <w:r w:rsidR="004A1969">
        <w:rPr>
          <w:rFonts w:asciiTheme="majorBidi" w:hAnsiTheme="majorBidi" w:cstheme="majorBidi"/>
          <w:color w:val="000000" w:themeColor="text1"/>
          <w:sz w:val="24"/>
          <w:szCs w:val="28"/>
        </w:rPr>
        <w:t xml:space="preserve">which equals </w:t>
      </w:r>
      <w:r w:rsidR="00E764AA">
        <w:rPr>
          <w:rFonts w:asciiTheme="majorBidi" w:hAnsiTheme="majorBidi" w:cstheme="majorBidi"/>
          <w:color w:val="000000" w:themeColor="text1"/>
          <w:sz w:val="24"/>
          <w:szCs w:val="28"/>
        </w:rPr>
        <w:t xml:space="preserve">1 if the number of business segments is in the top quartile, and 0 otherwise. </w:t>
      </w:r>
      <w:r w:rsidR="00B0663F">
        <w:rPr>
          <w:rFonts w:asciiTheme="majorBidi" w:hAnsiTheme="majorBidi" w:cstheme="majorBidi"/>
          <w:color w:val="000000" w:themeColor="text1"/>
          <w:sz w:val="24"/>
          <w:szCs w:val="28"/>
        </w:rPr>
        <w:t xml:space="preserve">We then estimate the below equation </w:t>
      </w:r>
      <w:r w:rsidR="0025320C">
        <w:rPr>
          <w:rFonts w:asciiTheme="majorBidi" w:hAnsiTheme="majorBidi" w:cstheme="majorBidi"/>
          <w:color w:val="000000" w:themeColor="text1"/>
          <w:sz w:val="24"/>
          <w:szCs w:val="28"/>
        </w:rPr>
        <w:t xml:space="preserve">to investigate whether </w:t>
      </w:r>
      <w:r w:rsidR="00B06EFA">
        <w:rPr>
          <w:rFonts w:asciiTheme="majorBidi" w:hAnsiTheme="majorBidi" w:cstheme="majorBidi"/>
          <w:color w:val="000000" w:themeColor="text1"/>
          <w:sz w:val="24"/>
          <w:szCs w:val="28"/>
        </w:rPr>
        <w:t>the effect of narcissistic AC chairs is driven by less</w:t>
      </w:r>
      <w:r w:rsidR="008F4530">
        <w:rPr>
          <w:rFonts w:asciiTheme="majorBidi" w:hAnsiTheme="majorBidi" w:cstheme="majorBidi"/>
          <w:color w:val="000000" w:themeColor="text1"/>
          <w:sz w:val="24"/>
          <w:szCs w:val="28"/>
        </w:rPr>
        <w:t>er</w:t>
      </w:r>
      <w:r w:rsidR="00B06EFA">
        <w:rPr>
          <w:rFonts w:asciiTheme="majorBidi" w:hAnsiTheme="majorBidi" w:cstheme="majorBidi"/>
          <w:color w:val="000000" w:themeColor="text1"/>
          <w:sz w:val="24"/>
          <w:szCs w:val="28"/>
        </w:rPr>
        <w:t xml:space="preserve"> competence</w:t>
      </w:r>
      <w:r w:rsidR="00BF5529">
        <w:rPr>
          <w:rFonts w:asciiTheme="majorBidi" w:hAnsiTheme="majorBidi" w:cstheme="majorBidi"/>
          <w:color w:val="000000" w:themeColor="text1"/>
          <w:sz w:val="24"/>
          <w:szCs w:val="28"/>
        </w:rPr>
        <w:t>:</w:t>
      </w:r>
    </w:p>
    <w:p w14:paraId="136719F8" w14:textId="28AFC8A4" w:rsidR="00BF5529" w:rsidRPr="00B95A5B" w:rsidRDefault="0033525A" w:rsidP="00E83E49">
      <w:pPr>
        <w:spacing w:line="360" w:lineRule="auto"/>
        <w:ind w:left="283"/>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HIGHCOMPLEXITY</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HIGHCOMPLEXITY</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HIGHCOMPLEXITY</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HIGHCOMPLEXITY</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HIGHCOMPLEXITY</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(7)</m:t>
        </m:r>
      </m:oMath>
      <w:r w:rsidR="00FC31F8">
        <w:rPr>
          <w:rFonts w:asciiTheme="majorBidi" w:hAnsiTheme="majorBidi" w:cstheme="majorBidi"/>
          <w:color w:val="000000" w:themeColor="text1"/>
          <w:sz w:val="24"/>
          <w:szCs w:val="24"/>
        </w:rPr>
        <w:t xml:space="preserve"> </w:t>
      </w:r>
    </w:p>
    <w:p w14:paraId="6F3DE867" w14:textId="77777777" w:rsidR="00B95A5B" w:rsidRPr="000573D2" w:rsidRDefault="00B95A5B" w:rsidP="0026049E">
      <w:pPr>
        <w:ind w:left="283"/>
        <w:rPr>
          <w:rFonts w:asciiTheme="majorBidi" w:hAnsiTheme="majorBidi" w:cstheme="majorBidi"/>
          <w:color w:val="000000" w:themeColor="text1"/>
          <w:sz w:val="24"/>
          <w:szCs w:val="28"/>
        </w:rPr>
      </w:pPr>
    </w:p>
    <w:p w14:paraId="0516A727" w14:textId="6BFA1847" w:rsidR="00852FC5" w:rsidRDefault="0026049E" w:rsidP="0026049E">
      <w:pPr>
        <w:spacing w:line="480" w:lineRule="auto"/>
        <w:ind w:left="283"/>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07681C">
        <w:rPr>
          <w:rFonts w:asciiTheme="majorBidi" w:hAnsiTheme="majorBidi" w:cstheme="majorBidi"/>
          <w:color w:val="000000" w:themeColor="text1"/>
          <w:sz w:val="24"/>
          <w:szCs w:val="28"/>
        </w:rPr>
        <w:t>Column (</w:t>
      </w:r>
      <w:r w:rsidR="0050080D">
        <w:rPr>
          <w:rFonts w:asciiTheme="majorBidi" w:hAnsiTheme="majorBidi" w:cstheme="majorBidi"/>
          <w:color w:val="000000" w:themeColor="text1"/>
          <w:sz w:val="24"/>
          <w:szCs w:val="28"/>
        </w:rPr>
        <w:t>5</w:t>
      </w:r>
      <w:r w:rsidR="0007681C">
        <w:rPr>
          <w:rFonts w:asciiTheme="majorBidi" w:hAnsiTheme="majorBidi" w:cstheme="majorBidi"/>
          <w:color w:val="000000" w:themeColor="text1"/>
          <w:sz w:val="24"/>
          <w:szCs w:val="28"/>
        </w:rPr>
        <w:t>)</w:t>
      </w:r>
      <w:r w:rsidR="00385869">
        <w:rPr>
          <w:rFonts w:asciiTheme="majorBidi" w:hAnsiTheme="majorBidi" w:cstheme="majorBidi"/>
          <w:color w:val="000000" w:themeColor="text1"/>
          <w:sz w:val="24"/>
          <w:szCs w:val="28"/>
        </w:rPr>
        <w:t xml:space="preserve"> of Table </w:t>
      </w:r>
      <w:r w:rsidR="00B95C6C">
        <w:rPr>
          <w:rFonts w:asciiTheme="majorBidi" w:hAnsiTheme="majorBidi" w:cstheme="majorBidi"/>
          <w:color w:val="000000" w:themeColor="text1"/>
          <w:sz w:val="24"/>
          <w:szCs w:val="28"/>
        </w:rPr>
        <w:t>6</w:t>
      </w:r>
      <w:r w:rsidR="0007681C">
        <w:rPr>
          <w:rFonts w:asciiTheme="majorBidi" w:hAnsiTheme="majorBidi" w:cstheme="majorBidi"/>
          <w:color w:val="000000" w:themeColor="text1"/>
          <w:sz w:val="24"/>
          <w:szCs w:val="28"/>
        </w:rPr>
        <w:t xml:space="preserve"> </w:t>
      </w:r>
      <w:r w:rsidR="005A5A2E">
        <w:rPr>
          <w:rFonts w:asciiTheme="majorBidi" w:hAnsiTheme="majorBidi" w:cstheme="majorBidi"/>
          <w:color w:val="000000" w:themeColor="text1"/>
          <w:sz w:val="24"/>
          <w:szCs w:val="28"/>
        </w:rPr>
        <w:t>reports</w:t>
      </w:r>
      <w:r w:rsidR="0007681C">
        <w:rPr>
          <w:rFonts w:asciiTheme="majorBidi" w:hAnsiTheme="majorBidi" w:cstheme="majorBidi"/>
          <w:color w:val="000000" w:themeColor="text1"/>
          <w:sz w:val="24"/>
          <w:szCs w:val="28"/>
        </w:rPr>
        <w:t xml:space="preserve"> that</w:t>
      </w:r>
      <w:r w:rsidR="00013135">
        <w:rPr>
          <w:rFonts w:asciiTheme="majorBidi" w:hAnsiTheme="majorBidi" w:cstheme="majorBidi"/>
          <w:color w:val="000000" w:themeColor="text1"/>
          <w:sz w:val="24"/>
          <w:szCs w:val="28"/>
        </w:rPr>
        <w:t xml:space="preserve"> the </w:t>
      </w:r>
      <w:r w:rsidR="00FF2A9C">
        <w:rPr>
          <w:rFonts w:asciiTheme="majorBidi" w:hAnsiTheme="majorBidi" w:cstheme="majorBidi"/>
          <w:color w:val="000000" w:themeColor="text1"/>
          <w:sz w:val="24"/>
          <w:szCs w:val="28"/>
        </w:rPr>
        <w:t>coefficient on</w:t>
      </w:r>
      <w:r w:rsidR="0000208B">
        <w:rPr>
          <w:rFonts w:asciiTheme="majorBidi" w:hAnsiTheme="majorBidi" w:cstheme="majorBidi"/>
          <w:color w:val="000000" w:themeColor="text1"/>
          <w:sz w:val="24"/>
          <w:szCs w:val="28"/>
        </w:rPr>
        <w:t xml:space="preserve"> </w:t>
      </w:r>
      <w:r w:rsidR="0000208B" w:rsidRPr="00D532C8">
        <w:rPr>
          <w:rFonts w:asciiTheme="majorBidi" w:hAnsiTheme="majorBidi" w:cstheme="majorBidi"/>
          <w:i/>
          <w:iCs/>
          <w:color w:val="000000" w:themeColor="text1"/>
          <w:sz w:val="24"/>
          <w:szCs w:val="28"/>
        </w:rPr>
        <w:t>EXCLUSION×</w:t>
      </w:r>
      <w:r w:rsidR="00784952">
        <w:rPr>
          <w:rFonts w:asciiTheme="majorBidi" w:hAnsiTheme="majorBidi" w:cstheme="majorBidi"/>
          <w:i/>
          <w:iCs/>
          <w:color w:val="000000" w:themeColor="text1"/>
          <w:sz w:val="24"/>
          <w:szCs w:val="28"/>
        </w:rPr>
        <w:t>NARCIS</w:t>
      </w:r>
      <w:r w:rsidR="0000208B">
        <w:rPr>
          <w:rFonts w:asciiTheme="majorBidi" w:hAnsiTheme="majorBidi" w:cstheme="majorBidi"/>
          <w:color w:val="000000" w:themeColor="text1"/>
          <w:sz w:val="24"/>
          <w:szCs w:val="28"/>
        </w:rPr>
        <w:t xml:space="preserve"> is significantly negative, whereas</w:t>
      </w:r>
      <w:r w:rsidR="00FF2A9C">
        <w:rPr>
          <w:rFonts w:asciiTheme="majorBidi" w:hAnsiTheme="majorBidi" w:cstheme="majorBidi"/>
          <w:color w:val="000000" w:themeColor="text1"/>
          <w:sz w:val="24"/>
          <w:szCs w:val="28"/>
        </w:rPr>
        <w:t xml:space="preserve"> </w:t>
      </w:r>
      <w:r w:rsidR="0000208B">
        <w:rPr>
          <w:rFonts w:asciiTheme="majorBidi" w:hAnsiTheme="majorBidi" w:cstheme="majorBidi"/>
          <w:color w:val="000000" w:themeColor="text1"/>
          <w:sz w:val="24"/>
          <w:szCs w:val="28"/>
        </w:rPr>
        <w:t>the coefficient on</w:t>
      </w:r>
      <w:r w:rsidR="0000208B" w:rsidRPr="005A5A2E">
        <w:rPr>
          <w:rFonts w:asciiTheme="majorBidi" w:hAnsiTheme="majorBidi" w:cstheme="majorBidi"/>
          <w:i/>
          <w:iCs/>
          <w:color w:val="000000" w:themeColor="text1"/>
          <w:sz w:val="24"/>
          <w:szCs w:val="28"/>
        </w:rPr>
        <w:t xml:space="preserve"> </w:t>
      </w:r>
      <w:r w:rsidR="00FF2A9C" w:rsidRPr="005A5A2E">
        <w:rPr>
          <w:rFonts w:asciiTheme="majorBidi" w:hAnsiTheme="majorBidi" w:cstheme="majorBidi"/>
          <w:i/>
          <w:iCs/>
          <w:color w:val="000000" w:themeColor="text1"/>
          <w:sz w:val="24"/>
          <w:szCs w:val="28"/>
        </w:rPr>
        <w:t>EXCLUSION×</w:t>
      </w:r>
      <w:r w:rsidR="00784952">
        <w:rPr>
          <w:rFonts w:asciiTheme="majorBidi" w:hAnsiTheme="majorBidi" w:cstheme="majorBidi"/>
          <w:i/>
          <w:iCs/>
          <w:color w:val="000000" w:themeColor="text1"/>
          <w:sz w:val="24"/>
          <w:szCs w:val="28"/>
        </w:rPr>
        <w:t>NARCIS</w:t>
      </w:r>
      <w:r w:rsidR="00FF2A9C" w:rsidRPr="005A5A2E">
        <w:rPr>
          <w:rFonts w:asciiTheme="majorBidi" w:hAnsiTheme="majorBidi" w:cstheme="majorBidi"/>
          <w:i/>
          <w:iCs/>
          <w:color w:val="000000" w:themeColor="text1"/>
          <w:sz w:val="24"/>
          <w:szCs w:val="28"/>
        </w:rPr>
        <w:t>×</w:t>
      </w:r>
      <w:r w:rsidR="00CD576B">
        <w:rPr>
          <w:rFonts w:asciiTheme="majorBidi" w:hAnsiTheme="majorBidi" w:cstheme="majorBidi"/>
          <w:i/>
          <w:iCs/>
          <w:color w:val="000000" w:themeColor="text1"/>
          <w:sz w:val="24"/>
          <w:szCs w:val="28"/>
        </w:rPr>
        <w:t>HIGH</w:t>
      </w:r>
      <w:r w:rsidR="00FF2A9C" w:rsidRPr="005A5A2E">
        <w:rPr>
          <w:rFonts w:asciiTheme="majorBidi" w:hAnsiTheme="majorBidi" w:cstheme="majorBidi"/>
          <w:i/>
          <w:iCs/>
          <w:color w:val="000000" w:themeColor="text1"/>
          <w:sz w:val="24"/>
          <w:szCs w:val="28"/>
        </w:rPr>
        <w:t>COMPLEXITY</w:t>
      </w:r>
      <w:r w:rsidR="0007681C">
        <w:rPr>
          <w:rFonts w:asciiTheme="majorBidi" w:hAnsiTheme="majorBidi" w:cstheme="majorBidi"/>
          <w:color w:val="000000" w:themeColor="text1"/>
          <w:sz w:val="24"/>
          <w:szCs w:val="28"/>
        </w:rPr>
        <w:t xml:space="preserve"> is </w:t>
      </w:r>
      <w:r w:rsidR="005A5A2E">
        <w:rPr>
          <w:rFonts w:asciiTheme="majorBidi" w:hAnsiTheme="majorBidi" w:cstheme="majorBidi"/>
          <w:color w:val="000000" w:themeColor="text1"/>
          <w:sz w:val="24"/>
          <w:szCs w:val="28"/>
        </w:rPr>
        <w:t>signi</w:t>
      </w:r>
      <w:r w:rsidR="00C04096">
        <w:rPr>
          <w:rFonts w:asciiTheme="majorBidi" w:hAnsiTheme="majorBidi" w:cstheme="majorBidi"/>
          <w:color w:val="000000" w:themeColor="text1"/>
          <w:sz w:val="24"/>
          <w:szCs w:val="28"/>
        </w:rPr>
        <w:t>ficantly positive</w:t>
      </w:r>
      <w:r w:rsidR="00D532C8">
        <w:rPr>
          <w:rFonts w:asciiTheme="majorBidi" w:hAnsiTheme="majorBidi" w:cstheme="majorBidi"/>
          <w:color w:val="000000" w:themeColor="text1"/>
          <w:sz w:val="24"/>
          <w:szCs w:val="28"/>
        </w:rPr>
        <w:t xml:space="preserve">. This </w:t>
      </w:r>
      <w:r w:rsidR="00D7684A">
        <w:rPr>
          <w:rFonts w:asciiTheme="majorBidi" w:hAnsiTheme="majorBidi" w:cstheme="majorBidi"/>
          <w:color w:val="000000" w:themeColor="text1"/>
          <w:sz w:val="24"/>
          <w:szCs w:val="28"/>
        </w:rPr>
        <w:t>later finding</w:t>
      </w:r>
      <w:r w:rsidR="00F255CE">
        <w:rPr>
          <w:rFonts w:asciiTheme="majorBidi" w:hAnsiTheme="majorBidi" w:cstheme="majorBidi"/>
          <w:color w:val="000000" w:themeColor="text1"/>
          <w:sz w:val="24"/>
          <w:szCs w:val="28"/>
        </w:rPr>
        <w:t xml:space="preserve"> </w:t>
      </w:r>
      <w:r w:rsidR="00D532C8">
        <w:rPr>
          <w:rFonts w:asciiTheme="majorBidi" w:hAnsiTheme="majorBidi" w:cstheme="majorBidi"/>
          <w:color w:val="000000" w:themeColor="text1"/>
          <w:sz w:val="24"/>
          <w:szCs w:val="28"/>
        </w:rPr>
        <w:t xml:space="preserve">suggests that </w:t>
      </w:r>
      <w:r w:rsidR="00CB0659">
        <w:rPr>
          <w:rFonts w:asciiTheme="majorBidi" w:hAnsiTheme="majorBidi" w:cstheme="majorBidi"/>
          <w:color w:val="000000" w:themeColor="text1"/>
          <w:sz w:val="24"/>
          <w:szCs w:val="28"/>
        </w:rPr>
        <w:t>narcissistic AC chairs</w:t>
      </w:r>
      <w:r w:rsidR="0000208B">
        <w:rPr>
          <w:rFonts w:asciiTheme="majorBidi" w:hAnsiTheme="majorBidi" w:cstheme="majorBidi"/>
          <w:color w:val="000000" w:themeColor="text1"/>
          <w:sz w:val="24"/>
          <w:szCs w:val="28"/>
        </w:rPr>
        <w:t xml:space="preserve"> are more motivated to </w:t>
      </w:r>
      <w:r w:rsidR="00D7684A">
        <w:rPr>
          <w:rFonts w:asciiTheme="majorBidi" w:hAnsiTheme="majorBidi" w:cstheme="majorBidi"/>
          <w:color w:val="000000" w:themeColor="text1"/>
          <w:sz w:val="24"/>
          <w:szCs w:val="28"/>
        </w:rPr>
        <w:t>exercise</w:t>
      </w:r>
      <w:r w:rsidR="0000208B">
        <w:rPr>
          <w:rFonts w:asciiTheme="majorBidi" w:hAnsiTheme="majorBidi" w:cstheme="majorBidi"/>
          <w:color w:val="000000" w:themeColor="text1"/>
          <w:sz w:val="24"/>
          <w:szCs w:val="28"/>
        </w:rPr>
        <w:t xml:space="preserve"> close </w:t>
      </w:r>
      <w:r w:rsidR="00D7684A">
        <w:rPr>
          <w:rFonts w:asciiTheme="majorBidi" w:hAnsiTheme="majorBidi" w:cstheme="majorBidi"/>
          <w:color w:val="000000" w:themeColor="text1"/>
          <w:sz w:val="24"/>
          <w:szCs w:val="28"/>
        </w:rPr>
        <w:t xml:space="preserve">monitoring, thereby </w:t>
      </w:r>
      <w:r w:rsidR="0000208B">
        <w:rPr>
          <w:rFonts w:asciiTheme="majorBidi" w:hAnsiTheme="majorBidi" w:cstheme="majorBidi"/>
          <w:color w:val="000000" w:themeColor="text1"/>
          <w:sz w:val="24"/>
          <w:szCs w:val="28"/>
        </w:rPr>
        <w:lastRenderedPageBreak/>
        <w:t>enhanc</w:t>
      </w:r>
      <w:r w:rsidR="00D7684A">
        <w:rPr>
          <w:rFonts w:asciiTheme="majorBidi" w:hAnsiTheme="majorBidi" w:cstheme="majorBidi"/>
          <w:color w:val="000000" w:themeColor="text1"/>
          <w:sz w:val="24"/>
          <w:szCs w:val="28"/>
        </w:rPr>
        <w:t>ing</w:t>
      </w:r>
      <w:r w:rsidR="0000208B">
        <w:rPr>
          <w:rFonts w:asciiTheme="majorBidi" w:hAnsiTheme="majorBidi" w:cstheme="majorBidi"/>
          <w:color w:val="000000" w:themeColor="text1"/>
          <w:sz w:val="24"/>
          <w:szCs w:val="28"/>
        </w:rPr>
        <w:t xml:space="preserve"> </w:t>
      </w:r>
      <w:r w:rsidR="00CB0659">
        <w:rPr>
          <w:rFonts w:asciiTheme="majorBidi" w:hAnsiTheme="majorBidi" w:cstheme="majorBidi"/>
          <w:color w:val="000000" w:themeColor="text1"/>
          <w:sz w:val="24"/>
          <w:szCs w:val="28"/>
        </w:rPr>
        <w:t xml:space="preserve">the quality </w:t>
      </w:r>
      <w:r w:rsidR="00FA68AB">
        <w:rPr>
          <w:rFonts w:asciiTheme="majorBidi" w:hAnsiTheme="majorBidi" w:cstheme="majorBidi"/>
          <w:color w:val="000000" w:themeColor="text1"/>
          <w:sz w:val="24"/>
          <w:szCs w:val="28"/>
        </w:rPr>
        <w:t xml:space="preserve">of non-IFRS exclusions </w:t>
      </w:r>
      <w:r w:rsidR="00D7684A">
        <w:rPr>
          <w:rFonts w:asciiTheme="majorBidi" w:hAnsiTheme="majorBidi" w:cstheme="majorBidi"/>
          <w:color w:val="000000" w:themeColor="text1"/>
          <w:sz w:val="24"/>
          <w:szCs w:val="28"/>
        </w:rPr>
        <w:t xml:space="preserve">in </w:t>
      </w:r>
      <w:r w:rsidR="00752141">
        <w:rPr>
          <w:rFonts w:asciiTheme="majorBidi" w:hAnsiTheme="majorBidi" w:cstheme="majorBidi"/>
          <w:color w:val="000000" w:themeColor="text1"/>
          <w:sz w:val="24"/>
          <w:szCs w:val="28"/>
        </w:rPr>
        <w:t xml:space="preserve">complex </w:t>
      </w:r>
      <w:r w:rsidR="00D7684A">
        <w:rPr>
          <w:rFonts w:asciiTheme="majorBidi" w:hAnsiTheme="majorBidi" w:cstheme="majorBidi"/>
          <w:color w:val="000000" w:themeColor="text1"/>
          <w:sz w:val="24"/>
          <w:szCs w:val="28"/>
        </w:rPr>
        <w:t xml:space="preserve">firms. This </w:t>
      </w:r>
      <w:r w:rsidR="00950A20">
        <w:rPr>
          <w:rFonts w:asciiTheme="majorBidi" w:hAnsiTheme="majorBidi" w:cstheme="majorBidi"/>
          <w:color w:val="000000" w:themeColor="text1"/>
          <w:sz w:val="24"/>
          <w:szCs w:val="28"/>
        </w:rPr>
        <w:t>supports</w:t>
      </w:r>
      <w:r w:rsidR="00D7684A">
        <w:rPr>
          <w:rFonts w:asciiTheme="majorBidi" w:hAnsiTheme="majorBidi" w:cstheme="majorBidi"/>
          <w:color w:val="000000" w:themeColor="text1"/>
          <w:sz w:val="24"/>
          <w:szCs w:val="28"/>
        </w:rPr>
        <w:t xml:space="preserve"> </w:t>
      </w:r>
      <w:r w:rsidR="008F4530">
        <w:rPr>
          <w:rFonts w:asciiTheme="majorBidi" w:hAnsiTheme="majorBidi" w:cstheme="majorBidi"/>
          <w:color w:val="000000" w:themeColor="text1"/>
          <w:sz w:val="24"/>
          <w:szCs w:val="28"/>
        </w:rPr>
        <w:t xml:space="preserve">our </w:t>
      </w:r>
      <w:r w:rsidR="00B13F95">
        <w:rPr>
          <w:rFonts w:asciiTheme="majorBidi" w:hAnsiTheme="majorBidi" w:cstheme="majorBidi"/>
          <w:color w:val="000000" w:themeColor="text1"/>
          <w:sz w:val="24"/>
          <w:szCs w:val="28"/>
        </w:rPr>
        <w:t xml:space="preserve">intuition that </w:t>
      </w:r>
      <w:r w:rsidR="00D7684A">
        <w:rPr>
          <w:rFonts w:asciiTheme="majorBidi" w:hAnsiTheme="majorBidi" w:cstheme="majorBidi"/>
          <w:color w:val="000000" w:themeColor="text1"/>
          <w:sz w:val="24"/>
          <w:szCs w:val="28"/>
        </w:rPr>
        <w:t xml:space="preserve">they </w:t>
      </w:r>
      <w:r w:rsidR="008F4530">
        <w:rPr>
          <w:rFonts w:asciiTheme="majorBidi" w:hAnsiTheme="majorBidi" w:cstheme="majorBidi"/>
          <w:color w:val="000000" w:themeColor="text1"/>
          <w:sz w:val="24"/>
          <w:szCs w:val="28"/>
        </w:rPr>
        <w:t xml:space="preserve">may </w:t>
      </w:r>
      <w:r w:rsidR="000257C7">
        <w:rPr>
          <w:rFonts w:asciiTheme="majorBidi" w:hAnsiTheme="majorBidi" w:cstheme="majorBidi"/>
          <w:color w:val="000000" w:themeColor="text1"/>
          <w:sz w:val="24"/>
          <w:szCs w:val="28"/>
        </w:rPr>
        <w:t>utilize</w:t>
      </w:r>
      <w:r w:rsidR="00D7684A">
        <w:rPr>
          <w:rFonts w:asciiTheme="majorBidi" w:hAnsiTheme="majorBidi" w:cstheme="majorBidi"/>
          <w:color w:val="000000" w:themeColor="text1"/>
          <w:sz w:val="24"/>
          <w:szCs w:val="28"/>
        </w:rPr>
        <w:t xml:space="preserve"> this opportunity to </w:t>
      </w:r>
      <w:r w:rsidR="00D7684A" w:rsidRPr="0000208B">
        <w:rPr>
          <w:rFonts w:asciiTheme="majorBidi" w:hAnsiTheme="majorBidi" w:cstheme="majorBidi"/>
          <w:color w:val="000000" w:themeColor="text1"/>
          <w:sz w:val="24"/>
          <w:szCs w:val="28"/>
        </w:rPr>
        <w:t>showcase their abilities in monitoring the financial reporting process</w:t>
      </w:r>
      <w:r w:rsidR="00AD0582">
        <w:rPr>
          <w:rFonts w:asciiTheme="majorBidi" w:hAnsiTheme="majorBidi" w:cstheme="majorBidi"/>
          <w:color w:val="000000" w:themeColor="text1"/>
          <w:sz w:val="24"/>
          <w:szCs w:val="28"/>
        </w:rPr>
        <w:t xml:space="preserve"> (</w:t>
      </w:r>
      <w:r w:rsidR="00AD0582" w:rsidRPr="009C4D35">
        <w:rPr>
          <w:rFonts w:asciiTheme="majorBidi" w:hAnsiTheme="majorBidi" w:cstheme="majorBidi"/>
          <w:color w:val="000000" w:themeColor="text1"/>
          <w:sz w:val="24"/>
          <w:szCs w:val="28"/>
        </w:rPr>
        <w:t>Brunell</w:t>
      </w:r>
      <w:r w:rsidR="00AD0582">
        <w:rPr>
          <w:rFonts w:asciiTheme="majorBidi" w:hAnsiTheme="majorBidi" w:cstheme="majorBidi"/>
          <w:color w:val="000000" w:themeColor="text1"/>
          <w:sz w:val="24"/>
          <w:szCs w:val="28"/>
        </w:rPr>
        <w:t xml:space="preserve"> et al., 2008; </w:t>
      </w:r>
      <w:r w:rsidR="00AD0582" w:rsidRPr="009C4D35">
        <w:rPr>
          <w:rFonts w:asciiTheme="majorBidi" w:hAnsiTheme="majorBidi" w:cstheme="majorBidi"/>
          <w:color w:val="000000" w:themeColor="text1"/>
          <w:sz w:val="24"/>
          <w:szCs w:val="28"/>
        </w:rPr>
        <w:t>Campbell</w:t>
      </w:r>
      <w:r w:rsidR="00AD0582">
        <w:rPr>
          <w:rFonts w:asciiTheme="majorBidi" w:hAnsiTheme="majorBidi" w:cstheme="majorBidi"/>
          <w:color w:val="000000" w:themeColor="text1"/>
          <w:sz w:val="24"/>
          <w:szCs w:val="28"/>
        </w:rPr>
        <w:t xml:space="preserve"> et al., 2004; </w:t>
      </w:r>
      <w:r w:rsidR="00AD0582" w:rsidRPr="000B11D5">
        <w:rPr>
          <w:rFonts w:asciiTheme="majorBidi" w:hAnsiTheme="majorBidi" w:cstheme="majorBidi"/>
          <w:color w:val="000000" w:themeColor="text1"/>
          <w:sz w:val="24"/>
          <w:szCs w:val="28"/>
        </w:rPr>
        <w:t>Wink</w:t>
      </w:r>
      <w:r w:rsidR="00AD0582">
        <w:rPr>
          <w:rFonts w:asciiTheme="majorBidi" w:hAnsiTheme="majorBidi" w:cstheme="majorBidi"/>
          <w:color w:val="000000" w:themeColor="text1"/>
          <w:sz w:val="24"/>
          <w:szCs w:val="28"/>
        </w:rPr>
        <w:t xml:space="preserve"> 1991)</w:t>
      </w:r>
      <w:r w:rsidR="00D7684A">
        <w:rPr>
          <w:rFonts w:asciiTheme="majorBidi" w:hAnsiTheme="majorBidi" w:cstheme="majorBidi"/>
          <w:color w:val="000000" w:themeColor="text1"/>
          <w:sz w:val="24"/>
          <w:szCs w:val="28"/>
        </w:rPr>
        <w:t xml:space="preserve">. </w:t>
      </w:r>
    </w:p>
    <w:p w14:paraId="49DA1D02" w14:textId="687D7ACF" w:rsidR="00385869" w:rsidRPr="005E73C2" w:rsidRDefault="00385869" w:rsidP="0026049E">
      <w:pPr>
        <w:spacing w:line="480" w:lineRule="auto"/>
        <w:jc w:val="cente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{INSERT TABLE </w:t>
      </w:r>
      <w:r w:rsidR="0050080D">
        <w:rPr>
          <w:rFonts w:asciiTheme="majorBidi" w:hAnsiTheme="majorBidi" w:cstheme="majorBidi"/>
          <w:color w:val="000000" w:themeColor="text1"/>
          <w:sz w:val="24"/>
          <w:szCs w:val="28"/>
        </w:rPr>
        <w:t>SIX</w:t>
      </w:r>
      <w:r w:rsidR="00F62069">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ABOUT HERE}</w:t>
      </w:r>
    </w:p>
    <w:p w14:paraId="2FF0DC18" w14:textId="28C70D9C" w:rsidR="003C105C" w:rsidRPr="009B5EAB" w:rsidRDefault="00182207" w:rsidP="0026049E">
      <w:pPr>
        <w:pStyle w:val="Heading2"/>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4E0DDE" w:rsidRPr="005E73C2">
        <w:rPr>
          <w:rFonts w:asciiTheme="majorBidi" w:hAnsiTheme="majorBidi"/>
          <w:i/>
          <w:iCs/>
          <w:color w:val="000000" w:themeColor="text1"/>
          <w:sz w:val="28"/>
          <w:szCs w:val="28"/>
        </w:rPr>
        <w:t>.</w:t>
      </w:r>
      <w:r w:rsidR="00A14A6B">
        <w:rPr>
          <w:rFonts w:asciiTheme="majorBidi" w:hAnsiTheme="majorBidi"/>
          <w:i/>
          <w:iCs/>
          <w:color w:val="000000" w:themeColor="text1"/>
          <w:sz w:val="28"/>
          <w:szCs w:val="28"/>
        </w:rPr>
        <w:t>5</w:t>
      </w:r>
      <w:r w:rsidR="001240FD">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w:t>
      </w:r>
      <w:r w:rsidR="002600DD">
        <w:rPr>
          <w:rFonts w:asciiTheme="majorBidi" w:hAnsiTheme="majorBidi"/>
          <w:i/>
          <w:iCs/>
          <w:color w:val="000000" w:themeColor="text1"/>
          <w:sz w:val="28"/>
          <w:szCs w:val="28"/>
        </w:rPr>
        <w:t>Further a</w:t>
      </w:r>
      <w:r w:rsidR="004E0DDE" w:rsidRPr="005E73C2">
        <w:rPr>
          <w:rFonts w:asciiTheme="majorBidi" w:hAnsiTheme="majorBidi"/>
          <w:i/>
          <w:iCs/>
          <w:color w:val="000000" w:themeColor="text1"/>
          <w:sz w:val="28"/>
          <w:szCs w:val="28"/>
        </w:rPr>
        <w:t>nalysis</w:t>
      </w:r>
    </w:p>
    <w:p w14:paraId="376B0279" w14:textId="6CB585BC" w:rsidR="002528F2" w:rsidRPr="0026049E" w:rsidRDefault="00182207" w:rsidP="0026049E">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AD2442" w:rsidRPr="0087365D">
        <w:rPr>
          <w:rFonts w:asciiTheme="majorBidi" w:hAnsiTheme="majorBidi"/>
          <w:i/>
          <w:iCs/>
          <w:color w:val="000000" w:themeColor="text1"/>
          <w:sz w:val="28"/>
          <w:szCs w:val="28"/>
        </w:rPr>
        <w:t>.</w:t>
      </w:r>
      <w:r w:rsidR="00A75F43" w:rsidRPr="0087365D">
        <w:rPr>
          <w:rFonts w:asciiTheme="majorBidi" w:hAnsiTheme="majorBidi"/>
          <w:i/>
          <w:iCs/>
          <w:color w:val="000000" w:themeColor="text1"/>
          <w:sz w:val="28"/>
          <w:szCs w:val="28"/>
        </w:rPr>
        <w:t>5</w:t>
      </w:r>
      <w:r w:rsidR="00AD2442" w:rsidRPr="0087365D">
        <w:rPr>
          <w:rFonts w:asciiTheme="majorBidi" w:hAnsiTheme="majorBidi"/>
          <w:i/>
          <w:iCs/>
          <w:color w:val="000000" w:themeColor="text1"/>
          <w:sz w:val="28"/>
          <w:szCs w:val="28"/>
        </w:rPr>
        <w:t>.</w:t>
      </w:r>
      <w:r w:rsidR="00865965" w:rsidRPr="0087365D">
        <w:rPr>
          <w:rFonts w:asciiTheme="majorBidi" w:hAnsiTheme="majorBidi"/>
          <w:i/>
          <w:iCs/>
          <w:color w:val="000000" w:themeColor="text1"/>
          <w:sz w:val="28"/>
          <w:szCs w:val="28"/>
        </w:rPr>
        <w:t>1</w:t>
      </w:r>
      <w:r w:rsidR="00AD2442" w:rsidRPr="0087365D">
        <w:rPr>
          <w:rFonts w:asciiTheme="majorBidi" w:hAnsiTheme="majorBidi"/>
          <w:i/>
          <w:iCs/>
          <w:color w:val="000000" w:themeColor="text1"/>
          <w:sz w:val="28"/>
          <w:szCs w:val="28"/>
        </w:rPr>
        <w:t xml:space="preserve">. </w:t>
      </w:r>
      <w:r w:rsidR="00310CED" w:rsidRPr="0087365D">
        <w:rPr>
          <w:rFonts w:asciiTheme="majorBidi" w:hAnsiTheme="majorBidi"/>
          <w:i/>
          <w:iCs/>
          <w:color w:val="000000" w:themeColor="text1"/>
          <w:sz w:val="28"/>
          <w:szCs w:val="28"/>
        </w:rPr>
        <w:t xml:space="preserve">AC chair’s review on non-IFRS </w:t>
      </w:r>
      <w:r w:rsidR="009806F6" w:rsidRPr="0087365D">
        <w:rPr>
          <w:rFonts w:asciiTheme="majorBidi" w:hAnsiTheme="majorBidi"/>
          <w:i/>
          <w:iCs/>
          <w:color w:val="000000" w:themeColor="text1"/>
          <w:sz w:val="28"/>
          <w:szCs w:val="28"/>
        </w:rPr>
        <w:t xml:space="preserve">exclusions </w:t>
      </w:r>
    </w:p>
    <w:p w14:paraId="1A5C8F46" w14:textId="6D906644" w:rsidR="001047A5" w:rsidRPr="009B5D79" w:rsidRDefault="0026049E" w:rsidP="0026049E">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1047A5" w:rsidRPr="00F718DB">
        <w:rPr>
          <w:rFonts w:asciiTheme="majorBidi" w:hAnsiTheme="majorBidi" w:cstheme="majorBidi"/>
          <w:color w:val="000000" w:themeColor="text1"/>
          <w:sz w:val="24"/>
          <w:szCs w:val="24"/>
        </w:rPr>
        <w:t xml:space="preserve">As discussed earlier, individuals with narcissistic traits demonstrate heightened self-esteem and a persistent desire for external validation of their perceived superiority, predisposing them to actively cultivate a distinguished image as vigilant monitors (Chou et al., 2021; Judge et al., 2006). One way they </w:t>
      </w:r>
      <w:r w:rsidR="003402D6">
        <w:rPr>
          <w:rFonts w:asciiTheme="majorBidi" w:hAnsiTheme="majorBidi" w:cstheme="majorBidi"/>
          <w:color w:val="000000" w:themeColor="text1"/>
          <w:sz w:val="24"/>
          <w:szCs w:val="24"/>
        </w:rPr>
        <w:t xml:space="preserve">may </w:t>
      </w:r>
      <w:r w:rsidR="00BA5D0E">
        <w:rPr>
          <w:rFonts w:asciiTheme="majorBidi" w:hAnsiTheme="majorBidi" w:cstheme="majorBidi"/>
          <w:color w:val="000000" w:themeColor="text1"/>
          <w:sz w:val="24"/>
          <w:szCs w:val="24"/>
        </w:rPr>
        <w:t>signal</w:t>
      </w:r>
      <w:r w:rsidR="001047A5" w:rsidRPr="00F718DB">
        <w:rPr>
          <w:rFonts w:asciiTheme="majorBidi" w:hAnsiTheme="majorBidi" w:cstheme="majorBidi"/>
          <w:color w:val="000000" w:themeColor="text1"/>
          <w:sz w:val="24"/>
          <w:szCs w:val="24"/>
        </w:rPr>
        <w:t xml:space="preserve"> this image is through </w:t>
      </w:r>
      <w:r w:rsidR="00E5298D">
        <w:rPr>
          <w:rFonts w:asciiTheme="majorBidi" w:hAnsiTheme="majorBidi" w:cstheme="majorBidi"/>
          <w:color w:val="000000" w:themeColor="text1"/>
          <w:sz w:val="24"/>
          <w:szCs w:val="24"/>
        </w:rPr>
        <w:t>AC</w:t>
      </w:r>
      <w:r w:rsidR="001047A5" w:rsidRPr="00F718DB">
        <w:rPr>
          <w:rFonts w:asciiTheme="majorBidi" w:hAnsiTheme="majorBidi" w:cstheme="majorBidi"/>
          <w:color w:val="000000" w:themeColor="text1"/>
          <w:sz w:val="24"/>
          <w:szCs w:val="24"/>
        </w:rPr>
        <w:t xml:space="preserve"> reports.</w:t>
      </w:r>
      <w:r w:rsidR="001047A5">
        <w:rPr>
          <w:rFonts w:asciiTheme="majorBidi" w:hAnsiTheme="majorBidi" w:cstheme="majorBidi"/>
          <w:color w:val="000000" w:themeColor="text1"/>
          <w:sz w:val="24"/>
          <w:szCs w:val="24"/>
        </w:rPr>
        <w:t xml:space="preserve"> </w:t>
      </w:r>
      <w:proofErr w:type="gramStart"/>
      <w:r w:rsidR="001047A5">
        <w:rPr>
          <w:rFonts w:asciiTheme="majorBidi" w:hAnsiTheme="majorBidi" w:cstheme="majorBidi"/>
          <w:color w:val="000000" w:themeColor="text1"/>
          <w:sz w:val="24"/>
          <w:szCs w:val="24"/>
        </w:rPr>
        <w:t xml:space="preserve">In particular, </w:t>
      </w:r>
      <w:r w:rsidR="00615D63">
        <w:rPr>
          <w:rFonts w:asciiTheme="majorBidi" w:hAnsiTheme="majorBidi" w:cstheme="majorBidi"/>
          <w:color w:val="000000" w:themeColor="text1"/>
          <w:sz w:val="24"/>
          <w:szCs w:val="24"/>
        </w:rPr>
        <w:t>this</w:t>
      </w:r>
      <w:proofErr w:type="gramEnd"/>
      <w:r w:rsidR="00E870B5" w:rsidRPr="009B5D79">
        <w:rPr>
          <w:rFonts w:asciiTheme="majorBidi" w:hAnsiTheme="majorBidi" w:cstheme="majorBidi"/>
          <w:color w:val="000000" w:themeColor="text1"/>
          <w:sz w:val="24"/>
          <w:szCs w:val="24"/>
        </w:rPr>
        <w:t xml:space="preserve"> report </w:t>
      </w:r>
      <w:r w:rsidR="001047A5">
        <w:rPr>
          <w:rFonts w:asciiTheme="majorBidi" w:hAnsiTheme="majorBidi" w:cstheme="majorBidi"/>
          <w:color w:val="000000" w:themeColor="text1"/>
          <w:sz w:val="24"/>
          <w:szCs w:val="24"/>
        </w:rPr>
        <w:t>offers</w:t>
      </w:r>
      <w:r w:rsidR="001047A5" w:rsidRPr="009B5D79">
        <w:rPr>
          <w:rFonts w:asciiTheme="majorBidi" w:hAnsiTheme="majorBidi" w:cstheme="majorBidi"/>
          <w:color w:val="000000" w:themeColor="text1"/>
          <w:sz w:val="24"/>
          <w:szCs w:val="24"/>
        </w:rPr>
        <w:t xml:space="preserve"> </w:t>
      </w:r>
      <w:r w:rsidR="003402D6">
        <w:rPr>
          <w:rFonts w:asciiTheme="majorBidi" w:hAnsiTheme="majorBidi" w:cstheme="majorBidi"/>
          <w:color w:val="000000" w:themeColor="text1"/>
          <w:sz w:val="24"/>
          <w:szCs w:val="24"/>
        </w:rPr>
        <w:t xml:space="preserve">the </w:t>
      </w:r>
      <w:r w:rsidR="0015674F" w:rsidRPr="009B5D79">
        <w:rPr>
          <w:rFonts w:asciiTheme="majorBidi" w:hAnsiTheme="majorBidi" w:cstheme="majorBidi"/>
          <w:color w:val="000000" w:themeColor="text1"/>
          <w:sz w:val="24"/>
          <w:szCs w:val="24"/>
        </w:rPr>
        <w:t xml:space="preserve">AC chair </w:t>
      </w:r>
      <w:r w:rsidR="001047A5" w:rsidRPr="001047A5">
        <w:rPr>
          <w:rFonts w:asciiTheme="majorBidi" w:hAnsiTheme="majorBidi" w:cstheme="majorBidi"/>
          <w:color w:val="000000" w:themeColor="text1"/>
          <w:sz w:val="24"/>
          <w:szCs w:val="24"/>
        </w:rPr>
        <w:t>a crucial platform to elucidate</w:t>
      </w:r>
      <w:r w:rsidR="00A96170" w:rsidRPr="009B5D79">
        <w:rPr>
          <w:rFonts w:asciiTheme="majorBidi" w:hAnsiTheme="majorBidi" w:cstheme="majorBidi"/>
          <w:color w:val="000000" w:themeColor="text1"/>
          <w:sz w:val="24"/>
          <w:szCs w:val="24"/>
        </w:rPr>
        <w:t xml:space="preserve"> and </w:t>
      </w:r>
      <w:r w:rsidR="0052015C" w:rsidRPr="009B5D79">
        <w:rPr>
          <w:rFonts w:asciiTheme="majorBidi" w:hAnsiTheme="majorBidi" w:cstheme="majorBidi"/>
          <w:color w:val="000000" w:themeColor="text1"/>
          <w:sz w:val="24"/>
          <w:szCs w:val="24"/>
        </w:rPr>
        <w:t>review</w:t>
      </w:r>
      <w:r w:rsidR="00A96170" w:rsidRPr="009B5D79">
        <w:rPr>
          <w:rFonts w:asciiTheme="majorBidi" w:hAnsiTheme="majorBidi" w:cstheme="majorBidi"/>
          <w:color w:val="000000" w:themeColor="text1"/>
          <w:sz w:val="24"/>
          <w:szCs w:val="24"/>
        </w:rPr>
        <w:t xml:space="preserve"> </w:t>
      </w:r>
      <w:r w:rsidR="003402D6">
        <w:rPr>
          <w:rFonts w:asciiTheme="majorBidi" w:hAnsiTheme="majorBidi" w:cstheme="majorBidi"/>
          <w:color w:val="000000" w:themeColor="text1"/>
          <w:sz w:val="24"/>
          <w:szCs w:val="24"/>
        </w:rPr>
        <w:t xml:space="preserve">senior </w:t>
      </w:r>
      <w:r w:rsidR="0071458F" w:rsidRPr="009B5D79">
        <w:rPr>
          <w:rFonts w:asciiTheme="majorBidi" w:hAnsiTheme="majorBidi" w:cstheme="majorBidi"/>
          <w:color w:val="000000" w:themeColor="text1"/>
          <w:sz w:val="24"/>
          <w:szCs w:val="24"/>
        </w:rPr>
        <w:t>managers’</w:t>
      </w:r>
      <w:r w:rsidR="006D4CB4">
        <w:rPr>
          <w:rFonts w:asciiTheme="majorBidi" w:hAnsiTheme="majorBidi" w:cstheme="majorBidi"/>
          <w:color w:val="000000" w:themeColor="text1"/>
          <w:sz w:val="24"/>
          <w:szCs w:val="24"/>
        </w:rPr>
        <w:t xml:space="preserve"> judgement</w:t>
      </w:r>
      <w:r w:rsidR="003402D6">
        <w:rPr>
          <w:rFonts w:asciiTheme="majorBidi" w:hAnsiTheme="majorBidi" w:cstheme="majorBidi"/>
          <w:color w:val="000000" w:themeColor="text1"/>
          <w:sz w:val="24"/>
          <w:szCs w:val="24"/>
        </w:rPr>
        <w:t>s</w:t>
      </w:r>
      <w:r w:rsidR="006D4CB4">
        <w:rPr>
          <w:rFonts w:asciiTheme="majorBidi" w:hAnsiTheme="majorBidi" w:cstheme="majorBidi"/>
          <w:color w:val="000000" w:themeColor="text1"/>
          <w:sz w:val="24"/>
          <w:szCs w:val="24"/>
        </w:rPr>
        <w:t xml:space="preserve"> </w:t>
      </w:r>
      <w:r w:rsidR="00415F0E">
        <w:rPr>
          <w:rFonts w:asciiTheme="majorBidi" w:hAnsiTheme="majorBidi" w:cstheme="majorBidi"/>
          <w:color w:val="000000" w:themeColor="text1"/>
          <w:sz w:val="24"/>
          <w:szCs w:val="24"/>
        </w:rPr>
        <w:t>on significant accounting estimates, including the</w:t>
      </w:r>
      <w:r w:rsidR="0071458F" w:rsidRPr="009B5D79">
        <w:rPr>
          <w:rFonts w:asciiTheme="majorBidi" w:hAnsiTheme="majorBidi" w:cstheme="majorBidi"/>
          <w:color w:val="000000" w:themeColor="text1"/>
          <w:sz w:val="24"/>
          <w:szCs w:val="24"/>
        </w:rPr>
        <w:t xml:space="preserve"> </w:t>
      </w:r>
      <w:r w:rsidR="001B5B5E" w:rsidRPr="009B5D79">
        <w:rPr>
          <w:rFonts w:asciiTheme="majorBidi" w:hAnsiTheme="majorBidi" w:cstheme="majorBidi"/>
          <w:color w:val="000000" w:themeColor="text1"/>
          <w:sz w:val="24"/>
          <w:szCs w:val="24"/>
        </w:rPr>
        <w:t>choices</w:t>
      </w:r>
      <w:r w:rsidR="0071458F" w:rsidRPr="009B5D79">
        <w:rPr>
          <w:rFonts w:asciiTheme="majorBidi" w:hAnsiTheme="majorBidi" w:cstheme="majorBidi"/>
          <w:color w:val="000000" w:themeColor="text1"/>
          <w:sz w:val="24"/>
          <w:szCs w:val="24"/>
        </w:rPr>
        <w:t xml:space="preserve"> </w:t>
      </w:r>
      <w:r w:rsidR="003402D6">
        <w:rPr>
          <w:rFonts w:asciiTheme="majorBidi" w:hAnsiTheme="majorBidi" w:cstheme="majorBidi"/>
          <w:color w:val="000000" w:themeColor="text1"/>
          <w:sz w:val="24"/>
          <w:szCs w:val="24"/>
        </w:rPr>
        <w:t>behind</w:t>
      </w:r>
      <w:r w:rsidR="003402D6" w:rsidRPr="009B5D79">
        <w:rPr>
          <w:rFonts w:asciiTheme="majorBidi" w:hAnsiTheme="majorBidi" w:cstheme="majorBidi"/>
          <w:color w:val="000000" w:themeColor="text1"/>
          <w:sz w:val="24"/>
          <w:szCs w:val="24"/>
        </w:rPr>
        <w:t xml:space="preserve"> </w:t>
      </w:r>
      <w:r w:rsidR="0071458F" w:rsidRPr="009B5D79">
        <w:rPr>
          <w:rFonts w:asciiTheme="majorBidi" w:hAnsiTheme="majorBidi" w:cstheme="majorBidi"/>
          <w:color w:val="000000" w:themeColor="text1"/>
          <w:sz w:val="24"/>
          <w:szCs w:val="24"/>
        </w:rPr>
        <w:t xml:space="preserve">non-IFRS </w:t>
      </w:r>
      <w:r w:rsidR="00415F0E">
        <w:rPr>
          <w:rFonts w:asciiTheme="majorBidi" w:hAnsiTheme="majorBidi" w:cstheme="majorBidi"/>
          <w:color w:val="000000" w:themeColor="text1"/>
          <w:sz w:val="24"/>
          <w:szCs w:val="24"/>
        </w:rPr>
        <w:t>adjustments</w:t>
      </w:r>
      <w:r w:rsidR="00E12463" w:rsidRPr="009B5D79">
        <w:rPr>
          <w:rFonts w:asciiTheme="majorBidi" w:hAnsiTheme="majorBidi" w:cstheme="majorBidi"/>
          <w:color w:val="000000" w:themeColor="text1"/>
          <w:sz w:val="24"/>
          <w:szCs w:val="24"/>
        </w:rPr>
        <w:t>.</w:t>
      </w:r>
      <w:r w:rsidR="00235B58" w:rsidRPr="00F718DB">
        <w:rPr>
          <w:rFonts w:asciiTheme="majorBidi" w:hAnsiTheme="majorBidi" w:cstheme="majorBidi"/>
          <w:color w:val="000000" w:themeColor="text1"/>
          <w:sz w:val="24"/>
          <w:szCs w:val="24"/>
        </w:rPr>
        <w:t xml:space="preserve"> If </w:t>
      </w:r>
      <w:r w:rsidR="00F718DB">
        <w:rPr>
          <w:rFonts w:asciiTheme="majorBidi" w:hAnsiTheme="majorBidi" w:cstheme="majorBidi"/>
          <w:color w:val="000000" w:themeColor="text1"/>
          <w:sz w:val="24"/>
          <w:szCs w:val="24"/>
        </w:rPr>
        <w:t xml:space="preserve">the </w:t>
      </w:r>
      <w:r w:rsidR="00F718DB" w:rsidRPr="00F718DB">
        <w:rPr>
          <w:rFonts w:asciiTheme="majorBidi" w:hAnsiTheme="majorBidi" w:cstheme="majorBidi"/>
          <w:color w:val="000000" w:themeColor="text1"/>
          <w:sz w:val="24"/>
          <w:szCs w:val="24"/>
        </w:rPr>
        <w:t>AC chair</w:t>
      </w:r>
      <w:r w:rsidR="00F718DB">
        <w:rPr>
          <w:rFonts w:asciiTheme="majorBidi" w:hAnsiTheme="majorBidi" w:cstheme="majorBidi"/>
          <w:color w:val="000000" w:themeColor="text1"/>
          <w:sz w:val="24"/>
          <w:szCs w:val="24"/>
        </w:rPr>
        <w:t xml:space="preserve"> report </w:t>
      </w:r>
      <w:r w:rsidR="00F718DB" w:rsidRPr="00F718DB">
        <w:rPr>
          <w:rFonts w:asciiTheme="majorBidi" w:hAnsiTheme="majorBidi" w:cstheme="majorBidi"/>
          <w:color w:val="000000" w:themeColor="text1"/>
          <w:sz w:val="24"/>
          <w:szCs w:val="24"/>
        </w:rPr>
        <w:t xml:space="preserve">incorporates </w:t>
      </w:r>
      <w:r w:rsidR="00235B58" w:rsidRPr="00F718DB">
        <w:rPr>
          <w:rFonts w:asciiTheme="majorBidi" w:hAnsiTheme="majorBidi" w:cstheme="majorBidi"/>
          <w:color w:val="000000" w:themeColor="text1"/>
          <w:sz w:val="24"/>
          <w:szCs w:val="24"/>
        </w:rPr>
        <w:t xml:space="preserve">a review </w:t>
      </w:r>
      <w:r w:rsidR="00F718DB">
        <w:rPr>
          <w:rFonts w:asciiTheme="majorBidi" w:hAnsiTheme="majorBidi" w:cstheme="majorBidi"/>
          <w:color w:val="000000" w:themeColor="text1"/>
          <w:sz w:val="24"/>
          <w:szCs w:val="24"/>
        </w:rPr>
        <w:t xml:space="preserve">of </w:t>
      </w:r>
      <w:r w:rsidR="00235B58" w:rsidRPr="00F718DB">
        <w:rPr>
          <w:rFonts w:asciiTheme="majorBidi" w:hAnsiTheme="majorBidi" w:cstheme="majorBidi"/>
          <w:color w:val="000000" w:themeColor="text1"/>
          <w:sz w:val="24"/>
          <w:szCs w:val="24"/>
        </w:rPr>
        <w:t>non-IFRS exclusions,</w:t>
      </w:r>
      <w:r w:rsidR="001047A5" w:rsidRPr="00F718DB">
        <w:rPr>
          <w:rFonts w:asciiTheme="majorBidi" w:hAnsiTheme="majorBidi" w:cstheme="majorBidi"/>
          <w:color w:val="000000" w:themeColor="text1"/>
          <w:sz w:val="24"/>
          <w:szCs w:val="24"/>
        </w:rPr>
        <w:t xml:space="preserve"> it </w:t>
      </w:r>
      <w:r w:rsidR="00F718DB" w:rsidRPr="00F718DB">
        <w:rPr>
          <w:rFonts w:asciiTheme="majorBidi" w:hAnsiTheme="majorBidi" w:cstheme="majorBidi"/>
          <w:color w:val="000000" w:themeColor="text1"/>
          <w:sz w:val="24"/>
          <w:szCs w:val="24"/>
        </w:rPr>
        <w:t xml:space="preserve">signifies </w:t>
      </w:r>
      <w:r w:rsidR="001047A5" w:rsidRPr="00F718DB">
        <w:rPr>
          <w:rFonts w:asciiTheme="majorBidi" w:hAnsiTheme="majorBidi" w:cstheme="majorBidi"/>
          <w:color w:val="000000" w:themeColor="text1"/>
          <w:sz w:val="24"/>
          <w:szCs w:val="24"/>
        </w:rPr>
        <w:t>their confidence in the accuracy</w:t>
      </w:r>
      <w:r w:rsidR="003402D6">
        <w:rPr>
          <w:rFonts w:asciiTheme="majorBidi" w:hAnsiTheme="majorBidi" w:cstheme="majorBidi"/>
          <w:color w:val="000000" w:themeColor="text1"/>
          <w:sz w:val="24"/>
          <w:szCs w:val="24"/>
        </w:rPr>
        <w:t xml:space="preserve"> </w:t>
      </w:r>
      <w:r w:rsidR="003402D6" w:rsidRPr="003402D6">
        <w:rPr>
          <w:rFonts w:asciiTheme="majorBidi" w:hAnsiTheme="majorBidi" w:cstheme="majorBidi"/>
          <w:color w:val="000000" w:themeColor="text1"/>
          <w:sz w:val="24"/>
          <w:szCs w:val="24"/>
        </w:rPr>
        <w:t>and</w:t>
      </w:r>
      <w:r w:rsidR="001047A5" w:rsidRPr="003402D6">
        <w:rPr>
          <w:rFonts w:asciiTheme="majorBidi" w:hAnsiTheme="majorBidi" w:cstheme="majorBidi"/>
          <w:color w:val="000000" w:themeColor="text1"/>
          <w:sz w:val="24"/>
          <w:szCs w:val="24"/>
        </w:rPr>
        <w:t xml:space="preserve"> reliability</w:t>
      </w:r>
      <w:r w:rsidR="003402D6" w:rsidRPr="0087365D">
        <w:rPr>
          <w:rFonts w:asciiTheme="majorBidi" w:hAnsiTheme="majorBidi" w:cstheme="majorBidi"/>
          <w:color w:val="000000" w:themeColor="text1"/>
          <w:sz w:val="24"/>
          <w:szCs w:val="24"/>
        </w:rPr>
        <w:t xml:space="preserve"> </w:t>
      </w:r>
      <w:r w:rsidR="003402D6" w:rsidRPr="003402D6">
        <w:rPr>
          <w:rFonts w:asciiTheme="majorBidi" w:hAnsiTheme="majorBidi" w:cstheme="majorBidi"/>
          <w:color w:val="000000" w:themeColor="text1"/>
          <w:sz w:val="24"/>
          <w:szCs w:val="24"/>
        </w:rPr>
        <w:t>of these adjustments</w:t>
      </w:r>
      <w:r w:rsidR="00E5298D">
        <w:rPr>
          <w:rFonts w:asciiTheme="majorBidi" w:hAnsiTheme="majorBidi" w:cstheme="majorBidi"/>
          <w:color w:val="000000" w:themeColor="text1"/>
          <w:sz w:val="24"/>
          <w:szCs w:val="24"/>
        </w:rPr>
        <w:t xml:space="preserve"> </w:t>
      </w:r>
      <w:r w:rsidR="001047A5" w:rsidRPr="003402D6">
        <w:rPr>
          <w:rFonts w:asciiTheme="majorBidi" w:hAnsiTheme="majorBidi" w:cstheme="majorBidi"/>
          <w:color w:val="000000" w:themeColor="text1"/>
          <w:sz w:val="24"/>
          <w:szCs w:val="24"/>
        </w:rPr>
        <w:t xml:space="preserve">and </w:t>
      </w:r>
      <w:r w:rsidR="003402D6">
        <w:rPr>
          <w:rFonts w:asciiTheme="majorBidi" w:hAnsiTheme="majorBidi" w:cstheme="majorBidi"/>
          <w:color w:val="000000" w:themeColor="text1"/>
          <w:sz w:val="24"/>
          <w:szCs w:val="24"/>
        </w:rPr>
        <w:t xml:space="preserve">the </w:t>
      </w:r>
      <w:r w:rsidR="00E5298D">
        <w:rPr>
          <w:rFonts w:asciiTheme="majorBidi" w:hAnsiTheme="majorBidi" w:cstheme="majorBidi"/>
          <w:color w:val="000000" w:themeColor="text1"/>
          <w:sz w:val="24"/>
          <w:szCs w:val="24"/>
        </w:rPr>
        <w:t xml:space="preserve">adequacy </w:t>
      </w:r>
      <w:r w:rsidR="003402D6" w:rsidRPr="003402D6">
        <w:rPr>
          <w:rFonts w:asciiTheme="majorBidi" w:hAnsiTheme="majorBidi" w:cstheme="majorBidi"/>
          <w:color w:val="000000" w:themeColor="text1"/>
          <w:sz w:val="24"/>
          <w:szCs w:val="24"/>
        </w:rPr>
        <w:t xml:space="preserve">of the </w:t>
      </w:r>
      <w:r w:rsidR="001047A5" w:rsidRPr="003402D6">
        <w:rPr>
          <w:rFonts w:asciiTheme="majorBidi" w:hAnsiTheme="majorBidi" w:cstheme="majorBidi"/>
          <w:color w:val="000000" w:themeColor="text1"/>
          <w:sz w:val="24"/>
          <w:szCs w:val="24"/>
        </w:rPr>
        <w:t>scrutiny</w:t>
      </w:r>
      <w:r w:rsidR="003402D6">
        <w:rPr>
          <w:rFonts w:asciiTheme="majorBidi" w:hAnsiTheme="majorBidi" w:cstheme="majorBidi"/>
          <w:color w:val="000000" w:themeColor="text1"/>
          <w:sz w:val="24"/>
          <w:szCs w:val="24"/>
        </w:rPr>
        <w:t xml:space="preserve"> applied</w:t>
      </w:r>
      <w:r w:rsidR="001047A5" w:rsidRPr="003402D6">
        <w:rPr>
          <w:rFonts w:asciiTheme="majorBidi" w:hAnsiTheme="majorBidi" w:cstheme="majorBidi"/>
          <w:color w:val="000000" w:themeColor="text1"/>
          <w:sz w:val="24"/>
          <w:szCs w:val="24"/>
        </w:rPr>
        <w:t xml:space="preserve">. </w:t>
      </w:r>
      <w:r w:rsidR="00F718DB" w:rsidRPr="003402D6">
        <w:rPr>
          <w:rFonts w:asciiTheme="majorBidi" w:hAnsiTheme="majorBidi" w:cstheme="majorBidi"/>
          <w:color w:val="000000" w:themeColor="text1"/>
          <w:sz w:val="24"/>
          <w:szCs w:val="24"/>
        </w:rPr>
        <w:t>This</w:t>
      </w:r>
      <w:r w:rsidR="00F718DB" w:rsidRPr="00F718DB">
        <w:rPr>
          <w:rFonts w:asciiTheme="majorBidi" w:hAnsiTheme="majorBidi" w:cstheme="majorBidi"/>
          <w:color w:val="000000" w:themeColor="text1"/>
          <w:sz w:val="24"/>
          <w:szCs w:val="24"/>
        </w:rPr>
        <w:t xml:space="preserve"> transparency not only strengthens the credibility of the non-IFRS exclusions but also emphasizes </w:t>
      </w:r>
      <w:r w:rsidR="00E5298D">
        <w:rPr>
          <w:rFonts w:asciiTheme="majorBidi" w:hAnsiTheme="majorBidi" w:cstheme="majorBidi"/>
          <w:color w:val="000000" w:themeColor="text1"/>
          <w:sz w:val="24"/>
          <w:szCs w:val="24"/>
        </w:rPr>
        <w:t>AC’s</w:t>
      </w:r>
      <w:r w:rsidR="00615D63" w:rsidRPr="00F718DB">
        <w:rPr>
          <w:rFonts w:asciiTheme="majorBidi" w:hAnsiTheme="majorBidi" w:cstheme="majorBidi"/>
          <w:color w:val="000000" w:themeColor="text1"/>
          <w:sz w:val="24"/>
          <w:szCs w:val="24"/>
        </w:rPr>
        <w:t xml:space="preserve"> </w:t>
      </w:r>
      <w:r w:rsidR="00F718DB" w:rsidRPr="00F718DB">
        <w:rPr>
          <w:rFonts w:asciiTheme="majorBidi" w:hAnsiTheme="majorBidi" w:cstheme="majorBidi"/>
          <w:color w:val="000000" w:themeColor="text1"/>
          <w:sz w:val="24"/>
          <w:szCs w:val="24"/>
        </w:rPr>
        <w:t xml:space="preserve">commitment to transparency, </w:t>
      </w:r>
      <w:r w:rsidR="00F718DB" w:rsidRPr="00A22E2C">
        <w:rPr>
          <w:rFonts w:asciiTheme="majorBidi" w:hAnsiTheme="majorBidi" w:cstheme="majorBidi"/>
          <w:color w:val="000000" w:themeColor="text1"/>
          <w:sz w:val="24"/>
          <w:szCs w:val="24"/>
        </w:rPr>
        <w:t>accountability, and</w:t>
      </w:r>
      <w:r w:rsidR="00F718DB" w:rsidRPr="00F718DB">
        <w:rPr>
          <w:rFonts w:asciiTheme="majorBidi" w:hAnsiTheme="majorBidi" w:cstheme="majorBidi"/>
          <w:color w:val="000000" w:themeColor="text1"/>
          <w:sz w:val="24"/>
          <w:szCs w:val="24"/>
        </w:rPr>
        <w:t xml:space="preserve"> vigilant oversight.</w:t>
      </w:r>
      <w:r w:rsidR="00F718DB">
        <w:rPr>
          <w:rFonts w:asciiTheme="majorBidi" w:hAnsiTheme="majorBidi" w:cstheme="majorBidi"/>
          <w:color w:val="000000" w:themeColor="text1"/>
          <w:sz w:val="24"/>
          <w:szCs w:val="24"/>
        </w:rPr>
        <w:t xml:space="preserve"> </w:t>
      </w:r>
      <w:r w:rsidR="00BA5D0E" w:rsidRPr="00BA5D0E">
        <w:rPr>
          <w:rFonts w:asciiTheme="majorBidi" w:hAnsiTheme="majorBidi" w:cstheme="majorBidi"/>
          <w:color w:val="000000" w:themeColor="text1"/>
          <w:sz w:val="24"/>
          <w:szCs w:val="24"/>
        </w:rPr>
        <w:t xml:space="preserve">Hence, we posit that narcissistic AC chairs, driven by a desire to cultivate an outstanding reputation within their networks, are more inclined to affirm their review of </w:t>
      </w:r>
      <w:r w:rsidR="00BA5D0E">
        <w:rPr>
          <w:rFonts w:asciiTheme="majorBidi" w:hAnsiTheme="majorBidi" w:cstheme="majorBidi"/>
          <w:color w:val="000000" w:themeColor="text1"/>
          <w:sz w:val="24"/>
          <w:szCs w:val="24"/>
        </w:rPr>
        <w:t xml:space="preserve">only </w:t>
      </w:r>
      <w:r w:rsidR="00BA5D0E" w:rsidRPr="00BA5D0E">
        <w:rPr>
          <w:rFonts w:asciiTheme="majorBidi" w:hAnsiTheme="majorBidi" w:cstheme="majorBidi"/>
          <w:color w:val="000000" w:themeColor="text1"/>
          <w:sz w:val="24"/>
          <w:szCs w:val="24"/>
        </w:rPr>
        <w:t>genuine non-IFRS adjustments in their report.</w:t>
      </w:r>
      <w:r w:rsidR="00BA5D0E">
        <w:rPr>
          <w:rFonts w:asciiTheme="majorBidi" w:hAnsiTheme="majorBidi" w:cstheme="majorBidi"/>
          <w:color w:val="000000" w:themeColor="text1"/>
          <w:sz w:val="24"/>
          <w:szCs w:val="24"/>
        </w:rPr>
        <w:t xml:space="preserve"> To test this proposition, we create a dummy variable, </w:t>
      </w:r>
      <w:r w:rsidR="00BA5D0E" w:rsidRPr="00BA5D0E">
        <w:rPr>
          <w:rFonts w:asciiTheme="majorBidi" w:hAnsiTheme="majorBidi" w:cstheme="majorBidi"/>
          <w:i/>
          <w:iCs/>
          <w:color w:val="000000" w:themeColor="text1"/>
          <w:sz w:val="24"/>
          <w:szCs w:val="24"/>
        </w:rPr>
        <w:t>DISCL</w:t>
      </w:r>
      <w:r w:rsidR="00784952">
        <w:rPr>
          <w:rFonts w:asciiTheme="majorBidi" w:hAnsiTheme="majorBidi" w:cstheme="majorBidi"/>
          <w:i/>
          <w:iCs/>
          <w:color w:val="000000" w:themeColor="text1"/>
          <w:sz w:val="24"/>
          <w:szCs w:val="24"/>
        </w:rPr>
        <w:t>OSURE</w:t>
      </w:r>
      <w:r w:rsidR="00BA5D0E" w:rsidRPr="00BA5D0E">
        <w:rPr>
          <w:rFonts w:asciiTheme="majorBidi" w:hAnsiTheme="majorBidi" w:cstheme="majorBidi"/>
          <w:i/>
          <w:iCs/>
          <w:color w:val="000000" w:themeColor="text1"/>
          <w:sz w:val="24"/>
          <w:szCs w:val="24"/>
        </w:rPr>
        <w:t xml:space="preserve">, </w:t>
      </w:r>
      <w:r w:rsidR="00BA5D0E" w:rsidRPr="00BA5D0E">
        <w:rPr>
          <w:rFonts w:asciiTheme="majorBidi" w:hAnsiTheme="majorBidi" w:cstheme="majorBidi"/>
          <w:color w:val="000000" w:themeColor="text1"/>
          <w:sz w:val="24"/>
          <w:szCs w:val="24"/>
        </w:rPr>
        <w:t xml:space="preserve">set to </w:t>
      </w:r>
      <w:r w:rsidR="00AA38EB">
        <w:rPr>
          <w:rFonts w:asciiTheme="majorBidi" w:hAnsiTheme="majorBidi" w:cstheme="majorBidi"/>
          <w:color w:val="000000" w:themeColor="text1"/>
          <w:sz w:val="24"/>
          <w:szCs w:val="24"/>
        </w:rPr>
        <w:t>1</w:t>
      </w:r>
      <w:r w:rsidR="00AA38EB" w:rsidRPr="00BA5D0E">
        <w:rPr>
          <w:rFonts w:asciiTheme="majorBidi" w:hAnsiTheme="majorBidi" w:cstheme="majorBidi"/>
          <w:color w:val="000000" w:themeColor="text1"/>
          <w:sz w:val="24"/>
          <w:szCs w:val="24"/>
        </w:rPr>
        <w:t xml:space="preserve"> </w:t>
      </w:r>
      <w:r w:rsidR="00BA5D0E" w:rsidRPr="00BA5D0E">
        <w:rPr>
          <w:rFonts w:asciiTheme="majorBidi" w:hAnsiTheme="majorBidi" w:cstheme="majorBidi"/>
          <w:color w:val="000000" w:themeColor="text1"/>
          <w:sz w:val="24"/>
          <w:szCs w:val="24"/>
        </w:rPr>
        <w:t xml:space="preserve">if the AC report includes confirmation of their review of non-IFRS adjustments, and </w:t>
      </w:r>
      <w:r w:rsidR="00AA38EB">
        <w:rPr>
          <w:rFonts w:asciiTheme="majorBidi" w:hAnsiTheme="majorBidi" w:cstheme="majorBidi"/>
          <w:color w:val="000000" w:themeColor="text1"/>
          <w:sz w:val="24"/>
          <w:szCs w:val="24"/>
        </w:rPr>
        <w:t>0</w:t>
      </w:r>
      <w:r w:rsidR="00AA38EB" w:rsidRPr="00BA5D0E">
        <w:rPr>
          <w:rFonts w:asciiTheme="majorBidi" w:hAnsiTheme="majorBidi" w:cstheme="majorBidi"/>
          <w:color w:val="000000" w:themeColor="text1"/>
          <w:sz w:val="24"/>
          <w:szCs w:val="24"/>
        </w:rPr>
        <w:t xml:space="preserve"> </w:t>
      </w:r>
      <w:r w:rsidR="00BA5D0E" w:rsidRPr="00BA5D0E">
        <w:rPr>
          <w:rFonts w:asciiTheme="majorBidi" w:hAnsiTheme="majorBidi" w:cstheme="majorBidi"/>
          <w:color w:val="000000" w:themeColor="text1"/>
          <w:sz w:val="24"/>
          <w:szCs w:val="24"/>
        </w:rPr>
        <w:t>otherwise.</w:t>
      </w:r>
      <w:r w:rsidR="00F255CE">
        <w:rPr>
          <w:rFonts w:asciiTheme="majorBidi" w:hAnsiTheme="majorBidi" w:cstheme="majorBidi"/>
          <w:color w:val="000000" w:themeColor="text1"/>
          <w:sz w:val="24"/>
          <w:szCs w:val="24"/>
        </w:rPr>
        <w:t xml:space="preserve"> </w:t>
      </w:r>
      <w:r w:rsidR="00BA5D0E">
        <w:rPr>
          <w:rFonts w:asciiTheme="majorBidi" w:hAnsiTheme="majorBidi" w:cstheme="majorBidi"/>
          <w:color w:val="000000" w:themeColor="text1"/>
          <w:sz w:val="24"/>
          <w:szCs w:val="24"/>
        </w:rPr>
        <w:t>Then</w:t>
      </w:r>
      <w:r w:rsidR="003402D6">
        <w:rPr>
          <w:rFonts w:asciiTheme="majorBidi" w:hAnsiTheme="majorBidi" w:cstheme="majorBidi"/>
          <w:color w:val="000000" w:themeColor="text1"/>
          <w:sz w:val="24"/>
          <w:szCs w:val="24"/>
        </w:rPr>
        <w:t xml:space="preserve"> we</w:t>
      </w:r>
      <w:r w:rsidR="00BA5D0E">
        <w:rPr>
          <w:rFonts w:asciiTheme="majorBidi" w:hAnsiTheme="majorBidi" w:cstheme="majorBidi"/>
          <w:color w:val="000000" w:themeColor="text1"/>
          <w:sz w:val="24"/>
          <w:szCs w:val="24"/>
        </w:rPr>
        <w:t xml:space="preserve"> interact this variable with </w:t>
      </w:r>
      <w:r w:rsidR="00BA5D0E" w:rsidRPr="005E73C2">
        <w:rPr>
          <w:rFonts w:asciiTheme="majorBidi" w:hAnsiTheme="majorBidi" w:cstheme="majorBidi"/>
          <w:i/>
          <w:iCs/>
          <w:color w:val="000000" w:themeColor="text1"/>
          <w:sz w:val="24"/>
          <w:szCs w:val="28"/>
        </w:rPr>
        <w:t>EXCLUSION</w:t>
      </w:r>
      <w:r w:rsidR="00BA5D0E">
        <w:rPr>
          <w:rFonts w:asciiTheme="majorBidi" w:hAnsiTheme="majorBidi" w:cstheme="majorBidi"/>
          <w:i/>
          <w:iCs/>
          <w:color w:val="000000" w:themeColor="text1"/>
          <w:sz w:val="24"/>
          <w:szCs w:val="28"/>
        </w:rPr>
        <w:t xml:space="preserve"> </w:t>
      </w:r>
      <w:r w:rsidR="00BA5D0E">
        <w:rPr>
          <w:rFonts w:asciiTheme="majorBidi" w:hAnsiTheme="majorBidi" w:cstheme="majorBidi"/>
          <w:color w:val="000000" w:themeColor="text1"/>
          <w:sz w:val="24"/>
          <w:szCs w:val="28"/>
        </w:rPr>
        <w:t xml:space="preserve">and </w:t>
      </w:r>
      <w:r w:rsidR="00784952">
        <w:rPr>
          <w:rFonts w:asciiTheme="majorBidi" w:hAnsiTheme="majorBidi" w:cstheme="majorBidi"/>
          <w:i/>
          <w:iCs/>
          <w:color w:val="000000" w:themeColor="text1"/>
          <w:sz w:val="24"/>
          <w:szCs w:val="28"/>
        </w:rPr>
        <w:t>NARCIS</w:t>
      </w:r>
      <w:r w:rsidR="00BA5D0E">
        <w:rPr>
          <w:rFonts w:asciiTheme="majorBidi" w:hAnsiTheme="majorBidi" w:cstheme="majorBidi"/>
          <w:i/>
          <w:iCs/>
          <w:color w:val="000000" w:themeColor="text1"/>
          <w:sz w:val="24"/>
          <w:szCs w:val="28"/>
        </w:rPr>
        <w:t>.</w:t>
      </w:r>
      <w:r w:rsidR="00BA5D0E">
        <w:rPr>
          <w:rFonts w:asciiTheme="majorBidi" w:hAnsiTheme="majorBidi" w:cstheme="majorBidi"/>
          <w:color w:val="000000" w:themeColor="text1"/>
          <w:sz w:val="24"/>
          <w:szCs w:val="24"/>
        </w:rPr>
        <w:t xml:space="preserve"> </w:t>
      </w:r>
    </w:p>
    <w:p w14:paraId="3EEE4C74" w14:textId="52FDFA53" w:rsidR="009F20FA" w:rsidRPr="00BA5D0E" w:rsidRDefault="0033525A" w:rsidP="00E83E49">
      <w:pPr>
        <w:spacing w:line="360" w:lineRule="auto"/>
        <w:ind w:left="283"/>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DISCLOSURE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DISCLOSURE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DISCLOSURE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DISCLOSURE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DISCLOSURE</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(8)</m:t>
        </m:r>
      </m:oMath>
      <w:r w:rsidR="00FC31F8">
        <w:rPr>
          <w:rFonts w:asciiTheme="majorBidi" w:hAnsiTheme="majorBidi" w:cstheme="majorBidi"/>
          <w:color w:val="000000" w:themeColor="text1"/>
          <w:sz w:val="24"/>
          <w:szCs w:val="24"/>
        </w:rPr>
        <w:t xml:space="preserve"> </w:t>
      </w:r>
    </w:p>
    <w:p w14:paraId="17B1111C" w14:textId="77777777" w:rsidR="00BA5D0E" w:rsidRPr="0087365D" w:rsidRDefault="00BA5D0E" w:rsidP="0050080D">
      <w:pPr>
        <w:ind w:left="283"/>
        <w:rPr>
          <w:rFonts w:asciiTheme="majorBidi" w:hAnsiTheme="majorBidi" w:cstheme="majorBidi"/>
          <w:color w:val="000000" w:themeColor="text1"/>
          <w:sz w:val="24"/>
          <w:szCs w:val="24"/>
        </w:rPr>
      </w:pPr>
    </w:p>
    <w:p w14:paraId="486CA945" w14:textId="121ADB4B" w:rsidR="00C12481" w:rsidRPr="0026049E" w:rsidRDefault="0026049E" w:rsidP="001A7925">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D1518D" w:rsidRPr="009B5D79">
        <w:rPr>
          <w:rFonts w:asciiTheme="majorBidi" w:hAnsiTheme="majorBidi" w:cstheme="majorBidi"/>
          <w:color w:val="000000" w:themeColor="text1"/>
          <w:sz w:val="24"/>
          <w:szCs w:val="24"/>
        </w:rPr>
        <w:t xml:space="preserve">As reported in </w:t>
      </w:r>
      <w:r w:rsidR="0050080D" w:rsidRPr="009B5D79">
        <w:rPr>
          <w:rFonts w:asciiTheme="majorBidi" w:hAnsiTheme="majorBidi" w:cstheme="majorBidi"/>
          <w:color w:val="000000" w:themeColor="text1"/>
          <w:sz w:val="24"/>
          <w:szCs w:val="24"/>
        </w:rPr>
        <w:t>Table</w:t>
      </w:r>
      <w:r w:rsidR="0050080D">
        <w:rPr>
          <w:rFonts w:asciiTheme="majorBidi" w:hAnsiTheme="majorBidi" w:cstheme="majorBidi"/>
          <w:color w:val="000000" w:themeColor="text1"/>
          <w:sz w:val="24"/>
          <w:szCs w:val="24"/>
        </w:rPr>
        <w:t xml:space="preserve"> 7</w:t>
      </w:r>
      <w:r w:rsidR="001A7925">
        <w:rPr>
          <w:rFonts w:asciiTheme="majorBidi" w:hAnsiTheme="majorBidi" w:cstheme="majorBidi"/>
          <w:color w:val="000000" w:themeColor="text1"/>
          <w:sz w:val="24"/>
          <w:szCs w:val="24"/>
        </w:rPr>
        <w:t xml:space="preserve"> under Column (1)</w:t>
      </w:r>
      <w:r w:rsidR="008E6447">
        <w:rPr>
          <w:rFonts w:asciiTheme="majorBidi" w:hAnsiTheme="majorBidi" w:cstheme="majorBidi"/>
          <w:color w:val="000000" w:themeColor="text1"/>
          <w:sz w:val="24"/>
          <w:szCs w:val="24"/>
        </w:rPr>
        <w:t>,</w:t>
      </w:r>
      <w:r w:rsidR="00D1518D" w:rsidRPr="009B5D79">
        <w:rPr>
          <w:rFonts w:asciiTheme="majorBidi" w:hAnsiTheme="majorBidi" w:cstheme="majorBidi"/>
          <w:color w:val="000000" w:themeColor="text1"/>
          <w:sz w:val="24"/>
          <w:szCs w:val="24"/>
        </w:rPr>
        <w:t xml:space="preserve"> the coefficient on </w:t>
      </w:r>
      <w:r w:rsidR="00BD2C6C" w:rsidRPr="009B5D79">
        <w:rPr>
          <w:rFonts w:asciiTheme="majorBidi" w:hAnsiTheme="majorBidi" w:cstheme="majorBidi"/>
          <w:i/>
          <w:iCs/>
          <w:color w:val="000000" w:themeColor="text1"/>
          <w:sz w:val="24"/>
          <w:szCs w:val="24"/>
        </w:rPr>
        <w:t>EXCLUSION×</w:t>
      </w:r>
      <w:r w:rsidR="00784952">
        <w:rPr>
          <w:rFonts w:asciiTheme="majorBidi" w:hAnsiTheme="majorBidi" w:cstheme="majorBidi"/>
          <w:i/>
          <w:iCs/>
          <w:color w:val="000000" w:themeColor="text1"/>
          <w:sz w:val="24"/>
          <w:szCs w:val="24"/>
        </w:rPr>
        <w:t>NARCIS</w:t>
      </w:r>
      <w:r w:rsidR="00BD2C6C" w:rsidRPr="009B5D79">
        <w:rPr>
          <w:rFonts w:asciiTheme="majorBidi" w:hAnsiTheme="majorBidi" w:cstheme="majorBidi"/>
          <w:color w:val="000000" w:themeColor="text1"/>
          <w:sz w:val="24"/>
          <w:szCs w:val="24"/>
        </w:rPr>
        <w:t xml:space="preserve"> is </w:t>
      </w:r>
      <w:r w:rsidR="00BD2C6C">
        <w:rPr>
          <w:rFonts w:asciiTheme="majorBidi" w:hAnsiTheme="majorBidi" w:cstheme="majorBidi"/>
          <w:color w:val="000000" w:themeColor="text1"/>
          <w:sz w:val="24"/>
          <w:szCs w:val="24"/>
        </w:rPr>
        <w:t xml:space="preserve">still </w:t>
      </w:r>
      <w:r w:rsidR="00BD2C6C" w:rsidRPr="009B5D79">
        <w:rPr>
          <w:rFonts w:asciiTheme="majorBidi" w:hAnsiTheme="majorBidi" w:cstheme="majorBidi"/>
          <w:color w:val="000000" w:themeColor="text1"/>
          <w:sz w:val="24"/>
          <w:szCs w:val="24"/>
        </w:rPr>
        <w:t>significantly negative</w:t>
      </w:r>
      <w:r w:rsidR="00BD2C6C">
        <w:rPr>
          <w:rFonts w:asciiTheme="majorBidi" w:hAnsiTheme="majorBidi" w:cstheme="majorBidi"/>
          <w:color w:val="000000" w:themeColor="text1"/>
          <w:sz w:val="24"/>
          <w:szCs w:val="24"/>
        </w:rPr>
        <w:t xml:space="preserve"> and consistent with our proposition</w:t>
      </w:r>
      <w:r w:rsidR="003402D6">
        <w:rPr>
          <w:rFonts w:asciiTheme="majorBidi" w:hAnsiTheme="majorBidi" w:cstheme="majorBidi"/>
          <w:color w:val="000000" w:themeColor="text1"/>
          <w:sz w:val="24"/>
          <w:szCs w:val="24"/>
        </w:rPr>
        <w:t>. T</w:t>
      </w:r>
      <w:r w:rsidR="00BD2C6C">
        <w:rPr>
          <w:rFonts w:asciiTheme="majorBidi" w:hAnsiTheme="majorBidi" w:cstheme="majorBidi"/>
          <w:color w:val="000000" w:themeColor="text1"/>
          <w:sz w:val="24"/>
          <w:szCs w:val="24"/>
        </w:rPr>
        <w:t>he coefficient on</w:t>
      </w:r>
      <w:r w:rsidR="00F255CE">
        <w:rPr>
          <w:rFonts w:asciiTheme="majorBidi" w:hAnsiTheme="majorBidi" w:cstheme="majorBidi"/>
          <w:color w:val="000000" w:themeColor="text1"/>
          <w:sz w:val="24"/>
          <w:szCs w:val="24"/>
        </w:rPr>
        <w:t xml:space="preserve"> </w:t>
      </w:r>
      <w:r w:rsidR="005C43F2" w:rsidRPr="009B5D79">
        <w:rPr>
          <w:rFonts w:asciiTheme="majorBidi" w:hAnsiTheme="majorBidi" w:cstheme="majorBidi"/>
          <w:i/>
          <w:iCs/>
          <w:color w:val="000000" w:themeColor="text1"/>
          <w:sz w:val="24"/>
          <w:szCs w:val="24"/>
        </w:rPr>
        <w:t>EXCLUSION×</w:t>
      </w:r>
      <w:r w:rsidR="00784952">
        <w:rPr>
          <w:rFonts w:asciiTheme="majorBidi" w:hAnsiTheme="majorBidi" w:cstheme="majorBidi"/>
          <w:i/>
          <w:iCs/>
          <w:color w:val="000000" w:themeColor="text1"/>
          <w:sz w:val="24"/>
          <w:szCs w:val="24"/>
        </w:rPr>
        <w:t>NARCIS</w:t>
      </w:r>
      <w:r w:rsidR="005C43F2" w:rsidRPr="009B5D79">
        <w:rPr>
          <w:rFonts w:asciiTheme="majorBidi" w:hAnsiTheme="majorBidi" w:cstheme="majorBidi"/>
          <w:i/>
          <w:iCs/>
          <w:color w:val="000000" w:themeColor="text1"/>
          <w:sz w:val="24"/>
          <w:szCs w:val="24"/>
        </w:rPr>
        <w:t>×DISCL</w:t>
      </w:r>
      <w:r w:rsidR="00784952">
        <w:rPr>
          <w:rFonts w:asciiTheme="majorBidi" w:hAnsiTheme="majorBidi" w:cstheme="majorBidi"/>
          <w:i/>
          <w:iCs/>
          <w:color w:val="000000" w:themeColor="text1"/>
          <w:sz w:val="24"/>
          <w:szCs w:val="24"/>
        </w:rPr>
        <w:t>OSURE</w:t>
      </w:r>
      <w:r w:rsidR="002D2DB9">
        <w:rPr>
          <w:rFonts w:asciiTheme="majorBidi" w:hAnsiTheme="majorBidi" w:cstheme="majorBidi"/>
          <w:color w:val="000000" w:themeColor="text1"/>
          <w:sz w:val="24"/>
          <w:szCs w:val="28"/>
        </w:rPr>
        <w:t xml:space="preserve"> </w:t>
      </w:r>
      <w:r w:rsidR="00196BE1" w:rsidRPr="009B5D79">
        <w:rPr>
          <w:rFonts w:asciiTheme="majorBidi" w:hAnsiTheme="majorBidi" w:cstheme="majorBidi"/>
          <w:color w:val="000000" w:themeColor="text1"/>
          <w:sz w:val="24"/>
          <w:szCs w:val="24"/>
        </w:rPr>
        <w:t>is significantly positive</w:t>
      </w:r>
      <w:r w:rsidR="003402D6">
        <w:rPr>
          <w:rFonts w:asciiTheme="majorBidi" w:hAnsiTheme="majorBidi" w:cstheme="majorBidi"/>
          <w:color w:val="000000" w:themeColor="text1"/>
          <w:sz w:val="24"/>
          <w:szCs w:val="24"/>
        </w:rPr>
        <w:t xml:space="preserve">, which </w:t>
      </w:r>
      <w:r w:rsidR="003F1F00" w:rsidRPr="009B5D79">
        <w:rPr>
          <w:rFonts w:asciiTheme="majorBidi" w:hAnsiTheme="majorBidi" w:cstheme="majorBidi"/>
          <w:color w:val="000000" w:themeColor="text1"/>
          <w:sz w:val="24"/>
          <w:szCs w:val="24"/>
        </w:rPr>
        <w:t xml:space="preserve">suggests that </w:t>
      </w:r>
      <w:r w:rsidR="00AA2657">
        <w:rPr>
          <w:rFonts w:asciiTheme="majorBidi" w:hAnsiTheme="majorBidi" w:cstheme="majorBidi"/>
          <w:color w:val="000000" w:themeColor="text1"/>
          <w:sz w:val="24"/>
          <w:szCs w:val="24"/>
        </w:rPr>
        <w:t>non-IFRS adjustments</w:t>
      </w:r>
      <w:r w:rsidR="006E2FF0">
        <w:rPr>
          <w:rFonts w:asciiTheme="majorBidi" w:hAnsiTheme="majorBidi" w:cstheme="majorBidi"/>
          <w:color w:val="000000" w:themeColor="text1"/>
          <w:sz w:val="24"/>
          <w:szCs w:val="24"/>
        </w:rPr>
        <w:t xml:space="preserve"> </w:t>
      </w:r>
      <w:r w:rsidR="00BD2C6C">
        <w:rPr>
          <w:rFonts w:asciiTheme="majorBidi" w:hAnsiTheme="majorBidi" w:cstheme="majorBidi"/>
          <w:color w:val="000000" w:themeColor="text1"/>
          <w:sz w:val="24"/>
          <w:szCs w:val="24"/>
        </w:rPr>
        <w:t>are</w:t>
      </w:r>
      <w:r w:rsidR="006E2FF0">
        <w:rPr>
          <w:rFonts w:asciiTheme="majorBidi" w:hAnsiTheme="majorBidi" w:cstheme="majorBidi"/>
          <w:color w:val="000000" w:themeColor="text1"/>
          <w:sz w:val="24"/>
          <w:szCs w:val="24"/>
        </w:rPr>
        <w:t xml:space="preserve"> less persistent</w:t>
      </w:r>
      <w:r w:rsidR="00BD2C6C">
        <w:rPr>
          <w:rFonts w:asciiTheme="majorBidi" w:hAnsiTheme="majorBidi" w:cstheme="majorBidi"/>
          <w:color w:val="000000" w:themeColor="text1"/>
          <w:sz w:val="24"/>
          <w:szCs w:val="24"/>
        </w:rPr>
        <w:t xml:space="preserve"> only </w:t>
      </w:r>
      <w:r w:rsidR="000C5B5B" w:rsidRPr="009B5D79">
        <w:rPr>
          <w:rFonts w:asciiTheme="majorBidi" w:hAnsiTheme="majorBidi" w:cstheme="majorBidi"/>
          <w:color w:val="000000" w:themeColor="text1"/>
          <w:sz w:val="24"/>
          <w:szCs w:val="24"/>
        </w:rPr>
        <w:t>when AC chair</w:t>
      </w:r>
      <w:r w:rsidR="003402D6">
        <w:rPr>
          <w:rFonts w:asciiTheme="majorBidi" w:hAnsiTheme="majorBidi" w:cstheme="majorBidi"/>
          <w:color w:val="000000" w:themeColor="text1"/>
          <w:sz w:val="24"/>
          <w:szCs w:val="24"/>
        </w:rPr>
        <w:t>s</w:t>
      </w:r>
      <w:r w:rsidR="000C5B5B" w:rsidRPr="009B5D79">
        <w:rPr>
          <w:rFonts w:asciiTheme="majorBidi" w:hAnsiTheme="majorBidi" w:cstheme="majorBidi"/>
          <w:color w:val="000000" w:themeColor="text1"/>
          <w:sz w:val="24"/>
          <w:szCs w:val="24"/>
        </w:rPr>
        <w:t xml:space="preserve"> </w:t>
      </w:r>
      <w:r w:rsidR="00BD2C6C">
        <w:rPr>
          <w:rFonts w:asciiTheme="majorBidi" w:hAnsiTheme="majorBidi" w:cstheme="majorBidi"/>
          <w:color w:val="000000" w:themeColor="text1"/>
          <w:sz w:val="24"/>
          <w:szCs w:val="24"/>
        </w:rPr>
        <w:t>confirm this in their report</w:t>
      </w:r>
      <w:r w:rsidR="003402D6">
        <w:rPr>
          <w:rFonts w:asciiTheme="majorBidi" w:hAnsiTheme="majorBidi" w:cstheme="majorBidi"/>
          <w:color w:val="000000" w:themeColor="text1"/>
          <w:sz w:val="24"/>
          <w:szCs w:val="24"/>
        </w:rPr>
        <w:t>;</w:t>
      </w:r>
      <w:r w:rsidR="00BD2C6C">
        <w:rPr>
          <w:rFonts w:asciiTheme="majorBidi" w:hAnsiTheme="majorBidi" w:cstheme="majorBidi"/>
          <w:color w:val="000000" w:themeColor="text1"/>
          <w:sz w:val="24"/>
          <w:szCs w:val="24"/>
        </w:rPr>
        <w:t xml:space="preserve"> o</w:t>
      </w:r>
      <w:r w:rsidR="00BD2C6C" w:rsidRPr="00BD2C6C">
        <w:rPr>
          <w:rFonts w:asciiTheme="majorBidi" w:hAnsiTheme="majorBidi" w:cstheme="majorBidi"/>
          <w:color w:val="000000" w:themeColor="text1"/>
          <w:sz w:val="24"/>
          <w:szCs w:val="24"/>
        </w:rPr>
        <w:t>therwise, they may be interpreted as opportunistic exclusions.</w:t>
      </w:r>
      <w:r w:rsidR="00A93254" w:rsidRPr="009B5D79">
        <w:rPr>
          <w:rFonts w:asciiTheme="majorBidi" w:hAnsiTheme="majorBidi" w:cstheme="majorBidi"/>
          <w:color w:val="000000" w:themeColor="text1"/>
          <w:sz w:val="24"/>
          <w:szCs w:val="24"/>
        </w:rPr>
        <w:t xml:space="preserve"> </w:t>
      </w:r>
    </w:p>
    <w:p w14:paraId="46B58AD9" w14:textId="60BE8BFE" w:rsidR="002528F2" w:rsidRPr="0026049E" w:rsidRDefault="00182207" w:rsidP="0026049E">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493C78" w:rsidRPr="0087365D">
        <w:rPr>
          <w:rFonts w:asciiTheme="majorBidi" w:hAnsiTheme="majorBidi"/>
          <w:i/>
          <w:iCs/>
          <w:color w:val="000000" w:themeColor="text1"/>
          <w:sz w:val="28"/>
          <w:szCs w:val="28"/>
        </w:rPr>
        <w:t>.</w:t>
      </w:r>
      <w:r w:rsidR="0026092C" w:rsidRPr="0087365D">
        <w:rPr>
          <w:rFonts w:asciiTheme="majorBidi" w:hAnsiTheme="majorBidi"/>
          <w:i/>
          <w:iCs/>
          <w:color w:val="000000" w:themeColor="text1"/>
          <w:sz w:val="28"/>
          <w:szCs w:val="28"/>
        </w:rPr>
        <w:t>5</w:t>
      </w:r>
      <w:r w:rsidR="00493C78" w:rsidRPr="0087365D">
        <w:rPr>
          <w:rFonts w:asciiTheme="majorBidi" w:hAnsiTheme="majorBidi"/>
          <w:i/>
          <w:iCs/>
          <w:color w:val="000000" w:themeColor="text1"/>
          <w:sz w:val="28"/>
          <w:szCs w:val="28"/>
        </w:rPr>
        <w:t>.</w:t>
      </w:r>
      <w:r w:rsidR="0050080D">
        <w:rPr>
          <w:rFonts w:asciiTheme="majorBidi" w:hAnsiTheme="majorBidi"/>
          <w:i/>
          <w:iCs/>
          <w:color w:val="000000" w:themeColor="text1"/>
          <w:sz w:val="28"/>
          <w:szCs w:val="28"/>
        </w:rPr>
        <w:t>2</w:t>
      </w:r>
      <w:r w:rsidR="00493C78" w:rsidRPr="0087365D">
        <w:rPr>
          <w:rFonts w:asciiTheme="majorBidi" w:hAnsiTheme="majorBidi"/>
          <w:i/>
          <w:iCs/>
          <w:color w:val="000000" w:themeColor="text1"/>
          <w:sz w:val="28"/>
          <w:szCs w:val="28"/>
        </w:rPr>
        <w:t xml:space="preserve">. </w:t>
      </w:r>
      <w:r w:rsidR="0026092C" w:rsidRPr="0087365D">
        <w:rPr>
          <w:rFonts w:asciiTheme="majorBidi" w:hAnsiTheme="majorBidi"/>
          <w:i/>
          <w:iCs/>
          <w:color w:val="000000" w:themeColor="text1"/>
          <w:sz w:val="28"/>
          <w:szCs w:val="28"/>
        </w:rPr>
        <w:t>E</w:t>
      </w:r>
      <w:r w:rsidR="00493C78" w:rsidRPr="0087365D">
        <w:rPr>
          <w:rFonts w:asciiTheme="majorBidi" w:hAnsiTheme="majorBidi"/>
          <w:i/>
          <w:iCs/>
          <w:color w:val="000000" w:themeColor="text1"/>
          <w:sz w:val="28"/>
          <w:szCs w:val="28"/>
        </w:rPr>
        <w:t>xternal oversight</w:t>
      </w:r>
    </w:p>
    <w:p w14:paraId="4EAB1004" w14:textId="41CE61D1" w:rsidR="00F255CE" w:rsidRDefault="0026049E" w:rsidP="0026049E">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6220CD" w:rsidRPr="006220CD">
        <w:rPr>
          <w:rFonts w:asciiTheme="majorBidi" w:hAnsiTheme="majorBidi" w:cstheme="majorBidi"/>
          <w:color w:val="000000" w:themeColor="text1"/>
          <w:sz w:val="24"/>
          <w:szCs w:val="24"/>
        </w:rPr>
        <w:t xml:space="preserve">Existing studies suggest that external monitoring, whether from financial analysts or </w:t>
      </w:r>
      <w:r w:rsidR="006220CD" w:rsidRPr="00F62069">
        <w:rPr>
          <w:rFonts w:asciiTheme="majorBidi" w:hAnsiTheme="majorBidi" w:cstheme="majorBidi"/>
          <w:color w:val="000000" w:themeColor="text1"/>
          <w:sz w:val="24"/>
          <w:szCs w:val="24"/>
        </w:rPr>
        <w:t>oversight by institutional investors, plays a pivotal role in monitoring non-GAAP earnings (Christensen</w:t>
      </w:r>
      <w:r w:rsidR="00566094" w:rsidRPr="00F62069">
        <w:rPr>
          <w:rFonts w:asciiTheme="majorBidi" w:hAnsiTheme="majorBidi" w:cstheme="majorBidi"/>
          <w:color w:val="000000" w:themeColor="text1"/>
          <w:sz w:val="24"/>
          <w:szCs w:val="24"/>
        </w:rPr>
        <w:t>, Gomez, Ma, &amp; Pan</w:t>
      </w:r>
      <w:r w:rsidR="006220CD" w:rsidRPr="00F62069">
        <w:rPr>
          <w:rFonts w:asciiTheme="majorBidi" w:hAnsiTheme="majorBidi" w:cstheme="majorBidi"/>
          <w:color w:val="000000" w:themeColor="text1"/>
          <w:sz w:val="24"/>
          <w:szCs w:val="24"/>
        </w:rPr>
        <w:t>, 202</w:t>
      </w:r>
      <w:r w:rsidR="00222786">
        <w:rPr>
          <w:rFonts w:asciiTheme="majorBidi" w:hAnsiTheme="majorBidi" w:cstheme="majorBidi"/>
          <w:color w:val="000000" w:themeColor="text1"/>
          <w:sz w:val="24"/>
          <w:szCs w:val="24"/>
        </w:rPr>
        <w:t>1</w:t>
      </w:r>
      <w:r w:rsidR="006220CD" w:rsidRPr="00F62069">
        <w:rPr>
          <w:rFonts w:asciiTheme="majorBidi" w:hAnsiTheme="majorBidi" w:cstheme="majorBidi"/>
          <w:color w:val="000000" w:themeColor="text1"/>
          <w:sz w:val="24"/>
          <w:szCs w:val="24"/>
        </w:rPr>
        <w:t xml:space="preserve">; Jennings &amp; Marques, 2011; </w:t>
      </w:r>
      <w:proofErr w:type="spellStart"/>
      <w:r w:rsidR="006220CD" w:rsidRPr="00F62069">
        <w:rPr>
          <w:rFonts w:asciiTheme="majorBidi" w:hAnsiTheme="majorBidi" w:cstheme="majorBidi"/>
          <w:color w:val="000000" w:themeColor="text1"/>
          <w:sz w:val="24"/>
          <w:szCs w:val="24"/>
        </w:rPr>
        <w:t>Hribar</w:t>
      </w:r>
      <w:proofErr w:type="spellEnd"/>
      <w:r w:rsidR="0060459A" w:rsidRPr="00F62069">
        <w:rPr>
          <w:rFonts w:asciiTheme="majorBidi" w:hAnsiTheme="majorBidi" w:cstheme="majorBidi"/>
          <w:color w:val="000000" w:themeColor="text1"/>
          <w:sz w:val="24"/>
          <w:szCs w:val="24"/>
        </w:rPr>
        <w:t xml:space="preserve">, Mergenthaler, </w:t>
      </w:r>
      <w:proofErr w:type="spellStart"/>
      <w:r w:rsidR="0060459A" w:rsidRPr="00F62069">
        <w:rPr>
          <w:rFonts w:asciiTheme="majorBidi" w:hAnsiTheme="majorBidi" w:cstheme="majorBidi"/>
          <w:color w:val="000000" w:themeColor="text1"/>
          <w:sz w:val="24"/>
          <w:szCs w:val="24"/>
        </w:rPr>
        <w:t>Roeschley</w:t>
      </w:r>
      <w:proofErr w:type="spellEnd"/>
      <w:r w:rsidR="0060459A" w:rsidRPr="00F62069">
        <w:rPr>
          <w:rFonts w:asciiTheme="majorBidi" w:hAnsiTheme="majorBidi" w:cstheme="majorBidi"/>
          <w:color w:val="000000" w:themeColor="text1"/>
          <w:sz w:val="24"/>
          <w:szCs w:val="24"/>
        </w:rPr>
        <w:t>, Young, &amp; Zhao</w:t>
      </w:r>
      <w:r w:rsidR="006220CD" w:rsidRPr="00F62069">
        <w:rPr>
          <w:rFonts w:asciiTheme="majorBidi" w:hAnsiTheme="majorBidi" w:cstheme="majorBidi"/>
          <w:color w:val="000000" w:themeColor="text1"/>
          <w:sz w:val="24"/>
          <w:szCs w:val="24"/>
        </w:rPr>
        <w:t>, 202</w:t>
      </w:r>
      <w:r w:rsidR="00EB3694">
        <w:rPr>
          <w:rFonts w:asciiTheme="majorBidi" w:hAnsiTheme="majorBidi" w:cstheme="majorBidi"/>
          <w:color w:val="000000" w:themeColor="text1"/>
          <w:sz w:val="24"/>
          <w:szCs w:val="24"/>
        </w:rPr>
        <w:t>2</w:t>
      </w:r>
      <w:r w:rsidR="006220CD" w:rsidRPr="006220CD">
        <w:rPr>
          <w:rFonts w:asciiTheme="majorBidi" w:hAnsiTheme="majorBidi" w:cstheme="majorBidi"/>
          <w:color w:val="000000" w:themeColor="text1"/>
          <w:sz w:val="24"/>
          <w:szCs w:val="24"/>
        </w:rPr>
        <w:t xml:space="preserve">). Given that narcissistic individuals are often motivated by a desire for recognition and validation of their perceived superiority (John &amp; Robins, 1994; Morf &amp; </w:t>
      </w:r>
      <w:proofErr w:type="spellStart"/>
      <w:r w:rsidR="006220CD" w:rsidRPr="006220CD">
        <w:rPr>
          <w:rFonts w:asciiTheme="majorBidi" w:hAnsiTheme="majorBidi" w:cstheme="majorBidi"/>
          <w:color w:val="000000" w:themeColor="text1"/>
          <w:sz w:val="24"/>
          <w:szCs w:val="24"/>
        </w:rPr>
        <w:t>Rhodewalt</w:t>
      </w:r>
      <w:proofErr w:type="spellEnd"/>
      <w:r w:rsidR="006220CD" w:rsidRPr="006220CD">
        <w:rPr>
          <w:rFonts w:asciiTheme="majorBidi" w:hAnsiTheme="majorBidi" w:cstheme="majorBidi"/>
          <w:color w:val="000000" w:themeColor="text1"/>
          <w:sz w:val="24"/>
          <w:szCs w:val="24"/>
        </w:rPr>
        <w:t xml:space="preserve">, 2001), </w:t>
      </w:r>
      <w:r w:rsidR="00D925FC">
        <w:rPr>
          <w:rFonts w:asciiTheme="majorBidi" w:hAnsiTheme="majorBidi" w:cstheme="majorBidi"/>
          <w:color w:val="000000" w:themeColor="text1"/>
          <w:sz w:val="24"/>
          <w:szCs w:val="24"/>
        </w:rPr>
        <w:t xml:space="preserve">we postulate that </w:t>
      </w:r>
      <w:r w:rsidR="006220CD" w:rsidRPr="006220CD">
        <w:rPr>
          <w:rFonts w:asciiTheme="majorBidi" w:hAnsiTheme="majorBidi" w:cstheme="majorBidi"/>
          <w:color w:val="000000" w:themeColor="text1"/>
          <w:sz w:val="24"/>
          <w:szCs w:val="24"/>
        </w:rPr>
        <w:t xml:space="preserve">they may view external monitoring as an opportunity to showcase their abilities and assert their dominance within the organization. This desire for validation could prompt </w:t>
      </w:r>
      <w:r w:rsidR="00B95A5B">
        <w:rPr>
          <w:rFonts w:asciiTheme="majorBidi" w:hAnsiTheme="majorBidi" w:cstheme="majorBidi"/>
          <w:color w:val="000000" w:themeColor="text1"/>
          <w:sz w:val="24"/>
          <w:szCs w:val="24"/>
        </w:rPr>
        <w:t>them</w:t>
      </w:r>
      <w:r w:rsidR="006220CD" w:rsidRPr="006220CD">
        <w:rPr>
          <w:rFonts w:asciiTheme="majorBidi" w:hAnsiTheme="majorBidi" w:cstheme="majorBidi"/>
          <w:color w:val="000000" w:themeColor="text1"/>
          <w:sz w:val="24"/>
          <w:szCs w:val="24"/>
        </w:rPr>
        <w:t xml:space="preserve"> to actively engage in monitoring activities, demonstrating their competence and leadership skills to external monitors. Furthermore, </w:t>
      </w:r>
      <w:r w:rsidR="00B95A5B">
        <w:rPr>
          <w:rFonts w:asciiTheme="majorBidi" w:hAnsiTheme="majorBidi" w:cstheme="majorBidi"/>
          <w:color w:val="000000" w:themeColor="text1"/>
          <w:sz w:val="24"/>
          <w:szCs w:val="24"/>
        </w:rPr>
        <w:t>it</w:t>
      </w:r>
      <w:r w:rsidR="00B95A5B" w:rsidRPr="006220CD">
        <w:rPr>
          <w:rFonts w:asciiTheme="majorBidi" w:hAnsiTheme="majorBidi" w:cstheme="majorBidi"/>
          <w:color w:val="000000" w:themeColor="text1"/>
          <w:sz w:val="24"/>
          <w:szCs w:val="24"/>
        </w:rPr>
        <w:t xml:space="preserve"> </w:t>
      </w:r>
      <w:r w:rsidR="006220CD" w:rsidRPr="006220CD">
        <w:rPr>
          <w:rFonts w:asciiTheme="majorBidi" w:hAnsiTheme="majorBidi" w:cstheme="majorBidi"/>
          <w:color w:val="000000" w:themeColor="text1"/>
          <w:sz w:val="24"/>
          <w:szCs w:val="24"/>
        </w:rPr>
        <w:t>could also serve as an opportunity for them to receive recognition and praise from external monitors for their monitoring efforts.</w:t>
      </w:r>
      <w:r w:rsidR="006220CD">
        <w:rPr>
          <w:rFonts w:asciiTheme="majorBidi" w:hAnsiTheme="majorBidi" w:cstheme="majorBidi"/>
          <w:color w:val="000000" w:themeColor="text1"/>
          <w:sz w:val="24"/>
          <w:szCs w:val="24"/>
        </w:rPr>
        <w:t xml:space="preserve"> Therefore, i</w:t>
      </w:r>
      <w:r w:rsidR="006220CD" w:rsidRPr="006220CD">
        <w:rPr>
          <w:rFonts w:asciiTheme="majorBidi" w:hAnsiTheme="majorBidi" w:cstheme="majorBidi"/>
          <w:color w:val="000000" w:themeColor="text1"/>
          <w:sz w:val="24"/>
          <w:szCs w:val="24"/>
        </w:rPr>
        <w:t>n this section, we examine whether external oversight enhances the monitoring quality of narcissistic AC chairs</w:t>
      </w:r>
      <w:r w:rsidR="006220CD">
        <w:rPr>
          <w:rFonts w:asciiTheme="majorBidi" w:hAnsiTheme="majorBidi" w:cstheme="majorBidi"/>
          <w:color w:val="000000" w:themeColor="text1"/>
          <w:sz w:val="24"/>
          <w:szCs w:val="24"/>
        </w:rPr>
        <w:t xml:space="preserve">. </w:t>
      </w:r>
      <w:r w:rsidR="006220CD" w:rsidRPr="006220CD" w:rsidDel="006220CD">
        <w:rPr>
          <w:rFonts w:asciiTheme="majorBidi" w:hAnsiTheme="majorBidi" w:cstheme="majorBidi"/>
          <w:color w:val="000000" w:themeColor="text1"/>
          <w:sz w:val="24"/>
          <w:szCs w:val="24"/>
        </w:rPr>
        <w:t xml:space="preserve"> </w:t>
      </w:r>
    </w:p>
    <w:p w14:paraId="1FC08A92" w14:textId="37B1AB25" w:rsidR="0026092C" w:rsidRDefault="0026049E" w:rsidP="0026049E">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3368AB">
        <w:rPr>
          <w:rFonts w:asciiTheme="majorBidi" w:hAnsiTheme="majorBidi" w:cstheme="majorBidi"/>
          <w:color w:val="000000" w:themeColor="text1"/>
          <w:sz w:val="24"/>
          <w:szCs w:val="24"/>
        </w:rPr>
        <w:t xml:space="preserve">We measure </w:t>
      </w:r>
      <w:r w:rsidR="003368AB" w:rsidRPr="00FD4293">
        <w:rPr>
          <w:rFonts w:asciiTheme="majorBidi" w:hAnsiTheme="majorBidi" w:cstheme="majorBidi"/>
          <w:i/>
          <w:iCs/>
          <w:color w:val="000000" w:themeColor="text1"/>
          <w:sz w:val="24"/>
          <w:szCs w:val="24"/>
        </w:rPr>
        <w:t>ANALYSTS</w:t>
      </w:r>
      <w:r w:rsidR="003368AB">
        <w:rPr>
          <w:rFonts w:asciiTheme="majorBidi" w:hAnsiTheme="majorBidi" w:cstheme="majorBidi"/>
          <w:color w:val="000000" w:themeColor="text1"/>
          <w:sz w:val="24"/>
          <w:szCs w:val="24"/>
        </w:rPr>
        <w:t xml:space="preserve"> as </w:t>
      </w:r>
      <w:r w:rsidR="00A9144F">
        <w:rPr>
          <w:rFonts w:asciiTheme="majorBidi" w:hAnsiTheme="majorBidi" w:cstheme="majorBidi"/>
          <w:color w:val="000000" w:themeColor="text1"/>
          <w:sz w:val="24"/>
          <w:szCs w:val="24"/>
        </w:rPr>
        <w:t xml:space="preserve">an indicator variable equal to 1 if </w:t>
      </w:r>
      <w:r w:rsidR="003368AB">
        <w:rPr>
          <w:rFonts w:asciiTheme="majorBidi" w:hAnsiTheme="majorBidi" w:cstheme="majorBidi"/>
          <w:color w:val="000000" w:themeColor="text1"/>
          <w:sz w:val="24"/>
          <w:szCs w:val="24"/>
        </w:rPr>
        <w:t xml:space="preserve">the number of </w:t>
      </w:r>
      <w:r w:rsidR="00C6564C">
        <w:rPr>
          <w:rFonts w:asciiTheme="majorBidi" w:hAnsiTheme="majorBidi" w:cstheme="majorBidi"/>
          <w:color w:val="000000" w:themeColor="text1"/>
          <w:sz w:val="24"/>
          <w:szCs w:val="24"/>
        </w:rPr>
        <w:t xml:space="preserve">analysts </w:t>
      </w:r>
      <w:r w:rsidR="00875A5E">
        <w:rPr>
          <w:rFonts w:asciiTheme="majorBidi" w:hAnsiTheme="majorBidi" w:cstheme="majorBidi"/>
          <w:color w:val="000000" w:themeColor="text1"/>
          <w:sz w:val="24"/>
          <w:szCs w:val="24"/>
        </w:rPr>
        <w:t xml:space="preserve">following a firm </w:t>
      </w:r>
      <w:r w:rsidR="00A9144F">
        <w:rPr>
          <w:rFonts w:asciiTheme="majorBidi" w:hAnsiTheme="majorBidi" w:cstheme="majorBidi"/>
          <w:color w:val="000000" w:themeColor="text1"/>
          <w:sz w:val="24"/>
          <w:szCs w:val="24"/>
        </w:rPr>
        <w:t>is in the top quartile, and 0 otherwise</w:t>
      </w:r>
      <w:r w:rsidR="007653A6">
        <w:rPr>
          <w:rFonts w:asciiTheme="majorBidi" w:hAnsiTheme="majorBidi" w:cstheme="majorBidi"/>
          <w:color w:val="000000" w:themeColor="text1"/>
          <w:sz w:val="24"/>
          <w:szCs w:val="24"/>
        </w:rPr>
        <w:t xml:space="preserve">. </w:t>
      </w:r>
      <w:r w:rsidR="00FD7A30" w:rsidRPr="00FD4293">
        <w:rPr>
          <w:rFonts w:asciiTheme="majorBidi" w:hAnsiTheme="majorBidi" w:cstheme="majorBidi"/>
          <w:i/>
          <w:iCs/>
          <w:color w:val="000000" w:themeColor="text1"/>
          <w:sz w:val="24"/>
          <w:szCs w:val="24"/>
        </w:rPr>
        <w:t>INSTOWNER</w:t>
      </w:r>
      <w:r w:rsidR="00FD7A30">
        <w:rPr>
          <w:rFonts w:asciiTheme="majorBidi" w:hAnsiTheme="majorBidi" w:cstheme="majorBidi"/>
          <w:color w:val="000000" w:themeColor="text1"/>
          <w:sz w:val="24"/>
          <w:szCs w:val="24"/>
        </w:rPr>
        <w:t xml:space="preserve"> is measured as an indicator </w:t>
      </w:r>
      <w:r w:rsidR="00B0150A">
        <w:rPr>
          <w:rFonts w:asciiTheme="majorBidi" w:hAnsiTheme="majorBidi" w:cstheme="majorBidi"/>
          <w:color w:val="000000" w:themeColor="text1"/>
          <w:sz w:val="24"/>
          <w:szCs w:val="24"/>
        </w:rPr>
        <w:t>variable</w:t>
      </w:r>
      <w:r w:rsidR="0035478F">
        <w:rPr>
          <w:rFonts w:asciiTheme="majorBidi" w:hAnsiTheme="majorBidi" w:cstheme="majorBidi"/>
          <w:color w:val="000000" w:themeColor="text1"/>
          <w:sz w:val="24"/>
          <w:szCs w:val="24"/>
        </w:rPr>
        <w:t xml:space="preserve"> e</w:t>
      </w:r>
      <w:r w:rsidR="00B0150A">
        <w:rPr>
          <w:rFonts w:asciiTheme="majorBidi" w:hAnsiTheme="majorBidi" w:cstheme="majorBidi"/>
          <w:color w:val="000000" w:themeColor="text1"/>
          <w:sz w:val="24"/>
          <w:szCs w:val="24"/>
        </w:rPr>
        <w:t xml:space="preserve">qual to 1 </w:t>
      </w:r>
      <w:r w:rsidR="00B54F5B">
        <w:rPr>
          <w:rFonts w:asciiTheme="majorBidi" w:hAnsiTheme="majorBidi" w:cstheme="majorBidi"/>
          <w:color w:val="000000" w:themeColor="text1"/>
          <w:sz w:val="24"/>
          <w:szCs w:val="24"/>
        </w:rPr>
        <w:t>if the percentage of shares</w:t>
      </w:r>
      <w:r w:rsidR="0035478F">
        <w:rPr>
          <w:rFonts w:asciiTheme="majorBidi" w:hAnsiTheme="majorBidi" w:cstheme="majorBidi"/>
          <w:color w:val="000000" w:themeColor="text1"/>
          <w:sz w:val="24"/>
          <w:szCs w:val="24"/>
        </w:rPr>
        <w:t xml:space="preserve"> held by institutional investors is </w:t>
      </w:r>
      <w:r w:rsidR="00366B9C">
        <w:rPr>
          <w:rFonts w:asciiTheme="majorBidi" w:hAnsiTheme="majorBidi" w:cstheme="majorBidi"/>
          <w:color w:val="000000" w:themeColor="text1"/>
          <w:sz w:val="24"/>
          <w:szCs w:val="24"/>
        </w:rPr>
        <w:t xml:space="preserve">in the top quartile, and 0 otherwise. We </w:t>
      </w:r>
      <w:r w:rsidR="00343D67">
        <w:rPr>
          <w:rFonts w:asciiTheme="majorBidi" w:hAnsiTheme="majorBidi" w:cstheme="majorBidi"/>
          <w:color w:val="000000" w:themeColor="text1"/>
          <w:sz w:val="24"/>
          <w:szCs w:val="24"/>
        </w:rPr>
        <w:t xml:space="preserve">use the equation </w:t>
      </w:r>
      <w:r w:rsidR="00B95A5B">
        <w:rPr>
          <w:rFonts w:asciiTheme="majorBidi" w:hAnsiTheme="majorBidi" w:cstheme="majorBidi"/>
          <w:color w:val="000000" w:themeColor="text1"/>
          <w:sz w:val="24"/>
          <w:szCs w:val="24"/>
        </w:rPr>
        <w:t xml:space="preserve">below </w:t>
      </w:r>
      <w:r w:rsidR="00343D67">
        <w:rPr>
          <w:rFonts w:asciiTheme="majorBidi" w:hAnsiTheme="majorBidi" w:cstheme="majorBidi"/>
          <w:color w:val="000000" w:themeColor="text1"/>
          <w:sz w:val="24"/>
          <w:szCs w:val="24"/>
        </w:rPr>
        <w:t xml:space="preserve">to </w:t>
      </w:r>
      <w:r w:rsidR="000C74E1">
        <w:rPr>
          <w:rFonts w:asciiTheme="majorBidi" w:hAnsiTheme="majorBidi" w:cstheme="majorBidi"/>
          <w:color w:val="000000" w:themeColor="text1"/>
          <w:sz w:val="24"/>
          <w:szCs w:val="24"/>
        </w:rPr>
        <w:t>examine w</w:t>
      </w:r>
      <w:r w:rsidR="005477EC">
        <w:rPr>
          <w:rFonts w:asciiTheme="majorBidi" w:hAnsiTheme="majorBidi" w:cstheme="majorBidi"/>
          <w:color w:val="000000" w:themeColor="text1"/>
          <w:sz w:val="24"/>
          <w:szCs w:val="24"/>
        </w:rPr>
        <w:t xml:space="preserve">hether analyst </w:t>
      </w:r>
      <w:r w:rsidR="00982576">
        <w:rPr>
          <w:rFonts w:asciiTheme="majorBidi" w:hAnsiTheme="majorBidi" w:cstheme="majorBidi"/>
          <w:color w:val="000000" w:themeColor="text1"/>
          <w:sz w:val="24"/>
          <w:szCs w:val="24"/>
        </w:rPr>
        <w:t>coverage and in</w:t>
      </w:r>
      <w:r w:rsidR="00EE6BDD">
        <w:rPr>
          <w:rFonts w:asciiTheme="majorBidi" w:hAnsiTheme="majorBidi" w:cstheme="majorBidi"/>
          <w:color w:val="000000" w:themeColor="text1"/>
          <w:sz w:val="24"/>
          <w:szCs w:val="24"/>
        </w:rPr>
        <w:t xml:space="preserve">stitutional ownership play a moderating role in the association between </w:t>
      </w:r>
      <w:r w:rsidR="00F76E55">
        <w:rPr>
          <w:rFonts w:asciiTheme="majorBidi" w:hAnsiTheme="majorBidi" w:cstheme="majorBidi"/>
          <w:color w:val="000000" w:themeColor="text1"/>
          <w:sz w:val="24"/>
          <w:szCs w:val="24"/>
        </w:rPr>
        <w:t xml:space="preserve">AC </w:t>
      </w:r>
      <w:r w:rsidR="00F76E55">
        <w:rPr>
          <w:rFonts w:asciiTheme="majorBidi" w:hAnsiTheme="majorBidi" w:cstheme="majorBidi"/>
          <w:color w:val="000000" w:themeColor="text1"/>
          <w:sz w:val="24"/>
          <w:szCs w:val="24"/>
        </w:rPr>
        <w:lastRenderedPageBreak/>
        <w:t>chair narcissism and non-IFRS exclusions:</w:t>
      </w:r>
    </w:p>
    <w:p w14:paraId="62358F08" w14:textId="07591589" w:rsidR="00B95A5B" w:rsidRPr="006F2820" w:rsidRDefault="0033525A" w:rsidP="006E3B21">
      <w:pPr>
        <w:spacing w:line="360" w:lineRule="auto"/>
        <w:ind w:left="283"/>
        <w:rPr>
          <w:rFonts w:asciiTheme="majorBidi" w:hAnsiTheme="majorBidi" w:cstheme="majorBidi"/>
          <w:color w:val="000000" w:themeColor="text1"/>
          <w:sz w:val="24"/>
          <w:szCs w:val="24"/>
        </w:rPr>
      </w:pPr>
      <m:oMath>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IFRSEPS</m:t>
            </m:r>
          </m:e>
          <m:sub>
            <m:r>
              <w:rPr>
                <w:rFonts w:ascii="Cambria Math" w:hAnsi="Cambria Math" w:cstheme="majorBidi"/>
                <w:noProof/>
                <w:color w:val="000000" w:themeColor="text1"/>
                <w:sz w:val="24"/>
                <w:szCs w:val="24"/>
              </w:rPr>
              <m:t>ij</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t</m:t>
            </m:r>
            <m:r>
              <w:rPr>
                <w:rFonts w:ascii="Cambria Math" w:hAnsi="Cambria Math" w:cstheme="majorBidi"/>
                <w:noProof/>
                <w:color w:val="000000" w:themeColor="text1"/>
                <w:sz w:val="24"/>
                <w:szCs w:val="24"/>
              </w:rPr>
              <m:t>+1</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0</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2</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3</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4</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EXTERNAL</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5</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6</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7</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EXTERNAL</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8</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EXTERNAL</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9</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NONIFRS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EXTERNAL</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β</m:t>
            </m:r>
          </m:e>
          <m:sub>
            <m:r>
              <w:rPr>
                <w:rFonts w:ascii="Cambria Math" w:hAnsi="Cambria Math" w:cstheme="majorBidi"/>
                <w:noProof/>
                <w:color w:val="000000" w:themeColor="text1"/>
                <w:sz w:val="24"/>
                <w:szCs w:val="24"/>
              </w:rPr>
              <m:t>10</m:t>
            </m:r>
          </m:sub>
        </m:sSub>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EXCLUSION</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NARCIS</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EXTERNAL</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Controls</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Industry</m:t>
        </m:r>
        <m:r>
          <w:rPr>
            <w:rFonts w:ascii="Cambria Math" w:hAnsi="Cambria Math" w:cstheme="majorBidi"/>
            <w:noProof/>
            <w:color w:val="000000" w:themeColor="text1"/>
            <w:sz w:val="24"/>
            <w:szCs w:val="24"/>
          </w:rPr>
          <m:t>+</m:t>
        </m:r>
        <m:r>
          <w:rPr>
            <w:rFonts w:ascii="Cambria Math" w:hAnsi="Cambria Math" w:cstheme="majorBidi"/>
            <w:noProof/>
            <w:color w:val="000000" w:themeColor="text1"/>
            <w:sz w:val="24"/>
            <w:szCs w:val="24"/>
          </w:rPr>
          <m:t>Year</m:t>
        </m:r>
        <m:r>
          <w:rPr>
            <w:rFonts w:ascii="Cambria Math" w:hAnsi="Cambria Math" w:cstheme="majorBidi"/>
            <w:noProof/>
            <w:color w:val="000000" w:themeColor="text1"/>
            <w:sz w:val="24"/>
            <w:szCs w:val="24"/>
          </w:rPr>
          <m:t>+</m:t>
        </m:r>
        <m:sSub>
          <m:sSubPr>
            <m:ctrlPr>
              <w:rPr>
                <w:rFonts w:ascii="Cambria Math" w:hAnsi="Cambria Math" w:cstheme="majorBidi"/>
                <w:i/>
                <w:noProof/>
                <w:color w:val="000000" w:themeColor="text1"/>
                <w:sz w:val="24"/>
                <w:szCs w:val="24"/>
              </w:rPr>
            </m:ctrlPr>
          </m:sSubPr>
          <m:e>
            <m:r>
              <w:rPr>
                <w:rFonts w:ascii="Cambria Math" w:hAnsi="Cambria Math" w:cstheme="majorBidi"/>
                <w:noProof/>
                <w:color w:val="000000" w:themeColor="text1"/>
                <w:sz w:val="24"/>
                <w:szCs w:val="24"/>
              </w:rPr>
              <m:t>ε</m:t>
            </m:r>
          </m:e>
          <m:sub>
            <m:r>
              <w:rPr>
                <w:rFonts w:ascii="Cambria Math" w:hAnsi="Cambria Math" w:cstheme="majorBidi"/>
                <w:noProof/>
                <w:color w:val="000000" w:themeColor="text1"/>
                <w:sz w:val="24"/>
                <w:szCs w:val="24"/>
              </w:rPr>
              <m:t>ijt</m:t>
            </m:r>
          </m:sub>
        </m:sSub>
        <m:r>
          <w:rPr>
            <w:rFonts w:ascii="Cambria Math" w:hAnsi="Cambria Math" w:cstheme="majorBidi"/>
            <w:noProof/>
            <w:color w:val="000000" w:themeColor="text1"/>
            <w:sz w:val="24"/>
            <w:szCs w:val="24"/>
          </w:rPr>
          <m:t xml:space="preserve">                                                                                                                                                         (9)</m:t>
        </m:r>
      </m:oMath>
      <w:r w:rsidR="00FC31F8">
        <w:rPr>
          <w:rFonts w:asciiTheme="majorBidi" w:hAnsiTheme="majorBidi" w:cstheme="majorBidi"/>
          <w:color w:val="000000" w:themeColor="text1"/>
          <w:sz w:val="24"/>
          <w:szCs w:val="24"/>
        </w:rPr>
        <w:t xml:space="preserve"> </w:t>
      </w:r>
    </w:p>
    <w:p w14:paraId="0ED7CDB8" w14:textId="1BDC9272" w:rsidR="00C12481" w:rsidRDefault="0026049E" w:rsidP="0026049E">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C12481">
        <w:rPr>
          <w:rFonts w:asciiTheme="majorBidi" w:hAnsiTheme="majorBidi" w:cstheme="majorBidi"/>
          <w:color w:val="000000" w:themeColor="text1"/>
          <w:sz w:val="24"/>
          <w:szCs w:val="24"/>
        </w:rPr>
        <w:t>Column (</w:t>
      </w:r>
      <w:r w:rsidR="0050080D">
        <w:rPr>
          <w:rFonts w:asciiTheme="majorBidi" w:hAnsiTheme="majorBidi" w:cstheme="majorBidi"/>
          <w:color w:val="000000" w:themeColor="text1"/>
          <w:sz w:val="24"/>
          <w:szCs w:val="24"/>
        </w:rPr>
        <w:t>2</w:t>
      </w:r>
      <w:r w:rsidR="00C12481">
        <w:rPr>
          <w:rFonts w:asciiTheme="majorBidi" w:hAnsiTheme="majorBidi" w:cstheme="majorBidi"/>
          <w:color w:val="000000" w:themeColor="text1"/>
          <w:sz w:val="24"/>
          <w:szCs w:val="24"/>
        </w:rPr>
        <w:t xml:space="preserve">) of Table </w:t>
      </w:r>
      <w:r w:rsidR="0050080D">
        <w:rPr>
          <w:rFonts w:asciiTheme="majorBidi" w:hAnsiTheme="majorBidi" w:cstheme="majorBidi"/>
          <w:color w:val="000000" w:themeColor="text1"/>
          <w:sz w:val="24"/>
          <w:szCs w:val="24"/>
        </w:rPr>
        <w:t>7</w:t>
      </w:r>
      <w:r w:rsidR="00C12481">
        <w:rPr>
          <w:rFonts w:asciiTheme="majorBidi" w:hAnsiTheme="majorBidi" w:cstheme="majorBidi"/>
          <w:color w:val="000000" w:themeColor="text1"/>
          <w:sz w:val="24"/>
          <w:szCs w:val="24"/>
        </w:rPr>
        <w:t xml:space="preserve"> reports that </w:t>
      </w:r>
      <w:r w:rsidR="003F0326" w:rsidRPr="003F0326">
        <w:rPr>
          <w:rFonts w:asciiTheme="majorBidi" w:hAnsiTheme="majorBidi" w:cstheme="majorBidi"/>
          <w:color w:val="000000" w:themeColor="text1"/>
          <w:sz w:val="24"/>
          <w:szCs w:val="24"/>
        </w:rPr>
        <w:t xml:space="preserve">the coefficient on the interaction between </w:t>
      </w:r>
      <w:r w:rsidR="003F0326" w:rsidRPr="003F0326">
        <w:rPr>
          <w:rFonts w:asciiTheme="majorBidi" w:hAnsiTheme="majorBidi" w:cstheme="majorBidi"/>
          <w:i/>
          <w:iCs/>
          <w:color w:val="000000" w:themeColor="text1"/>
          <w:sz w:val="24"/>
          <w:szCs w:val="24"/>
        </w:rPr>
        <w:t>EXCLUSION</w:t>
      </w:r>
      <w:r w:rsidR="003F0326" w:rsidRPr="003F0326">
        <w:rPr>
          <w:rFonts w:asciiTheme="majorBidi" w:hAnsiTheme="majorBidi" w:cstheme="majorBidi"/>
          <w:color w:val="000000" w:themeColor="text1"/>
          <w:sz w:val="24"/>
          <w:szCs w:val="24"/>
        </w:rPr>
        <w:t xml:space="preserve"> and </w:t>
      </w:r>
      <w:r w:rsidR="00784952">
        <w:rPr>
          <w:rFonts w:asciiTheme="majorBidi" w:hAnsiTheme="majorBidi" w:cstheme="majorBidi"/>
          <w:i/>
          <w:iCs/>
          <w:color w:val="000000" w:themeColor="text1"/>
          <w:sz w:val="24"/>
          <w:szCs w:val="24"/>
        </w:rPr>
        <w:t>NARCIS</w:t>
      </w:r>
      <w:r w:rsidR="003F0326" w:rsidRPr="003F0326">
        <w:rPr>
          <w:rFonts w:asciiTheme="majorBidi" w:hAnsiTheme="majorBidi" w:cstheme="majorBidi"/>
          <w:i/>
          <w:iCs/>
          <w:color w:val="000000" w:themeColor="text1"/>
          <w:sz w:val="24"/>
          <w:szCs w:val="24"/>
        </w:rPr>
        <w:t xml:space="preserve"> </w:t>
      </w:r>
      <w:r w:rsidR="003F0326" w:rsidRPr="003F0326">
        <w:rPr>
          <w:rFonts w:asciiTheme="majorBidi" w:hAnsiTheme="majorBidi" w:cstheme="majorBidi"/>
          <w:color w:val="000000" w:themeColor="text1"/>
          <w:sz w:val="24"/>
          <w:szCs w:val="24"/>
        </w:rPr>
        <w:t xml:space="preserve">is </w:t>
      </w:r>
      <w:r w:rsidR="003F0326">
        <w:rPr>
          <w:rFonts w:asciiTheme="majorBidi" w:hAnsiTheme="majorBidi" w:cstheme="majorBidi"/>
          <w:color w:val="000000" w:themeColor="text1"/>
          <w:sz w:val="24"/>
          <w:szCs w:val="24"/>
        </w:rPr>
        <w:t xml:space="preserve">still </w:t>
      </w:r>
      <w:r w:rsidR="003F0326" w:rsidRPr="003F0326">
        <w:rPr>
          <w:rFonts w:asciiTheme="majorBidi" w:hAnsiTheme="majorBidi" w:cstheme="majorBidi"/>
          <w:color w:val="000000" w:themeColor="text1"/>
          <w:sz w:val="24"/>
          <w:szCs w:val="24"/>
        </w:rPr>
        <w:t>significantly negative</w:t>
      </w:r>
      <w:r w:rsidR="003F0326">
        <w:rPr>
          <w:rFonts w:asciiTheme="majorBidi" w:hAnsiTheme="majorBidi" w:cstheme="majorBidi"/>
          <w:color w:val="000000" w:themeColor="text1"/>
          <w:sz w:val="24"/>
          <w:szCs w:val="24"/>
        </w:rPr>
        <w:t xml:space="preserve"> while </w:t>
      </w:r>
      <w:r w:rsidR="00C12481">
        <w:rPr>
          <w:rFonts w:asciiTheme="majorBidi" w:hAnsiTheme="majorBidi" w:cstheme="majorBidi"/>
          <w:color w:val="000000" w:themeColor="text1"/>
          <w:sz w:val="24"/>
          <w:szCs w:val="24"/>
        </w:rPr>
        <w:t xml:space="preserve">the coefficient on the interaction between </w:t>
      </w:r>
      <w:r w:rsidR="00C12481" w:rsidRPr="00F515D5">
        <w:rPr>
          <w:rFonts w:asciiTheme="majorBidi" w:hAnsiTheme="majorBidi" w:cstheme="majorBidi"/>
          <w:i/>
          <w:iCs/>
          <w:color w:val="000000" w:themeColor="text1"/>
          <w:sz w:val="24"/>
          <w:szCs w:val="24"/>
        </w:rPr>
        <w:t>EXCLUSION</w:t>
      </w:r>
      <w:r w:rsidR="00C12481">
        <w:rPr>
          <w:rFonts w:asciiTheme="majorBidi" w:hAnsiTheme="majorBidi" w:cstheme="majorBidi"/>
          <w:color w:val="000000" w:themeColor="text1"/>
          <w:sz w:val="24"/>
          <w:szCs w:val="24"/>
        </w:rPr>
        <w:t xml:space="preserve">, </w:t>
      </w:r>
      <w:r w:rsidR="00784952">
        <w:rPr>
          <w:rFonts w:asciiTheme="majorBidi" w:hAnsiTheme="majorBidi" w:cstheme="majorBidi"/>
          <w:i/>
          <w:iCs/>
          <w:color w:val="000000" w:themeColor="text1"/>
          <w:sz w:val="24"/>
          <w:szCs w:val="24"/>
        </w:rPr>
        <w:t>NARCIS</w:t>
      </w:r>
      <w:r w:rsidR="00A22E2C" w:rsidRPr="0087365D">
        <w:rPr>
          <w:rFonts w:asciiTheme="majorBidi" w:hAnsiTheme="majorBidi" w:cstheme="majorBidi"/>
          <w:i/>
          <w:iCs/>
          <w:color w:val="000000" w:themeColor="text1"/>
          <w:sz w:val="24"/>
          <w:szCs w:val="24"/>
        </w:rPr>
        <w:t>,</w:t>
      </w:r>
      <w:r w:rsidR="00C12481" w:rsidRPr="00A22E2C">
        <w:rPr>
          <w:rFonts w:asciiTheme="majorBidi" w:hAnsiTheme="majorBidi" w:cstheme="majorBidi"/>
          <w:color w:val="000000" w:themeColor="text1"/>
          <w:sz w:val="24"/>
          <w:szCs w:val="24"/>
        </w:rPr>
        <w:t xml:space="preserve"> and</w:t>
      </w:r>
      <w:r w:rsidR="00C12481">
        <w:rPr>
          <w:rFonts w:asciiTheme="majorBidi" w:hAnsiTheme="majorBidi" w:cstheme="majorBidi"/>
          <w:color w:val="000000" w:themeColor="text1"/>
          <w:sz w:val="24"/>
          <w:szCs w:val="24"/>
        </w:rPr>
        <w:t xml:space="preserve"> </w:t>
      </w:r>
      <w:r w:rsidR="00C12481" w:rsidRPr="005232A7">
        <w:rPr>
          <w:rFonts w:asciiTheme="majorBidi" w:hAnsiTheme="majorBidi" w:cstheme="majorBidi"/>
          <w:i/>
          <w:iCs/>
          <w:color w:val="000000" w:themeColor="text1"/>
          <w:sz w:val="24"/>
          <w:szCs w:val="24"/>
        </w:rPr>
        <w:t>ANALYSTS</w:t>
      </w:r>
      <w:r w:rsidR="00C12481">
        <w:rPr>
          <w:rFonts w:asciiTheme="majorBidi" w:hAnsiTheme="majorBidi" w:cstheme="majorBidi"/>
          <w:color w:val="000000" w:themeColor="text1"/>
          <w:sz w:val="24"/>
          <w:szCs w:val="24"/>
        </w:rPr>
        <w:t xml:space="preserve"> is</w:t>
      </w:r>
      <w:r w:rsidR="000E6E4F">
        <w:rPr>
          <w:rFonts w:asciiTheme="majorBidi" w:hAnsiTheme="majorBidi" w:cstheme="majorBidi"/>
          <w:color w:val="000000" w:themeColor="text1"/>
          <w:sz w:val="24"/>
          <w:szCs w:val="24"/>
        </w:rPr>
        <w:t xml:space="preserve"> significantly positive</w:t>
      </w:r>
      <w:r w:rsidR="002B4346">
        <w:rPr>
          <w:rFonts w:asciiTheme="majorBidi" w:hAnsiTheme="majorBidi" w:cstheme="majorBidi"/>
          <w:color w:val="000000" w:themeColor="text1"/>
          <w:sz w:val="24"/>
          <w:szCs w:val="24"/>
        </w:rPr>
        <w:t xml:space="preserve"> implying attenuating effect.</w:t>
      </w:r>
      <w:r w:rsidR="00B10CEF">
        <w:rPr>
          <w:rFonts w:asciiTheme="majorBidi" w:hAnsiTheme="majorBidi" w:cstheme="majorBidi"/>
          <w:color w:val="000000" w:themeColor="text1"/>
          <w:sz w:val="24"/>
          <w:szCs w:val="24"/>
        </w:rPr>
        <w:t xml:space="preserve"> </w:t>
      </w:r>
      <w:r w:rsidR="002B4346">
        <w:rPr>
          <w:rFonts w:asciiTheme="majorBidi" w:hAnsiTheme="majorBidi" w:cstheme="majorBidi"/>
          <w:color w:val="000000" w:themeColor="text1"/>
          <w:sz w:val="24"/>
          <w:szCs w:val="24"/>
        </w:rPr>
        <w:t>Similarly</w:t>
      </w:r>
      <w:r w:rsidR="00B10CEF">
        <w:rPr>
          <w:rFonts w:asciiTheme="majorBidi" w:hAnsiTheme="majorBidi" w:cstheme="majorBidi"/>
          <w:color w:val="000000" w:themeColor="text1"/>
          <w:sz w:val="24"/>
          <w:szCs w:val="24"/>
        </w:rPr>
        <w:t>,</w:t>
      </w:r>
      <w:r w:rsidR="00887213">
        <w:rPr>
          <w:rFonts w:asciiTheme="majorBidi" w:hAnsiTheme="majorBidi" w:cstheme="majorBidi"/>
          <w:color w:val="000000" w:themeColor="text1"/>
          <w:sz w:val="24"/>
          <w:szCs w:val="24"/>
        </w:rPr>
        <w:t xml:space="preserve"> the</w:t>
      </w:r>
      <w:r w:rsidR="00B10CEF">
        <w:rPr>
          <w:rFonts w:asciiTheme="majorBidi" w:hAnsiTheme="majorBidi" w:cstheme="majorBidi"/>
          <w:color w:val="000000" w:themeColor="text1"/>
          <w:sz w:val="24"/>
          <w:szCs w:val="24"/>
        </w:rPr>
        <w:t xml:space="preserve"> </w:t>
      </w:r>
      <w:r w:rsidR="00887213">
        <w:rPr>
          <w:rFonts w:asciiTheme="majorBidi" w:hAnsiTheme="majorBidi" w:cstheme="majorBidi"/>
          <w:color w:val="000000" w:themeColor="text1"/>
          <w:sz w:val="24"/>
          <w:szCs w:val="24"/>
        </w:rPr>
        <w:t xml:space="preserve">interaction between </w:t>
      </w:r>
      <w:r w:rsidR="00887213" w:rsidRPr="00F515D5">
        <w:rPr>
          <w:rFonts w:asciiTheme="majorBidi" w:hAnsiTheme="majorBidi" w:cstheme="majorBidi"/>
          <w:i/>
          <w:iCs/>
          <w:color w:val="000000" w:themeColor="text1"/>
          <w:sz w:val="24"/>
          <w:szCs w:val="24"/>
        </w:rPr>
        <w:t>EXCLUSION</w:t>
      </w:r>
      <w:r w:rsidR="00887213">
        <w:rPr>
          <w:rFonts w:asciiTheme="majorBidi" w:hAnsiTheme="majorBidi" w:cstheme="majorBidi"/>
          <w:color w:val="000000" w:themeColor="text1"/>
          <w:sz w:val="24"/>
          <w:szCs w:val="24"/>
        </w:rPr>
        <w:t xml:space="preserve">, </w:t>
      </w:r>
      <w:r w:rsidR="00784952">
        <w:rPr>
          <w:rFonts w:asciiTheme="majorBidi" w:hAnsiTheme="majorBidi" w:cstheme="majorBidi"/>
          <w:i/>
          <w:iCs/>
          <w:color w:val="000000" w:themeColor="text1"/>
          <w:sz w:val="24"/>
          <w:szCs w:val="24"/>
        </w:rPr>
        <w:t>NARCIS</w:t>
      </w:r>
      <w:r w:rsidR="00887213" w:rsidRPr="0087365D">
        <w:rPr>
          <w:rFonts w:asciiTheme="majorBidi" w:hAnsiTheme="majorBidi" w:cstheme="majorBidi"/>
          <w:i/>
          <w:iCs/>
          <w:color w:val="000000" w:themeColor="text1"/>
          <w:sz w:val="24"/>
          <w:szCs w:val="24"/>
        </w:rPr>
        <w:t>,</w:t>
      </w:r>
      <w:r w:rsidR="00887213" w:rsidRPr="00A22E2C">
        <w:rPr>
          <w:rFonts w:asciiTheme="majorBidi" w:hAnsiTheme="majorBidi" w:cstheme="majorBidi"/>
          <w:color w:val="000000" w:themeColor="text1"/>
          <w:sz w:val="24"/>
          <w:szCs w:val="24"/>
        </w:rPr>
        <w:t xml:space="preserve"> and</w:t>
      </w:r>
      <w:r w:rsidR="000510AA">
        <w:rPr>
          <w:rFonts w:asciiTheme="majorBidi" w:hAnsiTheme="majorBidi" w:cstheme="majorBidi"/>
          <w:color w:val="000000" w:themeColor="text1"/>
          <w:sz w:val="24"/>
          <w:szCs w:val="24"/>
        </w:rPr>
        <w:t xml:space="preserve"> </w:t>
      </w:r>
      <w:r w:rsidR="000510AA" w:rsidRPr="001B7120">
        <w:rPr>
          <w:rFonts w:asciiTheme="majorBidi" w:hAnsiTheme="majorBidi" w:cstheme="majorBidi"/>
          <w:i/>
          <w:iCs/>
          <w:color w:val="000000" w:themeColor="text1"/>
          <w:sz w:val="24"/>
          <w:szCs w:val="24"/>
        </w:rPr>
        <w:t>INSTOWNER</w:t>
      </w:r>
      <w:r w:rsidR="000510AA">
        <w:rPr>
          <w:rFonts w:asciiTheme="majorBidi" w:hAnsiTheme="majorBidi" w:cstheme="majorBidi"/>
          <w:color w:val="000000" w:themeColor="text1"/>
          <w:sz w:val="24"/>
          <w:szCs w:val="24"/>
        </w:rPr>
        <w:t xml:space="preserve"> </w:t>
      </w:r>
      <w:r w:rsidR="002B4346">
        <w:rPr>
          <w:rFonts w:asciiTheme="majorBidi" w:hAnsiTheme="majorBidi" w:cstheme="majorBidi"/>
          <w:color w:val="000000" w:themeColor="text1"/>
          <w:sz w:val="24"/>
          <w:szCs w:val="24"/>
        </w:rPr>
        <w:t xml:space="preserve">also </w:t>
      </w:r>
      <w:r w:rsidR="00B10CEF">
        <w:rPr>
          <w:rFonts w:asciiTheme="majorBidi" w:hAnsiTheme="majorBidi" w:cstheme="majorBidi"/>
          <w:color w:val="000000" w:themeColor="text1"/>
          <w:sz w:val="24"/>
          <w:szCs w:val="24"/>
        </w:rPr>
        <w:t xml:space="preserve">attracts a </w:t>
      </w:r>
      <w:r w:rsidR="000510AA">
        <w:rPr>
          <w:rFonts w:asciiTheme="majorBidi" w:hAnsiTheme="majorBidi" w:cstheme="majorBidi"/>
          <w:color w:val="000000" w:themeColor="text1"/>
          <w:sz w:val="24"/>
          <w:szCs w:val="24"/>
        </w:rPr>
        <w:t>positive</w:t>
      </w:r>
      <w:r w:rsidR="00B10CEF">
        <w:rPr>
          <w:rFonts w:asciiTheme="majorBidi" w:hAnsiTheme="majorBidi" w:cstheme="majorBidi"/>
          <w:color w:val="000000" w:themeColor="text1"/>
          <w:sz w:val="24"/>
          <w:szCs w:val="24"/>
        </w:rPr>
        <w:t xml:space="preserve"> coefficient as reported in Column (</w:t>
      </w:r>
      <w:r w:rsidR="0050080D">
        <w:rPr>
          <w:rFonts w:asciiTheme="majorBidi" w:hAnsiTheme="majorBidi" w:cstheme="majorBidi"/>
          <w:color w:val="000000" w:themeColor="text1"/>
          <w:sz w:val="24"/>
          <w:szCs w:val="24"/>
        </w:rPr>
        <w:t>3</w:t>
      </w:r>
      <w:r w:rsidR="00B10CEF">
        <w:rPr>
          <w:rFonts w:asciiTheme="majorBidi" w:hAnsiTheme="majorBidi" w:cstheme="majorBidi"/>
          <w:color w:val="000000" w:themeColor="text1"/>
          <w:sz w:val="24"/>
          <w:szCs w:val="24"/>
        </w:rPr>
        <w:t>)</w:t>
      </w:r>
      <w:r w:rsidR="000510AA">
        <w:rPr>
          <w:rFonts w:asciiTheme="majorBidi" w:hAnsiTheme="majorBidi" w:cstheme="majorBidi"/>
          <w:color w:val="000000" w:themeColor="text1"/>
          <w:sz w:val="24"/>
          <w:szCs w:val="24"/>
        </w:rPr>
        <w:t>. Taken together, these results</w:t>
      </w:r>
      <w:r w:rsidR="003F0326">
        <w:rPr>
          <w:rFonts w:asciiTheme="majorBidi" w:hAnsiTheme="majorBidi" w:cstheme="majorBidi"/>
          <w:color w:val="000000" w:themeColor="text1"/>
          <w:sz w:val="24"/>
          <w:szCs w:val="24"/>
        </w:rPr>
        <w:t xml:space="preserve"> </w:t>
      </w:r>
      <w:r w:rsidR="000510AA">
        <w:rPr>
          <w:rFonts w:asciiTheme="majorBidi" w:hAnsiTheme="majorBidi" w:cstheme="majorBidi"/>
          <w:color w:val="000000" w:themeColor="text1"/>
          <w:sz w:val="24"/>
          <w:szCs w:val="24"/>
        </w:rPr>
        <w:t xml:space="preserve">demonstrate </w:t>
      </w:r>
      <w:r w:rsidR="00B0120C">
        <w:rPr>
          <w:rFonts w:asciiTheme="majorBidi" w:hAnsiTheme="majorBidi" w:cstheme="majorBidi"/>
          <w:color w:val="000000" w:themeColor="text1"/>
          <w:sz w:val="24"/>
          <w:szCs w:val="24"/>
        </w:rPr>
        <w:t>that</w:t>
      </w:r>
      <w:r w:rsidR="003F0326">
        <w:rPr>
          <w:rFonts w:asciiTheme="majorBidi" w:hAnsiTheme="majorBidi" w:cstheme="majorBidi"/>
          <w:color w:val="000000" w:themeColor="text1"/>
          <w:sz w:val="24"/>
          <w:szCs w:val="24"/>
        </w:rPr>
        <w:t>,</w:t>
      </w:r>
      <w:r w:rsidR="00B0120C">
        <w:rPr>
          <w:rFonts w:asciiTheme="majorBidi" w:hAnsiTheme="majorBidi" w:cstheme="majorBidi"/>
          <w:color w:val="000000" w:themeColor="text1"/>
          <w:sz w:val="24"/>
          <w:szCs w:val="24"/>
        </w:rPr>
        <w:t xml:space="preserve"> </w:t>
      </w:r>
      <w:r w:rsidR="003F0326">
        <w:rPr>
          <w:rFonts w:asciiTheme="majorBidi" w:hAnsiTheme="majorBidi" w:cstheme="majorBidi"/>
          <w:color w:val="000000" w:themeColor="text1"/>
          <w:sz w:val="24"/>
          <w:szCs w:val="24"/>
        </w:rPr>
        <w:t xml:space="preserve">in the presence of </w:t>
      </w:r>
      <w:r w:rsidR="002A2BA1">
        <w:rPr>
          <w:rFonts w:asciiTheme="majorBidi" w:hAnsiTheme="majorBidi" w:cstheme="majorBidi"/>
          <w:color w:val="000000" w:themeColor="text1"/>
          <w:sz w:val="24"/>
          <w:szCs w:val="24"/>
        </w:rPr>
        <w:t>external</w:t>
      </w:r>
      <w:r w:rsidR="003F0326">
        <w:rPr>
          <w:rFonts w:asciiTheme="majorBidi" w:hAnsiTheme="majorBidi" w:cstheme="majorBidi"/>
          <w:color w:val="000000" w:themeColor="text1"/>
          <w:sz w:val="24"/>
          <w:szCs w:val="24"/>
        </w:rPr>
        <w:t xml:space="preserve"> </w:t>
      </w:r>
      <w:r w:rsidR="002A2BA1">
        <w:rPr>
          <w:rFonts w:asciiTheme="majorBidi" w:hAnsiTheme="majorBidi" w:cstheme="majorBidi"/>
          <w:color w:val="000000" w:themeColor="text1"/>
          <w:sz w:val="24"/>
          <w:szCs w:val="24"/>
        </w:rPr>
        <w:t>oversight</w:t>
      </w:r>
      <w:r w:rsidR="00B95A5B">
        <w:rPr>
          <w:rFonts w:asciiTheme="majorBidi" w:hAnsiTheme="majorBidi" w:cstheme="majorBidi"/>
          <w:color w:val="000000" w:themeColor="text1"/>
          <w:sz w:val="24"/>
          <w:szCs w:val="24"/>
        </w:rPr>
        <w:t xml:space="preserve"> and monitoring</w:t>
      </w:r>
      <w:r w:rsidR="003F0326">
        <w:rPr>
          <w:rFonts w:asciiTheme="majorBidi" w:hAnsiTheme="majorBidi" w:cstheme="majorBidi"/>
          <w:color w:val="000000" w:themeColor="text1"/>
          <w:sz w:val="24"/>
          <w:szCs w:val="24"/>
        </w:rPr>
        <w:t xml:space="preserve">, </w:t>
      </w:r>
      <w:r w:rsidR="000510AA">
        <w:rPr>
          <w:rFonts w:asciiTheme="majorBidi" w:hAnsiTheme="majorBidi" w:cstheme="majorBidi"/>
          <w:color w:val="000000" w:themeColor="text1"/>
          <w:sz w:val="24"/>
          <w:szCs w:val="24"/>
        </w:rPr>
        <w:t xml:space="preserve">as proxied by more analyst </w:t>
      </w:r>
      <w:r w:rsidR="00B10CEF">
        <w:rPr>
          <w:rFonts w:asciiTheme="majorBidi" w:hAnsiTheme="majorBidi" w:cstheme="majorBidi"/>
          <w:color w:val="000000" w:themeColor="text1"/>
          <w:sz w:val="24"/>
          <w:szCs w:val="24"/>
        </w:rPr>
        <w:t>coverage</w:t>
      </w:r>
      <w:r w:rsidR="000510AA">
        <w:rPr>
          <w:rFonts w:asciiTheme="majorBidi" w:hAnsiTheme="majorBidi" w:cstheme="majorBidi"/>
          <w:color w:val="000000" w:themeColor="text1"/>
          <w:sz w:val="24"/>
          <w:szCs w:val="24"/>
        </w:rPr>
        <w:t xml:space="preserve"> and high institutional ownership, </w:t>
      </w:r>
      <w:r w:rsidR="00E52994">
        <w:rPr>
          <w:rFonts w:asciiTheme="majorBidi" w:hAnsiTheme="majorBidi" w:cstheme="majorBidi"/>
          <w:color w:val="000000" w:themeColor="text1"/>
          <w:sz w:val="24"/>
          <w:szCs w:val="24"/>
        </w:rPr>
        <w:t xml:space="preserve">narcissistic AC chairs </w:t>
      </w:r>
      <w:r w:rsidR="003F0326">
        <w:rPr>
          <w:rFonts w:asciiTheme="majorBidi" w:hAnsiTheme="majorBidi" w:cstheme="majorBidi"/>
          <w:color w:val="000000" w:themeColor="text1"/>
          <w:sz w:val="24"/>
          <w:szCs w:val="24"/>
        </w:rPr>
        <w:t>are more inclined to</w:t>
      </w:r>
      <w:r w:rsidR="00311747">
        <w:rPr>
          <w:rFonts w:asciiTheme="majorBidi" w:hAnsiTheme="majorBidi" w:cstheme="majorBidi"/>
          <w:color w:val="000000" w:themeColor="text1"/>
          <w:sz w:val="24"/>
          <w:szCs w:val="24"/>
        </w:rPr>
        <w:t xml:space="preserve"> </w:t>
      </w:r>
      <w:r w:rsidR="00E52994">
        <w:rPr>
          <w:rFonts w:asciiTheme="majorBidi" w:hAnsiTheme="majorBidi" w:cstheme="majorBidi"/>
          <w:color w:val="000000" w:themeColor="text1"/>
          <w:sz w:val="24"/>
          <w:szCs w:val="24"/>
        </w:rPr>
        <w:t xml:space="preserve">improve </w:t>
      </w:r>
      <w:r w:rsidR="005028A9">
        <w:rPr>
          <w:rFonts w:asciiTheme="majorBidi" w:hAnsiTheme="majorBidi" w:cstheme="majorBidi"/>
          <w:color w:val="000000" w:themeColor="text1"/>
          <w:sz w:val="24"/>
          <w:szCs w:val="24"/>
        </w:rPr>
        <w:t xml:space="preserve">the quality </w:t>
      </w:r>
      <w:r w:rsidR="00F63103">
        <w:rPr>
          <w:rFonts w:asciiTheme="majorBidi" w:hAnsiTheme="majorBidi" w:cstheme="majorBidi"/>
          <w:color w:val="000000" w:themeColor="text1"/>
          <w:sz w:val="24"/>
          <w:szCs w:val="24"/>
        </w:rPr>
        <w:t>of non-IFRS exclusions</w:t>
      </w:r>
      <w:r w:rsidR="00B95A5B">
        <w:rPr>
          <w:rFonts w:asciiTheme="majorBidi" w:hAnsiTheme="majorBidi" w:cstheme="majorBidi"/>
          <w:color w:val="000000" w:themeColor="text1"/>
          <w:sz w:val="24"/>
          <w:szCs w:val="24"/>
        </w:rPr>
        <w:t xml:space="preserve"> and </w:t>
      </w:r>
      <w:r w:rsidR="003F0326" w:rsidRPr="003F0326">
        <w:rPr>
          <w:rFonts w:asciiTheme="majorBidi" w:hAnsiTheme="majorBidi" w:cstheme="majorBidi"/>
          <w:color w:val="000000" w:themeColor="text1"/>
          <w:sz w:val="24"/>
          <w:szCs w:val="24"/>
        </w:rPr>
        <w:t xml:space="preserve">engage in close monitoring as they seek validation, </w:t>
      </w:r>
      <w:r w:rsidR="003F0326" w:rsidRPr="00A22E2C">
        <w:rPr>
          <w:rFonts w:asciiTheme="majorBidi" w:hAnsiTheme="majorBidi" w:cstheme="majorBidi"/>
          <w:color w:val="000000" w:themeColor="text1"/>
          <w:sz w:val="24"/>
          <w:szCs w:val="24"/>
        </w:rPr>
        <w:t>recognition, and</w:t>
      </w:r>
      <w:r w:rsidR="003F0326" w:rsidRPr="003F0326">
        <w:rPr>
          <w:rFonts w:asciiTheme="majorBidi" w:hAnsiTheme="majorBidi" w:cstheme="majorBidi"/>
          <w:color w:val="000000" w:themeColor="text1"/>
          <w:sz w:val="24"/>
          <w:szCs w:val="24"/>
        </w:rPr>
        <w:t xml:space="preserve"> the opportunity to demonstrate their competence and leadership skills.</w:t>
      </w:r>
    </w:p>
    <w:p w14:paraId="0BA3BE0C" w14:textId="6A4FC681" w:rsidR="002528F2" w:rsidRPr="0026049E" w:rsidRDefault="008E6447" w:rsidP="0026049E">
      <w:pPr>
        <w:spacing w:line="480" w:lineRule="auto"/>
        <w:jc w:val="cente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{INSERT TABLE </w:t>
      </w:r>
      <w:r w:rsidR="0050080D">
        <w:rPr>
          <w:rFonts w:asciiTheme="majorBidi" w:hAnsiTheme="majorBidi" w:cstheme="majorBidi"/>
          <w:color w:val="000000" w:themeColor="text1"/>
          <w:sz w:val="24"/>
          <w:szCs w:val="28"/>
        </w:rPr>
        <w:t>SEVEN</w:t>
      </w:r>
      <w:r w:rsidR="00F62069"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ABOUT HERE}</w:t>
      </w:r>
    </w:p>
    <w:p w14:paraId="691B6CCD" w14:textId="44DCE244" w:rsidR="003F2B35" w:rsidRPr="0087365D" w:rsidRDefault="00182207" w:rsidP="002D7BC3">
      <w:pPr>
        <w:pStyle w:val="Heading3"/>
        <w:spacing w:line="480"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26092C" w:rsidRPr="0087365D">
        <w:rPr>
          <w:rFonts w:asciiTheme="majorBidi" w:hAnsiTheme="majorBidi"/>
          <w:i/>
          <w:iCs/>
          <w:color w:val="000000" w:themeColor="text1"/>
          <w:sz w:val="28"/>
          <w:szCs w:val="28"/>
        </w:rPr>
        <w:t>.5.</w:t>
      </w:r>
      <w:r w:rsidR="0050080D">
        <w:rPr>
          <w:rFonts w:asciiTheme="majorBidi" w:hAnsiTheme="majorBidi"/>
          <w:i/>
          <w:iCs/>
          <w:color w:val="000000" w:themeColor="text1"/>
          <w:sz w:val="28"/>
          <w:szCs w:val="28"/>
        </w:rPr>
        <w:t>3</w:t>
      </w:r>
      <w:r w:rsidR="0026092C" w:rsidRPr="0087365D">
        <w:rPr>
          <w:rFonts w:asciiTheme="majorBidi" w:hAnsiTheme="majorBidi"/>
          <w:i/>
          <w:iCs/>
          <w:color w:val="000000" w:themeColor="text1"/>
          <w:sz w:val="28"/>
          <w:szCs w:val="28"/>
        </w:rPr>
        <w:t>.</w:t>
      </w:r>
      <w:r w:rsidR="005562C5" w:rsidRPr="0087365D">
        <w:rPr>
          <w:rFonts w:asciiTheme="majorBidi" w:hAnsiTheme="majorBidi"/>
          <w:i/>
          <w:iCs/>
          <w:color w:val="000000" w:themeColor="text1"/>
          <w:sz w:val="28"/>
          <w:szCs w:val="28"/>
        </w:rPr>
        <w:t xml:space="preserve"> </w:t>
      </w:r>
      <w:r w:rsidR="00615D63">
        <w:rPr>
          <w:rFonts w:asciiTheme="majorBidi" w:hAnsiTheme="majorBidi"/>
          <w:i/>
          <w:iCs/>
          <w:color w:val="000000" w:themeColor="text1"/>
          <w:sz w:val="28"/>
          <w:szCs w:val="28"/>
        </w:rPr>
        <w:t xml:space="preserve">Controlling for </w:t>
      </w:r>
      <w:r w:rsidR="004B0CEC">
        <w:rPr>
          <w:rFonts w:asciiTheme="majorBidi" w:hAnsiTheme="majorBidi"/>
          <w:i/>
          <w:iCs/>
          <w:color w:val="000000" w:themeColor="text1"/>
          <w:sz w:val="28"/>
          <w:szCs w:val="28"/>
        </w:rPr>
        <w:t>Auditor</w:t>
      </w:r>
      <w:r w:rsidR="00615D63">
        <w:rPr>
          <w:rFonts w:asciiTheme="majorBidi" w:hAnsiTheme="majorBidi"/>
          <w:i/>
          <w:iCs/>
          <w:color w:val="000000" w:themeColor="text1"/>
          <w:sz w:val="28"/>
          <w:szCs w:val="28"/>
        </w:rPr>
        <w:t>, CEO and CFO</w:t>
      </w:r>
      <w:r w:rsidR="004B0CEC">
        <w:rPr>
          <w:rFonts w:asciiTheme="majorBidi" w:hAnsiTheme="majorBidi"/>
          <w:i/>
          <w:iCs/>
          <w:color w:val="000000" w:themeColor="text1"/>
          <w:sz w:val="28"/>
          <w:szCs w:val="28"/>
        </w:rPr>
        <w:t xml:space="preserve"> narcissism</w:t>
      </w:r>
    </w:p>
    <w:p w14:paraId="1E0C112F" w14:textId="2076DC27" w:rsidR="002528F2" w:rsidRPr="00FC4178" w:rsidRDefault="0026049E" w:rsidP="00B42509">
      <w:pPr>
        <w:spacing w:line="480" w:lineRule="auto"/>
        <w:ind w:left="283"/>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474A18" w:rsidRPr="00474A18">
        <w:rPr>
          <w:rFonts w:asciiTheme="majorBidi" w:hAnsiTheme="majorBidi" w:cstheme="majorBidi"/>
          <w:color w:val="000000" w:themeColor="text1"/>
          <w:sz w:val="24"/>
          <w:szCs w:val="24"/>
        </w:rPr>
        <w:t>One of the key tasks of the AC chair is to serve as a liaison between the board of directors and external auditors</w:t>
      </w:r>
      <w:r w:rsidR="00615D63">
        <w:rPr>
          <w:rFonts w:asciiTheme="majorBidi" w:hAnsiTheme="majorBidi" w:cstheme="majorBidi"/>
          <w:color w:val="000000" w:themeColor="text1"/>
          <w:sz w:val="24"/>
          <w:szCs w:val="24"/>
        </w:rPr>
        <w:t>, CEO and CFO</w:t>
      </w:r>
      <w:r w:rsidR="00474A18" w:rsidRPr="00474A18">
        <w:rPr>
          <w:rFonts w:asciiTheme="majorBidi" w:hAnsiTheme="majorBidi" w:cstheme="majorBidi"/>
          <w:color w:val="000000" w:themeColor="text1"/>
          <w:sz w:val="24"/>
          <w:szCs w:val="24"/>
        </w:rPr>
        <w:t xml:space="preserve">. </w:t>
      </w:r>
      <w:r w:rsidR="006757FC">
        <w:rPr>
          <w:rFonts w:asciiTheme="majorBidi" w:hAnsiTheme="majorBidi" w:cstheme="majorBidi"/>
          <w:color w:val="000000" w:themeColor="text1"/>
          <w:sz w:val="24"/>
          <w:szCs w:val="24"/>
        </w:rPr>
        <w:t>Existing</w:t>
      </w:r>
      <w:r w:rsidR="00615D63" w:rsidRPr="00474A18">
        <w:rPr>
          <w:rFonts w:asciiTheme="majorBidi" w:hAnsiTheme="majorBidi" w:cstheme="majorBidi"/>
          <w:color w:val="000000" w:themeColor="text1"/>
          <w:sz w:val="24"/>
          <w:szCs w:val="24"/>
        </w:rPr>
        <w:t xml:space="preserve"> </w:t>
      </w:r>
      <w:r w:rsidR="00474A18" w:rsidRPr="00474A18">
        <w:rPr>
          <w:rFonts w:asciiTheme="majorBidi" w:hAnsiTheme="majorBidi" w:cstheme="majorBidi"/>
          <w:color w:val="000000" w:themeColor="text1"/>
          <w:sz w:val="24"/>
          <w:szCs w:val="24"/>
        </w:rPr>
        <w:t>research suggests that the effects of interpersonal interactions in this role may depend on the personal attributes of the auditor involved (</w:t>
      </w:r>
      <w:r w:rsidR="00474A18" w:rsidRPr="00F62069">
        <w:rPr>
          <w:rFonts w:asciiTheme="majorBidi" w:hAnsiTheme="majorBidi" w:cstheme="majorBidi"/>
          <w:color w:val="000000" w:themeColor="text1"/>
          <w:sz w:val="24"/>
          <w:szCs w:val="24"/>
        </w:rPr>
        <w:t xml:space="preserve">Nelson </w:t>
      </w:r>
      <w:r w:rsidR="00A22E2C" w:rsidRPr="00F62069">
        <w:rPr>
          <w:rFonts w:asciiTheme="majorBidi" w:hAnsiTheme="majorBidi" w:cstheme="majorBidi"/>
          <w:color w:val="000000" w:themeColor="text1"/>
          <w:sz w:val="24"/>
          <w:szCs w:val="24"/>
        </w:rPr>
        <w:t xml:space="preserve">&amp; </w:t>
      </w:r>
      <w:r w:rsidR="00474A18" w:rsidRPr="00F62069">
        <w:rPr>
          <w:rFonts w:asciiTheme="majorBidi" w:hAnsiTheme="majorBidi" w:cstheme="majorBidi"/>
          <w:color w:val="000000" w:themeColor="text1"/>
          <w:sz w:val="24"/>
          <w:szCs w:val="24"/>
        </w:rPr>
        <w:t>Tan, 2005)</w:t>
      </w:r>
      <w:r w:rsidR="00615D63">
        <w:rPr>
          <w:rFonts w:asciiTheme="majorBidi" w:hAnsiTheme="majorBidi" w:cstheme="majorBidi"/>
          <w:color w:val="000000" w:themeColor="text1"/>
          <w:sz w:val="24"/>
          <w:szCs w:val="24"/>
        </w:rPr>
        <w:t xml:space="preserve"> and other key players (CEO and CF</w:t>
      </w:r>
      <w:r w:rsidR="00615D63" w:rsidRPr="003B0BB2">
        <w:rPr>
          <w:rFonts w:asciiTheme="majorBidi" w:hAnsiTheme="majorBidi" w:cstheme="majorBidi"/>
          <w:color w:val="000000" w:themeColor="text1"/>
          <w:sz w:val="24"/>
          <w:szCs w:val="24"/>
        </w:rPr>
        <w:t>O)</w:t>
      </w:r>
      <w:r w:rsidR="00474A18" w:rsidRPr="003B0BB2">
        <w:rPr>
          <w:rFonts w:asciiTheme="majorBidi" w:hAnsiTheme="majorBidi" w:cstheme="majorBidi"/>
          <w:color w:val="000000" w:themeColor="text1"/>
          <w:sz w:val="24"/>
          <w:szCs w:val="24"/>
        </w:rPr>
        <w:t xml:space="preserve">. Therefore, </w:t>
      </w:r>
      <w:r w:rsidR="001C578A" w:rsidRPr="002A02C5">
        <w:rPr>
          <w:rFonts w:asciiTheme="majorBidi" w:hAnsiTheme="majorBidi" w:cstheme="majorBidi"/>
          <w:sz w:val="24"/>
          <w:szCs w:val="24"/>
        </w:rPr>
        <w:t xml:space="preserve">as a robustness </w:t>
      </w:r>
      <w:r w:rsidR="00474A18" w:rsidRPr="002A02C5">
        <w:rPr>
          <w:rFonts w:asciiTheme="majorBidi" w:hAnsiTheme="majorBidi" w:cstheme="majorBidi"/>
          <w:sz w:val="24"/>
          <w:szCs w:val="24"/>
        </w:rPr>
        <w:t xml:space="preserve">analysis, </w:t>
      </w:r>
      <w:r w:rsidR="00615D63" w:rsidRPr="002A02C5">
        <w:rPr>
          <w:rFonts w:asciiTheme="majorBidi" w:hAnsiTheme="majorBidi" w:cstheme="majorBidi"/>
          <w:sz w:val="24"/>
          <w:szCs w:val="24"/>
        </w:rPr>
        <w:t xml:space="preserve">we control for </w:t>
      </w:r>
      <w:r w:rsidR="001C578A" w:rsidRPr="002A02C5">
        <w:rPr>
          <w:rFonts w:asciiTheme="majorBidi" w:hAnsiTheme="majorBidi" w:cstheme="majorBidi"/>
          <w:sz w:val="24"/>
          <w:szCs w:val="24"/>
        </w:rPr>
        <w:t xml:space="preserve">the narcissism of </w:t>
      </w:r>
      <w:r w:rsidR="00615D63" w:rsidRPr="002A02C5">
        <w:rPr>
          <w:rFonts w:asciiTheme="majorBidi" w:hAnsiTheme="majorBidi" w:cstheme="majorBidi"/>
          <w:sz w:val="24"/>
          <w:szCs w:val="24"/>
        </w:rPr>
        <w:t>Auditor, CEO and CFO</w:t>
      </w:r>
      <w:r w:rsidR="001C578A" w:rsidRPr="002A02C5">
        <w:rPr>
          <w:rFonts w:asciiTheme="majorBidi" w:hAnsiTheme="majorBidi" w:cstheme="majorBidi"/>
          <w:sz w:val="24"/>
          <w:szCs w:val="24"/>
        </w:rPr>
        <w:t>.</w:t>
      </w:r>
      <w:r w:rsidR="00B42509" w:rsidRPr="002A02C5">
        <w:rPr>
          <w:rStyle w:val="FootnoteReference"/>
          <w:rFonts w:asciiTheme="majorBidi" w:hAnsiTheme="majorBidi" w:cstheme="majorBidi"/>
          <w:sz w:val="24"/>
          <w:szCs w:val="24"/>
        </w:rPr>
        <w:footnoteReference w:id="14"/>
      </w:r>
      <w:r w:rsidR="001C578A" w:rsidRPr="003B0BB2">
        <w:rPr>
          <w:rFonts w:asciiTheme="majorBidi" w:hAnsiTheme="majorBidi" w:cstheme="majorBidi"/>
          <w:color w:val="000000" w:themeColor="text1"/>
          <w:sz w:val="24"/>
          <w:szCs w:val="24"/>
        </w:rPr>
        <w:t xml:space="preserve"> The </w:t>
      </w:r>
      <w:r w:rsidR="001C578A" w:rsidRPr="003B0BB2">
        <w:rPr>
          <w:rFonts w:asciiTheme="majorBidi" w:hAnsiTheme="majorBidi" w:cstheme="majorBidi"/>
          <w:color w:val="000000" w:themeColor="text1"/>
          <w:sz w:val="24"/>
          <w:szCs w:val="24"/>
        </w:rPr>
        <w:lastRenderedPageBreak/>
        <w:t>unreported results are qualitatively consistent with our baseline findings</w:t>
      </w:r>
      <w:r w:rsidR="00D578FA" w:rsidRPr="003B0BB2">
        <w:rPr>
          <w:rFonts w:asciiTheme="majorBidi" w:hAnsiTheme="majorBidi" w:cstheme="majorBidi"/>
          <w:color w:val="000000" w:themeColor="text1"/>
          <w:sz w:val="24"/>
          <w:szCs w:val="24"/>
        </w:rPr>
        <w:t>.</w:t>
      </w:r>
    </w:p>
    <w:p w14:paraId="60DDD896" w14:textId="6410896A" w:rsidR="004E0DDE" w:rsidRDefault="00E01C5D" w:rsidP="008F7A0D">
      <w:pPr>
        <w:pStyle w:val="Heading2"/>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4E0DDE" w:rsidRPr="005E73C2">
        <w:rPr>
          <w:rFonts w:asciiTheme="majorBidi" w:hAnsiTheme="majorBidi"/>
          <w:i/>
          <w:iCs/>
          <w:color w:val="000000" w:themeColor="text1"/>
          <w:sz w:val="28"/>
          <w:szCs w:val="28"/>
        </w:rPr>
        <w:t>.</w:t>
      </w:r>
      <w:r w:rsidR="00CB1F15">
        <w:rPr>
          <w:rFonts w:asciiTheme="majorBidi" w:hAnsiTheme="majorBidi"/>
          <w:i/>
          <w:iCs/>
          <w:color w:val="000000" w:themeColor="text1"/>
          <w:sz w:val="28"/>
          <w:szCs w:val="28"/>
        </w:rPr>
        <w:t>6</w:t>
      </w:r>
      <w:r w:rsidR="001240FD">
        <w:rPr>
          <w:rFonts w:asciiTheme="majorBidi" w:hAnsiTheme="majorBidi"/>
          <w:i/>
          <w:iCs/>
          <w:color w:val="000000" w:themeColor="text1"/>
          <w:sz w:val="28"/>
          <w:szCs w:val="28"/>
        </w:rPr>
        <w:t>.</w:t>
      </w:r>
      <w:r w:rsidR="004E0DDE" w:rsidRPr="005E73C2">
        <w:rPr>
          <w:rFonts w:asciiTheme="majorBidi" w:hAnsiTheme="majorBidi"/>
          <w:i/>
          <w:iCs/>
          <w:color w:val="000000" w:themeColor="text1"/>
          <w:sz w:val="28"/>
          <w:szCs w:val="28"/>
        </w:rPr>
        <w:t xml:space="preserve"> Robustness</w:t>
      </w:r>
    </w:p>
    <w:p w14:paraId="271B368F" w14:textId="77777777" w:rsidR="002528F2" w:rsidRPr="0087365D" w:rsidRDefault="002528F2" w:rsidP="0087365D"/>
    <w:p w14:paraId="092AF539" w14:textId="5A9C8DC7" w:rsidR="002528F2" w:rsidRPr="0026049E" w:rsidRDefault="00E01C5D" w:rsidP="0026049E">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4E0DDE" w:rsidRPr="0087365D">
        <w:rPr>
          <w:rFonts w:asciiTheme="majorBidi" w:hAnsiTheme="majorBidi"/>
          <w:i/>
          <w:iCs/>
          <w:color w:val="000000" w:themeColor="text1"/>
          <w:sz w:val="28"/>
          <w:szCs w:val="28"/>
        </w:rPr>
        <w:t>.</w:t>
      </w:r>
      <w:r w:rsidR="00CB1F15" w:rsidRPr="0087365D">
        <w:rPr>
          <w:rFonts w:asciiTheme="majorBidi" w:hAnsiTheme="majorBidi"/>
          <w:i/>
          <w:iCs/>
          <w:color w:val="000000" w:themeColor="text1"/>
          <w:sz w:val="28"/>
          <w:szCs w:val="28"/>
        </w:rPr>
        <w:t>6</w:t>
      </w:r>
      <w:r w:rsidR="004E0DDE" w:rsidRPr="0087365D">
        <w:rPr>
          <w:rFonts w:asciiTheme="majorBidi" w:hAnsiTheme="majorBidi"/>
          <w:i/>
          <w:iCs/>
          <w:color w:val="000000" w:themeColor="text1"/>
          <w:sz w:val="28"/>
          <w:szCs w:val="28"/>
        </w:rPr>
        <w:t>.1</w:t>
      </w:r>
      <w:r w:rsidR="001240FD" w:rsidRPr="0087365D">
        <w:rPr>
          <w:rFonts w:asciiTheme="majorBidi" w:hAnsiTheme="majorBidi"/>
          <w:i/>
          <w:iCs/>
          <w:color w:val="000000" w:themeColor="text1"/>
          <w:sz w:val="28"/>
          <w:szCs w:val="28"/>
        </w:rPr>
        <w:t>.</w:t>
      </w:r>
      <w:r w:rsidR="004E0DDE" w:rsidRPr="0087365D">
        <w:rPr>
          <w:rFonts w:asciiTheme="majorBidi" w:hAnsiTheme="majorBidi"/>
          <w:i/>
          <w:iCs/>
          <w:color w:val="000000" w:themeColor="text1"/>
          <w:sz w:val="28"/>
          <w:szCs w:val="28"/>
        </w:rPr>
        <w:t xml:space="preserve"> Endogeneity </w:t>
      </w:r>
      <w:r w:rsidR="0066519D">
        <w:rPr>
          <w:rFonts w:asciiTheme="majorBidi" w:hAnsiTheme="majorBidi"/>
          <w:i/>
          <w:iCs/>
          <w:color w:val="000000" w:themeColor="text1"/>
          <w:sz w:val="28"/>
          <w:szCs w:val="28"/>
        </w:rPr>
        <w:t>t</w:t>
      </w:r>
      <w:r w:rsidR="004E0DDE" w:rsidRPr="0087365D">
        <w:rPr>
          <w:rFonts w:asciiTheme="majorBidi" w:hAnsiTheme="majorBidi"/>
          <w:i/>
          <w:iCs/>
          <w:color w:val="000000" w:themeColor="text1"/>
          <w:sz w:val="28"/>
          <w:szCs w:val="28"/>
        </w:rPr>
        <w:t>ests</w:t>
      </w:r>
    </w:p>
    <w:p w14:paraId="34278EB3" w14:textId="69C9BA49" w:rsidR="004E0DDE" w:rsidRPr="005E73C2" w:rsidRDefault="00D0435A" w:rsidP="00D0435A">
      <w:pPr>
        <w:spacing w:line="480" w:lineRule="auto"/>
        <w:ind w:left="284"/>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A potential concern is that narcissistic AC chairs could be drawn to certain kinds of companies, such as </w:t>
      </w:r>
      <w:r w:rsidR="00BF4BEB">
        <w:rPr>
          <w:rFonts w:asciiTheme="majorBidi" w:hAnsiTheme="majorBidi" w:cstheme="majorBidi"/>
          <w:color w:val="000000" w:themeColor="text1"/>
          <w:sz w:val="24"/>
          <w:szCs w:val="28"/>
        </w:rPr>
        <w:t xml:space="preserve">those which are </w:t>
      </w:r>
      <w:r w:rsidR="004E0DDE" w:rsidRPr="005E73C2">
        <w:rPr>
          <w:rFonts w:asciiTheme="majorBidi" w:hAnsiTheme="majorBidi" w:cstheme="majorBidi"/>
          <w:color w:val="000000" w:themeColor="text1"/>
          <w:sz w:val="24"/>
          <w:szCs w:val="28"/>
        </w:rPr>
        <w:t xml:space="preserve">poorly performing companies or whose governance practices are weak, or that such companies tend to select narcissistic AC chairs. </w:t>
      </w:r>
      <w:r w:rsidR="00543B0D">
        <w:rPr>
          <w:rFonts w:asciiTheme="majorBidi" w:hAnsiTheme="majorBidi" w:cstheme="majorBidi"/>
          <w:color w:val="000000" w:themeColor="text1"/>
          <w:sz w:val="24"/>
          <w:szCs w:val="28"/>
        </w:rPr>
        <w:t xml:space="preserve">To </w:t>
      </w:r>
      <w:r w:rsidR="00372A8E">
        <w:rPr>
          <w:rFonts w:asciiTheme="majorBidi" w:hAnsiTheme="majorBidi" w:cstheme="majorBidi"/>
          <w:color w:val="000000" w:themeColor="text1"/>
          <w:sz w:val="24"/>
          <w:szCs w:val="28"/>
        </w:rPr>
        <w:t>alleviate</w:t>
      </w:r>
      <w:r w:rsidR="00543B0D">
        <w:rPr>
          <w:rFonts w:asciiTheme="majorBidi" w:hAnsiTheme="majorBidi" w:cstheme="majorBidi"/>
          <w:color w:val="000000" w:themeColor="text1"/>
          <w:sz w:val="24"/>
          <w:szCs w:val="28"/>
        </w:rPr>
        <w:t xml:space="preserve"> </w:t>
      </w:r>
      <w:r w:rsidR="00BF4BEB">
        <w:rPr>
          <w:rFonts w:asciiTheme="majorBidi" w:hAnsiTheme="majorBidi" w:cstheme="majorBidi"/>
          <w:color w:val="000000" w:themeColor="text1"/>
          <w:sz w:val="24"/>
          <w:szCs w:val="28"/>
        </w:rPr>
        <w:t xml:space="preserve">this </w:t>
      </w:r>
      <w:r w:rsidR="00543B0D">
        <w:rPr>
          <w:rFonts w:asciiTheme="majorBidi" w:hAnsiTheme="majorBidi" w:cstheme="majorBidi"/>
          <w:color w:val="000000" w:themeColor="text1"/>
          <w:sz w:val="24"/>
          <w:szCs w:val="28"/>
        </w:rPr>
        <w:t xml:space="preserve">concern </w:t>
      </w:r>
      <w:r w:rsidR="00EC4F63">
        <w:rPr>
          <w:rFonts w:asciiTheme="majorBidi" w:hAnsiTheme="majorBidi" w:cstheme="majorBidi"/>
          <w:color w:val="000000" w:themeColor="text1"/>
          <w:sz w:val="24"/>
          <w:szCs w:val="28"/>
        </w:rPr>
        <w:t>about</w:t>
      </w:r>
      <w:r w:rsidR="00543B0D">
        <w:rPr>
          <w:rFonts w:asciiTheme="majorBidi" w:hAnsiTheme="majorBidi" w:cstheme="majorBidi"/>
          <w:color w:val="000000" w:themeColor="text1"/>
          <w:sz w:val="24"/>
          <w:szCs w:val="28"/>
        </w:rPr>
        <w:t xml:space="preserve"> </w:t>
      </w:r>
      <w:r w:rsidR="00992FEF">
        <w:rPr>
          <w:rFonts w:asciiTheme="majorBidi" w:hAnsiTheme="majorBidi" w:cstheme="majorBidi"/>
          <w:color w:val="000000" w:themeColor="text1"/>
          <w:sz w:val="24"/>
          <w:szCs w:val="28"/>
        </w:rPr>
        <w:t xml:space="preserve">potential </w:t>
      </w:r>
      <w:r w:rsidR="00543B0D">
        <w:rPr>
          <w:rFonts w:asciiTheme="majorBidi" w:hAnsiTheme="majorBidi" w:cstheme="majorBidi"/>
          <w:color w:val="000000" w:themeColor="text1"/>
          <w:sz w:val="24"/>
          <w:szCs w:val="28"/>
        </w:rPr>
        <w:t xml:space="preserve">selection </w:t>
      </w:r>
      <w:r w:rsidR="008A50F7">
        <w:rPr>
          <w:rFonts w:asciiTheme="majorBidi" w:hAnsiTheme="majorBidi" w:cstheme="majorBidi"/>
          <w:color w:val="000000" w:themeColor="text1"/>
          <w:sz w:val="24"/>
          <w:szCs w:val="28"/>
        </w:rPr>
        <w:t>bias</w:t>
      </w:r>
      <w:r w:rsidR="00BF4BEB">
        <w:rPr>
          <w:rFonts w:asciiTheme="majorBidi" w:hAnsiTheme="majorBidi" w:cstheme="majorBidi"/>
          <w:color w:val="000000" w:themeColor="text1"/>
          <w:sz w:val="24"/>
          <w:szCs w:val="28"/>
        </w:rPr>
        <w:t xml:space="preserve">, </w:t>
      </w:r>
      <w:r w:rsidR="00DC781D">
        <w:rPr>
          <w:rFonts w:asciiTheme="majorBidi" w:hAnsiTheme="majorBidi" w:cstheme="majorBidi"/>
          <w:color w:val="000000" w:themeColor="text1"/>
          <w:sz w:val="24"/>
          <w:szCs w:val="28"/>
        </w:rPr>
        <w:t xml:space="preserve">we </w:t>
      </w:r>
      <w:r w:rsidR="005D5AFB">
        <w:rPr>
          <w:rFonts w:asciiTheme="majorBidi" w:hAnsiTheme="majorBidi" w:cstheme="majorBidi"/>
          <w:color w:val="000000" w:themeColor="text1"/>
          <w:sz w:val="24"/>
          <w:szCs w:val="28"/>
        </w:rPr>
        <w:t xml:space="preserve">adopt </w:t>
      </w:r>
      <w:r w:rsidR="008A0976">
        <w:rPr>
          <w:rFonts w:asciiTheme="majorBidi" w:hAnsiTheme="majorBidi" w:cstheme="majorBidi"/>
          <w:color w:val="000000" w:themeColor="text1"/>
          <w:sz w:val="24"/>
          <w:szCs w:val="28"/>
        </w:rPr>
        <w:t>the propensity score matching (PSM)</w:t>
      </w:r>
      <w:r w:rsidR="00CC0D09">
        <w:rPr>
          <w:rFonts w:asciiTheme="majorBidi" w:hAnsiTheme="majorBidi" w:cstheme="majorBidi"/>
          <w:color w:val="000000" w:themeColor="text1"/>
          <w:sz w:val="24"/>
          <w:szCs w:val="28"/>
        </w:rPr>
        <w:t xml:space="preserve"> technique.</w:t>
      </w:r>
      <w:r w:rsidR="000C4A0B">
        <w:rPr>
          <w:rFonts w:asciiTheme="majorBidi" w:hAnsiTheme="majorBidi" w:cstheme="majorBidi"/>
          <w:color w:val="000000" w:themeColor="text1"/>
          <w:sz w:val="24"/>
          <w:szCs w:val="28"/>
        </w:rPr>
        <w:t xml:space="preserve"> Specifically, </w:t>
      </w:r>
      <w:r w:rsidR="001425C0">
        <w:rPr>
          <w:rFonts w:asciiTheme="majorBidi" w:hAnsiTheme="majorBidi" w:cstheme="majorBidi"/>
          <w:color w:val="000000" w:themeColor="text1"/>
          <w:sz w:val="24"/>
          <w:szCs w:val="28"/>
        </w:rPr>
        <w:t xml:space="preserve">we first </w:t>
      </w:r>
      <w:r w:rsidR="004F0259">
        <w:rPr>
          <w:rFonts w:asciiTheme="majorBidi" w:hAnsiTheme="majorBidi" w:cstheme="majorBidi"/>
          <w:color w:val="000000" w:themeColor="text1"/>
          <w:sz w:val="24"/>
          <w:szCs w:val="28"/>
        </w:rPr>
        <w:t>run</w:t>
      </w:r>
      <w:r w:rsidR="001425C0">
        <w:rPr>
          <w:rFonts w:asciiTheme="majorBidi" w:hAnsiTheme="majorBidi" w:cstheme="majorBidi"/>
          <w:color w:val="000000" w:themeColor="text1"/>
          <w:sz w:val="24"/>
          <w:szCs w:val="28"/>
        </w:rPr>
        <w:t xml:space="preserve"> </w:t>
      </w:r>
      <w:r w:rsidR="00BC2CC6">
        <w:rPr>
          <w:rFonts w:asciiTheme="majorBidi" w:hAnsiTheme="majorBidi" w:cstheme="majorBidi"/>
          <w:color w:val="000000" w:themeColor="text1"/>
          <w:sz w:val="24"/>
          <w:szCs w:val="28"/>
        </w:rPr>
        <w:t>a probit</w:t>
      </w:r>
      <w:r w:rsidR="004F0259">
        <w:rPr>
          <w:rFonts w:asciiTheme="majorBidi" w:hAnsiTheme="majorBidi" w:cstheme="majorBidi"/>
          <w:color w:val="000000" w:themeColor="text1"/>
          <w:sz w:val="24"/>
          <w:szCs w:val="28"/>
        </w:rPr>
        <w:t xml:space="preserve"> model to es</w:t>
      </w:r>
      <w:r w:rsidR="004917A3">
        <w:rPr>
          <w:rFonts w:asciiTheme="majorBidi" w:hAnsiTheme="majorBidi" w:cstheme="majorBidi"/>
          <w:color w:val="000000" w:themeColor="text1"/>
          <w:sz w:val="24"/>
          <w:szCs w:val="28"/>
        </w:rPr>
        <w:t xml:space="preserve">timate </w:t>
      </w:r>
      <w:r w:rsidR="00213D00">
        <w:rPr>
          <w:rFonts w:asciiTheme="majorBidi" w:hAnsiTheme="majorBidi" w:cstheme="majorBidi"/>
          <w:color w:val="000000" w:themeColor="text1"/>
          <w:sz w:val="24"/>
          <w:szCs w:val="28"/>
        </w:rPr>
        <w:t xml:space="preserve">the probability </w:t>
      </w:r>
      <w:r w:rsidR="00BF4BEB">
        <w:rPr>
          <w:rFonts w:asciiTheme="majorBidi" w:hAnsiTheme="majorBidi" w:cstheme="majorBidi"/>
          <w:color w:val="000000" w:themeColor="text1"/>
          <w:sz w:val="24"/>
          <w:szCs w:val="28"/>
        </w:rPr>
        <w:t xml:space="preserve">of a </w:t>
      </w:r>
      <w:r w:rsidR="00213D00">
        <w:rPr>
          <w:rFonts w:asciiTheme="majorBidi" w:hAnsiTheme="majorBidi" w:cstheme="majorBidi"/>
          <w:color w:val="000000" w:themeColor="text1"/>
          <w:sz w:val="24"/>
          <w:szCs w:val="28"/>
        </w:rPr>
        <w:t xml:space="preserve">firm </w:t>
      </w:r>
      <w:r w:rsidR="003A0B09">
        <w:rPr>
          <w:rFonts w:asciiTheme="majorBidi" w:hAnsiTheme="majorBidi" w:cstheme="majorBidi"/>
          <w:color w:val="000000" w:themeColor="text1"/>
          <w:sz w:val="24"/>
          <w:szCs w:val="28"/>
        </w:rPr>
        <w:t>select</w:t>
      </w:r>
      <w:r w:rsidR="00BF4BEB">
        <w:rPr>
          <w:rFonts w:asciiTheme="majorBidi" w:hAnsiTheme="majorBidi" w:cstheme="majorBidi"/>
          <w:color w:val="000000" w:themeColor="text1"/>
          <w:sz w:val="24"/>
          <w:szCs w:val="28"/>
        </w:rPr>
        <w:t>ing</w:t>
      </w:r>
      <w:r w:rsidR="00213D00">
        <w:rPr>
          <w:rFonts w:asciiTheme="majorBidi" w:hAnsiTheme="majorBidi" w:cstheme="majorBidi"/>
          <w:color w:val="000000" w:themeColor="text1"/>
          <w:sz w:val="24"/>
          <w:szCs w:val="28"/>
        </w:rPr>
        <w:t xml:space="preserve"> a</w:t>
      </w:r>
      <w:r w:rsidR="00BF4BEB">
        <w:rPr>
          <w:rFonts w:asciiTheme="majorBidi" w:hAnsiTheme="majorBidi" w:cstheme="majorBidi"/>
          <w:color w:val="000000" w:themeColor="text1"/>
          <w:sz w:val="24"/>
          <w:szCs w:val="28"/>
        </w:rPr>
        <w:t>n</w:t>
      </w:r>
      <w:r w:rsidR="00213D00">
        <w:rPr>
          <w:rFonts w:asciiTheme="majorBidi" w:hAnsiTheme="majorBidi" w:cstheme="majorBidi"/>
          <w:color w:val="000000" w:themeColor="text1"/>
          <w:sz w:val="24"/>
          <w:szCs w:val="28"/>
        </w:rPr>
        <w:t xml:space="preserve"> </w:t>
      </w:r>
      <w:r w:rsidR="00804F57">
        <w:rPr>
          <w:rFonts w:asciiTheme="majorBidi" w:hAnsiTheme="majorBidi" w:cstheme="majorBidi"/>
          <w:color w:val="000000" w:themeColor="text1"/>
          <w:sz w:val="24"/>
          <w:szCs w:val="28"/>
        </w:rPr>
        <w:t>AC chair</w:t>
      </w:r>
      <w:r w:rsidR="00BF4BEB" w:rsidRPr="00BF4BEB">
        <w:rPr>
          <w:rFonts w:asciiTheme="majorBidi" w:hAnsiTheme="majorBidi" w:cstheme="majorBidi"/>
          <w:color w:val="000000" w:themeColor="text1"/>
          <w:sz w:val="24"/>
          <w:szCs w:val="28"/>
        </w:rPr>
        <w:t xml:space="preserve"> </w:t>
      </w:r>
      <w:r w:rsidR="00BF4BEB">
        <w:rPr>
          <w:rFonts w:asciiTheme="majorBidi" w:hAnsiTheme="majorBidi" w:cstheme="majorBidi"/>
          <w:color w:val="000000" w:themeColor="text1"/>
          <w:sz w:val="24"/>
          <w:szCs w:val="28"/>
        </w:rPr>
        <w:t>with high narcissism</w:t>
      </w:r>
      <w:r w:rsidR="008357F2">
        <w:rPr>
          <w:rFonts w:asciiTheme="majorBidi" w:hAnsiTheme="majorBidi" w:cstheme="majorBidi"/>
          <w:color w:val="000000" w:themeColor="text1"/>
          <w:sz w:val="24"/>
          <w:szCs w:val="28"/>
        </w:rPr>
        <w:t xml:space="preserve">, </w:t>
      </w:r>
      <w:r w:rsidR="00721317">
        <w:rPr>
          <w:rFonts w:asciiTheme="majorBidi" w:hAnsiTheme="majorBidi" w:cstheme="majorBidi"/>
          <w:color w:val="000000" w:themeColor="text1"/>
          <w:sz w:val="24"/>
          <w:szCs w:val="28"/>
        </w:rPr>
        <w:t xml:space="preserve">captured by </w:t>
      </w:r>
      <w:r w:rsidR="00C969B6">
        <w:rPr>
          <w:rFonts w:asciiTheme="majorBidi" w:hAnsiTheme="majorBidi" w:cstheme="majorBidi"/>
          <w:color w:val="000000" w:themeColor="text1"/>
          <w:sz w:val="24"/>
          <w:szCs w:val="28"/>
        </w:rPr>
        <w:t xml:space="preserve">an indicator variable indicating </w:t>
      </w:r>
      <w:r w:rsidR="00721317">
        <w:rPr>
          <w:rFonts w:asciiTheme="majorBidi" w:hAnsiTheme="majorBidi" w:cstheme="majorBidi"/>
          <w:color w:val="000000" w:themeColor="text1"/>
          <w:sz w:val="24"/>
          <w:szCs w:val="28"/>
        </w:rPr>
        <w:t>whether the</w:t>
      </w:r>
      <w:r w:rsidR="00BF4BEB">
        <w:rPr>
          <w:rFonts w:asciiTheme="majorBidi" w:hAnsiTheme="majorBidi" w:cstheme="majorBidi"/>
          <w:color w:val="000000" w:themeColor="text1"/>
          <w:sz w:val="24"/>
          <w:szCs w:val="28"/>
        </w:rPr>
        <w:t xml:space="preserve">ir </w:t>
      </w:r>
      <w:r w:rsidR="00721317">
        <w:rPr>
          <w:rFonts w:asciiTheme="majorBidi" w:hAnsiTheme="majorBidi" w:cstheme="majorBidi"/>
          <w:color w:val="000000" w:themeColor="text1"/>
          <w:sz w:val="24"/>
          <w:szCs w:val="28"/>
        </w:rPr>
        <w:t>signature size is above the sample median,</w:t>
      </w:r>
      <w:r w:rsidR="00CC0D09">
        <w:rPr>
          <w:rFonts w:asciiTheme="majorBidi" w:hAnsiTheme="majorBidi" w:cstheme="majorBidi"/>
          <w:color w:val="000000" w:themeColor="text1"/>
          <w:sz w:val="24"/>
          <w:szCs w:val="28"/>
        </w:rPr>
        <w:t xml:space="preserve"> </w:t>
      </w:r>
      <w:r w:rsidR="00DD7A1E">
        <w:rPr>
          <w:rFonts w:asciiTheme="majorBidi" w:hAnsiTheme="majorBidi" w:cstheme="majorBidi"/>
          <w:color w:val="000000" w:themeColor="text1"/>
          <w:sz w:val="24"/>
          <w:szCs w:val="28"/>
        </w:rPr>
        <w:t xml:space="preserve">using </w:t>
      </w:r>
      <w:r w:rsidR="00EA1B65">
        <w:rPr>
          <w:rFonts w:asciiTheme="majorBidi" w:hAnsiTheme="majorBidi" w:cstheme="majorBidi"/>
          <w:color w:val="000000" w:themeColor="text1"/>
          <w:sz w:val="24"/>
          <w:szCs w:val="28"/>
        </w:rPr>
        <w:t xml:space="preserve">the full sample </w:t>
      </w:r>
      <w:r w:rsidR="003116EF">
        <w:rPr>
          <w:rFonts w:asciiTheme="majorBidi" w:hAnsiTheme="majorBidi" w:cstheme="majorBidi"/>
          <w:color w:val="000000" w:themeColor="text1"/>
          <w:sz w:val="24"/>
          <w:szCs w:val="28"/>
        </w:rPr>
        <w:t xml:space="preserve">and </w:t>
      </w:r>
      <w:r w:rsidR="00BF4BEB">
        <w:rPr>
          <w:rFonts w:asciiTheme="majorBidi" w:hAnsiTheme="majorBidi" w:cstheme="majorBidi"/>
          <w:color w:val="000000" w:themeColor="text1"/>
          <w:sz w:val="24"/>
          <w:szCs w:val="28"/>
        </w:rPr>
        <w:t xml:space="preserve">storing </w:t>
      </w:r>
      <w:r w:rsidR="004F7AB3">
        <w:rPr>
          <w:rFonts w:asciiTheme="majorBidi" w:hAnsiTheme="majorBidi" w:cstheme="majorBidi"/>
          <w:color w:val="000000" w:themeColor="text1"/>
          <w:sz w:val="24"/>
          <w:szCs w:val="28"/>
        </w:rPr>
        <w:t xml:space="preserve">the </w:t>
      </w:r>
      <w:r w:rsidR="00216AEC">
        <w:rPr>
          <w:rFonts w:asciiTheme="majorBidi" w:hAnsiTheme="majorBidi" w:cstheme="majorBidi"/>
          <w:color w:val="000000" w:themeColor="text1"/>
          <w:sz w:val="24"/>
          <w:szCs w:val="28"/>
        </w:rPr>
        <w:t>propen</w:t>
      </w:r>
      <w:r w:rsidR="00216AEC" w:rsidRPr="003B0BB2">
        <w:rPr>
          <w:rFonts w:asciiTheme="majorBidi" w:hAnsiTheme="majorBidi" w:cstheme="majorBidi"/>
          <w:color w:val="000000" w:themeColor="text1"/>
          <w:sz w:val="24"/>
          <w:szCs w:val="28"/>
        </w:rPr>
        <w:t xml:space="preserve">sity </w:t>
      </w:r>
      <w:r w:rsidR="00275677" w:rsidRPr="003B0BB2">
        <w:rPr>
          <w:rFonts w:asciiTheme="majorBidi" w:hAnsiTheme="majorBidi" w:cstheme="majorBidi"/>
          <w:color w:val="000000" w:themeColor="text1"/>
          <w:sz w:val="24"/>
          <w:szCs w:val="28"/>
        </w:rPr>
        <w:t>sore for</w:t>
      </w:r>
      <w:r w:rsidR="007D0E2F" w:rsidRPr="003B0BB2">
        <w:rPr>
          <w:rFonts w:asciiTheme="majorBidi" w:hAnsiTheme="majorBidi" w:cstheme="majorBidi"/>
          <w:color w:val="000000" w:themeColor="text1"/>
          <w:sz w:val="24"/>
          <w:szCs w:val="28"/>
        </w:rPr>
        <w:t xml:space="preserve"> each </w:t>
      </w:r>
      <w:r w:rsidR="0061762C" w:rsidRPr="003B0BB2">
        <w:rPr>
          <w:rFonts w:asciiTheme="majorBidi" w:hAnsiTheme="majorBidi" w:cstheme="majorBidi"/>
          <w:color w:val="000000" w:themeColor="text1"/>
          <w:sz w:val="24"/>
          <w:szCs w:val="28"/>
        </w:rPr>
        <w:t xml:space="preserve">observation. </w:t>
      </w:r>
      <w:r w:rsidR="00233B3A" w:rsidRPr="003B0BB2">
        <w:rPr>
          <w:rFonts w:asciiTheme="majorBidi" w:hAnsiTheme="majorBidi" w:cstheme="majorBidi"/>
          <w:color w:val="000000" w:themeColor="text1"/>
          <w:sz w:val="24"/>
          <w:szCs w:val="28"/>
        </w:rPr>
        <w:t xml:space="preserve">Then, </w:t>
      </w:r>
      <w:r w:rsidR="006D0CE8" w:rsidRPr="003B0BB2">
        <w:rPr>
          <w:rFonts w:asciiTheme="majorBidi" w:hAnsiTheme="majorBidi" w:cstheme="majorBidi"/>
          <w:color w:val="000000" w:themeColor="text1"/>
          <w:sz w:val="24"/>
          <w:szCs w:val="28"/>
        </w:rPr>
        <w:t xml:space="preserve">based on </w:t>
      </w:r>
      <w:r w:rsidR="00BF4BEB" w:rsidRPr="003B0BB2">
        <w:rPr>
          <w:rFonts w:asciiTheme="majorBidi" w:hAnsiTheme="majorBidi" w:cstheme="majorBidi"/>
          <w:color w:val="000000" w:themeColor="text1"/>
          <w:sz w:val="24"/>
          <w:szCs w:val="28"/>
        </w:rPr>
        <w:t xml:space="preserve">the </w:t>
      </w:r>
      <w:r w:rsidR="006D0CE8" w:rsidRPr="003B0BB2">
        <w:rPr>
          <w:rFonts w:asciiTheme="majorBidi" w:hAnsiTheme="majorBidi" w:cstheme="majorBidi"/>
          <w:color w:val="000000" w:themeColor="text1"/>
          <w:sz w:val="24"/>
          <w:szCs w:val="28"/>
        </w:rPr>
        <w:t xml:space="preserve">array of variables employed in Equation </w:t>
      </w:r>
      <w:r w:rsidR="004C71C1" w:rsidRPr="003B0BB2">
        <w:rPr>
          <w:rFonts w:asciiTheme="majorBidi" w:hAnsiTheme="majorBidi" w:cstheme="majorBidi"/>
          <w:color w:val="000000" w:themeColor="text1"/>
          <w:sz w:val="24"/>
          <w:szCs w:val="28"/>
        </w:rPr>
        <w:t xml:space="preserve">(1), </w:t>
      </w:r>
      <w:r w:rsidR="00233B3A" w:rsidRPr="003B0BB2">
        <w:rPr>
          <w:rFonts w:asciiTheme="majorBidi" w:hAnsiTheme="majorBidi" w:cstheme="majorBidi"/>
          <w:color w:val="000000" w:themeColor="text1"/>
          <w:sz w:val="24"/>
          <w:szCs w:val="28"/>
        </w:rPr>
        <w:t>we m</w:t>
      </w:r>
      <w:r w:rsidR="00B40D84" w:rsidRPr="003B0BB2">
        <w:rPr>
          <w:rFonts w:asciiTheme="majorBidi" w:hAnsiTheme="majorBidi" w:cstheme="majorBidi"/>
          <w:color w:val="000000" w:themeColor="text1"/>
          <w:sz w:val="24"/>
          <w:szCs w:val="28"/>
        </w:rPr>
        <w:t xml:space="preserve">atch </w:t>
      </w:r>
      <w:r w:rsidR="000E2FFC" w:rsidRPr="003B0BB2">
        <w:rPr>
          <w:rFonts w:asciiTheme="majorBidi" w:hAnsiTheme="majorBidi" w:cstheme="majorBidi"/>
          <w:color w:val="000000" w:themeColor="text1"/>
          <w:sz w:val="24"/>
          <w:szCs w:val="28"/>
        </w:rPr>
        <w:t xml:space="preserve">a </w:t>
      </w:r>
      <w:r w:rsidR="003E62FB" w:rsidRPr="003B0BB2">
        <w:rPr>
          <w:rFonts w:asciiTheme="majorBidi" w:hAnsiTheme="majorBidi" w:cstheme="majorBidi"/>
          <w:color w:val="000000" w:themeColor="text1"/>
          <w:sz w:val="24"/>
          <w:szCs w:val="28"/>
        </w:rPr>
        <w:t xml:space="preserve">firm with </w:t>
      </w:r>
      <w:r w:rsidR="00BF4BEB" w:rsidRPr="003B0BB2">
        <w:rPr>
          <w:rFonts w:asciiTheme="majorBidi" w:hAnsiTheme="majorBidi" w:cstheme="majorBidi"/>
          <w:color w:val="000000" w:themeColor="text1"/>
          <w:sz w:val="24"/>
          <w:szCs w:val="28"/>
        </w:rPr>
        <w:t xml:space="preserve">a </w:t>
      </w:r>
      <w:r w:rsidR="003E62FB" w:rsidRPr="003B0BB2">
        <w:rPr>
          <w:rFonts w:asciiTheme="majorBidi" w:hAnsiTheme="majorBidi" w:cstheme="majorBidi"/>
          <w:color w:val="000000" w:themeColor="text1"/>
          <w:sz w:val="24"/>
          <w:szCs w:val="28"/>
        </w:rPr>
        <w:t>high</w:t>
      </w:r>
      <w:r w:rsidR="00BF4BEB" w:rsidRPr="003B0BB2">
        <w:rPr>
          <w:rFonts w:asciiTheme="majorBidi" w:hAnsiTheme="majorBidi" w:cstheme="majorBidi"/>
          <w:color w:val="000000" w:themeColor="text1"/>
          <w:sz w:val="24"/>
          <w:szCs w:val="28"/>
        </w:rPr>
        <w:t>-</w:t>
      </w:r>
      <w:r w:rsidR="003E62FB" w:rsidRPr="003B0BB2">
        <w:rPr>
          <w:rFonts w:asciiTheme="majorBidi" w:hAnsiTheme="majorBidi" w:cstheme="majorBidi"/>
          <w:color w:val="000000" w:themeColor="text1"/>
          <w:sz w:val="24"/>
          <w:szCs w:val="28"/>
        </w:rPr>
        <w:t xml:space="preserve">narcissism AC chair </w:t>
      </w:r>
      <w:r w:rsidR="001E7205" w:rsidRPr="003B0BB2">
        <w:rPr>
          <w:rFonts w:asciiTheme="majorBidi" w:hAnsiTheme="majorBidi" w:cstheme="majorBidi"/>
          <w:color w:val="000000" w:themeColor="text1"/>
          <w:sz w:val="24"/>
          <w:szCs w:val="28"/>
        </w:rPr>
        <w:t xml:space="preserve">to a firm with </w:t>
      </w:r>
      <w:r w:rsidR="00BF4BEB" w:rsidRPr="003B0BB2">
        <w:rPr>
          <w:rFonts w:asciiTheme="majorBidi" w:hAnsiTheme="majorBidi" w:cstheme="majorBidi"/>
          <w:color w:val="000000" w:themeColor="text1"/>
          <w:sz w:val="24"/>
          <w:szCs w:val="28"/>
        </w:rPr>
        <w:t xml:space="preserve">a </w:t>
      </w:r>
      <w:r w:rsidR="001E7205" w:rsidRPr="003B0BB2">
        <w:rPr>
          <w:rFonts w:asciiTheme="majorBidi" w:hAnsiTheme="majorBidi" w:cstheme="majorBidi"/>
          <w:color w:val="000000" w:themeColor="text1"/>
          <w:sz w:val="24"/>
          <w:szCs w:val="28"/>
        </w:rPr>
        <w:t>low</w:t>
      </w:r>
      <w:r w:rsidR="00BF4BEB" w:rsidRPr="003B0BB2">
        <w:rPr>
          <w:rFonts w:asciiTheme="majorBidi" w:hAnsiTheme="majorBidi" w:cstheme="majorBidi"/>
          <w:color w:val="000000" w:themeColor="text1"/>
          <w:sz w:val="24"/>
          <w:szCs w:val="28"/>
        </w:rPr>
        <w:t>-</w:t>
      </w:r>
      <w:r w:rsidR="001E7205" w:rsidRPr="003B0BB2">
        <w:rPr>
          <w:rFonts w:asciiTheme="majorBidi" w:hAnsiTheme="majorBidi" w:cstheme="majorBidi"/>
          <w:color w:val="000000" w:themeColor="text1"/>
          <w:sz w:val="24"/>
          <w:szCs w:val="28"/>
        </w:rPr>
        <w:t xml:space="preserve">narcissism AC chair </w:t>
      </w:r>
      <w:r w:rsidR="00AD0524" w:rsidRPr="003B0BB2">
        <w:rPr>
          <w:rFonts w:asciiTheme="majorBidi" w:hAnsiTheme="majorBidi" w:cstheme="majorBidi"/>
          <w:color w:val="000000" w:themeColor="text1"/>
          <w:sz w:val="24"/>
          <w:szCs w:val="28"/>
        </w:rPr>
        <w:t xml:space="preserve">using the nearest </w:t>
      </w:r>
      <w:r w:rsidR="000257C7" w:rsidRPr="003B0BB2">
        <w:rPr>
          <w:rFonts w:asciiTheme="majorBidi" w:hAnsiTheme="majorBidi" w:cstheme="majorBidi"/>
          <w:color w:val="000000" w:themeColor="text1"/>
          <w:sz w:val="24"/>
          <w:szCs w:val="28"/>
        </w:rPr>
        <w:t>neighbor</w:t>
      </w:r>
      <w:r w:rsidR="00B46672" w:rsidRPr="003B0BB2">
        <w:rPr>
          <w:rFonts w:asciiTheme="majorBidi" w:hAnsiTheme="majorBidi" w:cstheme="majorBidi"/>
          <w:color w:val="000000" w:themeColor="text1"/>
          <w:sz w:val="24"/>
          <w:szCs w:val="28"/>
        </w:rPr>
        <w:t xml:space="preserve"> matching technique and </w:t>
      </w:r>
      <w:r w:rsidR="00565F1C" w:rsidRPr="003B0BB2">
        <w:rPr>
          <w:rFonts w:asciiTheme="majorBidi" w:hAnsiTheme="majorBidi" w:cstheme="majorBidi"/>
          <w:color w:val="000000" w:themeColor="text1"/>
          <w:sz w:val="24"/>
          <w:szCs w:val="28"/>
        </w:rPr>
        <w:t>a caliper</w:t>
      </w:r>
      <w:r w:rsidR="00565F1C" w:rsidRPr="003B0BB2" w:rsidDel="002707E3">
        <w:rPr>
          <w:rFonts w:asciiTheme="majorBidi" w:hAnsiTheme="majorBidi" w:cstheme="majorBidi"/>
          <w:color w:val="000000" w:themeColor="text1"/>
          <w:sz w:val="24"/>
          <w:szCs w:val="28"/>
        </w:rPr>
        <w:t xml:space="preserve"> </w:t>
      </w:r>
      <w:r w:rsidR="00684AC3" w:rsidRPr="003B0BB2">
        <w:rPr>
          <w:rFonts w:asciiTheme="majorBidi" w:hAnsiTheme="majorBidi" w:cstheme="majorBidi"/>
          <w:color w:val="000000" w:themeColor="text1"/>
          <w:sz w:val="24"/>
          <w:szCs w:val="28"/>
        </w:rPr>
        <w:t>value of 0.1%</w:t>
      </w:r>
      <w:r w:rsidR="004C71C1" w:rsidRPr="003B0BB2">
        <w:rPr>
          <w:rFonts w:asciiTheme="majorBidi" w:hAnsiTheme="majorBidi" w:cstheme="majorBidi"/>
          <w:color w:val="000000" w:themeColor="text1"/>
          <w:sz w:val="24"/>
          <w:szCs w:val="28"/>
        </w:rPr>
        <w:t>.</w:t>
      </w:r>
      <w:r w:rsidR="003B0BB2" w:rsidRPr="003B0BB2">
        <w:rPr>
          <w:rStyle w:val="FootnoteReference"/>
          <w:rFonts w:asciiTheme="majorBidi" w:hAnsiTheme="majorBidi" w:cstheme="majorBidi"/>
          <w:color w:val="000000" w:themeColor="text1"/>
          <w:sz w:val="24"/>
          <w:szCs w:val="28"/>
        </w:rPr>
        <w:footnoteReference w:id="15"/>
      </w:r>
      <w:r w:rsidR="00C57F17" w:rsidRPr="003B0BB2">
        <w:rPr>
          <w:rFonts w:asciiTheme="majorBidi" w:hAnsiTheme="majorBidi" w:cstheme="majorBidi"/>
          <w:color w:val="000000" w:themeColor="text1"/>
          <w:sz w:val="24"/>
          <w:szCs w:val="28"/>
        </w:rPr>
        <w:t xml:space="preserve"> </w:t>
      </w:r>
      <w:r w:rsidR="008B4DBC" w:rsidRPr="003B0BB2">
        <w:rPr>
          <w:rFonts w:asciiTheme="majorBidi" w:hAnsiTheme="majorBidi" w:cstheme="majorBidi"/>
          <w:color w:val="000000" w:themeColor="text1"/>
          <w:sz w:val="24"/>
          <w:szCs w:val="28"/>
        </w:rPr>
        <w:t>We</w:t>
      </w:r>
      <w:r w:rsidR="008D3BAB" w:rsidRPr="003B0BB2">
        <w:rPr>
          <w:rFonts w:asciiTheme="majorBidi" w:hAnsiTheme="majorBidi" w:cstheme="majorBidi"/>
          <w:color w:val="000000" w:themeColor="text1"/>
          <w:sz w:val="24"/>
          <w:szCs w:val="28"/>
        </w:rPr>
        <w:t xml:space="preserve"> then re-run </w:t>
      </w:r>
      <w:r w:rsidR="00950A20" w:rsidRPr="003B0BB2">
        <w:rPr>
          <w:rFonts w:asciiTheme="majorBidi" w:hAnsiTheme="majorBidi" w:cstheme="majorBidi"/>
          <w:color w:val="000000" w:themeColor="text1"/>
          <w:sz w:val="24"/>
          <w:szCs w:val="28"/>
        </w:rPr>
        <w:t>Equ</w:t>
      </w:r>
      <w:r w:rsidR="00950A20">
        <w:rPr>
          <w:rFonts w:asciiTheme="majorBidi" w:hAnsiTheme="majorBidi" w:cstheme="majorBidi"/>
          <w:color w:val="000000" w:themeColor="text1"/>
          <w:sz w:val="24"/>
          <w:szCs w:val="28"/>
        </w:rPr>
        <w:t>ation</w:t>
      </w:r>
      <w:r w:rsidR="008D3BAB">
        <w:rPr>
          <w:rFonts w:asciiTheme="majorBidi" w:hAnsiTheme="majorBidi" w:cstheme="majorBidi"/>
          <w:color w:val="000000" w:themeColor="text1"/>
          <w:sz w:val="24"/>
          <w:szCs w:val="28"/>
        </w:rPr>
        <w:t xml:space="preserve"> </w:t>
      </w:r>
      <w:r w:rsidR="00064088">
        <w:rPr>
          <w:rFonts w:asciiTheme="majorBidi" w:hAnsiTheme="majorBidi" w:cstheme="majorBidi"/>
          <w:color w:val="000000" w:themeColor="text1"/>
          <w:sz w:val="24"/>
          <w:szCs w:val="28"/>
        </w:rPr>
        <w:t>(1)</w:t>
      </w:r>
      <w:r w:rsidR="00B76A98">
        <w:rPr>
          <w:rFonts w:asciiTheme="majorBidi" w:hAnsiTheme="majorBidi" w:cstheme="majorBidi"/>
          <w:color w:val="000000" w:themeColor="text1"/>
          <w:sz w:val="24"/>
          <w:szCs w:val="28"/>
        </w:rPr>
        <w:t xml:space="preserve"> based on the PSM sam</w:t>
      </w:r>
      <w:r w:rsidR="00332B83">
        <w:rPr>
          <w:rFonts w:asciiTheme="majorBidi" w:hAnsiTheme="majorBidi" w:cstheme="majorBidi"/>
          <w:color w:val="000000" w:themeColor="text1"/>
          <w:sz w:val="24"/>
          <w:szCs w:val="28"/>
        </w:rPr>
        <w:t xml:space="preserve">ple to examine </w:t>
      </w:r>
      <w:r w:rsidR="00723833">
        <w:rPr>
          <w:rFonts w:asciiTheme="majorBidi" w:hAnsiTheme="majorBidi" w:cstheme="majorBidi"/>
          <w:color w:val="000000" w:themeColor="text1"/>
          <w:sz w:val="24"/>
          <w:szCs w:val="28"/>
        </w:rPr>
        <w:t xml:space="preserve">the robustness of our main </w:t>
      </w:r>
      <w:r w:rsidR="006B3E12">
        <w:rPr>
          <w:rFonts w:asciiTheme="majorBidi" w:hAnsiTheme="majorBidi" w:cstheme="majorBidi"/>
          <w:color w:val="000000" w:themeColor="text1"/>
          <w:sz w:val="24"/>
          <w:szCs w:val="28"/>
        </w:rPr>
        <w:t>results</w:t>
      </w:r>
      <w:r w:rsidR="00723833">
        <w:rPr>
          <w:rFonts w:asciiTheme="majorBidi" w:hAnsiTheme="majorBidi" w:cstheme="majorBidi"/>
          <w:color w:val="000000" w:themeColor="text1"/>
          <w:sz w:val="24"/>
          <w:szCs w:val="28"/>
        </w:rPr>
        <w:t>.</w:t>
      </w:r>
      <w:r w:rsidR="00684AC3">
        <w:rPr>
          <w:rFonts w:asciiTheme="majorBidi" w:hAnsiTheme="majorBidi" w:cstheme="majorBidi"/>
          <w:color w:val="000000" w:themeColor="text1"/>
          <w:sz w:val="24"/>
          <w:szCs w:val="28"/>
        </w:rPr>
        <w:t xml:space="preserve"> </w:t>
      </w:r>
      <w:r w:rsidR="005E1BDB">
        <w:rPr>
          <w:rFonts w:asciiTheme="majorBidi" w:hAnsiTheme="majorBidi" w:cstheme="majorBidi"/>
          <w:color w:val="000000" w:themeColor="text1"/>
          <w:sz w:val="24"/>
          <w:szCs w:val="28"/>
        </w:rPr>
        <w:t xml:space="preserve">The results are </w:t>
      </w:r>
      <w:r w:rsidR="005414BC">
        <w:rPr>
          <w:rFonts w:asciiTheme="majorBidi" w:hAnsiTheme="majorBidi" w:cstheme="majorBidi"/>
          <w:color w:val="000000" w:themeColor="text1"/>
          <w:sz w:val="24"/>
          <w:szCs w:val="28"/>
        </w:rPr>
        <w:t xml:space="preserve">reported in </w:t>
      </w:r>
      <w:r>
        <w:rPr>
          <w:rFonts w:asciiTheme="majorBidi" w:hAnsiTheme="majorBidi" w:cstheme="majorBidi"/>
          <w:color w:val="000000" w:themeColor="text1"/>
          <w:sz w:val="24"/>
          <w:szCs w:val="28"/>
        </w:rPr>
        <w:t xml:space="preserve">Column (1) of </w:t>
      </w:r>
      <w:r w:rsidR="005414BC">
        <w:rPr>
          <w:rFonts w:asciiTheme="majorBidi" w:hAnsiTheme="majorBidi" w:cstheme="majorBidi"/>
          <w:color w:val="000000" w:themeColor="text1"/>
          <w:sz w:val="24"/>
          <w:szCs w:val="28"/>
        </w:rPr>
        <w:t>Table</w:t>
      </w:r>
      <w:r w:rsidR="006F449E">
        <w:rPr>
          <w:rFonts w:asciiTheme="majorBidi" w:hAnsiTheme="majorBidi" w:cstheme="majorBidi"/>
          <w:color w:val="000000" w:themeColor="text1"/>
          <w:sz w:val="24"/>
          <w:szCs w:val="28"/>
        </w:rPr>
        <w:t xml:space="preserve"> </w:t>
      </w:r>
      <w:r>
        <w:rPr>
          <w:rFonts w:asciiTheme="majorBidi" w:hAnsiTheme="majorBidi" w:cstheme="majorBidi"/>
          <w:color w:val="000000" w:themeColor="text1"/>
          <w:sz w:val="24"/>
          <w:szCs w:val="28"/>
        </w:rPr>
        <w:t>8</w:t>
      </w:r>
      <w:r w:rsidR="00596AF7">
        <w:rPr>
          <w:rFonts w:asciiTheme="majorBidi" w:hAnsiTheme="majorBidi" w:cstheme="majorBidi"/>
          <w:color w:val="000000" w:themeColor="text1"/>
          <w:sz w:val="24"/>
          <w:szCs w:val="28"/>
        </w:rPr>
        <w:t>. The estimate o</w:t>
      </w:r>
      <w:r w:rsidR="000647F6">
        <w:rPr>
          <w:rFonts w:asciiTheme="majorBidi" w:hAnsiTheme="majorBidi" w:cstheme="majorBidi"/>
          <w:color w:val="000000" w:themeColor="text1"/>
          <w:sz w:val="24"/>
          <w:szCs w:val="28"/>
        </w:rPr>
        <w:t xml:space="preserve">n </w:t>
      </w:r>
      <w:r w:rsidR="000647F6" w:rsidRPr="00D41E9B">
        <w:rPr>
          <w:rFonts w:asciiTheme="majorBidi" w:hAnsiTheme="majorBidi" w:cstheme="majorBidi"/>
          <w:i/>
          <w:iCs/>
          <w:color w:val="000000" w:themeColor="text1"/>
          <w:sz w:val="24"/>
          <w:szCs w:val="28"/>
        </w:rPr>
        <w:t>EXCLUSION×</w:t>
      </w:r>
      <w:r w:rsidR="00784952">
        <w:rPr>
          <w:rFonts w:asciiTheme="majorBidi" w:hAnsiTheme="majorBidi" w:cstheme="majorBidi"/>
          <w:i/>
          <w:iCs/>
          <w:color w:val="000000" w:themeColor="text1"/>
          <w:sz w:val="24"/>
          <w:szCs w:val="28"/>
        </w:rPr>
        <w:t>NARCIS</w:t>
      </w:r>
      <w:r w:rsidR="000647F6" w:rsidRPr="000647F6">
        <w:rPr>
          <w:rFonts w:asciiTheme="majorBidi" w:hAnsiTheme="majorBidi" w:cstheme="majorBidi"/>
          <w:color w:val="000000" w:themeColor="text1"/>
          <w:sz w:val="24"/>
          <w:szCs w:val="28"/>
        </w:rPr>
        <w:t xml:space="preserve"> </w:t>
      </w:r>
      <w:r w:rsidR="000647F6">
        <w:rPr>
          <w:rFonts w:asciiTheme="majorBidi" w:hAnsiTheme="majorBidi" w:cstheme="majorBidi"/>
          <w:color w:val="000000" w:themeColor="text1"/>
          <w:sz w:val="24"/>
          <w:szCs w:val="28"/>
        </w:rPr>
        <w:t>is negative and significant</w:t>
      </w:r>
      <w:r w:rsidR="000933C1">
        <w:rPr>
          <w:rFonts w:asciiTheme="majorBidi" w:hAnsiTheme="majorBidi" w:cstheme="majorBidi"/>
          <w:color w:val="000000" w:themeColor="text1"/>
          <w:sz w:val="24"/>
          <w:szCs w:val="28"/>
        </w:rPr>
        <w:t xml:space="preserve">, </w:t>
      </w:r>
      <w:r w:rsidR="001E2E7C">
        <w:rPr>
          <w:rFonts w:asciiTheme="majorBidi" w:hAnsiTheme="majorBidi" w:cstheme="majorBidi"/>
          <w:color w:val="000000" w:themeColor="text1"/>
          <w:sz w:val="24"/>
          <w:szCs w:val="28"/>
        </w:rPr>
        <w:t xml:space="preserve">reaffirming </w:t>
      </w:r>
      <w:r w:rsidR="0024776A">
        <w:rPr>
          <w:rFonts w:asciiTheme="majorBidi" w:hAnsiTheme="majorBidi" w:cstheme="majorBidi"/>
          <w:color w:val="000000" w:themeColor="text1"/>
          <w:sz w:val="24"/>
          <w:szCs w:val="28"/>
        </w:rPr>
        <w:t xml:space="preserve">our </w:t>
      </w:r>
      <w:r w:rsidR="001E2E7C">
        <w:rPr>
          <w:rFonts w:asciiTheme="majorBidi" w:hAnsiTheme="majorBidi" w:cstheme="majorBidi"/>
          <w:color w:val="000000" w:themeColor="text1"/>
          <w:sz w:val="24"/>
          <w:szCs w:val="28"/>
        </w:rPr>
        <w:t>conjecture</w:t>
      </w:r>
      <w:r w:rsidR="00537F71">
        <w:rPr>
          <w:rFonts w:asciiTheme="majorBidi" w:hAnsiTheme="majorBidi" w:cstheme="majorBidi"/>
          <w:color w:val="000000" w:themeColor="text1"/>
          <w:sz w:val="24"/>
          <w:szCs w:val="28"/>
        </w:rPr>
        <w:t xml:space="preserve"> that </w:t>
      </w:r>
      <w:r w:rsidR="00C06DDF">
        <w:rPr>
          <w:rFonts w:asciiTheme="majorBidi" w:hAnsiTheme="majorBidi" w:cstheme="majorBidi"/>
          <w:color w:val="000000" w:themeColor="text1"/>
          <w:sz w:val="24"/>
          <w:szCs w:val="28"/>
        </w:rPr>
        <w:t xml:space="preserve">the quality of non-IFRS exclusions </w:t>
      </w:r>
      <w:r w:rsidR="001E2E7C">
        <w:rPr>
          <w:rFonts w:asciiTheme="majorBidi" w:hAnsiTheme="majorBidi" w:cstheme="majorBidi"/>
          <w:color w:val="000000" w:themeColor="text1"/>
          <w:sz w:val="24"/>
          <w:szCs w:val="28"/>
        </w:rPr>
        <w:t xml:space="preserve">decreases when </w:t>
      </w:r>
      <w:r w:rsidR="002103C9">
        <w:rPr>
          <w:rFonts w:asciiTheme="majorBidi" w:hAnsiTheme="majorBidi" w:cstheme="majorBidi"/>
          <w:color w:val="000000" w:themeColor="text1"/>
          <w:sz w:val="24"/>
          <w:szCs w:val="28"/>
        </w:rPr>
        <w:t xml:space="preserve">a narcissistic AC chair is present </w:t>
      </w:r>
      <w:r w:rsidR="00E10638">
        <w:rPr>
          <w:rFonts w:asciiTheme="majorBidi" w:hAnsiTheme="majorBidi" w:cstheme="majorBidi"/>
          <w:color w:val="000000" w:themeColor="text1"/>
          <w:sz w:val="24"/>
          <w:szCs w:val="28"/>
        </w:rPr>
        <w:t>in the firm.</w:t>
      </w:r>
      <w:r w:rsidR="00C06DDF">
        <w:rPr>
          <w:rFonts w:asciiTheme="majorBidi" w:hAnsiTheme="majorBidi" w:cstheme="majorBidi"/>
          <w:color w:val="000000" w:themeColor="text1"/>
          <w:sz w:val="24"/>
          <w:szCs w:val="28"/>
        </w:rPr>
        <w:t xml:space="preserve"> </w:t>
      </w:r>
    </w:p>
    <w:p w14:paraId="6C9A3BE5" w14:textId="6407B150" w:rsidR="004E0DDE" w:rsidRPr="005E73C2" w:rsidRDefault="00D0435A" w:rsidP="002110AA">
      <w:pPr>
        <w:spacing w:line="480" w:lineRule="auto"/>
        <w:ind w:left="284"/>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3B0B9C">
        <w:rPr>
          <w:rFonts w:asciiTheme="majorBidi" w:hAnsiTheme="majorBidi" w:cstheme="majorBidi"/>
          <w:color w:val="000000" w:themeColor="text1"/>
          <w:sz w:val="24"/>
          <w:szCs w:val="28"/>
        </w:rPr>
        <w:t>Another concern is that the dy</w:t>
      </w:r>
      <w:r w:rsidR="00C039B0">
        <w:rPr>
          <w:rFonts w:asciiTheme="majorBidi" w:hAnsiTheme="majorBidi" w:cstheme="majorBidi"/>
          <w:color w:val="000000" w:themeColor="text1"/>
          <w:sz w:val="24"/>
          <w:szCs w:val="28"/>
        </w:rPr>
        <w:t>namic link between internal corporate governance</w:t>
      </w:r>
      <w:r w:rsidR="003527CC">
        <w:rPr>
          <w:rFonts w:asciiTheme="majorBidi" w:hAnsiTheme="majorBidi" w:cstheme="majorBidi"/>
          <w:color w:val="000000" w:themeColor="text1"/>
          <w:sz w:val="24"/>
          <w:szCs w:val="28"/>
        </w:rPr>
        <w:t xml:space="preserve"> </w:t>
      </w:r>
      <w:r w:rsidR="00292ABB">
        <w:rPr>
          <w:rFonts w:asciiTheme="majorBidi" w:hAnsiTheme="majorBidi" w:cstheme="majorBidi"/>
          <w:color w:val="000000" w:themeColor="text1"/>
          <w:sz w:val="24"/>
          <w:szCs w:val="28"/>
        </w:rPr>
        <w:t xml:space="preserve">and </w:t>
      </w:r>
      <w:r w:rsidR="00C6712E">
        <w:rPr>
          <w:rFonts w:asciiTheme="majorBidi" w:hAnsiTheme="majorBidi" w:cstheme="majorBidi"/>
          <w:color w:val="000000" w:themeColor="text1"/>
          <w:sz w:val="24"/>
          <w:szCs w:val="28"/>
        </w:rPr>
        <w:t xml:space="preserve">firm performance may drive </w:t>
      </w:r>
      <w:r w:rsidR="00BC11B0">
        <w:rPr>
          <w:rFonts w:asciiTheme="majorBidi" w:hAnsiTheme="majorBidi" w:cstheme="majorBidi"/>
          <w:color w:val="000000" w:themeColor="text1"/>
          <w:sz w:val="24"/>
          <w:szCs w:val="28"/>
        </w:rPr>
        <w:t>reverse causality</w:t>
      </w:r>
      <w:r w:rsidR="00A02807">
        <w:rPr>
          <w:rFonts w:asciiTheme="majorBidi" w:hAnsiTheme="majorBidi" w:cstheme="majorBidi"/>
          <w:color w:val="000000" w:themeColor="text1"/>
          <w:sz w:val="24"/>
          <w:szCs w:val="28"/>
        </w:rPr>
        <w:t xml:space="preserve"> in our </w:t>
      </w:r>
      <w:r w:rsidR="00BD6927">
        <w:rPr>
          <w:rFonts w:asciiTheme="majorBidi" w:hAnsiTheme="majorBidi" w:cstheme="majorBidi"/>
          <w:color w:val="000000" w:themeColor="text1"/>
          <w:sz w:val="24"/>
          <w:szCs w:val="28"/>
        </w:rPr>
        <w:t xml:space="preserve">empirical analysis. </w:t>
      </w:r>
      <w:r w:rsidR="00EE6156">
        <w:rPr>
          <w:rFonts w:asciiTheme="majorBidi" w:hAnsiTheme="majorBidi" w:cstheme="majorBidi"/>
          <w:color w:val="000000" w:themeColor="text1"/>
          <w:sz w:val="24"/>
          <w:szCs w:val="28"/>
        </w:rPr>
        <w:t xml:space="preserve">It is possible that when </w:t>
      </w:r>
      <w:r w:rsidR="00F36431">
        <w:rPr>
          <w:rFonts w:asciiTheme="majorBidi" w:hAnsiTheme="majorBidi" w:cstheme="majorBidi"/>
          <w:color w:val="000000" w:themeColor="text1"/>
          <w:sz w:val="24"/>
          <w:szCs w:val="28"/>
        </w:rPr>
        <w:t xml:space="preserve">AC chairs </w:t>
      </w:r>
      <w:r w:rsidR="00C378B6">
        <w:rPr>
          <w:rFonts w:asciiTheme="majorBidi" w:hAnsiTheme="majorBidi" w:cstheme="majorBidi"/>
          <w:color w:val="000000" w:themeColor="text1"/>
          <w:sz w:val="24"/>
          <w:szCs w:val="28"/>
        </w:rPr>
        <w:t xml:space="preserve">have </w:t>
      </w:r>
      <w:r w:rsidR="00C63FDD">
        <w:rPr>
          <w:rFonts w:asciiTheme="majorBidi" w:hAnsiTheme="majorBidi" w:cstheme="majorBidi"/>
          <w:color w:val="000000" w:themeColor="text1"/>
          <w:sz w:val="24"/>
          <w:szCs w:val="28"/>
        </w:rPr>
        <w:t xml:space="preserve">more confidence </w:t>
      </w:r>
      <w:r w:rsidR="001E7319">
        <w:rPr>
          <w:rFonts w:asciiTheme="majorBidi" w:hAnsiTheme="majorBidi" w:cstheme="majorBidi"/>
          <w:color w:val="000000" w:themeColor="text1"/>
          <w:sz w:val="24"/>
          <w:szCs w:val="28"/>
        </w:rPr>
        <w:t xml:space="preserve">in the quality of their work, </w:t>
      </w:r>
      <w:r w:rsidR="00CB7B75">
        <w:rPr>
          <w:rFonts w:asciiTheme="majorBidi" w:hAnsiTheme="majorBidi" w:cstheme="majorBidi"/>
          <w:color w:val="000000" w:themeColor="text1"/>
          <w:sz w:val="24"/>
          <w:szCs w:val="28"/>
        </w:rPr>
        <w:t xml:space="preserve">they </w:t>
      </w:r>
      <w:r w:rsidR="00FF42EF">
        <w:rPr>
          <w:rFonts w:asciiTheme="majorBidi" w:hAnsiTheme="majorBidi" w:cstheme="majorBidi"/>
          <w:color w:val="000000" w:themeColor="text1"/>
          <w:sz w:val="24"/>
          <w:szCs w:val="28"/>
        </w:rPr>
        <w:t xml:space="preserve">tend to </w:t>
      </w:r>
      <w:r w:rsidR="00CB7B75">
        <w:rPr>
          <w:rFonts w:asciiTheme="majorBidi" w:hAnsiTheme="majorBidi" w:cstheme="majorBidi"/>
          <w:color w:val="000000" w:themeColor="text1"/>
          <w:sz w:val="24"/>
          <w:szCs w:val="28"/>
        </w:rPr>
        <w:t xml:space="preserve">sign their names in a </w:t>
      </w:r>
      <w:r w:rsidR="007300EC">
        <w:rPr>
          <w:rFonts w:asciiTheme="majorBidi" w:hAnsiTheme="majorBidi" w:cstheme="majorBidi"/>
          <w:color w:val="000000" w:themeColor="text1"/>
          <w:sz w:val="24"/>
          <w:szCs w:val="28"/>
        </w:rPr>
        <w:t xml:space="preserve">larger size </w:t>
      </w:r>
      <w:r w:rsidR="00FF42EF">
        <w:rPr>
          <w:rFonts w:asciiTheme="majorBidi" w:hAnsiTheme="majorBidi" w:cstheme="majorBidi"/>
          <w:color w:val="000000" w:themeColor="text1"/>
          <w:sz w:val="24"/>
          <w:szCs w:val="28"/>
        </w:rPr>
        <w:t xml:space="preserve">for some reason </w:t>
      </w:r>
      <w:r w:rsidR="00211F48">
        <w:rPr>
          <w:rFonts w:asciiTheme="majorBidi" w:hAnsiTheme="majorBidi" w:cstheme="majorBidi"/>
          <w:color w:val="000000" w:themeColor="text1"/>
          <w:sz w:val="24"/>
          <w:szCs w:val="28"/>
        </w:rPr>
        <w:t xml:space="preserve">(Chou </w:t>
      </w:r>
      <w:r w:rsidR="001D0819">
        <w:rPr>
          <w:rFonts w:asciiTheme="majorBidi" w:hAnsiTheme="majorBidi" w:cstheme="majorBidi"/>
          <w:color w:val="000000" w:themeColor="text1"/>
          <w:sz w:val="24"/>
          <w:szCs w:val="28"/>
        </w:rPr>
        <w:t xml:space="preserve">et al., 2021). </w:t>
      </w:r>
      <w:r w:rsidR="00EA35A1">
        <w:rPr>
          <w:rFonts w:asciiTheme="majorBidi" w:hAnsiTheme="majorBidi" w:cstheme="majorBidi"/>
          <w:color w:val="000000" w:themeColor="text1"/>
          <w:sz w:val="24"/>
          <w:szCs w:val="28"/>
        </w:rPr>
        <w:t xml:space="preserve">To address the </w:t>
      </w:r>
      <w:r w:rsidR="00D222F0">
        <w:rPr>
          <w:rFonts w:asciiTheme="majorBidi" w:hAnsiTheme="majorBidi" w:cstheme="majorBidi"/>
          <w:color w:val="000000" w:themeColor="text1"/>
          <w:sz w:val="24"/>
          <w:szCs w:val="28"/>
        </w:rPr>
        <w:t xml:space="preserve">endogeneity </w:t>
      </w:r>
      <w:r w:rsidR="0050202C">
        <w:rPr>
          <w:rFonts w:asciiTheme="majorBidi" w:hAnsiTheme="majorBidi" w:cstheme="majorBidi"/>
          <w:color w:val="000000" w:themeColor="text1"/>
          <w:sz w:val="24"/>
          <w:szCs w:val="28"/>
        </w:rPr>
        <w:t xml:space="preserve">issues </w:t>
      </w:r>
      <w:r w:rsidR="00D222F0">
        <w:rPr>
          <w:rFonts w:asciiTheme="majorBidi" w:hAnsiTheme="majorBidi" w:cstheme="majorBidi"/>
          <w:color w:val="000000" w:themeColor="text1"/>
          <w:sz w:val="24"/>
          <w:szCs w:val="28"/>
        </w:rPr>
        <w:t xml:space="preserve">caused </w:t>
      </w:r>
      <w:r w:rsidR="0050202C">
        <w:rPr>
          <w:rFonts w:asciiTheme="majorBidi" w:hAnsiTheme="majorBidi" w:cstheme="majorBidi"/>
          <w:color w:val="000000" w:themeColor="text1"/>
          <w:sz w:val="24"/>
          <w:szCs w:val="28"/>
        </w:rPr>
        <w:t xml:space="preserve">by </w:t>
      </w:r>
      <w:r w:rsidR="00EA4520">
        <w:rPr>
          <w:rFonts w:asciiTheme="majorBidi" w:hAnsiTheme="majorBidi" w:cstheme="majorBidi"/>
          <w:color w:val="000000" w:themeColor="text1"/>
          <w:sz w:val="24"/>
          <w:szCs w:val="28"/>
        </w:rPr>
        <w:t xml:space="preserve">potential reverse causality, we </w:t>
      </w:r>
      <w:r w:rsidR="00DF320E">
        <w:rPr>
          <w:rFonts w:asciiTheme="majorBidi" w:hAnsiTheme="majorBidi" w:cstheme="majorBidi"/>
          <w:color w:val="000000" w:themeColor="text1"/>
          <w:sz w:val="24"/>
          <w:szCs w:val="28"/>
        </w:rPr>
        <w:t>adopt</w:t>
      </w:r>
      <w:r w:rsidR="00EA4520">
        <w:rPr>
          <w:rFonts w:asciiTheme="majorBidi" w:hAnsiTheme="majorBidi" w:cstheme="majorBidi"/>
          <w:color w:val="000000" w:themeColor="text1"/>
          <w:sz w:val="24"/>
          <w:szCs w:val="28"/>
        </w:rPr>
        <w:t xml:space="preserve"> </w:t>
      </w:r>
      <w:r w:rsidR="00DF320E">
        <w:rPr>
          <w:rFonts w:asciiTheme="majorBidi" w:hAnsiTheme="majorBidi" w:cstheme="majorBidi"/>
          <w:color w:val="000000" w:themeColor="text1"/>
          <w:sz w:val="24"/>
          <w:szCs w:val="28"/>
        </w:rPr>
        <w:t>a system generalized method of mo</w:t>
      </w:r>
      <w:r w:rsidR="00CF2FE1">
        <w:rPr>
          <w:rFonts w:asciiTheme="majorBidi" w:hAnsiTheme="majorBidi" w:cstheme="majorBidi"/>
          <w:color w:val="000000" w:themeColor="text1"/>
          <w:sz w:val="24"/>
          <w:szCs w:val="28"/>
        </w:rPr>
        <w:t xml:space="preserve">ments (GMM) </w:t>
      </w:r>
      <w:r w:rsidR="000460CF">
        <w:rPr>
          <w:rFonts w:asciiTheme="majorBidi" w:hAnsiTheme="majorBidi" w:cstheme="majorBidi"/>
          <w:color w:val="000000" w:themeColor="text1"/>
          <w:sz w:val="24"/>
          <w:szCs w:val="28"/>
        </w:rPr>
        <w:t xml:space="preserve">estimation </w:t>
      </w:r>
      <w:r w:rsidR="00C30692">
        <w:rPr>
          <w:rFonts w:asciiTheme="majorBidi" w:hAnsiTheme="majorBidi" w:cstheme="majorBidi"/>
          <w:color w:val="000000" w:themeColor="text1"/>
          <w:sz w:val="24"/>
          <w:szCs w:val="28"/>
        </w:rPr>
        <w:t xml:space="preserve">technique. </w:t>
      </w:r>
      <w:proofErr w:type="spellStart"/>
      <w:r w:rsidR="00C24186" w:rsidRPr="00C24186">
        <w:rPr>
          <w:rFonts w:asciiTheme="majorBidi" w:hAnsiTheme="majorBidi" w:cstheme="majorBidi"/>
          <w:color w:val="000000" w:themeColor="text1"/>
          <w:sz w:val="24"/>
          <w:szCs w:val="28"/>
        </w:rPr>
        <w:t>Wintoki</w:t>
      </w:r>
      <w:proofErr w:type="spellEnd"/>
      <w:r w:rsidR="0023144C">
        <w:rPr>
          <w:rFonts w:asciiTheme="majorBidi" w:hAnsiTheme="majorBidi" w:cstheme="majorBidi"/>
          <w:color w:val="000000" w:themeColor="text1"/>
          <w:sz w:val="24"/>
          <w:szCs w:val="28"/>
        </w:rPr>
        <w:t xml:space="preserve">, </w:t>
      </w:r>
      <w:r w:rsidR="0023144C" w:rsidRPr="0023144C">
        <w:rPr>
          <w:rFonts w:asciiTheme="majorBidi" w:hAnsiTheme="majorBidi" w:cstheme="majorBidi"/>
          <w:color w:val="000000" w:themeColor="text1"/>
          <w:sz w:val="24"/>
          <w:szCs w:val="28"/>
        </w:rPr>
        <w:t>Linck</w:t>
      </w:r>
      <w:r w:rsidR="0023144C">
        <w:rPr>
          <w:rFonts w:asciiTheme="majorBidi" w:hAnsiTheme="majorBidi" w:cstheme="majorBidi"/>
          <w:color w:val="000000" w:themeColor="text1"/>
          <w:sz w:val="24"/>
          <w:szCs w:val="28"/>
        </w:rPr>
        <w:t xml:space="preserve">, </w:t>
      </w:r>
      <w:r w:rsidR="002110AA">
        <w:rPr>
          <w:rFonts w:asciiTheme="majorBidi" w:hAnsiTheme="majorBidi" w:cstheme="majorBidi"/>
          <w:color w:val="000000" w:themeColor="text1"/>
          <w:sz w:val="24"/>
          <w:szCs w:val="28"/>
        </w:rPr>
        <w:t>and</w:t>
      </w:r>
      <w:r w:rsidR="0023144C">
        <w:rPr>
          <w:rFonts w:asciiTheme="majorBidi" w:hAnsiTheme="majorBidi" w:cstheme="majorBidi"/>
          <w:color w:val="000000" w:themeColor="text1"/>
          <w:sz w:val="24"/>
          <w:szCs w:val="28"/>
        </w:rPr>
        <w:t xml:space="preserve"> </w:t>
      </w:r>
      <w:r w:rsidR="0023144C" w:rsidRPr="0023144C">
        <w:rPr>
          <w:rFonts w:asciiTheme="majorBidi" w:hAnsiTheme="majorBidi" w:cstheme="majorBidi"/>
          <w:color w:val="000000" w:themeColor="text1"/>
          <w:sz w:val="24"/>
          <w:szCs w:val="28"/>
        </w:rPr>
        <w:t>Netter</w:t>
      </w:r>
      <w:r w:rsidR="00C24186">
        <w:rPr>
          <w:rFonts w:asciiTheme="majorBidi" w:hAnsiTheme="majorBidi" w:cstheme="majorBidi"/>
          <w:color w:val="000000" w:themeColor="text1"/>
          <w:sz w:val="24"/>
          <w:szCs w:val="28"/>
        </w:rPr>
        <w:t xml:space="preserve"> (2012) </w:t>
      </w:r>
      <w:r w:rsidR="00D96560">
        <w:rPr>
          <w:rFonts w:asciiTheme="majorBidi" w:hAnsiTheme="majorBidi" w:cstheme="majorBidi"/>
          <w:color w:val="000000" w:themeColor="text1"/>
          <w:sz w:val="24"/>
          <w:szCs w:val="28"/>
        </w:rPr>
        <w:t>suggest</w:t>
      </w:r>
      <w:r w:rsidR="00F255CE">
        <w:rPr>
          <w:rFonts w:asciiTheme="majorBidi" w:hAnsiTheme="majorBidi" w:cstheme="majorBidi"/>
          <w:color w:val="000000" w:themeColor="text1"/>
          <w:sz w:val="24"/>
          <w:szCs w:val="28"/>
        </w:rPr>
        <w:t>ed</w:t>
      </w:r>
      <w:r w:rsidR="00D96560">
        <w:rPr>
          <w:rFonts w:asciiTheme="majorBidi" w:hAnsiTheme="majorBidi" w:cstheme="majorBidi"/>
          <w:color w:val="000000" w:themeColor="text1"/>
          <w:sz w:val="24"/>
          <w:szCs w:val="28"/>
        </w:rPr>
        <w:t xml:space="preserve"> that </w:t>
      </w:r>
      <w:r w:rsidR="00E91321">
        <w:rPr>
          <w:rFonts w:asciiTheme="majorBidi" w:hAnsiTheme="majorBidi" w:cstheme="majorBidi"/>
          <w:color w:val="000000" w:themeColor="text1"/>
          <w:sz w:val="24"/>
          <w:szCs w:val="28"/>
        </w:rPr>
        <w:t xml:space="preserve">system </w:t>
      </w:r>
      <w:r w:rsidR="00E91321">
        <w:rPr>
          <w:rFonts w:asciiTheme="majorBidi" w:hAnsiTheme="majorBidi" w:cstheme="majorBidi"/>
          <w:color w:val="000000" w:themeColor="text1"/>
          <w:sz w:val="24"/>
          <w:szCs w:val="28"/>
        </w:rPr>
        <w:lastRenderedPageBreak/>
        <w:t xml:space="preserve">GMM </w:t>
      </w:r>
      <w:r w:rsidR="005634BB">
        <w:rPr>
          <w:rFonts w:asciiTheme="majorBidi" w:hAnsiTheme="majorBidi" w:cstheme="majorBidi"/>
          <w:color w:val="000000" w:themeColor="text1"/>
          <w:sz w:val="24"/>
          <w:szCs w:val="28"/>
        </w:rPr>
        <w:t xml:space="preserve">tackles </w:t>
      </w:r>
      <w:r w:rsidR="009403B4">
        <w:rPr>
          <w:rFonts w:asciiTheme="majorBidi" w:hAnsiTheme="majorBidi" w:cstheme="majorBidi"/>
          <w:color w:val="000000" w:themeColor="text1"/>
          <w:sz w:val="24"/>
          <w:szCs w:val="28"/>
        </w:rPr>
        <w:t xml:space="preserve">three </w:t>
      </w:r>
      <w:r w:rsidR="008D071B">
        <w:rPr>
          <w:rFonts w:asciiTheme="majorBidi" w:hAnsiTheme="majorBidi" w:cstheme="majorBidi"/>
          <w:color w:val="000000" w:themeColor="text1"/>
          <w:sz w:val="24"/>
          <w:szCs w:val="28"/>
        </w:rPr>
        <w:t xml:space="preserve">potential sources of endogeneity in </w:t>
      </w:r>
      <w:r w:rsidR="00A67FA2">
        <w:rPr>
          <w:rFonts w:asciiTheme="majorBidi" w:hAnsiTheme="majorBidi" w:cstheme="majorBidi"/>
          <w:color w:val="000000" w:themeColor="text1"/>
          <w:sz w:val="24"/>
          <w:szCs w:val="28"/>
        </w:rPr>
        <w:t xml:space="preserve">corporate governance </w:t>
      </w:r>
      <w:r w:rsidR="001A612D">
        <w:rPr>
          <w:rFonts w:asciiTheme="majorBidi" w:hAnsiTheme="majorBidi" w:cstheme="majorBidi"/>
          <w:color w:val="000000" w:themeColor="text1"/>
          <w:sz w:val="24"/>
          <w:szCs w:val="28"/>
        </w:rPr>
        <w:t>studies</w:t>
      </w:r>
      <w:r w:rsidR="00780E45">
        <w:rPr>
          <w:rFonts w:asciiTheme="majorBidi" w:hAnsiTheme="majorBidi" w:cstheme="majorBidi"/>
          <w:color w:val="000000" w:themeColor="text1"/>
          <w:sz w:val="24"/>
          <w:szCs w:val="28"/>
        </w:rPr>
        <w:t>, including</w:t>
      </w:r>
      <w:r w:rsidR="00983617">
        <w:rPr>
          <w:rFonts w:asciiTheme="majorBidi" w:hAnsiTheme="majorBidi" w:cstheme="majorBidi"/>
          <w:color w:val="000000" w:themeColor="text1"/>
          <w:sz w:val="24"/>
          <w:szCs w:val="28"/>
        </w:rPr>
        <w:t xml:space="preserve"> the dynamic </w:t>
      </w:r>
      <w:r w:rsidR="006E4384">
        <w:rPr>
          <w:rFonts w:asciiTheme="majorBidi" w:hAnsiTheme="majorBidi" w:cstheme="majorBidi"/>
          <w:color w:val="000000" w:themeColor="text1"/>
          <w:sz w:val="24"/>
          <w:szCs w:val="28"/>
        </w:rPr>
        <w:t>link</w:t>
      </w:r>
      <w:r w:rsidR="005634BB">
        <w:rPr>
          <w:rFonts w:asciiTheme="majorBidi" w:hAnsiTheme="majorBidi" w:cstheme="majorBidi"/>
          <w:color w:val="000000" w:themeColor="text1"/>
          <w:sz w:val="24"/>
          <w:szCs w:val="28"/>
        </w:rPr>
        <w:t xml:space="preserve"> </w:t>
      </w:r>
      <w:r w:rsidR="00C46BF7">
        <w:rPr>
          <w:rFonts w:asciiTheme="majorBidi" w:hAnsiTheme="majorBidi" w:cstheme="majorBidi"/>
          <w:color w:val="000000" w:themeColor="text1"/>
          <w:sz w:val="24"/>
          <w:szCs w:val="28"/>
        </w:rPr>
        <w:t xml:space="preserve">between </w:t>
      </w:r>
      <w:r w:rsidR="001A612D">
        <w:rPr>
          <w:rFonts w:asciiTheme="majorBidi" w:hAnsiTheme="majorBidi" w:cstheme="majorBidi"/>
          <w:color w:val="000000" w:themeColor="text1"/>
          <w:sz w:val="24"/>
          <w:szCs w:val="28"/>
        </w:rPr>
        <w:t xml:space="preserve">current </w:t>
      </w:r>
      <w:r w:rsidR="00A862DA">
        <w:rPr>
          <w:rFonts w:asciiTheme="majorBidi" w:hAnsiTheme="majorBidi" w:cstheme="majorBidi"/>
          <w:color w:val="000000" w:themeColor="text1"/>
          <w:sz w:val="24"/>
          <w:szCs w:val="28"/>
        </w:rPr>
        <w:t>AC</w:t>
      </w:r>
      <w:r w:rsidR="001A612D">
        <w:rPr>
          <w:rFonts w:asciiTheme="majorBidi" w:hAnsiTheme="majorBidi" w:cstheme="majorBidi"/>
          <w:color w:val="000000" w:themeColor="text1"/>
          <w:sz w:val="24"/>
          <w:szCs w:val="28"/>
        </w:rPr>
        <w:t xml:space="preserve"> composition and </w:t>
      </w:r>
      <w:r w:rsidR="007D4016">
        <w:rPr>
          <w:rFonts w:asciiTheme="majorBidi" w:hAnsiTheme="majorBidi" w:cstheme="majorBidi"/>
          <w:color w:val="000000" w:themeColor="text1"/>
          <w:sz w:val="24"/>
          <w:szCs w:val="28"/>
        </w:rPr>
        <w:t>past firm</w:t>
      </w:r>
      <w:r w:rsidR="00C9228E">
        <w:rPr>
          <w:rFonts w:asciiTheme="majorBidi" w:hAnsiTheme="majorBidi" w:cstheme="majorBidi"/>
          <w:color w:val="000000" w:themeColor="text1"/>
          <w:sz w:val="24"/>
          <w:szCs w:val="28"/>
        </w:rPr>
        <w:t xml:space="preserve"> </w:t>
      </w:r>
      <w:r w:rsidR="00A862DA">
        <w:rPr>
          <w:rFonts w:asciiTheme="majorBidi" w:hAnsiTheme="majorBidi" w:cstheme="majorBidi"/>
          <w:color w:val="000000" w:themeColor="text1"/>
          <w:sz w:val="24"/>
          <w:szCs w:val="28"/>
        </w:rPr>
        <w:t xml:space="preserve">earnings. </w:t>
      </w:r>
      <w:r w:rsidR="004E0DDE" w:rsidRPr="005E73C2">
        <w:rPr>
          <w:rFonts w:asciiTheme="majorBidi" w:hAnsiTheme="majorBidi" w:cstheme="majorBidi"/>
          <w:color w:val="000000" w:themeColor="text1"/>
          <w:sz w:val="24"/>
          <w:szCs w:val="28"/>
        </w:rPr>
        <w:t xml:space="preserve">The results are reported in </w:t>
      </w:r>
      <w:r>
        <w:rPr>
          <w:rFonts w:asciiTheme="majorBidi" w:hAnsiTheme="majorBidi" w:cstheme="majorBidi"/>
          <w:color w:val="000000" w:themeColor="text1"/>
          <w:sz w:val="24"/>
          <w:szCs w:val="28"/>
        </w:rPr>
        <w:t>Column (2)</w:t>
      </w:r>
      <w:r w:rsidR="00555BB1" w:rsidRPr="005E73C2">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and are consistent with our reported findings from the main analysis.  </w:t>
      </w:r>
    </w:p>
    <w:p w14:paraId="73F8BC58" w14:textId="1FC3EAA5" w:rsidR="004E0DDE" w:rsidRPr="005E73C2" w:rsidRDefault="000566DE" w:rsidP="00D0435A">
      <w:pPr>
        <w:spacing w:line="480" w:lineRule="auto"/>
        <w:jc w:val="center"/>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{INSERT TABLE </w:t>
      </w:r>
      <w:r w:rsidR="0050080D">
        <w:rPr>
          <w:rFonts w:asciiTheme="majorBidi" w:hAnsiTheme="majorBidi" w:cstheme="majorBidi"/>
          <w:color w:val="000000" w:themeColor="text1"/>
          <w:sz w:val="24"/>
          <w:szCs w:val="28"/>
        </w:rPr>
        <w:t>EIGHT</w:t>
      </w:r>
      <w:r w:rsidR="00FE7647"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ABOUT HERE}</w:t>
      </w:r>
    </w:p>
    <w:p w14:paraId="7E74D37B" w14:textId="32E5B782" w:rsidR="002528F2" w:rsidRPr="00D0435A" w:rsidRDefault="00E01C5D" w:rsidP="00D0435A">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A97F48" w:rsidRPr="0087365D">
        <w:rPr>
          <w:rFonts w:asciiTheme="majorBidi" w:hAnsiTheme="majorBidi"/>
          <w:i/>
          <w:iCs/>
          <w:color w:val="000000" w:themeColor="text1"/>
          <w:sz w:val="28"/>
          <w:szCs w:val="28"/>
        </w:rPr>
        <w:t>.</w:t>
      </w:r>
      <w:r w:rsidR="00C9300F" w:rsidRPr="0087365D">
        <w:rPr>
          <w:rFonts w:asciiTheme="majorBidi" w:hAnsiTheme="majorBidi"/>
          <w:i/>
          <w:iCs/>
          <w:color w:val="000000" w:themeColor="text1"/>
          <w:sz w:val="28"/>
          <w:szCs w:val="28"/>
        </w:rPr>
        <w:t>6</w:t>
      </w:r>
      <w:r w:rsidR="00A97F48" w:rsidRPr="0087365D">
        <w:rPr>
          <w:rFonts w:asciiTheme="majorBidi" w:hAnsiTheme="majorBidi"/>
          <w:i/>
          <w:iCs/>
          <w:color w:val="000000" w:themeColor="text1"/>
          <w:sz w:val="28"/>
          <w:szCs w:val="28"/>
        </w:rPr>
        <w:t xml:space="preserve">.2. </w:t>
      </w:r>
      <w:r w:rsidR="00EF3414" w:rsidRPr="0087365D">
        <w:rPr>
          <w:rFonts w:asciiTheme="majorBidi" w:hAnsiTheme="majorBidi"/>
          <w:i/>
          <w:iCs/>
          <w:color w:val="000000" w:themeColor="text1"/>
          <w:sz w:val="28"/>
          <w:szCs w:val="28"/>
        </w:rPr>
        <w:t xml:space="preserve">Alternative </w:t>
      </w:r>
      <w:r w:rsidR="0066519D">
        <w:rPr>
          <w:rFonts w:asciiTheme="majorBidi" w:hAnsiTheme="majorBidi"/>
          <w:i/>
          <w:iCs/>
          <w:color w:val="000000" w:themeColor="text1"/>
          <w:sz w:val="28"/>
          <w:szCs w:val="28"/>
        </w:rPr>
        <w:t>n</w:t>
      </w:r>
      <w:r w:rsidR="006A5F49" w:rsidRPr="0087365D">
        <w:rPr>
          <w:rFonts w:asciiTheme="majorBidi" w:hAnsiTheme="majorBidi"/>
          <w:i/>
          <w:iCs/>
          <w:color w:val="000000" w:themeColor="text1"/>
          <w:sz w:val="28"/>
          <w:szCs w:val="28"/>
        </w:rPr>
        <w:t xml:space="preserve">arcissism </w:t>
      </w:r>
      <w:r w:rsidR="0066519D">
        <w:rPr>
          <w:rFonts w:asciiTheme="majorBidi" w:hAnsiTheme="majorBidi"/>
          <w:i/>
          <w:iCs/>
          <w:color w:val="000000" w:themeColor="text1"/>
          <w:sz w:val="28"/>
          <w:szCs w:val="28"/>
        </w:rPr>
        <w:t>m</w:t>
      </w:r>
      <w:r w:rsidR="00D91A82" w:rsidRPr="0087365D">
        <w:rPr>
          <w:rFonts w:asciiTheme="majorBidi" w:hAnsiTheme="majorBidi"/>
          <w:i/>
          <w:iCs/>
          <w:color w:val="000000" w:themeColor="text1"/>
          <w:sz w:val="28"/>
          <w:szCs w:val="28"/>
        </w:rPr>
        <w:t>easures</w:t>
      </w:r>
    </w:p>
    <w:p w14:paraId="4BB1B706" w14:textId="2254A0E5" w:rsidR="004E0DDE" w:rsidRPr="005E73C2" w:rsidRDefault="00D0435A" w:rsidP="00D0435A">
      <w:pPr>
        <w:spacing w:line="480" w:lineRule="auto"/>
        <w:ind w:left="283"/>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100768">
        <w:rPr>
          <w:rFonts w:asciiTheme="majorBidi" w:hAnsiTheme="majorBidi" w:cstheme="majorBidi"/>
          <w:color w:val="000000" w:themeColor="text1"/>
          <w:sz w:val="24"/>
          <w:szCs w:val="28"/>
        </w:rPr>
        <w:t>Some m</w:t>
      </w:r>
      <w:r w:rsidR="00FF42EF">
        <w:rPr>
          <w:rFonts w:asciiTheme="majorBidi" w:hAnsiTheme="majorBidi" w:cstheme="majorBidi"/>
          <w:color w:val="000000" w:themeColor="text1"/>
          <w:sz w:val="24"/>
          <w:szCs w:val="28"/>
        </w:rPr>
        <w:t>ay</w:t>
      </w:r>
      <w:r w:rsidR="00100768">
        <w:rPr>
          <w:rFonts w:asciiTheme="majorBidi" w:hAnsiTheme="majorBidi" w:cstheme="majorBidi"/>
          <w:color w:val="000000" w:themeColor="text1"/>
          <w:sz w:val="24"/>
          <w:szCs w:val="28"/>
        </w:rPr>
        <w:t xml:space="preserve"> argue that </w:t>
      </w:r>
      <w:r w:rsidR="00411B39">
        <w:rPr>
          <w:rFonts w:asciiTheme="majorBidi" w:hAnsiTheme="majorBidi" w:cstheme="majorBidi"/>
          <w:color w:val="000000" w:themeColor="text1"/>
          <w:sz w:val="24"/>
          <w:szCs w:val="28"/>
        </w:rPr>
        <w:t>the observed relation should not cha</w:t>
      </w:r>
      <w:r w:rsidR="009746CE">
        <w:rPr>
          <w:rFonts w:asciiTheme="majorBidi" w:hAnsiTheme="majorBidi" w:cstheme="majorBidi"/>
          <w:color w:val="000000" w:themeColor="text1"/>
          <w:sz w:val="24"/>
          <w:szCs w:val="28"/>
        </w:rPr>
        <w:t xml:space="preserve">nge </w:t>
      </w:r>
      <w:r w:rsidR="00FF42EF">
        <w:rPr>
          <w:rFonts w:asciiTheme="majorBidi" w:hAnsiTheme="majorBidi" w:cstheme="majorBidi"/>
          <w:color w:val="000000" w:themeColor="text1"/>
          <w:sz w:val="24"/>
          <w:szCs w:val="28"/>
        </w:rPr>
        <w:t xml:space="preserve">considerably </w:t>
      </w:r>
      <w:r w:rsidR="009746CE">
        <w:rPr>
          <w:rFonts w:asciiTheme="majorBidi" w:hAnsiTheme="majorBidi" w:cstheme="majorBidi"/>
          <w:color w:val="000000" w:themeColor="text1"/>
          <w:sz w:val="24"/>
          <w:szCs w:val="28"/>
        </w:rPr>
        <w:t xml:space="preserve">over time. </w:t>
      </w:r>
      <w:r w:rsidR="00467910">
        <w:rPr>
          <w:rFonts w:asciiTheme="majorBidi" w:hAnsiTheme="majorBidi" w:cstheme="majorBidi"/>
          <w:color w:val="000000" w:themeColor="text1"/>
          <w:sz w:val="24"/>
          <w:szCs w:val="28"/>
        </w:rPr>
        <w:t>Th</w:t>
      </w:r>
      <w:r w:rsidR="008C7C4B">
        <w:rPr>
          <w:rFonts w:asciiTheme="majorBidi" w:hAnsiTheme="majorBidi" w:cstheme="majorBidi"/>
          <w:color w:val="000000" w:themeColor="text1"/>
          <w:sz w:val="24"/>
          <w:szCs w:val="28"/>
        </w:rPr>
        <w:t>erefore</w:t>
      </w:r>
      <w:r w:rsidR="00467910">
        <w:rPr>
          <w:rFonts w:asciiTheme="majorBidi" w:hAnsiTheme="majorBidi" w:cstheme="majorBidi"/>
          <w:color w:val="000000" w:themeColor="text1"/>
          <w:sz w:val="24"/>
          <w:szCs w:val="28"/>
        </w:rPr>
        <w:t xml:space="preserve">, </w:t>
      </w:r>
      <w:r w:rsidR="008C7C4B">
        <w:rPr>
          <w:rFonts w:asciiTheme="majorBidi" w:hAnsiTheme="majorBidi" w:cstheme="majorBidi"/>
          <w:color w:val="000000" w:themeColor="text1"/>
          <w:sz w:val="24"/>
          <w:szCs w:val="28"/>
        </w:rPr>
        <w:t>i</w:t>
      </w:r>
      <w:r w:rsidR="00467910">
        <w:rPr>
          <w:rFonts w:asciiTheme="majorBidi" w:hAnsiTheme="majorBidi" w:cstheme="majorBidi"/>
          <w:color w:val="000000" w:themeColor="text1"/>
          <w:sz w:val="24"/>
          <w:szCs w:val="28"/>
        </w:rPr>
        <w:t>n this section</w:t>
      </w:r>
      <w:r w:rsidR="00FF42EF">
        <w:rPr>
          <w:rFonts w:asciiTheme="majorBidi" w:hAnsiTheme="majorBidi" w:cstheme="majorBidi"/>
          <w:color w:val="000000" w:themeColor="text1"/>
          <w:sz w:val="24"/>
          <w:szCs w:val="28"/>
        </w:rPr>
        <w:t>,</w:t>
      </w:r>
      <w:r w:rsidR="00467910">
        <w:rPr>
          <w:rFonts w:asciiTheme="majorBidi" w:hAnsiTheme="majorBidi" w:cstheme="majorBidi"/>
          <w:color w:val="000000" w:themeColor="text1"/>
          <w:sz w:val="24"/>
          <w:szCs w:val="28"/>
        </w:rPr>
        <w:t xml:space="preserve"> </w:t>
      </w:r>
      <w:r w:rsidR="008C7C4B">
        <w:rPr>
          <w:rFonts w:asciiTheme="majorBidi" w:hAnsiTheme="majorBidi" w:cstheme="majorBidi"/>
          <w:color w:val="000000" w:themeColor="text1"/>
          <w:sz w:val="24"/>
          <w:szCs w:val="28"/>
        </w:rPr>
        <w:t xml:space="preserve">we check the robustness of results to using </w:t>
      </w:r>
      <w:r w:rsidR="00F66CEB">
        <w:rPr>
          <w:rFonts w:asciiTheme="majorBidi" w:hAnsiTheme="majorBidi" w:cstheme="majorBidi"/>
          <w:color w:val="000000" w:themeColor="text1"/>
          <w:sz w:val="24"/>
          <w:szCs w:val="28"/>
        </w:rPr>
        <w:t xml:space="preserve">three </w:t>
      </w:r>
      <w:r w:rsidR="00EA3816">
        <w:rPr>
          <w:rFonts w:asciiTheme="majorBidi" w:hAnsiTheme="majorBidi" w:cstheme="majorBidi"/>
          <w:color w:val="000000" w:themeColor="text1"/>
          <w:sz w:val="24"/>
          <w:szCs w:val="28"/>
        </w:rPr>
        <w:t>measures of narcissism</w:t>
      </w:r>
      <w:r w:rsidR="00FF42EF" w:rsidRPr="00FF42EF">
        <w:rPr>
          <w:rFonts w:asciiTheme="majorBidi" w:hAnsiTheme="majorBidi" w:cstheme="majorBidi"/>
          <w:color w:val="000000" w:themeColor="text1"/>
          <w:sz w:val="24"/>
          <w:szCs w:val="28"/>
        </w:rPr>
        <w:t xml:space="preserve"> </w:t>
      </w:r>
      <w:r w:rsidR="00FF42EF">
        <w:rPr>
          <w:rFonts w:asciiTheme="majorBidi" w:hAnsiTheme="majorBidi" w:cstheme="majorBidi"/>
          <w:color w:val="000000" w:themeColor="text1"/>
          <w:sz w:val="24"/>
          <w:szCs w:val="28"/>
        </w:rPr>
        <w:t>with a focus on constancy:</w:t>
      </w:r>
      <w:r w:rsidR="00EA3816">
        <w:rPr>
          <w:rFonts w:asciiTheme="majorBidi" w:hAnsiTheme="majorBidi" w:cstheme="majorBidi"/>
          <w:color w:val="000000" w:themeColor="text1"/>
          <w:sz w:val="24"/>
          <w:szCs w:val="28"/>
        </w:rPr>
        <w:t xml:space="preserve"> </w:t>
      </w:r>
      <w:r w:rsidR="00580E27">
        <w:rPr>
          <w:rFonts w:asciiTheme="majorBidi" w:hAnsiTheme="majorBidi" w:cstheme="majorBidi"/>
          <w:color w:val="000000" w:themeColor="text1"/>
          <w:sz w:val="24"/>
          <w:szCs w:val="28"/>
        </w:rPr>
        <w:t>the signature size at the beginning of the chair’s tenure</w:t>
      </w:r>
      <w:r w:rsidR="00053AC5">
        <w:rPr>
          <w:rFonts w:asciiTheme="majorBidi" w:hAnsiTheme="majorBidi" w:cstheme="majorBidi"/>
          <w:color w:val="000000" w:themeColor="text1"/>
          <w:sz w:val="24"/>
          <w:szCs w:val="28"/>
        </w:rPr>
        <w:t xml:space="preserve"> </w:t>
      </w:r>
      <w:r w:rsidR="00102EA7">
        <w:rPr>
          <w:rFonts w:asciiTheme="majorBidi" w:hAnsiTheme="majorBidi" w:cstheme="majorBidi"/>
          <w:color w:val="000000" w:themeColor="text1"/>
          <w:sz w:val="24"/>
          <w:szCs w:val="28"/>
        </w:rPr>
        <w:t>(</w:t>
      </w:r>
      <w:r w:rsidR="00102EA7" w:rsidRPr="00D41E9B">
        <w:rPr>
          <w:rFonts w:asciiTheme="majorBidi" w:hAnsiTheme="majorBidi" w:cstheme="majorBidi"/>
          <w:i/>
          <w:iCs/>
          <w:color w:val="000000" w:themeColor="text1"/>
          <w:sz w:val="24"/>
          <w:szCs w:val="28"/>
        </w:rPr>
        <w:t>SIGSIZE_BEGAN</w:t>
      </w:r>
      <w:r w:rsidR="00102EA7">
        <w:rPr>
          <w:rFonts w:asciiTheme="majorBidi" w:hAnsiTheme="majorBidi" w:cstheme="majorBidi"/>
          <w:color w:val="000000" w:themeColor="text1"/>
          <w:sz w:val="24"/>
          <w:szCs w:val="28"/>
        </w:rPr>
        <w:t>)</w:t>
      </w:r>
      <w:r w:rsidR="00580E27">
        <w:rPr>
          <w:rFonts w:asciiTheme="majorBidi" w:hAnsiTheme="majorBidi" w:cstheme="majorBidi"/>
          <w:color w:val="000000" w:themeColor="text1"/>
          <w:sz w:val="24"/>
          <w:szCs w:val="28"/>
        </w:rPr>
        <w:t xml:space="preserve">, the average signature </w:t>
      </w:r>
      <w:r w:rsidR="00053AC5">
        <w:rPr>
          <w:rFonts w:asciiTheme="majorBidi" w:hAnsiTheme="majorBidi" w:cstheme="majorBidi"/>
          <w:color w:val="000000" w:themeColor="text1"/>
          <w:sz w:val="24"/>
          <w:szCs w:val="28"/>
        </w:rPr>
        <w:t>size over the chair</w:t>
      </w:r>
      <w:r w:rsidR="00102EA7">
        <w:rPr>
          <w:rFonts w:asciiTheme="majorBidi" w:hAnsiTheme="majorBidi" w:cstheme="majorBidi"/>
          <w:color w:val="000000" w:themeColor="text1"/>
          <w:sz w:val="24"/>
          <w:szCs w:val="28"/>
        </w:rPr>
        <w:t>’s tenure</w:t>
      </w:r>
      <w:r w:rsidR="00D41B28">
        <w:rPr>
          <w:rFonts w:asciiTheme="majorBidi" w:hAnsiTheme="majorBidi" w:cstheme="majorBidi"/>
          <w:color w:val="000000" w:themeColor="text1"/>
          <w:sz w:val="24"/>
          <w:szCs w:val="28"/>
        </w:rPr>
        <w:t xml:space="preserve"> (</w:t>
      </w:r>
      <w:r w:rsidR="00D41B28" w:rsidRPr="00D41E9B">
        <w:rPr>
          <w:rFonts w:asciiTheme="majorBidi" w:hAnsiTheme="majorBidi" w:cstheme="majorBidi"/>
          <w:i/>
          <w:iCs/>
          <w:color w:val="000000" w:themeColor="text1"/>
          <w:sz w:val="24"/>
          <w:szCs w:val="28"/>
        </w:rPr>
        <w:t>SIGSIZE_AVERA</w:t>
      </w:r>
      <w:r w:rsidR="00D41B28">
        <w:rPr>
          <w:rFonts w:asciiTheme="majorBidi" w:hAnsiTheme="majorBidi" w:cstheme="majorBidi"/>
          <w:color w:val="000000" w:themeColor="text1"/>
          <w:sz w:val="24"/>
          <w:szCs w:val="28"/>
        </w:rPr>
        <w:t>)</w:t>
      </w:r>
      <w:r w:rsidR="00102EA7">
        <w:rPr>
          <w:rFonts w:asciiTheme="majorBidi" w:hAnsiTheme="majorBidi" w:cstheme="majorBidi"/>
          <w:color w:val="000000" w:themeColor="text1"/>
          <w:sz w:val="24"/>
          <w:szCs w:val="28"/>
        </w:rPr>
        <w:t>, and the most recent value of the chair’s signature</w:t>
      </w:r>
      <w:r w:rsidR="00311747">
        <w:rPr>
          <w:rFonts w:asciiTheme="majorBidi" w:hAnsiTheme="majorBidi" w:cstheme="majorBidi"/>
          <w:color w:val="000000" w:themeColor="text1"/>
          <w:sz w:val="24"/>
          <w:szCs w:val="28"/>
        </w:rPr>
        <w:t xml:space="preserve"> size</w:t>
      </w:r>
      <w:r w:rsidR="00677B51">
        <w:rPr>
          <w:rFonts w:asciiTheme="majorBidi" w:hAnsiTheme="majorBidi" w:cstheme="majorBidi"/>
          <w:color w:val="000000" w:themeColor="text1"/>
          <w:sz w:val="24"/>
          <w:szCs w:val="28"/>
        </w:rPr>
        <w:t xml:space="preserve"> (</w:t>
      </w:r>
      <w:r w:rsidR="00677B51" w:rsidRPr="00D41E9B">
        <w:rPr>
          <w:rFonts w:asciiTheme="majorBidi" w:hAnsiTheme="majorBidi" w:cstheme="majorBidi"/>
          <w:i/>
          <w:iCs/>
          <w:color w:val="000000" w:themeColor="text1"/>
          <w:sz w:val="24"/>
          <w:szCs w:val="28"/>
        </w:rPr>
        <w:t>SIGSIZE_RECEN</w:t>
      </w:r>
      <w:r w:rsidR="00677B51">
        <w:rPr>
          <w:rFonts w:asciiTheme="majorBidi" w:hAnsiTheme="majorBidi" w:cstheme="majorBidi"/>
          <w:color w:val="000000" w:themeColor="text1"/>
          <w:sz w:val="24"/>
          <w:szCs w:val="28"/>
        </w:rPr>
        <w:t>)</w:t>
      </w:r>
      <w:r w:rsidR="00102EA7">
        <w:rPr>
          <w:rFonts w:asciiTheme="majorBidi" w:hAnsiTheme="majorBidi" w:cstheme="majorBidi"/>
          <w:color w:val="000000" w:themeColor="text1"/>
          <w:sz w:val="24"/>
          <w:szCs w:val="28"/>
        </w:rPr>
        <w:t>.</w:t>
      </w:r>
      <w:r w:rsidR="002A49B3">
        <w:rPr>
          <w:rFonts w:asciiTheme="majorBidi" w:hAnsiTheme="majorBidi" w:cstheme="majorBidi"/>
          <w:color w:val="000000" w:themeColor="text1"/>
          <w:sz w:val="24"/>
          <w:szCs w:val="28"/>
        </w:rPr>
        <w:t xml:space="preserve"> The results </w:t>
      </w:r>
      <w:r w:rsidR="009E6277">
        <w:rPr>
          <w:rFonts w:asciiTheme="majorBidi" w:hAnsiTheme="majorBidi" w:cstheme="majorBidi"/>
          <w:color w:val="000000" w:themeColor="text1"/>
          <w:sz w:val="24"/>
          <w:szCs w:val="28"/>
        </w:rPr>
        <w:t>of using these alternative narcissism measures (</w:t>
      </w:r>
      <w:proofErr w:type="spellStart"/>
      <w:r w:rsidR="009E6277">
        <w:rPr>
          <w:rFonts w:asciiTheme="majorBidi" w:hAnsiTheme="majorBidi" w:cstheme="majorBidi"/>
          <w:color w:val="000000" w:themeColor="text1"/>
          <w:sz w:val="24"/>
          <w:szCs w:val="28"/>
        </w:rPr>
        <w:t>untabulated</w:t>
      </w:r>
      <w:proofErr w:type="spellEnd"/>
      <w:r w:rsidR="009E6277">
        <w:rPr>
          <w:rFonts w:asciiTheme="majorBidi" w:hAnsiTheme="majorBidi" w:cstheme="majorBidi"/>
          <w:color w:val="000000" w:themeColor="text1"/>
          <w:sz w:val="24"/>
          <w:szCs w:val="28"/>
        </w:rPr>
        <w:t xml:space="preserve"> in this paper) are </w:t>
      </w:r>
      <w:r w:rsidR="002A49B3">
        <w:rPr>
          <w:rFonts w:asciiTheme="majorBidi" w:hAnsiTheme="majorBidi" w:cstheme="majorBidi"/>
          <w:color w:val="000000" w:themeColor="text1"/>
          <w:sz w:val="24"/>
          <w:szCs w:val="28"/>
        </w:rPr>
        <w:t xml:space="preserve">consistent with our </w:t>
      </w:r>
      <w:r w:rsidR="00B935DA">
        <w:rPr>
          <w:rFonts w:asciiTheme="majorBidi" w:hAnsiTheme="majorBidi" w:cstheme="majorBidi"/>
          <w:color w:val="000000" w:themeColor="text1"/>
          <w:sz w:val="24"/>
          <w:szCs w:val="28"/>
        </w:rPr>
        <w:t>main finding</w:t>
      </w:r>
      <w:r w:rsidR="003C5940">
        <w:rPr>
          <w:rFonts w:asciiTheme="majorBidi" w:hAnsiTheme="majorBidi" w:cstheme="majorBidi"/>
          <w:color w:val="000000" w:themeColor="text1"/>
          <w:sz w:val="24"/>
          <w:szCs w:val="28"/>
        </w:rPr>
        <w:t xml:space="preserve">s that </w:t>
      </w:r>
      <w:r w:rsidR="00D55041">
        <w:rPr>
          <w:rFonts w:asciiTheme="majorBidi" w:hAnsiTheme="majorBidi" w:cstheme="majorBidi"/>
          <w:color w:val="000000" w:themeColor="text1"/>
          <w:sz w:val="24"/>
          <w:szCs w:val="28"/>
        </w:rPr>
        <w:t xml:space="preserve">the presence </w:t>
      </w:r>
      <w:r w:rsidR="00D93710">
        <w:rPr>
          <w:rFonts w:asciiTheme="majorBidi" w:hAnsiTheme="majorBidi" w:cstheme="majorBidi"/>
          <w:color w:val="000000" w:themeColor="text1"/>
          <w:sz w:val="24"/>
          <w:szCs w:val="28"/>
        </w:rPr>
        <w:t xml:space="preserve">of </w:t>
      </w:r>
      <w:r w:rsidR="00B24BAB">
        <w:rPr>
          <w:rFonts w:asciiTheme="majorBidi" w:hAnsiTheme="majorBidi" w:cstheme="majorBidi"/>
          <w:color w:val="000000" w:themeColor="text1"/>
          <w:sz w:val="24"/>
          <w:szCs w:val="28"/>
        </w:rPr>
        <w:t xml:space="preserve">AC chair narcissism has </w:t>
      </w:r>
      <w:r w:rsidR="0000066E">
        <w:rPr>
          <w:rFonts w:asciiTheme="majorBidi" w:hAnsiTheme="majorBidi" w:cstheme="majorBidi"/>
          <w:color w:val="000000" w:themeColor="text1"/>
          <w:sz w:val="24"/>
          <w:szCs w:val="28"/>
        </w:rPr>
        <w:t>adverse</w:t>
      </w:r>
      <w:r w:rsidR="00B24BAB">
        <w:rPr>
          <w:rFonts w:asciiTheme="majorBidi" w:hAnsiTheme="majorBidi" w:cstheme="majorBidi"/>
          <w:color w:val="000000" w:themeColor="text1"/>
          <w:sz w:val="24"/>
          <w:szCs w:val="28"/>
        </w:rPr>
        <w:t xml:space="preserve"> effects </w:t>
      </w:r>
      <w:r w:rsidR="00ED00F4">
        <w:rPr>
          <w:rFonts w:asciiTheme="majorBidi" w:hAnsiTheme="majorBidi" w:cstheme="majorBidi"/>
          <w:color w:val="000000" w:themeColor="text1"/>
          <w:sz w:val="24"/>
          <w:szCs w:val="28"/>
        </w:rPr>
        <w:t>on the quality of</w:t>
      </w:r>
      <w:r w:rsidR="005F782B">
        <w:rPr>
          <w:rFonts w:asciiTheme="majorBidi" w:hAnsiTheme="majorBidi" w:cstheme="majorBidi"/>
          <w:color w:val="000000" w:themeColor="text1"/>
          <w:sz w:val="24"/>
          <w:szCs w:val="28"/>
        </w:rPr>
        <w:t xml:space="preserve"> firms</w:t>
      </w:r>
      <w:r w:rsidR="00311747">
        <w:rPr>
          <w:rFonts w:asciiTheme="majorBidi" w:hAnsiTheme="majorBidi" w:cstheme="majorBidi"/>
          <w:color w:val="000000" w:themeColor="text1"/>
          <w:sz w:val="24"/>
          <w:szCs w:val="28"/>
        </w:rPr>
        <w:t>’</w:t>
      </w:r>
      <w:r w:rsidR="00ED00F4">
        <w:rPr>
          <w:rFonts w:asciiTheme="majorBidi" w:hAnsiTheme="majorBidi" w:cstheme="majorBidi"/>
          <w:color w:val="000000" w:themeColor="text1"/>
          <w:sz w:val="24"/>
          <w:szCs w:val="28"/>
        </w:rPr>
        <w:t xml:space="preserve"> </w:t>
      </w:r>
      <w:r w:rsidR="005F782B">
        <w:rPr>
          <w:rFonts w:asciiTheme="majorBidi" w:hAnsiTheme="majorBidi" w:cstheme="majorBidi"/>
          <w:color w:val="000000" w:themeColor="text1"/>
          <w:sz w:val="24"/>
          <w:szCs w:val="28"/>
        </w:rPr>
        <w:t>non-IFRS exclusions.</w:t>
      </w:r>
    </w:p>
    <w:p w14:paraId="653970D4" w14:textId="5CAEEA2C" w:rsidR="002528F2" w:rsidRPr="00D0435A" w:rsidRDefault="00E01C5D" w:rsidP="00D0435A">
      <w:pPr>
        <w:pStyle w:val="Heading3"/>
        <w:spacing w:line="276" w:lineRule="auto"/>
        <w:rPr>
          <w:rFonts w:asciiTheme="majorBidi" w:hAnsiTheme="majorBidi"/>
          <w:i/>
          <w:iCs/>
          <w:color w:val="000000" w:themeColor="text1"/>
          <w:sz w:val="28"/>
          <w:szCs w:val="28"/>
        </w:rPr>
      </w:pPr>
      <w:r>
        <w:rPr>
          <w:rFonts w:asciiTheme="majorBidi" w:hAnsiTheme="majorBidi"/>
          <w:i/>
          <w:iCs/>
          <w:color w:val="000000" w:themeColor="text1"/>
          <w:sz w:val="28"/>
          <w:szCs w:val="28"/>
        </w:rPr>
        <w:t>6</w:t>
      </w:r>
      <w:r w:rsidR="004E0DDE" w:rsidRPr="0087365D">
        <w:rPr>
          <w:rFonts w:asciiTheme="majorBidi" w:hAnsiTheme="majorBidi"/>
          <w:i/>
          <w:iCs/>
          <w:color w:val="000000" w:themeColor="text1"/>
          <w:sz w:val="28"/>
          <w:szCs w:val="28"/>
        </w:rPr>
        <w:t>.</w:t>
      </w:r>
      <w:r w:rsidR="008150DE" w:rsidRPr="0087365D">
        <w:rPr>
          <w:rFonts w:asciiTheme="majorBidi" w:hAnsiTheme="majorBidi"/>
          <w:i/>
          <w:iCs/>
          <w:color w:val="000000" w:themeColor="text1"/>
          <w:sz w:val="28"/>
          <w:szCs w:val="28"/>
        </w:rPr>
        <w:t>6</w:t>
      </w:r>
      <w:r w:rsidR="004E0DDE" w:rsidRPr="0087365D">
        <w:rPr>
          <w:rFonts w:asciiTheme="majorBidi" w:hAnsiTheme="majorBidi"/>
          <w:i/>
          <w:iCs/>
          <w:color w:val="000000" w:themeColor="text1"/>
          <w:sz w:val="28"/>
          <w:szCs w:val="28"/>
        </w:rPr>
        <w:t>.</w:t>
      </w:r>
      <w:r w:rsidR="00D91A82" w:rsidRPr="0087365D">
        <w:rPr>
          <w:rFonts w:asciiTheme="majorBidi" w:hAnsiTheme="majorBidi"/>
          <w:i/>
          <w:iCs/>
          <w:color w:val="000000" w:themeColor="text1"/>
          <w:sz w:val="28"/>
          <w:szCs w:val="28"/>
        </w:rPr>
        <w:t>3</w:t>
      </w:r>
      <w:r w:rsidR="001240FD" w:rsidRPr="0087365D">
        <w:rPr>
          <w:rFonts w:asciiTheme="majorBidi" w:hAnsiTheme="majorBidi"/>
          <w:i/>
          <w:iCs/>
          <w:color w:val="000000" w:themeColor="text1"/>
          <w:sz w:val="28"/>
          <w:szCs w:val="28"/>
        </w:rPr>
        <w:t>.</w:t>
      </w:r>
      <w:r w:rsidR="004E0DDE" w:rsidRPr="0087365D">
        <w:rPr>
          <w:rFonts w:asciiTheme="majorBidi" w:hAnsiTheme="majorBidi"/>
          <w:i/>
          <w:iCs/>
          <w:color w:val="000000" w:themeColor="text1"/>
          <w:sz w:val="28"/>
          <w:szCs w:val="28"/>
        </w:rPr>
        <w:t xml:space="preserve"> Control</w:t>
      </w:r>
      <w:r w:rsidR="0066519D">
        <w:rPr>
          <w:rFonts w:asciiTheme="majorBidi" w:hAnsiTheme="majorBidi"/>
          <w:i/>
          <w:iCs/>
          <w:color w:val="000000" w:themeColor="text1"/>
          <w:sz w:val="28"/>
          <w:szCs w:val="28"/>
        </w:rPr>
        <w:t>ling</w:t>
      </w:r>
      <w:r w:rsidR="004E0DDE" w:rsidRPr="0087365D">
        <w:rPr>
          <w:rFonts w:asciiTheme="majorBidi" w:hAnsiTheme="majorBidi"/>
          <w:i/>
          <w:iCs/>
          <w:color w:val="000000" w:themeColor="text1"/>
          <w:sz w:val="28"/>
          <w:szCs w:val="28"/>
        </w:rPr>
        <w:t xml:space="preserve"> for </w:t>
      </w:r>
      <w:r w:rsidR="0066519D">
        <w:rPr>
          <w:rFonts w:asciiTheme="majorBidi" w:hAnsiTheme="majorBidi"/>
          <w:i/>
          <w:iCs/>
          <w:color w:val="000000" w:themeColor="text1"/>
          <w:sz w:val="28"/>
          <w:szCs w:val="28"/>
        </w:rPr>
        <w:t>l</w:t>
      </w:r>
      <w:r w:rsidR="004E0DDE" w:rsidRPr="0087365D">
        <w:rPr>
          <w:rFonts w:asciiTheme="majorBidi" w:hAnsiTheme="majorBidi"/>
          <w:i/>
          <w:iCs/>
          <w:color w:val="000000" w:themeColor="text1"/>
          <w:sz w:val="28"/>
          <w:szCs w:val="28"/>
        </w:rPr>
        <w:t xml:space="preserve">etter </w:t>
      </w:r>
      <w:r w:rsidR="0066519D">
        <w:rPr>
          <w:rFonts w:asciiTheme="majorBidi" w:hAnsiTheme="majorBidi"/>
          <w:i/>
          <w:iCs/>
          <w:color w:val="000000" w:themeColor="text1"/>
          <w:sz w:val="28"/>
          <w:szCs w:val="28"/>
        </w:rPr>
        <w:t>s</w:t>
      </w:r>
      <w:r w:rsidR="004E0DDE" w:rsidRPr="0087365D">
        <w:rPr>
          <w:rFonts w:asciiTheme="majorBidi" w:hAnsiTheme="majorBidi"/>
          <w:i/>
          <w:iCs/>
          <w:color w:val="000000" w:themeColor="text1"/>
          <w:sz w:val="28"/>
          <w:szCs w:val="28"/>
        </w:rPr>
        <w:t>ize</w:t>
      </w:r>
    </w:p>
    <w:p w14:paraId="4BE202C6" w14:textId="52565E11" w:rsidR="002F2A2F" w:rsidRDefault="00D0435A" w:rsidP="00D0435A">
      <w:pPr>
        <w:spacing w:line="480" w:lineRule="auto"/>
        <w:ind w:left="284"/>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We conduct a robustness test controlling for letter size. Letter size might </w:t>
      </w:r>
      <w:r w:rsidR="00311747">
        <w:rPr>
          <w:rFonts w:asciiTheme="majorBidi" w:hAnsiTheme="majorBidi" w:cstheme="majorBidi"/>
          <w:color w:val="000000" w:themeColor="text1"/>
          <w:sz w:val="24"/>
          <w:szCs w:val="28"/>
        </w:rPr>
        <w:t>bring</w:t>
      </w:r>
      <w:r w:rsidR="00311747" w:rsidRPr="005E73C2">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bias to our results, </w:t>
      </w:r>
      <w:r w:rsidR="00311747">
        <w:rPr>
          <w:rFonts w:asciiTheme="majorBidi" w:hAnsiTheme="majorBidi" w:cstheme="majorBidi"/>
          <w:color w:val="000000" w:themeColor="text1"/>
          <w:sz w:val="24"/>
          <w:szCs w:val="28"/>
        </w:rPr>
        <w:t>given that</w:t>
      </w:r>
      <w:r w:rsidR="00311747" w:rsidRPr="005E73C2">
        <w:rPr>
          <w:rFonts w:asciiTheme="majorBidi" w:hAnsiTheme="majorBidi" w:cstheme="majorBidi"/>
          <w:color w:val="000000" w:themeColor="text1"/>
          <w:sz w:val="24"/>
          <w:szCs w:val="28"/>
        </w:rPr>
        <w:t xml:space="preserve"> </w:t>
      </w:r>
      <w:r w:rsidR="004E0DDE" w:rsidRPr="005E73C2">
        <w:rPr>
          <w:rFonts w:asciiTheme="majorBidi" w:hAnsiTheme="majorBidi" w:cstheme="majorBidi"/>
          <w:color w:val="000000" w:themeColor="text1"/>
          <w:sz w:val="24"/>
          <w:szCs w:val="28"/>
        </w:rPr>
        <w:t xml:space="preserve">we measure the narcissism of AC chairs </w:t>
      </w:r>
      <w:r w:rsidR="00311747">
        <w:rPr>
          <w:rFonts w:asciiTheme="majorBidi" w:hAnsiTheme="majorBidi" w:cstheme="majorBidi"/>
          <w:color w:val="000000" w:themeColor="text1"/>
          <w:sz w:val="24"/>
          <w:szCs w:val="28"/>
        </w:rPr>
        <w:t>using</w:t>
      </w:r>
      <w:r w:rsidR="004E0DDE" w:rsidRPr="005E73C2">
        <w:rPr>
          <w:rFonts w:asciiTheme="majorBidi" w:hAnsiTheme="majorBidi" w:cstheme="majorBidi"/>
          <w:color w:val="000000" w:themeColor="text1"/>
          <w:sz w:val="24"/>
          <w:szCs w:val="28"/>
        </w:rPr>
        <w:t xml:space="preserve"> their handwritten signatures. Signatures generally consist of a string of letters</w:t>
      </w:r>
      <w:r w:rsidR="00311747">
        <w:rPr>
          <w:rFonts w:asciiTheme="majorBidi" w:hAnsiTheme="majorBidi" w:cstheme="majorBidi"/>
          <w:color w:val="000000" w:themeColor="text1"/>
          <w:sz w:val="24"/>
          <w:szCs w:val="28"/>
        </w:rPr>
        <w:t xml:space="preserve"> and </w:t>
      </w:r>
      <w:r w:rsidR="004E0DDE" w:rsidRPr="005E73C2">
        <w:rPr>
          <w:rFonts w:asciiTheme="majorBidi" w:hAnsiTheme="majorBidi" w:cstheme="majorBidi"/>
          <w:color w:val="000000" w:themeColor="text1"/>
          <w:sz w:val="24"/>
          <w:szCs w:val="28"/>
        </w:rPr>
        <w:t xml:space="preserve">the space that each </w:t>
      </w:r>
      <w:r w:rsidR="00311747">
        <w:rPr>
          <w:rFonts w:asciiTheme="majorBidi" w:hAnsiTheme="majorBidi" w:cstheme="majorBidi"/>
          <w:color w:val="000000" w:themeColor="text1"/>
          <w:sz w:val="24"/>
          <w:szCs w:val="28"/>
        </w:rPr>
        <w:t>one</w:t>
      </w:r>
      <w:r w:rsidR="004E0DDE" w:rsidRPr="005E73C2">
        <w:rPr>
          <w:rFonts w:asciiTheme="majorBidi" w:hAnsiTheme="majorBidi" w:cstheme="majorBidi"/>
          <w:color w:val="000000" w:themeColor="text1"/>
          <w:sz w:val="24"/>
          <w:szCs w:val="28"/>
        </w:rPr>
        <w:t xml:space="preserve"> fills is very likely different. Thus, our measure of narcissism might simply reflect random deviation in letter size in </w:t>
      </w:r>
      <w:r w:rsidR="00311747">
        <w:rPr>
          <w:rFonts w:asciiTheme="majorBidi" w:hAnsiTheme="majorBidi" w:cstheme="majorBidi"/>
          <w:color w:val="000000" w:themeColor="text1"/>
          <w:sz w:val="24"/>
          <w:szCs w:val="28"/>
        </w:rPr>
        <w:t>each</w:t>
      </w:r>
      <w:r w:rsidR="004E0DDE" w:rsidRPr="005E73C2">
        <w:rPr>
          <w:rFonts w:asciiTheme="majorBidi" w:hAnsiTheme="majorBidi" w:cstheme="majorBidi"/>
          <w:color w:val="000000" w:themeColor="text1"/>
          <w:sz w:val="24"/>
          <w:szCs w:val="28"/>
        </w:rPr>
        <w:t xml:space="preserve"> signature. </w:t>
      </w:r>
      <w:r w:rsidR="008F747B">
        <w:rPr>
          <w:rFonts w:asciiTheme="majorBidi" w:hAnsiTheme="majorBidi" w:cstheme="majorBidi"/>
          <w:color w:val="000000" w:themeColor="text1"/>
          <w:sz w:val="24"/>
          <w:szCs w:val="28"/>
        </w:rPr>
        <w:t xml:space="preserve">We </w:t>
      </w:r>
      <w:r w:rsidR="00386559">
        <w:rPr>
          <w:rFonts w:asciiTheme="majorBidi" w:hAnsiTheme="majorBidi" w:cstheme="majorBidi"/>
          <w:color w:val="000000" w:themeColor="text1"/>
          <w:sz w:val="24"/>
          <w:szCs w:val="28"/>
        </w:rPr>
        <w:t>use</w:t>
      </w:r>
      <w:r w:rsidR="008F747B">
        <w:rPr>
          <w:rFonts w:asciiTheme="majorBidi" w:hAnsiTheme="majorBidi" w:cstheme="majorBidi"/>
          <w:color w:val="000000" w:themeColor="text1"/>
          <w:sz w:val="24"/>
          <w:szCs w:val="28"/>
        </w:rPr>
        <w:t xml:space="preserve"> </w:t>
      </w:r>
      <w:r w:rsidR="00CA1E9E">
        <w:rPr>
          <w:rFonts w:asciiTheme="majorBidi" w:hAnsiTheme="majorBidi" w:cstheme="majorBidi"/>
          <w:color w:val="000000" w:themeColor="text1"/>
          <w:sz w:val="24"/>
          <w:szCs w:val="28"/>
        </w:rPr>
        <w:t xml:space="preserve">ImageJ software </w:t>
      </w:r>
      <w:r w:rsidR="003F5F10">
        <w:rPr>
          <w:rFonts w:asciiTheme="majorBidi" w:hAnsiTheme="majorBidi" w:cstheme="majorBidi"/>
          <w:color w:val="000000" w:themeColor="text1"/>
          <w:sz w:val="24"/>
          <w:szCs w:val="28"/>
        </w:rPr>
        <w:t xml:space="preserve">to </w:t>
      </w:r>
      <w:r w:rsidR="007C3A4C">
        <w:rPr>
          <w:rFonts w:asciiTheme="majorBidi" w:hAnsiTheme="majorBidi" w:cstheme="majorBidi"/>
          <w:color w:val="000000" w:themeColor="text1"/>
          <w:sz w:val="24"/>
          <w:szCs w:val="28"/>
        </w:rPr>
        <w:t xml:space="preserve">create </w:t>
      </w:r>
      <w:r w:rsidR="00FA460C">
        <w:rPr>
          <w:rFonts w:asciiTheme="majorBidi" w:hAnsiTheme="majorBidi" w:cstheme="majorBidi"/>
          <w:color w:val="000000" w:themeColor="text1"/>
          <w:sz w:val="24"/>
          <w:szCs w:val="28"/>
        </w:rPr>
        <w:t xml:space="preserve">a new measure of narcissism </w:t>
      </w:r>
      <w:r w:rsidR="00DC55D1">
        <w:rPr>
          <w:rFonts w:asciiTheme="majorBidi" w:hAnsiTheme="majorBidi" w:cstheme="majorBidi"/>
          <w:color w:val="000000" w:themeColor="text1"/>
          <w:sz w:val="24"/>
          <w:szCs w:val="28"/>
        </w:rPr>
        <w:t xml:space="preserve">based on the </w:t>
      </w:r>
      <w:r w:rsidR="005D26C2">
        <w:rPr>
          <w:rFonts w:asciiTheme="majorBidi" w:hAnsiTheme="majorBidi" w:cstheme="majorBidi"/>
          <w:color w:val="000000" w:themeColor="text1"/>
          <w:sz w:val="24"/>
          <w:szCs w:val="28"/>
        </w:rPr>
        <w:t xml:space="preserve">average </w:t>
      </w:r>
      <w:r w:rsidR="00DC55D1">
        <w:rPr>
          <w:rFonts w:asciiTheme="majorBidi" w:hAnsiTheme="majorBidi" w:cstheme="majorBidi"/>
          <w:color w:val="000000" w:themeColor="text1"/>
          <w:sz w:val="24"/>
          <w:szCs w:val="28"/>
        </w:rPr>
        <w:t xml:space="preserve">pixel size </w:t>
      </w:r>
      <w:r w:rsidR="00CF645E">
        <w:rPr>
          <w:rFonts w:asciiTheme="majorBidi" w:hAnsiTheme="majorBidi" w:cstheme="majorBidi"/>
          <w:color w:val="000000" w:themeColor="text1"/>
          <w:sz w:val="24"/>
          <w:szCs w:val="28"/>
        </w:rPr>
        <w:t xml:space="preserve">per letter of </w:t>
      </w:r>
      <w:r w:rsidR="00311747">
        <w:rPr>
          <w:rFonts w:asciiTheme="majorBidi" w:hAnsiTheme="majorBidi" w:cstheme="majorBidi"/>
          <w:color w:val="000000" w:themeColor="text1"/>
          <w:sz w:val="24"/>
          <w:szCs w:val="28"/>
        </w:rPr>
        <w:t>each</w:t>
      </w:r>
      <w:r w:rsidR="00CF645E">
        <w:rPr>
          <w:rFonts w:asciiTheme="majorBidi" w:hAnsiTheme="majorBidi" w:cstheme="majorBidi"/>
          <w:color w:val="000000" w:themeColor="text1"/>
          <w:sz w:val="24"/>
          <w:szCs w:val="28"/>
        </w:rPr>
        <w:t xml:space="preserve"> AC chair</w:t>
      </w:r>
      <w:r w:rsidR="00124A59">
        <w:rPr>
          <w:rFonts w:asciiTheme="majorBidi" w:hAnsiTheme="majorBidi" w:cstheme="majorBidi"/>
          <w:color w:val="000000" w:themeColor="text1"/>
          <w:sz w:val="24"/>
          <w:szCs w:val="28"/>
        </w:rPr>
        <w:t>’s signature.</w:t>
      </w:r>
      <w:r w:rsidR="00A65A40">
        <w:rPr>
          <w:rFonts w:asciiTheme="majorBidi" w:hAnsiTheme="majorBidi" w:cstheme="majorBidi"/>
          <w:color w:val="000000" w:themeColor="text1"/>
          <w:sz w:val="24"/>
          <w:szCs w:val="28"/>
        </w:rPr>
        <w:t xml:space="preserve"> </w:t>
      </w:r>
      <w:r w:rsidR="00A52373" w:rsidRPr="00A52373">
        <w:rPr>
          <w:rFonts w:asciiTheme="majorBidi" w:hAnsiTheme="majorBidi" w:cstheme="majorBidi"/>
          <w:color w:val="000000" w:themeColor="text1"/>
          <w:sz w:val="24"/>
          <w:szCs w:val="28"/>
        </w:rPr>
        <w:t xml:space="preserve">ImageJ is a powerful image editing software that allows us to </w:t>
      </w:r>
      <w:r w:rsidR="00A121E7">
        <w:rPr>
          <w:rFonts w:asciiTheme="majorBidi" w:hAnsiTheme="majorBidi" w:cstheme="majorBidi"/>
          <w:color w:val="000000" w:themeColor="text1"/>
          <w:sz w:val="24"/>
          <w:szCs w:val="28"/>
        </w:rPr>
        <w:t>transf</w:t>
      </w:r>
      <w:r w:rsidR="00311747">
        <w:rPr>
          <w:rFonts w:asciiTheme="majorBidi" w:hAnsiTheme="majorBidi" w:cstheme="majorBidi"/>
          <w:color w:val="000000" w:themeColor="text1"/>
          <w:sz w:val="24"/>
          <w:szCs w:val="28"/>
        </w:rPr>
        <w:t>orm</w:t>
      </w:r>
      <w:r w:rsidR="00A121E7">
        <w:rPr>
          <w:rFonts w:asciiTheme="majorBidi" w:hAnsiTheme="majorBidi" w:cstheme="majorBidi"/>
          <w:color w:val="000000" w:themeColor="text1"/>
          <w:sz w:val="24"/>
          <w:szCs w:val="28"/>
        </w:rPr>
        <w:t xml:space="preserve"> any page of an annual report </w:t>
      </w:r>
      <w:r w:rsidR="006D5612">
        <w:rPr>
          <w:rFonts w:asciiTheme="majorBidi" w:hAnsiTheme="majorBidi" w:cstheme="majorBidi"/>
          <w:color w:val="000000" w:themeColor="text1"/>
          <w:sz w:val="24"/>
          <w:szCs w:val="28"/>
        </w:rPr>
        <w:t xml:space="preserve">to </w:t>
      </w:r>
      <w:r w:rsidR="00D97CE7">
        <w:rPr>
          <w:rFonts w:asciiTheme="majorBidi" w:hAnsiTheme="majorBidi" w:cstheme="majorBidi"/>
          <w:color w:val="000000" w:themeColor="text1"/>
          <w:sz w:val="24"/>
          <w:szCs w:val="28"/>
        </w:rPr>
        <w:t>a unified</w:t>
      </w:r>
      <w:r w:rsidR="00F35999">
        <w:rPr>
          <w:rFonts w:asciiTheme="majorBidi" w:hAnsiTheme="majorBidi" w:cstheme="majorBidi"/>
          <w:color w:val="000000" w:themeColor="text1"/>
          <w:sz w:val="24"/>
          <w:szCs w:val="28"/>
        </w:rPr>
        <w:t xml:space="preserve"> image file </w:t>
      </w:r>
      <w:r w:rsidR="00D97CE7">
        <w:rPr>
          <w:rFonts w:asciiTheme="majorBidi" w:hAnsiTheme="majorBidi" w:cstheme="majorBidi"/>
          <w:color w:val="000000" w:themeColor="text1"/>
          <w:sz w:val="24"/>
          <w:szCs w:val="28"/>
        </w:rPr>
        <w:t xml:space="preserve">with </w:t>
      </w:r>
      <w:r w:rsidR="00311747">
        <w:rPr>
          <w:rFonts w:asciiTheme="majorBidi" w:hAnsiTheme="majorBidi" w:cstheme="majorBidi"/>
          <w:color w:val="000000" w:themeColor="text1"/>
          <w:sz w:val="24"/>
          <w:szCs w:val="28"/>
        </w:rPr>
        <w:t xml:space="preserve">the </w:t>
      </w:r>
      <w:r w:rsidR="00D97CE7">
        <w:rPr>
          <w:rFonts w:asciiTheme="majorBidi" w:hAnsiTheme="majorBidi" w:cstheme="majorBidi"/>
          <w:color w:val="000000" w:themeColor="text1"/>
          <w:sz w:val="24"/>
          <w:szCs w:val="28"/>
        </w:rPr>
        <w:t xml:space="preserve">same </w:t>
      </w:r>
      <w:r w:rsidR="00311747">
        <w:rPr>
          <w:rFonts w:asciiTheme="majorBidi" w:hAnsiTheme="majorBidi" w:cstheme="majorBidi"/>
          <w:color w:val="000000" w:themeColor="text1"/>
          <w:sz w:val="24"/>
          <w:szCs w:val="28"/>
        </w:rPr>
        <w:t xml:space="preserve">content and </w:t>
      </w:r>
      <w:r w:rsidR="00D97CE7">
        <w:rPr>
          <w:rFonts w:asciiTheme="majorBidi" w:hAnsiTheme="majorBidi" w:cstheme="majorBidi"/>
          <w:color w:val="000000" w:themeColor="text1"/>
          <w:sz w:val="24"/>
          <w:szCs w:val="28"/>
        </w:rPr>
        <w:t>attributes.</w:t>
      </w:r>
      <w:r w:rsidR="00A52373" w:rsidRPr="00A52373" w:rsidDel="003E7278">
        <w:rPr>
          <w:rFonts w:asciiTheme="majorBidi" w:hAnsiTheme="majorBidi" w:cstheme="majorBidi"/>
          <w:color w:val="000000" w:themeColor="text1"/>
          <w:sz w:val="24"/>
          <w:szCs w:val="28"/>
        </w:rPr>
        <w:t xml:space="preserve"> </w:t>
      </w:r>
      <w:r w:rsidR="00FE0F70">
        <w:rPr>
          <w:rFonts w:asciiTheme="majorBidi" w:hAnsiTheme="majorBidi" w:cstheme="majorBidi"/>
          <w:color w:val="000000" w:themeColor="text1"/>
          <w:sz w:val="24"/>
          <w:szCs w:val="28"/>
        </w:rPr>
        <w:t xml:space="preserve">In </w:t>
      </w:r>
      <w:r w:rsidR="00C6639B">
        <w:rPr>
          <w:rFonts w:asciiTheme="majorBidi" w:hAnsiTheme="majorBidi" w:cstheme="majorBidi"/>
          <w:color w:val="000000" w:themeColor="text1"/>
          <w:sz w:val="24"/>
          <w:szCs w:val="28"/>
        </w:rPr>
        <w:t xml:space="preserve">the </w:t>
      </w:r>
      <w:proofErr w:type="spellStart"/>
      <w:r w:rsidR="00FE0F70">
        <w:rPr>
          <w:rFonts w:asciiTheme="majorBidi" w:hAnsiTheme="majorBidi" w:cstheme="majorBidi"/>
          <w:color w:val="000000" w:themeColor="text1"/>
          <w:sz w:val="24"/>
          <w:szCs w:val="28"/>
        </w:rPr>
        <w:t>untabulated</w:t>
      </w:r>
      <w:proofErr w:type="spellEnd"/>
      <w:r w:rsidR="00FE0F70">
        <w:rPr>
          <w:rFonts w:asciiTheme="majorBidi" w:hAnsiTheme="majorBidi" w:cstheme="majorBidi"/>
          <w:color w:val="000000" w:themeColor="text1"/>
          <w:sz w:val="24"/>
          <w:szCs w:val="28"/>
        </w:rPr>
        <w:t xml:space="preserve"> results,</w:t>
      </w:r>
      <w:r w:rsidR="001B6763">
        <w:rPr>
          <w:rFonts w:asciiTheme="majorBidi" w:hAnsiTheme="majorBidi" w:cstheme="majorBidi"/>
          <w:color w:val="000000" w:themeColor="text1"/>
          <w:sz w:val="24"/>
          <w:szCs w:val="28"/>
        </w:rPr>
        <w:t xml:space="preserve"> </w:t>
      </w:r>
      <w:r w:rsidR="00FE0F70">
        <w:rPr>
          <w:rFonts w:asciiTheme="majorBidi" w:hAnsiTheme="majorBidi" w:cstheme="majorBidi"/>
          <w:color w:val="000000" w:themeColor="text1"/>
          <w:sz w:val="24"/>
          <w:szCs w:val="28"/>
        </w:rPr>
        <w:t xml:space="preserve">we </w:t>
      </w:r>
      <w:r w:rsidR="003E7278">
        <w:rPr>
          <w:rFonts w:asciiTheme="majorBidi" w:hAnsiTheme="majorBidi" w:cstheme="majorBidi"/>
          <w:color w:val="000000" w:themeColor="text1"/>
          <w:sz w:val="24"/>
          <w:szCs w:val="28"/>
        </w:rPr>
        <w:t xml:space="preserve">find that our </w:t>
      </w:r>
      <w:r w:rsidR="003C3457">
        <w:rPr>
          <w:rFonts w:asciiTheme="majorBidi" w:hAnsiTheme="majorBidi" w:cstheme="majorBidi"/>
          <w:color w:val="000000" w:themeColor="text1"/>
          <w:sz w:val="24"/>
          <w:szCs w:val="28"/>
        </w:rPr>
        <w:t xml:space="preserve">findings still hold </w:t>
      </w:r>
      <w:r w:rsidR="003C5AC8">
        <w:rPr>
          <w:rFonts w:asciiTheme="majorBidi" w:hAnsiTheme="majorBidi" w:cstheme="majorBidi"/>
          <w:color w:val="000000" w:themeColor="text1"/>
          <w:sz w:val="24"/>
          <w:szCs w:val="28"/>
        </w:rPr>
        <w:t xml:space="preserve">when using </w:t>
      </w:r>
      <w:r w:rsidR="00B4570D">
        <w:rPr>
          <w:rFonts w:asciiTheme="majorBidi" w:hAnsiTheme="majorBidi" w:cstheme="majorBidi"/>
          <w:color w:val="000000" w:themeColor="text1"/>
          <w:sz w:val="24"/>
          <w:szCs w:val="28"/>
        </w:rPr>
        <w:t xml:space="preserve">this alternative measure </w:t>
      </w:r>
      <w:r w:rsidR="00323EA3">
        <w:rPr>
          <w:rFonts w:asciiTheme="majorBidi" w:hAnsiTheme="majorBidi" w:cstheme="majorBidi"/>
          <w:color w:val="000000" w:themeColor="text1"/>
          <w:sz w:val="24"/>
          <w:szCs w:val="28"/>
        </w:rPr>
        <w:t>of AC chair narcissism.</w:t>
      </w:r>
      <w:r w:rsidR="009B437E">
        <w:rPr>
          <w:rFonts w:asciiTheme="majorBidi" w:hAnsiTheme="majorBidi" w:cstheme="majorBidi"/>
          <w:color w:val="000000" w:themeColor="text1"/>
          <w:sz w:val="24"/>
          <w:szCs w:val="28"/>
        </w:rPr>
        <w:t xml:space="preserve"> </w:t>
      </w:r>
      <w:r w:rsidR="00E07A62">
        <w:rPr>
          <w:rFonts w:asciiTheme="majorBidi" w:hAnsiTheme="majorBidi" w:cstheme="majorBidi"/>
          <w:color w:val="000000" w:themeColor="text1"/>
          <w:sz w:val="24"/>
          <w:szCs w:val="28"/>
        </w:rPr>
        <w:t>Additionally,</w:t>
      </w:r>
      <w:r w:rsidR="00CA41D1">
        <w:rPr>
          <w:rFonts w:asciiTheme="majorBidi" w:hAnsiTheme="majorBidi" w:cstheme="majorBidi"/>
          <w:color w:val="000000" w:themeColor="text1"/>
          <w:sz w:val="24"/>
          <w:szCs w:val="28"/>
        </w:rPr>
        <w:t xml:space="preserve"> </w:t>
      </w:r>
      <w:r w:rsidR="007E6306">
        <w:rPr>
          <w:rFonts w:asciiTheme="majorBidi" w:hAnsiTheme="majorBidi" w:cstheme="majorBidi"/>
          <w:color w:val="000000" w:themeColor="text1"/>
          <w:sz w:val="24"/>
          <w:szCs w:val="28"/>
        </w:rPr>
        <w:t xml:space="preserve">we conduct a test using pixel size as a control variable in our model and find that the observed relation </w:t>
      </w:r>
      <w:r w:rsidR="008076B6">
        <w:rPr>
          <w:rFonts w:asciiTheme="majorBidi" w:hAnsiTheme="majorBidi" w:cstheme="majorBidi"/>
          <w:color w:val="000000" w:themeColor="text1"/>
          <w:sz w:val="24"/>
          <w:szCs w:val="28"/>
        </w:rPr>
        <w:t xml:space="preserve">in Table </w:t>
      </w:r>
      <w:r>
        <w:rPr>
          <w:rFonts w:asciiTheme="majorBidi" w:hAnsiTheme="majorBidi" w:cstheme="majorBidi"/>
          <w:color w:val="000000" w:themeColor="text1"/>
          <w:sz w:val="24"/>
          <w:szCs w:val="28"/>
        </w:rPr>
        <w:t>4</w:t>
      </w:r>
      <w:r w:rsidR="008076B6">
        <w:rPr>
          <w:rFonts w:asciiTheme="majorBidi" w:hAnsiTheme="majorBidi" w:cstheme="majorBidi"/>
          <w:color w:val="000000" w:themeColor="text1"/>
          <w:sz w:val="24"/>
          <w:szCs w:val="28"/>
        </w:rPr>
        <w:t xml:space="preserve"> </w:t>
      </w:r>
      <w:r w:rsidR="007E6306">
        <w:rPr>
          <w:rFonts w:asciiTheme="majorBidi" w:hAnsiTheme="majorBidi" w:cstheme="majorBidi"/>
          <w:color w:val="000000" w:themeColor="text1"/>
          <w:sz w:val="24"/>
          <w:szCs w:val="28"/>
        </w:rPr>
        <w:t>still</w:t>
      </w:r>
      <w:r w:rsidR="00613693">
        <w:rPr>
          <w:rFonts w:asciiTheme="majorBidi" w:hAnsiTheme="majorBidi" w:cstheme="majorBidi"/>
          <w:color w:val="000000" w:themeColor="text1"/>
          <w:sz w:val="24"/>
          <w:szCs w:val="28"/>
        </w:rPr>
        <w:t xml:space="preserve"> exists</w:t>
      </w:r>
      <w:r w:rsidR="008076B6">
        <w:rPr>
          <w:rFonts w:asciiTheme="majorBidi" w:hAnsiTheme="majorBidi" w:cstheme="majorBidi"/>
          <w:color w:val="000000" w:themeColor="text1"/>
          <w:sz w:val="24"/>
          <w:szCs w:val="28"/>
        </w:rPr>
        <w:t>.</w:t>
      </w:r>
    </w:p>
    <w:p w14:paraId="78A34762" w14:textId="5663A4E4" w:rsidR="002528F2" w:rsidRPr="00D0435A" w:rsidRDefault="00E01C5D" w:rsidP="00D0435A">
      <w:pPr>
        <w:pStyle w:val="Heading1"/>
        <w:spacing w:line="480" w:lineRule="auto"/>
        <w:rPr>
          <w:rFonts w:asciiTheme="majorBidi" w:hAnsiTheme="majorBidi"/>
          <w:b/>
          <w:bCs/>
          <w:color w:val="000000" w:themeColor="text1"/>
        </w:rPr>
      </w:pPr>
      <w:r>
        <w:rPr>
          <w:rFonts w:asciiTheme="majorBidi" w:hAnsiTheme="majorBidi"/>
          <w:b/>
          <w:bCs/>
          <w:color w:val="000000" w:themeColor="text1"/>
        </w:rPr>
        <w:lastRenderedPageBreak/>
        <w:t>7</w:t>
      </w:r>
      <w:r w:rsidR="001D5926" w:rsidRPr="001D5926">
        <w:rPr>
          <w:rFonts w:asciiTheme="majorBidi" w:hAnsiTheme="majorBidi"/>
          <w:b/>
          <w:bCs/>
          <w:color w:val="000000" w:themeColor="text1"/>
        </w:rPr>
        <w:t>.</w:t>
      </w:r>
      <w:r w:rsidR="004E0DDE" w:rsidRPr="001D5926">
        <w:rPr>
          <w:rFonts w:asciiTheme="majorBidi" w:hAnsiTheme="majorBidi"/>
          <w:b/>
          <w:bCs/>
          <w:color w:val="000000" w:themeColor="text1"/>
        </w:rPr>
        <w:t xml:space="preserve"> </w:t>
      </w:r>
      <w:r w:rsidR="005A2EBC" w:rsidRPr="005A2EBC">
        <w:rPr>
          <w:rFonts w:asciiTheme="majorBidi" w:hAnsiTheme="majorBidi"/>
          <w:b/>
          <w:bCs/>
          <w:color w:val="000000" w:themeColor="text1"/>
        </w:rPr>
        <w:t>Summary and conclusion</w:t>
      </w:r>
    </w:p>
    <w:p w14:paraId="28EF6CA4" w14:textId="1EBFB2D3" w:rsidR="004E0DDE" w:rsidRPr="005E73C2" w:rsidRDefault="004E0DDE">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We </w:t>
      </w:r>
      <w:r w:rsidR="00766465">
        <w:rPr>
          <w:rFonts w:asciiTheme="majorBidi" w:hAnsiTheme="majorBidi" w:cstheme="majorBidi"/>
          <w:color w:val="000000" w:themeColor="text1"/>
          <w:sz w:val="24"/>
          <w:szCs w:val="28"/>
        </w:rPr>
        <w:t xml:space="preserve">have </w:t>
      </w:r>
      <w:r w:rsidRPr="005E73C2">
        <w:rPr>
          <w:rFonts w:asciiTheme="majorBidi" w:hAnsiTheme="majorBidi" w:cstheme="majorBidi"/>
          <w:color w:val="000000" w:themeColor="text1"/>
          <w:sz w:val="24"/>
          <w:szCs w:val="28"/>
        </w:rPr>
        <w:t>investigate</w:t>
      </w:r>
      <w:r w:rsidR="00766465">
        <w:rPr>
          <w:rFonts w:asciiTheme="majorBidi" w:hAnsiTheme="majorBidi" w:cstheme="majorBidi"/>
          <w:color w:val="000000" w:themeColor="text1"/>
          <w:sz w:val="24"/>
          <w:szCs w:val="28"/>
        </w:rPr>
        <w:t>d</w:t>
      </w:r>
      <w:r w:rsidRPr="005E73C2">
        <w:rPr>
          <w:rFonts w:asciiTheme="majorBidi" w:hAnsiTheme="majorBidi" w:cstheme="majorBidi"/>
          <w:color w:val="000000" w:themeColor="text1"/>
          <w:sz w:val="24"/>
          <w:szCs w:val="28"/>
        </w:rPr>
        <w:t xml:space="preserve"> the effects of </w:t>
      </w:r>
      <w:r w:rsidR="00766465">
        <w:rPr>
          <w:rFonts w:asciiTheme="majorBidi" w:hAnsiTheme="majorBidi" w:cstheme="majorBidi"/>
          <w:color w:val="000000" w:themeColor="text1"/>
          <w:sz w:val="24"/>
          <w:szCs w:val="28"/>
        </w:rPr>
        <w:t xml:space="preserve">having a </w:t>
      </w:r>
      <w:r w:rsidRPr="005E73C2">
        <w:rPr>
          <w:rFonts w:asciiTheme="majorBidi" w:hAnsiTheme="majorBidi" w:cstheme="majorBidi"/>
          <w:color w:val="000000" w:themeColor="text1"/>
          <w:sz w:val="24"/>
          <w:szCs w:val="28"/>
        </w:rPr>
        <w:t xml:space="preserve">narcissistic AC chair on the quality of non-IFRS disclosures. Based on the narcissism literature and previous studies on AC roles, we propose that narcissism in the AC chair may affect the monitoring quality in either positive or negative ways. </w:t>
      </w:r>
      <w:r w:rsidR="004B0398">
        <w:rPr>
          <w:rFonts w:asciiTheme="majorBidi" w:hAnsiTheme="majorBidi" w:cstheme="majorBidi"/>
          <w:color w:val="000000" w:themeColor="text1"/>
          <w:sz w:val="24"/>
          <w:szCs w:val="28"/>
        </w:rPr>
        <w:t xml:space="preserve">While our baseline </w:t>
      </w:r>
      <w:r w:rsidRPr="005E73C2">
        <w:rPr>
          <w:rFonts w:asciiTheme="majorBidi" w:hAnsiTheme="majorBidi" w:cstheme="majorBidi"/>
          <w:color w:val="000000" w:themeColor="text1"/>
          <w:sz w:val="24"/>
          <w:szCs w:val="28"/>
        </w:rPr>
        <w:t xml:space="preserve">results </w:t>
      </w:r>
      <w:r w:rsidR="004B0398">
        <w:rPr>
          <w:rFonts w:asciiTheme="majorBidi" w:hAnsiTheme="majorBidi" w:cstheme="majorBidi"/>
          <w:color w:val="000000" w:themeColor="text1"/>
          <w:sz w:val="24"/>
          <w:szCs w:val="28"/>
        </w:rPr>
        <w:t>support</w:t>
      </w:r>
      <w:r w:rsidR="004B0398"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that the dark side of narcissism plays </w:t>
      </w:r>
      <w:r w:rsidR="00766465">
        <w:rPr>
          <w:rFonts w:asciiTheme="majorBidi" w:hAnsiTheme="majorBidi" w:cstheme="majorBidi"/>
          <w:color w:val="000000" w:themeColor="text1"/>
          <w:sz w:val="24"/>
          <w:szCs w:val="28"/>
        </w:rPr>
        <w:t>a</w:t>
      </w:r>
      <w:r w:rsidR="00766465"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dominant role in shaping an AC chair’s monitoring effectiveness</w:t>
      </w:r>
      <w:r w:rsidR="004B0398">
        <w:rPr>
          <w:rFonts w:asciiTheme="majorBidi" w:hAnsiTheme="majorBidi" w:cstheme="majorBidi"/>
          <w:color w:val="000000" w:themeColor="text1"/>
          <w:sz w:val="24"/>
          <w:szCs w:val="28"/>
        </w:rPr>
        <w:t>, our further analysis</w:t>
      </w:r>
      <w:r w:rsidRPr="005E73C2">
        <w:rPr>
          <w:rFonts w:asciiTheme="majorBidi" w:hAnsiTheme="majorBidi" w:cstheme="majorBidi"/>
          <w:color w:val="000000" w:themeColor="text1"/>
          <w:sz w:val="24"/>
          <w:szCs w:val="28"/>
        </w:rPr>
        <w:t xml:space="preserve"> show that the quality of non-IFRS </w:t>
      </w:r>
      <w:r w:rsidR="0038632F">
        <w:rPr>
          <w:rFonts w:asciiTheme="majorBidi" w:hAnsiTheme="majorBidi" w:cstheme="majorBidi"/>
          <w:color w:val="000000" w:themeColor="text1"/>
          <w:sz w:val="24"/>
          <w:szCs w:val="28"/>
        </w:rPr>
        <w:t>exclusions</w:t>
      </w:r>
      <w:r w:rsidRPr="005E73C2">
        <w:rPr>
          <w:rFonts w:asciiTheme="majorBidi" w:hAnsiTheme="majorBidi" w:cstheme="majorBidi"/>
          <w:color w:val="000000" w:themeColor="text1"/>
          <w:sz w:val="24"/>
          <w:szCs w:val="28"/>
        </w:rPr>
        <w:t xml:space="preserve"> improves when </w:t>
      </w:r>
      <w:r w:rsidR="00766465">
        <w:rPr>
          <w:rFonts w:asciiTheme="majorBidi" w:hAnsiTheme="majorBidi" w:cstheme="majorBidi"/>
          <w:color w:val="000000" w:themeColor="text1"/>
          <w:sz w:val="24"/>
          <w:szCs w:val="28"/>
        </w:rPr>
        <w:t>a</w:t>
      </w:r>
      <w:r w:rsidR="00766465"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narcissistic AC chair </w:t>
      </w:r>
      <w:r w:rsidR="0038632F">
        <w:rPr>
          <w:rFonts w:asciiTheme="majorBidi" w:hAnsiTheme="majorBidi" w:cstheme="majorBidi"/>
          <w:color w:val="000000" w:themeColor="text1"/>
          <w:sz w:val="24"/>
          <w:szCs w:val="28"/>
        </w:rPr>
        <w:t>is more independen</w:t>
      </w:r>
      <w:r w:rsidR="0027205C">
        <w:rPr>
          <w:rFonts w:asciiTheme="majorBidi" w:hAnsiTheme="majorBidi" w:cstheme="majorBidi"/>
          <w:color w:val="000000" w:themeColor="text1"/>
          <w:sz w:val="24"/>
          <w:szCs w:val="28"/>
        </w:rPr>
        <w:t>t (</w:t>
      </w:r>
      <w:r w:rsidR="00330E69">
        <w:rPr>
          <w:rFonts w:asciiTheme="majorBidi" w:hAnsiTheme="majorBidi" w:cstheme="majorBidi"/>
          <w:color w:val="000000" w:themeColor="text1"/>
          <w:sz w:val="24"/>
          <w:szCs w:val="28"/>
        </w:rPr>
        <w:t>with</w:t>
      </w:r>
      <w:r w:rsidR="00766465">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fewer </w:t>
      </w:r>
      <w:r w:rsidR="0027205C">
        <w:rPr>
          <w:rFonts w:asciiTheme="majorBidi" w:hAnsiTheme="majorBidi" w:cstheme="majorBidi"/>
          <w:color w:val="000000" w:themeColor="text1"/>
          <w:sz w:val="24"/>
          <w:szCs w:val="28"/>
        </w:rPr>
        <w:t>social</w:t>
      </w:r>
      <w:r w:rsidR="0038632F">
        <w:rPr>
          <w:rFonts w:asciiTheme="majorBidi" w:hAnsiTheme="majorBidi" w:cstheme="majorBidi"/>
          <w:color w:val="000000" w:themeColor="text1"/>
          <w:sz w:val="24"/>
          <w:szCs w:val="28"/>
        </w:rPr>
        <w:t xml:space="preserve"> ties with </w:t>
      </w:r>
      <w:r w:rsidR="00330E69">
        <w:rPr>
          <w:rFonts w:asciiTheme="majorBidi" w:hAnsiTheme="majorBidi" w:cstheme="majorBidi"/>
          <w:color w:val="000000" w:themeColor="text1"/>
          <w:sz w:val="24"/>
          <w:szCs w:val="28"/>
        </w:rPr>
        <w:t xml:space="preserve">senior </w:t>
      </w:r>
      <w:r w:rsidR="0038632F">
        <w:rPr>
          <w:rFonts w:asciiTheme="majorBidi" w:hAnsiTheme="majorBidi" w:cstheme="majorBidi"/>
          <w:color w:val="000000" w:themeColor="text1"/>
          <w:sz w:val="24"/>
          <w:szCs w:val="28"/>
        </w:rPr>
        <w:t>management</w:t>
      </w:r>
      <w:r w:rsidR="0027205C">
        <w:rPr>
          <w:rFonts w:asciiTheme="majorBidi" w:hAnsiTheme="majorBidi" w:cstheme="majorBidi"/>
          <w:color w:val="000000" w:themeColor="text1"/>
          <w:sz w:val="24"/>
          <w:szCs w:val="28"/>
        </w:rPr>
        <w:t>)</w:t>
      </w:r>
      <w:r w:rsidR="0038632F">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has </w:t>
      </w:r>
      <w:r w:rsidR="0038632F">
        <w:rPr>
          <w:rFonts w:asciiTheme="majorBidi" w:hAnsiTheme="majorBidi" w:cstheme="majorBidi"/>
          <w:color w:val="000000" w:themeColor="text1"/>
          <w:sz w:val="24"/>
          <w:szCs w:val="28"/>
        </w:rPr>
        <w:t>professional accounting expertise</w:t>
      </w:r>
      <w:r w:rsidR="0027205C">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through </w:t>
      </w:r>
      <w:r w:rsidR="0027205C">
        <w:rPr>
          <w:rFonts w:asciiTheme="majorBidi" w:hAnsiTheme="majorBidi" w:cstheme="majorBidi"/>
          <w:color w:val="000000" w:themeColor="text1"/>
          <w:sz w:val="24"/>
          <w:szCs w:val="28"/>
        </w:rPr>
        <w:t>chartered</w:t>
      </w:r>
      <w:r w:rsidR="0038632F">
        <w:rPr>
          <w:rFonts w:asciiTheme="majorBidi" w:hAnsiTheme="majorBidi" w:cstheme="majorBidi"/>
          <w:color w:val="000000" w:themeColor="text1"/>
          <w:sz w:val="24"/>
          <w:szCs w:val="28"/>
        </w:rPr>
        <w:t xml:space="preserve"> </w:t>
      </w:r>
      <w:r w:rsidR="0027205C">
        <w:rPr>
          <w:rFonts w:asciiTheme="majorBidi" w:hAnsiTheme="majorBidi" w:cstheme="majorBidi"/>
          <w:color w:val="000000" w:themeColor="text1"/>
          <w:sz w:val="24"/>
          <w:szCs w:val="28"/>
        </w:rPr>
        <w:t>accountan</w:t>
      </w:r>
      <w:r w:rsidR="00330E69">
        <w:rPr>
          <w:rFonts w:asciiTheme="majorBidi" w:hAnsiTheme="majorBidi" w:cstheme="majorBidi"/>
          <w:color w:val="000000" w:themeColor="text1"/>
          <w:sz w:val="24"/>
          <w:szCs w:val="28"/>
        </w:rPr>
        <w:t>cy</w:t>
      </w:r>
      <w:r w:rsidR="00330E69" w:rsidRPr="00330E69">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qualification</w:t>
      </w:r>
      <w:r w:rsidR="0027205C">
        <w:rPr>
          <w:rFonts w:asciiTheme="majorBidi" w:hAnsiTheme="majorBidi" w:cstheme="majorBidi"/>
          <w:color w:val="000000" w:themeColor="text1"/>
          <w:sz w:val="24"/>
          <w:szCs w:val="28"/>
        </w:rPr>
        <w:t>),</w:t>
      </w:r>
      <w:r w:rsidR="0038632F">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has superior </w:t>
      </w:r>
      <w:r w:rsidR="0038632F">
        <w:rPr>
          <w:rFonts w:asciiTheme="majorBidi" w:hAnsiTheme="majorBidi" w:cstheme="majorBidi"/>
          <w:color w:val="000000" w:themeColor="text1"/>
          <w:sz w:val="24"/>
          <w:szCs w:val="28"/>
        </w:rPr>
        <w:t>firm</w:t>
      </w:r>
      <w:r w:rsidR="00330E69">
        <w:rPr>
          <w:rFonts w:asciiTheme="majorBidi" w:hAnsiTheme="majorBidi" w:cstheme="majorBidi"/>
          <w:color w:val="000000" w:themeColor="text1"/>
          <w:sz w:val="24"/>
          <w:szCs w:val="28"/>
        </w:rPr>
        <w:t>-</w:t>
      </w:r>
      <w:r w:rsidR="0038632F">
        <w:rPr>
          <w:rFonts w:asciiTheme="majorBidi" w:hAnsiTheme="majorBidi" w:cstheme="majorBidi"/>
          <w:color w:val="000000" w:themeColor="text1"/>
          <w:sz w:val="24"/>
          <w:szCs w:val="28"/>
        </w:rPr>
        <w:t xml:space="preserve">specific knowledge </w:t>
      </w:r>
      <w:r w:rsidR="0027205C">
        <w:rPr>
          <w:rFonts w:asciiTheme="majorBidi" w:hAnsiTheme="majorBidi" w:cstheme="majorBidi"/>
          <w:color w:val="000000" w:themeColor="text1"/>
          <w:sz w:val="24"/>
          <w:szCs w:val="28"/>
        </w:rPr>
        <w:t>(</w:t>
      </w:r>
      <w:r w:rsidR="00330E69">
        <w:rPr>
          <w:rFonts w:asciiTheme="majorBidi" w:hAnsiTheme="majorBidi" w:cstheme="majorBidi"/>
          <w:color w:val="000000" w:themeColor="text1"/>
          <w:sz w:val="24"/>
          <w:szCs w:val="28"/>
        </w:rPr>
        <w:t xml:space="preserve">through </w:t>
      </w:r>
      <w:r w:rsidR="0038632F">
        <w:rPr>
          <w:rFonts w:asciiTheme="majorBidi" w:hAnsiTheme="majorBidi" w:cstheme="majorBidi"/>
          <w:color w:val="000000" w:themeColor="text1"/>
          <w:sz w:val="24"/>
          <w:szCs w:val="28"/>
        </w:rPr>
        <w:t>long</w:t>
      </w:r>
      <w:r w:rsidR="009E6E91">
        <w:rPr>
          <w:rFonts w:asciiTheme="majorBidi" w:hAnsiTheme="majorBidi" w:cstheme="majorBidi"/>
          <w:color w:val="000000" w:themeColor="text1"/>
          <w:sz w:val="24"/>
          <w:szCs w:val="28"/>
        </w:rPr>
        <w:t>er</w:t>
      </w:r>
      <w:r w:rsidR="0038632F">
        <w:rPr>
          <w:rFonts w:asciiTheme="majorBidi" w:hAnsiTheme="majorBidi" w:cstheme="majorBidi"/>
          <w:color w:val="000000" w:themeColor="text1"/>
          <w:sz w:val="24"/>
          <w:szCs w:val="28"/>
        </w:rPr>
        <w:t xml:space="preserve"> board tenure</w:t>
      </w:r>
      <w:r w:rsidR="0027205C">
        <w:rPr>
          <w:rFonts w:asciiTheme="majorBidi" w:hAnsiTheme="majorBidi" w:cstheme="majorBidi"/>
          <w:color w:val="000000" w:themeColor="text1"/>
          <w:sz w:val="24"/>
          <w:szCs w:val="28"/>
        </w:rPr>
        <w:t>)</w:t>
      </w:r>
      <w:r w:rsidR="0038632F">
        <w:rPr>
          <w:rFonts w:asciiTheme="majorBidi" w:hAnsiTheme="majorBidi" w:cstheme="majorBidi"/>
          <w:color w:val="000000" w:themeColor="text1"/>
          <w:sz w:val="24"/>
          <w:szCs w:val="28"/>
        </w:rPr>
        <w:t xml:space="preserve">, </w:t>
      </w:r>
      <w:r w:rsidR="009E6E91">
        <w:rPr>
          <w:rFonts w:asciiTheme="majorBidi" w:hAnsiTheme="majorBidi" w:cstheme="majorBidi"/>
          <w:color w:val="000000" w:themeColor="text1"/>
          <w:sz w:val="24"/>
          <w:szCs w:val="28"/>
        </w:rPr>
        <w:t xml:space="preserve">or </w:t>
      </w:r>
      <w:r w:rsidR="00330E69">
        <w:rPr>
          <w:rFonts w:asciiTheme="majorBidi" w:hAnsiTheme="majorBidi" w:cstheme="majorBidi"/>
          <w:color w:val="000000" w:themeColor="text1"/>
          <w:sz w:val="24"/>
          <w:szCs w:val="28"/>
        </w:rPr>
        <w:t xml:space="preserve">has </w:t>
      </w:r>
      <w:r w:rsidR="0038632F">
        <w:rPr>
          <w:rFonts w:asciiTheme="majorBidi" w:hAnsiTheme="majorBidi" w:cstheme="majorBidi"/>
          <w:color w:val="000000" w:themeColor="text1"/>
          <w:sz w:val="24"/>
          <w:szCs w:val="28"/>
        </w:rPr>
        <w:t>more corporate governance experience</w:t>
      </w:r>
      <w:r w:rsidR="009E6E91">
        <w:rPr>
          <w:rFonts w:asciiTheme="majorBidi" w:hAnsiTheme="majorBidi" w:cstheme="majorBidi"/>
          <w:color w:val="000000" w:themeColor="text1"/>
          <w:sz w:val="24"/>
          <w:szCs w:val="28"/>
        </w:rPr>
        <w:t xml:space="preserve"> </w:t>
      </w:r>
      <w:r w:rsidR="0027205C">
        <w:rPr>
          <w:rFonts w:asciiTheme="majorBidi" w:hAnsiTheme="majorBidi" w:cstheme="majorBidi"/>
          <w:color w:val="000000" w:themeColor="text1"/>
          <w:sz w:val="24"/>
          <w:szCs w:val="28"/>
        </w:rPr>
        <w:t>(</w:t>
      </w:r>
      <w:r w:rsidR="00330E69">
        <w:rPr>
          <w:rFonts w:asciiTheme="majorBidi" w:hAnsiTheme="majorBidi" w:cstheme="majorBidi"/>
          <w:color w:val="000000" w:themeColor="text1"/>
          <w:sz w:val="24"/>
          <w:szCs w:val="28"/>
        </w:rPr>
        <w:t xml:space="preserve">through </w:t>
      </w:r>
      <w:r w:rsidR="009E6E91">
        <w:rPr>
          <w:rFonts w:asciiTheme="majorBidi" w:hAnsiTheme="majorBidi" w:cstheme="majorBidi"/>
          <w:color w:val="000000" w:themeColor="text1"/>
          <w:sz w:val="24"/>
          <w:szCs w:val="28"/>
        </w:rPr>
        <w:t xml:space="preserve">more </w:t>
      </w:r>
      <w:r w:rsidR="0038632F">
        <w:rPr>
          <w:rFonts w:asciiTheme="majorBidi" w:hAnsiTheme="majorBidi" w:cstheme="majorBidi"/>
          <w:color w:val="000000" w:themeColor="text1"/>
          <w:sz w:val="24"/>
          <w:szCs w:val="28"/>
        </w:rPr>
        <w:t>outside directorships</w:t>
      </w:r>
      <w:r w:rsidR="00330E69">
        <w:rPr>
          <w:rFonts w:asciiTheme="majorBidi" w:hAnsiTheme="majorBidi" w:cstheme="majorBidi"/>
          <w:color w:val="000000" w:themeColor="text1"/>
          <w:sz w:val="24"/>
          <w:szCs w:val="28"/>
        </w:rPr>
        <w:t>,</w:t>
      </w:r>
      <w:r w:rsidR="009E6E91">
        <w:rPr>
          <w:rFonts w:asciiTheme="majorBidi" w:hAnsiTheme="majorBidi" w:cstheme="majorBidi"/>
          <w:color w:val="000000" w:themeColor="text1"/>
          <w:sz w:val="24"/>
          <w:szCs w:val="28"/>
        </w:rPr>
        <w:t xml:space="preserve"> or </w:t>
      </w:r>
      <w:r w:rsidR="00330E69">
        <w:rPr>
          <w:rFonts w:asciiTheme="majorBidi" w:hAnsiTheme="majorBidi" w:cstheme="majorBidi"/>
          <w:color w:val="000000" w:themeColor="text1"/>
          <w:sz w:val="24"/>
          <w:szCs w:val="28"/>
        </w:rPr>
        <w:t xml:space="preserve">from </w:t>
      </w:r>
      <w:r w:rsidR="009E6E91">
        <w:rPr>
          <w:rFonts w:asciiTheme="majorBidi" w:hAnsiTheme="majorBidi" w:cstheme="majorBidi"/>
          <w:color w:val="000000" w:themeColor="text1"/>
          <w:sz w:val="24"/>
          <w:szCs w:val="28"/>
        </w:rPr>
        <w:t>cases where the demand for stringent oversight is high</w:t>
      </w:r>
      <w:r w:rsidR="00330E69">
        <w:rPr>
          <w:rFonts w:asciiTheme="majorBidi" w:hAnsiTheme="majorBidi" w:cstheme="majorBidi"/>
          <w:color w:val="000000" w:themeColor="text1"/>
          <w:sz w:val="24"/>
          <w:szCs w:val="28"/>
        </w:rPr>
        <w:t>,</w:t>
      </w:r>
      <w:r w:rsidR="009E6E91">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such as in </w:t>
      </w:r>
      <w:r w:rsidR="009E6E91">
        <w:rPr>
          <w:rFonts w:asciiTheme="majorBidi" w:hAnsiTheme="majorBidi" w:cstheme="majorBidi"/>
          <w:color w:val="000000" w:themeColor="text1"/>
          <w:sz w:val="24"/>
          <w:szCs w:val="28"/>
        </w:rPr>
        <w:t>firms with complex operations</w:t>
      </w:r>
      <w:r w:rsidR="0044250F">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w:t>
      </w:r>
    </w:p>
    <w:p w14:paraId="0427A7FF" w14:textId="46A4A59E" w:rsidR="004E0DDE" w:rsidRPr="005E73C2" w:rsidRDefault="004E0DDE" w:rsidP="00EE3E88">
      <w:pPr>
        <w:spacing w:line="480" w:lineRule="auto"/>
        <w:ind w:left="284" w:firstLine="420"/>
        <w:rPr>
          <w:rFonts w:asciiTheme="majorBidi" w:hAnsiTheme="majorBidi" w:cstheme="majorBidi"/>
          <w:noProof/>
          <w:color w:val="000000" w:themeColor="text1"/>
          <w:sz w:val="24"/>
          <w:szCs w:val="28"/>
        </w:rPr>
      </w:pPr>
      <w:r w:rsidRPr="005E73C2">
        <w:rPr>
          <w:rFonts w:asciiTheme="majorBidi" w:hAnsiTheme="majorBidi" w:cstheme="majorBidi"/>
          <w:color w:val="000000" w:themeColor="text1"/>
          <w:sz w:val="24"/>
          <w:szCs w:val="28"/>
        </w:rPr>
        <w:t>Empirical research on the effects of ACs on compan</w:t>
      </w:r>
      <w:r w:rsidR="00330E69">
        <w:rPr>
          <w:rFonts w:asciiTheme="majorBidi" w:hAnsiTheme="majorBidi" w:cstheme="majorBidi"/>
          <w:color w:val="000000" w:themeColor="text1"/>
          <w:sz w:val="24"/>
          <w:szCs w:val="28"/>
        </w:rPr>
        <w:t>y</w:t>
      </w:r>
      <w:r w:rsidRPr="005E73C2">
        <w:rPr>
          <w:rFonts w:asciiTheme="majorBidi" w:hAnsiTheme="majorBidi" w:cstheme="majorBidi"/>
          <w:color w:val="000000" w:themeColor="text1"/>
          <w:sz w:val="24"/>
          <w:szCs w:val="28"/>
        </w:rPr>
        <w:t xml:space="preserve"> accounting practices from the </w:t>
      </w:r>
      <w:r w:rsidR="00330E69" w:rsidRPr="005E73C2">
        <w:rPr>
          <w:rFonts w:asciiTheme="majorBidi" w:hAnsiTheme="majorBidi" w:cstheme="majorBidi"/>
          <w:color w:val="000000" w:themeColor="text1"/>
          <w:sz w:val="24"/>
          <w:szCs w:val="28"/>
        </w:rPr>
        <w:t xml:space="preserve">perspective </w:t>
      </w:r>
      <w:r w:rsidR="00330E69">
        <w:rPr>
          <w:rFonts w:asciiTheme="majorBidi" w:hAnsiTheme="majorBidi" w:cstheme="majorBidi"/>
          <w:color w:val="000000" w:themeColor="text1"/>
          <w:sz w:val="24"/>
          <w:szCs w:val="28"/>
        </w:rPr>
        <w:t xml:space="preserve">of </w:t>
      </w:r>
      <w:r w:rsidRPr="005E73C2">
        <w:rPr>
          <w:rFonts w:asciiTheme="majorBidi" w:hAnsiTheme="majorBidi" w:cstheme="majorBidi"/>
          <w:color w:val="000000" w:themeColor="text1"/>
          <w:sz w:val="24"/>
          <w:szCs w:val="28"/>
        </w:rPr>
        <w:t>AC chair</w:t>
      </w:r>
      <w:r w:rsidR="00ED0BE3">
        <w:rPr>
          <w:rFonts w:asciiTheme="majorBidi" w:hAnsiTheme="majorBidi" w:cstheme="majorBidi"/>
          <w:color w:val="000000" w:themeColor="text1"/>
          <w:sz w:val="24"/>
          <w:szCs w:val="28"/>
        </w:rPr>
        <w:t>’s</w:t>
      </w:r>
      <w:r w:rsidR="00330E69">
        <w:rPr>
          <w:rFonts w:asciiTheme="majorBidi" w:hAnsiTheme="majorBidi" w:cstheme="majorBidi"/>
          <w:color w:val="000000" w:themeColor="text1"/>
          <w:sz w:val="24"/>
          <w:szCs w:val="28"/>
        </w:rPr>
        <w:t xml:space="preserve"> </w:t>
      </w:r>
      <w:r w:rsidR="00ED0BE3" w:rsidRPr="005E73C2">
        <w:rPr>
          <w:rFonts w:asciiTheme="majorBidi" w:hAnsiTheme="majorBidi" w:cstheme="majorBidi"/>
          <w:color w:val="000000" w:themeColor="text1"/>
          <w:sz w:val="24"/>
          <w:szCs w:val="28"/>
        </w:rPr>
        <w:t xml:space="preserve">personal </w:t>
      </w:r>
      <w:r w:rsidR="00330E69">
        <w:rPr>
          <w:rFonts w:asciiTheme="majorBidi" w:hAnsiTheme="majorBidi" w:cstheme="majorBidi"/>
          <w:color w:val="000000" w:themeColor="text1"/>
          <w:sz w:val="24"/>
          <w:szCs w:val="28"/>
        </w:rPr>
        <w:t>attribute</w:t>
      </w:r>
      <w:r w:rsidRPr="005E73C2">
        <w:rPr>
          <w:rFonts w:asciiTheme="majorBidi" w:hAnsiTheme="majorBidi" w:cstheme="majorBidi"/>
          <w:color w:val="000000" w:themeColor="text1"/>
          <w:sz w:val="24"/>
          <w:szCs w:val="28"/>
        </w:rPr>
        <w:t xml:space="preserve">s is lacking. By establishing a relationship between the narcissism of the AC chair and the quality of non-IFRS disclosures, our study </w:t>
      </w:r>
      <w:r w:rsidR="00E06074">
        <w:rPr>
          <w:rFonts w:asciiTheme="majorBidi" w:hAnsiTheme="majorBidi" w:cstheme="majorBidi"/>
          <w:color w:val="000000" w:themeColor="text1"/>
          <w:sz w:val="24"/>
          <w:szCs w:val="28"/>
        </w:rPr>
        <w:t xml:space="preserve">not only </w:t>
      </w:r>
      <w:r w:rsidR="00E33E8B">
        <w:rPr>
          <w:rFonts w:asciiTheme="majorBidi" w:hAnsiTheme="majorBidi" w:cstheme="majorBidi"/>
          <w:color w:val="000000" w:themeColor="text1"/>
          <w:sz w:val="24"/>
          <w:szCs w:val="28"/>
        </w:rPr>
        <w:t>reveals</w:t>
      </w:r>
      <w:r w:rsidR="00E06074">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a </w:t>
      </w:r>
      <w:r w:rsidR="00E33E8B">
        <w:rPr>
          <w:rFonts w:asciiTheme="majorBidi" w:hAnsiTheme="majorBidi" w:cstheme="majorBidi"/>
          <w:color w:val="000000" w:themeColor="text1"/>
          <w:sz w:val="24"/>
          <w:szCs w:val="28"/>
        </w:rPr>
        <w:t xml:space="preserve">potential side </w:t>
      </w:r>
      <w:r w:rsidR="00E06074">
        <w:rPr>
          <w:rFonts w:asciiTheme="majorBidi" w:hAnsiTheme="majorBidi" w:cstheme="majorBidi"/>
          <w:color w:val="000000" w:themeColor="text1"/>
          <w:sz w:val="24"/>
          <w:szCs w:val="28"/>
        </w:rPr>
        <w:t xml:space="preserve">effect of narcissism on the behavior of monitoring directors, but </w:t>
      </w:r>
      <w:r w:rsidR="00E33E8B">
        <w:rPr>
          <w:rFonts w:asciiTheme="majorBidi" w:hAnsiTheme="majorBidi" w:cstheme="majorBidi"/>
          <w:color w:val="000000" w:themeColor="text1"/>
          <w:sz w:val="24"/>
          <w:szCs w:val="28"/>
        </w:rPr>
        <w:t>most importantly</w:t>
      </w:r>
      <w:r w:rsidR="00E06074">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 xml:space="preserve">advances the </w:t>
      </w:r>
      <w:r w:rsidR="00E33E8B">
        <w:rPr>
          <w:rFonts w:asciiTheme="majorBidi" w:hAnsiTheme="majorBidi" w:cstheme="majorBidi"/>
          <w:color w:val="000000" w:themeColor="text1"/>
          <w:sz w:val="24"/>
          <w:szCs w:val="28"/>
        </w:rPr>
        <w:t>current literature</w:t>
      </w:r>
      <w:r w:rsidRPr="005E73C2">
        <w:rPr>
          <w:rFonts w:asciiTheme="majorBidi" w:hAnsiTheme="majorBidi" w:cstheme="majorBidi"/>
          <w:color w:val="000000" w:themeColor="text1"/>
          <w:sz w:val="24"/>
          <w:szCs w:val="28"/>
        </w:rPr>
        <w:t xml:space="preserve"> on </w:t>
      </w:r>
      <w:r w:rsidR="00EF69B0">
        <w:rPr>
          <w:rFonts w:asciiTheme="majorBidi" w:hAnsiTheme="majorBidi" w:cstheme="majorBidi"/>
          <w:color w:val="000000" w:themeColor="text1"/>
          <w:sz w:val="24"/>
          <w:szCs w:val="28"/>
        </w:rPr>
        <w:t>how</w:t>
      </w:r>
      <w:r w:rsidRPr="005E73C2">
        <w:rPr>
          <w:rFonts w:asciiTheme="majorBidi" w:hAnsiTheme="majorBidi" w:cstheme="majorBidi"/>
          <w:color w:val="000000" w:themeColor="text1"/>
          <w:sz w:val="24"/>
          <w:szCs w:val="28"/>
        </w:rPr>
        <w:t xml:space="preserve"> AC members’ </w:t>
      </w:r>
      <w:r w:rsidR="00EF69B0">
        <w:rPr>
          <w:rFonts w:asciiTheme="majorBidi" w:hAnsiTheme="majorBidi" w:cstheme="majorBidi"/>
          <w:color w:val="000000" w:themeColor="text1"/>
          <w:sz w:val="24"/>
          <w:szCs w:val="28"/>
        </w:rPr>
        <w:t>personality traits</w:t>
      </w:r>
      <w:r w:rsidRPr="005E73C2">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can </w:t>
      </w:r>
      <w:r w:rsidR="00EF69B0">
        <w:rPr>
          <w:rFonts w:asciiTheme="majorBidi" w:hAnsiTheme="majorBidi" w:cstheme="majorBidi"/>
          <w:color w:val="000000" w:themeColor="text1"/>
          <w:sz w:val="24"/>
          <w:szCs w:val="28"/>
        </w:rPr>
        <w:t>shape firms’</w:t>
      </w:r>
      <w:r w:rsidR="00EF69B0"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financial reporting choices</w:t>
      </w:r>
      <w:r w:rsidR="00E33E8B">
        <w:rPr>
          <w:rFonts w:asciiTheme="majorBidi" w:hAnsiTheme="majorBidi" w:cstheme="majorBidi"/>
          <w:color w:val="000000" w:themeColor="text1"/>
          <w:sz w:val="24"/>
          <w:szCs w:val="28"/>
        </w:rPr>
        <w:t xml:space="preserve"> (Qu, 20</w:t>
      </w:r>
      <w:r w:rsidR="00EE3E88">
        <w:rPr>
          <w:rFonts w:asciiTheme="majorBidi" w:hAnsiTheme="majorBidi" w:cstheme="majorBidi"/>
          <w:color w:val="000000" w:themeColor="text1"/>
          <w:sz w:val="24"/>
          <w:szCs w:val="28"/>
        </w:rPr>
        <w:t>20</w:t>
      </w:r>
      <w:r w:rsidR="00E33E8B">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w:t>
      </w:r>
    </w:p>
    <w:p w14:paraId="0064A201" w14:textId="249F6BDF" w:rsidR="004E0DDE" w:rsidRDefault="004E0DDE" w:rsidP="008F7A0D">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 xml:space="preserve">Our study also provides insight into how AC chair </w:t>
      </w:r>
      <w:r w:rsidR="00330E69" w:rsidRPr="005E73C2">
        <w:rPr>
          <w:rFonts w:asciiTheme="majorBidi" w:hAnsiTheme="majorBidi" w:cstheme="majorBidi"/>
          <w:color w:val="000000" w:themeColor="text1"/>
          <w:sz w:val="24"/>
          <w:szCs w:val="28"/>
        </w:rPr>
        <w:t xml:space="preserve">narcissism </w:t>
      </w:r>
      <w:r w:rsidRPr="005E73C2">
        <w:rPr>
          <w:rFonts w:asciiTheme="majorBidi" w:hAnsiTheme="majorBidi" w:cstheme="majorBidi"/>
          <w:color w:val="000000" w:themeColor="text1"/>
          <w:sz w:val="24"/>
          <w:szCs w:val="28"/>
        </w:rPr>
        <w:t>shapes voluntary earnings-related disclosure. This is a</w:t>
      </w:r>
      <w:r w:rsidR="00ED0BE3">
        <w:rPr>
          <w:rFonts w:asciiTheme="majorBidi" w:hAnsiTheme="majorBidi" w:cstheme="majorBidi"/>
          <w:color w:val="000000" w:themeColor="text1"/>
          <w:sz w:val="24"/>
          <w:szCs w:val="28"/>
        </w:rPr>
        <w:t xml:space="preserve">n important </w:t>
      </w:r>
      <w:r w:rsidRPr="005E73C2">
        <w:rPr>
          <w:rFonts w:asciiTheme="majorBidi" w:hAnsiTheme="majorBidi" w:cstheme="majorBidi"/>
          <w:color w:val="000000" w:themeColor="text1"/>
          <w:sz w:val="24"/>
          <w:szCs w:val="28"/>
        </w:rPr>
        <w:t xml:space="preserve">question since there are ongoing concerns about the </w:t>
      </w:r>
      <w:r w:rsidR="000A0254">
        <w:rPr>
          <w:rFonts w:asciiTheme="majorBidi" w:hAnsiTheme="majorBidi" w:cstheme="majorBidi"/>
          <w:color w:val="000000" w:themeColor="text1"/>
          <w:sz w:val="24"/>
          <w:szCs w:val="28"/>
        </w:rPr>
        <w:t>opportunistic</w:t>
      </w:r>
      <w:r w:rsidR="000A0254"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use of pro-forma earnings to mislead investors</w:t>
      </w:r>
      <w:r w:rsidR="000A0254">
        <w:rPr>
          <w:rFonts w:asciiTheme="majorBidi" w:hAnsiTheme="majorBidi" w:cstheme="majorBidi"/>
          <w:color w:val="000000" w:themeColor="text1"/>
          <w:sz w:val="24"/>
          <w:szCs w:val="28"/>
        </w:rPr>
        <w:t xml:space="preserve"> (e.g., </w:t>
      </w:r>
      <w:r w:rsidR="000A0254" w:rsidRPr="000A0254">
        <w:rPr>
          <w:rFonts w:asciiTheme="majorBidi" w:hAnsiTheme="majorBidi" w:cstheme="majorBidi"/>
          <w:color w:val="000000" w:themeColor="text1"/>
          <w:sz w:val="24"/>
          <w:szCs w:val="28"/>
        </w:rPr>
        <w:t>Doyle</w:t>
      </w:r>
      <w:r w:rsidR="000A0254">
        <w:rPr>
          <w:rFonts w:asciiTheme="majorBidi" w:hAnsiTheme="majorBidi" w:cstheme="majorBidi"/>
          <w:color w:val="000000" w:themeColor="text1"/>
          <w:sz w:val="24"/>
          <w:szCs w:val="28"/>
        </w:rPr>
        <w:t xml:space="preserve"> et al., 2013; </w:t>
      </w:r>
      <w:r w:rsidR="000A0254" w:rsidRPr="000A0254">
        <w:rPr>
          <w:rFonts w:asciiTheme="majorBidi" w:hAnsiTheme="majorBidi" w:cstheme="majorBidi"/>
          <w:color w:val="000000" w:themeColor="text1"/>
          <w:sz w:val="24"/>
          <w:szCs w:val="28"/>
        </w:rPr>
        <w:t>Hsu</w:t>
      </w:r>
      <w:r w:rsidR="000A0254">
        <w:rPr>
          <w:rFonts w:asciiTheme="majorBidi" w:hAnsiTheme="majorBidi" w:cstheme="majorBidi"/>
          <w:color w:val="000000" w:themeColor="text1"/>
          <w:sz w:val="24"/>
          <w:szCs w:val="28"/>
        </w:rPr>
        <w:t xml:space="preserve"> et al., 2022; </w:t>
      </w:r>
      <w:proofErr w:type="spellStart"/>
      <w:r w:rsidR="000A0254" w:rsidRPr="000A0254">
        <w:rPr>
          <w:rFonts w:asciiTheme="majorBidi" w:hAnsiTheme="majorBidi" w:cstheme="majorBidi"/>
          <w:color w:val="000000" w:themeColor="text1"/>
          <w:sz w:val="24"/>
          <w:szCs w:val="28"/>
        </w:rPr>
        <w:t>Laurion</w:t>
      </w:r>
      <w:proofErr w:type="spellEnd"/>
      <w:r w:rsidR="000A0254">
        <w:rPr>
          <w:rFonts w:asciiTheme="majorBidi" w:hAnsiTheme="majorBidi" w:cstheme="majorBidi"/>
          <w:color w:val="000000" w:themeColor="text1"/>
          <w:sz w:val="24"/>
          <w:szCs w:val="28"/>
        </w:rPr>
        <w:t xml:space="preserve"> </w:t>
      </w:r>
      <w:r w:rsidR="00330E69">
        <w:rPr>
          <w:rFonts w:asciiTheme="majorBidi" w:hAnsiTheme="majorBidi" w:cstheme="majorBidi"/>
          <w:color w:val="000000" w:themeColor="text1"/>
          <w:sz w:val="24"/>
          <w:szCs w:val="28"/>
        </w:rPr>
        <w:t xml:space="preserve">&amp; </w:t>
      </w:r>
      <w:r w:rsidR="000A0254" w:rsidRPr="000A0254">
        <w:rPr>
          <w:rFonts w:asciiTheme="majorBidi" w:hAnsiTheme="majorBidi" w:cstheme="majorBidi"/>
          <w:color w:val="000000" w:themeColor="text1"/>
          <w:sz w:val="24"/>
          <w:szCs w:val="28"/>
        </w:rPr>
        <w:t>Sloan</w:t>
      </w:r>
      <w:r w:rsidR="000A0254">
        <w:rPr>
          <w:rFonts w:asciiTheme="majorBidi" w:hAnsiTheme="majorBidi" w:cstheme="majorBidi"/>
          <w:color w:val="000000" w:themeColor="text1"/>
          <w:sz w:val="24"/>
          <w:szCs w:val="28"/>
        </w:rPr>
        <w:t>, 2022)</w:t>
      </w:r>
      <w:r w:rsidRPr="005E73C2">
        <w:rPr>
          <w:rFonts w:asciiTheme="majorBidi" w:hAnsiTheme="majorBidi" w:cstheme="majorBidi"/>
          <w:color w:val="000000" w:themeColor="text1"/>
          <w:sz w:val="24"/>
          <w:szCs w:val="28"/>
        </w:rPr>
        <w:t xml:space="preserve">. While our initial results suggest that the participation of </w:t>
      </w:r>
      <w:r w:rsidR="00330E69">
        <w:rPr>
          <w:rFonts w:asciiTheme="majorBidi" w:hAnsiTheme="majorBidi" w:cstheme="majorBidi"/>
          <w:color w:val="000000" w:themeColor="text1"/>
          <w:sz w:val="24"/>
          <w:szCs w:val="28"/>
        </w:rPr>
        <w:t xml:space="preserve">a </w:t>
      </w:r>
      <w:r w:rsidRPr="005E73C2">
        <w:rPr>
          <w:rFonts w:asciiTheme="majorBidi" w:hAnsiTheme="majorBidi" w:cstheme="majorBidi"/>
          <w:color w:val="000000" w:themeColor="text1"/>
          <w:sz w:val="24"/>
          <w:szCs w:val="24"/>
        </w:rPr>
        <w:t xml:space="preserve">narcissistic AC chair </w:t>
      </w:r>
      <w:r w:rsidRPr="005E73C2">
        <w:rPr>
          <w:rFonts w:asciiTheme="majorBidi" w:hAnsiTheme="majorBidi" w:cstheme="majorBidi"/>
          <w:color w:val="000000" w:themeColor="text1"/>
          <w:sz w:val="24"/>
          <w:szCs w:val="28"/>
        </w:rPr>
        <w:t>facilitate</w:t>
      </w:r>
      <w:r w:rsidR="00330E69">
        <w:rPr>
          <w:rFonts w:asciiTheme="majorBidi" w:hAnsiTheme="majorBidi" w:cstheme="majorBidi"/>
          <w:color w:val="000000" w:themeColor="text1"/>
          <w:sz w:val="24"/>
          <w:szCs w:val="28"/>
        </w:rPr>
        <w:t>s</w:t>
      </w:r>
      <w:r w:rsidRPr="005E73C2">
        <w:rPr>
          <w:rFonts w:asciiTheme="majorBidi" w:hAnsiTheme="majorBidi" w:cstheme="majorBidi"/>
          <w:color w:val="000000" w:themeColor="text1"/>
          <w:sz w:val="24"/>
          <w:szCs w:val="28"/>
        </w:rPr>
        <w:t xml:space="preserve"> managerial opportunism in non-IFRS disclosures, further analysis suggest</w:t>
      </w:r>
      <w:r w:rsidR="00ED0BE3">
        <w:rPr>
          <w:rFonts w:asciiTheme="majorBidi" w:hAnsiTheme="majorBidi" w:cstheme="majorBidi"/>
          <w:color w:val="000000" w:themeColor="text1"/>
          <w:sz w:val="24"/>
          <w:szCs w:val="28"/>
        </w:rPr>
        <w:t>s</w:t>
      </w:r>
      <w:r w:rsidRPr="005E73C2">
        <w:rPr>
          <w:rFonts w:asciiTheme="majorBidi" w:hAnsiTheme="majorBidi" w:cstheme="majorBidi"/>
          <w:color w:val="000000" w:themeColor="text1"/>
          <w:sz w:val="24"/>
          <w:szCs w:val="28"/>
        </w:rPr>
        <w:t xml:space="preserve"> that they play a key role in constraining </w:t>
      </w:r>
      <w:r w:rsidR="00330E69">
        <w:rPr>
          <w:rFonts w:asciiTheme="majorBidi" w:hAnsiTheme="majorBidi" w:cstheme="majorBidi"/>
          <w:color w:val="000000" w:themeColor="text1"/>
          <w:sz w:val="24"/>
          <w:szCs w:val="28"/>
        </w:rPr>
        <w:t xml:space="preserve">such </w:t>
      </w:r>
      <w:r w:rsidRPr="005E73C2">
        <w:rPr>
          <w:rFonts w:asciiTheme="majorBidi" w:hAnsiTheme="majorBidi" w:cstheme="majorBidi"/>
          <w:color w:val="000000" w:themeColor="text1"/>
          <w:sz w:val="24"/>
          <w:szCs w:val="28"/>
        </w:rPr>
        <w:t>opportunis</w:t>
      </w:r>
      <w:r w:rsidR="00330E69">
        <w:rPr>
          <w:rFonts w:asciiTheme="majorBidi" w:hAnsiTheme="majorBidi" w:cstheme="majorBidi"/>
          <w:color w:val="000000" w:themeColor="text1"/>
          <w:sz w:val="24"/>
          <w:szCs w:val="28"/>
        </w:rPr>
        <w:t>m</w:t>
      </w:r>
      <w:r w:rsidRPr="005E73C2">
        <w:rPr>
          <w:rFonts w:asciiTheme="majorBidi" w:hAnsiTheme="majorBidi" w:cstheme="majorBidi"/>
          <w:color w:val="000000" w:themeColor="text1"/>
          <w:sz w:val="24"/>
          <w:szCs w:val="28"/>
        </w:rPr>
        <w:t xml:space="preserve"> when they </w:t>
      </w:r>
      <w:r w:rsidR="00781987">
        <w:rPr>
          <w:rFonts w:asciiTheme="majorBidi" w:hAnsiTheme="majorBidi" w:cstheme="majorBidi"/>
          <w:color w:val="000000" w:themeColor="text1"/>
          <w:sz w:val="24"/>
          <w:szCs w:val="28"/>
        </w:rPr>
        <w:t xml:space="preserve">are less </w:t>
      </w:r>
      <w:r w:rsidR="00330E69">
        <w:rPr>
          <w:rFonts w:asciiTheme="majorBidi" w:hAnsiTheme="majorBidi" w:cstheme="majorBidi"/>
          <w:color w:val="000000" w:themeColor="text1"/>
          <w:sz w:val="24"/>
          <w:szCs w:val="28"/>
        </w:rPr>
        <w:t xml:space="preserve">connected </w:t>
      </w:r>
      <w:r w:rsidR="00781987">
        <w:rPr>
          <w:rFonts w:asciiTheme="majorBidi" w:hAnsiTheme="majorBidi" w:cstheme="majorBidi"/>
          <w:color w:val="000000" w:themeColor="text1"/>
          <w:sz w:val="24"/>
          <w:szCs w:val="28"/>
        </w:rPr>
        <w:t xml:space="preserve">with </w:t>
      </w:r>
      <w:r w:rsidR="00330E69">
        <w:rPr>
          <w:rFonts w:asciiTheme="majorBidi" w:hAnsiTheme="majorBidi" w:cstheme="majorBidi"/>
          <w:color w:val="000000" w:themeColor="text1"/>
          <w:sz w:val="24"/>
          <w:szCs w:val="28"/>
        </w:rPr>
        <w:t xml:space="preserve">senior </w:t>
      </w:r>
      <w:r w:rsidR="00781987">
        <w:rPr>
          <w:rFonts w:asciiTheme="majorBidi" w:hAnsiTheme="majorBidi" w:cstheme="majorBidi"/>
          <w:color w:val="000000" w:themeColor="text1"/>
          <w:sz w:val="24"/>
          <w:szCs w:val="28"/>
        </w:rPr>
        <w:t>managers</w:t>
      </w:r>
      <w:r w:rsidR="00D7184E">
        <w:rPr>
          <w:rFonts w:asciiTheme="majorBidi" w:hAnsiTheme="majorBidi" w:cstheme="majorBidi"/>
          <w:color w:val="000000" w:themeColor="text1"/>
          <w:sz w:val="24"/>
          <w:szCs w:val="28"/>
        </w:rPr>
        <w:t>,</w:t>
      </w:r>
      <w:r w:rsidR="00781987">
        <w:rPr>
          <w:rFonts w:asciiTheme="majorBidi" w:hAnsiTheme="majorBidi" w:cstheme="majorBidi"/>
          <w:color w:val="000000" w:themeColor="text1"/>
          <w:sz w:val="24"/>
          <w:szCs w:val="28"/>
        </w:rPr>
        <w:t xml:space="preserve"> have </w:t>
      </w:r>
      <w:r w:rsidR="00D7184E">
        <w:rPr>
          <w:rFonts w:asciiTheme="majorBidi" w:hAnsiTheme="majorBidi" w:cstheme="majorBidi"/>
          <w:color w:val="000000" w:themeColor="text1"/>
          <w:sz w:val="24"/>
          <w:szCs w:val="24"/>
        </w:rPr>
        <w:t xml:space="preserve">more competence </w:t>
      </w:r>
      <w:r w:rsidR="00D7184E">
        <w:rPr>
          <w:rFonts w:asciiTheme="majorBidi" w:hAnsiTheme="majorBidi" w:cstheme="majorBidi"/>
          <w:color w:val="000000" w:themeColor="text1"/>
          <w:sz w:val="24"/>
          <w:szCs w:val="24"/>
        </w:rPr>
        <w:lastRenderedPageBreak/>
        <w:t>(experience)</w:t>
      </w:r>
      <w:r w:rsidR="00F27A36">
        <w:rPr>
          <w:rFonts w:asciiTheme="majorBidi" w:hAnsiTheme="majorBidi" w:cstheme="majorBidi"/>
          <w:color w:val="000000" w:themeColor="text1"/>
          <w:sz w:val="24"/>
          <w:szCs w:val="24"/>
        </w:rPr>
        <w:t>,</w:t>
      </w:r>
      <w:r w:rsidR="00D7184E">
        <w:rPr>
          <w:rFonts w:asciiTheme="majorBidi" w:hAnsiTheme="majorBidi" w:cstheme="majorBidi"/>
          <w:color w:val="000000" w:themeColor="text1"/>
          <w:sz w:val="24"/>
          <w:szCs w:val="24"/>
        </w:rPr>
        <w:t xml:space="preserve"> or </w:t>
      </w:r>
      <w:r w:rsidR="00AE2B97">
        <w:rPr>
          <w:rFonts w:asciiTheme="majorBidi" w:hAnsiTheme="majorBidi" w:cstheme="majorBidi"/>
          <w:color w:val="000000" w:themeColor="text1"/>
          <w:sz w:val="24"/>
          <w:szCs w:val="24"/>
        </w:rPr>
        <w:t xml:space="preserve">when </w:t>
      </w:r>
      <w:r w:rsidR="00B05CE6">
        <w:rPr>
          <w:rFonts w:asciiTheme="majorBidi" w:hAnsiTheme="majorBidi" w:cstheme="majorBidi"/>
          <w:color w:val="000000" w:themeColor="text1"/>
          <w:sz w:val="24"/>
          <w:szCs w:val="24"/>
        </w:rPr>
        <w:t xml:space="preserve">in situations </w:t>
      </w:r>
      <w:r w:rsidR="00AE2B97">
        <w:rPr>
          <w:rFonts w:asciiTheme="majorBidi" w:hAnsiTheme="majorBidi" w:cstheme="majorBidi"/>
          <w:color w:val="000000" w:themeColor="text1"/>
          <w:sz w:val="24"/>
          <w:szCs w:val="24"/>
        </w:rPr>
        <w:t>with higher</w:t>
      </w:r>
      <w:r w:rsidR="00D7184E">
        <w:rPr>
          <w:rFonts w:asciiTheme="majorBidi" w:hAnsiTheme="majorBidi" w:cstheme="majorBidi"/>
          <w:color w:val="000000" w:themeColor="text1"/>
          <w:sz w:val="24"/>
          <w:szCs w:val="24"/>
        </w:rPr>
        <w:t xml:space="preserve"> demand for </w:t>
      </w:r>
      <w:r w:rsidR="00AE2B97">
        <w:rPr>
          <w:rFonts w:asciiTheme="majorBidi" w:hAnsiTheme="majorBidi" w:cstheme="majorBidi"/>
          <w:color w:val="000000" w:themeColor="text1"/>
          <w:sz w:val="24"/>
          <w:szCs w:val="24"/>
        </w:rPr>
        <w:t xml:space="preserve">more </w:t>
      </w:r>
      <w:r w:rsidR="00D7184E">
        <w:rPr>
          <w:rFonts w:asciiTheme="majorBidi" w:hAnsiTheme="majorBidi" w:cstheme="majorBidi"/>
          <w:color w:val="000000" w:themeColor="text1"/>
          <w:sz w:val="24"/>
          <w:szCs w:val="24"/>
        </w:rPr>
        <w:t>intensive monitoring</w:t>
      </w:r>
      <w:r w:rsidRPr="005E73C2">
        <w:rPr>
          <w:rFonts w:asciiTheme="majorBidi" w:hAnsiTheme="majorBidi" w:cstheme="majorBidi"/>
          <w:color w:val="000000" w:themeColor="text1"/>
          <w:sz w:val="24"/>
          <w:szCs w:val="24"/>
        </w:rPr>
        <w:t xml:space="preserve">. </w:t>
      </w:r>
    </w:p>
    <w:p w14:paraId="0739CA76" w14:textId="7964CC2D" w:rsidR="000B7665" w:rsidRPr="005E73C2" w:rsidRDefault="003A6660" w:rsidP="008F7A0D">
      <w:pPr>
        <w:spacing w:line="480" w:lineRule="auto"/>
        <w:ind w:left="284" w:firstLine="420"/>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t xml:space="preserve">Our </w:t>
      </w:r>
      <w:r w:rsidR="000B7665">
        <w:rPr>
          <w:rFonts w:asciiTheme="majorBidi" w:hAnsiTheme="majorBidi" w:cstheme="majorBidi"/>
          <w:color w:val="000000" w:themeColor="text1"/>
          <w:sz w:val="24"/>
          <w:szCs w:val="28"/>
        </w:rPr>
        <w:t xml:space="preserve">study </w:t>
      </w:r>
      <w:r>
        <w:rPr>
          <w:rFonts w:asciiTheme="majorBidi" w:hAnsiTheme="majorBidi" w:cstheme="majorBidi"/>
          <w:color w:val="000000" w:themeColor="text1"/>
          <w:sz w:val="24"/>
          <w:szCs w:val="28"/>
        </w:rPr>
        <w:t>has</w:t>
      </w:r>
      <w:r w:rsidR="000B7665">
        <w:rPr>
          <w:rFonts w:asciiTheme="majorBidi" w:hAnsiTheme="majorBidi" w:cstheme="majorBidi"/>
          <w:color w:val="000000" w:themeColor="text1"/>
          <w:sz w:val="24"/>
          <w:szCs w:val="28"/>
        </w:rPr>
        <w:t xml:space="preserve"> </w:t>
      </w:r>
      <w:r w:rsidR="00CC5C4F">
        <w:rPr>
          <w:rFonts w:asciiTheme="majorBidi" w:hAnsiTheme="majorBidi" w:cstheme="majorBidi"/>
          <w:color w:val="000000" w:themeColor="text1"/>
          <w:sz w:val="24"/>
          <w:szCs w:val="28"/>
        </w:rPr>
        <w:t xml:space="preserve">important practical implications. First, </w:t>
      </w:r>
      <w:r w:rsidR="00AE2B97">
        <w:rPr>
          <w:rFonts w:asciiTheme="majorBidi" w:hAnsiTheme="majorBidi" w:cstheme="majorBidi"/>
          <w:color w:val="000000" w:themeColor="text1"/>
          <w:sz w:val="24"/>
          <w:szCs w:val="28"/>
        </w:rPr>
        <w:t xml:space="preserve">it </w:t>
      </w:r>
      <w:r>
        <w:rPr>
          <w:rFonts w:asciiTheme="majorBidi" w:hAnsiTheme="majorBidi" w:cstheme="majorBidi"/>
          <w:color w:val="000000" w:themeColor="text1"/>
          <w:sz w:val="24"/>
          <w:szCs w:val="28"/>
        </w:rPr>
        <w:t xml:space="preserve">responds to the concerns of the FRC about the consistency of </w:t>
      </w:r>
      <w:r w:rsidR="00072025">
        <w:rPr>
          <w:rFonts w:asciiTheme="majorBidi" w:hAnsiTheme="majorBidi" w:cstheme="majorBidi"/>
          <w:color w:val="000000" w:themeColor="text1"/>
          <w:sz w:val="24"/>
          <w:szCs w:val="28"/>
        </w:rPr>
        <w:t>firm disclosures on non-recurring items. Our findings impl</w:t>
      </w:r>
      <w:r w:rsidR="00AE2B97">
        <w:rPr>
          <w:rFonts w:asciiTheme="majorBidi" w:hAnsiTheme="majorBidi" w:cstheme="majorBidi"/>
          <w:color w:val="000000" w:themeColor="text1"/>
          <w:sz w:val="24"/>
          <w:szCs w:val="28"/>
        </w:rPr>
        <w:t>y</w:t>
      </w:r>
      <w:r w:rsidR="00033655">
        <w:rPr>
          <w:rFonts w:asciiTheme="majorBidi" w:hAnsiTheme="majorBidi" w:cstheme="majorBidi"/>
          <w:color w:val="000000" w:themeColor="text1"/>
          <w:sz w:val="24"/>
          <w:szCs w:val="28"/>
        </w:rPr>
        <w:t xml:space="preserve"> that</w:t>
      </w:r>
      <w:r w:rsidR="00A31B32">
        <w:rPr>
          <w:rFonts w:asciiTheme="majorBidi" w:hAnsiTheme="majorBidi" w:cstheme="majorBidi"/>
          <w:color w:val="000000" w:themeColor="text1"/>
          <w:sz w:val="24"/>
          <w:szCs w:val="28"/>
        </w:rPr>
        <w:t xml:space="preserve"> the currently </w:t>
      </w:r>
      <w:r w:rsidR="00072025">
        <w:rPr>
          <w:rFonts w:asciiTheme="majorBidi" w:hAnsiTheme="majorBidi" w:cstheme="majorBidi"/>
          <w:color w:val="000000" w:themeColor="text1"/>
          <w:sz w:val="24"/>
          <w:szCs w:val="28"/>
        </w:rPr>
        <w:t>light</w:t>
      </w:r>
      <w:r w:rsidR="00A31B32">
        <w:rPr>
          <w:rFonts w:asciiTheme="majorBidi" w:hAnsiTheme="majorBidi" w:cstheme="majorBidi"/>
          <w:color w:val="000000" w:themeColor="text1"/>
          <w:sz w:val="24"/>
          <w:szCs w:val="28"/>
        </w:rPr>
        <w:t xml:space="preserve"> regulation of non-IFRS earnings in the UK allows firms to misuse the definitions </w:t>
      </w:r>
      <w:r>
        <w:rPr>
          <w:rFonts w:asciiTheme="majorBidi" w:hAnsiTheme="majorBidi" w:cstheme="majorBidi"/>
          <w:color w:val="000000" w:themeColor="text1"/>
          <w:sz w:val="24"/>
          <w:szCs w:val="28"/>
        </w:rPr>
        <w:t xml:space="preserve">of non-recurring items to </w:t>
      </w:r>
      <w:r w:rsidR="002F6F22">
        <w:rPr>
          <w:rFonts w:asciiTheme="majorBidi" w:hAnsiTheme="majorBidi" w:cstheme="majorBidi"/>
          <w:color w:val="000000" w:themeColor="text1"/>
          <w:sz w:val="24"/>
          <w:szCs w:val="28"/>
        </w:rPr>
        <w:t>manipulate</w:t>
      </w:r>
      <w:r>
        <w:rPr>
          <w:rFonts w:asciiTheme="majorBidi" w:hAnsiTheme="majorBidi" w:cstheme="majorBidi"/>
          <w:color w:val="000000" w:themeColor="text1"/>
          <w:sz w:val="24"/>
          <w:szCs w:val="28"/>
        </w:rPr>
        <w:t xml:space="preserve"> </w:t>
      </w:r>
      <w:r w:rsidR="002F6F22">
        <w:rPr>
          <w:rFonts w:asciiTheme="majorBidi" w:hAnsiTheme="majorBidi" w:cstheme="majorBidi"/>
          <w:color w:val="000000" w:themeColor="text1"/>
          <w:sz w:val="24"/>
          <w:szCs w:val="28"/>
        </w:rPr>
        <w:t xml:space="preserve">underlying </w:t>
      </w:r>
      <w:r>
        <w:rPr>
          <w:rFonts w:asciiTheme="majorBidi" w:hAnsiTheme="majorBidi" w:cstheme="majorBidi"/>
          <w:color w:val="000000" w:themeColor="text1"/>
          <w:sz w:val="24"/>
          <w:szCs w:val="28"/>
        </w:rPr>
        <w:t xml:space="preserve">earnings. </w:t>
      </w:r>
      <w:r w:rsidR="002F6F22">
        <w:rPr>
          <w:rFonts w:asciiTheme="majorBidi" w:hAnsiTheme="majorBidi" w:cstheme="majorBidi"/>
          <w:color w:val="000000" w:themeColor="text1"/>
          <w:sz w:val="24"/>
          <w:szCs w:val="28"/>
        </w:rPr>
        <w:t>Second, our study cautions investors that non-IFRS earnings may not be informative in some cases, particularly when manage</w:t>
      </w:r>
      <w:r w:rsidR="00AE2B97">
        <w:rPr>
          <w:rFonts w:asciiTheme="majorBidi" w:hAnsiTheme="majorBidi" w:cstheme="majorBidi"/>
          <w:color w:val="000000" w:themeColor="text1"/>
          <w:sz w:val="24"/>
          <w:szCs w:val="28"/>
        </w:rPr>
        <w:t>ment</w:t>
      </w:r>
      <w:r w:rsidR="002F6F22">
        <w:rPr>
          <w:rFonts w:asciiTheme="majorBidi" w:hAnsiTheme="majorBidi" w:cstheme="majorBidi"/>
          <w:color w:val="000000" w:themeColor="text1"/>
          <w:sz w:val="24"/>
          <w:szCs w:val="28"/>
        </w:rPr>
        <w:t xml:space="preserve"> </w:t>
      </w:r>
      <w:r w:rsidR="00AE2B97">
        <w:rPr>
          <w:rFonts w:asciiTheme="majorBidi" w:hAnsiTheme="majorBidi" w:cstheme="majorBidi"/>
          <w:color w:val="000000" w:themeColor="text1"/>
          <w:sz w:val="24"/>
          <w:szCs w:val="28"/>
        </w:rPr>
        <w:t xml:space="preserve">generates </w:t>
      </w:r>
      <w:r w:rsidR="002F6F22">
        <w:rPr>
          <w:rFonts w:asciiTheme="majorBidi" w:hAnsiTheme="majorBidi" w:cstheme="majorBidi"/>
          <w:color w:val="000000" w:themeColor="text1"/>
          <w:sz w:val="24"/>
          <w:szCs w:val="28"/>
        </w:rPr>
        <w:t>large amounts of income-</w:t>
      </w:r>
      <w:r w:rsidR="004359BE">
        <w:rPr>
          <w:rFonts w:asciiTheme="majorBidi" w:hAnsiTheme="majorBidi" w:cstheme="majorBidi"/>
          <w:color w:val="000000" w:themeColor="text1"/>
          <w:sz w:val="24"/>
          <w:szCs w:val="28"/>
        </w:rPr>
        <w:t xml:space="preserve">increasing exclusions. </w:t>
      </w:r>
      <w:r w:rsidR="00223D1E">
        <w:rPr>
          <w:rFonts w:asciiTheme="majorBidi" w:hAnsiTheme="majorBidi" w:cstheme="majorBidi"/>
          <w:color w:val="000000" w:themeColor="text1"/>
          <w:sz w:val="24"/>
          <w:szCs w:val="28"/>
        </w:rPr>
        <w:t>Investors should also</w:t>
      </w:r>
      <w:r w:rsidR="004359BE">
        <w:rPr>
          <w:rFonts w:asciiTheme="majorBidi" w:hAnsiTheme="majorBidi" w:cstheme="majorBidi"/>
          <w:color w:val="000000" w:themeColor="text1"/>
          <w:sz w:val="24"/>
          <w:szCs w:val="28"/>
        </w:rPr>
        <w:t xml:space="preserve"> </w:t>
      </w:r>
      <w:proofErr w:type="gramStart"/>
      <w:r w:rsidR="00223D1E">
        <w:rPr>
          <w:rFonts w:asciiTheme="majorBidi" w:hAnsiTheme="majorBidi" w:cstheme="majorBidi"/>
          <w:color w:val="000000" w:themeColor="text1"/>
          <w:sz w:val="24"/>
          <w:szCs w:val="28"/>
        </w:rPr>
        <w:t>look into</w:t>
      </w:r>
      <w:proofErr w:type="gramEnd"/>
      <w:r w:rsidR="004359BE">
        <w:rPr>
          <w:rFonts w:asciiTheme="majorBidi" w:hAnsiTheme="majorBidi" w:cstheme="majorBidi"/>
          <w:color w:val="000000" w:themeColor="text1"/>
          <w:sz w:val="24"/>
          <w:szCs w:val="28"/>
        </w:rPr>
        <w:t xml:space="preserve"> the </w:t>
      </w:r>
      <w:r w:rsidR="00AE2B97">
        <w:rPr>
          <w:rFonts w:asciiTheme="majorBidi" w:hAnsiTheme="majorBidi" w:cstheme="majorBidi"/>
          <w:color w:val="000000" w:themeColor="text1"/>
          <w:sz w:val="24"/>
          <w:szCs w:val="28"/>
        </w:rPr>
        <w:t xml:space="preserve">personal </w:t>
      </w:r>
      <w:r w:rsidR="004359BE">
        <w:rPr>
          <w:rFonts w:asciiTheme="majorBidi" w:hAnsiTheme="majorBidi" w:cstheme="majorBidi"/>
          <w:color w:val="000000" w:themeColor="text1"/>
          <w:sz w:val="24"/>
          <w:szCs w:val="28"/>
        </w:rPr>
        <w:t xml:space="preserve">profile of </w:t>
      </w:r>
      <w:r w:rsidR="00AE2B97">
        <w:rPr>
          <w:rFonts w:asciiTheme="majorBidi" w:hAnsiTheme="majorBidi" w:cstheme="majorBidi"/>
          <w:color w:val="000000" w:themeColor="text1"/>
          <w:sz w:val="24"/>
          <w:szCs w:val="28"/>
        </w:rPr>
        <w:t xml:space="preserve">the </w:t>
      </w:r>
      <w:r w:rsidR="004359BE">
        <w:rPr>
          <w:rFonts w:asciiTheme="majorBidi" w:hAnsiTheme="majorBidi" w:cstheme="majorBidi"/>
          <w:color w:val="000000" w:themeColor="text1"/>
          <w:sz w:val="24"/>
          <w:szCs w:val="28"/>
        </w:rPr>
        <w:t>AC chair and</w:t>
      </w:r>
      <w:r w:rsidR="00223D1E">
        <w:rPr>
          <w:rFonts w:asciiTheme="majorBidi" w:hAnsiTheme="majorBidi" w:cstheme="majorBidi"/>
          <w:color w:val="000000" w:themeColor="text1"/>
          <w:sz w:val="24"/>
          <w:szCs w:val="28"/>
        </w:rPr>
        <w:t xml:space="preserve"> the associated</w:t>
      </w:r>
      <w:r w:rsidR="004359BE">
        <w:rPr>
          <w:rFonts w:asciiTheme="majorBidi" w:hAnsiTheme="majorBidi" w:cstheme="majorBidi"/>
          <w:color w:val="000000" w:themeColor="text1"/>
          <w:sz w:val="24"/>
          <w:szCs w:val="28"/>
        </w:rPr>
        <w:t xml:space="preserve"> report </w:t>
      </w:r>
      <w:r w:rsidR="00223D1E">
        <w:rPr>
          <w:rFonts w:asciiTheme="majorBidi" w:hAnsiTheme="majorBidi" w:cstheme="majorBidi"/>
          <w:color w:val="000000" w:themeColor="text1"/>
          <w:sz w:val="24"/>
          <w:szCs w:val="28"/>
        </w:rPr>
        <w:t xml:space="preserve">when evaluating firm performance based on non-IFRS earnings. Third, our study provides unique insights </w:t>
      </w:r>
      <w:r w:rsidR="00AE2B97">
        <w:rPr>
          <w:rFonts w:asciiTheme="majorBidi" w:hAnsiTheme="majorBidi" w:cstheme="majorBidi"/>
          <w:color w:val="000000" w:themeColor="text1"/>
          <w:sz w:val="24"/>
          <w:szCs w:val="28"/>
        </w:rPr>
        <w:t xml:space="preserve">for </w:t>
      </w:r>
      <w:r w:rsidR="00223D1E">
        <w:rPr>
          <w:rFonts w:asciiTheme="majorBidi" w:hAnsiTheme="majorBidi" w:cstheme="majorBidi"/>
          <w:color w:val="000000" w:themeColor="text1"/>
          <w:sz w:val="24"/>
          <w:szCs w:val="28"/>
        </w:rPr>
        <w:t xml:space="preserve">firms </w:t>
      </w:r>
      <w:r w:rsidR="00AE2B97">
        <w:rPr>
          <w:rFonts w:asciiTheme="majorBidi" w:hAnsiTheme="majorBidi" w:cstheme="majorBidi"/>
          <w:color w:val="000000" w:themeColor="text1"/>
          <w:sz w:val="24"/>
          <w:szCs w:val="28"/>
        </w:rPr>
        <w:t xml:space="preserve">to </w:t>
      </w:r>
      <w:r w:rsidR="00223D1E">
        <w:rPr>
          <w:rFonts w:asciiTheme="majorBidi" w:hAnsiTheme="majorBidi" w:cstheme="majorBidi"/>
          <w:color w:val="000000" w:themeColor="text1"/>
          <w:sz w:val="24"/>
          <w:szCs w:val="28"/>
        </w:rPr>
        <w:t>enhanc</w:t>
      </w:r>
      <w:r w:rsidR="00AE2B97">
        <w:rPr>
          <w:rFonts w:asciiTheme="majorBidi" w:hAnsiTheme="majorBidi" w:cstheme="majorBidi"/>
          <w:color w:val="000000" w:themeColor="text1"/>
          <w:sz w:val="24"/>
          <w:szCs w:val="28"/>
        </w:rPr>
        <w:t>e</w:t>
      </w:r>
      <w:r w:rsidR="00223D1E">
        <w:rPr>
          <w:rFonts w:asciiTheme="majorBidi" w:hAnsiTheme="majorBidi" w:cstheme="majorBidi"/>
          <w:color w:val="000000" w:themeColor="text1"/>
          <w:sz w:val="24"/>
          <w:szCs w:val="28"/>
        </w:rPr>
        <w:t xml:space="preserve"> corporate governance. Our findings impl</w:t>
      </w:r>
      <w:r w:rsidR="00AE2B97">
        <w:rPr>
          <w:rFonts w:asciiTheme="majorBidi" w:hAnsiTheme="majorBidi" w:cstheme="majorBidi"/>
          <w:color w:val="000000" w:themeColor="text1"/>
          <w:sz w:val="24"/>
          <w:szCs w:val="28"/>
        </w:rPr>
        <w:t>y</w:t>
      </w:r>
      <w:r w:rsidR="00223D1E">
        <w:rPr>
          <w:rFonts w:asciiTheme="majorBidi" w:hAnsiTheme="majorBidi" w:cstheme="majorBidi"/>
          <w:color w:val="000000" w:themeColor="text1"/>
          <w:sz w:val="24"/>
          <w:szCs w:val="28"/>
        </w:rPr>
        <w:t xml:space="preserve"> that appointing AC chairs with specific attributes</w:t>
      </w:r>
      <w:r w:rsidR="00B11045">
        <w:rPr>
          <w:rFonts w:asciiTheme="majorBidi" w:hAnsiTheme="majorBidi" w:cstheme="majorBidi"/>
          <w:color w:val="000000" w:themeColor="text1"/>
          <w:sz w:val="24"/>
          <w:szCs w:val="28"/>
        </w:rPr>
        <w:t xml:space="preserve">, such as more firm-specific knowledge and corporate governance expertise, </w:t>
      </w:r>
      <w:r w:rsidR="00223D1E">
        <w:rPr>
          <w:rFonts w:asciiTheme="majorBidi" w:hAnsiTheme="majorBidi" w:cstheme="majorBidi"/>
          <w:color w:val="000000" w:themeColor="text1"/>
          <w:sz w:val="24"/>
          <w:szCs w:val="28"/>
        </w:rPr>
        <w:t xml:space="preserve">significantly improves </w:t>
      </w:r>
      <w:r w:rsidR="00B11045">
        <w:rPr>
          <w:rFonts w:asciiTheme="majorBidi" w:hAnsiTheme="majorBidi" w:cstheme="majorBidi"/>
          <w:color w:val="000000" w:themeColor="text1"/>
          <w:sz w:val="24"/>
          <w:szCs w:val="28"/>
        </w:rPr>
        <w:t xml:space="preserve">oversight </w:t>
      </w:r>
      <w:r w:rsidR="00AE2B97">
        <w:rPr>
          <w:rFonts w:asciiTheme="majorBidi" w:hAnsiTheme="majorBidi" w:cstheme="majorBidi"/>
          <w:color w:val="000000" w:themeColor="text1"/>
          <w:sz w:val="24"/>
          <w:szCs w:val="28"/>
        </w:rPr>
        <w:t xml:space="preserve">within </w:t>
      </w:r>
      <w:r w:rsidR="00B11045">
        <w:rPr>
          <w:rFonts w:asciiTheme="majorBidi" w:hAnsiTheme="majorBidi" w:cstheme="majorBidi"/>
          <w:color w:val="000000" w:themeColor="text1"/>
          <w:sz w:val="24"/>
          <w:szCs w:val="28"/>
        </w:rPr>
        <w:t>financial reporting process</w:t>
      </w:r>
      <w:r w:rsidR="00AE2B97">
        <w:rPr>
          <w:rFonts w:asciiTheme="majorBidi" w:hAnsiTheme="majorBidi" w:cstheme="majorBidi"/>
          <w:color w:val="000000" w:themeColor="text1"/>
          <w:sz w:val="24"/>
          <w:szCs w:val="28"/>
        </w:rPr>
        <w:t>es</w:t>
      </w:r>
      <w:r w:rsidR="00B11045">
        <w:rPr>
          <w:rFonts w:asciiTheme="majorBidi" w:hAnsiTheme="majorBidi" w:cstheme="majorBidi"/>
          <w:color w:val="000000" w:themeColor="text1"/>
          <w:sz w:val="24"/>
          <w:szCs w:val="28"/>
        </w:rPr>
        <w:t>.</w:t>
      </w:r>
    </w:p>
    <w:p w14:paraId="4FD62ED7" w14:textId="485EE353" w:rsidR="004E0DDE" w:rsidRPr="005E73C2" w:rsidRDefault="004E0DDE" w:rsidP="006F7421">
      <w:pPr>
        <w:spacing w:line="480" w:lineRule="auto"/>
        <w:ind w:left="284" w:firstLine="420"/>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t>However, our paper is subject to limitations. First</w:t>
      </w:r>
      <w:r w:rsidR="00B46898">
        <w:rPr>
          <w:rFonts w:asciiTheme="majorBidi" w:hAnsiTheme="majorBidi" w:cstheme="majorBidi"/>
          <w:color w:val="000000" w:themeColor="text1"/>
          <w:sz w:val="24"/>
          <w:szCs w:val="28"/>
        </w:rPr>
        <w:t>ly</w:t>
      </w:r>
      <w:r w:rsidRPr="005E73C2">
        <w:rPr>
          <w:rFonts w:asciiTheme="majorBidi" w:hAnsiTheme="majorBidi" w:cstheme="majorBidi"/>
          <w:color w:val="000000" w:themeColor="text1"/>
          <w:sz w:val="24"/>
          <w:szCs w:val="28"/>
        </w:rPr>
        <w:t xml:space="preserve">, </w:t>
      </w:r>
      <w:r w:rsidR="004B0398">
        <w:rPr>
          <w:rFonts w:asciiTheme="majorBidi" w:hAnsiTheme="majorBidi" w:cstheme="majorBidi"/>
          <w:color w:val="000000" w:themeColor="text1"/>
          <w:sz w:val="24"/>
          <w:szCs w:val="28"/>
        </w:rPr>
        <w:t>w</w:t>
      </w:r>
      <w:r w:rsidRPr="005E73C2">
        <w:rPr>
          <w:rFonts w:asciiTheme="majorBidi" w:hAnsiTheme="majorBidi" w:cstheme="majorBidi"/>
          <w:color w:val="000000" w:themeColor="text1"/>
          <w:sz w:val="24"/>
          <w:szCs w:val="28"/>
        </w:rPr>
        <w:t xml:space="preserve">hile we </w:t>
      </w:r>
      <w:r w:rsidR="00AE2B97">
        <w:rPr>
          <w:rFonts w:asciiTheme="majorBidi" w:hAnsiTheme="majorBidi" w:cstheme="majorBidi"/>
          <w:color w:val="000000" w:themeColor="text1"/>
          <w:sz w:val="24"/>
          <w:szCs w:val="28"/>
        </w:rPr>
        <w:t xml:space="preserve">have </w:t>
      </w:r>
      <w:r w:rsidRPr="005E73C2">
        <w:rPr>
          <w:rFonts w:asciiTheme="majorBidi" w:hAnsiTheme="majorBidi" w:cstheme="majorBidi"/>
          <w:color w:val="000000" w:themeColor="text1"/>
          <w:sz w:val="24"/>
          <w:szCs w:val="28"/>
        </w:rPr>
        <w:t xml:space="preserve">strived to </w:t>
      </w:r>
      <w:r w:rsidR="004B0398">
        <w:rPr>
          <w:rFonts w:asciiTheme="majorBidi" w:hAnsiTheme="majorBidi" w:cstheme="majorBidi"/>
          <w:color w:val="000000" w:themeColor="text1"/>
          <w:sz w:val="24"/>
          <w:szCs w:val="28"/>
        </w:rPr>
        <w:t xml:space="preserve">address </w:t>
      </w:r>
      <w:r w:rsidR="004B0398" w:rsidRPr="005E73C2">
        <w:rPr>
          <w:rFonts w:asciiTheme="majorBidi" w:hAnsiTheme="majorBidi" w:cstheme="majorBidi"/>
          <w:color w:val="000000" w:themeColor="text1"/>
          <w:sz w:val="24"/>
          <w:szCs w:val="28"/>
        </w:rPr>
        <w:t>endogeneity</w:t>
      </w:r>
      <w:r w:rsidRPr="005E73C2">
        <w:rPr>
          <w:rFonts w:asciiTheme="majorBidi" w:hAnsiTheme="majorBidi" w:cstheme="majorBidi"/>
          <w:color w:val="000000" w:themeColor="text1"/>
          <w:sz w:val="24"/>
          <w:szCs w:val="28"/>
        </w:rPr>
        <w:t xml:space="preserve">, we cannot </w:t>
      </w:r>
      <w:r w:rsidR="00AE2B97">
        <w:rPr>
          <w:rFonts w:asciiTheme="majorBidi" w:hAnsiTheme="majorBidi" w:cstheme="majorBidi"/>
          <w:color w:val="000000" w:themeColor="text1"/>
          <w:sz w:val="24"/>
          <w:szCs w:val="28"/>
        </w:rPr>
        <w:t xml:space="preserve">fully </w:t>
      </w:r>
      <w:r w:rsidRPr="005E73C2">
        <w:rPr>
          <w:rFonts w:asciiTheme="majorBidi" w:hAnsiTheme="majorBidi" w:cstheme="majorBidi"/>
          <w:color w:val="000000" w:themeColor="text1"/>
          <w:sz w:val="24"/>
          <w:szCs w:val="28"/>
        </w:rPr>
        <w:t xml:space="preserve">mitigate concerns that our findings </w:t>
      </w:r>
      <w:r w:rsidR="00AE2B97">
        <w:rPr>
          <w:rFonts w:asciiTheme="majorBidi" w:hAnsiTheme="majorBidi" w:cstheme="majorBidi"/>
          <w:color w:val="000000" w:themeColor="text1"/>
          <w:sz w:val="24"/>
          <w:szCs w:val="28"/>
        </w:rPr>
        <w:t>may</w:t>
      </w:r>
      <w:r w:rsidR="00AE2B97"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still be subject to endogeneity. Second</w:t>
      </w:r>
      <w:r w:rsidR="00B46898">
        <w:rPr>
          <w:rFonts w:asciiTheme="majorBidi" w:hAnsiTheme="majorBidi" w:cstheme="majorBidi"/>
          <w:color w:val="000000" w:themeColor="text1"/>
          <w:sz w:val="24"/>
          <w:szCs w:val="28"/>
        </w:rPr>
        <w:t>ly</w:t>
      </w:r>
      <w:r w:rsidRPr="005E73C2">
        <w:rPr>
          <w:rFonts w:asciiTheme="majorBidi" w:hAnsiTheme="majorBidi" w:cstheme="majorBidi"/>
          <w:color w:val="000000" w:themeColor="text1"/>
          <w:sz w:val="24"/>
          <w:szCs w:val="28"/>
        </w:rPr>
        <w:t xml:space="preserve">, </w:t>
      </w:r>
      <w:r w:rsidR="006F7421">
        <w:rPr>
          <w:rFonts w:asciiTheme="majorBidi" w:hAnsiTheme="majorBidi" w:cstheme="majorBidi"/>
          <w:color w:val="000000" w:themeColor="text1"/>
          <w:sz w:val="24"/>
          <w:szCs w:val="28"/>
        </w:rPr>
        <w:t>a</w:t>
      </w:r>
      <w:r w:rsidRPr="005E73C2">
        <w:rPr>
          <w:rFonts w:asciiTheme="majorBidi" w:hAnsiTheme="majorBidi" w:cstheme="majorBidi"/>
          <w:color w:val="000000" w:themeColor="text1"/>
          <w:sz w:val="24"/>
          <w:szCs w:val="28"/>
        </w:rPr>
        <w:t xml:space="preserve">lthough </w:t>
      </w:r>
      <w:r w:rsidR="00426659" w:rsidRPr="00426659">
        <w:rPr>
          <w:rFonts w:asciiTheme="majorBidi" w:hAnsiTheme="majorBidi" w:cstheme="majorBidi"/>
          <w:color w:val="000000" w:themeColor="text1"/>
          <w:sz w:val="24"/>
          <w:szCs w:val="28"/>
        </w:rPr>
        <w:t>existing studies (Church et al., 2020; Ham et al., 2017; Ham et al., 2018) have already validated signature size as an effective</w:t>
      </w:r>
      <w:r w:rsidR="00AE2B97">
        <w:rPr>
          <w:rFonts w:asciiTheme="majorBidi" w:hAnsiTheme="majorBidi" w:cstheme="majorBidi"/>
          <w:color w:val="000000" w:themeColor="text1"/>
          <w:sz w:val="24"/>
          <w:szCs w:val="28"/>
        </w:rPr>
        <w:t xml:space="preserve"> yet</w:t>
      </w:r>
      <w:r w:rsidR="00426659" w:rsidRPr="00426659">
        <w:rPr>
          <w:rFonts w:asciiTheme="majorBidi" w:hAnsiTheme="majorBidi" w:cstheme="majorBidi"/>
          <w:color w:val="000000" w:themeColor="text1"/>
          <w:sz w:val="24"/>
          <w:szCs w:val="28"/>
        </w:rPr>
        <w:t xml:space="preserve"> unobtrusive measure of narcissism</w:t>
      </w:r>
      <w:r w:rsidRPr="005E73C2">
        <w:rPr>
          <w:rFonts w:asciiTheme="majorBidi" w:hAnsiTheme="majorBidi" w:cstheme="majorBidi"/>
          <w:color w:val="000000" w:themeColor="text1"/>
          <w:sz w:val="24"/>
          <w:szCs w:val="28"/>
        </w:rPr>
        <w:t xml:space="preserve">, there might be other factors at play, such as </w:t>
      </w:r>
      <w:r w:rsidR="00426659">
        <w:rPr>
          <w:rFonts w:asciiTheme="majorBidi" w:hAnsiTheme="majorBidi" w:cstheme="majorBidi"/>
          <w:color w:val="000000" w:themeColor="text1"/>
          <w:sz w:val="24"/>
          <w:szCs w:val="28"/>
        </w:rPr>
        <w:t xml:space="preserve">overconfidence, </w:t>
      </w:r>
      <w:r w:rsidRPr="005E73C2">
        <w:rPr>
          <w:rFonts w:asciiTheme="majorBidi" w:hAnsiTheme="majorBidi" w:cstheme="majorBidi"/>
          <w:color w:val="000000" w:themeColor="text1"/>
          <w:sz w:val="24"/>
          <w:szCs w:val="28"/>
        </w:rPr>
        <w:t xml:space="preserve">personal habitual variation, temporary mood, </w:t>
      </w:r>
      <w:r w:rsidR="006F7421">
        <w:rPr>
          <w:rFonts w:asciiTheme="majorBidi" w:hAnsiTheme="majorBidi" w:cstheme="majorBidi"/>
          <w:color w:val="000000" w:themeColor="text1"/>
          <w:sz w:val="24"/>
          <w:szCs w:val="28"/>
        </w:rPr>
        <w:t xml:space="preserve">or </w:t>
      </w:r>
      <w:r w:rsidRPr="005E73C2">
        <w:rPr>
          <w:rFonts w:asciiTheme="majorBidi" w:hAnsiTheme="majorBidi" w:cstheme="majorBidi"/>
          <w:color w:val="000000" w:themeColor="text1"/>
          <w:sz w:val="24"/>
          <w:szCs w:val="28"/>
        </w:rPr>
        <w:t>imitation of others. We encourage future research to develop more rigorous measures to capture the narcissistic personality traits of AC chairs.</w:t>
      </w:r>
      <w:r w:rsidR="00426659">
        <w:rPr>
          <w:rFonts w:asciiTheme="majorBidi" w:hAnsiTheme="majorBidi" w:cstheme="majorBidi"/>
          <w:color w:val="000000" w:themeColor="text1"/>
          <w:sz w:val="24"/>
          <w:szCs w:val="28"/>
        </w:rPr>
        <w:t xml:space="preserve"> </w:t>
      </w:r>
      <w:r w:rsidR="004B0398">
        <w:rPr>
          <w:rFonts w:asciiTheme="majorBidi" w:hAnsiTheme="majorBidi" w:cstheme="majorBidi"/>
          <w:color w:val="000000" w:themeColor="text1"/>
          <w:sz w:val="24"/>
          <w:szCs w:val="28"/>
        </w:rPr>
        <w:t>F</w:t>
      </w:r>
      <w:r w:rsidR="00B46898">
        <w:rPr>
          <w:rFonts w:asciiTheme="majorBidi" w:hAnsiTheme="majorBidi" w:cstheme="majorBidi"/>
          <w:color w:val="000000" w:themeColor="text1"/>
          <w:sz w:val="24"/>
          <w:szCs w:val="28"/>
        </w:rPr>
        <w:t>inally</w:t>
      </w:r>
      <w:r w:rsidRPr="005E73C2">
        <w:rPr>
          <w:rFonts w:asciiTheme="majorBidi" w:hAnsiTheme="majorBidi" w:cstheme="majorBidi"/>
          <w:color w:val="000000" w:themeColor="text1"/>
          <w:sz w:val="24"/>
          <w:szCs w:val="28"/>
        </w:rPr>
        <w:t xml:space="preserve">, </w:t>
      </w:r>
      <w:r w:rsidR="006F7421">
        <w:rPr>
          <w:rFonts w:asciiTheme="majorBidi" w:hAnsiTheme="majorBidi" w:cstheme="majorBidi"/>
          <w:color w:val="000000" w:themeColor="text1"/>
          <w:sz w:val="24"/>
          <w:szCs w:val="28"/>
        </w:rPr>
        <w:t>we</w:t>
      </w:r>
      <w:r w:rsidRPr="005E73C2">
        <w:rPr>
          <w:rFonts w:asciiTheme="majorBidi" w:hAnsiTheme="majorBidi" w:cstheme="majorBidi"/>
          <w:color w:val="000000" w:themeColor="text1"/>
          <w:sz w:val="24"/>
          <w:szCs w:val="28"/>
        </w:rPr>
        <w:t xml:space="preserve"> mainly focus on UK listed companies so our findings might not be fully applicable to countries with different social, econ</w:t>
      </w:r>
      <w:r w:rsidRPr="00A22E2C">
        <w:rPr>
          <w:rFonts w:asciiTheme="majorBidi" w:hAnsiTheme="majorBidi" w:cstheme="majorBidi"/>
          <w:color w:val="000000" w:themeColor="text1"/>
          <w:sz w:val="24"/>
          <w:szCs w:val="28"/>
        </w:rPr>
        <w:t>omic</w:t>
      </w:r>
      <w:r w:rsidR="00A22E2C">
        <w:rPr>
          <w:rFonts w:asciiTheme="majorBidi" w:hAnsiTheme="majorBidi" w:cstheme="majorBidi"/>
          <w:color w:val="000000" w:themeColor="text1"/>
          <w:sz w:val="24"/>
          <w:szCs w:val="28"/>
        </w:rPr>
        <w:t>,</w:t>
      </w:r>
      <w:r w:rsidRPr="005E73C2">
        <w:rPr>
          <w:rFonts w:asciiTheme="majorBidi" w:hAnsiTheme="majorBidi" w:cstheme="majorBidi"/>
          <w:color w:val="000000" w:themeColor="text1"/>
          <w:sz w:val="24"/>
          <w:szCs w:val="28"/>
        </w:rPr>
        <w:t xml:space="preserve"> </w:t>
      </w:r>
      <w:r w:rsidR="00B46898">
        <w:rPr>
          <w:rFonts w:asciiTheme="majorBidi" w:hAnsiTheme="majorBidi" w:cstheme="majorBidi"/>
          <w:color w:val="000000" w:themeColor="text1"/>
          <w:sz w:val="24"/>
          <w:szCs w:val="28"/>
        </w:rPr>
        <w:t>or</w:t>
      </w:r>
      <w:r w:rsidR="00B46898" w:rsidRPr="005E73C2">
        <w:rPr>
          <w:rFonts w:asciiTheme="majorBidi" w:hAnsiTheme="majorBidi" w:cstheme="majorBidi"/>
          <w:color w:val="000000" w:themeColor="text1"/>
          <w:sz w:val="24"/>
          <w:szCs w:val="28"/>
        </w:rPr>
        <w:t xml:space="preserve"> </w:t>
      </w:r>
      <w:r w:rsidRPr="005E73C2">
        <w:rPr>
          <w:rFonts w:asciiTheme="majorBidi" w:hAnsiTheme="majorBidi" w:cstheme="majorBidi"/>
          <w:color w:val="000000" w:themeColor="text1"/>
          <w:sz w:val="24"/>
          <w:szCs w:val="28"/>
        </w:rPr>
        <w:t>political environments</w:t>
      </w:r>
      <w:r w:rsidR="006F7421">
        <w:rPr>
          <w:rFonts w:asciiTheme="majorBidi" w:hAnsiTheme="majorBidi" w:cstheme="majorBidi"/>
          <w:color w:val="000000" w:themeColor="text1"/>
          <w:sz w:val="24"/>
          <w:szCs w:val="28"/>
        </w:rPr>
        <w:t xml:space="preserve">. </w:t>
      </w:r>
    </w:p>
    <w:p w14:paraId="66CFBE6D" w14:textId="298F01CE" w:rsidR="004E0DDE" w:rsidRPr="001D5926" w:rsidRDefault="004E0DDE">
      <w:pPr>
        <w:pStyle w:val="Heading1"/>
        <w:rPr>
          <w:rFonts w:asciiTheme="majorBidi" w:hAnsiTheme="majorBidi"/>
          <w:b/>
          <w:bCs/>
          <w:color w:val="000000" w:themeColor="text1"/>
          <w:sz w:val="24"/>
          <w:szCs w:val="24"/>
        </w:rPr>
      </w:pPr>
      <w:r w:rsidRPr="005E73C2">
        <w:rPr>
          <w:rFonts w:asciiTheme="majorBidi" w:hAnsiTheme="majorBidi"/>
          <w:color w:val="000000" w:themeColor="text1"/>
          <w:sz w:val="24"/>
          <w:szCs w:val="28"/>
        </w:rPr>
        <w:br w:type="page"/>
      </w:r>
      <w:r w:rsidRPr="001D5926">
        <w:rPr>
          <w:rFonts w:asciiTheme="majorBidi" w:hAnsiTheme="majorBidi"/>
          <w:b/>
          <w:bCs/>
          <w:color w:val="000000" w:themeColor="text1"/>
        </w:rPr>
        <w:lastRenderedPageBreak/>
        <w:t>References</w:t>
      </w:r>
    </w:p>
    <w:p w14:paraId="3DB09EA3" w14:textId="7B5DF518" w:rsidR="002528F2" w:rsidRDefault="002528F2" w:rsidP="002405CE">
      <w:pPr>
        <w:pStyle w:val="EndNoteBibliography"/>
        <w:ind w:left="720" w:hanging="720"/>
        <w:rPr>
          <w:rFonts w:asciiTheme="majorBidi" w:hAnsiTheme="majorBidi"/>
          <w:color w:val="000000" w:themeColor="text1"/>
          <w:sz w:val="24"/>
          <w:szCs w:val="24"/>
        </w:rPr>
      </w:pPr>
    </w:p>
    <w:p w14:paraId="4AC95103" w14:textId="628B8F38"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Abdel-Meguid, A., Jennings, J. N., Olsen, K. J</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Soliman, M. T.</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4E0DDE" w:rsidRPr="005E73C2">
        <w:rPr>
          <w:rFonts w:asciiTheme="majorBidi" w:hAnsiTheme="majorBidi"/>
          <w:color w:val="000000" w:themeColor="text1"/>
          <w:sz w:val="24"/>
          <w:szCs w:val="24"/>
        </w:rPr>
        <w:t>021</w:t>
      </w:r>
      <w:r w:rsidR="00C043A3">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The impact of the CEO's personal narcissism on non-GAAP earnings.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96</w:t>
      </w:r>
      <w:r w:rsidR="007052A9">
        <w:rPr>
          <w:rFonts w:asciiTheme="majorBidi" w:hAnsiTheme="majorBidi"/>
          <w:color w:val="000000" w:themeColor="text1"/>
          <w:sz w:val="24"/>
          <w:szCs w:val="24"/>
        </w:rPr>
        <w:t>(3)</w:t>
      </w:r>
      <w:r w:rsidR="004E0DDE" w:rsidRPr="007B758D">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1-25.</w:t>
      </w:r>
    </w:p>
    <w:p w14:paraId="2E0B6994" w14:textId="6CF61DF5"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Adams, R. B</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Ferreira, D.</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4E0DDE" w:rsidRPr="005E73C2">
        <w:rPr>
          <w:rFonts w:asciiTheme="majorBidi" w:hAnsiTheme="majorBidi"/>
          <w:color w:val="000000" w:themeColor="text1"/>
          <w:sz w:val="24"/>
          <w:szCs w:val="24"/>
        </w:rPr>
        <w:t>009</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Women in the boardroom and their impact on governance and performance. </w:t>
      </w:r>
      <w:r w:rsidR="004E0DDE" w:rsidRPr="005E73C2">
        <w:rPr>
          <w:rFonts w:asciiTheme="majorBidi" w:hAnsiTheme="majorBidi"/>
          <w:i/>
          <w:color w:val="000000" w:themeColor="text1"/>
          <w:sz w:val="24"/>
          <w:szCs w:val="24"/>
        </w:rPr>
        <w:t>Journal of Financial Economics,</w:t>
      </w:r>
      <w:r w:rsidR="004E0DDE" w:rsidRPr="005E73C2">
        <w:rPr>
          <w:rFonts w:asciiTheme="majorBidi" w:hAnsiTheme="majorBidi"/>
          <w:color w:val="000000" w:themeColor="text1"/>
          <w:sz w:val="24"/>
          <w:szCs w:val="24"/>
        </w:rPr>
        <w:t xml:space="preserve"> 94</w:t>
      </w:r>
      <w:r w:rsidR="007052A9">
        <w:rPr>
          <w:rFonts w:asciiTheme="majorBidi" w:hAnsiTheme="majorBidi"/>
          <w:color w:val="000000" w:themeColor="text1"/>
          <w:sz w:val="24"/>
          <w:szCs w:val="24"/>
        </w:rPr>
        <w:t>(</w:t>
      </w:r>
      <w:r w:rsidR="007052A9" w:rsidRPr="007B758D">
        <w:rPr>
          <w:rFonts w:asciiTheme="majorBidi" w:hAnsiTheme="majorBidi"/>
          <w:color w:val="000000" w:themeColor="text1"/>
          <w:sz w:val="24"/>
          <w:szCs w:val="24"/>
        </w:rPr>
        <w:t>2)</w:t>
      </w:r>
      <w:r w:rsidR="004E0DDE" w:rsidRPr="007B758D">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291-309.</w:t>
      </w:r>
    </w:p>
    <w:p w14:paraId="104E96EE" w14:textId="045F2622"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Allee, K. D., Bhattacharya, N., Black, E. L</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Christensen, T. E.</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007).</w:t>
      </w:r>
      <w:r w:rsidR="004E0DDE" w:rsidRPr="005E73C2">
        <w:rPr>
          <w:rFonts w:asciiTheme="majorBidi" w:hAnsiTheme="majorBidi"/>
          <w:color w:val="000000" w:themeColor="text1"/>
          <w:sz w:val="24"/>
          <w:szCs w:val="24"/>
        </w:rPr>
        <w:t xml:space="preserve"> Pro forma disclosure and investor sophistication: External validation of experimental evidence using archival data. </w:t>
      </w:r>
      <w:r w:rsidR="004E0DDE" w:rsidRPr="005E73C2">
        <w:rPr>
          <w:rFonts w:asciiTheme="majorBidi" w:hAnsiTheme="majorBidi"/>
          <w:i/>
          <w:color w:val="000000" w:themeColor="text1"/>
          <w:sz w:val="24"/>
          <w:szCs w:val="24"/>
        </w:rPr>
        <w:t>Accounting, Organizations and Society,</w:t>
      </w:r>
      <w:r w:rsidR="004E0DDE" w:rsidRPr="005E73C2">
        <w:rPr>
          <w:rFonts w:asciiTheme="majorBidi" w:hAnsiTheme="majorBidi"/>
          <w:color w:val="000000" w:themeColor="text1"/>
          <w:sz w:val="24"/>
          <w:szCs w:val="24"/>
        </w:rPr>
        <w:t xml:space="preserve"> 32</w:t>
      </w:r>
      <w:r w:rsidR="00A82BD3">
        <w:rPr>
          <w:rFonts w:asciiTheme="majorBidi" w:hAnsiTheme="majorBidi"/>
          <w:color w:val="000000" w:themeColor="text1"/>
          <w:sz w:val="24"/>
          <w:szCs w:val="24"/>
        </w:rPr>
        <w:t>(3)</w:t>
      </w:r>
      <w:r w:rsidR="004E0DDE" w:rsidRPr="007B758D">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201-222.</w:t>
      </w:r>
    </w:p>
    <w:p w14:paraId="24151B33" w14:textId="057FCC37" w:rsidR="002D428E" w:rsidRPr="005E73C2" w:rsidRDefault="002D428E" w:rsidP="002405CE">
      <w:pPr>
        <w:pStyle w:val="EndNoteBibliography"/>
        <w:ind w:left="720" w:hanging="720"/>
        <w:rPr>
          <w:rFonts w:asciiTheme="majorBidi" w:hAnsiTheme="majorBidi"/>
          <w:color w:val="000000" w:themeColor="text1"/>
          <w:sz w:val="24"/>
          <w:szCs w:val="24"/>
        </w:rPr>
      </w:pPr>
      <w:r w:rsidRPr="002D428E">
        <w:rPr>
          <w:rFonts w:asciiTheme="majorBidi" w:hAnsiTheme="majorBidi"/>
          <w:color w:val="000000" w:themeColor="text1"/>
          <w:sz w:val="24"/>
          <w:szCs w:val="24"/>
        </w:rPr>
        <w:t>Ashraf, M., Michas, P. N., &amp; Russomanno, D. (2020). The impact of audit committee information technology expertise on the reliability and timeliness of financial reporting. </w:t>
      </w:r>
      <w:r w:rsidRPr="002D428E">
        <w:rPr>
          <w:rFonts w:asciiTheme="majorBidi" w:hAnsiTheme="majorBidi"/>
          <w:i/>
          <w:iCs/>
          <w:color w:val="000000" w:themeColor="text1"/>
          <w:sz w:val="24"/>
          <w:szCs w:val="24"/>
        </w:rPr>
        <w:t>The Accounting Review,</w:t>
      </w:r>
      <w:r w:rsidRPr="002D428E">
        <w:rPr>
          <w:rFonts w:asciiTheme="majorBidi" w:hAnsiTheme="majorBidi"/>
          <w:color w:val="000000" w:themeColor="text1"/>
          <w:sz w:val="24"/>
          <w:szCs w:val="24"/>
        </w:rPr>
        <w:t> 95(5), 23-56.</w:t>
      </w:r>
    </w:p>
    <w:p w14:paraId="2277B34C" w14:textId="20ABB60E"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Athanasakou, V. E., Strong, N. C</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Walker, M</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4E0DDE" w:rsidRPr="005E73C2">
        <w:rPr>
          <w:rFonts w:asciiTheme="majorBidi" w:hAnsiTheme="majorBidi"/>
          <w:color w:val="000000" w:themeColor="text1"/>
          <w:sz w:val="24"/>
          <w:szCs w:val="24"/>
        </w:rPr>
        <w:t>009</w:t>
      </w:r>
      <w:r w:rsidR="0089160E">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Earnings management or forecast guidance to meet analyst expectations? </w:t>
      </w:r>
      <w:r w:rsidR="004E0DDE" w:rsidRPr="005E73C2">
        <w:rPr>
          <w:rFonts w:asciiTheme="majorBidi" w:hAnsiTheme="majorBidi"/>
          <w:i/>
          <w:color w:val="000000" w:themeColor="text1"/>
          <w:sz w:val="24"/>
          <w:szCs w:val="24"/>
        </w:rPr>
        <w:t>Accounting and Business Research,</w:t>
      </w:r>
      <w:r w:rsidR="004E0DDE" w:rsidRPr="005E73C2">
        <w:rPr>
          <w:rFonts w:asciiTheme="majorBidi" w:hAnsiTheme="majorBidi"/>
          <w:color w:val="000000" w:themeColor="text1"/>
          <w:sz w:val="24"/>
          <w:szCs w:val="24"/>
        </w:rPr>
        <w:t xml:space="preserve"> 39</w:t>
      </w:r>
      <w:r w:rsidR="00A82BD3">
        <w:rPr>
          <w:rFonts w:asciiTheme="majorBidi" w:hAnsiTheme="majorBidi"/>
          <w:color w:val="000000" w:themeColor="text1"/>
          <w:sz w:val="24"/>
          <w:szCs w:val="24"/>
        </w:rPr>
        <w:t>(1)</w:t>
      </w:r>
      <w:r w:rsidR="004E0DDE" w:rsidRPr="007B758D">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3-35.</w:t>
      </w:r>
    </w:p>
    <w:p w14:paraId="4739CDF1" w14:textId="38B102FA" w:rsidR="002D428E" w:rsidRPr="005E73C2" w:rsidRDefault="002D428E" w:rsidP="002405CE">
      <w:pPr>
        <w:pStyle w:val="EndNoteBibliography"/>
        <w:ind w:left="720" w:hanging="720"/>
        <w:rPr>
          <w:rFonts w:asciiTheme="majorBidi" w:hAnsiTheme="majorBidi"/>
          <w:color w:val="000000" w:themeColor="text1"/>
          <w:sz w:val="24"/>
          <w:szCs w:val="24"/>
        </w:rPr>
      </w:pPr>
      <w:r w:rsidRPr="002D428E">
        <w:rPr>
          <w:rFonts w:asciiTheme="majorBidi" w:hAnsiTheme="majorBidi"/>
          <w:color w:val="000000" w:themeColor="text1"/>
          <w:sz w:val="24"/>
          <w:szCs w:val="24"/>
        </w:rPr>
        <w:t>Badolato, P. G., Donelson, D. C., &amp; Ege, M. (2014). Audit committee financial expertise and earnings management: The role of status. </w:t>
      </w:r>
      <w:r w:rsidRPr="002D428E">
        <w:rPr>
          <w:rFonts w:asciiTheme="majorBidi" w:hAnsiTheme="majorBidi"/>
          <w:i/>
          <w:iCs/>
          <w:color w:val="000000" w:themeColor="text1"/>
          <w:sz w:val="24"/>
          <w:szCs w:val="24"/>
        </w:rPr>
        <w:t xml:space="preserve">Journal of </w:t>
      </w:r>
      <w:r>
        <w:rPr>
          <w:rFonts w:asciiTheme="majorBidi" w:hAnsiTheme="majorBidi"/>
          <w:i/>
          <w:iCs/>
          <w:color w:val="000000" w:themeColor="text1"/>
          <w:sz w:val="24"/>
          <w:szCs w:val="24"/>
        </w:rPr>
        <w:t>A</w:t>
      </w:r>
      <w:r w:rsidRPr="002D428E">
        <w:rPr>
          <w:rFonts w:asciiTheme="majorBidi" w:hAnsiTheme="majorBidi"/>
          <w:i/>
          <w:iCs/>
          <w:color w:val="000000" w:themeColor="text1"/>
          <w:sz w:val="24"/>
          <w:szCs w:val="24"/>
        </w:rPr>
        <w:t xml:space="preserve">ccounting and </w:t>
      </w:r>
      <w:r>
        <w:rPr>
          <w:rFonts w:asciiTheme="majorBidi" w:hAnsiTheme="majorBidi"/>
          <w:i/>
          <w:iCs/>
          <w:color w:val="000000" w:themeColor="text1"/>
          <w:sz w:val="24"/>
          <w:szCs w:val="24"/>
        </w:rPr>
        <w:t>E</w:t>
      </w:r>
      <w:r w:rsidRPr="002D428E">
        <w:rPr>
          <w:rFonts w:asciiTheme="majorBidi" w:hAnsiTheme="majorBidi"/>
          <w:i/>
          <w:iCs/>
          <w:color w:val="000000" w:themeColor="text1"/>
          <w:sz w:val="24"/>
          <w:szCs w:val="24"/>
        </w:rPr>
        <w:t>conomics,</w:t>
      </w:r>
      <w:r w:rsidRPr="002D428E">
        <w:rPr>
          <w:rFonts w:asciiTheme="majorBidi" w:hAnsiTheme="majorBidi"/>
          <w:color w:val="000000" w:themeColor="text1"/>
          <w:sz w:val="24"/>
          <w:szCs w:val="24"/>
        </w:rPr>
        <w:t> 58(2-3), 208-230.</w:t>
      </w:r>
    </w:p>
    <w:p w14:paraId="65263576" w14:textId="3F4D0E31"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Beasley, M. S</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96</w:t>
      </w:r>
      <w:r w:rsidR="0089160E">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An empirical analysis of the relation between the board of director composition and financial statement fraud.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71</w:t>
      </w:r>
      <w:r w:rsidR="00A82BD3">
        <w:rPr>
          <w:rFonts w:asciiTheme="majorBidi" w:hAnsiTheme="majorBidi"/>
          <w:color w:val="000000" w:themeColor="text1"/>
          <w:sz w:val="24"/>
          <w:szCs w:val="24"/>
        </w:rPr>
        <w:t>(4</w:t>
      </w:r>
      <w:r w:rsidR="00A82BD3" w:rsidRPr="007B758D">
        <w:rPr>
          <w:rFonts w:asciiTheme="majorBidi" w:hAnsiTheme="majorBidi"/>
          <w:color w:val="000000" w:themeColor="text1"/>
          <w:sz w:val="24"/>
          <w:szCs w:val="24"/>
        </w:rPr>
        <w:t>)</w:t>
      </w:r>
      <w:r w:rsidR="004E0DDE" w:rsidRPr="007B758D">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443-465.</w:t>
      </w:r>
    </w:p>
    <w:p w14:paraId="205664C3" w14:textId="33092A4D" w:rsidR="001B709D" w:rsidRPr="005E73C2" w:rsidRDefault="001B709D" w:rsidP="002405CE">
      <w:pPr>
        <w:pStyle w:val="EndNoteBibliography"/>
        <w:ind w:left="720" w:hanging="720"/>
        <w:rPr>
          <w:rFonts w:asciiTheme="majorBidi" w:hAnsiTheme="majorBidi"/>
          <w:color w:val="000000" w:themeColor="text1"/>
          <w:sz w:val="24"/>
          <w:szCs w:val="24"/>
        </w:rPr>
      </w:pPr>
      <w:r w:rsidRPr="001B709D">
        <w:rPr>
          <w:rFonts w:asciiTheme="majorBidi" w:hAnsiTheme="majorBidi"/>
          <w:color w:val="000000" w:themeColor="text1"/>
          <w:sz w:val="24"/>
          <w:szCs w:val="24"/>
        </w:rPr>
        <w:t xml:space="preserve">Beasley, M. S., Carcello, J. V., Hermanson, D. R., &amp; Neal, T. L. (2009). The audit committee oversight process. </w:t>
      </w:r>
      <w:r w:rsidRPr="001B709D">
        <w:rPr>
          <w:rFonts w:asciiTheme="majorBidi" w:hAnsiTheme="majorBidi"/>
          <w:i/>
          <w:iCs/>
          <w:color w:val="000000" w:themeColor="text1"/>
          <w:sz w:val="24"/>
          <w:szCs w:val="24"/>
        </w:rPr>
        <w:t>Contemporary Accounting Research,</w:t>
      </w:r>
      <w:r w:rsidRPr="001B709D">
        <w:rPr>
          <w:rFonts w:asciiTheme="majorBidi" w:hAnsiTheme="majorBidi"/>
          <w:color w:val="000000" w:themeColor="text1"/>
          <w:sz w:val="24"/>
          <w:szCs w:val="24"/>
        </w:rPr>
        <w:t xml:space="preserve"> 26(1), 65-122.</w:t>
      </w:r>
    </w:p>
    <w:p w14:paraId="05DDDB51" w14:textId="4EE877B4"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Bedard, J., Chtourou, S. M</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Courteau, L</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004).</w:t>
      </w:r>
      <w:r w:rsidR="004E0DDE" w:rsidRPr="005E73C2">
        <w:rPr>
          <w:rFonts w:asciiTheme="majorBidi" w:hAnsiTheme="majorBidi"/>
          <w:color w:val="000000" w:themeColor="text1"/>
          <w:sz w:val="24"/>
          <w:szCs w:val="24"/>
        </w:rPr>
        <w:t xml:space="preserve"> The effect of audit committee expertise, independence, and activity on aggressive earnings management. </w:t>
      </w:r>
      <w:r w:rsidR="004E0DDE" w:rsidRPr="005E73C2">
        <w:rPr>
          <w:rFonts w:asciiTheme="majorBidi" w:hAnsiTheme="majorBidi"/>
          <w:i/>
          <w:color w:val="000000" w:themeColor="text1"/>
          <w:sz w:val="24"/>
          <w:szCs w:val="24"/>
        </w:rPr>
        <w:t>Auditing: A Journal of Practice and Theory,</w:t>
      </w:r>
      <w:r w:rsidR="004E0DDE" w:rsidRPr="005E73C2">
        <w:rPr>
          <w:rFonts w:asciiTheme="majorBidi" w:hAnsiTheme="majorBidi"/>
          <w:color w:val="000000" w:themeColor="text1"/>
          <w:sz w:val="24"/>
          <w:szCs w:val="24"/>
        </w:rPr>
        <w:t xml:space="preserve"> 23</w:t>
      </w:r>
      <w:r w:rsidR="00A82BD3">
        <w:rPr>
          <w:rFonts w:asciiTheme="majorBidi" w:hAnsiTheme="majorBidi"/>
          <w:color w:val="000000" w:themeColor="text1"/>
          <w:sz w:val="24"/>
          <w:szCs w:val="24"/>
        </w:rPr>
        <w:t>(2)</w:t>
      </w:r>
      <w:r w:rsidR="004E0DDE" w:rsidRPr="007B758D">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13-35.</w:t>
      </w:r>
    </w:p>
    <w:p w14:paraId="49FC8B89" w14:textId="096EB1D9" w:rsidR="001B709D" w:rsidRPr="005E73C2" w:rsidRDefault="001B709D" w:rsidP="002405CE">
      <w:pPr>
        <w:pStyle w:val="EndNoteBibliography"/>
        <w:ind w:left="720" w:hanging="720"/>
        <w:rPr>
          <w:rFonts w:asciiTheme="majorBidi" w:hAnsiTheme="majorBidi"/>
          <w:color w:val="000000" w:themeColor="text1"/>
          <w:sz w:val="24"/>
          <w:szCs w:val="24"/>
        </w:rPr>
      </w:pPr>
      <w:r w:rsidRPr="001B709D">
        <w:rPr>
          <w:rFonts w:asciiTheme="majorBidi" w:hAnsiTheme="majorBidi"/>
          <w:color w:val="000000" w:themeColor="text1"/>
          <w:sz w:val="24"/>
          <w:szCs w:val="24"/>
        </w:rPr>
        <w:t xml:space="preserve">Bedford, A., Ghannam, S., Grosse, M., &amp; Ma, N. (2023). CEO power and the strategic selection of accounting financial experts to the audit committee. </w:t>
      </w:r>
      <w:r w:rsidRPr="001B709D">
        <w:rPr>
          <w:rFonts w:asciiTheme="majorBidi" w:hAnsiTheme="majorBidi"/>
          <w:i/>
          <w:iCs/>
          <w:color w:val="000000" w:themeColor="text1"/>
          <w:sz w:val="24"/>
          <w:szCs w:val="24"/>
        </w:rPr>
        <w:t>Contemporary Accounting Research,</w:t>
      </w:r>
      <w:r w:rsidRPr="001B709D">
        <w:rPr>
          <w:rFonts w:asciiTheme="majorBidi" w:hAnsiTheme="majorBidi"/>
          <w:color w:val="000000" w:themeColor="text1"/>
          <w:sz w:val="24"/>
          <w:szCs w:val="24"/>
        </w:rPr>
        <w:t xml:space="preserve"> 40(4), 2673-2710.</w:t>
      </w:r>
    </w:p>
    <w:p w14:paraId="2B337809" w14:textId="0490B3A2"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Bhattacharya, N., Black, E. L., Christensen, T. E</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Mergenthaler, R. D</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007).</w:t>
      </w:r>
      <w:r w:rsidR="004E0DDE" w:rsidRPr="005E73C2">
        <w:rPr>
          <w:rFonts w:asciiTheme="majorBidi" w:hAnsiTheme="majorBidi"/>
          <w:color w:val="000000" w:themeColor="text1"/>
          <w:sz w:val="24"/>
          <w:szCs w:val="24"/>
        </w:rPr>
        <w:t xml:space="preserve"> Who trades on pro forma earnings information?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82</w:t>
      </w:r>
      <w:r w:rsidR="00A82BD3">
        <w:rPr>
          <w:rFonts w:asciiTheme="majorBidi" w:hAnsiTheme="majorBidi"/>
          <w:color w:val="000000" w:themeColor="text1"/>
          <w:sz w:val="24"/>
          <w:szCs w:val="24"/>
        </w:rPr>
        <w:t>(3)</w:t>
      </w:r>
      <w:r w:rsidR="004E0DDE" w:rsidRPr="007B758D">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581-619.</w:t>
      </w:r>
    </w:p>
    <w:p w14:paraId="7090C14A" w14:textId="1314B5B2"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Black, D. E., Black, E. L., Christensen, T. E</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Gee, K. H</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022).</w:t>
      </w:r>
      <w:r w:rsidR="004E0DDE" w:rsidRPr="005E73C2">
        <w:rPr>
          <w:rFonts w:asciiTheme="majorBidi" w:hAnsiTheme="majorBidi"/>
          <w:color w:val="000000" w:themeColor="text1"/>
          <w:sz w:val="24"/>
          <w:szCs w:val="24"/>
        </w:rPr>
        <w:t xml:space="preserve"> Comparing Non-GAAP EPS in earnings announcements and proxy statements. </w:t>
      </w:r>
      <w:r w:rsidR="004E0DDE" w:rsidRPr="005E73C2">
        <w:rPr>
          <w:rFonts w:asciiTheme="majorBidi" w:hAnsiTheme="majorBidi"/>
          <w:i/>
          <w:color w:val="000000" w:themeColor="text1"/>
          <w:sz w:val="24"/>
          <w:szCs w:val="24"/>
        </w:rPr>
        <w:t>Management Science,</w:t>
      </w:r>
      <w:r w:rsidR="004E0DDE" w:rsidRPr="005E73C2">
        <w:rPr>
          <w:rFonts w:asciiTheme="majorBidi" w:hAnsiTheme="majorBidi"/>
          <w:color w:val="000000" w:themeColor="text1"/>
          <w:sz w:val="24"/>
          <w:szCs w:val="24"/>
        </w:rPr>
        <w:t xml:space="preserve"> 68</w:t>
      </w:r>
      <w:r w:rsidR="00A82BD3">
        <w:rPr>
          <w:rFonts w:asciiTheme="majorBidi" w:hAnsiTheme="majorBidi"/>
          <w:color w:val="000000" w:themeColor="text1"/>
          <w:sz w:val="24"/>
          <w:szCs w:val="24"/>
        </w:rPr>
        <w:t>(2)</w:t>
      </w:r>
      <w:r w:rsidR="004E0DDE" w:rsidRPr="007B758D">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1353-1377.</w:t>
      </w:r>
    </w:p>
    <w:p w14:paraId="7C5433C8" w14:textId="6121E36F"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Black, D. E</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Christensen, T. E</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4E0DDE" w:rsidRPr="005E73C2">
        <w:rPr>
          <w:rFonts w:asciiTheme="majorBidi" w:hAnsiTheme="majorBidi"/>
          <w:color w:val="000000" w:themeColor="text1"/>
          <w:sz w:val="24"/>
          <w:szCs w:val="24"/>
        </w:rPr>
        <w:t>009</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US managers' use of ‘Pro forma’ adjustments to meet strategic earnings targets. </w:t>
      </w:r>
      <w:r w:rsidR="004E0DDE" w:rsidRPr="005E73C2">
        <w:rPr>
          <w:rFonts w:asciiTheme="majorBidi" w:hAnsiTheme="majorBidi"/>
          <w:i/>
          <w:color w:val="000000" w:themeColor="text1"/>
          <w:sz w:val="24"/>
          <w:szCs w:val="24"/>
        </w:rPr>
        <w:t>Journal of Business Finance and Accounting,</w:t>
      </w:r>
      <w:r w:rsidR="004E0DDE" w:rsidRPr="005E73C2">
        <w:rPr>
          <w:rFonts w:asciiTheme="majorBidi" w:hAnsiTheme="majorBidi"/>
          <w:color w:val="000000" w:themeColor="text1"/>
          <w:sz w:val="24"/>
          <w:szCs w:val="24"/>
        </w:rPr>
        <w:t xml:space="preserve"> 36</w:t>
      </w:r>
      <w:r w:rsidR="00EB1C7C">
        <w:rPr>
          <w:rFonts w:asciiTheme="majorBidi" w:hAnsiTheme="majorBidi"/>
          <w:color w:val="000000" w:themeColor="text1"/>
          <w:sz w:val="24"/>
          <w:szCs w:val="24"/>
        </w:rPr>
        <w:t>(3-4)</w:t>
      </w:r>
      <w:r w:rsidR="004E0DDE" w:rsidRPr="007B758D">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297-326.</w:t>
      </w:r>
    </w:p>
    <w:p w14:paraId="63BD78FA" w14:textId="21D6C1A8"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Bradshaw, M. T</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Sloan, R. G</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002).</w:t>
      </w:r>
      <w:r w:rsidR="004E0DDE" w:rsidRPr="005E73C2">
        <w:rPr>
          <w:rFonts w:asciiTheme="majorBidi" w:hAnsiTheme="majorBidi"/>
          <w:color w:val="000000" w:themeColor="text1"/>
          <w:sz w:val="24"/>
          <w:szCs w:val="24"/>
        </w:rPr>
        <w:t xml:space="preserve"> GAAP versus The Street: An </w:t>
      </w:r>
      <w:r w:rsidR="00EB1C7C">
        <w:rPr>
          <w:rFonts w:asciiTheme="majorBidi" w:hAnsiTheme="majorBidi"/>
          <w:color w:val="000000" w:themeColor="text1"/>
          <w:sz w:val="24"/>
          <w:szCs w:val="24"/>
        </w:rPr>
        <w:t>e</w:t>
      </w:r>
      <w:r w:rsidR="004E0DDE" w:rsidRPr="005E73C2">
        <w:rPr>
          <w:rFonts w:asciiTheme="majorBidi" w:hAnsiTheme="majorBidi"/>
          <w:color w:val="000000" w:themeColor="text1"/>
          <w:sz w:val="24"/>
          <w:szCs w:val="24"/>
        </w:rPr>
        <w:t xml:space="preserve">mpirical </w:t>
      </w:r>
      <w:r w:rsidR="00EB1C7C">
        <w:rPr>
          <w:rFonts w:asciiTheme="majorBidi" w:hAnsiTheme="majorBidi"/>
          <w:color w:val="000000" w:themeColor="text1"/>
          <w:sz w:val="24"/>
          <w:szCs w:val="24"/>
        </w:rPr>
        <w:t>a</w:t>
      </w:r>
      <w:r w:rsidR="004E0DDE" w:rsidRPr="005E73C2">
        <w:rPr>
          <w:rFonts w:asciiTheme="majorBidi" w:hAnsiTheme="majorBidi"/>
          <w:color w:val="000000" w:themeColor="text1"/>
          <w:sz w:val="24"/>
          <w:szCs w:val="24"/>
        </w:rPr>
        <w:t xml:space="preserve">ssessment of </w:t>
      </w:r>
      <w:r w:rsidR="00EB1C7C">
        <w:rPr>
          <w:rFonts w:asciiTheme="majorBidi" w:hAnsiTheme="majorBidi"/>
          <w:color w:val="000000" w:themeColor="text1"/>
          <w:sz w:val="24"/>
          <w:szCs w:val="24"/>
        </w:rPr>
        <w:t>t</w:t>
      </w:r>
      <w:r w:rsidR="004E0DDE" w:rsidRPr="005E73C2">
        <w:rPr>
          <w:rFonts w:asciiTheme="majorBidi" w:hAnsiTheme="majorBidi"/>
          <w:color w:val="000000" w:themeColor="text1"/>
          <w:sz w:val="24"/>
          <w:szCs w:val="24"/>
        </w:rPr>
        <w:t xml:space="preserve">wo </w:t>
      </w:r>
      <w:r w:rsidR="00EB1C7C">
        <w:rPr>
          <w:rFonts w:asciiTheme="majorBidi" w:hAnsiTheme="majorBidi"/>
          <w:color w:val="000000" w:themeColor="text1"/>
          <w:sz w:val="24"/>
          <w:szCs w:val="24"/>
        </w:rPr>
        <w:t>a</w:t>
      </w:r>
      <w:r w:rsidR="004E0DDE" w:rsidRPr="005E73C2">
        <w:rPr>
          <w:rFonts w:asciiTheme="majorBidi" w:hAnsiTheme="majorBidi"/>
          <w:color w:val="000000" w:themeColor="text1"/>
          <w:sz w:val="24"/>
          <w:szCs w:val="24"/>
        </w:rPr>
        <w:t xml:space="preserve">lternative </w:t>
      </w:r>
      <w:r w:rsidR="00EB1C7C">
        <w:rPr>
          <w:rFonts w:asciiTheme="majorBidi" w:hAnsiTheme="majorBidi"/>
          <w:color w:val="000000" w:themeColor="text1"/>
          <w:sz w:val="24"/>
          <w:szCs w:val="24"/>
        </w:rPr>
        <w:t>d</w:t>
      </w:r>
      <w:r w:rsidR="004E0DDE" w:rsidRPr="005E73C2">
        <w:rPr>
          <w:rFonts w:asciiTheme="majorBidi" w:hAnsiTheme="majorBidi"/>
          <w:color w:val="000000" w:themeColor="text1"/>
          <w:sz w:val="24"/>
          <w:szCs w:val="24"/>
        </w:rPr>
        <w:t xml:space="preserve">efinitions of </w:t>
      </w:r>
      <w:r w:rsidR="00EB1C7C">
        <w:rPr>
          <w:rFonts w:asciiTheme="majorBidi" w:hAnsiTheme="majorBidi"/>
          <w:color w:val="000000" w:themeColor="text1"/>
          <w:sz w:val="24"/>
          <w:szCs w:val="24"/>
        </w:rPr>
        <w:t>e</w:t>
      </w:r>
      <w:r w:rsidR="004E0DDE" w:rsidRPr="005E73C2">
        <w:rPr>
          <w:rFonts w:asciiTheme="majorBidi" w:hAnsiTheme="majorBidi"/>
          <w:color w:val="000000" w:themeColor="text1"/>
          <w:sz w:val="24"/>
          <w:szCs w:val="24"/>
        </w:rPr>
        <w:t xml:space="preserve">arnings. </w:t>
      </w:r>
      <w:r w:rsidR="004E0DDE" w:rsidRPr="005E73C2">
        <w:rPr>
          <w:rFonts w:asciiTheme="majorBidi" w:hAnsiTheme="majorBidi"/>
          <w:i/>
          <w:color w:val="000000" w:themeColor="text1"/>
          <w:sz w:val="24"/>
          <w:szCs w:val="24"/>
        </w:rPr>
        <w:t>Journal of Accounting Research,</w:t>
      </w:r>
      <w:r w:rsidR="004E0DDE" w:rsidRPr="005E73C2">
        <w:rPr>
          <w:rFonts w:asciiTheme="majorBidi" w:hAnsiTheme="majorBidi"/>
          <w:color w:val="000000" w:themeColor="text1"/>
          <w:sz w:val="24"/>
          <w:szCs w:val="24"/>
        </w:rPr>
        <w:t xml:space="preserve"> 40</w:t>
      </w:r>
      <w:r w:rsidR="00EB1C7C">
        <w:rPr>
          <w:rFonts w:asciiTheme="majorBidi" w:hAnsiTheme="majorBidi"/>
          <w:color w:val="000000" w:themeColor="text1"/>
          <w:sz w:val="24"/>
          <w:szCs w:val="24"/>
        </w:rPr>
        <w:t>(1)</w:t>
      </w:r>
      <w:r w:rsidR="004E0DDE" w:rsidRPr="007B758D">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41-66.</w:t>
      </w:r>
    </w:p>
    <w:p w14:paraId="304AA314" w14:textId="5149B1F1" w:rsidR="00551C98" w:rsidRDefault="00551C98" w:rsidP="002405CE">
      <w:pPr>
        <w:pStyle w:val="EndNoteBibliography"/>
        <w:ind w:left="720" w:hanging="720"/>
        <w:rPr>
          <w:rFonts w:asciiTheme="majorBidi" w:hAnsiTheme="majorBidi"/>
          <w:color w:val="000000" w:themeColor="text1"/>
          <w:sz w:val="24"/>
          <w:szCs w:val="24"/>
        </w:rPr>
      </w:pPr>
      <w:r w:rsidRPr="00551C98">
        <w:rPr>
          <w:rFonts w:asciiTheme="majorBidi" w:hAnsiTheme="majorBidi"/>
          <w:color w:val="000000" w:themeColor="text1"/>
          <w:sz w:val="24"/>
          <w:szCs w:val="24"/>
        </w:rPr>
        <w:t>Brunell, A. B., Gentry, W. A., Campbell, W. K., Hoffman, B. J., Kuhnert, K. W., &amp; DeMarree, K. G. (2008). Leader emergence: The case of the narcissistic leader. </w:t>
      </w:r>
      <w:r w:rsidRPr="00551C98">
        <w:rPr>
          <w:rFonts w:asciiTheme="majorBidi" w:hAnsiTheme="majorBidi"/>
          <w:i/>
          <w:iCs/>
          <w:color w:val="000000" w:themeColor="text1"/>
          <w:sz w:val="24"/>
          <w:szCs w:val="24"/>
        </w:rPr>
        <w:t>Personality and Social Psychology Bulletin,</w:t>
      </w:r>
      <w:r w:rsidRPr="00551C98">
        <w:rPr>
          <w:rFonts w:asciiTheme="majorBidi" w:hAnsiTheme="majorBidi"/>
          <w:color w:val="000000" w:themeColor="text1"/>
          <w:sz w:val="24"/>
          <w:szCs w:val="24"/>
        </w:rPr>
        <w:t> 34(12), 1663-1676.</w:t>
      </w:r>
    </w:p>
    <w:p w14:paraId="081310A5" w14:textId="63EB7B34" w:rsidR="00551C98" w:rsidRDefault="00551C98" w:rsidP="002405CE">
      <w:pPr>
        <w:pStyle w:val="EndNoteBibliography"/>
        <w:ind w:left="720" w:hanging="720"/>
        <w:rPr>
          <w:rFonts w:asciiTheme="majorBidi" w:hAnsiTheme="majorBidi"/>
          <w:color w:val="000000" w:themeColor="text1"/>
          <w:sz w:val="24"/>
          <w:szCs w:val="24"/>
        </w:rPr>
      </w:pPr>
      <w:r w:rsidRPr="00551C98">
        <w:rPr>
          <w:rFonts w:asciiTheme="majorBidi" w:hAnsiTheme="majorBidi"/>
          <w:color w:val="000000" w:themeColor="text1"/>
          <w:sz w:val="24"/>
          <w:szCs w:val="24"/>
        </w:rPr>
        <w:t>Campbell, W. K., Goodie, A. S., &amp; Foster, J. D. (2004). Narcissism, confidence, and risk attitude. </w:t>
      </w:r>
      <w:r w:rsidRPr="00551C98">
        <w:rPr>
          <w:rFonts w:asciiTheme="majorBidi" w:hAnsiTheme="majorBidi"/>
          <w:i/>
          <w:iCs/>
          <w:color w:val="000000" w:themeColor="text1"/>
          <w:sz w:val="24"/>
          <w:szCs w:val="24"/>
        </w:rPr>
        <w:t xml:space="preserve">Journal of </w:t>
      </w:r>
      <w:r>
        <w:rPr>
          <w:rFonts w:asciiTheme="majorBidi" w:hAnsiTheme="majorBidi"/>
          <w:i/>
          <w:iCs/>
          <w:color w:val="000000" w:themeColor="text1"/>
          <w:sz w:val="24"/>
          <w:szCs w:val="24"/>
        </w:rPr>
        <w:t>B</w:t>
      </w:r>
      <w:r w:rsidRPr="00551C98">
        <w:rPr>
          <w:rFonts w:asciiTheme="majorBidi" w:hAnsiTheme="majorBidi"/>
          <w:i/>
          <w:iCs/>
          <w:color w:val="000000" w:themeColor="text1"/>
          <w:sz w:val="24"/>
          <w:szCs w:val="24"/>
        </w:rPr>
        <w:t xml:space="preserve">ehavioral </w:t>
      </w:r>
      <w:r>
        <w:rPr>
          <w:rFonts w:asciiTheme="majorBidi" w:hAnsiTheme="majorBidi"/>
          <w:i/>
          <w:iCs/>
          <w:color w:val="000000" w:themeColor="text1"/>
          <w:sz w:val="24"/>
          <w:szCs w:val="24"/>
        </w:rPr>
        <w:t>D</w:t>
      </w:r>
      <w:r w:rsidRPr="00551C98">
        <w:rPr>
          <w:rFonts w:asciiTheme="majorBidi" w:hAnsiTheme="majorBidi"/>
          <w:i/>
          <w:iCs/>
          <w:color w:val="000000" w:themeColor="text1"/>
          <w:sz w:val="24"/>
          <w:szCs w:val="24"/>
        </w:rPr>
        <w:t xml:space="preserve">ecision </w:t>
      </w:r>
      <w:r>
        <w:rPr>
          <w:rFonts w:asciiTheme="majorBidi" w:hAnsiTheme="majorBidi"/>
          <w:i/>
          <w:iCs/>
          <w:color w:val="000000" w:themeColor="text1"/>
          <w:sz w:val="24"/>
          <w:szCs w:val="24"/>
        </w:rPr>
        <w:t>M</w:t>
      </w:r>
      <w:r w:rsidRPr="00551C98">
        <w:rPr>
          <w:rFonts w:asciiTheme="majorBidi" w:hAnsiTheme="majorBidi"/>
          <w:i/>
          <w:iCs/>
          <w:color w:val="000000" w:themeColor="text1"/>
          <w:sz w:val="24"/>
          <w:szCs w:val="24"/>
        </w:rPr>
        <w:t>aking,</w:t>
      </w:r>
      <w:r w:rsidRPr="00551C98">
        <w:rPr>
          <w:rFonts w:asciiTheme="majorBidi" w:hAnsiTheme="majorBidi"/>
          <w:color w:val="000000" w:themeColor="text1"/>
          <w:sz w:val="24"/>
          <w:szCs w:val="24"/>
        </w:rPr>
        <w:t> 17(4), 297-311.</w:t>
      </w:r>
    </w:p>
    <w:p w14:paraId="31FE0D9D" w14:textId="24409718" w:rsidR="002D428E" w:rsidRPr="005E73C2" w:rsidRDefault="002D428E" w:rsidP="002405CE">
      <w:pPr>
        <w:pStyle w:val="EndNoteBibliography"/>
        <w:ind w:left="720" w:hanging="720"/>
        <w:rPr>
          <w:rFonts w:asciiTheme="majorBidi" w:hAnsiTheme="majorBidi"/>
          <w:color w:val="000000" w:themeColor="text1"/>
          <w:sz w:val="24"/>
          <w:szCs w:val="24"/>
        </w:rPr>
      </w:pPr>
      <w:r w:rsidRPr="002D428E">
        <w:rPr>
          <w:rFonts w:asciiTheme="majorBidi" w:hAnsiTheme="majorBidi"/>
          <w:color w:val="000000" w:themeColor="text1"/>
          <w:sz w:val="24"/>
          <w:szCs w:val="24"/>
        </w:rPr>
        <w:t>Campbell, W. K., &amp; Foster, J. D. (2011). The narcissistic self: Background, an extended agency model, and ongoing controversies. In </w:t>
      </w:r>
      <w:r w:rsidRPr="002D428E">
        <w:rPr>
          <w:rFonts w:asciiTheme="majorBidi" w:hAnsiTheme="majorBidi"/>
          <w:i/>
          <w:iCs/>
          <w:color w:val="000000" w:themeColor="text1"/>
          <w:sz w:val="24"/>
          <w:szCs w:val="24"/>
        </w:rPr>
        <w:t>The self</w:t>
      </w:r>
      <w:r w:rsidRPr="002D428E">
        <w:rPr>
          <w:rFonts w:asciiTheme="majorBidi" w:hAnsiTheme="majorBidi"/>
          <w:color w:val="000000" w:themeColor="text1"/>
          <w:sz w:val="24"/>
          <w:szCs w:val="24"/>
        </w:rPr>
        <w:t> (pp. 115-138). Psychology Press.</w:t>
      </w:r>
    </w:p>
    <w:p w14:paraId="32D87152" w14:textId="38F6E388" w:rsidR="004E0DDE" w:rsidRPr="005E73C2" w:rsidRDefault="0089160E"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Capalbo, F., Frino, A., Lim, M. Y., Mollica, V., &amp; Palumbo, R. </w:t>
      </w:r>
      <w:r w:rsidR="00C043A3" w:rsidRPr="00FE7647">
        <w:rPr>
          <w:rFonts w:asciiTheme="majorBidi" w:hAnsiTheme="majorBidi"/>
          <w:color w:val="000000" w:themeColor="text1"/>
          <w:sz w:val="24"/>
          <w:szCs w:val="24"/>
        </w:rPr>
        <w:t>(2</w:t>
      </w:r>
      <w:r w:rsidRPr="00FE7647">
        <w:rPr>
          <w:rFonts w:asciiTheme="majorBidi" w:hAnsiTheme="majorBidi"/>
          <w:color w:val="000000" w:themeColor="text1"/>
          <w:sz w:val="24"/>
          <w:szCs w:val="24"/>
        </w:rPr>
        <w:t>018).</w:t>
      </w:r>
      <w:r w:rsidR="004E0DDE" w:rsidRPr="00FE7647">
        <w:rPr>
          <w:rFonts w:asciiTheme="majorBidi" w:hAnsiTheme="majorBidi"/>
          <w:color w:val="000000" w:themeColor="text1"/>
          <w:sz w:val="24"/>
          <w:szCs w:val="24"/>
        </w:rPr>
        <w:t xml:space="preserve"> </w:t>
      </w:r>
      <w:r w:rsidR="004E0DDE" w:rsidRPr="005E73C2">
        <w:rPr>
          <w:rFonts w:asciiTheme="majorBidi" w:hAnsiTheme="majorBidi"/>
          <w:color w:val="000000" w:themeColor="text1"/>
          <w:sz w:val="24"/>
          <w:szCs w:val="24"/>
        </w:rPr>
        <w:t xml:space="preserve">The impact of CEO narcissism on earnings management. </w:t>
      </w:r>
      <w:r w:rsidR="004E0DDE" w:rsidRPr="005E73C2">
        <w:rPr>
          <w:rFonts w:asciiTheme="majorBidi" w:hAnsiTheme="majorBidi"/>
          <w:i/>
          <w:color w:val="000000" w:themeColor="text1"/>
          <w:sz w:val="24"/>
          <w:szCs w:val="24"/>
        </w:rPr>
        <w:t>Abacus,</w:t>
      </w:r>
      <w:r w:rsidR="004E0DDE" w:rsidRPr="005E73C2">
        <w:rPr>
          <w:rFonts w:asciiTheme="majorBidi" w:hAnsiTheme="majorBidi"/>
          <w:color w:val="000000" w:themeColor="text1"/>
          <w:sz w:val="24"/>
          <w:szCs w:val="24"/>
        </w:rPr>
        <w:t xml:space="preserve"> 54</w:t>
      </w:r>
      <w:r w:rsidR="00EB1C7C">
        <w:rPr>
          <w:rFonts w:asciiTheme="majorBidi" w:hAnsiTheme="majorBidi"/>
          <w:color w:val="000000" w:themeColor="text1"/>
          <w:sz w:val="24"/>
          <w:szCs w:val="24"/>
        </w:rPr>
        <w:t>(2)</w:t>
      </w:r>
      <w:r w:rsidR="004E0DDE" w:rsidRPr="007B758D">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210-226.</w:t>
      </w:r>
    </w:p>
    <w:p w14:paraId="3480180D" w14:textId="050F1C8D" w:rsidR="004E0DDE" w:rsidRPr="005E73C2" w:rsidRDefault="004E0DD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CAQ</w:t>
      </w:r>
      <w:r w:rsidR="00C043A3">
        <w:rPr>
          <w:rFonts w:asciiTheme="majorBidi" w:hAnsiTheme="majorBidi"/>
          <w:color w:val="000000" w:themeColor="text1"/>
          <w:sz w:val="24"/>
          <w:szCs w:val="24"/>
        </w:rPr>
        <w:t xml:space="preserve"> (2</w:t>
      </w:r>
      <w:r w:rsidR="0089160E">
        <w:rPr>
          <w:rFonts w:asciiTheme="majorBidi" w:hAnsiTheme="majorBidi"/>
          <w:color w:val="000000" w:themeColor="text1"/>
          <w:sz w:val="24"/>
          <w:szCs w:val="24"/>
        </w:rPr>
        <w:t>013).</w:t>
      </w:r>
      <w:r w:rsidRPr="005E73C2">
        <w:rPr>
          <w:rFonts w:asciiTheme="majorBidi" w:hAnsiTheme="majorBidi"/>
          <w:color w:val="000000" w:themeColor="text1"/>
          <w:sz w:val="24"/>
          <w:szCs w:val="24"/>
        </w:rPr>
        <w:t xml:space="preserve"> </w:t>
      </w:r>
      <w:r w:rsidRPr="005E73C2">
        <w:rPr>
          <w:rFonts w:asciiTheme="majorBidi" w:hAnsiTheme="majorBidi"/>
          <w:iCs/>
          <w:color w:val="000000" w:themeColor="text1"/>
          <w:sz w:val="24"/>
          <w:szCs w:val="24"/>
        </w:rPr>
        <w:t>Global observations on the role of the audit committee: A summary of roundtable discussions</w:t>
      </w:r>
      <w:r w:rsidRPr="005E73C2">
        <w:rPr>
          <w:rFonts w:asciiTheme="majorBidi" w:hAnsiTheme="majorBidi"/>
          <w:color w:val="000000" w:themeColor="text1"/>
          <w:sz w:val="24"/>
          <w:szCs w:val="24"/>
        </w:rPr>
        <w:t>. Center for Audit Quality</w:t>
      </w:r>
      <w:r w:rsidR="00D46BAD">
        <w:rPr>
          <w:rFonts w:asciiTheme="majorBidi" w:hAnsiTheme="majorBidi"/>
          <w:color w:val="000000" w:themeColor="text1"/>
          <w:sz w:val="24"/>
          <w:szCs w:val="24"/>
        </w:rPr>
        <w:t>.</w:t>
      </w:r>
      <w:r w:rsidRPr="005E73C2">
        <w:rPr>
          <w:rFonts w:asciiTheme="majorBidi" w:hAnsiTheme="majorBidi"/>
          <w:color w:val="000000" w:themeColor="text1"/>
          <w:sz w:val="24"/>
          <w:szCs w:val="24"/>
        </w:rPr>
        <w:t xml:space="preserve"> </w:t>
      </w:r>
      <w:r w:rsidR="00AF0F74">
        <w:rPr>
          <w:rFonts w:asciiTheme="majorBidi" w:hAnsiTheme="majorBidi"/>
          <w:color w:val="000000" w:themeColor="text1"/>
          <w:sz w:val="24"/>
          <w:szCs w:val="24"/>
        </w:rPr>
        <w:t>A</w:t>
      </w:r>
      <w:r w:rsidRPr="005E73C2">
        <w:rPr>
          <w:rFonts w:asciiTheme="majorBidi" w:hAnsiTheme="majorBidi"/>
          <w:color w:val="000000" w:themeColor="text1"/>
          <w:sz w:val="24"/>
          <w:szCs w:val="24"/>
        </w:rPr>
        <w:t>vailable</w:t>
      </w:r>
      <w:r w:rsidR="00D46BAD">
        <w:rPr>
          <w:rFonts w:asciiTheme="majorBidi" w:hAnsiTheme="majorBidi"/>
          <w:color w:val="000000" w:themeColor="text1"/>
          <w:sz w:val="24"/>
          <w:szCs w:val="24"/>
        </w:rPr>
        <w:t xml:space="preserve"> </w:t>
      </w:r>
      <w:r w:rsidR="00AF0F74">
        <w:rPr>
          <w:rFonts w:asciiTheme="majorBidi" w:hAnsiTheme="majorBidi"/>
          <w:color w:val="000000" w:themeColor="text1"/>
          <w:sz w:val="24"/>
          <w:szCs w:val="24"/>
        </w:rPr>
        <w:t>online</w:t>
      </w:r>
      <w:r w:rsidR="00D46BAD">
        <w:rPr>
          <w:rFonts w:asciiTheme="majorBidi" w:hAnsiTheme="majorBidi"/>
          <w:color w:val="000000" w:themeColor="text1"/>
          <w:sz w:val="24"/>
          <w:szCs w:val="24"/>
        </w:rPr>
        <w:t xml:space="preserve"> at</w:t>
      </w:r>
      <w:r w:rsidRPr="005E73C2">
        <w:rPr>
          <w:rFonts w:asciiTheme="majorBidi" w:hAnsiTheme="majorBidi"/>
          <w:color w:val="000000" w:themeColor="text1"/>
          <w:sz w:val="24"/>
          <w:szCs w:val="24"/>
        </w:rPr>
        <w:t xml:space="preserve"> https://www.thecaq.org/global-observations-role-audit-committee/ </w:t>
      </w:r>
      <w:r w:rsidR="00D46BAD">
        <w:rPr>
          <w:rFonts w:asciiTheme="majorBidi" w:hAnsiTheme="majorBidi"/>
          <w:color w:val="000000" w:themeColor="text1"/>
          <w:sz w:val="24"/>
          <w:szCs w:val="24"/>
        </w:rPr>
        <w:t>(</w:t>
      </w:r>
      <w:r w:rsidRPr="005E73C2">
        <w:rPr>
          <w:rFonts w:asciiTheme="majorBidi" w:hAnsiTheme="majorBidi"/>
          <w:color w:val="000000" w:themeColor="text1"/>
          <w:sz w:val="24"/>
          <w:szCs w:val="24"/>
        </w:rPr>
        <w:t xml:space="preserve">Accessed 10 July </w:t>
      </w:r>
      <w:r w:rsidRPr="005E73C2">
        <w:rPr>
          <w:rFonts w:asciiTheme="majorBidi" w:hAnsiTheme="majorBidi"/>
          <w:color w:val="000000" w:themeColor="text1"/>
          <w:sz w:val="24"/>
          <w:szCs w:val="24"/>
        </w:rPr>
        <w:lastRenderedPageBreak/>
        <w:t>2021</w:t>
      </w:r>
      <w:r w:rsidR="00D46BAD">
        <w:rPr>
          <w:rFonts w:asciiTheme="majorBidi" w:hAnsiTheme="majorBidi"/>
          <w:color w:val="000000" w:themeColor="text1"/>
          <w:sz w:val="24"/>
          <w:szCs w:val="24"/>
        </w:rPr>
        <w:t>)</w:t>
      </w:r>
      <w:r w:rsidRPr="005E73C2">
        <w:rPr>
          <w:rFonts w:asciiTheme="majorBidi" w:hAnsiTheme="majorBidi"/>
          <w:color w:val="000000" w:themeColor="text1"/>
          <w:sz w:val="24"/>
          <w:szCs w:val="24"/>
        </w:rPr>
        <w:t>.</w:t>
      </w:r>
    </w:p>
    <w:p w14:paraId="3CF986C4" w14:textId="5F93E51E" w:rsidR="00BA4767" w:rsidRPr="005E73C2" w:rsidRDefault="00BA4767" w:rsidP="002405CE">
      <w:pPr>
        <w:pStyle w:val="EndNoteBibliography"/>
        <w:ind w:left="720" w:hanging="720"/>
        <w:rPr>
          <w:rFonts w:asciiTheme="majorBidi" w:hAnsiTheme="majorBidi"/>
          <w:color w:val="000000" w:themeColor="text1"/>
          <w:sz w:val="24"/>
          <w:szCs w:val="24"/>
        </w:rPr>
      </w:pPr>
      <w:r w:rsidRPr="00BA4767">
        <w:rPr>
          <w:rFonts w:asciiTheme="majorBidi" w:hAnsiTheme="majorBidi"/>
          <w:color w:val="000000" w:themeColor="text1"/>
          <w:sz w:val="24"/>
          <w:szCs w:val="24"/>
        </w:rPr>
        <w:t>Chen, H. C., Lee, Y. J., Lo, S. Y., &amp; Yu, Y. (2021). Qualitative characteristics of non-GAAP disclosures and non-GAAP earnings quality. </w:t>
      </w:r>
      <w:r w:rsidRPr="00BA4767">
        <w:rPr>
          <w:rFonts w:asciiTheme="majorBidi" w:hAnsiTheme="majorBidi"/>
          <w:i/>
          <w:iCs/>
          <w:color w:val="000000" w:themeColor="text1"/>
          <w:sz w:val="24"/>
          <w:szCs w:val="24"/>
        </w:rPr>
        <w:t>Journal of Accounting and Economics,</w:t>
      </w:r>
      <w:r w:rsidRPr="00BA4767">
        <w:rPr>
          <w:rFonts w:asciiTheme="majorBidi" w:hAnsiTheme="majorBidi"/>
          <w:color w:val="000000" w:themeColor="text1"/>
          <w:sz w:val="24"/>
          <w:szCs w:val="24"/>
        </w:rPr>
        <w:t> 72(1), 101402.</w:t>
      </w:r>
    </w:p>
    <w:p w14:paraId="0F18D81D" w14:textId="51683D1F"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Chou, T.-K., Pittman, J. A</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Zhuang, Z</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021).</w:t>
      </w:r>
      <w:r w:rsidR="004E0DDE" w:rsidRPr="005E73C2">
        <w:rPr>
          <w:rFonts w:asciiTheme="majorBidi" w:hAnsiTheme="majorBidi"/>
          <w:color w:val="000000" w:themeColor="text1"/>
          <w:sz w:val="24"/>
          <w:szCs w:val="24"/>
        </w:rPr>
        <w:t xml:space="preserve"> The importance of partner narcissism to audit quality: Evidence from Taiwan.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96</w:t>
      </w:r>
      <w:r w:rsidR="00DD13A4">
        <w:rPr>
          <w:rFonts w:asciiTheme="majorBidi" w:hAnsiTheme="majorBidi"/>
          <w:color w:val="000000" w:themeColor="text1"/>
          <w:sz w:val="24"/>
          <w:szCs w:val="24"/>
        </w:rPr>
        <w:t>(6)</w:t>
      </w:r>
      <w:r w:rsidR="004E0DDE" w:rsidRPr="007B758D">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103-127.</w:t>
      </w:r>
    </w:p>
    <w:p w14:paraId="67ADA0CA" w14:textId="78E8B178" w:rsidR="001B709D" w:rsidRPr="005E73C2" w:rsidRDefault="001B709D"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Christensen, T. E., Gomez, E., Ma, M., &amp; Pan, J. (2021). </w:t>
      </w:r>
      <w:r w:rsidRPr="001B709D">
        <w:rPr>
          <w:rFonts w:asciiTheme="majorBidi" w:hAnsiTheme="majorBidi"/>
          <w:color w:val="000000" w:themeColor="text1"/>
          <w:sz w:val="24"/>
          <w:szCs w:val="24"/>
        </w:rPr>
        <w:t xml:space="preserve">Analysts’ role in shaping non-GAAP reporting: </w:t>
      </w:r>
      <w:r>
        <w:rPr>
          <w:rFonts w:asciiTheme="majorBidi" w:hAnsiTheme="majorBidi"/>
          <w:color w:val="000000" w:themeColor="text1"/>
          <w:sz w:val="24"/>
          <w:szCs w:val="24"/>
        </w:rPr>
        <w:t>E</w:t>
      </w:r>
      <w:r w:rsidRPr="001B709D">
        <w:rPr>
          <w:rFonts w:asciiTheme="majorBidi" w:hAnsiTheme="majorBidi"/>
          <w:color w:val="000000" w:themeColor="text1"/>
          <w:sz w:val="24"/>
          <w:szCs w:val="24"/>
        </w:rPr>
        <w:t xml:space="preserve">vidence from a natural experiment. </w:t>
      </w:r>
      <w:r w:rsidRPr="001B709D">
        <w:rPr>
          <w:rFonts w:asciiTheme="majorBidi" w:hAnsiTheme="majorBidi"/>
          <w:i/>
          <w:iCs/>
          <w:color w:val="000000" w:themeColor="text1"/>
          <w:sz w:val="24"/>
          <w:szCs w:val="24"/>
        </w:rPr>
        <w:t>Review of Accounting Studies</w:t>
      </w:r>
      <w:r w:rsidRPr="00C35456">
        <w:rPr>
          <w:rFonts w:asciiTheme="majorBidi" w:hAnsiTheme="majorBidi"/>
          <w:i/>
          <w:iCs/>
          <w:color w:val="000000" w:themeColor="text1"/>
          <w:sz w:val="24"/>
          <w:szCs w:val="24"/>
        </w:rPr>
        <w:t>,</w:t>
      </w:r>
      <w:r w:rsidRPr="001B709D">
        <w:rPr>
          <w:rFonts w:asciiTheme="majorBidi" w:hAnsiTheme="majorBidi"/>
          <w:color w:val="000000" w:themeColor="text1"/>
          <w:sz w:val="24"/>
          <w:szCs w:val="24"/>
        </w:rPr>
        <w:t xml:space="preserve"> 26, 172-217.</w:t>
      </w:r>
    </w:p>
    <w:p w14:paraId="47277CBE" w14:textId="37C9FC18"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Church, B. K., Dai, N. T., Kuang, X</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Liu, X. J</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020).</w:t>
      </w:r>
      <w:r w:rsidR="004E0DDE" w:rsidRPr="005E73C2">
        <w:rPr>
          <w:rFonts w:asciiTheme="majorBidi" w:hAnsiTheme="majorBidi"/>
          <w:color w:val="000000" w:themeColor="text1"/>
          <w:sz w:val="24"/>
          <w:szCs w:val="24"/>
        </w:rPr>
        <w:t xml:space="preserve"> The role of auditor narcissism in auditor-client negotiations: Evidence from China. </w:t>
      </w:r>
      <w:r w:rsidR="004E0DDE" w:rsidRPr="005E73C2">
        <w:rPr>
          <w:rFonts w:asciiTheme="majorBidi" w:hAnsiTheme="majorBidi"/>
          <w:i/>
          <w:color w:val="000000" w:themeColor="text1"/>
          <w:sz w:val="24"/>
          <w:szCs w:val="24"/>
        </w:rPr>
        <w:t>Contemporary Accounting Research,</w:t>
      </w:r>
      <w:r w:rsidR="004E0DDE" w:rsidRPr="005E73C2">
        <w:rPr>
          <w:rFonts w:asciiTheme="majorBidi" w:hAnsiTheme="majorBidi"/>
          <w:color w:val="000000" w:themeColor="text1"/>
          <w:sz w:val="24"/>
          <w:szCs w:val="24"/>
        </w:rPr>
        <w:t xml:space="preserve"> 37</w:t>
      </w:r>
      <w:r w:rsidR="00DD13A4">
        <w:rPr>
          <w:rFonts w:asciiTheme="majorBidi" w:hAnsiTheme="majorBidi"/>
          <w:color w:val="000000" w:themeColor="text1"/>
          <w:sz w:val="24"/>
          <w:szCs w:val="24"/>
        </w:rPr>
        <w:t>(3)</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1756-1787.</w:t>
      </w:r>
    </w:p>
    <w:p w14:paraId="3A63BC75" w14:textId="6FD361A7" w:rsidR="00C35456" w:rsidRDefault="00C35456" w:rsidP="002405CE">
      <w:pPr>
        <w:pStyle w:val="EndNoteBibliography"/>
        <w:ind w:left="720" w:hanging="720"/>
        <w:rPr>
          <w:rFonts w:asciiTheme="majorBidi" w:hAnsiTheme="majorBidi"/>
          <w:color w:val="000000" w:themeColor="text1"/>
          <w:sz w:val="24"/>
          <w:szCs w:val="24"/>
        </w:rPr>
      </w:pPr>
      <w:r w:rsidRPr="00C35456">
        <w:rPr>
          <w:rFonts w:asciiTheme="majorBidi" w:hAnsiTheme="majorBidi"/>
          <w:color w:val="000000" w:themeColor="text1"/>
          <w:sz w:val="24"/>
          <w:szCs w:val="24"/>
        </w:rPr>
        <w:t xml:space="preserve">Clune, R., Hermanson, D. R., Tompkins, J. G., &amp; Ye, Z. (2014). The nominating committee process: A qualitative examination of board independence and formalization. </w:t>
      </w:r>
      <w:r w:rsidRPr="00C35456">
        <w:rPr>
          <w:rFonts w:asciiTheme="majorBidi" w:hAnsiTheme="majorBidi"/>
          <w:i/>
          <w:iCs/>
          <w:color w:val="000000" w:themeColor="text1"/>
          <w:sz w:val="24"/>
          <w:szCs w:val="24"/>
        </w:rPr>
        <w:t xml:space="preserve">Contemporary Accounting Research, </w:t>
      </w:r>
      <w:r w:rsidRPr="00C35456">
        <w:rPr>
          <w:rFonts w:asciiTheme="majorBidi" w:hAnsiTheme="majorBidi"/>
          <w:color w:val="000000" w:themeColor="text1"/>
          <w:sz w:val="24"/>
          <w:szCs w:val="24"/>
        </w:rPr>
        <w:t>31(3), 748-786.</w:t>
      </w:r>
    </w:p>
    <w:p w14:paraId="3F119D8C" w14:textId="2EE26B4A" w:rsidR="00C35456" w:rsidRDefault="00C35456" w:rsidP="002405CE">
      <w:pPr>
        <w:pStyle w:val="EndNoteBibliography"/>
        <w:ind w:left="720" w:hanging="720"/>
        <w:rPr>
          <w:rFonts w:asciiTheme="majorBidi" w:hAnsiTheme="majorBidi"/>
          <w:color w:val="000000" w:themeColor="text1"/>
          <w:sz w:val="24"/>
          <w:szCs w:val="24"/>
        </w:rPr>
      </w:pPr>
      <w:r w:rsidRPr="00C35456">
        <w:rPr>
          <w:rFonts w:asciiTheme="majorBidi" w:hAnsiTheme="majorBidi"/>
          <w:color w:val="000000" w:themeColor="text1"/>
          <w:sz w:val="24"/>
          <w:szCs w:val="24"/>
        </w:rPr>
        <w:t xml:space="preserve">Clune, R. R., Hermanson, D. R., Tompkins, J. G., &amp; Ye, Z. (2019). The governance committee process for US publicly traded firms. </w:t>
      </w:r>
      <w:r w:rsidRPr="00C35456">
        <w:rPr>
          <w:rFonts w:asciiTheme="majorBidi" w:hAnsiTheme="majorBidi"/>
          <w:i/>
          <w:iCs/>
          <w:color w:val="000000" w:themeColor="text1"/>
          <w:sz w:val="24"/>
          <w:szCs w:val="24"/>
        </w:rPr>
        <w:t>Behavioral Research in Accounting,</w:t>
      </w:r>
      <w:r w:rsidRPr="00C35456">
        <w:rPr>
          <w:rFonts w:asciiTheme="majorBidi" w:hAnsiTheme="majorBidi"/>
          <w:color w:val="000000" w:themeColor="text1"/>
          <w:sz w:val="24"/>
          <w:szCs w:val="24"/>
        </w:rPr>
        <w:t xml:space="preserve"> 31(1), 21-40.</w:t>
      </w:r>
    </w:p>
    <w:p w14:paraId="3703F035" w14:textId="6F2321E3" w:rsidR="00C35456" w:rsidRPr="005E73C2" w:rsidRDefault="00C35456" w:rsidP="002405CE">
      <w:pPr>
        <w:pStyle w:val="EndNoteBibliography"/>
        <w:ind w:left="720" w:hanging="720"/>
        <w:rPr>
          <w:rFonts w:asciiTheme="majorBidi" w:hAnsiTheme="majorBidi"/>
          <w:color w:val="000000" w:themeColor="text1"/>
          <w:sz w:val="24"/>
          <w:szCs w:val="24"/>
        </w:rPr>
      </w:pPr>
      <w:r w:rsidRPr="00C35456">
        <w:rPr>
          <w:rFonts w:asciiTheme="majorBidi" w:hAnsiTheme="majorBidi"/>
          <w:color w:val="000000" w:themeColor="text1"/>
          <w:sz w:val="24"/>
          <w:szCs w:val="24"/>
        </w:rPr>
        <w:t xml:space="preserve">Cohen, J. R., Hayes, C., Krishnamoorthy, G., Monroe, G. S., &amp; Wright, A. M. (2013). The effectiveness of SOX regulation: An interview study of corporate directors. </w:t>
      </w:r>
      <w:r w:rsidRPr="00C35456">
        <w:rPr>
          <w:rFonts w:asciiTheme="majorBidi" w:hAnsiTheme="majorBidi"/>
          <w:i/>
          <w:iCs/>
          <w:color w:val="000000" w:themeColor="text1"/>
          <w:sz w:val="24"/>
          <w:szCs w:val="24"/>
        </w:rPr>
        <w:t>Behavioral Research in Accounting,</w:t>
      </w:r>
      <w:r w:rsidRPr="00C35456">
        <w:rPr>
          <w:rFonts w:asciiTheme="majorBidi" w:hAnsiTheme="majorBidi"/>
          <w:color w:val="000000" w:themeColor="text1"/>
          <w:sz w:val="24"/>
          <w:szCs w:val="24"/>
        </w:rPr>
        <w:t xml:space="preserve"> 25(1), 61-87.</w:t>
      </w:r>
    </w:p>
    <w:p w14:paraId="50E9654E" w14:textId="4418C235"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Cohen, J., Krishnamoorthy, G</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Wright, A. M</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002).</w:t>
      </w:r>
      <w:r w:rsidR="004E0DDE" w:rsidRPr="005E73C2">
        <w:rPr>
          <w:rFonts w:asciiTheme="majorBidi" w:hAnsiTheme="majorBidi"/>
          <w:color w:val="000000" w:themeColor="text1"/>
          <w:sz w:val="24"/>
          <w:szCs w:val="24"/>
        </w:rPr>
        <w:t xml:space="preserve"> Corporate governance and the audit process. </w:t>
      </w:r>
      <w:r w:rsidR="004E0DDE" w:rsidRPr="005E73C2">
        <w:rPr>
          <w:rFonts w:asciiTheme="majorBidi" w:hAnsiTheme="majorBidi"/>
          <w:i/>
          <w:color w:val="000000" w:themeColor="text1"/>
          <w:sz w:val="24"/>
          <w:szCs w:val="24"/>
        </w:rPr>
        <w:t>Contemporary Accounting Research,</w:t>
      </w:r>
      <w:r w:rsidR="004E0DDE" w:rsidRPr="005E73C2">
        <w:rPr>
          <w:rFonts w:asciiTheme="majorBidi" w:hAnsiTheme="majorBidi"/>
          <w:color w:val="000000" w:themeColor="text1"/>
          <w:sz w:val="24"/>
          <w:szCs w:val="24"/>
        </w:rPr>
        <w:t xml:space="preserve"> </w:t>
      </w:r>
      <w:r w:rsidR="004E0DDE" w:rsidRPr="00E432C3">
        <w:rPr>
          <w:rFonts w:asciiTheme="majorBidi" w:hAnsiTheme="majorBidi"/>
          <w:color w:val="000000" w:themeColor="text1"/>
          <w:sz w:val="24"/>
          <w:szCs w:val="24"/>
        </w:rPr>
        <w:t>19</w:t>
      </w:r>
      <w:r w:rsidR="00DD13A4" w:rsidRPr="00E432C3">
        <w:rPr>
          <w:rFonts w:asciiTheme="majorBidi" w:hAnsiTheme="majorBidi"/>
          <w:color w:val="000000" w:themeColor="text1"/>
          <w:sz w:val="24"/>
          <w:szCs w:val="24"/>
        </w:rPr>
        <w:t>(4)</w:t>
      </w:r>
      <w:r w:rsidR="004E0DDE" w:rsidRPr="00E432C3">
        <w:rPr>
          <w:rFonts w:asciiTheme="majorBidi" w:hAnsiTheme="majorBidi"/>
          <w:color w:val="000000" w:themeColor="text1"/>
          <w:sz w:val="24"/>
          <w:szCs w:val="24"/>
        </w:rPr>
        <w:t xml:space="preserve">, </w:t>
      </w:r>
      <w:r w:rsidR="004E0DDE" w:rsidRPr="005E73C2">
        <w:rPr>
          <w:rFonts w:asciiTheme="majorBidi" w:hAnsiTheme="majorBidi"/>
          <w:color w:val="000000" w:themeColor="text1"/>
          <w:sz w:val="24"/>
          <w:szCs w:val="24"/>
        </w:rPr>
        <w:t>573-594.</w:t>
      </w:r>
    </w:p>
    <w:p w14:paraId="66C760CC" w14:textId="699A0A0A" w:rsidR="00116F31" w:rsidRDefault="00116F31" w:rsidP="002405CE">
      <w:pPr>
        <w:pStyle w:val="EndNoteBibliography"/>
        <w:ind w:left="720" w:hanging="720"/>
        <w:rPr>
          <w:rFonts w:asciiTheme="majorBidi" w:hAnsiTheme="majorBidi"/>
          <w:color w:val="000000" w:themeColor="text1"/>
          <w:sz w:val="24"/>
          <w:szCs w:val="24"/>
        </w:rPr>
      </w:pPr>
      <w:r w:rsidRPr="00116F31">
        <w:rPr>
          <w:rFonts w:asciiTheme="majorBidi" w:hAnsiTheme="majorBidi"/>
          <w:color w:val="000000" w:themeColor="text1"/>
          <w:sz w:val="24"/>
          <w:szCs w:val="24"/>
        </w:rPr>
        <w:t>Cragun, O. R., Olsen, K. J., &amp; Wright, P. M. (2020). Making CEO narcissism research great: A review and meta-analysis of CEO narcissism. </w:t>
      </w:r>
      <w:r w:rsidRPr="00116F31">
        <w:rPr>
          <w:rFonts w:asciiTheme="majorBidi" w:hAnsiTheme="majorBidi"/>
          <w:i/>
          <w:iCs/>
          <w:color w:val="000000" w:themeColor="text1"/>
          <w:sz w:val="24"/>
          <w:szCs w:val="24"/>
        </w:rPr>
        <w:t>Journal of Management,</w:t>
      </w:r>
      <w:r w:rsidRPr="00116F31">
        <w:rPr>
          <w:rFonts w:asciiTheme="majorBidi" w:hAnsiTheme="majorBidi"/>
          <w:color w:val="000000" w:themeColor="text1"/>
          <w:sz w:val="24"/>
          <w:szCs w:val="24"/>
        </w:rPr>
        <w:t> 46(6), 908-936.</w:t>
      </w:r>
    </w:p>
    <w:p w14:paraId="1755210D" w14:textId="6D52316C" w:rsidR="00C35456" w:rsidRDefault="00C35456" w:rsidP="002405CE">
      <w:pPr>
        <w:pStyle w:val="EndNoteBibliography"/>
        <w:ind w:left="720" w:hanging="720"/>
        <w:rPr>
          <w:rFonts w:asciiTheme="majorBidi" w:hAnsiTheme="majorBidi"/>
          <w:color w:val="000000" w:themeColor="text1"/>
          <w:sz w:val="24"/>
          <w:szCs w:val="24"/>
        </w:rPr>
      </w:pPr>
      <w:r w:rsidRPr="00C35456">
        <w:rPr>
          <w:rFonts w:asciiTheme="majorBidi" w:hAnsiTheme="majorBidi"/>
          <w:color w:val="000000" w:themeColor="text1"/>
          <w:sz w:val="24"/>
          <w:szCs w:val="24"/>
        </w:rPr>
        <w:t>DeZoort, F. T., Hermanson, D. R., Archambeault, D. S., &amp; Reed, S. A. (2002). Audit committee effectiveness: A synthesis of the empirical audit committee literature</w:t>
      </w:r>
      <w:r>
        <w:rPr>
          <w:rFonts w:asciiTheme="majorBidi" w:hAnsiTheme="majorBidi"/>
          <w:color w:val="000000" w:themeColor="text1"/>
          <w:sz w:val="24"/>
          <w:szCs w:val="24"/>
        </w:rPr>
        <w:t>.</w:t>
      </w:r>
      <w:r w:rsidRPr="00C35456">
        <w:t xml:space="preserve"> </w:t>
      </w:r>
      <w:r w:rsidRPr="00C35456">
        <w:rPr>
          <w:rFonts w:asciiTheme="majorBidi" w:hAnsiTheme="majorBidi"/>
          <w:i/>
          <w:iCs/>
          <w:color w:val="000000" w:themeColor="text1"/>
          <w:sz w:val="24"/>
          <w:szCs w:val="24"/>
        </w:rPr>
        <w:t xml:space="preserve">Journal of Accounting Literature, </w:t>
      </w:r>
      <w:r w:rsidRPr="00C35456">
        <w:rPr>
          <w:rFonts w:asciiTheme="majorBidi" w:hAnsiTheme="majorBidi"/>
          <w:color w:val="000000" w:themeColor="text1"/>
          <w:sz w:val="24"/>
          <w:szCs w:val="24"/>
        </w:rPr>
        <w:t>21, 38</w:t>
      </w:r>
      <w:r>
        <w:rPr>
          <w:rFonts w:asciiTheme="majorBidi" w:hAnsiTheme="majorBidi"/>
          <w:color w:val="000000" w:themeColor="text1"/>
          <w:sz w:val="24"/>
          <w:szCs w:val="24"/>
        </w:rPr>
        <w:t>-75</w:t>
      </w:r>
      <w:r w:rsidRPr="00C35456">
        <w:rPr>
          <w:rFonts w:asciiTheme="majorBidi" w:hAnsiTheme="majorBidi"/>
          <w:color w:val="000000" w:themeColor="text1"/>
          <w:sz w:val="24"/>
          <w:szCs w:val="24"/>
        </w:rPr>
        <w:t>.</w:t>
      </w:r>
    </w:p>
    <w:p w14:paraId="6DA8A692" w14:textId="1A828AA3" w:rsidR="00BA4767" w:rsidRPr="005E73C2" w:rsidRDefault="00BA4767" w:rsidP="002405CE">
      <w:pPr>
        <w:pStyle w:val="EndNoteBibliography"/>
        <w:ind w:left="720" w:hanging="720"/>
        <w:rPr>
          <w:rFonts w:asciiTheme="majorBidi" w:hAnsiTheme="majorBidi"/>
          <w:color w:val="000000" w:themeColor="text1"/>
          <w:sz w:val="24"/>
          <w:szCs w:val="24"/>
        </w:rPr>
      </w:pPr>
      <w:r w:rsidRPr="00BA4767">
        <w:rPr>
          <w:rFonts w:asciiTheme="majorBidi" w:hAnsiTheme="majorBidi"/>
          <w:color w:val="000000" w:themeColor="text1"/>
          <w:sz w:val="24"/>
          <w:szCs w:val="24"/>
        </w:rPr>
        <w:t>Dhaliwal, D. A. N., Naiker, V. I. C., &amp; Navissi, F. (2010). The association between accruals quality and the characteristics of accounting experts and mix of expertise on audit committees. </w:t>
      </w:r>
      <w:r w:rsidRPr="00BA4767">
        <w:rPr>
          <w:rFonts w:asciiTheme="majorBidi" w:hAnsiTheme="majorBidi"/>
          <w:i/>
          <w:iCs/>
          <w:color w:val="000000" w:themeColor="text1"/>
          <w:sz w:val="24"/>
          <w:szCs w:val="24"/>
        </w:rPr>
        <w:t xml:space="preserve">Contemporary </w:t>
      </w:r>
      <w:r>
        <w:rPr>
          <w:rFonts w:asciiTheme="majorBidi" w:hAnsiTheme="majorBidi"/>
          <w:i/>
          <w:iCs/>
          <w:color w:val="000000" w:themeColor="text1"/>
          <w:sz w:val="24"/>
          <w:szCs w:val="24"/>
        </w:rPr>
        <w:t>A</w:t>
      </w:r>
      <w:r w:rsidRPr="00BA4767">
        <w:rPr>
          <w:rFonts w:asciiTheme="majorBidi" w:hAnsiTheme="majorBidi"/>
          <w:i/>
          <w:iCs/>
          <w:color w:val="000000" w:themeColor="text1"/>
          <w:sz w:val="24"/>
          <w:szCs w:val="24"/>
        </w:rPr>
        <w:t xml:space="preserve">ccounting </w:t>
      </w:r>
      <w:r>
        <w:rPr>
          <w:rFonts w:asciiTheme="majorBidi" w:hAnsiTheme="majorBidi"/>
          <w:i/>
          <w:iCs/>
          <w:color w:val="000000" w:themeColor="text1"/>
          <w:sz w:val="24"/>
          <w:szCs w:val="24"/>
        </w:rPr>
        <w:t>R</w:t>
      </w:r>
      <w:r w:rsidRPr="00BA4767">
        <w:rPr>
          <w:rFonts w:asciiTheme="majorBidi" w:hAnsiTheme="majorBidi"/>
          <w:i/>
          <w:iCs/>
          <w:color w:val="000000" w:themeColor="text1"/>
          <w:sz w:val="24"/>
          <w:szCs w:val="24"/>
        </w:rPr>
        <w:t>esearch,</w:t>
      </w:r>
      <w:r w:rsidRPr="00BA4767">
        <w:rPr>
          <w:rFonts w:asciiTheme="majorBidi" w:hAnsiTheme="majorBidi"/>
          <w:color w:val="000000" w:themeColor="text1"/>
          <w:sz w:val="24"/>
          <w:szCs w:val="24"/>
        </w:rPr>
        <w:t> 27(3), 787-827.</w:t>
      </w:r>
    </w:p>
    <w:p w14:paraId="4BA3C3FD" w14:textId="5E40979D"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Doyle, J. T., Jennings, J. N</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Soliman, M. T</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013).</w:t>
      </w:r>
      <w:r w:rsidR="004E0DDE" w:rsidRPr="005E73C2">
        <w:rPr>
          <w:rFonts w:asciiTheme="majorBidi" w:hAnsiTheme="majorBidi"/>
          <w:color w:val="000000" w:themeColor="text1"/>
          <w:sz w:val="24"/>
          <w:szCs w:val="24"/>
        </w:rPr>
        <w:t xml:space="preserve"> Do managers define non-GAAP earnings to meet or beat analyst forecasts? </w:t>
      </w:r>
      <w:r w:rsidR="004E0DDE" w:rsidRPr="005E73C2">
        <w:rPr>
          <w:rFonts w:asciiTheme="majorBidi" w:hAnsiTheme="majorBidi"/>
          <w:i/>
          <w:color w:val="000000" w:themeColor="text1"/>
          <w:sz w:val="24"/>
          <w:szCs w:val="24"/>
        </w:rPr>
        <w:t>Journal of Accounting and Economics,</w:t>
      </w:r>
      <w:r w:rsidR="004E0DDE" w:rsidRPr="005E73C2">
        <w:rPr>
          <w:rFonts w:asciiTheme="majorBidi" w:hAnsiTheme="majorBidi"/>
          <w:color w:val="000000" w:themeColor="text1"/>
          <w:sz w:val="24"/>
          <w:szCs w:val="24"/>
        </w:rPr>
        <w:t xml:space="preserve"> 56</w:t>
      </w:r>
      <w:r w:rsidR="00BC1DE4">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40-56.</w:t>
      </w:r>
    </w:p>
    <w:p w14:paraId="64A2AF5A" w14:textId="3020302B"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Doyle, J. T., Lundholm, R. J</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Soliman, M. T</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003).</w:t>
      </w:r>
      <w:r w:rsidR="004E0DDE" w:rsidRPr="005E73C2">
        <w:rPr>
          <w:rFonts w:asciiTheme="majorBidi" w:hAnsiTheme="majorBidi"/>
          <w:color w:val="000000" w:themeColor="text1"/>
          <w:sz w:val="24"/>
          <w:szCs w:val="24"/>
        </w:rPr>
        <w:t xml:space="preserve"> The predictive value of expenses excluded from Pro forma earnings. </w:t>
      </w:r>
      <w:r w:rsidR="004E0DDE" w:rsidRPr="005E73C2">
        <w:rPr>
          <w:rFonts w:asciiTheme="majorBidi" w:hAnsiTheme="majorBidi"/>
          <w:i/>
          <w:color w:val="000000" w:themeColor="text1"/>
          <w:sz w:val="24"/>
          <w:szCs w:val="24"/>
        </w:rPr>
        <w:t>Review of Accounting Studies,</w:t>
      </w:r>
      <w:r w:rsidR="004E0DDE" w:rsidRPr="005E73C2">
        <w:rPr>
          <w:rFonts w:asciiTheme="majorBidi" w:hAnsiTheme="majorBidi"/>
          <w:color w:val="000000" w:themeColor="text1"/>
          <w:sz w:val="24"/>
          <w:szCs w:val="24"/>
        </w:rPr>
        <w:t xml:space="preserve"> 8</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145-174.</w:t>
      </w:r>
    </w:p>
    <w:p w14:paraId="4A8741DF" w14:textId="51218945" w:rsidR="00C35456" w:rsidRPr="005E73C2" w:rsidRDefault="00C35456" w:rsidP="002405CE">
      <w:pPr>
        <w:pStyle w:val="EndNoteBibliography"/>
        <w:ind w:left="720" w:hanging="720"/>
        <w:rPr>
          <w:rFonts w:asciiTheme="majorBidi" w:hAnsiTheme="majorBidi"/>
          <w:color w:val="000000" w:themeColor="text1"/>
          <w:sz w:val="24"/>
          <w:szCs w:val="24"/>
        </w:rPr>
      </w:pPr>
      <w:r w:rsidRPr="00C35456">
        <w:rPr>
          <w:rFonts w:asciiTheme="majorBidi" w:hAnsiTheme="majorBidi"/>
          <w:color w:val="000000" w:themeColor="text1"/>
          <w:sz w:val="24"/>
          <w:szCs w:val="24"/>
        </w:rPr>
        <w:t xml:space="preserve">Engel, E., Hayes, R. M., &amp; Wang, X. (2010). Audit committee compensation and the demand for monitoring of the financial reporting process. </w:t>
      </w:r>
      <w:r w:rsidRPr="00C35456">
        <w:rPr>
          <w:rFonts w:asciiTheme="majorBidi" w:hAnsiTheme="majorBidi"/>
          <w:i/>
          <w:iCs/>
          <w:color w:val="000000" w:themeColor="text1"/>
          <w:sz w:val="24"/>
          <w:szCs w:val="24"/>
        </w:rPr>
        <w:t>Journal of Accounting and Economics,</w:t>
      </w:r>
      <w:r w:rsidRPr="00C35456">
        <w:rPr>
          <w:rFonts w:asciiTheme="majorBidi" w:hAnsiTheme="majorBidi"/>
          <w:color w:val="000000" w:themeColor="text1"/>
          <w:sz w:val="24"/>
          <w:szCs w:val="24"/>
        </w:rPr>
        <w:t xml:space="preserve"> 49(1-2), 136-154.</w:t>
      </w:r>
    </w:p>
    <w:p w14:paraId="502E05DB" w14:textId="2520701E"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Elliott, W. B</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006).</w:t>
      </w:r>
      <w:r w:rsidR="004E0DDE" w:rsidRPr="005E73C2">
        <w:rPr>
          <w:rFonts w:asciiTheme="majorBidi" w:hAnsiTheme="majorBidi"/>
          <w:color w:val="000000" w:themeColor="text1"/>
          <w:sz w:val="24"/>
          <w:szCs w:val="24"/>
        </w:rPr>
        <w:t xml:space="preserve"> Are investors influenced by </w:t>
      </w:r>
      <w:r w:rsidR="00BC1DE4">
        <w:rPr>
          <w:rFonts w:asciiTheme="majorBidi" w:hAnsiTheme="majorBidi"/>
          <w:color w:val="000000" w:themeColor="text1"/>
          <w:sz w:val="24"/>
          <w:szCs w:val="24"/>
        </w:rPr>
        <w:t>P</w:t>
      </w:r>
      <w:r w:rsidR="004E0DDE" w:rsidRPr="005E73C2">
        <w:rPr>
          <w:rFonts w:asciiTheme="majorBidi" w:hAnsiTheme="majorBidi"/>
          <w:color w:val="000000" w:themeColor="text1"/>
          <w:sz w:val="24"/>
          <w:szCs w:val="24"/>
        </w:rPr>
        <w:t xml:space="preserve">ro forma emphasis and reconciliations in earnings announcements?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81</w:t>
      </w:r>
      <w:r w:rsidR="00BC1DE4">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113-133.</w:t>
      </w:r>
    </w:p>
    <w:p w14:paraId="568A1DFB" w14:textId="0D634CCA" w:rsidR="00C35456" w:rsidRDefault="00C35456" w:rsidP="002405CE">
      <w:pPr>
        <w:pStyle w:val="EndNoteBibliography"/>
        <w:ind w:left="720" w:hanging="720"/>
        <w:rPr>
          <w:rFonts w:asciiTheme="majorBidi" w:hAnsiTheme="majorBidi"/>
          <w:color w:val="000000" w:themeColor="text1"/>
          <w:sz w:val="24"/>
          <w:szCs w:val="24"/>
        </w:rPr>
      </w:pPr>
      <w:r w:rsidRPr="00C35456">
        <w:rPr>
          <w:rFonts w:asciiTheme="majorBidi" w:hAnsiTheme="majorBidi"/>
          <w:color w:val="000000" w:themeColor="text1"/>
          <w:sz w:val="24"/>
          <w:szCs w:val="24"/>
        </w:rPr>
        <w:t>Faleye, O., Hoitash, R., &amp; Hoitash, U. (2013). Advisory directors.</w:t>
      </w:r>
      <w:r w:rsidR="00B25134" w:rsidRPr="00B25134">
        <w:rPr>
          <w:rFonts w:asciiTheme="majorBidi" w:hAnsiTheme="majorBidi"/>
          <w:color w:val="000000" w:themeColor="text1"/>
          <w:sz w:val="24"/>
          <w:szCs w:val="24"/>
        </w:rPr>
        <w:t xml:space="preserve"> </w:t>
      </w:r>
      <w:r w:rsidR="00B25134" w:rsidRPr="005E73C2">
        <w:rPr>
          <w:rFonts w:asciiTheme="majorBidi" w:hAnsiTheme="majorBidi"/>
          <w:color w:val="000000" w:themeColor="text1"/>
          <w:sz w:val="24"/>
          <w:szCs w:val="24"/>
        </w:rPr>
        <w:t>SSRN working paper.</w:t>
      </w:r>
    </w:p>
    <w:p w14:paraId="5DE6E68C" w14:textId="0CE32822" w:rsidR="007E5F16" w:rsidRPr="005E73C2" w:rsidRDefault="007E5F16" w:rsidP="002405CE">
      <w:pPr>
        <w:pStyle w:val="EndNoteBibliography"/>
        <w:ind w:left="720" w:hanging="720"/>
        <w:rPr>
          <w:rFonts w:asciiTheme="majorBidi" w:hAnsiTheme="majorBidi"/>
          <w:color w:val="000000" w:themeColor="text1"/>
          <w:sz w:val="24"/>
          <w:szCs w:val="24"/>
        </w:rPr>
      </w:pPr>
      <w:r>
        <w:rPr>
          <w:rFonts w:asciiTheme="majorBidi" w:hAnsiTheme="majorBidi"/>
          <w:color w:val="000000" w:themeColor="text1"/>
          <w:sz w:val="24"/>
          <w:szCs w:val="24"/>
        </w:rPr>
        <w:t xml:space="preserve">Fama, E. F. (1980). </w:t>
      </w:r>
      <w:r w:rsidRPr="007E5F16">
        <w:rPr>
          <w:rFonts w:asciiTheme="majorBidi" w:hAnsiTheme="majorBidi"/>
          <w:color w:val="000000" w:themeColor="text1"/>
          <w:sz w:val="24"/>
          <w:szCs w:val="24"/>
        </w:rPr>
        <w:t>Agency problems and the theory of the firm</w:t>
      </w:r>
      <w:r>
        <w:rPr>
          <w:rFonts w:asciiTheme="majorBidi" w:hAnsiTheme="majorBidi"/>
          <w:color w:val="000000" w:themeColor="text1"/>
          <w:sz w:val="24"/>
          <w:szCs w:val="24"/>
        </w:rPr>
        <w:t xml:space="preserve">. </w:t>
      </w:r>
      <w:r w:rsidRPr="00BE3A84">
        <w:rPr>
          <w:rFonts w:asciiTheme="majorBidi" w:eastAsiaTheme="majorEastAsia" w:hAnsiTheme="majorBidi" w:cstheme="majorBidi"/>
          <w:i/>
          <w:iCs/>
          <w:noProof w:val="0"/>
          <w:color w:val="000000" w:themeColor="text1"/>
          <w:sz w:val="24"/>
          <w:szCs w:val="24"/>
        </w:rPr>
        <w:t>Journal of Political Economy,</w:t>
      </w:r>
      <w:r>
        <w:rPr>
          <w:rFonts w:asciiTheme="majorBidi" w:hAnsiTheme="majorBidi"/>
          <w:color w:val="000000" w:themeColor="text1"/>
          <w:sz w:val="24"/>
          <w:szCs w:val="24"/>
        </w:rPr>
        <w:t xml:space="preserve"> 88(2), </w:t>
      </w:r>
      <w:r w:rsidRPr="007E5F16">
        <w:rPr>
          <w:rFonts w:asciiTheme="majorBidi" w:hAnsiTheme="majorBidi"/>
          <w:color w:val="000000" w:themeColor="text1"/>
          <w:sz w:val="24"/>
          <w:szCs w:val="24"/>
        </w:rPr>
        <w:t>288-307</w:t>
      </w:r>
      <w:r>
        <w:rPr>
          <w:rFonts w:asciiTheme="majorBidi" w:hAnsiTheme="majorBidi"/>
          <w:color w:val="000000" w:themeColor="text1"/>
          <w:sz w:val="24"/>
          <w:szCs w:val="24"/>
        </w:rPr>
        <w:t>.</w:t>
      </w:r>
    </w:p>
    <w:p w14:paraId="10A38D8F" w14:textId="32817B6C" w:rsidR="004E0DDE" w:rsidRPr="005E73C2" w:rsidRDefault="0089160E" w:rsidP="002405CE">
      <w:pPr>
        <w:pStyle w:val="EndNoteBibliography"/>
        <w:ind w:left="720" w:hanging="720"/>
        <w:rPr>
          <w:rFonts w:asciiTheme="majorBidi" w:hAnsiTheme="majorBidi"/>
          <w:color w:val="000000" w:themeColor="text1"/>
          <w:sz w:val="24"/>
          <w:szCs w:val="24"/>
        </w:rPr>
      </w:pPr>
      <w:r w:rsidRPr="00F22DFB">
        <w:rPr>
          <w:rFonts w:asciiTheme="majorBidi" w:hAnsiTheme="majorBidi"/>
          <w:color w:val="000000" w:themeColor="text1"/>
          <w:sz w:val="24"/>
          <w:szCs w:val="24"/>
          <w:lang w:val="es-ES"/>
        </w:rPr>
        <w:t xml:space="preserve">Fama, E. F., &amp; Jensen, M. C. </w:t>
      </w:r>
      <w:r w:rsidR="00C043A3" w:rsidRPr="00F22DFB">
        <w:rPr>
          <w:rFonts w:asciiTheme="majorBidi" w:hAnsiTheme="majorBidi"/>
          <w:color w:val="000000" w:themeColor="text1"/>
          <w:sz w:val="24"/>
          <w:szCs w:val="24"/>
          <w:lang w:val="es-ES"/>
        </w:rPr>
        <w:t>(19</w:t>
      </w:r>
      <w:r w:rsidR="004E0DDE" w:rsidRPr="00DD7665">
        <w:rPr>
          <w:rFonts w:asciiTheme="majorBidi" w:hAnsiTheme="majorBidi"/>
          <w:color w:val="000000" w:themeColor="text1"/>
          <w:sz w:val="24"/>
          <w:szCs w:val="24"/>
        </w:rPr>
        <w:t>83</w:t>
      </w:r>
      <w:r w:rsidRPr="00F22DFB">
        <w:rPr>
          <w:rFonts w:asciiTheme="majorBidi" w:hAnsiTheme="majorBidi"/>
          <w:color w:val="000000" w:themeColor="text1"/>
          <w:sz w:val="24"/>
          <w:szCs w:val="24"/>
          <w:lang w:val="es-ES"/>
        </w:rPr>
        <w:t>)</w:t>
      </w:r>
      <w:r w:rsidR="004E0DDE" w:rsidRPr="00DD7665">
        <w:rPr>
          <w:rFonts w:asciiTheme="majorBidi" w:hAnsiTheme="majorBidi"/>
          <w:color w:val="000000" w:themeColor="text1"/>
          <w:sz w:val="24"/>
          <w:szCs w:val="24"/>
        </w:rPr>
        <w:t xml:space="preserve">. </w:t>
      </w:r>
      <w:r w:rsidR="004E0DDE" w:rsidRPr="005E73C2">
        <w:rPr>
          <w:rFonts w:asciiTheme="majorBidi" w:hAnsiTheme="majorBidi"/>
          <w:color w:val="000000" w:themeColor="text1"/>
          <w:sz w:val="24"/>
          <w:szCs w:val="24"/>
        </w:rPr>
        <w:t xml:space="preserve">Separation of ownership and control. </w:t>
      </w:r>
      <w:r w:rsidR="004E0DDE" w:rsidRPr="005E73C2">
        <w:rPr>
          <w:rFonts w:asciiTheme="majorBidi" w:hAnsiTheme="majorBidi"/>
          <w:i/>
          <w:color w:val="000000" w:themeColor="text1"/>
          <w:sz w:val="24"/>
          <w:szCs w:val="24"/>
        </w:rPr>
        <w:t>The Journal of Law and Economics,</w:t>
      </w:r>
      <w:r w:rsidR="004E0DDE" w:rsidRPr="005E73C2">
        <w:rPr>
          <w:rFonts w:asciiTheme="majorBidi" w:hAnsiTheme="majorBidi"/>
          <w:color w:val="000000" w:themeColor="text1"/>
          <w:sz w:val="24"/>
          <w:szCs w:val="24"/>
        </w:rPr>
        <w:t xml:space="preserve"> 26</w:t>
      </w:r>
      <w:r w:rsidR="00BC1DE4">
        <w:rPr>
          <w:rFonts w:asciiTheme="majorBidi" w:hAnsiTheme="majorBidi"/>
          <w:color w:val="000000" w:themeColor="text1"/>
          <w:sz w:val="24"/>
          <w:szCs w:val="24"/>
        </w:rPr>
        <w:t>(2)</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301-325.</w:t>
      </w:r>
    </w:p>
    <w:p w14:paraId="6D7A691C" w14:textId="701D1D36"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Farwell, L</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Wohlwend-Lloyd, R</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98</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Narcissistic processes: Optimistic expectations, favorable self-evaluations, and self-enhancing attributions. </w:t>
      </w:r>
      <w:r w:rsidR="004E0DDE" w:rsidRPr="005E73C2">
        <w:rPr>
          <w:rFonts w:asciiTheme="majorBidi" w:hAnsiTheme="majorBidi"/>
          <w:i/>
          <w:color w:val="000000" w:themeColor="text1"/>
          <w:sz w:val="24"/>
          <w:szCs w:val="24"/>
        </w:rPr>
        <w:t>Journal of Personality,</w:t>
      </w:r>
      <w:r w:rsidR="004E0DDE" w:rsidRPr="005E73C2">
        <w:rPr>
          <w:rFonts w:asciiTheme="majorBidi" w:hAnsiTheme="majorBidi"/>
          <w:color w:val="000000" w:themeColor="text1"/>
          <w:sz w:val="24"/>
          <w:szCs w:val="24"/>
        </w:rPr>
        <w:t xml:space="preserve"> 66</w:t>
      </w:r>
      <w:r w:rsidR="00BC1DE4">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65-83.</w:t>
      </w:r>
    </w:p>
    <w:p w14:paraId="09F531A3" w14:textId="493EC7DC" w:rsidR="00F76993" w:rsidRPr="005E73C2" w:rsidRDefault="00F76993"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Fich, E. M., &amp; Shivdasani, A. (2006). </w:t>
      </w:r>
      <w:r w:rsidRPr="00F76993">
        <w:rPr>
          <w:rFonts w:asciiTheme="majorBidi" w:hAnsiTheme="majorBidi"/>
          <w:color w:val="000000" w:themeColor="text1"/>
          <w:sz w:val="24"/>
          <w:szCs w:val="24"/>
        </w:rPr>
        <w:t>Are busy boards effective monitors?. </w:t>
      </w:r>
      <w:r w:rsidRPr="00F76993">
        <w:rPr>
          <w:rFonts w:asciiTheme="majorBidi" w:hAnsiTheme="majorBidi"/>
          <w:i/>
          <w:iCs/>
          <w:color w:val="000000" w:themeColor="text1"/>
          <w:sz w:val="24"/>
          <w:szCs w:val="24"/>
        </w:rPr>
        <w:t xml:space="preserve">The Journal of </w:t>
      </w:r>
      <w:r>
        <w:rPr>
          <w:rFonts w:asciiTheme="majorBidi" w:hAnsiTheme="majorBidi"/>
          <w:i/>
          <w:iCs/>
          <w:color w:val="000000" w:themeColor="text1"/>
          <w:sz w:val="24"/>
          <w:szCs w:val="24"/>
        </w:rPr>
        <w:t>F</w:t>
      </w:r>
      <w:r w:rsidRPr="00F76993">
        <w:rPr>
          <w:rFonts w:asciiTheme="majorBidi" w:hAnsiTheme="majorBidi"/>
          <w:i/>
          <w:iCs/>
          <w:color w:val="000000" w:themeColor="text1"/>
          <w:sz w:val="24"/>
          <w:szCs w:val="24"/>
        </w:rPr>
        <w:t>inance</w:t>
      </w:r>
      <w:r w:rsidRPr="00E432C3">
        <w:rPr>
          <w:rFonts w:asciiTheme="majorBidi" w:hAnsiTheme="majorBidi"/>
          <w:i/>
          <w:iCs/>
          <w:color w:val="000000" w:themeColor="text1"/>
          <w:sz w:val="24"/>
          <w:szCs w:val="24"/>
        </w:rPr>
        <w:t>, </w:t>
      </w:r>
      <w:r w:rsidRPr="00F76993">
        <w:rPr>
          <w:rFonts w:asciiTheme="majorBidi" w:hAnsiTheme="majorBidi"/>
          <w:color w:val="000000" w:themeColor="text1"/>
          <w:sz w:val="24"/>
          <w:szCs w:val="24"/>
        </w:rPr>
        <w:t>61(2), 689-724.</w:t>
      </w:r>
    </w:p>
    <w:p w14:paraId="0C1F3FED" w14:textId="3841359D"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Frankel, R., Mc</w:t>
      </w:r>
      <w:r>
        <w:rPr>
          <w:rFonts w:asciiTheme="majorBidi" w:hAnsiTheme="majorBidi"/>
          <w:color w:val="000000" w:themeColor="text1"/>
          <w:sz w:val="24"/>
          <w:szCs w:val="24"/>
        </w:rPr>
        <w:t>V</w:t>
      </w:r>
      <w:r w:rsidRPr="005E73C2">
        <w:rPr>
          <w:rFonts w:asciiTheme="majorBidi" w:hAnsiTheme="majorBidi"/>
          <w:color w:val="000000" w:themeColor="text1"/>
          <w:sz w:val="24"/>
          <w:szCs w:val="24"/>
        </w:rPr>
        <w:t>ay, S</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Soliman, M</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011).</w:t>
      </w:r>
      <w:r w:rsidR="004E0DDE" w:rsidRPr="005E73C2">
        <w:rPr>
          <w:rFonts w:asciiTheme="majorBidi" w:hAnsiTheme="majorBidi"/>
          <w:color w:val="000000" w:themeColor="text1"/>
          <w:sz w:val="24"/>
          <w:szCs w:val="24"/>
        </w:rPr>
        <w:t xml:space="preserve"> Non-GAAP earnings and board independence. </w:t>
      </w:r>
      <w:r w:rsidR="004E0DDE" w:rsidRPr="005E73C2">
        <w:rPr>
          <w:rFonts w:asciiTheme="majorBidi" w:hAnsiTheme="majorBidi"/>
          <w:i/>
          <w:color w:val="000000" w:themeColor="text1"/>
          <w:sz w:val="24"/>
          <w:szCs w:val="24"/>
        </w:rPr>
        <w:lastRenderedPageBreak/>
        <w:t>Review of Accounting Studies,</w:t>
      </w:r>
      <w:r w:rsidR="004E0DDE" w:rsidRPr="005E73C2">
        <w:rPr>
          <w:rFonts w:asciiTheme="majorBidi" w:hAnsiTheme="majorBidi"/>
          <w:color w:val="000000" w:themeColor="text1"/>
          <w:sz w:val="24"/>
          <w:szCs w:val="24"/>
        </w:rPr>
        <w:t xml:space="preserve"> 16</w:t>
      </w:r>
      <w:r w:rsidR="00342C46">
        <w:rPr>
          <w:rFonts w:asciiTheme="majorBidi" w:hAnsiTheme="majorBidi"/>
          <w:color w:val="000000" w:themeColor="text1"/>
          <w:sz w:val="24"/>
          <w:szCs w:val="24"/>
        </w:rPr>
        <w:t>(4)</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719-744.</w:t>
      </w:r>
    </w:p>
    <w:p w14:paraId="25E4182D" w14:textId="7B9ED7A9" w:rsidR="004E0DDE" w:rsidRPr="005E73C2" w:rsidRDefault="004E0DD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FRC</w:t>
      </w:r>
      <w:r w:rsidR="00C043A3">
        <w:rPr>
          <w:rFonts w:asciiTheme="majorBidi" w:hAnsiTheme="majorBidi"/>
          <w:color w:val="000000" w:themeColor="text1"/>
          <w:sz w:val="24"/>
          <w:szCs w:val="24"/>
        </w:rPr>
        <w:t xml:space="preserve"> (2</w:t>
      </w:r>
      <w:r w:rsidR="0089160E">
        <w:rPr>
          <w:rFonts w:asciiTheme="majorBidi" w:hAnsiTheme="majorBidi"/>
          <w:color w:val="000000" w:themeColor="text1"/>
          <w:sz w:val="24"/>
          <w:szCs w:val="24"/>
        </w:rPr>
        <w:t>018).</w:t>
      </w:r>
      <w:r w:rsidRPr="005E73C2">
        <w:rPr>
          <w:rFonts w:asciiTheme="majorBidi" w:hAnsiTheme="majorBidi"/>
          <w:color w:val="000000" w:themeColor="text1"/>
          <w:sz w:val="24"/>
          <w:szCs w:val="24"/>
        </w:rPr>
        <w:t xml:space="preserve"> </w:t>
      </w:r>
      <w:r w:rsidRPr="005E73C2">
        <w:rPr>
          <w:rFonts w:asciiTheme="majorBidi" w:hAnsiTheme="majorBidi"/>
          <w:iCs/>
          <w:color w:val="000000" w:themeColor="text1"/>
          <w:sz w:val="24"/>
          <w:szCs w:val="24"/>
        </w:rPr>
        <w:t>The UK Corporate Governance Code</w:t>
      </w:r>
      <w:r w:rsidRPr="005E73C2">
        <w:rPr>
          <w:rFonts w:asciiTheme="majorBidi" w:hAnsiTheme="majorBidi"/>
          <w:color w:val="000000" w:themeColor="text1"/>
          <w:sz w:val="24"/>
          <w:szCs w:val="24"/>
        </w:rPr>
        <w:t xml:space="preserve">. </w:t>
      </w:r>
      <w:r w:rsidR="00AF0F74">
        <w:rPr>
          <w:rFonts w:asciiTheme="majorBidi" w:hAnsiTheme="majorBidi"/>
          <w:color w:val="000000" w:themeColor="text1"/>
          <w:sz w:val="24"/>
          <w:szCs w:val="24"/>
        </w:rPr>
        <w:t>A</w:t>
      </w:r>
      <w:r w:rsidRPr="005E73C2">
        <w:rPr>
          <w:rFonts w:asciiTheme="majorBidi" w:hAnsiTheme="majorBidi"/>
          <w:color w:val="000000" w:themeColor="text1"/>
          <w:sz w:val="24"/>
          <w:szCs w:val="24"/>
        </w:rPr>
        <w:t>vailable</w:t>
      </w:r>
      <w:r w:rsidR="00342C46">
        <w:rPr>
          <w:rFonts w:asciiTheme="majorBidi" w:hAnsiTheme="majorBidi"/>
          <w:color w:val="000000" w:themeColor="text1"/>
          <w:sz w:val="24"/>
          <w:szCs w:val="24"/>
        </w:rPr>
        <w:t xml:space="preserve"> </w:t>
      </w:r>
      <w:r w:rsidR="00AF0F74">
        <w:rPr>
          <w:rFonts w:asciiTheme="majorBidi" w:hAnsiTheme="majorBidi"/>
          <w:color w:val="000000" w:themeColor="text1"/>
          <w:sz w:val="24"/>
          <w:szCs w:val="24"/>
        </w:rPr>
        <w:t>online</w:t>
      </w:r>
      <w:r w:rsidR="00342C46">
        <w:rPr>
          <w:rFonts w:asciiTheme="majorBidi" w:hAnsiTheme="majorBidi"/>
          <w:color w:val="000000" w:themeColor="text1"/>
          <w:sz w:val="24"/>
          <w:szCs w:val="24"/>
        </w:rPr>
        <w:t xml:space="preserve"> at</w:t>
      </w:r>
      <w:r w:rsidRPr="005E73C2">
        <w:rPr>
          <w:rFonts w:asciiTheme="majorBidi" w:hAnsiTheme="majorBidi"/>
          <w:color w:val="000000" w:themeColor="text1"/>
          <w:sz w:val="24"/>
          <w:szCs w:val="24"/>
        </w:rPr>
        <w:t xml:space="preserve"> https://www.frc.org.uk/getattachment/88bd8c45-50ea-4841-95b0-d2f4f48069a2/2018-UK-Corporate-Governance-Code-FINAL.pdf </w:t>
      </w:r>
      <w:r w:rsidR="00342C46">
        <w:rPr>
          <w:rFonts w:asciiTheme="majorBidi" w:hAnsiTheme="majorBidi"/>
          <w:color w:val="000000" w:themeColor="text1"/>
          <w:sz w:val="24"/>
          <w:szCs w:val="24"/>
        </w:rPr>
        <w:t>(</w:t>
      </w:r>
      <w:r w:rsidRPr="005E73C2">
        <w:rPr>
          <w:rFonts w:asciiTheme="majorBidi" w:hAnsiTheme="majorBidi"/>
          <w:color w:val="000000" w:themeColor="text1"/>
          <w:sz w:val="24"/>
          <w:szCs w:val="24"/>
        </w:rPr>
        <w:t>Accessed 21</w:t>
      </w:r>
      <w:r w:rsidR="00342C46">
        <w:rPr>
          <w:rFonts w:asciiTheme="majorBidi" w:hAnsiTheme="majorBidi"/>
          <w:color w:val="000000" w:themeColor="text1"/>
          <w:sz w:val="24"/>
          <w:szCs w:val="24"/>
        </w:rPr>
        <w:t xml:space="preserve"> </w:t>
      </w:r>
      <w:r w:rsidRPr="005E73C2">
        <w:rPr>
          <w:rFonts w:asciiTheme="majorBidi" w:hAnsiTheme="majorBidi"/>
          <w:color w:val="000000" w:themeColor="text1"/>
          <w:sz w:val="24"/>
          <w:szCs w:val="24"/>
        </w:rPr>
        <w:t>June 2021</w:t>
      </w:r>
      <w:r w:rsidR="00342C46">
        <w:rPr>
          <w:rFonts w:asciiTheme="majorBidi" w:hAnsiTheme="majorBidi"/>
          <w:color w:val="000000" w:themeColor="text1"/>
          <w:sz w:val="24"/>
          <w:szCs w:val="24"/>
        </w:rPr>
        <w:t>)</w:t>
      </w:r>
      <w:r w:rsidRPr="005E73C2">
        <w:rPr>
          <w:rFonts w:asciiTheme="majorBidi" w:hAnsiTheme="majorBidi"/>
          <w:color w:val="000000" w:themeColor="text1"/>
          <w:sz w:val="24"/>
          <w:szCs w:val="24"/>
        </w:rPr>
        <w:t>.</w:t>
      </w:r>
    </w:p>
    <w:p w14:paraId="3A804F37" w14:textId="5051E416"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lang w:val="de-DE"/>
        </w:rPr>
        <w:t>Frederickson, J. R</w:t>
      </w:r>
      <w:r>
        <w:rPr>
          <w:rFonts w:asciiTheme="majorBidi" w:hAnsiTheme="majorBidi"/>
          <w:color w:val="000000" w:themeColor="text1"/>
          <w:sz w:val="24"/>
          <w:szCs w:val="24"/>
          <w:lang w:val="de-DE"/>
        </w:rPr>
        <w:t>., &amp;</w:t>
      </w:r>
      <w:r w:rsidRPr="005E73C2">
        <w:rPr>
          <w:rFonts w:asciiTheme="majorBidi" w:hAnsiTheme="majorBidi"/>
          <w:color w:val="000000" w:themeColor="text1"/>
          <w:sz w:val="24"/>
          <w:szCs w:val="24"/>
          <w:lang w:val="de-DE"/>
        </w:rPr>
        <w:t xml:space="preserve"> Miller, J. S</w:t>
      </w:r>
      <w:r>
        <w:rPr>
          <w:rFonts w:asciiTheme="majorBidi" w:hAnsiTheme="majorBidi"/>
          <w:color w:val="000000" w:themeColor="text1"/>
          <w:sz w:val="24"/>
          <w:szCs w:val="24"/>
          <w:lang w:val="de-DE"/>
        </w:rPr>
        <w:t xml:space="preserve">. </w:t>
      </w:r>
      <w:r w:rsidR="00C043A3">
        <w:rPr>
          <w:rFonts w:asciiTheme="majorBidi" w:hAnsiTheme="majorBidi"/>
          <w:color w:val="000000" w:themeColor="text1"/>
          <w:sz w:val="24"/>
          <w:szCs w:val="24"/>
          <w:lang w:val="de-DE"/>
        </w:rPr>
        <w:t>(2</w:t>
      </w:r>
      <w:r>
        <w:rPr>
          <w:rFonts w:asciiTheme="majorBidi" w:hAnsiTheme="majorBidi"/>
          <w:color w:val="000000" w:themeColor="text1"/>
          <w:sz w:val="24"/>
          <w:szCs w:val="24"/>
          <w:lang w:val="de-DE"/>
        </w:rPr>
        <w:t>004).</w:t>
      </w:r>
      <w:r w:rsidR="004E0DDE" w:rsidRPr="005E73C2">
        <w:rPr>
          <w:rFonts w:asciiTheme="majorBidi" w:hAnsiTheme="majorBidi"/>
          <w:color w:val="000000" w:themeColor="text1"/>
          <w:sz w:val="24"/>
          <w:szCs w:val="24"/>
          <w:lang w:val="de-DE"/>
        </w:rPr>
        <w:t xml:space="preserve"> </w:t>
      </w:r>
      <w:r w:rsidR="004E0DDE" w:rsidRPr="005E73C2">
        <w:rPr>
          <w:rFonts w:asciiTheme="majorBidi" w:hAnsiTheme="majorBidi"/>
          <w:color w:val="000000" w:themeColor="text1"/>
          <w:sz w:val="24"/>
          <w:szCs w:val="24"/>
        </w:rPr>
        <w:t xml:space="preserve">The effects of </w:t>
      </w:r>
      <w:r w:rsidR="00342C46">
        <w:rPr>
          <w:rFonts w:asciiTheme="majorBidi" w:hAnsiTheme="majorBidi"/>
          <w:color w:val="000000" w:themeColor="text1"/>
          <w:sz w:val="24"/>
          <w:szCs w:val="24"/>
        </w:rPr>
        <w:t>P</w:t>
      </w:r>
      <w:r w:rsidR="004E0DDE" w:rsidRPr="005E73C2">
        <w:rPr>
          <w:rFonts w:asciiTheme="majorBidi" w:hAnsiTheme="majorBidi"/>
          <w:color w:val="000000" w:themeColor="text1"/>
          <w:sz w:val="24"/>
          <w:szCs w:val="24"/>
        </w:rPr>
        <w:t xml:space="preserve">ro forma earnings disclosures on analysts' and nonprofessional investors' equity valuation judgments.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79</w:t>
      </w:r>
      <w:r w:rsidR="00342C46">
        <w:rPr>
          <w:rFonts w:asciiTheme="majorBidi" w:hAnsiTheme="majorBidi"/>
          <w:color w:val="000000" w:themeColor="text1"/>
          <w:sz w:val="24"/>
          <w:szCs w:val="24"/>
        </w:rPr>
        <w:t>(3)</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667-686.</w:t>
      </w:r>
    </w:p>
    <w:p w14:paraId="676BB4CA" w14:textId="64544B7D"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Free, C., Trotman, A. J</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Trotman, K. T</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021).</w:t>
      </w:r>
      <w:r w:rsidR="004E0DDE" w:rsidRPr="005E73C2">
        <w:rPr>
          <w:rFonts w:asciiTheme="majorBidi" w:hAnsiTheme="majorBidi"/>
          <w:color w:val="000000" w:themeColor="text1"/>
          <w:sz w:val="24"/>
          <w:szCs w:val="24"/>
        </w:rPr>
        <w:t xml:space="preserve"> How audit committee chairs address information-processing barriers.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96</w:t>
      </w:r>
      <w:r w:rsidR="00342C46">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147-169.</w:t>
      </w:r>
    </w:p>
    <w:p w14:paraId="21048FD3" w14:textId="77777777" w:rsidR="002110AA" w:rsidRDefault="002110AA" w:rsidP="002110AA">
      <w:pPr>
        <w:pStyle w:val="EndNoteBibliography"/>
        <w:ind w:left="720" w:hanging="720"/>
        <w:rPr>
          <w:rFonts w:asciiTheme="majorBidi" w:hAnsiTheme="majorBidi"/>
          <w:color w:val="000000" w:themeColor="text1"/>
          <w:sz w:val="24"/>
          <w:szCs w:val="24"/>
        </w:rPr>
      </w:pPr>
      <w:r w:rsidRPr="000257C7">
        <w:rPr>
          <w:rFonts w:asciiTheme="majorBidi" w:hAnsiTheme="majorBidi"/>
          <w:color w:val="000000" w:themeColor="text1"/>
          <w:sz w:val="24"/>
          <w:szCs w:val="24"/>
          <w:lang w:val="en-GB"/>
        </w:rPr>
        <w:t>Gujarati, D. N., &amp; Porter, D. C. (2009).</w:t>
      </w:r>
      <w:r w:rsidRPr="000257C7">
        <w:rPr>
          <w:rFonts w:asciiTheme="majorBidi" w:hAnsiTheme="majorBidi"/>
          <w:i/>
          <w:iCs/>
          <w:color w:val="000000" w:themeColor="text1"/>
          <w:sz w:val="24"/>
          <w:szCs w:val="24"/>
          <w:lang w:val="en-GB"/>
        </w:rPr>
        <w:t xml:space="preserve"> </w:t>
      </w:r>
      <w:r>
        <w:rPr>
          <w:rFonts w:asciiTheme="majorBidi" w:hAnsiTheme="majorBidi"/>
          <w:i/>
          <w:iCs/>
          <w:color w:val="000000" w:themeColor="text1"/>
          <w:sz w:val="24"/>
          <w:szCs w:val="24"/>
        </w:rPr>
        <w:t>Basic econometrics</w:t>
      </w:r>
      <w:r>
        <w:rPr>
          <w:rFonts w:asciiTheme="majorBidi" w:hAnsiTheme="majorBidi"/>
          <w:color w:val="000000" w:themeColor="text1"/>
          <w:sz w:val="24"/>
          <w:szCs w:val="24"/>
        </w:rPr>
        <w:t xml:space="preserve"> (5th ed.). New York: McGraw- Hill.</w:t>
      </w:r>
    </w:p>
    <w:p w14:paraId="44780BA9" w14:textId="69DCD3EE"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 xml:space="preserve">Gul, F. A., Wu, D., &amp; Yang, Z. </w:t>
      </w:r>
      <w:r w:rsidR="004E0DDE" w:rsidRPr="005E73C2">
        <w:rPr>
          <w:rFonts w:asciiTheme="majorBidi" w:hAnsiTheme="majorBidi"/>
          <w:color w:val="000000" w:themeColor="text1"/>
          <w:sz w:val="24"/>
          <w:szCs w:val="24"/>
        </w:rPr>
        <w:t>(2013). Do individual auditors affect audit quality? Evidence from archival data. </w:t>
      </w:r>
      <w:r w:rsidR="004E0DDE" w:rsidRPr="005E73C2">
        <w:rPr>
          <w:rFonts w:asciiTheme="majorBidi" w:hAnsiTheme="majorBidi"/>
          <w:i/>
          <w:iCs/>
          <w:color w:val="000000" w:themeColor="text1"/>
          <w:sz w:val="24"/>
          <w:szCs w:val="24"/>
        </w:rPr>
        <w:t>The Accounting Review</w:t>
      </w:r>
      <w:r w:rsidR="004E0DDE" w:rsidRPr="00E432C3">
        <w:rPr>
          <w:rFonts w:asciiTheme="majorBidi" w:hAnsiTheme="majorBidi"/>
          <w:i/>
          <w:iCs/>
          <w:color w:val="000000" w:themeColor="text1"/>
          <w:sz w:val="24"/>
          <w:szCs w:val="24"/>
        </w:rPr>
        <w:t>,</w:t>
      </w:r>
      <w:r w:rsidR="004E0DDE" w:rsidRPr="005E73C2">
        <w:rPr>
          <w:rFonts w:asciiTheme="majorBidi" w:hAnsiTheme="majorBidi"/>
          <w:color w:val="000000" w:themeColor="text1"/>
          <w:sz w:val="24"/>
          <w:szCs w:val="24"/>
        </w:rPr>
        <w:t> </w:t>
      </w:r>
      <w:r w:rsidR="004E0DDE" w:rsidRPr="006A5E6D">
        <w:rPr>
          <w:rFonts w:asciiTheme="majorBidi" w:hAnsiTheme="majorBidi"/>
          <w:color w:val="000000" w:themeColor="text1"/>
          <w:sz w:val="24"/>
          <w:szCs w:val="24"/>
        </w:rPr>
        <w:t>88</w:t>
      </w:r>
      <w:r w:rsidR="004E0DDE" w:rsidRPr="005E73C2">
        <w:rPr>
          <w:rFonts w:asciiTheme="majorBidi" w:hAnsiTheme="majorBidi"/>
          <w:color w:val="000000" w:themeColor="text1"/>
          <w:sz w:val="24"/>
          <w:szCs w:val="24"/>
        </w:rPr>
        <w:t>(6), 1993-2023.</w:t>
      </w:r>
    </w:p>
    <w:p w14:paraId="4C641AED" w14:textId="10C11A43" w:rsidR="004E0DDE" w:rsidRPr="005E73C2"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Ham, C., Lang, M., Seybert, N</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Wang, S</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017).</w:t>
      </w:r>
      <w:r w:rsidR="004E0DDE" w:rsidRPr="005E73C2">
        <w:rPr>
          <w:rFonts w:asciiTheme="majorBidi" w:hAnsiTheme="majorBidi"/>
          <w:color w:val="000000" w:themeColor="text1"/>
          <w:sz w:val="24"/>
          <w:szCs w:val="24"/>
        </w:rPr>
        <w:t xml:space="preserve"> CFO narcissism and financial reporting quality. </w:t>
      </w:r>
      <w:r w:rsidR="004E0DDE" w:rsidRPr="005E73C2">
        <w:rPr>
          <w:rFonts w:asciiTheme="majorBidi" w:hAnsiTheme="majorBidi"/>
          <w:i/>
          <w:color w:val="000000" w:themeColor="text1"/>
          <w:sz w:val="24"/>
          <w:szCs w:val="24"/>
        </w:rPr>
        <w:t>Journal of Accounting Research,</w:t>
      </w:r>
      <w:r w:rsidR="004E0DDE" w:rsidRPr="005E73C2">
        <w:rPr>
          <w:rFonts w:asciiTheme="majorBidi" w:hAnsiTheme="majorBidi"/>
          <w:color w:val="000000" w:themeColor="text1"/>
          <w:sz w:val="24"/>
          <w:szCs w:val="24"/>
        </w:rPr>
        <w:t xml:space="preserve"> 55</w:t>
      </w:r>
      <w:r w:rsidR="006A5E6D">
        <w:rPr>
          <w:rFonts w:asciiTheme="majorBidi" w:hAnsiTheme="majorBidi"/>
          <w:color w:val="000000" w:themeColor="text1"/>
          <w:sz w:val="24"/>
          <w:szCs w:val="24"/>
        </w:rPr>
        <w:t>(5)</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1089-1135.</w:t>
      </w:r>
    </w:p>
    <w:p w14:paraId="3769C958" w14:textId="4CBE0DBE" w:rsidR="004E0DDE" w:rsidRDefault="0089160E"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Ham, C., Seybert, N</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Wang, S</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Pr>
          <w:rFonts w:asciiTheme="majorBidi" w:hAnsiTheme="majorBidi"/>
          <w:color w:val="000000" w:themeColor="text1"/>
          <w:sz w:val="24"/>
          <w:szCs w:val="24"/>
        </w:rPr>
        <w:t>018).</w:t>
      </w:r>
      <w:r w:rsidR="004E0DDE" w:rsidRPr="005E73C2">
        <w:rPr>
          <w:rFonts w:asciiTheme="majorBidi" w:hAnsiTheme="majorBidi"/>
          <w:color w:val="000000" w:themeColor="text1"/>
          <w:sz w:val="24"/>
          <w:szCs w:val="24"/>
        </w:rPr>
        <w:t xml:space="preserve"> Narcissism is a bad sign: CEO signature size, investment, and performance. </w:t>
      </w:r>
      <w:r w:rsidR="004E0DDE" w:rsidRPr="005E73C2">
        <w:rPr>
          <w:rFonts w:asciiTheme="majorBidi" w:hAnsiTheme="majorBidi"/>
          <w:i/>
          <w:color w:val="000000" w:themeColor="text1"/>
          <w:sz w:val="24"/>
          <w:szCs w:val="24"/>
        </w:rPr>
        <w:t>Review of Accounting Studies,</w:t>
      </w:r>
      <w:r w:rsidR="004E0DDE" w:rsidRPr="005E73C2">
        <w:rPr>
          <w:rFonts w:asciiTheme="majorBidi" w:hAnsiTheme="majorBidi"/>
          <w:color w:val="000000" w:themeColor="text1"/>
          <w:sz w:val="24"/>
          <w:szCs w:val="24"/>
        </w:rPr>
        <w:t xml:space="preserve"> 23</w:t>
      </w:r>
      <w:r w:rsidR="006A5E6D">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234-264.</w:t>
      </w:r>
    </w:p>
    <w:p w14:paraId="3EE9BBA8" w14:textId="67809FCE" w:rsidR="00494B2C" w:rsidRPr="005E73C2" w:rsidRDefault="00494B2C" w:rsidP="002405CE">
      <w:pPr>
        <w:pStyle w:val="EndNoteBibliography"/>
        <w:ind w:left="720" w:hanging="720"/>
        <w:rPr>
          <w:rFonts w:asciiTheme="majorBidi" w:hAnsiTheme="majorBidi"/>
          <w:color w:val="000000" w:themeColor="text1"/>
          <w:sz w:val="24"/>
          <w:szCs w:val="24"/>
        </w:rPr>
      </w:pPr>
      <w:r w:rsidRPr="00494B2C">
        <w:rPr>
          <w:rFonts w:asciiTheme="majorBidi" w:hAnsiTheme="majorBidi"/>
          <w:color w:val="000000" w:themeColor="text1"/>
          <w:sz w:val="24"/>
          <w:szCs w:val="24"/>
        </w:rPr>
        <w:t>Hambrick, D. C.</w:t>
      </w:r>
      <w:r>
        <w:rPr>
          <w:rFonts w:asciiTheme="majorBidi" w:hAnsiTheme="majorBidi"/>
          <w:color w:val="000000" w:themeColor="text1"/>
          <w:sz w:val="24"/>
          <w:szCs w:val="24"/>
        </w:rPr>
        <w:t xml:space="preserve"> (2007). </w:t>
      </w:r>
      <w:r w:rsidRPr="00494B2C">
        <w:rPr>
          <w:rFonts w:asciiTheme="majorBidi" w:hAnsiTheme="majorBidi"/>
          <w:color w:val="000000" w:themeColor="text1"/>
          <w:sz w:val="24"/>
          <w:szCs w:val="24"/>
        </w:rPr>
        <w:t>Upper echelons theory: An update</w:t>
      </w:r>
      <w:r>
        <w:rPr>
          <w:rFonts w:asciiTheme="majorBidi" w:hAnsiTheme="majorBidi"/>
          <w:color w:val="000000" w:themeColor="text1"/>
          <w:sz w:val="24"/>
          <w:szCs w:val="24"/>
        </w:rPr>
        <w:t xml:space="preserve">. </w:t>
      </w:r>
      <w:r w:rsidRPr="00BE3A84">
        <w:rPr>
          <w:rFonts w:asciiTheme="majorBidi" w:eastAsiaTheme="majorEastAsia" w:hAnsiTheme="majorBidi" w:cstheme="majorBidi"/>
          <w:i/>
          <w:iCs/>
          <w:noProof w:val="0"/>
          <w:color w:val="000000" w:themeColor="text1"/>
          <w:sz w:val="24"/>
          <w:szCs w:val="24"/>
        </w:rPr>
        <w:t>Academy of Management Review,</w:t>
      </w:r>
      <w:r>
        <w:rPr>
          <w:rFonts w:asciiTheme="majorBidi" w:hAnsiTheme="majorBidi"/>
          <w:color w:val="000000" w:themeColor="text1"/>
          <w:sz w:val="24"/>
          <w:szCs w:val="24"/>
        </w:rPr>
        <w:t xml:space="preserve"> 32(2), </w:t>
      </w:r>
      <w:r w:rsidRPr="00494B2C">
        <w:rPr>
          <w:rFonts w:asciiTheme="majorBidi" w:hAnsiTheme="majorBidi"/>
          <w:color w:val="000000" w:themeColor="text1"/>
          <w:sz w:val="24"/>
          <w:szCs w:val="24"/>
        </w:rPr>
        <w:t>334-343</w:t>
      </w:r>
      <w:r>
        <w:rPr>
          <w:rFonts w:asciiTheme="majorBidi" w:hAnsiTheme="majorBidi"/>
          <w:color w:val="000000" w:themeColor="text1"/>
          <w:sz w:val="24"/>
          <w:szCs w:val="24"/>
        </w:rPr>
        <w:t>.</w:t>
      </w:r>
    </w:p>
    <w:p w14:paraId="705E073D" w14:textId="31AA1781" w:rsidR="004E0DDE" w:rsidRDefault="0089160E" w:rsidP="002405CE">
      <w:pPr>
        <w:pStyle w:val="EndNoteBibliography"/>
        <w:ind w:left="720" w:hanging="720"/>
        <w:rPr>
          <w:rFonts w:asciiTheme="majorBidi" w:hAnsiTheme="majorBidi"/>
          <w:color w:val="000000" w:themeColor="text1"/>
          <w:sz w:val="24"/>
          <w:szCs w:val="24"/>
        </w:rPr>
      </w:pPr>
      <w:bookmarkStart w:id="3" w:name="_Hlk173334060"/>
      <w:r w:rsidRPr="005E73C2">
        <w:rPr>
          <w:rFonts w:asciiTheme="majorBidi" w:hAnsiTheme="majorBidi"/>
          <w:color w:val="000000" w:themeColor="text1"/>
          <w:sz w:val="24"/>
          <w:szCs w:val="24"/>
        </w:rPr>
        <w:t>Hambrick, D. C</w:t>
      </w:r>
      <w:r>
        <w:rPr>
          <w:rFonts w:asciiTheme="majorBidi" w:hAnsiTheme="majorBidi"/>
          <w:color w:val="000000" w:themeColor="text1"/>
          <w:sz w:val="24"/>
          <w:szCs w:val="24"/>
        </w:rPr>
        <w:t>.</w:t>
      </w:r>
      <w:bookmarkEnd w:id="3"/>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Mason, P. A</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84</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Upper echelons: The organization as a reflection of its top managers. </w:t>
      </w:r>
      <w:r w:rsidR="004E0DDE" w:rsidRPr="005E73C2">
        <w:rPr>
          <w:rFonts w:asciiTheme="majorBidi" w:hAnsiTheme="majorBidi"/>
          <w:i/>
          <w:color w:val="000000" w:themeColor="text1"/>
          <w:sz w:val="24"/>
          <w:szCs w:val="24"/>
        </w:rPr>
        <w:t>Academy of Management Review,</w:t>
      </w:r>
      <w:r w:rsidR="004E0DDE" w:rsidRPr="005E73C2">
        <w:rPr>
          <w:rFonts w:asciiTheme="majorBidi" w:hAnsiTheme="majorBidi"/>
          <w:color w:val="000000" w:themeColor="text1"/>
          <w:sz w:val="24"/>
          <w:szCs w:val="24"/>
        </w:rPr>
        <w:t xml:space="preserve"> 9</w:t>
      </w:r>
      <w:r w:rsidR="006A5E6D">
        <w:rPr>
          <w:rFonts w:asciiTheme="majorBidi" w:hAnsiTheme="majorBidi"/>
          <w:color w:val="000000" w:themeColor="text1"/>
          <w:sz w:val="24"/>
          <w:szCs w:val="24"/>
        </w:rPr>
        <w:t>(2)</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193-206.</w:t>
      </w:r>
    </w:p>
    <w:p w14:paraId="544413FD" w14:textId="77777777" w:rsidR="00CF720D" w:rsidRDefault="00CF720D" w:rsidP="00CF720D">
      <w:pPr>
        <w:pStyle w:val="EndNoteBibliography"/>
        <w:ind w:left="720" w:hanging="720"/>
        <w:rPr>
          <w:rFonts w:asciiTheme="majorBidi" w:hAnsiTheme="majorBidi"/>
          <w:color w:val="000000" w:themeColor="text1"/>
          <w:sz w:val="24"/>
          <w:szCs w:val="24"/>
        </w:rPr>
      </w:pPr>
      <w:r w:rsidRPr="00CF720D">
        <w:rPr>
          <w:rFonts w:asciiTheme="majorBidi" w:hAnsiTheme="majorBidi"/>
          <w:color w:val="000000" w:themeColor="text1"/>
          <w:sz w:val="24"/>
          <w:szCs w:val="24"/>
        </w:rPr>
        <w:t>Healy, P. (1996). Discussion of a market-based evaluation of discretionary accrual models. </w:t>
      </w:r>
      <w:r w:rsidRPr="00CF720D">
        <w:rPr>
          <w:rFonts w:asciiTheme="majorBidi" w:hAnsiTheme="majorBidi"/>
          <w:i/>
          <w:iCs/>
          <w:color w:val="000000" w:themeColor="text1"/>
          <w:sz w:val="24"/>
          <w:szCs w:val="24"/>
        </w:rPr>
        <w:t>Journal of Accounting Research</w:t>
      </w:r>
      <w:r w:rsidRPr="00CF720D">
        <w:rPr>
          <w:rFonts w:asciiTheme="majorBidi" w:hAnsiTheme="majorBidi"/>
          <w:color w:val="000000" w:themeColor="text1"/>
          <w:sz w:val="24"/>
          <w:szCs w:val="24"/>
        </w:rPr>
        <w:t>, </w:t>
      </w:r>
      <w:r w:rsidRPr="00CF720D">
        <w:rPr>
          <w:rFonts w:asciiTheme="majorBidi" w:hAnsiTheme="majorBidi"/>
          <w:i/>
          <w:iCs/>
          <w:color w:val="000000" w:themeColor="text1"/>
          <w:sz w:val="24"/>
          <w:szCs w:val="24"/>
        </w:rPr>
        <w:t>34</w:t>
      </w:r>
      <w:r w:rsidRPr="00CF720D">
        <w:rPr>
          <w:rFonts w:asciiTheme="majorBidi" w:hAnsiTheme="majorBidi"/>
          <w:color w:val="000000" w:themeColor="text1"/>
          <w:sz w:val="24"/>
          <w:szCs w:val="24"/>
        </w:rPr>
        <w:t>, 107-115.</w:t>
      </w:r>
    </w:p>
    <w:p w14:paraId="02CE207A" w14:textId="77777777" w:rsidR="002110AA" w:rsidRDefault="002110AA" w:rsidP="002110AA">
      <w:pPr>
        <w:pStyle w:val="EndNoteBibliography"/>
        <w:ind w:left="720" w:hanging="720"/>
        <w:rPr>
          <w:rFonts w:asciiTheme="majorBidi" w:hAnsiTheme="majorBidi"/>
          <w:color w:val="000000" w:themeColor="text1"/>
          <w:sz w:val="24"/>
          <w:szCs w:val="24"/>
        </w:rPr>
      </w:pPr>
      <w:r w:rsidRPr="000257C7">
        <w:rPr>
          <w:rFonts w:asciiTheme="majorBidi" w:hAnsiTheme="majorBidi"/>
          <w:color w:val="000000" w:themeColor="text1"/>
          <w:sz w:val="24"/>
          <w:szCs w:val="24"/>
          <w:lang w:val="en-GB"/>
        </w:rPr>
        <w:t xml:space="preserve">Henry, E., Hu, N., &amp; Jiang, X. (2020). </w:t>
      </w:r>
      <w:r>
        <w:rPr>
          <w:rFonts w:asciiTheme="majorBidi" w:hAnsiTheme="majorBidi"/>
          <w:color w:val="000000" w:themeColor="text1"/>
          <w:sz w:val="24"/>
          <w:szCs w:val="24"/>
        </w:rPr>
        <w:t xml:space="preserve">Relative emphasis on non-GAAP earnings in conference calls: Determinants and market reaction. </w:t>
      </w:r>
      <w:r>
        <w:rPr>
          <w:rFonts w:asciiTheme="majorBidi" w:hAnsiTheme="majorBidi"/>
          <w:i/>
          <w:iCs/>
          <w:color w:val="000000" w:themeColor="text1"/>
          <w:sz w:val="24"/>
          <w:szCs w:val="24"/>
        </w:rPr>
        <w:t>European Accounting Review,</w:t>
      </w:r>
      <w:r>
        <w:rPr>
          <w:rFonts w:asciiTheme="majorBidi" w:hAnsiTheme="majorBidi"/>
          <w:color w:val="000000" w:themeColor="text1"/>
          <w:sz w:val="24"/>
          <w:szCs w:val="24"/>
        </w:rPr>
        <w:t xml:space="preserve"> 29(1), 169-197.</w:t>
      </w:r>
    </w:p>
    <w:p w14:paraId="62EBF4FE" w14:textId="6351CD76" w:rsidR="004724DD" w:rsidRPr="005E73C2" w:rsidRDefault="004724DD" w:rsidP="00CF720D">
      <w:pPr>
        <w:pStyle w:val="EndNoteBibliography"/>
        <w:ind w:left="720" w:hanging="720"/>
        <w:rPr>
          <w:rFonts w:asciiTheme="majorBidi" w:hAnsiTheme="majorBidi"/>
          <w:color w:val="000000" w:themeColor="text1"/>
          <w:sz w:val="24"/>
          <w:szCs w:val="24"/>
        </w:rPr>
      </w:pPr>
      <w:r w:rsidRPr="004724DD">
        <w:rPr>
          <w:rFonts w:asciiTheme="majorBidi" w:hAnsiTheme="majorBidi"/>
          <w:color w:val="000000" w:themeColor="text1"/>
          <w:sz w:val="24"/>
          <w:szCs w:val="24"/>
        </w:rPr>
        <w:t xml:space="preserve">Hoitash, U. (2011). Should independent board members with social ties to management disqualify themselves from serving on the board?. </w:t>
      </w:r>
      <w:r w:rsidRPr="004724DD">
        <w:rPr>
          <w:rFonts w:asciiTheme="majorBidi" w:hAnsiTheme="majorBidi"/>
          <w:i/>
          <w:iCs/>
          <w:color w:val="000000" w:themeColor="text1"/>
          <w:sz w:val="24"/>
          <w:szCs w:val="24"/>
        </w:rPr>
        <w:t>Journal of Business Ethics,</w:t>
      </w:r>
      <w:r w:rsidRPr="004724DD">
        <w:rPr>
          <w:rFonts w:asciiTheme="majorBidi" w:hAnsiTheme="majorBidi"/>
          <w:color w:val="000000" w:themeColor="text1"/>
          <w:sz w:val="24"/>
          <w:szCs w:val="24"/>
        </w:rPr>
        <w:t xml:space="preserve"> 99, 399-423.</w:t>
      </w:r>
    </w:p>
    <w:p w14:paraId="624899EE" w14:textId="4C5258F3"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Horvath, S</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Morf, C. C</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010).</w:t>
      </w:r>
      <w:r w:rsidR="004E0DDE" w:rsidRPr="005E73C2">
        <w:rPr>
          <w:rFonts w:asciiTheme="majorBidi" w:hAnsiTheme="majorBidi"/>
          <w:color w:val="000000" w:themeColor="text1"/>
          <w:sz w:val="24"/>
          <w:szCs w:val="24"/>
        </w:rPr>
        <w:t xml:space="preserve"> To be grandiose or not to be worthless: Different routes to self-enhancement for narcissism and self-esteem. </w:t>
      </w:r>
      <w:r w:rsidR="004E0DDE" w:rsidRPr="005E73C2">
        <w:rPr>
          <w:rFonts w:asciiTheme="majorBidi" w:hAnsiTheme="majorBidi"/>
          <w:i/>
          <w:color w:val="000000" w:themeColor="text1"/>
          <w:sz w:val="24"/>
          <w:szCs w:val="24"/>
        </w:rPr>
        <w:t>Journal of Research in Personality,</w:t>
      </w:r>
      <w:r w:rsidR="004E0DDE" w:rsidRPr="005E73C2">
        <w:rPr>
          <w:rFonts w:asciiTheme="majorBidi" w:hAnsiTheme="majorBidi"/>
          <w:color w:val="000000" w:themeColor="text1"/>
          <w:sz w:val="24"/>
          <w:szCs w:val="24"/>
        </w:rPr>
        <w:t xml:space="preserve"> 44</w:t>
      </w:r>
      <w:r w:rsidR="006A5E6D">
        <w:rPr>
          <w:rFonts w:asciiTheme="majorBidi" w:hAnsiTheme="majorBidi"/>
          <w:color w:val="000000" w:themeColor="text1"/>
          <w:sz w:val="24"/>
          <w:szCs w:val="24"/>
        </w:rPr>
        <w:t>(5</w:t>
      </w:r>
      <w:r w:rsidR="006A5E6D" w:rsidRPr="00E432C3">
        <w:rPr>
          <w:rFonts w:asciiTheme="majorBidi" w:hAnsiTheme="majorBidi"/>
          <w:color w:val="000000" w:themeColor="text1"/>
          <w:sz w:val="24"/>
          <w:szCs w:val="24"/>
        </w:rPr>
        <w:t>)</w:t>
      </w:r>
      <w:r w:rsidR="004E0DDE" w:rsidRPr="00E432C3">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585-592.</w:t>
      </w:r>
    </w:p>
    <w:p w14:paraId="2E5FDB81" w14:textId="565C3C5B" w:rsidR="004724DD" w:rsidRDefault="004724DD"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Hribar, P., Mergenthaler, R., Roeschley, A., Young, S., &amp; Zhao, C. X. (2022). </w:t>
      </w:r>
      <w:r w:rsidRPr="004724DD">
        <w:rPr>
          <w:rFonts w:asciiTheme="majorBidi" w:hAnsiTheme="majorBidi"/>
          <w:color w:val="000000" w:themeColor="text1"/>
          <w:sz w:val="24"/>
          <w:szCs w:val="24"/>
        </w:rPr>
        <w:t xml:space="preserve">Do managers issue more voluntary disclosure when GAAP limits their reporting discretion in financial statements?. </w:t>
      </w:r>
      <w:r w:rsidRPr="004724DD">
        <w:rPr>
          <w:rFonts w:asciiTheme="majorBidi" w:hAnsiTheme="majorBidi"/>
          <w:i/>
          <w:iCs/>
          <w:color w:val="000000" w:themeColor="text1"/>
          <w:sz w:val="24"/>
          <w:szCs w:val="24"/>
        </w:rPr>
        <w:t>Journal of Accounting Research,</w:t>
      </w:r>
      <w:r w:rsidRPr="004724DD">
        <w:rPr>
          <w:rFonts w:asciiTheme="majorBidi" w:hAnsiTheme="majorBidi"/>
          <w:color w:val="000000" w:themeColor="text1"/>
          <w:sz w:val="24"/>
          <w:szCs w:val="24"/>
        </w:rPr>
        <w:t xml:space="preserve"> 60(1), 299-351.</w:t>
      </w:r>
    </w:p>
    <w:p w14:paraId="2DB391A8" w14:textId="14BBADFC" w:rsidR="0071550F" w:rsidRDefault="0071550F" w:rsidP="002405CE">
      <w:pPr>
        <w:pStyle w:val="EndNoteBibliography"/>
        <w:ind w:left="720" w:hanging="720"/>
        <w:rPr>
          <w:rFonts w:asciiTheme="majorBidi" w:hAnsiTheme="majorBidi"/>
          <w:color w:val="000000" w:themeColor="text1"/>
          <w:sz w:val="24"/>
          <w:szCs w:val="24"/>
        </w:rPr>
      </w:pPr>
      <w:r w:rsidRPr="0071550F">
        <w:rPr>
          <w:rFonts w:asciiTheme="majorBidi" w:hAnsiTheme="majorBidi"/>
          <w:color w:val="000000" w:themeColor="text1"/>
          <w:sz w:val="24"/>
          <w:szCs w:val="24"/>
        </w:rPr>
        <w:t>Hsu, C., Wang, R., &amp; Whipple, B. C. (2022). Non-GAAP earnings and stock price crash risk. </w:t>
      </w:r>
      <w:r w:rsidRPr="0071550F">
        <w:rPr>
          <w:rFonts w:asciiTheme="majorBidi" w:hAnsiTheme="majorBidi"/>
          <w:i/>
          <w:iCs/>
          <w:color w:val="000000" w:themeColor="text1"/>
          <w:sz w:val="24"/>
          <w:szCs w:val="24"/>
        </w:rPr>
        <w:t>Journal of Accounting and Economics,</w:t>
      </w:r>
      <w:r w:rsidRPr="0071550F">
        <w:rPr>
          <w:rFonts w:asciiTheme="majorBidi" w:hAnsiTheme="majorBidi"/>
          <w:color w:val="000000" w:themeColor="text1"/>
          <w:sz w:val="24"/>
          <w:szCs w:val="24"/>
        </w:rPr>
        <w:t> 73(2-3), 101473.</w:t>
      </w:r>
    </w:p>
    <w:p w14:paraId="49BF6121" w14:textId="77777777" w:rsidR="0051255A" w:rsidRDefault="004724DD" w:rsidP="0051255A">
      <w:pPr>
        <w:pStyle w:val="EndNoteBibliography"/>
        <w:ind w:left="720" w:hanging="720"/>
        <w:rPr>
          <w:rFonts w:asciiTheme="majorBidi" w:hAnsiTheme="majorBidi"/>
          <w:color w:val="000000" w:themeColor="text1"/>
          <w:sz w:val="24"/>
          <w:szCs w:val="24"/>
        </w:rPr>
      </w:pPr>
      <w:r w:rsidRPr="004724DD">
        <w:rPr>
          <w:rFonts w:asciiTheme="majorBidi" w:hAnsiTheme="majorBidi" w:hint="eastAsia"/>
          <w:color w:val="000000" w:themeColor="text1"/>
          <w:sz w:val="24"/>
          <w:szCs w:val="24"/>
        </w:rPr>
        <w:t>Jennings, R., &amp; Marques, A. (2011). The joint effects of corporate governance and regulation on the disclosure of manager</w:t>
      </w:r>
      <w:r w:rsidRPr="004724DD">
        <w:rPr>
          <w:rFonts w:asciiTheme="majorBidi" w:hAnsiTheme="majorBidi" w:hint="eastAsia"/>
          <w:color w:val="000000" w:themeColor="text1"/>
          <w:sz w:val="24"/>
          <w:szCs w:val="24"/>
        </w:rPr>
        <w:t>‐</w:t>
      </w:r>
      <w:r w:rsidRPr="004724DD">
        <w:rPr>
          <w:rFonts w:asciiTheme="majorBidi" w:hAnsiTheme="majorBidi" w:hint="eastAsia"/>
          <w:color w:val="000000" w:themeColor="text1"/>
          <w:sz w:val="24"/>
          <w:szCs w:val="24"/>
        </w:rPr>
        <w:t>adjusted non</w:t>
      </w:r>
      <w:r w:rsidRPr="004724DD">
        <w:rPr>
          <w:rFonts w:asciiTheme="majorBidi" w:hAnsiTheme="majorBidi" w:hint="eastAsia"/>
          <w:color w:val="000000" w:themeColor="text1"/>
          <w:sz w:val="24"/>
          <w:szCs w:val="24"/>
        </w:rPr>
        <w:t>‐</w:t>
      </w:r>
      <w:r w:rsidRPr="004724DD">
        <w:rPr>
          <w:rFonts w:asciiTheme="majorBidi" w:hAnsiTheme="majorBidi" w:hint="eastAsia"/>
          <w:color w:val="000000" w:themeColor="text1"/>
          <w:sz w:val="24"/>
          <w:szCs w:val="24"/>
        </w:rPr>
        <w:t xml:space="preserve">GAAP earnings in the US. </w:t>
      </w:r>
      <w:r w:rsidRPr="004724DD">
        <w:rPr>
          <w:rFonts w:asciiTheme="majorBidi" w:hAnsiTheme="majorBidi" w:hint="eastAsia"/>
          <w:i/>
          <w:iCs/>
          <w:color w:val="000000" w:themeColor="text1"/>
          <w:sz w:val="24"/>
          <w:szCs w:val="24"/>
        </w:rPr>
        <w:t xml:space="preserve">Journal of Business Finance </w:t>
      </w:r>
      <w:r>
        <w:rPr>
          <w:rFonts w:asciiTheme="majorBidi" w:hAnsiTheme="majorBidi"/>
          <w:i/>
          <w:iCs/>
          <w:color w:val="000000" w:themeColor="text1"/>
          <w:sz w:val="24"/>
          <w:szCs w:val="24"/>
        </w:rPr>
        <w:t>and</w:t>
      </w:r>
      <w:r w:rsidRPr="004724DD">
        <w:rPr>
          <w:rFonts w:asciiTheme="majorBidi" w:hAnsiTheme="majorBidi" w:hint="eastAsia"/>
          <w:i/>
          <w:iCs/>
          <w:color w:val="000000" w:themeColor="text1"/>
          <w:sz w:val="24"/>
          <w:szCs w:val="24"/>
        </w:rPr>
        <w:t xml:space="preserve"> Accounting,</w:t>
      </w:r>
      <w:r w:rsidRPr="004724DD">
        <w:rPr>
          <w:rFonts w:asciiTheme="majorBidi" w:hAnsiTheme="majorBidi" w:hint="eastAsia"/>
          <w:color w:val="000000" w:themeColor="text1"/>
          <w:sz w:val="24"/>
          <w:szCs w:val="24"/>
        </w:rPr>
        <w:t xml:space="preserve"> 38(3</w:t>
      </w:r>
      <w:r w:rsidRPr="004724DD">
        <w:rPr>
          <w:rFonts w:asciiTheme="majorBidi" w:hAnsiTheme="majorBidi" w:hint="eastAsia"/>
          <w:color w:val="000000" w:themeColor="text1"/>
          <w:sz w:val="24"/>
          <w:szCs w:val="24"/>
        </w:rPr>
        <w:t>‐</w:t>
      </w:r>
      <w:r w:rsidRPr="004724DD">
        <w:rPr>
          <w:rFonts w:asciiTheme="majorBidi" w:hAnsiTheme="majorBidi" w:hint="eastAsia"/>
          <w:color w:val="000000" w:themeColor="text1"/>
          <w:sz w:val="24"/>
          <w:szCs w:val="24"/>
        </w:rPr>
        <w:t>4), 364-394.</w:t>
      </w:r>
    </w:p>
    <w:p w14:paraId="1B8AD18F" w14:textId="340F4B10" w:rsidR="0051255A" w:rsidRPr="0051255A" w:rsidRDefault="0051255A" w:rsidP="0051255A">
      <w:pPr>
        <w:pStyle w:val="EndNoteBibliography"/>
        <w:ind w:left="720" w:hanging="720"/>
        <w:rPr>
          <w:rFonts w:asciiTheme="majorBidi" w:hAnsiTheme="majorBidi"/>
          <w:color w:val="000000" w:themeColor="text1"/>
          <w:sz w:val="24"/>
          <w:szCs w:val="24"/>
        </w:rPr>
      </w:pPr>
      <w:r w:rsidRPr="0051255A">
        <w:rPr>
          <w:rFonts w:asciiTheme="majorBidi" w:hAnsiTheme="majorBidi"/>
          <w:color w:val="000000" w:themeColor="text1"/>
          <w:sz w:val="24"/>
          <w:szCs w:val="24"/>
          <w:lang w:val="de-DE"/>
        </w:rPr>
        <w:t xml:space="preserve">Jensen, M. C., &amp; Meckling, W. H. (1976). </w:t>
      </w:r>
      <w:r w:rsidRPr="0051255A">
        <w:rPr>
          <w:rFonts w:asciiTheme="majorBidi" w:hAnsiTheme="majorBidi"/>
          <w:color w:val="000000" w:themeColor="text1"/>
          <w:sz w:val="24"/>
          <w:szCs w:val="24"/>
          <w:lang w:val="en-GB"/>
        </w:rPr>
        <w:t xml:space="preserve">Theory of the firm: Managerial behavior, agency costs and ownership structure. </w:t>
      </w:r>
      <w:r w:rsidRPr="0051255A">
        <w:rPr>
          <w:rFonts w:asciiTheme="majorBidi" w:hAnsiTheme="majorBidi"/>
          <w:i/>
          <w:iCs/>
          <w:color w:val="000000" w:themeColor="text1"/>
          <w:sz w:val="24"/>
          <w:szCs w:val="24"/>
          <w:lang w:val="en-GB"/>
        </w:rPr>
        <w:t>Journal of Financial Economics,</w:t>
      </w:r>
      <w:r w:rsidRPr="0051255A">
        <w:rPr>
          <w:rFonts w:asciiTheme="majorBidi" w:hAnsiTheme="majorBidi"/>
          <w:color w:val="000000" w:themeColor="text1"/>
          <w:sz w:val="24"/>
          <w:szCs w:val="24"/>
          <w:lang w:val="en-GB"/>
        </w:rPr>
        <w:t xml:space="preserve"> 3(4), 305-360.</w:t>
      </w:r>
    </w:p>
    <w:p w14:paraId="1C95FC0F" w14:textId="77777777" w:rsidR="00EE3E88" w:rsidRDefault="00A52DBF" w:rsidP="00EE3E88">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John, O. P</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Robins, R. W</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94</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Accuracy and bias in self-perception: Individual differences in self-enhancement and the role of narcissism. </w:t>
      </w:r>
      <w:r w:rsidR="004E0DDE" w:rsidRPr="005E73C2">
        <w:rPr>
          <w:rFonts w:asciiTheme="majorBidi" w:hAnsiTheme="majorBidi"/>
          <w:i/>
          <w:color w:val="000000" w:themeColor="text1"/>
          <w:sz w:val="24"/>
          <w:szCs w:val="24"/>
        </w:rPr>
        <w:t>Journal of Personality and Social Psychology,</w:t>
      </w:r>
      <w:r w:rsidR="004E0DDE" w:rsidRPr="005E73C2">
        <w:rPr>
          <w:rFonts w:asciiTheme="majorBidi" w:hAnsiTheme="majorBidi"/>
          <w:color w:val="000000" w:themeColor="text1"/>
          <w:sz w:val="24"/>
          <w:szCs w:val="24"/>
        </w:rPr>
        <w:t xml:space="preserve"> 66</w:t>
      </w:r>
      <w:r w:rsidR="006A5E6D">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206-219.</w:t>
      </w:r>
    </w:p>
    <w:p w14:paraId="1F197909" w14:textId="7266448D"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Jorgenson, D. O</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77</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Signature size and dominance: A brief note. </w:t>
      </w:r>
      <w:r w:rsidR="004E0DDE" w:rsidRPr="005E73C2">
        <w:rPr>
          <w:rFonts w:asciiTheme="majorBidi" w:hAnsiTheme="majorBidi"/>
          <w:i/>
          <w:color w:val="000000" w:themeColor="text1"/>
          <w:sz w:val="24"/>
          <w:szCs w:val="24"/>
        </w:rPr>
        <w:t>The Journal of Psychology,</w:t>
      </w:r>
      <w:r w:rsidR="004E0DDE" w:rsidRPr="005E73C2">
        <w:rPr>
          <w:rFonts w:asciiTheme="majorBidi" w:hAnsiTheme="majorBidi"/>
          <w:color w:val="000000" w:themeColor="text1"/>
          <w:sz w:val="24"/>
          <w:szCs w:val="24"/>
        </w:rPr>
        <w:t xml:space="preserve"> 97</w:t>
      </w:r>
      <w:r w:rsidR="006A5E6D">
        <w:rPr>
          <w:rFonts w:asciiTheme="majorBidi" w:hAnsiTheme="majorBidi"/>
          <w:color w:val="000000" w:themeColor="text1"/>
          <w:sz w:val="24"/>
          <w:szCs w:val="24"/>
        </w:rPr>
        <w:t>(2)</w:t>
      </w:r>
      <w:r w:rsidR="004E0DDE" w:rsidRPr="00E432C3">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269-270.</w:t>
      </w:r>
    </w:p>
    <w:p w14:paraId="5860C889" w14:textId="22A68B43" w:rsidR="00EE3E88" w:rsidRDefault="00EE3E88" w:rsidP="00EE3E88">
      <w:pPr>
        <w:pStyle w:val="EndNoteBibliography"/>
        <w:ind w:left="720" w:hanging="720"/>
        <w:rPr>
          <w:rFonts w:asciiTheme="majorBidi" w:hAnsiTheme="majorBidi"/>
          <w:color w:val="000000" w:themeColor="text1"/>
          <w:sz w:val="24"/>
          <w:szCs w:val="24"/>
        </w:rPr>
      </w:pPr>
      <w:r w:rsidRPr="00EE3E88">
        <w:rPr>
          <w:rFonts w:asciiTheme="majorBidi" w:hAnsiTheme="majorBidi"/>
          <w:color w:val="000000" w:themeColor="text1"/>
          <w:sz w:val="24"/>
          <w:szCs w:val="24"/>
        </w:rPr>
        <w:t xml:space="preserve">Judge, T. A., LePine, J. A., &amp; Rich, B. L. (2006). Loving yourself abundantly: Rlationship of the narcissistic personality to self- and other perceptions of workplace deviance, leadership, and task and contextual performance. </w:t>
      </w:r>
      <w:r w:rsidRPr="00EE3E88">
        <w:rPr>
          <w:rFonts w:asciiTheme="majorBidi" w:hAnsiTheme="majorBidi"/>
          <w:i/>
          <w:iCs/>
          <w:color w:val="000000" w:themeColor="text1"/>
          <w:sz w:val="24"/>
          <w:szCs w:val="24"/>
        </w:rPr>
        <w:t>Journal of Applied Psychology,</w:t>
      </w:r>
      <w:r w:rsidRPr="00EE3E88">
        <w:rPr>
          <w:rFonts w:asciiTheme="majorBidi" w:hAnsiTheme="majorBidi"/>
          <w:color w:val="000000" w:themeColor="text1"/>
          <w:sz w:val="24"/>
          <w:szCs w:val="24"/>
        </w:rPr>
        <w:t xml:space="preserve"> 91(4), 762-776.</w:t>
      </w:r>
    </w:p>
    <w:p w14:paraId="6A394728" w14:textId="77777777" w:rsidR="00EE3E88" w:rsidRPr="005E73C2" w:rsidRDefault="00EE3E88" w:rsidP="00EE3E88">
      <w:pPr>
        <w:pStyle w:val="EndNoteBibliography"/>
        <w:ind w:left="720" w:hanging="720"/>
        <w:rPr>
          <w:rFonts w:asciiTheme="majorBidi" w:hAnsiTheme="majorBidi"/>
          <w:color w:val="000000" w:themeColor="text1"/>
          <w:sz w:val="24"/>
          <w:szCs w:val="24"/>
        </w:rPr>
      </w:pPr>
    </w:p>
    <w:p w14:paraId="2F452051" w14:textId="720B2FE0"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lastRenderedPageBreak/>
        <w:t>Kim, K</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Yang, J. S</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014).</w:t>
      </w:r>
      <w:r w:rsidR="004E0DDE" w:rsidRPr="005E73C2">
        <w:rPr>
          <w:rFonts w:asciiTheme="majorBidi" w:hAnsiTheme="majorBidi"/>
          <w:color w:val="000000" w:themeColor="text1"/>
          <w:sz w:val="24"/>
          <w:szCs w:val="24"/>
        </w:rPr>
        <w:t xml:space="preserve"> Director tenure and financial reporting quality: Evidence from Korea. </w:t>
      </w:r>
      <w:r w:rsidR="004E0DDE" w:rsidRPr="005E73C2">
        <w:rPr>
          <w:rFonts w:asciiTheme="majorBidi" w:hAnsiTheme="majorBidi"/>
          <w:i/>
          <w:color w:val="000000" w:themeColor="text1"/>
          <w:sz w:val="24"/>
          <w:szCs w:val="24"/>
        </w:rPr>
        <w:t>Review of Integrative Business and Economics Research,</w:t>
      </w:r>
      <w:r w:rsidR="004E0DDE" w:rsidRPr="005E73C2">
        <w:rPr>
          <w:rFonts w:asciiTheme="majorBidi" w:hAnsiTheme="majorBidi"/>
          <w:color w:val="000000" w:themeColor="text1"/>
          <w:sz w:val="24"/>
          <w:szCs w:val="24"/>
        </w:rPr>
        <w:t xml:space="preserve"> 3</w:t>
      </w:r>
      <w:r w:rsidR="006A5E6D">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237-256.</w:t>
      </w:r>
    </w:p>
    <w:p w14:paraId="5EBAE849" w14:textId="58D7A8EF" w:rsidR="00002DBF" w:rsidRPr="005E73C2" w:rsidRDefault="00002DBF" w:rsidP="002405CE">
      <w:pPr>
        <w:pStyle w:val="EndNoteBibliography"/>
        <w:ind w:left="720" w:hanging="720"/>
        <w:rPr>
          <w:rFonts w:asciiTheme="majorBidi" w:hAnsiTheme="majorBidi"/>
          <w:color w:val="000000" w:themeColor="text1"/>
          <w:sz w:val="24"/>
          <w:szCs w:val="24"/>
        </w:rPr>
      </w:pPr>
      <w:r w:rsidRPr="00002DBF">
        <w:rPr>
          <w:rFonts w:asciiTheme="majorBidi" w:hAnsiTheme="majorBidi"/>
          <w:color w:val="000000" w:themeColor="text1"/>
          <w:sz w:val="24"/>
          <w:szCs w:val="24"/>
        </w:rPr>
        <w:t>Klein, A. (2002). Audit committee, board of director characteristics, and earnings management. </w:t>
      </w:r>
      <w:r w:rsidRPr="00002DBF">
        <w:rPr>
          <w:rFonts w:asciiTheme="majorBidi" w:hAnsiTheme="majorBidi"/>
          <w:i/>
          <w:iCs/>
          <w:color w:val="000000" w:themeColor="text1"/>
          <w:sz w:val="24"/>
          <w:szCs w:val="24"/>
        </w:rPr>
        <w:t xml:space="preserve">Journal of </w:t>
      </w:r>
      <w:r>
        <w:rPr>
          <w:rFonts w:asciiTheme="majorBidi" w:hAnsiTheme="majorBidi"/>
          <w:i/>
          <w:iCs/>
          <w:color w:val="000000" w:themeColor="text1"/>
          <w:sz w:val="24"/>
          <w:szCs w:val="24"/>
        </w:rPr>
        <w:t>A</w:t>
      </w:r>
      <w:r w:rsidRPr="00002DBF">
        <w:rPr>
          <w:rFonts w:asciiTheme="majorBidi" w:hAnsiTheme="majorBidi"/>
          <w:i/>
          <w:iCs/>
          <w:color w:val="000000" w:themeColor="text1"/>
          <w:sz w:val="24"/>
          <w:szCs w:val="24"/>
        </w:rPr>
        <w:t xml:space="preserve">ccounting and </w:t>
      </w:r>
      <w:r>
        <w:rPr>
          <w:rFonts w:asciiTheme="majorBidi" w:hAnsiTheme="majorBidi"/>
          <w:i/>
          <w:iCs/>
          <w:color w:val="000000" w:themeColor="text1"/>
          <w:sz w:val="24"/>
          <w:szCs w:val="24"/>
        </w:rPr>
        <w:t>E</w:t>
      </w:r>
      <w:r w:rsidRPr="00002DBF">
        <w:rPr>
          <w:rFonts w:asciiTheme="majorBidi" w:hAnsiTheme="majorBidi"/>
          <w:i/>
          <w:iCs/>
          <w:color w:val="000000" w:themeColor="text1"/>
          <w:sz w:val="24"/>
          <w:szCs w:val="24"/>
        </w:rPr>
        <w:t>conomics,</w:t>
      </w:r>
      <w:r w:rsidRPr="00002DBF">
        <w:rPr>
          <w:rFonts w:asciiTheme="majorBidi" w:hAnsiTheme="majorBidi"/>
          <w:color w:val="000000" w:themeColor="text1"/>
          <w:sz w:val="24"/>
          <w:szCs w:val="24"/>
        </w:rPr>
        <w:t> 33(3), 375-400.</w:t>
      </w:r>
    </w:p>
    <w:p w14:paraId="09F5994C" w14:textId="30F8B2D4" w:rsidR="004E0DDE" w:rsidRDefault="00A52DBF" w:rsidP="002405CE">
      <w:pPr>
        <w:pStyle w:val="EndNoteBibliography"/>
        <w:ind w:left="720" w:hanging="720"/>
        <w:rPr>
          <w:rFonts w:asciiTheme="majorBidi" w:hAnsiTheme="majorBidi"/>
          <w:color w:val="000000" w:themeColor="text1"/>
          <w:sz w:val="24"/>
          <w:szCs w:val="24"/>
        </w:rPr>
      </w:pPr>
      <w:r w:rsidRPr="00F22DFB">
        <w:rPr>
          <w:rFonts w:asciiTheme="majorBidi" w:hAnsiTheme="majorBidi"/>
          <w:color w:val="000000" w:themeColor="text1"/>
          <w:sz w:val="24"/>
          <w:szCs w:val="24"/>
          <w:lang w:val="es-ES"/>
        </w:rPr>
        <w:t xml:space="preserve">Kolev, K., Marquardt, C. A., &amp; Mcvay, S. E. </w:t>
      </w:r>
      <w:r w:rsidR="00C043A3">
        <w:rPr>
          <w:rFonts w:asciiTheme="majorBidi" w:hAnsiTheme="majorBidi"/>
          <w:color w:val="000000" w:themeColor="text1"/>
          <w:sz w:val="24"/>
          <w:szCs w:val="24"/>
        </w:rPr>
        <w:t>(2</w:t>
      </w:r>
      <w:r w:rsidR="004E0DDE" w:rsidRPr="005E73C2">
        <w:rPr>
          <w:rFonts w:asciiTheme="majorBidi" w:hAnsiTheme="majorBidi"/>
          <w:color w:val="000000" w:themeColor="text1"/>
          <w:sz w:val="24"/>
          <w:szCs w:val="24"/>
        </w:rPr>
        <w:t>008</w:t>
      </w:r>
      <w:r w:rsidR="00486298">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SEC scrutiny and the evolution of </w:t>
      </w:r>
      <w:r w:rsidR="006A5E6D">
        <w:rPr>
          <w:rFonts w:asciiTheme="majorBidi" w:hAnsiTheme="majorBidi"/>
          <w:color w:val="000000" w:themeColor="text1"/>
          <w:sz w:val="24"/>
          <w:szCs w:val="24"/>
        </w:rPr>
        <w:t>n</w:t>
      </w:r>
      <w:r w:rsidR="004E0DDE" w:rsidRPr="005E73C2">
        <w:rPr>
          <w:rFonts w:asciiTheme="majorBidi" w:hAnsiTheme="majorBidi"/>
          <w:color w:val="000000" w:themeColor="text1"/>
          <w:sz w:val="24"/>
          <w:szCs w:val="24"/>
        </w:rPr>
        <w:t xml:space="preserve">on-GAAP reporting.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83</w:t>
      </w:r>
      <w:r w:rsidR="006A5E6D">
        <w:rPr>
          <w:rFonts w:asciiTheme="majorBidi" w:hAnsiTheme="majorBidi"/>
          <w:color w:val="000000" w:themeColor="text1"/>
          <w:sz w:val="24"/>
          <w:szCs w:val="24"/>
        </w:rPr>
        <w:t>(1)</w:t>
      </w:r>
      <w:r w:rsidR="004E0DDE" w:rsidRPr="00E432C3">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157-184.</w:t>
      </w:r>
    </w:p>
    <w:p w14:paraId="7B32421B" w14:textId="13F787C3" w:rsidR="00486298" w:rsidRPr="005E73C2" w:rsidRDefault="00486298"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Krishnamoorthy, G., Bruynseels, L., De Groote, S., Wright, A. M., &amp; Van Peteghem, M. (2023). </w:t>
      </w:r>
      <w:r w:rsidRPr="00486298">
        <w:rPr>
          <w:rFonts w:asciiTheme="majorBidi" w:hAnsiTheme="majorBidi"/>
          <w:color w:val="000000" w:themeColor="text1"/>
          <w:sz w:val="24"/>
          <w:szCs w:val="24"/>
        </w:rPr>
        <w:t xml:space="preserve">The accounting financial expertise of the audit committee chair and oversight effectiveness. </w:t>
      </w:r>
      <w:r w:rsidRPr="00486298">
        <w:rPr>
          <w:rFonts w:asciiTheme="majorBidi" w:hAnsiTheme="majorBidi"/>
          <w:i/>
          <w:iCs/>
          <w:color w:val="000000" w:themeColor="text1"/>
          <w:sz w:val="24"/>
          <w:szCs w:val="24"/>
        </w:rPr>
        <w:t xml:space="preserve">Auditing: A Journal of Practice </w:t>
      </w:r>
      <w:r w:rsidR="006224B3">
        <w:rPr>
          <w:rFonts w:asciiTheme="majorBidi" w:hAnsiTheme="majorBidi"/>
          <w:i/>
          <w:iCs/>
          <w:color w:val="000000" w:themeColor="text1"/>
          <w:sz w:val="24"/>
          <w:szCs w:val="24"/>
        </w:rPr>
        <w:t>and</w:t>
      </w:r>
      <w:r w:rsidRPr="00486298">
        <w:rPr>
          <w:rFonts w:asciiTheme="majorBidi" w:hAnsiTheme="majorBidi"/>
          <w:i/>
          <w:iCs/>
          <w:color w:val="000000" w:themeColor="text1"/>
          <w:sz w:val="24"/>
          <w:szCs w:val="24"/>
        </w:rPr>
        <w:t xml:space="preserve"> Theory,</w:t>
      </w:r>
      <w:r w:rsidRPr="00486298">
        <w:rPr>
          <w:rFonts w:asciiTheme="majorBidi" w:hAnsiTheme="majorBidi"/>
          <w:color w:val="000000" w:themeColor="text1"/>
          <w:sz w:val="24"/>
          <w:szCs w:val="24"/>
        </w:rPr>
        <w:t xml:space="preserve"> 42(1), 75-100.</w:t>
      </w:r>
    </w:p>
    <w:p w14:paraId="1DBFEF54" w14:textId="1512FA9A" w:rsidR="00F76993" w:rsidRDefault="00F76993"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Lara, J. M. G., Osma, B. G., Mora, A., &amp; Scapin, M. (2017). </w:t>
      </w:r>
      <w:r w:rsidRPr="00F76993">
        <w:rPr>
          <w:rFonts w:asciiTheme="majorBidi" w:hAnsiTheme="majorBidi"/>
          <w:color w:val="000000" w:themeColor="text1"/>
          <w:sz w:val="24"/>
          <w:szCs w:val="24"/>
        </w:rPr>
        <w:t>The monitoring role of female directors over accounting quality. </w:t>
      </w:r>
      <w:r w:rsidRPr="00F76993">
        <w:rPr>
          <w:rFonts w:asciiTheme="majorBidi" w:hAnsiTheme="majorBidi"/>
          <w:i/>
          <w:iCs/>
          <w:color w:val="000000" w:themeColor="text1"/>
          <w:sz w:val="24"/>
          <w:szCs w:val="24"/>
        </w:rPr>
        <w:t>Journal of Corporate Finance,</w:t>
      </w:r>
      <w:r w:rsidRPr="00F76993">
        <w:rPr>
          <w:rFonts w:asciiTheme="majorBidi" w:hAnsiTheme="majorBidi"/>
          <w:color w:val="000000" w:themeColor="text1"/>
          <w:sz w:val="24"/>
          <w:szCs w:val="24"/>
        </w:rPr>
        <w:t> 45, 651-668.</w:t>
      </w:r>
    </w:p>
    <w:p w14:paraId="677EEF61" w14:textId="5474A87B" w:rsidR="00F76993" w:rsidRDefault="00F76993" w:rsidP="002405CE">
      <w:pPr>
        <w:pStyle w:val="EndNoteBibliography"/>
        <w:ind w:left="720" w:hanging="720"/>
        <w:rPr>
          <w:rFonts w:asciiTheme="majorBidi" w:hAnsiTheme="majorBidi"/>
          <w:color w:val="000000" w:themeColor="text1"/>
          <w:sz w:val="24"/>
          <w:szCs w:val="24"/>
        </w:rPr>
      </w:pPr>
      <w:r w:rsidRPr="00F76993">
        <w:rPr>
          <w:rFonts w:asciiTheme="majorBidi" w:hAnsiTheme="majorBidi"/>
          <w:color w:val="000000" w:themeColor="text1"/>
          <w:sz w:val="24"/>
          <w:szCs w:val="24"/>
        </w:rPr>
        <w:t>Larcker, D. F., Richardson, S. A., Seary, A., &amp; Tuna, A. (2005). Back door links between directors and executive compensation. </w:t>
      </w:r>
      <w:r w:rsidR="00B25134" w:rsidRPr="005E73C2">
        <w:rPr>
          <w:rFonts w:asciiTheme="majorBidi" w:hAnsiTheme="majorBidi"/>
          <w:color w:val="000000" w:themeColor="text1"/>
          <w:sz w:val="24"/>
          <w:szCs w:val="24"/>
        </w:rPr>
        <w:t>SSRN working paper.</w:t>
      </w:r>
    </w:p>
    <w:p w14:paraId="46725CE2" w14:textId="5B8DACD0" w:rsidR="00002DBF" w:rsidRDefault="00002DBF" w:rsidP="002405CE">
      <w:pPr>
        <w:pStyle w:val="EndNoteBibliography"/>
        <w:ind w:left="720" w:hanging="720"/>
        <w:rPr>
          <w:rFonts w:asciiTheme="majorBidi" w:hAnsiTheme="majorBidi"/>
          <w:color w:val="000000" w:themeColor="text1"/>
          <w:sz w:val="24"/>
          <w:szCs w:val="24"/>
        </w:rPr>
      </w:pPr>
      <w:r w:rsidRPr="00002DBF">
        <w:rPr>
          <w:rFonts w:asciiTheme="majorBidi" w:hAnsiTheme="majorBidi"/>
          <w:color w:val="000000" w:themeColor="text1"/>
          <w:sz w:val="24"/>
          <w:szCs w:val="24"/>
        </w:rPr>
        <w:t>Laurion, H., &amp; Sloan, R. (2022). When does forecasting GAAP earnings entail unreasonable effort?. </w:t>
      </w:r>
      <w:r w:rsidRPr="00002DBF">
        <w:rPr>
          <w:rFonts w:asciiTheme="majorBidi" w:hAnsiTheme="majorBidi"/>
          <w:i/>
          <w:iCs/>
          <w:color w:val="000000" w:themeColor="text1"/>
          <w:sz w:val="24"/>
          <w:szCs w:val="24"/>
        </w:rPr>
        <w:t>Journal of Accounting and Economics,</w:t>
      </w:r>
      <w:r w:rsidRPr="00002DBF">
        <w:rPr>
          <w:rFonts w:asciiTheme="majorBidi" w:hAnsiTheme="majorBidi"/>
          <w:color w:val="000000" w:themeColor="text1"/>
          <w:sz w:val="24"/>
          <w:szCs w:val="24"/>
        </w:rPr>
        <w:t> 73(1), 101437.</w:t>
      </w:r>
    </w:p>
    <w:p w14:paraId="26EC1ACB" w14:textId="77777777" w:rsidR="002110AA" w:rsidRDefault="002110AA" w:rsidP="002405CE">
      <w:pPr>
        <w:pStyle w:val="EndNoteBibliography"/>
        <w:ind w:left="720" w:hanging="720"/>
        <w:rPr>
          <w:rFonts w:asciiTheme="majorBidi" w:hAnsiTheme="majorBidi"/>
          <w:color w:val="000000" w:themeColor="text1"/>
          <w:sz w:val="24"/>
          <w:szCs w:val="24"/>
        </w:rPr>
      </w:pPr>
      <w:r>
        <w:rPr>
          <w:rFonts w:asciiTheme="majorBidi" w:hAnsiTheme="majorBidi"/>
          <w:color w:val="000000" w:themeColor="text1"/>
          <w:sz w:val="24"/>
          <w:szCs w:val="24"/>
        </w:rPr>
        <w:t>Lee, C. H. (2022). Non</w:t>
      </w:r>
      <w:r>
        <w:rPr>
          <w:rFonts w:asciiTheme="majorBidi" w:hAnsiTheme="majorBidi" w:hint="eastAsia"/>
          <w:color w:val="000000" w:themeColor="text1"/>
          <w:sz w:val="24"/>
          <w:szCs w:val="24"/>
        </w:rPr>
        <w:t>‐</w:t>
      </w:r>
      <w:r>
        <w:rPr>
          <w:rFonts w:asciiTheme="majorBidi" w:hAnsiTheme="majorBidi"/>
          <w:color w:val="000000" w:themeColor="text1"/>
          <w:sz w:val="24"/>
          <w:szCs w:val="24"/>
        </w:rPr>
        <w:t>generally accepted accounting principles disclosures and audit committee chairs</w:t>
      </w:r>
      <w:r>
        <w:rPr>
          <w:rFonts w:asciiTheme="majorBidi" w:hAnsiTheme="majorBidi" w:hint="eastAsia"/>
          <w:color w:val="000000" w:themeColor="text1"/>
          <w:sz w:val="24"/>
          <w:szCs w:val="24"/>
        </w:rPr>
        <w:t>’</w:t>
      </w:r>
      <w:r>
        <w:rPr>
          <w:rFonts w:asciiTheme="majorBidi" w:hAnsiTheme="majorBidi"/>
          <w:color w:val="000000" w:themeColor="text1"/>
          <w:sz w:val="24"/>
          <w:szCs w:val="24"/>
        </w:rPr>
        <w:t xml:space="preserve"> external directorships.</w:t>
      </w:r>
      <w:r>
        <w:rPr>
          <w:rFonts w:asciiTheme="majorBidi" w:hAnsiTheme="majorBidi"/>
          <w:i/>
          <w:iCs/>
          <w:color w:val="000000" w:themeColor="text1"/>
          <w:sz w:val="24"/>
          <w:szCs w:val="24"/>
        </w:rPr>
        <w:t xml:space="preserve"> Journal of Business Finance and Accounting,</w:t>
      </w:r>
      <w:r>
        <w:rPr>
          <w:rFonts w:asciiTheme="majorBidi" w:hAnsiTheme="majorBidi"/>
          <w:color w:val="000000" w:themeColor="text1"/>
          <w:sz w:val="24"/>
          <w:szCs w:val="24"/>
        </w:rPr>
        <w:t xml:space="preserve"> 49(1-2), 111-139.</w:t>
      </w:r>
    </w:p>
    <w:p w14:paraId="13E91713" w14:textId="1AB8188B" w:rsidR="004724DD" w:rsidRPr="005E73C2" w:rsidRDefault="004724DD" w:rsidP="002405CE">
      <w:pPr>
        <w:pStyle w:val="EndNoteBibliography"/>
        <w:ind w:left="720" w:hanging="720"/>
        <w:rPr>
          <w:rFonts w:asciiTheme="majorBidi" w:hAnsiTheme="majorBidi"/>
          <w:color w:val="000000" w:themeColor="text1"/>
          <w:sz w:val="24"/>
          <w:szCs w:val="24"/>
        </w:rPr>
      </w:pPr>
      <w:r w:rsidRPr="004724DD">
        <w:rPr>
          <w:rFonts w:asciiTheme="majorBidi" w:hAnsiTheme="majorBidi"/>
          <w:color w:val="000000" w:themeColor="text1"/>
          <w:sz w:val="24"/>
          <w:szCs w:val="24"/>
        </w:rPr>
        <w:t xml:space="preserve">Lisic, L. L., Neal, T. L., Zhang, I. X., &amp; Zhang, Y. (2016). CEO power, internal control quality, and audit committee effectiveness in substance versus in form. </w:t>
      </w:r>
      <w:r w:rsidRPr="004724DD">
        <w:rPr>
          <w:rFonts w:asciiTheme="majorBidi" w:hAnsiTheme="majorBidi"/>
          <w:i/>
          <w:iCs/>
          <w:color w:val="000000" w:themeColor="text1"/>
          <w:sz w:val="24"/>
          <w:szCs w:val="24"/>
        </w:rPr>
        <w:t>Contemporary Accounting Research,</w:t>
      </w:r>
      <w:r w:rsidRPr="004724DD">
        <w:rPr>
          <w:rFonts w:asciiTheme="majorBidi" w:hAnsiTheme="majorBidi"/>
          <w:color w:val="000000" w:themeColor="text1"/>
          <w:sz w:val="24"/>
          <w:szCs w:val="24"/>
        </w:rPr>
        <w:t xml:space="preserve"> 33(3), 1199-1237.</w:t>
      </w:r>
    </w:p>
    <w:p w14:paraId="0B15D32F" w14:textId="155D82E5"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Liu, G</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Sun, J</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010).</w:t>
      </w:r>
      <w:r w:rsidR="004E0DDE" w:rsidRPr="005E73C2">
        <w:rPr>
          <w:rFonts w:asciiTheme="majorBidi" w:hAnsiTheme="majorBidi"/>
          <w:color w:val="000000" w:themeColor="text1"/>
          <w:sz w:val="24"/>
          <w:szCs w:val="24"/>
        </w:rPr>
        <w:t xml:space="preserve"> Director tenure and independent audit committee effectiveness. </w:t>
      </w:r>
      <w:r w:rsidR="004E0DDE" w:rsidRPr="005E73C2">
        <w:rPr>
          <w:rFonts w:asciiTheme="majorBidi" w:hAnsiTheme="majorBidi"/>
          <w:i/>
          <w:color w:val="000000" w:themeColor="text1"/>
          <w:sz w:val="24"/>
          <w:szCs w:val="24"/>
        </w:rPr>
        <w:t xml:space="preserve">International Research Journal of Finance and Economics </w:t>
      </w:r>
      <w:r w:rsidR="004E0DDE" w:rsidRPr="005E73C2">
        <w:rPr>
          <w:rFonts w:asciiTheme="majorBidi" w:hAnsiTheme="majorBidi"/>
          <w:color w:val="000000" w:themeColor="text1"/>
          <w:sz w:val="24"/>
          <w:szCs w:val="24"/>
        </w:rPr>
        <w:t>51</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176-189.</w:t>
      </w:r>
    </w:p>
    <w:p w14:paraId="5F5378A8" w14:textId="6B942059"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Lougee, B. A</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Marquardt, C. A</w:t>
      </w:r>
      <w:r w:rsidR="00C043A3">
        <w:rPr>
          <w:rFonts w:asciiTheme="majorBidi" w:hAnsiTheme="majorBidi"/>
          <w:color w:val="000000" w:themeColor="text1"/>
          <w:sz w:val="24"/>
          <w:szCs w:val="24"/>
        </w:rPr>
        <w:t>. (2</w:t>
      </w:r>
      <w:r w:rsidR="0089160E">
        <w:rPr>
          <w:rFonts w:asciiTheme="majorBidi" w:hAnsiTheme="majorBidi"/>
          <w:color w:val="000000" w:themeColor="text1"/>
          <w:sz w:val="24"/>
          <w:szCs w:val="24"/>
        </w:rPr>
        <w:t>004).</w:t>
      </w:r>
      <w:r w:rsidR="004E0DDE" w:rsidRPr="005E73C2">
        <w:rPr>
          <w:rFonts w:asciiTheme="majorBidi" w:hAnsiTheme="majorBidi"/>
          <w:color w:val="000000" w:themeColor="text1"/>
          <w:sz w:val="24"/>
          <w:szCs w:val="24"/>
        </w:rPr>
        <w:t xml:space="preserve"> Earnings informativeness and strategic disclosure: An empirical examination of "</w:t>
      </w:r>
      <w:r w:rsidR="001D4953">
        <w:rPr>
          <w:rFonts w:asciiTheme="majorBidi" w:hAnsiTheme="majorBidi"/>
          <w:color w:val="000000" w:themeColor="text1"/>
          <w:sz w:val="24"/>
          <w:szCs w:val="24"/>
        </w:rPr>
        <w:t>P</w:t>
      </w:r>
      <w:r w:rsidR="004E0DDE" w:rsidRPr="005E73C2">
        <w:rPr>
          <w:rFonts w:asciiTheme="majorBidi" w:hAnsiTheme="majorBidi"/>
          <w:color w:val="000000" w:themeColor="text1"/>
          <w:sz w:val="24"/>
          <w:szCs w:val="24"/>
        </w:rPr>
        <w:t xml:space="preserve">ro forma" earnings.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79</w:t>
      </w:r>
      <w:r w:rsidR="001D4953">
        <w:rPr>
          <w:rFonts w:asciiTheme="majorBidi" w:hAnsiTheme="majorBidi"/>
          <w:color w:val="000000" w:themeColor="text1"/>
          <w:sz w:val="24"/>
          <w:szCs w:val="24"/>
        </w:rPr>
        <w:t>(3)</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769-795.</w:t>
      </w:r>
    </w:p>
    <w:p w14:paraId="1B7EA1B0" w14:textId="57F0B63A" w:rsidR="006015BF" w:rsidRPr="005E73C2" w:rsidRDefault="006015BF" w:rsidP="002405CE">
      <w:pPr>
        <w:pStyle w:val="EndNoteBibliography"/>
        <w:ind w:left="720" w:hanging="720"/>
        <w:rPr>
          <w:rFonts w:asciiTheme="majorBidi" w:hAnsiTheme="majorBidi"/>
          <w:color w:val="000000" w:themeColor="text1"/>
          <w:sz w:val="24"/>
          <w:szCs w:val="24"/>
        </w:rPr>
      </w:pPr>
      <w:r w:rsidRPr="00D85FF2">
        <w:rPr>
          <w:rFonts w:asciiTheme="majorBidi" w:hAnsiTheme="majorBidi"/>
          <w:color w:val="000000" w:themeColor="text1"/>
          <w:sz w:val="24"/>
          <w:szCs w:val="24"/>
        </w:rPr>
        <w:t xml:space="preserve">Lu, Y., Ntim, C. G., Zhang, Q., &amp; Li, P. (2022). </w:t>
      </w:r>
      <w:r w:rsidRPr="006015BF">
        <w:rPr>
          <w:rFonts w:asciiTheme="majorBidi" w:hAnsiTheme="majorBidi"/>
          <w:color w:val="000000" w:themeColor="text1"/>
          <w:sz w:val="24"/>
          <w:szCs w:val="24"/>
        </w:rPr>
        <w:t xml:space="preserve">Board of directors’ attributes and corporate outcomes: A systematic literature review and future research agenda. </w:t>
      </w:r>
      <w:r w:rsidRPr="00BE3A84">
        <w:rPr>
          <w:rFonts w:asciiTheme="majorBidi" w:eastAsiaTheme="majorEastAsia" w:hAnsiTheme="majorBidi" w:cstheme="majorBidi"/>
          <w:i/>
          <w:iCs/>
          <w:noProof w:val="0"/>
          <w:color w:val="000000" w:themeColor="text1"/>
          <w:sz w:val="24"/>
          <w:szCs w:val="24"/>
        </w:rPr>
        <w:t>International Review of Financial Analysis</w:t>
      </w:r>
      <w:r w:rsidRPr="006015BF">
        <w:rPr>
          <w:rFonts w:asciiTheme="majorBidi" w:hAnsiTheme="majorBidi"/>
          <w:color w:val="000000" w:themeColor="text1"/>
          <w:sz w:val="24"/>
          <w:szCs w:val="24"/>
        </w:rPr>
        <w:t>, 84, 102424.</w:t>
      </w:r>
    </w:p>
    <w:p w14:paraId="2048A2EB" w14:textId="74329195" w:rsidR="004E0DDE" w:rsidRPr="005E73C2" w:rsidRDefault="00A52DBF" w:rsidP="002405CE">
      <w:pPr>
        <w:pStyle w:val="EndNoteBibliography"/>
        <w:ind w:left="720" w:hanging="720"/>
        <w:rPr>
          <w:rFonts w:asciiTheme="majorBidi" w:hAnsiTheme="majorBidi"/>
          <w:color w:val="000000" w:themeColor="text1"/>
          <w:sz w:val="24"/>
          <w:szCs w:val="24"/>
        </w:rPr>
      </w:pPr>
      <w:r w:rsidRPr="00F22DFB">
        <w:rPr>
          <w:rFonts w:asciiTheme="majorBidi" w:hAnsiTheme="majorBidi"/>
          <w:color w:val="000000" w:themeColor="text1"/>
          <w:sz w:val="24"/>
          <w:szCs w:val="24"/>
          <w:lang w:val="es-ES"/>
        </w:rPr>
        <w:t xml:space="preserve">Mailhos, A., Buunk, A. P., &amp; Cabana, Á.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016).</w:t>
      </w:r>
      <w:r w:rsidR="004E0DDE" w:rsidRPr="005E73C2">
        <w:rPr>
          <w:rFonts w:asciiTheme="majorBidi" w:hAnsiTheme="majorBidi"/>
          <w:color w:val="000000" w:themeColor="text1"/>
          <w:sz w:val="24"/>
          <w:szCs w:val="24"/>
        </w:rPr>
        <w:t xml:space="preserve"> Signature size signals sociable dominance and narcissism. </w:t>
      </w:r>
      <w:r w:rsidR="004E0DDE" w:rsidRPr="005E73C2">
        <w:rPr>
          <w:rFonts w:asciiTheme="majorBidi" w:hAnsiTheme="majorBidi"/>
          <w:i/>
          <w:color w:val="000000" w:themeColor="text1"/>
          <w:sz w:val="24"/>
          <w:szCs w:val="24"/>
        </w:rPr>
        <w:t>Journal of Research in Personality,</w:t>
      </w:r>
      <w:r w:rsidR="004E0DDE" w:rsidRPr="005E73C2">
        <w:rPr>
          <w:rFonts w:asciiTheme="majorBidi" w:hAnsiTheme="majorBidi"/>
          <w:color w:val="000000" w:themeColor="text1"/>
          <w:sz w:val="24"/>
          <w:szCs w:val="24"/>
        </w:rPr>
        <w:t xml:space="preserve"> 65</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43-51.</w:t>
      </w:r>
    </w:p>
    <w:p w14:paraId="4922E559" w14:textId="65C95DF8" w:rsidR="00F76993" w:rsidRPr="005E73C2" w:rsidRDefault="00F76993" w:rsidP="002110AA">
      <w:pPr>
        <w:pStyle w:val="EndNoteBibliography"/>
        <w:ind w:left="720" w:hanging="720"/>
        <w:rPr>
          <w:rFonts w:asciiTheme="majorBidi" w:hAnsiTheme="majorBidi"/>
          <w:color w:val="000000" w:themeColor="text1"/>
          <w:sz w:val="24"/>
          <w:szCs w:val="24"/>
        </w:rPr>
      </w:pPr>
      <w:r w:rsidRPr="00F76993">
        <w:rPr>
          <w:rFonts w:asciiTheme="majorBidi" w:hAnsiTheme="majorBidi"/>
          <w:color w:val="000000" w:themeColor="text1"/>
          <w:sz w:val="24"/>
          <w:szCs w:val="24"/>
        </w:rPr>
        <w:t>Masulis, R. W., &amp; Mobbs, S. (2011). Are all inside directors the same? Evidence from the external directorship market. </w:t>
      </w:r>
      <w:r w:rsidR="002110AA" w:rsidRPr="002110AA">
        <w:rPr>
          <w:rFonts w:asciiTheme="majorBidi" w:hAnsiTheme="majorBidi"/>
          <w:i/>
          <w:iCs/>
          <w:color w:val="000000" w:themeColor="text1"/>
          <w:sz w:val="24"/>
          <w:szCs w:val="24"/>
        </w:rPr>
        <w:t>T</w:t>
      </w:r>
      <w:r w:rsidRPr="00F76993">
        <w:rPr>
          <w:rFonts w:asciiTheme="majorBidi" w:hAnsiTheme="majorBidi"/>
          <w:i/>
          <w:iCs/>
          <w:color w:val="000000" w:themeColor="text1"/>
          <w:sz w:val="24"/>
          <w:szCs w:val="24"/>
        </w:rPr>
        <w:t>he Journal of Finance</w:t>
      </w:r>
      <w:r w:rsidRPr="00551C98">
        <w:rPr>
          <w:rFonts w:asciiTheme="majorBidi" w:hAnsiTheme="majorBidi"/>
          <w:i/>
          <w:iCs/>
          <w:color w:val="000000" w:themeColor="text1"/>
          <w:sz w:val="24"/>
          <w:szCs w:val="24"/>
        </w:rPr>
        <w:t>,</w:t>
      </w:r>
      <w:r w:rsidRPr="00F76993">
        <w:rPr>
          <w:rFonts w:asciiTheme="majorBidi" w:hAnsiTheme="majorBidi"/>
          <w:color w:val="000000" w:themeColor="text1"/>
          <w:sz w:val="24"/>
          <w:szCs w:val="24"/>
        </w:rPr>
        <w:t> </w:t>
      </w:r>
      <w:r w:rsidRPr="00551C98">
        <w:rPr>
          <w:rFonts w:asciiTheme="majorBidi" w:hAnsiTheme="majorBidi"/>
          <w:color w:val="000000" w:themeColor="text1"/>
          <w:sz w:val="24"/>
          <w:szCs w:val="24"/>
        </w:rPr>
        <w:t>66</w:t>
      </w:r>
      <w:r w:rsidRPr="00F76993">
        <w:rPr>
          <w:rFonts w:asciiTheme="majorBidi" w:hAnsiTheme="majorBidi"/>
          <w:color w:val="000000" w:themeColor="text1"/>
          <w:sz w:val="24"/>
          <w:szCs w:val="24"/>
        </w:rPr>
        <w:t>(3), 823-872.</w:t>
      </w:r>
    </w:p>
    <w:p w14:paraId="4B9C78E8" w14:textId="11FAD75D"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Mc</w:t>
      </w:r>
      <w:r>
        <w:rPr>
          <w:rFonts w:asciiTheme="majorBidi" w:hAnsiTheme="majorBidi"/>
          <w:color w:val="000000" w:themeColor="text1"/>
          <w:sz w:val="24"/>
          <w:szCs w:val="24"/>
        </w:rPr>
        <w:t>V</w:t>
      </w:r>
      <w:r w:rsidRPr="005E73C2">
        <w:rPr>
          <w:rFonts w:asciiTheme="majorBidi" w:hAnsiTheme="majorBidi"/>
          <w:color w:val="000000" w:themeColor="text1"/>
          <w:sz w:val="24"/>
          <w:szCs w:val="24"/>
        </w:rPr>
        <w:t>ay, S. E., Curtis, A. B</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Whipple, B. C</w:t>
      </w:r>
      <w:r w:rsidR="00C043A3">
        <w:rPr>
          <w:rFonts w:asciiTheme="majorBidi" w:hAnsiTheme="majorBidi"/>
          <w:color w:val="000000" w:themeColor="text1"/>
          <w:sz w:val="24"/>
          <w:szCs w:val="24"/>
        </w:rPr>
        <w:t>. (2</w:t>
      </w:r>
      <w:r w:rsidR="0089160E">
        <w:rPr>
          <w:rFonts w:asciiTheme="majorBidi" w:hAnsiTheme="majorBidi"/>
          <w:color w:val="000000" w:themeColor="text1"/>
          <w:sz w:val="24"/>
          <w:szCs w:val="24"/>
        </w:rPr>
        <w:t>014).</w:t>
      </w:r>
      <w:r w:rsidR="004E0DDE" w:rsidRPr="005E73C2">
        <w:rPr>
          <w:rFonts w:asciiTheme="majorBidi" w:hAnsiTheme="majorBidi"/>
          <w:color w:val="000000" w:themeColor="text1"/>
          <w:sz w:val="24"/>
          <w:szCs w:val="24"/>
        </w:rPr>
        <w:t xml:space="preserve"> The disclosure of Non-GAAP Earnings information in the presence of transitory gains. </w:t>
      </w:r>
      <w:r w:rsidR="004E0DDE" w:rsidRPr="005E73C2">
        <w:rPr>
          <w:rFonts w:asciiTheme="majorBidi" w:hAnsiTheme="majorBidi"/>
          <w:i/>
          <w:color w:val="000000" w:themeColor="text1"/>
          <w:sz w:val="24"/>
          <w:szCs w:val="24"/>
        </w:rPr>
        <w:t>The Accounting Review,</w:t>
      </w:r>
      <w:r w:rsidR="004E0DDE" w:rsidRPr="005E73C2">
        <w:rPr>
          <w:rFonts w:asciiTheme="majorBidi" w:hAnsiTheme="majorBidi"/>
          <w:color w:val="000000" w:themeColor="text1"/>
          <w:sz w:val="24"/>
          <w:szCs w:val="24"/>
        </w:rPr>
        <w:t xml:space="preserve"> 89</w:t>
      </w:r>
      <w:r w:rsidR="001D4953">
        <w:rPr>
          <w:rFonts w:asciiTheme="majorBidi" w:hAnsiTheme="majorBidi"/>
          <w:color w:val="000000" w:themeColor="text1"/>
          <w:sz w:val="24"/>
          <w:szCs w:val="24"/>
        </w:rPr>
        <w:t>(3)</w:t>
      </w:r>
      <w:r w:rsidR="004E0DDE" w:rsidRPr="00597F70">
        <w:rPr>
          <w:rFonts w:asciiTheme="majorBidi" w:hAnsiTheme="majorBidi"/>
          <w:bCs/>
          <w:color w:val="000000" w:themeColor="text1"/>
          <w:sz w:val="24"/>
          <w:szCs w:val="24"/>
        </w:rPr>
        <w:t xml:space="preserve">, </w:t>
      </w:r>
      <w:r w:rsidR="004E0DDE" w:rsidRPr="005E73C2">
        <w:rPr>
          <w:rFonts w:asciiTheme="majorBidi" w:hAnsiTheme="majorBidi"/>
          <w:color w:val="000000" w:themeColor="text1"/>
          <w:sz w:val="24"/>
          <w:szCs w:val="24"/>
        </w:rPr>
        <w:t>933-958.</w:t>
      </w:r>
    </w:p>
    <w:p w14:paraId="756CAA24" w14:textId="5E2B7916"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Morf, C. C</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Rhodewalt, F</w:t>
      </w:r>
      <w:r w:rsidR="00C043A3">
        <w:rPr>
          <w:rFonts w:asciiTheme="majorBidi" w:hAnsiTheme="majorBidi"/>
          <w:color w:val="000000" w:themeColor="text1"/>
          <w:sz w:val="24"/>
          <w:szCs w:val="24"/>
        </w:rPr>
        <w:t>. (2</w:t>
      </w:r>
      <w:r w:rsidR="0089160E">
        <w:rPr>
          <w:rFonts w:asciiTheme="majorBidi" w:hAnsiTheme="majorBidi"/>
          <w:color w:val="000000" w:themeColor="text1"/>
          <w:sz w:val="24"/>
          <w:szCs w:val="24"/>
        </w:rPr>
        <w:t>001).</w:t>
      </w:r>
      <w:r w:rsidR="004E0DDE" w:rsidRPr="005E73C2">
        <w:rPr>
          <w:rFonts w:asciiTheme="majorBidi" w:hAnsiTheme="majorBidi"/>
          <w:color w:val="000000" w:themeColor="text1"/>
          <w:sz w:val="24"/>
          <w:szCs w:val="24"/>
        </w:rPr>
        <w:t xml:space="preserve"> Unraveling the paradoxes of narcissism: A dynamic self-regulatory processing model. </w:t>
      </w:r>
      <w:r w:rsidR="004E0DDE" w:rsidRPr="00FE7647">
        <w:rPr>
          <w:rFonts w:asciiTheme="majorBidi" w:hAnsiTheme="majorBidi"/>
          <w:i/>
          <w:color w:val="000000" w:themeColor="text1"/>
          <w:sz w:val="24"/>
          <w:szCs w:val="24"/>
        </w:rPr>
        <w:t>Psychological Inquiry,</w:t>
      </w:r>
      <w:r w:rsidR="004E0DDE" w:rsidRPr="00FE7647">
        <w:rPr>
          <w:rFonts w:asciiTheme="majorBidi" w:hAnsiTheme="majorBidi"/>
          <w:color w:val="000000" w:themeColor="text1"/>
          <w:sz w:val="24"/>
          <w:szCs w:val="24"/>
        </w:rPr>
        <w:t xml:space="preserve"> 12</w:t>
      </w:r>
      <w:r w:rsidR="001D4953" w:rsidRPr="00FE7647">
        <w:rPr>
          <w:rFonts w:asciiTheme="majorBidi" w:hAnsiTheme="majorBidi"/>
          <w:color w:val="000000" w:themeColor="text1"/>
          <w:sz w:val="24"/>
          <w:szCs w:val="24"/>
        </w:rPr>
        <w:t>(4)</w:t>
      </w:r>
      <w:r w:rsidR="004E0DDE" w:rsidRPr="00FE7647">
        <w:rPr>
          <w:rFonts w:asciiTheme="majorBidi" w:hAnsiTheme="majorBidi"/>
          <w:bCs/>
          <w:color w:val="000000" w:themeColor="text1"/>
          <w:sz w:val="24"/>
          <w:szCs w:val="24"/>
        </w:rPr>
        <w:t>,</w:t>
      </w:r>
      <w:r w:rsidR="004E0DDE" w:rsidRPr="00FE7647">
        <w:rPr>
          <w:rFonts w:asciiTheme="majorBidi" w:hAnsiTheme="majorBidi"/>
          <w:color w:val="000000" w:themeColor="text1"/>
          <w:sz w:val="24"/>
          <w:szCs w:val="24"/>
        </w:rPr>
        <w:t xml:space="preserve"> 177-196.</w:t>
      </w:r>
    </w:p>
    <w:p w14:paraId="147779EE" w14:textId="73268559" w:rsidR="00FC641B" w:rsidRPr="00FE7647" w:rsidRDefault="00FC641B" w:rsidP="002405CE">
      <w:pPr>
        <w:pStyle w:val="EndNoteBibliography"/>
        <w:ind w:left="720" w:hanging="720"/>
        <w:rPr>
          <w:rFonts w:asciiTheme="majorBidi" w:hAnsiTheme="majorBidi"/>
          <w:color w:val="000000" w:themeColor="text1"/>
          <w:sz w:val="24"/>
          <w:szCs w:val="24"/>
        </w:rPr>
      </w:pPr>
      <w:r w:rsidRPr="00FC641B">
        <w:rPr>
          <w:rFonts w:asciiTheme="majorBidi" w:hAnsiTheme="majorBidi"/>
          <w:color w:val="000000" w:themeColor="text1"/>
          <w:sz w:val="24"/>
          <w:szCs w:val="24"/>
        </w:rPr>
        <w:t xml:space="preserve">Muth, M. M., &amp; Donaldson, L. (1998). Stewardship theory and board structure: A contingency approach. </w:t>
      </w:r>
      <w:r w:rsidRPr="00FC641B">
        <w:rPr>
          <w:rFonts w:asciiTheme="majorBidi" w:hAnsiTheme="majorBidi"/>
          <w:i/>
          <w:iCs/>
          <w:color w:val="000000" w:themeColor="text1"/>
          <w:sz w:val="24"/>
          <w:szCs w:val="24"/>
        </w:rPr>
        <w:t>Corporate Governance: An International Review,</w:t>
      </w:r>
      <w:r w:rsidRPr="00FC641B">
        <w:rPr>
          <w:rFonts w:asciiTheme="majorBidi" w:hAnsiTheme="majorBidi"/>
          <w:color w:val="000000" w:themeColor="text1"/>
          <w:sz w:val="24"/>
          <w:szCs w:val="24"/>
        </w:rPr>
        <w:t xml:space="preserve"> 6(1), 5–28.</w:t>
      </w:r>
    </w:p>
    <w:p w14:paraId="2050A6B9" w14:textId="10F2BCBB" w:rsidR="004724DD" w:rsidRPr="00FE7647" w:rsidRDefault="004724DD"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Nelson, M., &amp; Tan, H. T. (2005). </w:t>
      </w:r>
      <w:r w:rsidRPr="004724DD">
        <w:rPr>
          <w:rFonts w:asciiTheme="majorBidi" w:hAnsiTheme="majorBidi"/>
          <w:color w:val="000000" w:themeColor="text1"/>
          <w:sz w:val="24"/>
          <w:szCs w:val="24"/>
        </w:rPr>
        <w:t xml:space="preserve">Judgment and decision making research in auditing: A task, person, and interpersonal interaction perspective. </w:t>
      </w:r>
      <w:r w:rsidRPr="00FE7647">
        <w:rPr>
          <w:rFonts w:asciiTheme="majorBidi" w:hAnsiTheme="majorBidi"/>
          <w:i/>
          <w:iCs/>
          <w:color w:val="000000" w:themeColor="text1"/>
          <w:sz w:val="24"/>
          <w:szCs w:val="24"/>
        </w:rPr>
        <w:t>Auditing: A Journal of Practice and Theory,</w:t>
      </w:r>
      <w:r w:rsidRPr="00FE7647">
        <w:rPr>
          <w:rFonts w:asciiTheme="majorBidi" w:hAnsiTheme="majorBidi"/>
          <w:color w:val="000000" w:themeColor="text1"/>
          <w:sz w:val="24"/>
          <w:szCs w:val="24"/>
        </w:rPr>
        <w:t xml:space="preserve"> 24(s-1), 41-71.</w:t>
      </w:r>
    </w:p>
    <w:p w14:paraId="64C81825" w14:textId="7598B049" w:rsidR="004E0DDE" w:rsidRPr="005E73C2" w:rsidRDefault="00A52DBF" w:rsidP="002405CE">
      <w:pPr>
        <w:pStyle w:val="EndNoteBibliography"/>
        <w:ind w:left="720" w:hanging="720"/>
        <w:rPr>
          <w:rFonts w:asciiTheme="majorBidi" w:hAnsiTheme="majorBidi"/>
          <w:color w:val="000000" w:themeColor="text1"/>
          <w:sz w:val="24"/>
          <w:szCs w:val="24"/>
        </w:rPr>
      </w:pPr>
      <w:r w:rsidRPr="00FE7647">
        <w:rPr>
          <w:rFonts w:asciiTheme="majorBidi" w:hAnsiTheme="majorBidi"/>
          <w:color w:val="000000" w:themeColor="text1"/>
          <w:sz w:val="24"/>
          <w:szCs w:val="24"/>
        </w:rPr>
        <w:t xml:space="preserve">Nevicka, B., Ten Velden, F. S., De Hoogh, A. H. B., &amp; Van Vianen, A. E. M. </w:t>
      </w:r>
      <w:r w:rsidR="00C043A3" w:rsidRPr="00FE7647">
        <w:rPr>
          <w:rFonts w:asciiTheme="majorBidi" w:hAnsiTheme="majorBidi"/>
          <w:color w:val="000000" w:themeColor="text1"/>
          <w:sz w:val="24"/>
          <w:szCs w:val="24"/>
        </w:rPr>
        <w:t>(2</w:t>
      </w:r>
      <w:r w:rsidR="0089160E" w:rsidRPr="00FE7647">
        <w:rPr>
          <w:rFonts w:asciiTheme="majorBidi" w:hAnsiTheme="majorBidi"/>
          <w:color w:val="000000" w:themeColor="text1"/>
          <w:sz w:val="24"/>
          <w:szCs w:val="24"/>
        </w:rPr>
        <w:t>011).</w:t>
      </w:r>
      <w:r w:rsidR="004E0DDE" w:rsidRPr="00FE7647">
        <w:rPr>
          <w:rFonts w:asciiTheme="majorBidi" w:hAnsiTheme="majorBidi"/>
          <w:color w:val="000000" w:themeColor="text1"/>
          <w:sz w:val="24"/>
          <w:szCs w:val="24"/>
        </w:rPr>
        <w:t xml:space="preserve"> </w:t>
      </w:r>
      <w:r w:rsidR="004E0DDE" w:rsidRPr="005E73C2">
        <w:rPr>
          <w:rFonts w:asciiTheme="majorBidi" w:hAnsiTheme="majorBidi"/>
          <w:color w:val="000000" w:themeColor="text1"/>
          <w:sz w:val="24"/>
          <w:szCs w:val="24"/>
        </w:rPr>
        <w:t xml:space="preserve">Reality at odds with perceptions: Narcissistic leaders and group performance. </w:t>
      </w:r>
      <w:r w:rsidR="004E0DDE" w:rsidRPr="005E73C2">
        <w:rPr>
          <w:rFonts w:asciiTheme="majorBidi" w:hAnsiTheme="majorBidi"/>
          <w:i/>
          <w:color w:val="000000" w:themeColor="text1"/>
          <w:sz w:val="24"/>
          <w:szCs w:val="24"/>
        </w:rPr>
        <w:t>Psychological Science,</w:t>
      </w:r>
      <w:r w:rsidR="004E0DDE" w:rsidRPr="005E73C2">
        <w:rPr>
          <w:rFonts w:asciiTheme="majorBidi" w:hAnsiTheme="majorBidi"/>
          <w:color w:val="000000" w:themeColor="text1"/>
          <w:sz w:val="24"/>
          <w:szCs w:val="24"/>
        </w:rPr>
        <w:t xml:space="preserve"> 22</w:t>
      </w:r>
      <w:r w:rsidR="001D4953">
        <w:rPr>
          <w:rFonts w:asciiTheme="majorBidi" w:hAnsiTheme="majorBidi"/>
          <w:color w:val="000000" w:themeColor="text1"/>
          <w:sz w:val="24"/>
          <w:szCs w:val="24"/>
        </w:rPr>
        <w:t>(10)</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1259-1264.</w:t>
      </w:r>
    </w:p>
    <w:p w14:paraId="6B532106" w14:textId="47CD5B1C"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Olsen, K. J., Dworkis, K. K</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Young, S. M</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014).</w:t>
      </w:r>
      <w:r w:rsidR="004E0DDE" w:rsidRPr="005E73C2">
        <w:rPr>
          <w:rFonts w:asciiTheme="majorBidi" w:hAnsiTheme="majorBidi"/>
          <w:color w:val="000000" w:themeColor="text1"/>
          <w:sz w:val="24"/>
          <w:szCs w:val="24"/>
        </w:rPr>
        <w:t xml:space="preserve"> CEO narcissism and accounting: A picture of profits. </w:t>
      </w:r>
      <w:r w:rsidR="004E0DDE" w:rsidRPr="005E73C2">
        <w:rPr>
          <w:rFonts w:asciiTheme="majorBidi" w:hAnsiTheme="majorBidi"/>
          <w:i/>
          <w:color w:val="000000" w:themeColor="text1"/>
          <w:sz w:val="24"/>
          <w:szCs w:val="24"/>
        </w:rPr>
        <w:t>Journal of Management Accounting Research,</w:t>
      </w:r>
      <w:r w:rsidR="004E0DDE" w:rsidRPr="005E73C2">
        <w:rPr>
          <w:rFonts w:asciiTheme="majorBidi" w:hAnsiTheme="majorBidi"/>
          <w:color w:val="000000" w:themeColor="text1"/>
          <w:sz w:val="24"/>
          <w:szCs w:val="24"/>
        </w:rPr>
        <w:t xml:space="preserve"> 26</w:t>
      </w:r>
      <w:r w:rsidR="001D4953">
        <w:rPr>
          <w:rFonts w:asciiTheme="majorBidi" w:hAnsiTheme="majorBidi"/>
          <w:color w:val="000000" w:themeColor="text1"/>
          <w:sz w:val="24"/>
          <w:szCs w:val="24"/>
        </w:rPr>
        <w:t>(2)</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243-267.</w:t>
      </w:r>
    </w:p>
    <w:p w14:paraId="39B9B63A" w14:textId="6C34568B" w:rsidR="006224B3" w:rsidRPr="005E73C2" w:rsidRDefault="006224B3" w:rsidP="002405CE">
      <w:pPr>
        <w:pStyle w:val="EndNoteBibliography"/>
        <w:ind w:left="720" w:hanging="720"/>
        <w:rPr>
          <w:rFonts w:asciiTheme="majorBidi" w:hAnsiTheme="majorBidi"/>
          <w:color w:val="000000" w:themeColor="text1"/>
          <w:sz w:val="24"/>
          <w:szCs w:val="24"/>
        </w:rPr>
      </w:pPr>
      <w:r w:rsidRPr="006224B3">
        <w:rPr>
          <w:rFonts w:asciiTheme="majorBidi" w:hAnsiTheme="majorBidi"/>
          <w:color w:val="000000" w:themeColor="text1"/>
          <w:sz w:val="24"/>
          <w:szCs w:val="24"/>
        </w:rPr>
        <w:t>Olsen, K. J., &amp; Stekelberg, J. (2016). CEO narcissism and corporate tax sheltering. </w:t>
      </w:r>
      <w:r w:rsidRPr="006224B3">
        <w:rPr>
          <w:rFonts w:asciiTheme="majorBidi" w:hAnsiTheme="majorBidi"/>
          <w:i/>
          <w:iCs/>
          <w:color w:val="000000" w:themeColor="text1"/>
          <w:sz w:val="24"/>
          <w:szCs w:val="24"/>
        </w:rPr>
        <w:t xml:space="preserve">The </w:t>
      </w:r>
      <w:r>
        <w:rPr>
          <w:rFonts w:asciiTheme="majorBidi" w:hAnsiTheme="majorBidi"/>
          <w:i/>
          <w:iCs/>
          <w:color w:val="000000" w:themeColor="text1"/>
          <w:sz w:val="24"/>
          <w:szCs w:val="24"/>
        </w:rPr>
        <w:t>J</w:t>
      </w:r>
      <w:r w:rsidRPr="006224B3">
        <w:rPr>
          <w:rFonts w:asciiTheme="majorBidi" w:hAnsiTheme="majorBidi"/>
          <w:i/>
          <w:iCs/>
          <w:color w:val="000000" w:themeColor="text1"/>
          <w:sz w:val="24"/>
          <w:szCs w:val="24"/>
        </w:rPr>
        <w:t xml:space="preserve">ournal of the American </w:t>
      </w:r>
      <w:r>
        <w:rPr>
          <w:rFonts w:asciiTheme="majorBidi" w:hAnsiTheme="majorBidi"/>
          <w:i/>
          <w:iCs/>
          <w:color w:val="000000" w:themeColor="text1"/>
          <w:sz w:val="24"/>
          <w:szCs w:val="24"/>
        </w:rPr>
        <w:t>T</w:t>
      </w:r>
      <w:r w:rsidRPr="006224B3">
        <w:rPr>
          <w:rFonts w:asciiTheme="majorBidi" w:hAnsiTheme="majorBidi"/>
          <w:i/>
          <w:iCs/>
          <w:color w:val="000000" w:themeColor="text1"/>
          <w:sz w:val="24"/>
          <w:szCs w:val="24"/>
        </w:rPr>
        <w:t xml:space="preserve">axation </w:t>
      </w:r>
      <w:r>
        <w:rPr>
          <w:rFonts w:asciiTheme="majorBidi" w:hAnsiTheme="majorBidi"/>
          <w:i/>
          <w:iCs/>
          <w:color w:val="000000" w:themeColor="text1"/>
          <w:sz w:val="24"/>
          <w:szCs w:val="24"/>
        </w:rPr>
        <w:t>A</w:t>
      </w:r>
      <w:r w:rsidRPr="006224B3">
        <w:rPr>
          <w:rFonts w:asciiTheme="majorBidi" w:hAnsiTheme="majorBidi"/>
          <w:i/>
          <w:iCs/>
          <w:color w:val="000000" w:themeColor="text1"/>
          <w:sz w:val="24"/>
          <w:szCs w:val="24"/>
        </w:rPr>
        <w:t>ssociation, </w:t>
      </w:r>
      <w:r w:rsidRPr="006224B3">
        <w:rPr>
          <w:rFonts w:asciiTheme="majorBidi" w:hAnsiTheme="majorBidi"/>
          <w:color w:val="000000" w:themeColor="text1"/>
          <w:sz w:val="24"/>
          <w:szCs w:val="24"/>
        </w:rPr>
        <w:t>38(1), 1-22.</w:t>
      </w:r>
    </w:p>
    <w:p w14:paraId="6F26DE5C" w14:textId="7D1E929B"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Petersen, M. A</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4E0DDE" w:rsidRPr="005E73C2">
        <w:rPr>
          <w:rFonts w:asciiTheme="majorBidi" w:hAnsiTheme="majorBidi"/>
          <w:color w:val="000000" w:themeColor="text1"/>
          <w:sz w:val="24"/>
          <w:szCs w:val="24"/>
        </w:rPr>
        <w:t>009</w:t>
      </w:r>
      <w:r w:rsidR="006224B3">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Estimating standard errors in finance panel data sets: Comparing </w:t>
      </w:r>
      <w:r w:rsidR="004E0DDE" w:rsidRPr="005E73C2">
        <w:rPr>
          <w:rFonts w:asciiTheme="majorBidi" w:hAnsiTheme="majorBidi"/>
          <w:color w:val="000000" w:themeColor="text1"/>
          <w:sz w:val="24"/>
          <w:szCs w:val="24"/>
        </w:rPr>
        <w:lastRenderedPageBreak/>
        <w:t xml:space="preserve">approaches. </w:t>
      </w:r>
      <w:r w:rsidR="004E0DDE" w:rsidRPr="005E73C2">
        <w:rPr>
          <w:rFonts w:asciiTheme="majorBidi" w:hAnsiTheme="majorBidi"/>
          <w:i/>
          <w:color w:val="000000" w:themeColor="text1"/>
          <w:sz w:val="24"/>
          <w:szCs w:val="24"/>
        </w:rPr>
        <w:t>Review of Financial Studies,</w:t>
      </w:r>
      <w:r w:rsidR="004E0DDE" w:rsidRPr="005E73C2">
        <w:rPr>
          <w:rFonts w:asciiTheme="majorBidi" w:hAnsiTheme="majorBidi"/>
          <w:color w:val="000000" w:themeColor="text1"/>
          <w:sz w:val="24"/>
          <w:szCs w:val="24"/>
        </w:rPr>
        <w:t xml:space="preserve"> 22</w:t>
      </w:r>
      <w:r w:rsidR="001D4953">
        <w:rPr>
          <w:rFonts w:asciiTheme="majorBidi" w:hAnsiTheme="majorBidi"/>
          <w:color w:val="000000" w:themeColor="text1"/>
          <w:sz w:val="24"/>
          <w:szCs w:val="24"/>
        </w:rPr>
        <w:t>(1)</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435-480.</w:t>
      </w:r>
    </w:p>
    <w:p w14:paraId="412D60F0" w14:textId="68180364"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Qu, C. T</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w:t>
      </w:r>
      <w:r w:rsidR="0071550F">
        <w:rPr>
          <w:rFonts w:asciiTheme="majorBidi" w:hAnsiTheme="majorBidi"/>
          <w:color w:val="000000" w:themeColor="text1"/>
          <w:sz w:val="24"/>
          <w:szCs w:val="24"/>
        </w:rPr>
        <w:t>20</w:t>
      </w:r>
      <w:r w:rsidR="0089160E">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Board members with style: The effect of audit committee members and their personal styles on financial reporting choices. </w:t>
      </w:r>
      <w:r w:rsidR="004E0DDE" w:rsidRPr="005E73C2">
        <w:rPr>
          <w:rFonts w:asciiTheme="majorBidi" w:hAnsiTheme="majorBidi"/>
          <w:i/>
          <w:color w:val="000000" w:themeColor="text1"/>
          <w:sz w:val="24"/>
          <w:szCs w:val="24"/>
        </w:rPr>
        <w:t>Journal of Accounting, Auditing and Finance,</w:t>
      </w:r>
      <w:r w:rsidR="004E0DDE" w:rsidRPr="005E73C2">
        <w:rPr>
          <w:rFonts w:asciiTheme="majorBidi" w:hAnsiTheme="majorBidi"/>
          <w:color w:val="000000" w:themeColor="text1"/>
          <w:sz w:val="24"/>
          <w:szCs w:val="24"/>
        </w:rPr>
        <w:t xml:space="preserve"> 35</w:t>
      </w:r>
      <w:r w:rsidR="003D15A3">
        <w:rPr>
          <w:rFonts w:asciiTheme="majorBidi" w:hAnsiTheme="majorBidi"/>
          <w:color w:val="000000" w:themeColor="text1"/>
          <w:sz w:val="24"/>
          <w:szCs w:val="24"/>
        </w:rPr>
        <w:t>(3)</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530-557.</w:t>
      </w:r>
    </w:p>
    <w:p w14:paraId="04ECB839" w14:textId="2A98634C"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Raskin, R</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Terry, H</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88</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A principal-components analysis of the narcissistic personality-inventory and further evidence of </w:t>
      </w:r>
      <w:r w:rsidR="003D15A3">
        <w:rPr>
          <w:rFonts w:asciiTheme="majorBidi" w:hAnsiTheme="majorBidi"/>
          <w:color w:val="000000" w:themeColor="text1"/>
          <w:sz w:val="24"/>
          <w:szCs w:val="24"/>
        </w:rPr>
        <w:t>i</w:t>
      </w:r>
      <w:r w:rsidR="004E0DDE" w:rsidRPr="005E73C2">
        <w:rPr>
          <w:rFonts w:asciiTheme="majorBidi" w:hAnsiTheme="majorBidi"/>
          <w:color w:val="000000" w:themeColor="text1"/>
          <w:sz w:val="24"/>
          <w:szCs w:val="24"/>
        </w:rPr>
        <w:t xml:space="preserve">ts construct-validity. </w:t>
      </w:r>
      <w:r w:rsidR="004E0DDE" w:rsidRPr="005E73C2">
        <w:rPr>
          <w:rFonts w:asciiTheme="majorBidi" w:hAnsiTheme="majorBidi"/>
          <w:i/>
          <w:color w:val="000000" w:themeColor="text1"/>
          <w:sz w:val="24"/>
          <w:szCs w:val="24"/>
        </w:rPr>
        <w:t>Journal of Personality and Social Psychology,</w:t>
      </w:r>
      <w:r w:rsidR="004E0DDE" w:rsidRPr="005E73C2">
        <w:rPr>
          <w:rFonts w:asciiTheme="majorBidi" w:hAnsiTheme="majorBidi"/>
          <w:color w:val="000000" w:themeColor="text1"/>
          <w:sz w:val="24"/>
          <w:szCs w:val="24"/>
        </w:rPr>
        <w:t xml:space="preserve"> 54</w:t>
      </w:r>
      <w:r w:rsidR="003D15A3">
        <w:rPr>
          <w:rFonts w:asciiTheme="majorBidi" w:hAnsiTheme="majorBidi"/>
          <w:color w:val="000000" w:themeColor="text1"/>
          <w:sz w:val="24"/>
          <w:szCs w:val="24"/>
        </w:rPr>
        <w:t>(5)</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890-902.</w:t>
      </w:r>
    </w:p>
    <w:p w14:paraId="1E8EB69E" w14:textId="24C4598D" w:rsidR="006224B3" w:rsidRDefault="006224B3" w:rsidP="002405CE">
      <w:pPr>
        <w:pStyle w:val="EndNoteBibliography"/>
        <w:ind w:left="720" w:hanging="720"/>
        <w:rPr>
          <w:rFonts w:asciiTheme="majorBidi" w:hAnsiTheme="majorBidi"/>
          <w:color w:val="000000" w:themeColor="text1"/>
          <w:sz w:val="24"/>
          <w:szCs w:val="24"/>
        </w:rPr>
      </w:pPr>
      <w:r w:rsidRPr="006224B3">
        <w:rPr>
          <w:rFonts w:asciiTheme="majorBidi" w:hAnsiTheme="majorBidi"/>
          <w:color w:val="000000" w:themeColor="text1"/>
          <w:sz w:val="24"/>
          <w:szCs w:val="24"/>
        </w:rPr>
        <w:t>Rijsenbilt, A., &amp; Commandeur, H. (2013). Narcissus enters the courtroom: CEO narcissism and fraud. </w:t>
      </w:r>
      <w:r w:rsidRPr="006224B3">
        <w:rPr>
          <w:rFonts w:asciiTheme="majorBidi" w:hAnsiTheme="majorBidi"/>
          <w:i/>
          <w:iCs/>
          <w:color w:val="000000" w:themeColor="text1"/>
          <w:sz w:val="24"/>
          <w:szCs w:val="24"/>
        </w:rPr>
        <w:t xml:space="preserve">Journal of </w:t>
      </w:r>
      <w:r>
        <w:rPr>
          <w:rFonts w:asciiTheme="majorBidi" w:hAnsiTheme="majorBidi"/>
          <w:i/>
          <w:iCs/>
          <w:color w:val="000000" w:themeColor="text1"/>
          <w:sz w:val="24"/>
          <w:szCs w:val="24"/>
        </w:rPr>
        <w:t>B</w:t>
      </w:r>
      <w:r w:rsidRPr="006224B3">
        <w:rPr>
          <w:rFonts w:asciiTheme="majorBidi" w:hAnsiTheme="majorBidi"/>
          <w:i/>
          <w:iCs/>
          <w:color w:val="000000" w:themeColor="text1"/>
          <w:sz w:val="24"/>
          <w:szCs w:val="24"/>
        </w:rPr>
        <w:t xml:space="preserve">usiness </w:t>
      </w:r>
      <w:r>
        <w:rPr>
          <w:rFonts w:asciiTheme="majorBidi" w:hAnsiTheme="majorBidi"/>
          <w:i/>
          <w:iCs/>
          <w:color w:val="000000" w:themeColor="text1"/>
          <w:sz w:val="24"/>
          <w:szCs w:val="24"/>
        </w:rPr>
        <w:t>E</w:t>
      </w:r>
      <w:r w:rsidRPr="006224B3">
        <w:rPr>
          <w:rFonts w:asciiTheme="majorBidi" w:hAnsiTheme="majorBidi"/>
          <w:i/>
          <w:iCs/>
          <w:color w:val="000000" w:themeColor="text1"/>
          <w:sz w:val="24"/>
          <w:szCs w:val="24"/>
        </w:rPr>
        <w:t>thics,</w:t>
      </w:r>
      <w:r w:rsidRPr="006224B3">
        <w:rPr>
          <w:rFonts w:asciiTheme="majorBidi" w:hAnsiTheme="majorBidi"/>
          <w:color w:val="000000" w:themeColor="text1"/>
          <w:sz w:val="24"/>
          <w:szCs w:val="24"/>
        </w:rPr>
        <w:t> 117, 413-429.</w:t>
      </w:r>
    </w:p>
    <w:p w14:paraId="6247E160" w14:textId="2B490F0E" w:rsidR="004724DD" w:rsidRPr="005E73C2" w:rsidRDefault="004724DD" w:rsidP="002405CE">
      <w:pPr>
        <w:pStyle w:val="EndNoteBibliography"/>
        <w:ind w:left="720" w:hanging="720"/>
        <w:rPr>
          <w:rFonts w:asciiTheme="majorBidi" w:hAnsiTheme="majorBidi"/>
          <w:color w:val="000000" w:themeColor="text1"/>
          <w:sz w:val="24"/>
          <w:szCs w:val="24"/>
        </w:rPr>
      </w:pPr>
      <w:r w:rsidRPr="004724DD">
        <w:rPr>
          <w:rFonts w:asciiTheme="majorBidi" w:hAnsiTheme="majorBidi"/>
          <w:color w:val="000000" w:themeColor="text1"/>
          <w:sz w:val="24"/>
          <w:szCs w:val="24"/>
        </w:rPr>
        <w:t xml:space="preserve">Sheikh, S. (2022). CEO power and the likelihood of paying dividends: Effect of profitability and cash flow volatility. </w:t>
      </w:r>
      <w:r w:rsidRPr="004724DD">
        <w:rPr>
          <w:rFonts w:asciiTheme="majorBidi" w:hAnsiTheme="majorBidi"/>
          <w:i/>
          <w:iCs/>
          <w:color w:val="000000" w:themeColor="text1"/>
          <w:sz w:val="24"/>
          <w:szCs w:val="24"/>
        </w:rPr>
        <w:t>Journal of Corporate Finance,</w:t>
      </w:r>
      <w:r w:rsidRPr="004724DD">
        <w:rPr>
          <w:rFonts w:asciiTheme="majorBidi" w:hAnsiTheme="majorBidi"/>
          <w:color w:val="000000" w:themeColor="text1"/>
          <w:sz w:val="24"/>
          <w:szCs w:val="24"/>
        </w:rPr>
        <w:t xml:space="preserve"> 73, 102186.</w:t>
      </w:r>
    </w:p>
    <w:p w14:paraId="03FE6BE1" w14:textId="46906816" w:rsidR="004E0DDE"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Srinivasan, S</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005).</w:t>
      </w:r>
      <w:r w:rsidR="004E0DDE" w:rsidRPr="005E73C2">
        <w:rPr>
          <w:rFonts w:asciiTheme="majorBidi" w:hAnsiTheme="majorBidi"/>
          <w:color w:val="000000" w:themeColor="text1"/>
          <w:sz w:val="24"/>
          <w:szCs w:val="24"/>
        </w:rPr>
        <w:t xml:space="preserve"> Consequences of financial reporting failure for outside directors: Evidence from accounting restatements and audit committee members. </w:t>
      </w:r>
      <w:r w:rsidR="004E0DDE" w:rsidRPr="005E73C2">
        <w:rPr>
          <w:rFonts w:asciiTheme="majorBidi" w:hAnsiTheme="majorBidi"/>
          <w:i/>
          <w:color w:val="000000" w:themeColor="text1"/>
          <w:sz w:val="24"/>
          <w:szCs w:val="24"/>
        </w:rPr>
        <w:t>Journal of Accounting Research,</w:t>
      </w:r>
      <w:r w:rsidR="004E0DDE" w:rsidRPr="005E73C2">
        <w:rPr>
          <w:rFonts w:asciiTheme="majorBidi" w:hAnsiTheme="majorBidi"/>
          <w:color w:val="000000" w:themeColor="text1"/>
          <w:sz w:val="24"/>
          <w:szCs w:val="24"/>
        </w:rPr>
        <w:t xml:space="preserve"> 43</w:t>
      </w:r>
      <w:r w:rsidR="003D15A3">
        <w:rPr>
          <w:rFonts w:asciiTheme="majorBidi" w:hAnsiTheme="majorBidi"/>
          <w:color w:val="000000" w:themeColor="text1"/>
          <w:sz w:val="24"/>
          <w:szCs w:val="24"/>
        </w:rPr>
        <w:t>(2)</w:t>
      </w:r>
      <w:r w:rsidR="004E0DDE" w:rsidRPr="00597F70">
        <w:rPr>
          <w:rFonts w:asciiTheme="majorBidi" w:hAnsiTheme="majorBidi"/>
          <w:bCs/>
          <w:color w:val="000000" w:themeColor="text1"/>
          <w:sz w:val="24"/>
          <w:szCs w:val="24"/>
        </w:rPr>
        <w:t>,</w:t>
      </w:r>
      <w:r w:rsidR="004E0DDE" w:rsidRPr="005E73C2">
        <w:rPr>
          <w:rFonts w:asciiTheme="majorBidi" w:hAnsiTheme="majorBidi"/>
          <w:color w:val="000000" w:themeColor="text1"/>
          <w:sz w:val="24"/>
          <w:szCs w:val="24"/>
        </w:rPr>
        <w:t xml:space="preserve"> 291-334.</w:t>
      </w:r>
    </w:p>
    <w:p w14:paraId="219E3134" w14:textId="7863A709" w:rsidR="004724DD" w:rsidRDefault="004724DD" w:rsidP="002405CE">
      <w:pPr>
        <w:pStyle w:val="EndNoteBibliography"/>
        <w:ind w:left="720" w:hanging="720"/>
        <w:rPr>
          <w:rFonts w:asciiTheme="majorBidi" w:hAnsiTheme="majorBidi"/>
          <w:color w:val="000000" w:themeColor="text1"/>
          <w:sz w:val="24"/>
          <w:szCs w:val="24"/>
        </w:rPr>
      </w:pPr>
      <w:r w:rsidRPr="004724DD">
        <w:rPr>
          <w:rFonts w:asciiTheme="majorBidi" w:hAnsiTheme="majorBidi"/>
          <w:color w:val="000000" w:themeColor="text1"/>
          <w:sz w:val="24"/>
          <w:szCs w:val="24"/>
        </w:rPr>
        <w:t>Tang, J., Crossan, M., &amp; Rowe, W. G. (2011). Dominant CEO, deviant strategy, and extreme performance: The moderating role of a powerful board.</w:t>
      </w:r>
      <w:r w:rsidRPr="004724DD">
        <w:rPr>
          <w:rFonts w:asciiTheme="majorBidi" w:hAnsiTheme="majorBidi"/>
          <w:i/>
          <w:iCs/>
          <w:color w:val="000000" w:themeColor="text1"/>
          <w:sz w:val="24"/>
          <w:szCs w:val="24"/>
        </w:rPr>
        <w:t xml:space="preserve"> Journal of Management Studies,</w:t>
      </w:r>
      <w:r w:rsidRPr="004724DD">
        <w:rPr>
          <w:rFonts w:asciiTheme="majorBidi" w:hAnsiTheme="majorBidi"/>
          <w:color w:val="000000" w:themeColor="text1"/>
          <w:sz w:val="24"/>
          <w:szCs w:val="24"/>
        </w:rPr>
        <w:t xml:space="preserve"> 48(7), 1479-1503.</w:t>
      </w:r>
    </w:p>
    <w:p w14:paraId="6DBB9F15" w14:textId="77777777" w:rsidR="002110AA" w:rsidRDefault="002110AA" w:rsidP="002110AA">
      <w:pPr>
        <w:pStyle w:val="EndNoteBibliography"/>
        <w:ind w:left="720" w:hanging="720"/>
        <w:rPr>
          <w:rFonts w:asciiTheme="majorBidi" w:hAnsiTheme="majorBidi"/>
          <w:color w:val="000000" w:themeColor="text1"/>
          <w:sz w:val="24"/>
          <w:szCs w:val="24"/>
        </w:rPr>
      </w:pPr>
      <w:r>
        <w:rPr>
          <w:rFonts w:asciiTheme="majorBidi" w:hAnsiTheme="majorBidi"/>
          <w:color w:val="000000" w:themeColor="text1"/>
          <w:sz w:val="24"/>
          <w:szCs w:val="24"/>
        </w:rPr>
        <w:t xml:space="preserve">Tanyi, P. N., &amp; Smith, D. B. (2015). Busyness, expertise, and financial reporting quality of audit committee chairs and financial experts. </w:t>
      </w:r>
      <w:r>
        <w:rPr>
          <w:rFonts w:asciiTheme="majorBidi" w:hAnsiTheme="majorBidi"/>
          <w:i/>
          <w:iCs/>
          <w:color w:val="000000" w:themeColor="text1"/>
          <w:sz w:val="24"/>
          <w:szCs w:val="24"/>
        </w:rPr>
        <w:t>Auditing: A Journal of Practice and Theory,</w:t>
      </w:r>
      <w:r>
        <w:rPr>
          <w:rFonts w:asciiTheme="majorBidi" w:hAnsiTheme="majorBidi"/>
          <w:color w:val="000000" w:themeColor="text1"/>
          <w:sz w:val="24"/>
          <w:szCs w:val="24"/>
        </w:rPr>
        <w:t xml:space="preserve"> 34(2), 59-89.</w:t>
      </w:r>
    </w:p>
    <w:p w14:paraId="44AAAB19" w14:textId="4E55A51B" w:rsidR="00B16240" w:rsidRDefault="00B16240" w:rsidP="002405CE">
      <w:pPr>
        <w:pStyle w:val="EndNoteBibliography"/>
        <w:ind w:left="720" w:hanging="720"/>
        <w:rPr>
          <w:rFonts w:asciiTheme="majorBidi" w:hAnsiTheme="majorBidi"/>
          <w:color w:val="000000" w:themeColor="text1"/>
          <w:sz w:val="24"/>
          <w:szCs w:val="24"/>
        </w:rPr>
      </w:pPr>
      <w:r w:rsidRPr="00B16240">
        <w:rPr>
          <w:rFonts w:asciiTheme="majorBidi" w:hAnsiTheme="majorBidi"/>
          <w:color w:val="000000" w:themeColor="text1"/>
          <w:sz w:val="24"/>
          <w:szCs w:val="24"/>
        </w:rPr>
        <w:t>Wilbanks, R. M., Hermanson, D. R., &amp; Sharma, V. D. (2017). Audit committee oversight of fraud risk: The role of social ties, professional ties, and governance characteristics. </w:t>
      </w:r>
      <w:r w:rsidRPr="00B16240">
        <w:rPr>
          <w:rFonts w:asciiTheme="majorBidi" w:hAnsiTheme="majorBidi"/>
          <w:i/>
          <w:iCs/>
          <w:color w:val="000000" w:themeColor="text1"/>
          <w:sz w:val="24"/>
          <w:szCs w:val="24"/>
        </w:rPr>
        <w:t>Accounting Horizons,</w:t>
      </w:r>
      <w:r w:rsidRPr="00B16240">
        <w:rPr>
          <w:rFonts w:asciiTheme="majorBidi" w:hAnsiTheme="majorBidi"/>
          <w:color w:val="000000" w:themeColor="text1"/>
          <w:sz w:val="24"/>
          <w:szCs w:val="24"/>
        </w:rPr>
        <w:t> 31(3), 21-38.</w:t>
      </w:r>
    </w:p>
    <w:p w14:paraId="32D4EAAA" w14:textId="2E2104F5" w:rsidR="006A457B" w:rsidRDefault="006A457B" w:rsidP="002405CE">
      <w:pPr>
        <w:pStyle w:val="EndNoteBibliography"/>
        <w:ind w:left="720" w:hanging="720"/>
        <w:rPr>
          <w:rFonts w:asciiTheme="majorBidi" w:hAnsiTheme="majorBidi"/>
          <w:color w:val="000000" w:themeColor="text1"/>
          <w:sz w:val="24"/>
          <w:szCs w:val="24"/>
        </w:rPr>
      </w:pPr>
      <w:r w:rsidRPr="006A457B">
        <w:rPr>
          <w:rFonts w:asciiTheme="majorBidi" w:hAnsiTheme="majorBidi"/>
          <w:color w:val="000000" w:themeColor="text1"/>
          <w:sz w:val="24"/>
          <w:szCs w:val="24"/>
        </w:rPr>
        <w:t xml:space="preserve">Wink, P. (1991). Two faces of narcissism. </w:t>
      </w:r>
      <w:r w:rsidRPr="006A457B">
        <w:rPr>
          <w:rFonts w:asciiTheme="majorBidi" w:hAnsiTheme="majorBidi"/>
          <w:i/>
          <w:iCs/>
          <w:color w:val="000000" w:themeColor="text1"/>
          <w:sz w:val="24"/>
          <w:szCs w:val="24"/>
        </w:rPr>
        <w:t>Journal of Personality and Social Psychology,</w:t>
      </w:r>
      <w:r w:rsidRPr="006A457B">
        <w:rPr>
          <w:rFonts w:asciiTheme="majorBidi" w:hAnsiTheme="majorBidi"/>
          <w:color w:val="000000" w:themeColor="text1"/>
          <w:sz w:val="24"/>
          <w:szCs w:val="24"/>
        </w:rPr>
        <w:t xml:space="preserve"> 61(4), 590</w:t>
      </w:r>
      <w:r>
        <w:rPr>
          <w:rFonts w:asciiTheme="majorBidi" w:hAnsiTheme="majorBidi"/>
          <w:color w:val="000000" w:themeColor="text1"/>
          <w:sz w:val="24"/>
          <w:szCs w:val="24"/>
        </w:rPr>
        <w:t>-</w:t>
      </w:r>
      <w:r w:rsidRPr="006A457B">
        <w:t xml:space="preserve"> </w:t>
      </w:r>
      <w:r w:rsidRPr="006A457B">
        <w:rPr>
          <w:rFonts w:asciiTheme="majorBidi" w:hAnsiTheme="majorBidi"/>
          <w:color w:val="000000" w:themeColor="text1"/>
          <w:sz w:val="24"/>
          <w:szCs w:val="24"/>
        </w:rPr>
        <w:t>597.</w:t>
      </w:r>
    </w:p>
    <w:p w14:paraId="6452C2BF" w14:textId="56EC8125" w:rsidR="006A457B" w:rsidRPr="005E73C2" w:rsidRDefault="006A457B" w:rsidP="002405CE">
      <w:pPr>
        <w:pStyle w:val="EndNoteBibliography"/>
        <w:ind w:left="720" w:hanging="720"/>
        <w:rPr>
          <w:rFonts w:asciiTheme="majorBidi" w:hAnsiTheme="majorBidi"/>
          <w:color w:val="000000" w:themeColor="text1"/>
          <w:sz w:val="24"/>
          <w:szCs w:val="24"/>
        </w:rPr>
      </w:pPr>
      <w:r w:rsidRPr="006A457B">
        <w:rPr>
          <w:rFonts w:asciiTheme="majorBidi" w:hAnsiTheme="majorBidi"/>
          <w:color w:val="000000" w:themeColor="text1"/>
          <w:sz w:val="24"/>
          <w:szCs w:val="24"/>
        </w:rPr>
        <w:t xml:space="preserve">Wintoki, M. B., Linck, J. S., &amp; Netter, J. M. (2012). Endogeneity and the dynamics of internal corporate governance. </w:t>
      </w:r>
      <w:r w:rsidRPr="006A457B">
        <w:rPr>
          <w:rFonts w:asciiTheme="majorBidi" w:hAnsiTheme="majorBidi"/>
          <w:i/>
          <w:iCs/>
          <w:color w:val="000000" w:themeColor="text1"/>
          <w:sz w:val="24"/>
          <w:szCs w:val="24"/>
        </w:rPr>
        <w:t>Journal of Financial Economics,</w:t>
      </w:r>
      <w:r w:rsidRPr="006A457B">
        <w:rPr>
          <w:rFonts w:asciiTheme="majorBidi" w:hAnsiTheme="majorBidi"/>
          <w:color w:val="000000" w:themeColor="text1"/>
          <w:sz w:val="24"/>
          <w:szCs w:val="24"/>
        </w:rPr>
        <w:t xml:space="preserve"> 105(3), 581-606.</w:t>
      </w:r>
    </w:p>
    <w:p w14:paraId="297B69D7" w14:textId="3F92F590"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Yang, J. S</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Krishnan, J</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(2</w:t>
      </w:r>
      <w:r w:rsidR="0089160E">
        <w:rPr>
          <w:rFonts w:asciiTheme="majorBidi" w:hAnsiTheme="majorBidi"/>
          <w:color w:val="000000" w:themeColor="text1"/>
          <w:sz w:val="24"/>
          <w:szCs w:val="24"/>
        </w:rPr>
        <w:t>005).</w:t>
      </w:r>
      <w:r w:rsidR="004E0DDE" w:rsidRPr="005E73C2">
        <w:rPr>
          <w:rFonts w:asciiTheme="majorBidi" w:hAnsiTheme="majorBidi"/>
          <w:color w:val="000000" w:themeColor="text1"/>
          <w:sz w:val="24"/>
          <w:szCs w:val="24"/>
        </w:rPr>
        <w:t xml:space="preserve"> Audit committees and quarterly earnings management. </w:t>
      </w:r>
      <w:r w:rsidR="004E0DDE" w:rsidRPr="005E73C2">
        <w:rPr>
          <w:rFonts w:asciiTheme="majorBidi" w:hAnsiTheme="majorBidi"/>
          <w:i/>
          <w:color w:val="000000" w:themeColor="text1"/>
          <w:sz w:val="24"/>
          <w:szCs w:val="24"/>
        </w:rPr>
        <w:t>International Journal of Auditing,</w:t>
      </w:r>
      <w:r w:rsidR="004E0DDE" w:rsidRPr="005E73C2">
        <w:rPr>
          <w:rFonts w:asciiTheme="majorBidi" w:hAnsiTheme="majorBidi"/>
          <w:color w:val="000000" w:themeColor="text1"/>
          <w:sz w:val="24"/>
          <w:szCs w:val="24"/>
        </w:rPr>
        <w:t xml:space="preserve"> 9</w:t>
      </w:r>
      <w:r w:rsidR="003D15A3">
        <w:rPr>
          <w:rFonts w:asciiTheme="majorBidi" w:hAnsiTheme="majorBidi"/>
          <w:color w:val="000000" w:themeColor="text1"/>
          <w:sz w:val="24"/>
          <w:szCs w:val="24"/>
        </w:rPr>
        <w:t>(3)</w:t>
      </w:r>
      <w:r w:rsidR="004E0DDE" w:rsidRPr="005E73C2">
        <w:rPr>
          <w:rFonts w:asciiTheme="majorBidi" w:hAnsiTheme="majorBidi"/>
          <w:b/>
          <w:color w:val="000000" w:themeColor="text1"/>
          <w:sz w:val="24"/>
          <w:szCs w:val="24"/>
        </w:rPr>
        <w:t>,</w:t>
      </w:r>
      <w:r w:rsidR="004E0DDE" w:rsidRPr="005E73C2">
        <w:rPr>
          <w:rFonts w:asciiTheme="majorBidi" w:hAnsiTheme="majorBidi"/>
          <w:color w:val="000000" w:themeColor="text1"/>
          <w:sz w:val="24"/>
          <w:szCs w:val="24"/>
        </w:rPr>
        <w:t xml:space="preserve"> 201-219.</w:t>
      </w:r>
    </w:p>
    <w:p w14:paraId="7E981380" w14:textId="222CB04C" w:rsidR="004E0DDE" w:rsidRPr="005E73C2"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Zweigenhaft, R. L</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70</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Signature size: A key to status awareness. </w:t>
      </w:r>
      <w:r w:rsidR="004E0DDE" w:rsidRPr="005E73C2">
        <w:rPr>
          <w:rFonts w:asciiTheme="majorBidi" w:hAnsiTheme="majorBidi"/>
          <w:i/>
          <w:color w:val="000000" w:themeColor="text1"/>
          <w:sz w:val="24"/>
          <w:szCs w:val="24"/>
        </w:rPr>
        <w:t>The Journal of Social Psychology,</w:t>
      </w:r>
      <w:r w:rsidR="004E0DDE" w:rsidRPr="005E73C2">
        <w:rPr>
          <w:rFonts w:asciiTheme="majorBidi" w:hAnsiTheme="majorBidi"/>
          <w:color w:val="000000" w:themeColor="text1"/>
          <w:sz w:val="24"/>
          <w:szCs w:val="24"/>
        </w:rPr>
        <w:t xml:space="preserve"> 81</w:t>
      </w:r>
      <w:r w:rsidR="003D15A3">
        <w:rPr>
          <w:rFonts w:asciiTheme="majorBidi" w:hAnsiTheme="majorBidi"/>
          <w:color w:val="000000" w:themeColor="text1"/>
          <w:sz w:val="24"/>
          <w:szCs w:val="24"/>
        </w:rPr>
        <w:t>(1)</w:t>
      </w:r>
      <w:r w:rsidR="004E0DDE" w:rsidRPr="005E73C2">
        <w:rPr>
          <w:rFonts w:asciiTheme="majorBidi" w:hAnsiTheme="majorBidi"/>
          <w:b/>
          <w:color w:val="000000" w:themeColor="text1"/>
          <w:sz w:val="24"/>
          <w:szCs w:val="24"/>
        </w:rPr>
        <w:t>,</w:t>
      </w:r>
      <w:r w:rsidR="004E0DDE" w:rsidRPr="005E73C2">
        <w:rPr>
          <w:rFonts w:asciiTheme="majorBidi" w:hAnsiTheme="majorBidi"/>
          <w:color w:val="000000" w:themeColor="text1"/>
          <w:sz w:val="24"/>
          <w:szCs w:val="24"/>
        </w:rPr>
        <w:t xml:space="preserve"> 49-54.</w:t>
      </w:r>
    </w:p>
    <w:p w14:paraId="32D917AE" w14:textId="53D16D68" w:rsidR="001D1486" w:rsidRDefault="00A52DBF" w:rsidP="002405CE">
      <w:pPr>
        <w:pStyle w:val="EndNoteBibliography"/>
        <w:ind w:left="720" w:hanging="720"/>
        <w:rPr>
          <w:rFonts w:asciiTheme="majorBidi" w:hAnsiTheme="majorBidi"/>
          <w:color w:val="000000" w:themeColor="text1"/>
          <w:sz w:val="24"/>
          <w:szCs w:val="24"/>
        </w:rPr>
      </w:pPr>
      <w:r w:rsidRPr="005E73C2">
        <w:rPr>
          <w:rFonts w:asciiTheme="majorBidi" w:hAnsiTheme="majorBidi"/>
          <w:color w:val="000000" w:themeColor="text1"/>
          <w:sz w:val="24"/>
          <w:szCs w:val="24"/>
        </w:rPr>
        <w:t>Zweigenhaft, R. L</w:t>
      </w:r>
      <w:r>
        <w:rPr>
          <w:rFonts w:asciiTheme="majorBidi" w:hAnsiTheme="majorBidi"/>
          <w:color w:val="000000" w:themeColor="text1"/>
          <w:sz w:val="24"/>
          <w:szCs w:val="24"/>
        </w:rPr>
        <w:t>., &amp;</w:t>
      </w:r>
      <w:r w:rsidRPr="005E73C2">
        <w:rPr>
          <w:rFonts w:asciiTheme="majorBidi" w:hAnsiTheme="majorBidi"/>
          <w:color w:val="000000" w:themeColor="text1"/>
          <w:sz w:val="24"/>
          <w:szCs w:val="24"/>
        </w:rPr>
        <w:t xml:space="preserve"> Marlowe, D</w:t>
      </w:r>
      <w:r>
        <w:rPr>
          <w:rFonts w:asciiTheme="majorBidi" w:hAnsiTheme="majorBidi"/>
          <w:color w:val="000000" w:themeColor="text1"/>
          <w:sz w:val="24"/>
          <w:szCs w:val="24"/>
        </w:rPr>
        <w:t xml:space="preserve">. </w:t>
      </w:r>
      <w:r w:rsidR="00C043A3">
        <w:rPr>
          <w:rFonts w:asciiTheme="majorBidi" w:hAnsiTheme="majorBidi"/>
          <w:color w:val="000000" w:themeColor="text1"/>
          <w:sz w:val="24"/>
          <w:szCs w:val="24"/>
        </w:rPr>
        <w:t>(19</w:t>
      </w:r>
      <w:r w:rsidR="004E0DDE" w:rsidRPr="005E73C2">
        <w:rPr>
          <w:rFonts w:asciiTheme="majorBidi" w:hAnsiTheme="majorBidi"/>
          <w:color w:val="000000" w:themeColor="text1"/>
          <w:sz w:val="24"/>
          <w:szCs w:val="24"/>
        </w:rPr>
        <w:t>73</w:t>
      </w:r>
      <w:r>
        <w:rPr>
          <w:rFonts w:asciiTheme="majorBidi" w:hAnsiTheme="majorBidi"/>
          <w:color w:val="000000" w:themeColor="text1"/>
          <w:sz w:val="24"/>
          <w:szCs w:val="24"/>
        </w:rPr>
        <w:t>)</w:t>
      </w:r>
      <w:r w:rsidR="004E0DDE" w:rsidRPr="005E73C2">
        <w:rPr>
          <w:rFonts w:asciiTheme="majorBidi" w:hAnsiTheme="majorBidi"/>
          <w:color w:val="000000" w:themeColor="text1"/>
          <w:sz w:val="24"/>
          <w:szCs w:val="24"/>
        </w:rPr>
        <w:t xml:space="preserve">. Signature size: Studies in expressive movement. </w:t>
      </w:r>
      <w:r w:rsidR="004E0DDE" w:rsidRPr="005E73C2">
        <w:rPr>
          <w:rFonts w:asciiTheme="majorBidi" w:hAnsiTheme="majorBidi"/>
          <w:i/>
          <w:color w:val="000000" w:themeColor="text1"/>
          <w:sz w:val="24"/>
          <w:szCs w:val="24"/>
        </w:rPr>
        <w:t>Journal of Consulting and Clinical Psychology,</w:t>
      </w:r>
      <w:r w:rsidR="004E0DDE" w:rsidRPr="005E73C2">
        <w:rPr>
          <w:rFonts w:asciiTheme="majorBidi" w:hAnsiTheme="majorBidi"/>
          <w:color w:val="000000" w:themeColor="text1"/>
          <w:sz w:val="24"/>
          <w:szCs w:val="24"/>
        </w:rPr>
        <w:t xml:space="preserve"> 40</w:t>
      </w:r>
      <w:r w:rsidR="003D15A3">
        <w:rPr>
          <w:rFonts w:asciiTheme="majorBidi" w:hAnsiTheme="majorBidi"/>
          <w:color w:val="000000" w:themeColor="text1"/>
          <w:sz w:val="24"/>
          <w:szCs w:val="24"/>
        </w:rPr>
        <w:t>(3)</w:t>
      </w:r>
      <w:r w:rsidR="004E0DDE" w:rsidRPr="005E73C2">
        <w:rPr>
          <w:rFonts w:asciiTheme="majorBidi" w:hAnsiTheme="majorBidi"/>
          <w:b/>
          <w:color w:val="000000" w:themeColor="text1"/>
          <w:sz w:val="24"/>
          <w:szCs w:val="24"/>
        </w:rPr>
        <w:t>,</w:t>
      </w:r>
      <w:r w:rsidR="004E0DDE" w:rsidRPr="005E73C2">
        <w:rPr>
          <w:rFonts w:asciiTheme="majorBidi" w:hAnsiTheme="majorBidi"/>
          <w:color w:val="000000" w:themeColor="text1"/>
          <w:sz w:val="24"/>
          <w:szCs w:val="24"/>
        </w:rPr>
        <w:t xml:space="preserve"> 469-473.</w:t>
      </w:r>
    </w:p>
    <w:p w14:paraId="0E532122" w14:textId="77777777" w:rsidR="0091178F" w:rsidRPr="0091178F" w:rsidRDefault="0091178F" w:rsidP="0091178F"/>
    <w:p w14:paraId="52673EB0" w14:textId="77777777" w:rsidR="0091178F" w:rsidRPr="0091178F" w:rsidRDefault="0091178F" w:rsidP="0091178F"/>
    <w:p w14:paraId="78A4C7BD" w14:textId="77777777" w:rsidR="0091178F" w:rsidRPr="0091178F" w:rsidRDefault="0091178F" w:rsidP="0091178F"/>
    <w:p w14:paraId="728B9158" w14:textId="77777777" w:rsidR="0091178F" w:rsidRPr="0091178F" w:rsidRDefault="0091178F" w:rsidP="0091178F"/>
    <w:p w14:paraId="7BB27CD5" w14:textId="77777777" w:rsidR="0091178F" w:rsidRPr="0091178F" w:rsidRDefault="0091178F" w:rsidP="0091178F"/>
    <w:p w14:paraId="0F8CCF4A" w14:textId="7FF51CBA" w:rsidR="0091178F" w:rsidRDefault="0091178F" w:rsidP="0091178F"/>
    <w:p w14:paraId="795BF896" w14:textId="77777777" w:rsidR="0091178F" w:rsidRDefault="0091178F">
      <w:pPr>
        <w:widowControl/>
        <w:spacing w:after="160" w:line="259" w:lineRule="auto"/>
        <w:jc w:val="left"/>
      </w:pPr>
      <w:r>
        <w:br w:type="page"/>
      </w:r>
    </w:p>
    <w:p w14:paraId="02B75C0B" w14:textId="77777777" w:rsidR="0091178F" w:rsidRPr="005E73C2" w:rsidRDefault="0091178F" w:rsidP="0091178F">
      <w:pPr>
        <w:widowControl/>
        <w:jc w:val="center"/>
        <w:rPr>
          <w:rFonts w:asciiTheme="majorBidi" w:hAnsiTheme="majorBidi" w:cstheme="majorBidi"/>
          <w:b/>
          <w:bCs/>
          <w:color w:val="000000" w:themeColor="text1"/>
          <w:sz w:val="24"/>
          <w:szCs w:val="28"/>
          <w:u w:val="single"/>
        </w:rPr>
      </w:pPr>
      <w:r w:rsidRPr="005E73C2">
        <w:rPr>
          <w:rFonts w:asciiTheme="majorBidi" w:hAnsiTheme="majorBidi" w:cstheme="majorBidi"/>
          <w:b/>
          <w:bCs/>
          <w:color w:val="000000" w:themeColor="text1"/>
          <w:sz w:val="24"/>
          <w:szCs w:val="28"/>
          <w:u w:val="single"/>
        </w:rPr>
        <w:lastRenderedPageBreak/>
        <w:t>List of Tables</w:t>
      </w:r>
    </w:p>
    <w:p w14:paraId="4F52D0DC" w14:textId="77777777" w:rsidR="0091178F" w:rsidRDefault="0091178F" w:rsidP="0091178F">
      <w:pPr>
        <w:rPr>
          <w:rFonts w:asciiTheme="majorBidi" w:hAnsiTheme="majorBidi" w:cstheme="majorBidi"/>
          <w:color w:val="000000" w:themeColor="text1"/>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92"/>
        <w:gridCol w:w="993"/>
        <w:gridCol w:w="425"/>
        <w:gridCol w:w="567"/>
        <w:gridCol w:w="283"/>
        <w:gridCol w:w="567"/>
        <w:gridCol w:w="103"/>
        <w:gridCol w:w="890"/>
        <w:gridCol w:w="64"/>
        <w:gridCol w:w="928"/>
        <w:gridCol w:w="25"/>
        <w:gridCol w:w="954"/>
        <w:gridCol w:w="13"/>
        <w:gridCol w:w="941"/>
      </w:tblGrid>
      <w:tr w:rsidR="0091178F" w:rsidRPr="00E46451" w14:paraId="748EB614" w14:textId="77777777" w:rsidTr="006D78DE">
        <w:tc>
          <w:tcPr>
            <w:tcW w:w="9016" w:type="dxa"/>
            <w:gridSpan w:val="15"/>
            <w:tcBorders>
              <w:bottom w:val="single" w:sz="6" w:space="0" w:color="auto"/>
            </w:tcBorders>
          </w:tcPr>
          <w:p w14:paraId="372370F9" w14:textId="77777777" w:rsidR="0091178F" w:rsidRPr="007F6189" w:rsidRDefault="0091178F" w:rsidP="006D78DE">
            <w:pPr>
              <w:spacing w:line="276" w:lineRule="auto"/>
              <w:rPr>
                <w:rFonts w:ascii="Times New Roman" w:hAnsi="Times New Roman" w:cs="Times New Roman"/>
                <w:b/>
                <w:bCs/>
                <w:sz w:val="20"/>
                <w:szCs w:val="20"/>
              </w:rPr>
            </w:pPr>
            <w:r w:rsidRPr="007F6189">
              <w:rPr>
                <w:rFonts w:ascii="Times New Roman" w:hAnsi="Times New Roman" w:cs="Times New Roman"/>
                <w:b/>
                <w:bCs/>
                <w:sz w:val="20"/>
                <w:szCs w:val="20"/>
              </w:rPr>
              <w:t>Table 1</w:t>
            </w:r>
          </w:p>
          <w:p w14:paraId="65B1E442" w14:textId="1CD793A8" w:rsidR="0091178F" w:rsidRPr="007F6189" w:rsidRDefault="0091178F" w:rsidP="006D78DE">
            <w:pPr>
              <w:spacing w:line="276" w:lineRule="auto"/>
              <w:rPr>
                <w:rFonts w:ascii="Times New Roman" w:hAnsi="Times New Roman" w:cs="Times New Roman"/>
                <w:sz w:val="20"/>
                <w:szCs w:val="20"/>
              </w:rPr>
            </w:pPr>
            <w:r w:rsidRPr="007F6189">
              <w:rPr>
                <w:rFonts w:ascii="Times New Roman" w:hAnsi="Times New Roman" w:cs="Times New Roman"/>
                <w:sz w:val="20"/>
                <w:szCs w:val="20"/>
              </w:rPr>
              <w:t>Sample construction and distribution</w:t>
            </w:r>
            <w:r w:rsidR="00A97628">
              <w:rPr>
                <w:rFonts w:ascii="Times New Roman" w:hAnsi="Times New Roman" w:cs="Times New Roman"/>
                <w:sz w:val="20"/>
                <w:szCs w:val="20"/>
              </w:rPr>
              <w:t>.</w:t>
            </w:r>
          </w:p>
        </w:tc>
      </w:tr>
      <w:tr w:rsidR="0091178F" w:rsidRPr="00E46451" w14:paraId="787B8A33" w14:textId="77777777" w:rsidTr="006D78DE">
        <w:tc>
          <w:tcPr>
            <w:tcW w:w="9016" w:type="dxa"/>
            <w:gridSpan w:val="15"/>
            <w:tcBorders>
              <w:top w:val="single" w:sz="6" w:space="0" w:color="auto"/>
            </w:tcBorders>
          </w:tcPr>
          <w:p w14:paraId="21EC1202" w14:textId="77777777" w:rsidR="0091178F" w:rsidRPr="00502A01" w:rsidRDefault="0091178F" w:rsidP="006D78DE">
            <w:pPr>
              <w:spacing w:line="276" w:lineRule="auto"/>
              <w:rPr>
                <w:rFonts w:ascii="Times New Roman" w:hAnsi="Times New Roman" w:cs="Times New Roman"/>
                <w:sz w:val="18"/>
                <w:szCs w:val="18"/>
              </w:rPr>
            </w:pPr>
            <w:r w:rsidRPr="00502A01">
              <w:rPr>
                <w:rFonts w:ascii="Times New Roman" w:hAnsi="Times New Roman" w:cs="Times New Roman"/>
                <w:sz w:val="18"/>
                <w:szCs w:val="18"/>
              </w:rPr>
              <w:t xml:space="preserve">Panel A: </w:t>
            </w:r>
            <w:r>
              <w:rPr>
                <w:rFonts w:ascii="Times New Roman" w:hAnsi="Times New Roman" w:cs="Times New Roman"/>
                <w:sz w:val="18"/>
                <w:szCs w:val="18"/>
              </w:rPr>
              <w:t>Sample s</w:t>
            </w:r>
            <w:r w:rsidRPr="00502A01">
              <w:rPr>
                <w:rFonts w:ascii="Times New Roman" w:hAnsi="Times New Roman" w:cs="Times New Roman"/>
                <w:sz w:val="18"/>
                <w:szCs w:val="18"/>
              </w:rPr>
              <w:t>election</w:t>
            </w:r>
            <w:r>
              <w:rPr>
                <w:rFonts w:ascii="Times New Roman" w:hAnsi="Times New Roman" w:cs="Times New Roman"/>
                <w:sz w:val="18"/>
                <w:szCs w:val="18"/>
              </w:rPr>
              <w:t xml:space="preserve"> procedure</w:t>
            </w:r>
          </w:p>
        </w:tc>
      </w:tr>
      <w:tr w:rsidR="0091178F" w:rsidRPr="00E46451" w14:paraId="5A85157C" w14:textId="77777777" w:rsidTr="006D78DE">
        <w:tc>
          <w:tcPr>
            <w:tcW w:w="4248" w:type="dxa"/>
            <w:gridSpan w:val="5"/>
            <w:tcBorders>
              <w:top w:val="single" w:sz="6" w:space="0" w:color="auto"/>
            </w:tcBorders>
          </w:tcPr>
          <w:p w14:paraId="3671BE90" w14:textId="77777777" w:rsidR="0091178F" w:rsidRPr="00502A01" w:rsidRDefault="0091178F" w:rsidP="006D78DE">
            <w:pPr>
              <w:spacing w:line="276" w:lineRule="auto"/>
              <w:rPr>
                <w:rFonts w:ascii="Times New Roman" w:hAnsi="Times New Roman" w:cs="Times New Roman"/>
                <w:sz w:val="18"/>
                <w:szCs w:val="18"/>
              </w:rPr>
            </w:pPr>
          </w:p>
        </w:tc>
        <w:tc>
          <w:tcPr>
            <w:tcW w:w="953" w:type="dxa"/>
            <w:gridSpan w:val="3"/>
            <w:tcBorders>
              <w:top w:val="single" w:sz="6" w:space="0" w:color="auto"/>
            </w:tcBorders>
          </w:tcPr>
          <w:p w14:paraId="44A873DA"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Borders>
              <w:top w:val="single" w:sz="6" w:space="0" w:color="auto"/>
            </w:tcBorders>
          </w:tcPr>
          <w:p w14:paraId="0D714E5C" w14:textId="77777777" w:rsidR="0091178F" w:rsidRPr="00252C36" w:rsidRDefault="0091178F" w:rsidP="006D78DE">
            <w:pPr>
              <w:spacing w:line="276" w:lineRule="auto"/>
              <w:jc w:val="right"/>
              <w:rPr>
                <w:rFonts w:ascii="Times New Roman" w:hAnsi="Times New Roman" w:cs="Times New Roman"/>
                <w:sz w:val="18"/>
                <w:szCs w:val="18"/>
              </w:rPr>
            </w:pPr>
          </w:p>
        </w:tc>
        <w:tc>
          <w:tcPr>
            <w:tcW w:w="953" w:type="dxa"/>
            <w:gridSpan w:val="2"/>
            <w:tcBorders>
              <w:top w:val="single" w:sz="6" w:space="0" w:color="auto"/>
            </w:tcBorders>
          </w:tcPr>
          <w:p w14:paraId="4ED7E2EF"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tcBorders>
              <w:top w:val="single" w:sz="6" w:space="0" w:color="auto"/>
            </w:tcBorders>
          </w:tcPr>
          <w:p w14:paraId="4B29B78D"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Borders>
              <w:top w:val="single" w:sz="6" w:space="0" w:color="auto"/>
            </w:tcBorders>
          </w:tcPr>
          <w:p w14:paraId="1A737610" w14:textId="77777777" w:rsidR="0091178F" w:rsidRPr="00BC0C94" w:rsidRDefault="0091178F" w:rsidP="006D78DE">
            <w:pPr>
              <w:spacing w:line="276" w:lineRule="auto"/>
              <w:jc w:val="center"/>
              <w:rPr>
                <w:rFonts w:ascii="Times New Roman" w:hAnsi="Times New Roman" w:cs="Times New Roman"/>
                <w:i/>
                <w:iCs/>
                <w:sz w:val="18"/>
                <w:szCs w:val="18"/>
              </w:rPr>
            </w:pPr>
            <w:r w:rsidRPr="00BC0C94">
              <w:rPr>
                <w:rFonts w:ascii="Times New Roman" w:hAnsi="Times New Roman" w:cs="Times New Roman"/>
                <w:i/>
                <w:iCs/>
                <w:sz w:val="18"/>
                <w:szCs w:val="18"/>
              </w:rPr>
              <w:t>N</w:t>
            </w:r>
          </w:p>
        </w:tc>
      </w:tr>
      <w:tr w:rsidR="0091178F" w:rsidRPr="00E46451" w14:paraId="54653823" w14:textId="77777777" w:rsidTr="006D78DE">
        <w:tc>
          <w:tcPr>
            <w:tcW w:w="4248" w:type="dxa"/>
            <w:gridSpan w:val="5"/>
          </w:tcPr>
          <w:p w14:paraId="3E960F70" w14:textId="77777777" w:rsidR="0091178F" w:rsidRPr="00502A01" w:rsidRDefault="0091178F" w:rsidP="006D78DE">
            <w:pPr>
              <w:spacing w:line="276" w:lineRule="auto"/>
              <w:rPr>
                <w:rFonts w:ascii="Times New Roman" w:hAnsi="Times New Roman" w:cs="Times New Roman"/>
                <w:sz w:val="18"/>
                <w:szCs w:val="18"/>
              </w:rPr>
            </w:pPr>
            <w:r w:rsidRPr="00502A01">
              <w:rPr>
                <w:rFonts w:ascii="Times New Roman" w:hAnsi="Times New Roman" w:cs="Times New Roman"/>
                <w:sz w:val="18"/>
                <w:szCs w:val="18"/>
              </w:rPr>
              <w:t>All FTSE All-Share firms</w:t>
            </w:r>
            <w:r>
              <w:rPr>
                <w:rFonts w:ascii="Times New Roman" w:hAnsi="Times New Roman" w:cs="Times New Roman"/>
                <w:sz w:val="18"/>
                <w:szCs w:val="18"/>
              </w:rPr>
              <w:t xml:space="preserve"> </w:t>
            </w:r>
            <w:r w:rsidRPr="00502A01">
              <w:rPr>
                <w:rFonts w:ascii="Times New Roman" w:hAnsi="Times New Roman" w:cs="Times New Roman"/>
                <w:sz w:val="18"/>
                <w:szCs w:val="18"/>
              </w:rPr>
              <w:t>during 2013-2020</w:t>
            </w:r>
          </w:p>
        </w:tc>
        <w:tc>
          <w:tcPr>
            <w:tcW w:w="953" w:type="dxa"/>
            <w:gridSpan w:val="3"/>
          </w:tcPr>
          <w:p w14:paraId="1DDB09EA"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771821C2" w14:textId="77777777" w:rsidR="0091178F" w:rsidRPr="00252C36" w:rsidRDefault="0091178F" w:rsidP="006D78DE">
            <w:pPr>
              <w:spacing w:line="276" w:lineRule="auto"/>
              <w:jc w:val="right"/>
              <w:rPr>
                <w:rFonts w:ascii="Times New Roman" w:hAnsi="Times New Roman" w:cs="Times New Roman"/>
                <w:sz w:val="18"/>
                <w:szCs w:val="18"/>
              </w:rPr>
            </w:pPr>
          </w:p>
        </w:tc>
        <w:tc>
          <w:tcPr>
            <w:tcW w:w="953" w:type="dxa"/>
            <w:gridSpan w:val="2"/>
          </w:tcPr>
          <w:p w14:paraId="73D401D0"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tcPr>
          <w:p w14:paraId="27568FF6"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3EDD8C89" w14:textId="77777777" w:rsidR="0091178F" w:rsidRPr="00252C36" w:rsidRDefault="0091178F" w:rsidP="006D78DE">
            <w:pPr>
              <w:spacing w:line="276" w:lineRule="auto"/>
              <w:jc w:val="center"/>
              <w:rPr>
                <w:rFonts w:ascii="Times New Roman" w:hAnsi="Times New Roman" w:cs="Times New Roman"/>
                <w:sz w:val="18"/>
                <w:szCs w:val="18"/>
              </w:rPr>
            </w:pPr>
            <w:r w:rsidRPr="00252C36">
              <w:rPr>
                <w:rFonts w:ascii="Times New Roman" w:hAnsi="Times New Roman" w:cs="Times New Roman"/>
                <w:sz w:val="18"/>
                <w:szCs w:val="18"/>
              </w:rPr>
              <w:t>4,968</w:t>
            </w:r>
          </w:p>
        </w:tc>
      </w:tr>
      <w:tr w:rsidR="0091178F" w:rsidRPr="00E46451" w14:paraId="66C91E33" w14:textId="77777777" w:rsidTr="006D78DE">
        <w:tc>
          <w:tcPr>
            <w:tcW w:w="4248" w:type="dxa"/>
            <w:gridSpan w:val="5"/>
          </w:tcPr>
          <w:p w14:paraId="4A2784C9" w14:textId="77777777" w:rsidR="0091178F" w:rsidRPr="00502A01" w:rsidRDefault="0091178F" w:rsidP="006D78DE">
            <w:pPr>
              <w:spacing w:line="276" w:lineRule="auto"/>
              <w:ind w:left="283"/>
              <w:rPr>
                <w:rFonts w:ascii="Times New Roman" w:hAnsi="Times New Roman" w:cs="Times New Roman"/>
                <w:sz w:val="18"/>
                <w:szCs w:val="18"/>
              </w:rPr>
            </w:pPr>
            <w:r>
              <w:rPr>
                <w:rFonts w:ascii="Times New Roman" w:hAnsi="Times New Roman" w:cs="Times New Roman"/>
                <w:sz w:val="18"/>
                <w:szCs w:val="18"/>
              </w:rPr>
              <w:t xml:space="preserve">(1) </w:t>
            </w:r>
            <w:r w:rsidRPr="00502A01">
              <w:rPr>
                <w:rFonts w:ascii="Times New Roman" w:hAnsi="Times New Roman" w:cs="Times New Roman"/>
                <w:sz w:val="18"/>
                <w:szCs w:val="18"/>
              </w:rPr>
              <w:t>Less: Observations in the financial sector</w:t>
            </w:r>
          </w:p>
        </w:tc>
        <w:tc>
          <w:tcPr>
            <w:tcW w:w="953" w:type="dxa"/>
            <w:gridSpan w:val="3"/>
          </w:tcPr>
          <w:p w14:paraId="691DE656"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3B1A70D8" w14:textId="77777777" w:rsidR="0091178F" w:rsidRPr="00252C36" w:rsidRDefault="0091178F" w:rsidP="006D78DE">
            <w:pPr>
              <w:spacing w:line="276" w:lineRule="auto"/>
              <w:jc w:val="right"/>
              <w:rPr>
                <w:rFonts w:ascii="Times New Roman" w:hAnsi="Times New Roman" w:cs="Times New Roman"/>
                <w:sz w:val="18"/>
                <w:szCs w:val="18"/>
              </w:rPr>
            </w:pPr>
          </w:p>
        </w:tc>
        <w:tc>
          <w:tcPr>
            <w:tcW w:w="953" w:type="dxa"/>
            <w:gridSpan w:val="2"/>
          </w:tcPr>
          <w:p w14:paraId="0067F520"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tcPr>
          <w:p w14:paraId="2F337A42"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64E60134" w14:textId="77777777" w:rsidR="0091178F" w:rsidRPr="00252C36" w:rsidRDefault="0091178F" w:rsidP="006D78DE">
            <w:pPr>
              <w:spacing w:line="276" w:lineRule="auto"/>
              <w:jc w:val="center"/>
              <w:rPr>
                <w:rFonts w:ascii="Times New Roman" w:hAnsi="Times New Roman" w:cs="Times New Roman"/>
                <w:sz w:val="18"/>
                <w:szCs w:val="18"/>
              </w:rPr>
            </w:pPr>
            <w:r w:rsidRPr="00252C36">
              <w:rPr>
                <w:rFonts w:ascii="Times New Roman" w:hAnsi="Times New Roman" w:cs="Times New Roman"/>
                <w:sz w:val="18"/>
                <w:szCs w:val="18"/>
              </w:rPr>
              <w:t>2,048</w:t>
            </w:r>
          </w:p>
        </w:tc>
      </w:tr>
      <w:tr w:rsidR="0091178F" w:rsidRPr="00E46451" w14:paraId="7A011F6A" w14:textId="77777777" w:rsidTr="006D78DE">
        <w:tc>
          <w:tcPr>
            <w:tcW w:w="4248" w:type="dxa"/>
            <w:gridSpan w:val="5"/>
          </w:tcPr>
          <w:p w14:paraId="4C988376" w14:textId="77777777" w:rsidR="0091178F" w:rsidRPr="00502A01" w:rsidRDefault="0091178F" w:rsidP="006D78DE">
            <w:pPr>
              <w:spacing w:line="276" w:lineRule="auto"/>
              <w:ind w:left="283"/>
              <w:rPr>
                <w:rFonts w:ascii="Times New Roman" w:hAnsi="Times New Roman" w:cs="Times New Roman"/>
                <w:sz w:val="18"/>
                <w:szCs w:val="18"/>
              </w:rPr>
            </w:pPr>
            <w:r>
              <w:rPr>
                <w:rFonts w:ascii="Times New Roman" w:hAnsi="Times New Roman" w:cs="Times New Roman"/>
                <w:sz w:val="18"/>
                <w:szCs w:val="18"/>
              </w:rPr>
              <w:t xml:space="preserve">(2) </w:t>
            </w:r>
            <w:r w:rsidRPr="00502A01">
              <w:rPr>
                <w:rFonts w:ascii="Times New Roman" w:hAnsi="Times New Roman" w:cs="Times New Roman"/>
                <w:sz w:val="18"/>
                <w:szCs w:val="18"/>
              </w:rPr>
              <w:t>Less: Observations without AC chair’s signature</w:t>
            </w:r>
          </w:p>
        </w:tc>
        <w:tc>
          <w:tcPr>
            <w:tcW w:w="953" w:type="dxa"/>
            <w:gridSpan w:val="3"/>
          </w:tcPr>
          <w:p w14:paraId="11F82627"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77DC694D" w14:textId="77777777" w:rsidR="0091178F" w:rsidRPr="00252C36" w:rsidRDefault="0091178F" w:rsidP="006D78DE">
            <w:pPr>
              <w:spacing w:line="276" w:lineRule="auto"/>
              <w:jc w:val="right"/>
              <w:rPr>
                <w:rFonts w:ascii="Times New Roman" w:hAnsi="Times New Roman" w:cs="Times New Roman"/>
                <w:sz w:val="18"/>
                <w:szCs w:val="18"/>
              </w:rPr>
            </w:pPr>
          </w:p>
        </w:tc>
        <w:tc>
          <w:tcPr>
            <w:tcW w:w="953" w:type="dxa"/>
            <w:gridSpan w:val="2"/>
          </w:tcPr>
          <w:p w14:paraId="5DC0A595"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tcPr>
          <w:p w14:paraId="429D33A6"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23D33E13" w14:textId="77777777" w:rsidR="0091178F" w:rsidRPr="00252C36" w:rsidRDefault="0091178F" w:rsidP="006D78DE">
            <w:pPr>
              <w:spacing w:line="276" w:lineRule="auto"/>
              <w:jc w:val="center"/>
              <w:rPr>
                <w:rFonts w:ascii="Times New Roman" w:hAnsi="Times New Roman" w:cs="Times New Roman"/>
                <w:sz w:val="18"/>
                <w:szCs w:val="18"/>
              </w:rPr>
            </w:pPr>
            <w:r w:rsidRPr="00252C36">
              <w:rPr>
                <w:rFonts w:ascii="Times New Roman" w:hAnsi="Times New Roman" w:cs="Times New Roman"/>
                <w:sz w:val="18"/>
                <w:szCs w:val="18"/>
              </w:rPr>
              <w:t>2,250</w:t>
            </w:r>
          </w:p>
        </w:tc>
      </w:tr>
      <w:tr w:rsidR="0091178F" w:rsidRPr="00E46451" w14:paraId="63B9316D" w14:textId="77777777" w:rsidTr="006D78DE">
        <w:tc>
          <w:tcPr>
            <w:tcW w:w="4248" w:type="dxa"/>
            <w:gridSpan w:val="5"/>
          </w:tcPr>
          <w:p w14:paraId="181F0E69" w14:textId="77777777" w:rsidR="0091178F" w:rsidRPr="00502A01" w:rsidRDefault="0091178F" w:rsidP="006D78DE">
            <w:pPr>
              <w:spacing w:line="276" w:lineRule="auto"/>
              <w:rPr>
                <w:rFonts w:ascii="Times New Roman" w:hAnsi="Times New Roman" w:cs="Times New Roman"/>
                <w:sz w:val="18"/>
                <w:szCs w:val="18"/>
              </w:rPr>
            </w:pPr>
            <w:r w:rsidRPr="00502A01">
              <w:rPr>
                <w:rFonts w:ascii="Times New Roman" w:hAnsi="Times New Roman" w:cs="Times New Roman"/>
                <w:sz w:val="18"/>
                <w:szCs w:val="18"/>
              </w:rPr>
              <w:t>Final sample</w:t>
            </w:r>
          </w:p>
        </w:tc>
        <w:tc>
          <w:tcPr>
            <w:tcW w:w="953" w:type="dxa"/>
            <w:gridSpan w:val="3"/>
          </w:tcPr>
          <w:p w14:paraId="7A789102"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7E5FE2C6" w14:textId="77777777" w:rsidR="0091178F" w:rsidRPr="00252C36" w:rsidRDefault="0091178F" w:rsidP="006D78DE">
            <w:pPr>
              <w:spacing w:line="276" w:lineRule="auto"/>
              <w:jc w:val="right"/>
              <w:rPr>
                <w:rFonts w:ascii="Times New Roman" w:hAnsi="Times New Roman" w:cs="Times New Roman"/>
                <w:sz w:val="18"/>
                <w:szCs w:val="18"/>
              </w:rPr>
            </w:pPr>
          </w:p>
        </w:tc>
        <w:tc>
          <w:tcPr>
            <w:tcW w:w="953" w:type="dxa"/>
            <w:gridSpan w:val="2"/>
          </w:tcPr>
          <w:p w14:paraId="3F8BB93F"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tcPr>
          <w:p w14:paraId="6E4E6E57" w14:textId="77777777" w:rsidR="0091178F" w:rsidRPr="00252C36" w:rsidRDefault="0091178F" w:rsidP="006D78DE">
            <w:pPr>
              <w:spacing w:line="276" w:lineRule="auto"/>
              <w:jc w:val="right"/>
              <w:rPr>
                <w:rFonts w:ascii="Times New Roman" w:hAnsi="Times New Roman" w:cs="Times New Roman"/>
                <w:sz w:val="18"/>
                <w:szCs w:val="18"/>
              </w:rPr>
            </w:pPr>
          </w:p>
        </w:tc>
        <w:tc>
          <w:tcPr>
            <w:tcW w:w="954" w:type="dxa"/>
            <w:gridSpan w:val="2"/>
          </w:tcPr>
          <w:p w14:paraId="51EBF23F" w14:textId="77777777" w:rsidR="0091178F" w:rsidRPr="00252C36" w:rsidRDefault="0091178F" w:rsidP="006D78DE">
            <w:pPr>
              <w:spacing w:line="276" w:lineRule="auto"/>
              <w:jc w:val="center"/>
              <w:rPr>
                <w:rFonts w:ascii="Times New Roman" w:hAnsi="Times New Roman" w:cs="Times New Roman"/>
                <w:sz w:val="18"/>
                <w:szCs w:val="18"/>
              </w:rPr>
            </w:pPr>
            <w:r w:rsidRPr="00252C36">
              <w:rPr>
                <w:rFonts w:ascii="Times New Roman" w:hAnsi="Times New Roman" w:cs="Times New Roman"/>
                <w:sz w:val="18"/>
                <w:szCs w:val="18"/>
                <w:u w:val="single"/>
              </w:rPr>
              <w:t>670</w:t>
            </w:r>
          </w:p>
        </w:tc>
      </w:tr>
      <w:tr w:rsidR="0091178F" w:rsidRPr="00E46451" w14:paraId="62D811B9" w14:textId="77777777" w:rsidTr="006D78DE">
        <w:tc>
          <w:tcPr>
            <w:tcW w:w="9016" w:type="dxa"/>
            <w:gridSpan w:val="15"/>
            <w:tcBorders>
              <w:bottom w:val="single" w:sz="6" w:space="0" w:color="auto"/>
            </w:tcBorders>
          </w:tcPr>
          <w:p w14:paraId="52AA1AEF" w14:textId="77777777" w:rsidR="0091178F" w:rsidRDefault="0091178F" w:rsidP="006D78DE">
            <w:pPr>
              <w:spacing w:line="276" w:lineRule="auto"/>
              <w:rPr>
                <w:rFonts w:ascii="Times New Roman" w:hAnsi="Times New Roman" w:cs="Times New Roman"/>
                <w:sz w:val="18"/>
                <w:szCs w:val="18"/>
              </w:rPr>
            </w:pPr>
          </w:p>
        </w:tc>
      </w:tr>
      <w:tr w:rsidR="0091178F" w:rsidRPr="00E46451" w14:paraId="4F5A2C50" w14:textId="77777777" w:rsidTr="006D78DE">
        <w:tc>
          <w:tcPr>
            <w:tcW w:w="9016" w:type="dxa"/>
            <w:gridSpan w:val="15"/>
            <w:tcBorders>
              <w:top w:val="single" w:sz="6" w:space="0" w:color="auto"/>
            </w:tcBorders>
          </w:tcPr>
          <w:p w14:paraId="162CCA50" w14:textId="77777777" w:rsidR="0091178F" w:rsidRPr="00E46451"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Panel B: Characteristics of sample firms and excluded firms</w:t>
            </w:r>
          </w:p>
        </w:tc>
      </w:tr>
      <w:tr w:rsidR="0091178F" w:rsidRPr="00E46451" w14:paraId="14B45E4D" w14:textId="77777777" w:rsidTr="006D78DE">
        <w:tc>
          <w:tcPr>
            <w:tcW w:w="1271" w:type="dxa"/>
            <w:tcBorders>
              <w:top w:val="single" w:sz="6" w:space="0" w:color="auto"/>
              <w:bottom w:val="single" w:sz="6" w:space="0" w:color="auto"/>
            </w:tcBorders>
          </w:tcPr>
          <w:p w14:paraId="5162DD51" w14:textId="77777777" w:rsidR="0091178F" w:rsidRPr="00E46451" w:rsidRDefault="0091178F" w:rsidP="006D78DE">
            <w:pPr>
              <w:spacing w:line="276" w:lineRule="auto"/>
              <w:rPr>
                <w:rFonts w:ascii="Times New Roman" w:hAnsi="Times New Roman" w:cs="Times New Roman"/>
                <w:sz w:val="18"/>
                <w:szCs w:val="18"/>
              </w:rPr>
            </w:pPr>
          </w:p>
        </w:tc>
        <w:tc>
          <w:tcPr>
            <w:tcW w:w="3827" w:type="dxa"/>
            <w:gridSpan w:val="6"/>
            <w:tcBorders>
              <w:top w:val="single" w:sz="6" w:space="0" w:color="auto"/>
            </w:tcBorders>
          </w:tcPr>
          <w:p w14:paraId="58D1479D" w14:textId="77777777" w:rsidR="0091178F" w:rsidRPr="003323A2" w:rsidRDefault="0091178F" w:rsidP="006D78DE">
            <w:pPr>
              <w:spacing w:line="276" w:lineRule="auto"/>
              <w:jc w:val="center"/>
              <w:rPr>
                <w:rFonts w:ascii="Times New Roman" w:hAnsi="Times New Roman" w:cs="Times New Roman"/>
                <w:sz w:val="18"/>
                <w:szCs w:val="18"/>
                <w:u w:val="single"/>
              </w:rPr>
            </w:pPr>
            <w:r w:rsidRPr="003323A2">
              <w:rPr>
                <w:rFonts w:ascii="Times New Roman" w:hAnsi="Times New Roman" w:cs="Times New Roman"/>
                <w:sz w:val="18"/>
                <w:szCs w:val="18"/>
                <w:u w:val="single"/>
              </w:rPr>
              <w:t>Selected sample firms</w:t>
            </w:r>
          </w:p>
        </w:tc>
        <w:tc>
          <w:tcPr>
            <w:tcW w:w="3918" w:type="dxa"/>
            <w:gridSpan w:val="8"/>
            <w:tcBorders>
              <w:top w:val="single" w:sz="6" w:space="0" w:color="auto"/>
              <w:bottom w:val="single" w:sz="6" w:space="0" w:color="auto"/>
            </w:tcBorders>
          </w:tcPr>
          <w:p w14:paraId="6FB52E0B" w14:textId="77777777" w:rsidR="0091178F" w:rsidRPr="003323A2" w:rsidRDefault="0091178F" w:rsidP="006D78DE">
            <w:pPr>
              <w:spacing w:line="276" w:lineRule="auto"/>
              <w:jc w:val="center"/>
              <w:rPr>
                <w:rFonts w:ascii="Times New Roman" w:hAnsi="Times New Roman" w:cs="Times New Roman"/>
                <w:sz w:val="18"/>
                <w:szCs w:val="18"/>
                <w:u w:val="single"/>
              </w:rPr>
            </w:pPr>
            <w:r w:rsidRPr="003323A2">
              <w:rPr>
                <w:rFonts w:ascii="Times New Roman" w:hAnsi="Times New Roman" w:cs="Times New Roman"/>
                <w:sz w:val="18"/>
                <w:szCs w:val="18"/>
                <w:u w:val="single"/>
              </w:rPr>
              <w:t>Firms excluded in stage two</w:t>
            </w:r>
          </w:p>
        </w:tc>
      </w:tr>
      <w:tr w:rsidR="0091178F" w:rsidRPr="00E46451" w14:paraId="2EE30D67" w14:textId="77777777" w:rsidTr="006D78DE">
        <w:trPr>
          <w:trHeight w:val="270"/>
        </w:trPr>
        <w:tc>
          <w:tcPr>
            <w:tcW w:w="1271" w:type="dxa"/>
            <w:tcBorders>
              <w:top w:val="single" w:sz="6" w:space="0" w:color="auto"/>
            </w:tcBorders>
          </w:tcPr>
          <w:p w14:paraId="66925EA7" w14:textId="77777777" w:rsidR="0091178F" w:rsidRPr="00BD311C" w:rsidRDefault="0091178F" w:rsidP="006D78DE">
            <w:pPr>
              <w:spacing w:line="276" w:lineRule="auto"/>
              <w:rPr>
                <w:rFonts w:ascii="Times New Roman" w:hAnsi="Times New Roman" w:cs="Times New Roman"/>
                <w:i/>
                <w:iCs/>
                <w:sz w:val="18"/>
                <w:szCs w:val="18"/>
              </w:rPr>
            </w:pPr>
            <w:r w:rsidRPr="00BD311C">
              <w:rPr>
                <w:rFonts w:ascii="Times New Roman" w:hAnsi="Times New Roman" w:cs="Times New Roman"/>
                <w:i/>
                <w:iCs/>
                <w:sz w:val="18"/>
                <w:szCs w:val="18"/>
              </w:rPr>
              <w:t>Year</w:t>
            </w:r>
          </w:p>
        </w:tc>
        <w:tc>
          <w:tcPr>
            <w:tcW w:w="992" w:type="dxa"/>
            <w:tcBorders>
              <w:top w:val="single" w:sz="6" w:space="0" w:color="auto"/>
            </w:tcBorders>
          </w:tcPr>
          <w:p w14:paraId="18460CBB"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2013</w:t>
            </w:r>
          </w:p>
        </w:tc>
        <w:tc>
          <w:tcPr>
            <w:tcW w:w="993" w:type="dxa"/>
            <w:tcBorders>
              <w:top w:val="single" w:sz="6" w:space="0" w:color="auto"/>
            </w:tcBorders>
          </w:tcPr>
          <w:p w14:paraId="5263102A"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2014</w:t>
            </w:r>
          </w:p>
        </w:tc>
        <w:tc>
          <w:tcPr>
            <w:tcW w:w="992" w:type="dxa"/>
            <w:gridSpan w:val="2"/>
            <w:tcBorders>
              <w:top w:val="single" w:sz="6" w:space="0" w:color="auto"/>
            </w:tcBorders>
          </w:tcPr>
          <w:p w14:paraId="3D6FF7DF"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2015</w:t>
            </w:r>
          </w:p>
        </w:tc>
        <w:tc>
          <w:tcPr>
            <w:tcW w:w="850" w:type="dxa"/>
            <w:gridSpan w:val="2"/>
            <w:tcBorders>
              <w:top w:val="single" w:sz="6" w:space="0" w:color="auto"/>
            </w:tcBorders>
          </w:tcPr>
          <w:p w14:paraId="0B84ECF9"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2016</w:t>
            </w:r>
          </w:p>
        </w:tc>
        <w:tc>
          <w:tcPr>
            <w:tcW w:w="993" w:type="dxa"/>
            <w:gridSpan w:val="2"/>
            <w:tcBorders>
              <w:top w:val="single" w:sz="6" w:space="0" w:color="auto"/>
            </w:tcBorders>
          </w:tcPr>
          <w:p w14:paraId="0583C076"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2013</w:t>
            </w:r>
          </w:p>
        </w:tc>
        <w:tc>
          <w:tcPr>
            <w:tcW w:w="992" w:type="dxa"/>
            <w:gridSpan w:val="2"/>
            <w:tcBorders>
              <w:top w:val="single" w:sz="6" w:space="0" w:color="auto"/>
            </w:tcBorders>
          </w:tcPr>
          <w:p w14:paraId="2A7B2498"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2014</w:t>
            </w:r>
          </w:p>
        </w:tc>
        <w:tc>
          <w:tcPr>
            <w:tcW w:w="992" w:type="dxa"/>
            <w:gridSpan w:val="3"/>
            <w:tcBorders>
              <w:top w:val="single" w:sz="6" w:space="0" w:color="auto"/>
            </w:tcBorders>
          </w:tcPr>
          <w:p w14:paraId="513797C3"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2015</w:t>
            </w:r>
          </w:p>
        </w:tc>
        <w:tc>
          <w:tcPr>
            <w:tcW w:w="941" w:type="dxa"/>
            <w:tcBorders>
              <w:top w:val="single" w:sz="6" w:space="0" w:color="auto"/>
            </w:tcBorders>
          </w:tcPr>
          <w:p w14:paraId="5CC5E4B0"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2016</w:t>
            </w:r>
          </w:p>
        </w:tc>
      </w:tr>
      <w:tr w:rsidR="0091178F" w:rsidRPr="00E46451" w14:paraId="48FF196D" w14:textId="77777777" w:rsidTr="006D78DE">
        <w:tc>
          <w:tcPr>
            <w:tcW w:w="1271" w:type="dxa"/>
          </w:tcPr>
          <w:p w14:paraId="5785FD9C" w14:textId="77777777" w:rsidR="0091178F" w:rsidRPr="00E46451"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M/B ratio</w:t>
            </w:r>
          </w:p>
        </w:tc>
        <w:tc>
          <w:tcPr>
            <w:tcW w:w="992" w:type="dxa"/>
          </w:tcPr>
          <w:p w14:paraId="4A5F37AB"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7.592</w:t>
            </w:r>
          </w:p>
        </w:tc>
        <w:tc>
          <w:tcPr>
            <w:tcW w:w="993" w:type="dxa"/>
          </w:tcPr>
          <w:p w14:paraId="41E76779"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13.851</w:t>
            </w:r>
          </w:p>
        </w:tc>
        <w:tc>
          <w:tcPr>
            <w:tcW w:w="992" w:type="dxa"/>
            <w:gridSpan w:val="2"/>
          </w:tcPr>
          <w:p w14:paraId="65796A51"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10.584</w:t>
            </w:r>
          </w:p>
        </w:tc>
        <w:tc>
          <w:tcPr>
            <w:tcW w:w="850" w:type="dxa"/>
            <w:gridSpan w:val="2"/>
          </w:tcPr>
          <w:p w14:paraId="7DF08BB3"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8.164</w:t>
            </w:r>
          </w:p>
        </w:tc>
        <w:tc>
          <w:tcPr>
            <w:tcW w:w="993" w:type="dxa"/>
            <w:gridSpan w:val="2"/>
          </w:tcPr>
          <w:p w14:paraId="102C4FE9"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2.000</w:t>
            </w:r>
          </w:p>
        </w:tc>
        <w:tc>
          <w:tcPr>
            <w:tcW w:w="992" w:type="dxa"/>
            <w:gridSpan w:val="2"/>
          </w:tcPr>
          <w:p w14:paraId="0F02571E"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1.947</w:t>
            </w:r>
          </w:p>
        </w:tc>
        <w:tc>
          <w:tcPr>
            <w:tcW w:w="992" w:type="dxa"/>
            <w:gridSpan w:val="3"/>
          </w:tcPr>
          <w:p w14:paraId="67D4D996"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4.045</w:t>
            </w:r>
          </w:p>
        </w:tc>
        <w:tc>
          <w:tcPr>
            <w:tcW w:w="941" w:type="dxa"/>
          </w:tcPr>
          <w:p w14:paraId="6BAC3877"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2.777</w:t>
            </w:r>
          </w:p>
        </w:tc>
      </w:tr>
      <w:tr w:rsidR="0091178F" w:rsidRPr="00E46451" w14:paraId="0BE6CF93" w14:textId="77777777" w:rsidTr="006D78DE">
        <w:tc>
          <w:tcPr>
            <w:tcW w:w="1271" w:type="dxa"/>
          </w:tcPr>
          <w:p w14:paraId="7D7F4F86" w14:textId="77777777" w:rsidR="0091178F" w:rsidRPr="00E46451"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Sales growth</w:t>
            </w:r>
          </w:p>
        </w:tc>
        <w:tc>
          <w:tcPr>
            <w:tcW w:w="992" w:type="dxa"/>
          </w:tcPr>
          <w:p w14:paraId="181ABB39"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0.065</w:t>
            </w:r>
          </w:p>
        </w:tc>
        <w:tc>
          <w:tcPr>
            <w:tcW w:w="993" w:type="dxa"/>
          </w:tcPr>
          <w:p w14:paraId="548D30C7"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0.003</w:t>
            </w:r>
          </w:p>
        </w:tc>
        <w:tc>
          <w:tcPr>
            <w:tcW w:w="992" w:type="dxa"/>
            <w:gridSpan w:val="2"/>
          </w:tcPr>
          <w:p w14:paraId="47952F8A"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-0.037</w:t>
            </w:r>
          </w:p>
        </w:tc>
        <w:tc>
          <w:tcPr>
            <w:tcW w:w="850" w:type="dxa"/>
            <w:gridSpan w:val="2"/>
          </w:tcPr>
          <w:p w14:paraId="414D9487"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0.102</w:t>
            </w:r>
          </w:p>
        </w:tc>
        <w:tc>
          <w:tcPr>
            <w:tcW w:w="993" w:type="dxa"/>
            <w:gridSpan w:val="2"/>
          </w:tcPr>
          <w:p w14:paraId="5847DF40"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0.953</w:t>
            </w:r>
          </w:p>
        </w:tc>
        <w:tc>
          <w:tcPr>
            <w:tcW w:w="992" w:type="dxa"/>
            <w:gridSpan w:val="2"/>
          </w:tcPr>
          <w:p w14:paraId="584C7CC8"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0.260</w:t>
            </w:r>
          </w:p>
        </w:tc>
        <w:tc>
          <w:tcPr>
            <w:tcW w:w="992" w:type="dxa"/>
            <w:gridSpan w:val="3"/>
          </w:tcPr>
          <w:p w14:paraId="095BD907"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0.117</w:t>
            </w:r>
          </w:p>
        </w:tc>
        <w:tc>
          <w:tcPr>
            <w:tcW w:w="941" w:type="dxa"/>
          </w:tcPr>
          <w:p w14:paraId="23A1A940"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0.178</w:t>
            </w:r>
          </w:p>
        </w:tc>
      </w:tr>
      <w:tr w:rsidR="0091178F" w:rsidRPr="00E46451" w14:paraId="1E5E871B" w14:textId="77777777" w:rsidTr="006D78DE">
        <w:tc>
          <w:tcPr>
            <w:tcW w:w="1271" w:type="dxa"/>
          </w:tcPr>
          <w:p w14:paraId="30B5ED48" w14:textId="77777777" w:rsidR="0091178F" w:rsidRPr="00E46451"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 xml:space="preserve">Leverage </w:t>
            </w:r>
          </w:p>
        </w:tc>
        <w:tc>
          <w:tcPr>
            <w:tcW w:w="992" w:type="dxa"/>
          </w:tcPr>
          <w:p w14:paraId="4E5CA372"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0.541</w:t>
            </w:r>
          </w:p>
        </w:tc>
        <w:tc>
          <w:tcPr>
            <w:tcW w:w="993" w:type="dxa"/>
          </w:tcPr>
          <w:p w14:paraId="52F72068"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0.571</w:t>
            </w:r>
          </w:p>
        </w:tc>
        <w:tc>
          <w:tcPr>
            <w:tcW w:w="992" w:type="dxa"/>
            <w:gridSpan w:val="2"/>
          </w:tcPr>
          <w:p w14:paraId="6DA3275F"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0.600</w:t>
            </w:r>
          </w:p>
        </w:tc>
        <w:tc>
          <w:tcPr>
            <w:tcW w:w="850" w:type="dxa"/>
            <w:gridSpan w:val="2"/>
          </w:tcPr>
          <w:p w14:paraId="272A4F70"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0.607</w:t>
            </w:r>
          </w:p>
        </w:tc>
        <w:tc>
          <w:tcPr>
            <w:tcW w:w="993" w:type="dxa"/>
            <w:gridSpan w:val="2"/>
          </w:tcPr>
          <w:p w14:paraId="1D365322"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0.574</w:t>
            </w:r>
          </w:p>
        </w:tc>
        <w:tc>
          <w:tcPr>
            <w:tcW w:w="992" w:type="dxa"/>
            <w:gridSpan w:val="2"/>
          </w:tcPr>
          <w:p w14:paraId="481FF1DA"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0.579</w:t>
            </w:r>
          </w:p>
        </w:tc>
        <w:tc>
          <w:tcPr>
            <w:tcW w:w="992" w:type="dxa"/>
            <w:gridSpan w:val="3"/>
          </w:tcPr>
          <w:p w14:paraId="0C8E225F"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0.558</w:t>
            </w:r>
          </w:p>
        </w:tc>
        <w:tc>
          <w:tcPr>
            <w:tcW w:w="941" w:type="dxa"/>
          </w:tcPr>
          <w:p w14:paraId="43C958C0"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0.554</w:t>
            </w:r>
          </w:p>
        </w:tc>
      </w:tr>
      <w:tr w:rsidR="0091178F" w:rsidRPr="00E46451" w14:paraId="5DDB5AE2" w14:textId="77777777" w:rsidTr="006D78DE">
        <w:tc>
          <w:tcPr>
            <w:tcW w:w="1271" w:type="dxa"/>
          </w:tcPr>
          <w:p w14:paraId="2B71E9FB" w14:textId="77777777" w:rsidR="0091178F" w:rsidRPr="00E46451"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ROA</w:t>
            </w:r>
          </w:p>
        </w:tc>
        <w:tc>
          <w:tcPr>
            <w:tcW w:w="992" w:type="dxa"/>
          </w:tcPr>
          <w:p w14:paraId="4C2A0D7C"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0.124</w:t>
            </w:r>
          </w:p>
        </w:tc>
        <w:tc>
          <w:tcPr>
            <w:tcW w:w="993" w:type="dxa"/>
          </w:tcPr>
          <w:p w14:paraId="04543CF2"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0.109</w:t>
            </w:r>
          </w:p>
        </w:tc>
        <w:tc>
          <w:tcPr>
            <w:tcW w:w="992" w:type="dxa"/>
            <w:gridSpan w:val="2"/>
          </w:tcPr>
          <w:p w14:paraId="2EB2BCCC"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0.098</w:t>
            </w:r>
          </w:p>
        </w:tc>
        <w:tc>
          <w:tcPr>
            <w:tcW w:w="850" w:type="dxa"/>
            <w:gridSpan w:val="2"/>
          </w:tcPr>
          <w:p w14:paraId="1A01B062"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0.091</w:t>
            </w:r>
          </w:p>
        </w:tc>
        <w:tc>
          <w:tcPr>
            <w:tcW w:w="993" w:type="dxa"/>
            <w:gridSpan w:val="2"/>
          </w:tcPr>
          <w:p w14:paraId="4DD86403"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0.083</w:t>
            </w:r>
          </w:p>
        </w:tc>
        <w:tc>
          <w:tcPr>
            <w:tcW w:w="992" w:type="dxa"/>
            <w:gridSpan w:val="2"/>
          </w:tcPr>
          <w:p w14:paraId="01819AB7"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0.081</w:t>
            </w:r>
          </w:p>
        </w:tc>
        <w:tc>
          <w:tcPr>
            <w:tcW w:w="992" w:type="dxa"/>
            <w:gridSpan w:val="3"/>
          </w:tcPr>
          <w:p w14:paraId="641906DD"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0.079</w:t>
            </w:r>
          </w:p>
        </w:tc>
        <w:tc>
          <w:tcPr>
            <w:tcW w:w="941" w:type="dxa"/>
          </w:tcPr>
          <w:p w14:paraId="2F2948D2" w14:textId="77777777" w:rsidR="0091178F" w:rsidRPr="00E46451"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0.076</w:t>
            </w:r>
          </w:p>
        </w:tc>
      </w:tr>
      <w:tr w:rsidR="0091178F" w:rsidRPr="00E46451" w14:paraId="6F9CA983" w14:textId="77777777" w:rsidTr="006D78DE">
        <w:trPr>
          <w:trHeight w:val="345"/>
        </w:trPr>
        <w:tc>
          <w:tcPr>
            <w:tcW w:w="1271" w:type="dxa"/>
          </w:tcPr>
          <w:p w14:paraId="433A6B97" w14:textId="77777777" w:rsidR="0091178F" w:rsidRPr="00A81C73" w:rsidRDefault="0091178F" w:rsidP="006D78DE">
            <w:pPr>
              <w:spacing w:line="276" w:lineRule="auto"/>
              <w:rPr>
                <w:rFonts w:ascii="Times New Roman" w:hAnsi="Times New Roman" w:cs="Times New Roman"/>
                <w:sz w:val="18"/>
                <w:szCs w:val="18"/>
              </w:rPr>
            </w:pPr>
            <w:r w:rsidRPr="00A81C73">
              <w:rPr>
                <w:rFonts w:ascii="Times New Roman" w:hAnsi="Times New Roman" w:cs="Times New Roman"/>
                <w:sz w:val="18"/>
                <w:szCs w:val="18"/>
              </w:rPr>
              <w:t xml:space="preserve">No. of </w:t>
            </w:r>
            <w:r>
              <w:rPr>
                <w:rFonts w:ascii="Times New Roman" w:hAnsi="Times New Roman" w:cs="Times New Roman"/>
                <w:sz w:val="18"/>
                <w:szCs w:val="18"/>
              </w:rPr>
              <w:t>f</w:t>
            </w:r>
            <w:r w:rsidRPr="00A81C73">
              <w:rPr>
                <w:rFonts w:ascii="Times New Roman" w:hAnsi="Times New Roman" w:cs="Times New Roman"/>
                <w:sz w:val="18"/>
                <w:szCs w:val="18"/>
              </w:rPr>
              <w:t>irms</w:t>
            </w:r>
          </w:p>
        </w:tc>
        <w:tc>
          <w:tcPr>
            <w:tcW w:w="992" w:type="dxa"/>
          </w:tcPr>
          <w:p w14:paraId="333E5161"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49</w:t>
            </w:r>
          </w:p>
        </w:tc>
        <w:tc>
          <w:tcPr>
            <w:tcW w:w="993" w:type="dxa"/>
          </w:tcPr>
          <w:p w14:paraId="78C4C1B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78</w:t>
            </w:r>
          </w:p>
        </w:tc>
        <w:tc>
          <w:tcPr>
            <w:tcW w:w="992" w:type="dxa"/>
            <w:gridSpan w:val="2"/>
          </w:tcPr>
          <w:p w14:paraId="2F4779C5"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86</w:t>
            </w:r>
          </w:p>
        </w:tc>
        <w:tc>
          <w:tcPr>
            <w:tcW w:w="850" w:type="dxa"/>
            <w:gridSpan w:val="2"/>
          </w:tcPr>
          <w:p w14:paraId="641745B8"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92</w:t>
            </w:r>
          </w:p>
        </w:tc>
        <w:tc>
          <w:tcPr>
            <w:tcW w:w="993" w:type="dxa"/>
            <w:gridSpan w:val="2"/>
          </w:tcPr>
          <w:p w14:paraId="6BDA84CC"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289</w:t>
            </w:r>
          </w:p>
        </w:tc>
        <w:tc>
          <w:tcPr>
            <w:tcW w:w="992" w:type="dxa"/>
            <w:gridSpan w:val="2"/>
          </w:tcPr>
          <w:p w14:paraId="392587F6"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276</w:t>
            </w:r>
          </w:p>
        </w:tc>
        <w:tc>
          <w:tcPr>
            <w:tcW w:w="992" w:type="dxa"/>
            <w:gridSpan w:val="3"/>
          </w:tcPr>
          <w:p w14:paraId="6FDDB9F6"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274</w:t>
            </w:r>
          </w:p>
        </w:tc>
        <w:tc>
          <w:tcPr>
            <w:tcW w:w="941" w:type="dxa"/>
          </w:tcPr>
          <w:p w14:paraId="28340B27"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276</w:t>
            </w:r>
          </w:p>
        </w:tc>
      </w:tr>
      <w:tr w:rsidR="0091178F" w:rsidRPr="00E46451" w14:paraId="47CAB182" w14:textId="77777777" w:rsidTr="006D78DE">
        <w:trPr>
          <w:trHeight w:val="293"/>
        </w:trPr>
        <w:tc>
          <w:tcPr>
            <w:tcW w:w="1271" w:type="dxa"/>
          </w:tcPr>
          <w:p w14:paraId="681FF854" w14:textId="77777777" w:rsidR="0091178F" w:rsidRPr="00BD311C" w:rsidRDefault="0091178F" w:rsidP="006D78DE">
            <w:pPr>
              <w:spacing w:line="276" w:lineRule="auto"/>
              <w:rPr>
                <w:rFonts w:ascii="Times New Roman" w:hAnsi="Times New Roman" w:cs="Times New Roman"/>
                <w:i/>
                <w:iCs/>
                <w:sz w:val="18"/>
                <w:szCs w:val="18"/>
              </w:rPr>
            </w:pPr>
            <w:r w:rsidRPr="00BD311C">
              <w:rPr>
                <w:rFonts w:ascii="Times New Roman" w:hAnsi="Times New Roman" w:cs="Times New Roman"/>
                <w:i/>
                <w:iCs/>
                <w:sz w:val="18"/>
                <w:szCs w:val="18"/>
              </w:rPr>
              <w:t xml:space="preserve">Year </w:t>
            </w:r>
          </w:p>
        </w:tc>
        <w:tc>
          <w:tcPr>
            <w:tcW w:w="992" w:type="dxa"/>
          </w:tcPr>
          <w:p w14:paraId="2D86A487"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2017</w:t>
            </w:r>
          </w:p>
        </w:tc>
        <w:tc>
          <w:tcPr>
            <w:tcW w:w="993" w:type="dxa"/>
          </w:tcPr>
          <w:p w14:paraId="2162AC1B"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2018</w:t>
            </w:r>
          </w:p>
        </w:tc>
        <w:tc>
          <w:tcPr>
            <w:tcW w:w="992" w:type="dxa"/>
            <w:gridSpan w:val="2"/>
          </w:tcPr>
          <w:p w14:paraId="61715236"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2019</w:t>
            </w:r>
          </w:p>
        </w:tc>
        <w:tc>
          <w:tcPr>
            <w:tcW w:w="850" w:type="dxa"/>
            <w:gridSpan w:val="2"/>
          </w:tcPr>
          <w:p w14:paraId="536BC99E"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2020</w:t>
            </w:r>
          </w:p>
        </w:tc>
        <w:tc>
          <w:tcPr>
            <w:tcW w:w="993" w:type="dxa"/>
            <w:gridSpan w:val="2"/>
          </w:tcPr>
          <w:p w14:paraId="692290BB"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2017</w:t>
            </w:r>
          </w:p>
        </w:tc>
        <w:tc>
          <w:tcPr>
            <w:tcW w:w="992" w:type="dxa"/>
            <w:gridSpan w:val="2"/>
          </w:tcPr>
          <w:p w14:paraId="6E174A12"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2018</w:t>
            </w:r>
          </w:p>
        </w:tc>
        <w:tc>
          <w:tcPr>
            <w:tcW w:w="992" w:type="dxa"/>
            <w:gridSpan w:val="3"/>
          </w:tcPr>
          <w:p w14:paraId="0E818336"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2019</w:t>
            </w:r>
          </w:p>
        </w:tc>
        <w:tc>
          <w:tcPr>
            <w:tcW w:w="941" w:type="dxa"/>
          </w:tcPr>
          <w:p w14:paraId="19936D09" w14:textId="77777777" w:rsidR="0091178F" w:rsidRPr="00BD311C" w:rsidRDefault="0091178F" w:rsidP="006D78DE">
            <w:pPr>
              <w:spacing w:line="276" w:lineRule="auto"/>
              <w:jc w:val="center"/>
              <w:rPr>
                <w:rFonts w:ascii="Times New Roman" w:hAnsi="Times New Roman" w:cs="Times New Roman"/>
                <w:i/>
                <w:iCs/>
                <w:sz w:val="18"/>
                <w:szCs w:val="18"/>
              </w:rPr>
            </w:pPr>
            <w:r w:rsidRPr="00BD311C">
              <w:rPr>
                <w:rFonts w:ascii="Times New Roman" w:hAnsi="Times New Roman" w:cs="Times New Roman"/>
                <w:i/>
                <w:iCs/>
                <w:sz w:val="18"/>
                <w:szCs w:val="18"/>
              </w:rPr>
              <w:t>2020</w:t>
            </w:r>
          </w:p>
        </w:tc>
      </w:tr>
      <w:tr w:rsidR="0091178F" w:rsidRPr="00E46451" w14:paraId="26FB2924" w14:textId="77777777" w:rsidTr="006D78DE">
        <w:tc>
          <w:tcPr>
            <w:tcW w:w="1271" w:type="dxa"/>
          </w:tcPr>
          <w:p w14:paraId="4608ADC1" w14:textId="77777777" w:rsidR="0091178F" w:rsidRPr="00A81C73"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M/B ratio</w:t>
            </w:r>
          </w:p>
        </w:tc>
        <w:tc>
          <w:tcPr>
            <w:tcW w:w="992" w:type="dxa"/>
          </w:tcPr>
          <w:p w14:paraId="55FEA3AC"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5.980</w:t>
            </w:r>
          </w:p>
        </w:tc>
        <w:tc>
          <w:tcPr>
            <w:tcW w:w="993" w:type="dxa"/>
          </w:tcPr>
          <w:p w14:paraId="24D9E02B"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6.172</w:t>
            </w:r>
          </w:p>
        </w:tc>
        <w:tc>
          <w:tcPr>
            <w:tcW w:w="992" w:type="dxa"/>
            <w:gridSpan w:val="2"/>
          </w:tcPr>
          <w:p w14:paraId="55798D9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3.781</w:t>
            </w:r>
          </w:p>
        </w:tc>
        <w:tc>
          <w:tcPr>
            <w:tcW w:w="850" w:type="dxa"/>
            <w:gridSpan w:val="2"/>
          </w:tcPr>
          <w:p w14:paraId="3338B324"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3.528</w:t>
            </w:r>
          </w:p>
        </w:tc>
        <w:tc>
          <w:tcPr>
            <w:tcW w:w="993" w:type="dxa"/>
            <w:gridSpan w:val="2"/>
          </w:tcPr>
          <w:p w14:paraId="213D4026"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-2.416</w:t>
            </w:r>
          </w:p>
        </w:tc>
        <w:tc>
          <w:tcPr>
            <w:tcW w:w="992" w:type="dxa"/>
            <w:gridSpan w:val="2"/>
          </w:tcPr>
          <w:p w14:paraId="45D2C40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7.792</w:t>
            </w:r>
          </w:p>
        </w:tc>
        <w:tc>
          <w:tcPr>
            <w:tcW w:w="992" w:type="dxa"/>
            <w:gridSpan w:val="3"/>
          </w:tcPr>
          <w:p w14:paraId="41B617CE"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1.340</w:t>
            </w:r>
          </w:p>
        </w:tc>
        <w:tc>
          <w:tcPr>
            <w:tcW w:w="941" w:type="dxa"/>
          </w:tcPr>
          <w:p w14:paraId="01BC1195"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1.438</w:t>
            </w:r>
          </w:p>
        </w:tc>
      </w:tr>
      <w:tr w:rsidR="0091178F" w:rsidRPr="00E46451" w14:paraId="1F5A6168" w14:textId="77777777" w:rsidTr="006D78DE">
        <w:tc>
          <w:tcPr>
            <w:tcW w:w="1271" w:type="dxa"/>
          </w:tcPr>
          <w:p w14:paraId="0C6623C6" w14:textId="77777777" w:rsidR="0091178F" w:rsidRPr="00A81C73"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Sales growth</w:t>
            </w:r>
          </w:p>
        </w:tc>
        <w:tc>
          <w:tcPr>
            <w:tcW w:w="992" w:type="dxa"/>
          </w:tcPr>
          <w:p w14:paraId="4577174E"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0.098</w:t>
            </w:r>
          </w:p>
        </w:tc>
        <w:tc>
          <w:tcPr>
            <w:tcW w:w="993" w:type="dxa"/>
          </w:tcPr>
          <w:p w14:paraId="04C5E3E8"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-0.005</w:t>
            </w:r>
          </w:p>
        </w:tc>
        <w:tc>
          <w:tcPr>
            <w:tcW w:w="992" w:type="dxa"/>
            <w:gridSpan w:val="2"/>
          </w:tcPr>
          <w:p w14:paraId="36C4E338"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-0.032</w:t>
            </w:r>
          </w:p>
        </w:tc>
        <w:tc>
          <w:tcPr>
            <w:tcW w:w="850" w:type="dxa"/>
            <w:gridSpan w:val="2"/>
          </w:tcPr>
          <w:p w14:paraId="3A4DAE11"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-0.178</w:t>
            </w:r>
          </w:p>
        </w:tc>
        <w:tc>
          <w:tcPr>
            <w:tcW w:w="993" w:type="dxa"/>
            <w:gridSpan w:val="2"/>
          </w:tcPr>
          <w:p w14:paraId="511B8A08"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0.117</w:t>
            </w:r>
          </w:p>
        </w:tc>
        <w:tc>
          <w:tcPr>
            <w:tcW w:w="992" w:type="dxa"/>
            <w:gridSpan w:val="2"/>
          </w:tcPr>
          <w:p w14:paraId="288B362A"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0.215</w:t>
            </w:r>
          </w:p>
        </w:tc>
        <w:tc>
          <w:tcPr>
            <w:tcW w:w="992" w:type="dxa"/>
            <w:gridSpan w:val="3"/>
          </w:tcPr>
          <w:p w14:paraId="7FA9BA4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-1.899</w:t>
            </w:r>
          </w:p>
        </w:tc>
        <w:tc>
          <w:tcPr>
            <w:tcW w:w="941" w:type="dxa"/>
          </w:tcPr>
          <w:p w14:paraId="2D5B3704"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-0.022</w:t>
            </w:r>
          </w:p>
        </w:tc>
      </w:tr>
      <w:tr w:rsidR="0091178F" w:rsidRPr="00E46451" w14:paraId="5273EB8B" w14:textId="77777777" w:rsidTr="006D78DE">
        <w:tc>
          <w:tcPr>
            <w:tcW w:w="1271" w:type="dxa"/>
          </w:tcPr>
          <w:p w14:paraId="69579B29" w14:textId="77777777" w:rsidR="0091178F" w:rsidRPr="00A81C73"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 xml:space="preserve">Leverage </w:t>
            </w:r>
          </w:p>
        </w:tc>
        <w:tc>
          <w:tcPr>
            <w:tcW w:w="992" w:type="dxa"/>
          </w:tcPr>
          <w:p w14:paraId="60E85F91"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0.616</w:t>
            </w:r>
          </w:p>
        </w:tc>
        <w:tc>
          <w:tcPr>
            <w:tcW w:w="993" w:type="dxa"/>
          </w:tcPr>
          <w:p w14:paraId="4DA7183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0.588</w:t>
            </w:r>
          </w:p>
        </w:tc>
        <w:tc>
          <w:tcPr>
            <w:tcW w:w="992" w:type="dxa"/>
            <w:gridSpan w:val="2"/>
          </w:tcPr>
          <w:p w14:paraId="1E57D377"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0.580</w:t>
            </w:r>
          </w:p>
        </w:tc>
        <w:tc>
          <w:tcPr>
            <w:tcW w:w="850" w:type="dxa"/>
            <w:gridSpan w:val="2"/>
          </w:tcPr>
          <w:p w14:paraId="2A583088"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0.585</w:t>
            </w:r>
          </w:p>
        </w:tc>
        <w:tc>
          <w:tcPr>
            <w:tcW w:w="993" w:type="dxa"/>
            <w:gridSpan w:val="2"/>
          </w:tcPr>
          <w:p w14:paraId="144AA302"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0.533</w:t>
            </w:r>
          </w:p>
        </w:tc>
        <w:tc>
          <w:tcPr>
            <w:tcW w:w="992" w:type="dxa"/>
            <w:gridSpan w:val="2"/>
          </w:tcPr>
          <w:p w14:paraId="0E5C2FCA"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0.522</w:t>
            </w:r>
          </w:p>
        </w:tc>
        <w:tc>
          <w:tcPr>
            <w:tcW w:w="992" w:type="dxa"/>
            <w:gridSpan w:val="3"/>
          </w:tcPr>
          <w:p w14:paraId="01A2045F"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0.538</w:t>
            </w:r>
          </w:p>
        </w:tc>
        <w:tc>
          <w:tcPr>
            <w:tcW w:w="941" w:type="dxa"/>
          </w:tcPr>
          <w:p w14:paraId="3F8E5587"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0.561</w:t>
            </w:r>
          </w:p>
        </w:tc>
      </w:tr>
      <w:tr w:rsidR="0091178F" w:rsidRPr="00E46451" w14:paraId="2A446A3D" w14:textId="77777777" w:rsidTr="006D78DE">
        <w:tc>
          <w:tcPr>
            <w:tcW w:w="1271" w:type="dxa"/>
          </w:tcPr>
          <w:p w14:paraId="44200E16" w14:textId="77777777" w:rsidR="0091178F" w:rsidRPr="00A81C73"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ROA</w:t>
            </w:r>
          </w:p>
        </w:tc>
        <w:tc>
          <w:tcPr>
            <w:tcW w:w="992" w:type="dxa"/>
          </w:tcPr>
          <w:p w14:paraId="1CC92CA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0.093</w:t>
            </w:r>
          </w:p>
        </w:tc>
        <w:tc>
          <w:tcPr>
            <w:tcW w:w="993" w:type="dxa"/>
          </w:tcPr>
          <w:p w14:paraId="6CC1A64D"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0.105</w:t>
            </w:r>
          </w:p>
        </w:tc>
        <w:tc>
          <w:tcPr>
            <w:tcW w:w="992" w:type="dxa"/>
            <w:gridSpan w:val="2"/>
          </w:tcPr>
          <w:p w14:paraId="5C15D04E"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0.079</w:t>
            </w:r>
          </w:p>
        </w:tc>
        <w:tc>
          <w:tcPr>
            <w:tcW w:w="850" w:type="dxa"/>
            <w:gridSpan w:val="2"/>
          </w:tcPr>
          <w:p w14:paraId="4BE535C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0.008</w:t>
            </w:r>
          </w:p>
        </w:tc>
        <w:tc>
          <w:tcPr>
            <w:tcW w:w="993" w:type="dxa"/>
            <w:gridSpan w:val="2"/>
          </w:tcPr>
          <w:p w14:paraId="334BD26E"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0.089</w:t>
            </w:r>
          </w:p>
        </w:tc>
        <w:tc>
          <w:tcPr>
            <w:tcW w:w="992" w:type="dxa"/>
            <w:gridSpan w:val="2"/>
          </w:tcPr>
          <w:p w14:paraId="7ED48AF7"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0.077</w:t>
            </w:r>
          </w:p>
        </w:tc>
        <w:tc>
          <w:tcPr>
            <w:tcW w:w="992" w:type="dxa"/>
            <w:gridSpan w:val="3"/>
          </w:tcPr>
          <w:p w14:paraId="3AE43119"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0.069</w:t>
            </w:r>
          </w:p>
        </w:tc>
        <w:tc>
          <w:tcPr>
            <w:tcW w:w="941" w:type="dxa"/>
          </w:tcPr>
          <w:p w14:paraId="5F3C603A"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0.029</w:t>
            </w:r>
          </w:p>
        </w:tc>
      </w:tr>
      <w:tr w:rsidR="0091178F" w:rsidRPr="00E46451" w14:paraId="47CCEE81" w14:textId="77777777" w:rsidTr="006D78DE">
        <w:tc>
          <w:tcPr>
            <w:tcW w:w="1271" w:type="dxa"/>
          </w:tcPr>
          <w:p w14:paraId="1DAC5F7C" w14:textId="77777777" w:rsidR="0091178F" w:rsidRPr="00A81C73" w:rsidRDefault="0091178F" w:rsidP="006D78DE">
            <w:pPr>
              <w:spacing w:line="276" w:lineRule="auto"/>
              <w:rPr>
                <w:rFonts w:ascii="Times New Roman" w:hAnsi="Times New Roman" w:cs="Times New Roman"/>
                <w:sz w:val="18"/>
                <w:szCs w:val="18"/>
              </w:rPr>
            </w:pPr>
            <w:r w:rsidRPr="00A81C73">
              <w:rPr>
                <w:rFonts w:ascii="Times New Roman" w:hAnsi="Times New Roman" w:cs="Times New Roman"/>
                <w:sz w:val="18"/>
                <w:szCs w:val="18"/>
              </w:rPr>
              <w:t xml:space="preserve">No. of </w:t>
            </w:r>
            <w:r>
              <w:rPr>
                <w:rFonts w:ascii="Times New Roman" w:hAnsi="Times New Roman" w:cs="Times New Roman"/>
                <w:sz w:val="18"/>
                <w:szCs w:val="18"/>
              </w:rPr>
              <w:t>f</w:t>
            </w:r>
            <w:r w:rsidRPr="00A81C73">
              <w:rPr>
                <w:rFonts w:ascii="Times New Roman" w:hAnsi="Times New Roman" w:cs="Times New Roman"/>
                <w:sz w:val="18"/>
                <w:szCs w:val="18"/>
              </w:rPr>
              <w:t>irms</w:t>
            </w:r>
          </w:p>
        </w:tc>
        <w:tc>
          <w:tcPr>
            <w:tcW w:w="992" w:type="dxa"/>
          </w:tcPr>
          <w:p w14:paraId="78D7C9CC"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89</w:t>
            </w:r>
          </w:p>
        </w:tc>
        <w:tc>
          <w:tcPr>
            <w:tcW w:w="993" w:type="dxa"/>
          </w:tcPr>
          <w:p w14:paraId="09658854"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90</w:t>
            </w:r>
          </w:p>
        </w:tc>
        <w:tc>
          <w:tcPr>
            <w:tcW w:w="992" w:type="dxa"/>
            <w:gridSpan w:val="2"/>
          </w:tcPr>
          <w:p w14:paraId="172BC3AD"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97</w:t>
            </w:r>
          </w:p>
        </w:tc>
        <w:tc>
          <w:tcPr>
            <w:tcW w:w="850" w:type="dxa"/>
            <w:gridSpan w:val="2"/>
          </w:tcPr>
          <w:p w14:paraId="04FE906E"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89</w:t>
            </w:r>
          </w:p>
        </w:tc>
        <w:tc>
          <w:tcPr>
            <w:tcW w:w="993" w:type="dxa"/>
            <w:gridSpan w:val="2"/>
          </w:tcPr>
          <w:p w14:paraId="34F77180"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289</w:t>
            </w:r>
          </w:p>
        </w:tc>
        <w:tc>
          <w:tcPr>
            <w:tcW w:w="992" w:type="dxa"/>
            <w:gridSpan w:val="2"/>
          </w:tcPr>
          <w:p w14:paraId="13CA156B"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282</w:t>
            </w:r>
          </w:p>
        </w:tc>
        <w:tc>
          <w:tcPr>
            <w:tcW w:w="992" w:type="dxa"/>
            <w:gridSpan w:val="3"/>
          </w:tcPr>
          <w:p w14:paraId="4AA45C26"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281</w:t>
            </w:r>
          </w:p>
        </w:tc>
        <w:tc>
          <w:tcPr>
            <w:tcW w:w="941" w:type="dxa"/>
          </w:tcPr>
          <w:p w14:paraId="1E6FF313" w14:textId="77777777" w:rsidR="0091178F" w:rsidRDefault="0091178F" w:rsidP="006D78DE">
            <w:pPr>
              <w:spacing w:line="276" w:lineRule="auto"/>
              <w:jc w:val="center"/>
              <w:rPr>
                <w:rFonts w:ascii="Times New Roman" w:hAnsi="Times New Roman" w:cs="Times New Roman"/>
                <w:sz w:val="18"/>
                <w:szCs w:val="18"/>
              </w:rPr>
            </w:pPr>
            <w:r>
              <w:rPr>
                <w:rFonts w:ascii="Times New Roman" w:hAnsi="Times New Roman" w:cs="Times New Roman"/>
                <w:sz w:val="18"/>
                <w:szCs w:val="18"/>
              </w:rPr>
              <w:t>283</w:t>
            </w:r>
          </w:p>
        </w:tc>
      </w:tr>
      <w:tr w:rsidR="0091178F" w:rsidRPr="00E46451" w14:paraId="77A5DD73" w14:textId="77777777" w:rsidTr="006D78DE">
        <w:tc>
          <w:tcPr>
            <w:tcW w:w="9016" w:type="dxa"/>
            <w:gridSpan w:val="15"/>
            <w:tcBorders>
              <w:bottom w:val="single" w:sz="6" w:space="0" w:color="auto"/>
            </w:tcBorders>
          </w:tcPr>
          <w:p w14:paraId="1BE69319" w14:textId="77777777" w:rsidR="0091178F" w:rsidRPr="00E46451" w:rsidRDefault="0091178F" w:rsidP="006D78DE">
            <w:pPr>
              <w:spacing w:line="276" w:lineRule="auto"/>
              <w:rPr>
                <w:rFonts w:ascii="Times New Roman" w:hAnsi="Times New Roman" w:cs="Times New Roman"/>
                <w:sz w:val="18"/>
                <w:szCs w:val="18"/>
              </w:rPr>
            </w:pPr>
          </w:p>
        </w:tc>
      </w:tr>
      <w:tr w:rsidR="0091178F" w:rsidRPr="00E46451" w14:paraId="3BA9739E" w14:textId="77777777" w:rsidTr="006D78DE">
        <w:tc>
          <w:tcPr>
            <w:tcW w:w="9016" w:type="dxa"/>
            <w:gridSpan w:val="15"/>
            <w:tcBorders>
              <w:top w:val="single" w:sz="6" w:space="0" w:color="auto"/>
            </w:tcBorders>
          </w:tcPr>
          <w:p w14:paraId="312D8DE6" w14:textId="77777777" w:rsidR="0091178F" w:rsidRPr="00E46451" w:rsidRDefault="0091178F" w:rsidP="006D78DE">
            <w:pPr>
              <w:spacing w:line="276" w:lineRule="auto"/>
              <w:rPr>
                <w:rFonts w:ascii="Times New Roman" w:hAnsi="Times New Roman" w:cs="Times New Roman"/>
                <w:sz w:val="18"/>
                <w:szCs w:val="18"/>
              </w:rPr>
            </w:pPr>
            <w:r>
              <w:rPr>
                <w:rFonts w:ascii="Times New Roman" w:hAnsi="Times New Roman" w:cs="Times New Roman"/>
                <w:sz w:val="18"/>
                <w:szCs w:val="18"/>
              </w:rPr>
              <w:t>Panel C: Sample distribution by industry</w:t>
            </w:r>
          </w:p>
        </w:tc>
      </w:tr>
      <w:tr w:rsidR="0091178F" w:rsidRPr="00E46451" w14:paraId="457036D7" w14:textId="77777777" w:rsidTr="006D78DE">
        <w:tc>
          <w:tcPr>
            <w:tcW w:w="3681" w:type="dxa"/>
            <w:gridSpan w:val="4"/>
            <w:tcBorders>
              <w:top w:val="single" w:sz="6" w:space="0" w:color="auto"/>
            </w:tcBorders>
          </w:tcPr>
          <w:p w14:paraId="6EC53DAD" w14:textId="77777777" w:rsidR="0091178F" w:rsidRPr="00E46451" w:rsidRDefault="0091178F" w:rsidP="006D78DE">
            <w:pPr>
              <w:spacing w:line="276" w:lineRule="auto"/>
              <w:rPr>
                <w:rFonts w:ascii="Times New Roman" w:hAnsi="Times New Roman" w:cs="Times New Roman"/>
                <w:sz w:val="18"/>
                <w:szCs w:val="18"/>
              </w:rPr>
            </w:pPr>
          </w:p>
        </w:tc>
        <w:tc>
          <w:tcPr>
            <w:tcW w:w="850" w:type="dxa"/>
            <w:gridSpan w:val="2"/>
            <w:tcBorders>
              <w:top w:val="single" w:sz="6" w:space="0" w:color="auto"/>
            </w:tcBorders>
          </w:tcPr>
          <w:p w14:paraId="1FDC086A" w14:textId="77777777" w:rsidR="0091178F" w:rsidRPr="00E8545C" w:rsidRDefault="0091178F" w:rsidP="006D78DE">
            <w:pPr>
              <w:spacing w:line="276" w:lineRule="auto"/>
              <w:jc w:val="center"/>
              <w:rPr>
                <w:rFonts w:ascii="Times New Roman" w:hAnsi="Times New Roman" w:cs="Times New Roman"/>
                <w:i/>
                <w:iCs/>
                <w:sz w:val="18"/>
                <w:szCs w:val="18"/>
              </w:rPr>
            </w:pPr>
            <w:r>
              <w:rPr>
                <w:rFonts w:ascii="Times New Roman" w:hAnsi="Times New Roman" w:cs="Times New Roman"/>
                <w:i/>
                <w:iCs/>
                <w:sz w:val="18"/>
                <w:szCs w:val="18"/>
              </w:rPr>
              <w:t>N</w:t>
            </w:r>
          </w:p>
        </w:tc>
        <w:tc>
          <w:tcPr>
            <w:tcW w:w="3544" w:type="dxa"/>
            <w:gridSpan w:val="8"/>
            <w:tcBorders>
              <w:top w:val="single" w:sz="6" w:space="0" w:color="auto"/>
            </w:tcBorders>
          </w:tcPr>
          <w:p w14:paraId="573B9A01" w14:textId="77777777" w:rsidR="0091178F" w:rsidRPr="00E46451" w:rsidRDefault="0091178F" w:rsidP="006D78DE">
            <w:pPr>
              <w:spacing w:line="276" w:lineRule="auto"/>
              <w:jc w:val="center"/>
              <w:rPr>
                <w:rFonts w:ascii="Times New Roman" w:hAnsi="Times New Roman" w:cs="Times New Roman"/>
                <w:sz w:val="18"/>
                <w:szCs w:val="18"/>
              </w:rPr>
            </w:pPr>
          </w:p>
        </w:tc>
        <w:tc>
          <w:tcPr>
            <w:tcW w:w="941" w:type="dxa"/>
            <w:tcBorders>
              <w:top w:val="single" w:sz="6" w:space="0" w:color="auto"/>
            </w:tcBorders>
          </w:tcPr>
          <w:p w14:paraId="24900DDA" w14:textId="77777777" w:rsidR="0091178F" w:rsidRPr="00E8545C" w:rsidRDefault="0091178F" w:rsidP="006D78DE">
            <w:pPr>
              <w:spacing w:line="276" w:lineRule="auto"/>
              <w:jc w:val="center"/>
              <w:rPr>
                <w:rFonts w:ascii="Times New Roman" w:hAnsi="Times New Roman" w:cs="Times New Roman"/>
                <w:i/>
                <w:iCs/>
                <w:sz w:val="18"/>
                <w:szCs w:val="18"/>
              </w:rPr>
            </w:pPr>
            <w:r>
              <w:rPr>
                <w:rFonts w:ascii="Times New Roman" w:hAnsi="Times New Roman" w:cs="Times New Roman"/>
                <w:i/>
                <w:iCs/>
                <w:sz w:val="18"/>
                <w:szCs w:val="18"/>
              </w:rPr>
              <w:t>N</w:t>
            </w:r>
          </w:p>
        </w:tc>
      </w:tr>
      <w:tr w:rsidR="0091178F" w:rsidRPr="00E46451" w14:paraId="4EDF5235" w14:textId="77777777" w:rsidTr="006D78DE">
        <w:tc>
          <w:tcPr>
            <w:tcW w:w="3681" w:type="dxa"/>
            <w:gridSpan w:val="4"/>
          </w:tcPr>
          <w:p w14:paraId="7CF4BD5A"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Mining and quarrying (05-09)</w:t>
            </w:r>
          </w:p>
        </w:tc>
        <w:tc>
          <w:tcPr>
            <w:tcW w:w="850" w:type="dxa"/>
            <w:gridSpan w:val="2"/>
          </w:tcPr>
          <w:p w14:paraId="54113170" w14:textId="77777777" w:rsidR="0091178F" w:rsidRPr="008763C5" w:rsidRDefault="0091178F" w:rsidP="006D78DE">
            <w:pPr>
              <w:spacing w:line="276" w:lineRule="auto"/>
              <w:jc w:val="center"/>
              <w:rPr>
                <w:rFonts w:ascii="Times New Roman" w:hAnsi="Times New Roman" w:cs="Times New Roman"/>
                <w:bCs/>
                <w:sz w:val="18"/>
                <w:szCs w:val="18"/>
              </w:rPr>
            </w:pPr>
            <w:r w:rsidRPr="00625023">
              <w:rPr>
                <w:rFonts w:ascii="Times New Roman" w:hAnsi="Times New Roman" w:cs="Times New Roman"/>
                <w:bCs/>
                <w:sz w:val="18"/>
                <w:szCs w:val="18"/>
              </w:rPr>
              <w:t>45</w:t>
            </w:r>
          </w:p>
        </w:tc>
        <w:tc>
          <w:tcPr>
            <w:tcW w:w="3544" w:type="dxa"/>
            <w:gridSpan w:val="8"/>
          </w:tcPr>
          <w:p w14:paraId="32A26663"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Information and communication (58-63)</w:t>
            </w:r>
          </w:p>
        </w:tc>
        <w:tc>
          <w:tcPr>
            <w:tcW w:w="941" w:type="dxa"/>
          </w:tcPr>
          <w:p w14:paraId="1B3EAF7F"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104</w:t>
            </w:r>
          </w:p>
        </w:tc>
      </w:tr>
      <w:tr w:rsidR="0091178F" w:rsidRPr="00E46451" w14:paraId="3EB593DD" w14:textId="77777777" w:rsidTr="006D78DE">
        <w:tc>
          <w:tcPr>
            <w:tcW w:w="3681" w:type="dxa"/>
            <w:gridSpan w:val="4"/>
          </w:tcPr>
          <w:p w14:paraId="6861A87F"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Manufacturing (10-33)</w:t>
            </w:r>
          </w:p>
        </w:tc>
        <w:tc>
          <w:tcPr>
            <w:tcW w:w="850" w:type="dxa"/>
            <w:gridSpan w:val="2"/>
          </w:tcPr>
          <w:p w14:paraId="058A09E6"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133</w:t>
            </w:r>
          </w:p>
        </w:tc>
        <w:tc>
          <w:tcPr>
            <w:tcW w:w="3544" w:type="dxa"/>
            <w:gridSpan w:val="8"/>
          </w:tcPr>
          <w:p w14:paraId="1BAA7667"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Real estate activities (68)</w:t>
            </w:r>
          </w:p>
        </w:tc>
        <w:tc>
          <w:tcPr>
            <w:tcW w:w="941" w:type="dxa"/>
          </w:tcPr>
          <w:p w14:paraId="758D0995"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27</w:t>
            </w:r>
          </w:p>
        </w:tc>
      </w:tr>
      <w:tr w:rsidR="0091178F" w:rsidRPr="00E46451" w14:paraId="7CF3EF43" w14:textId="77777777" w:rsidTr="006D78DE">
        <w:tc>
          <w:tcPr>
            <w:tcW w:w="3681" w:type="dxa"/>
            <w:gridSpan w:val="4"/>
          </w:tcPr>
          <w:p w14:paraId="56F64D24" w14:textId="77777777" w:rsidR="0091178F" w:rsidRPr="00625023" w:rsidRDefault="0091178F" w:rsidP="006D78DE">
            <w:pPr>
              <w:spacing w:line="276" w:lineRule="auto"/>
              <w:jc w:val="left"/>
              <w:rPr>
                <w:rFonts w:ascii="Times New Roman" w:hAnsi="Times New Roman" w:cs="Times New Roman"/>
                <w:sz w:val="18"/>
                <w:szCs w:val="18"/>
              </w:rPr>
            </w:pPr>
            <w:r w:rsidRPr="00625023">
              <w:rPr>
                <w:rFonts w:ascii="Times New Roman" w:hAnsi="Times New Roman" w:cs="Times New Roman"/>
                <w:bCs/>
                <w:sz w:val="18"/>
                <w:szCs w:val="18"/>
              </w:rPr>
              <w:t>Electricity, gas, steam</w:t>
            </w:r>
            <w:r>
              <w:rPr>
                <w:rFonts w:ascii="Times New Roman" w:hAnsi="Times New Roman" w:cs="Times New Roman"/>
                <w:bCs/>
                <w:sz w:val="18"/>
                <w:szCs w:val="18"/>
              </w:rPr>
              <w:t>,</w:t>
            </w:r>
            <w:r w:rsidRPr="00625023">
              <w:rPr>
                <w:rFonts w:ascii="Times New Roman" w:hAnsi="Times New Roman" w:cs="Times New Roman"/>
                <w:bCs/>
                <w:sz w:val="18"/>
                <w:szCs w:val="18"/>
              </w:rPr>
              <w:t xml:space="preserve"> and air conditioning supply (35)</w:t>
            </w:r>
          </w:p>
        </w:tc>
        <w:tc>
          <w:tcPr>
            <w:tcW w:w="850" w:type="dxa"/>
            <w:gridSpan w:val="2"/>
          </w:tcPr>
          <w:p w14:paraId="41FA3F56"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11</w:t>
            </w:r>
          </w:p>
        </w:tc>
        <w:tc>
          <w:tcPr>
            <w:tcW w:w="3544" w:type="dxa"/>
            <w:gridSpan w:val="8"/>
          </w:tcPr>
          <w:p w14:paraId="385C973E" w14:textId="77777777" w:rsidR="0091178F" w:rsidRPr="00625023" w:rsidRDefault="0091178F" w:rsidP="006D78DE">
            <w:pPr>
              <w:spacing w:line="276" w:lineRule="auto"/>
              <w:jc w:val="left"/>
              <w:rPr>
                <w:rFonts w:ascii="Times New Roman" w:hAnsi="Times New Roman" w:cs="Times New Roman"/>
                <w:sz w:val="18"/>
                <w:szCs w:val="18"/>
              </w:rPr>
            </w:pPr>
            <w:r w:rsidRPr="00625023">
              <w:rPr>
                <w:rFonts w:ascii="Times New Roman" w:hAnsi="Times New Roman" w:cs="Times New Roman"/>
                <w:bCs/>
                <w:sz w:val="18"/>
                <w:szCs w:val="18"/>
              </w:rPr>
              <w:t>Professional, scientific</w:t>
            </w:r>
            <w:r>
              <w:rPr>
                <w:rFonts w:ascii="Times New Roman" w:hAnsi="Times New Roman" w:cs="Times New Roman"/>
                <w:bCs/>
                <w:sz w:val="18"/>
                <w:szCs w:val="18"/>
              </w:rPr>
              <w:t>,</w:t>
            </w:r>
            <w:r w:rsidRPr="00625023">
              <w:rPr>
                <w:rFonts w:ascii="Times New Roman" w:hAnsi="Times New Roman" w:cs="Times New Roman"/>
                <w:bCs/>
                <w:sz w:val="18"/>
                <w:szCs w:val="18"/>
              </w:rPr>
              <w:t xml:space="preserve"> and technical activities (69-75)</w:t>
            </w:r>
          </w:p>
        </w:tc>
        <w:tc>
          <w:tcPr>
            <w:tcW w:w="941" w:type="dxa"/>
          </w:tcPr>
          <w:p w14:paraId="5322E68F"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60</w:t>
            </w:r>
          </w:p>
        </w:tc>
      </w:tr>
      <w:tr w:rsidR="0091178F" w:rsidRPr="00E46451" w14:paraId="63CEB59B" w14:textId="77777777" w:rsidTr="006D78DE">
        <w:tc>
          <w:tcPr>
            <w:tcW w:w="3681" w:type="dxa"/>
            <w:gridSpan w:val="4"/>
          </w:tcPr>
          <w:p w14:paraId="352ECC16" w14:textId="77777777" w:rsidR="0091178F" w:rsidRPr="00AA101B" w:rsidRDefault="0091178F" w:rsidP="006D78DE">
            <w:pPr>
              <w:spacing w:line="276" w:lineRule="auto"/>
              <w:rPr>
                <w:rFonts w:ascii="Times New Roman" w:hAnsi="Times New Roman" w:cs="Times New Roman"/>
                <w:bCs/>
                <w:sz w:val="18"/>
                <w:szCs w:val="18"/>
              </w:rPr>
            </w:pPr>
            <w:r w:rsidRPr="00625023">
              <w:rPr>
                <w:rFonts w:ascii="Times New Roman" w:hAnsi="Times New Roman" w:cs="Times New Roman"/>
                <w:bCs/>
                <w:sz w:val="18"/>
                <w:szCs w:val="18"/>
              </w:rPr>
              <w:t>Water collection, treatment</w:t>
            </w:r>
            <w:r>
              <w:rPr>
                <w:rFonts w:ascii="Times New Roman" w:hAnsi="Times New Roman" w:cs="Times New Roman"/>
                <w:bCs/>
                <w:sz w:val="18"/>
                <w:szCs w:val="18"/>
              </w:rPr>
              <w:t>,</w:t>
            </w:r>
            <w:r w:rsidRPr="00625023">
              <w:rPr>
                <w:rFonts w:ascii="Times New Roman" w:hAnsi="Times New Roman" w:cs="Times New Roman"/>
                <w:bCs/>
                <w:sz w:val="18"/>
                <w:szCs w:val="18"/>
              </w:rPr>
              <w:t xml:space="preserve"> and supply (36)</w:t>
            </w:r>
          </w:p>
        </w:tc>
        <w:tc>
          <w:tcPr>
            <w:tcW w:w="850" w:type="dxa"/>
            <w:gridSpan w:val="2"/>
          </w:tcPr>
          <w:p w14:paraId="5F582D73"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3</w:t>
            </w:r>
          </w:p>
        </w:tc>
        <w:tc>
          <w:tcPr>
            <w:tcW w:w="3544" w:type="dxa"/>
            <w:gridSpan w:val="8"/>
          </w:tcPr>
          <w:p w14:paraId="54D47D3A"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Administrative and support service activities (77-82)</w:t>
            </w:r>
          </w:p>
        </w:tc>
        <w:tc>
          <w:tcPr>
            <w:tcW w:w="941" w:type="dxa"/>
          </w:tcPr>
          <w:p w14:paraId="76D4FBD9"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41</w:t>
            </w:r>
          </w:p>
        </w:tc>
      </w:tr>
      <w:tr w:rsidR="0091178F" w:rsidRPr="00E46451" w14:paraId="2770BA60" w14:textId="77777777" w:rsidTr="006D78DE">
        <w:tc>
          <w:tcPr>
            <w:tcW w:w="3681" w:type="dxa"/>
            <w:gridSpan w:val="4"/>
          </w:tcPr>
          <w:p w14:paraId="0C19EC3B"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Construction (41-43)</w:t>
            </w:r>
          </w:p>
        </w:tc>
        <w:tc>
          <w:tcPr>
            <w:tcW w:w="850" w:type="dxa"/>
            <w:gridSpan w:val="2"/>
          </w:tcPr>
          <w:p w14:paraId="59883CA5"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50</w:t>
            </w:r>
          </w:p>
        </w:tc>
        <w:tc>
          <w:tcPr>
            <w:tcW w:w="3544" w:type="dxa"/>
            <w:gridSpan w:val="8"/>
          </w:tcPr>
          <w:p w14:paraId="5A8B5C08"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Public administration and defense (84)</w:t>
            </w:r>
          </w:p>
        </w:tc>
        <w:tc>
          <w:tcPr>
            <w:tcW w:w="941" w:type="dxa"/>
          </w:tcPr>
          <w:p w14:paraId="2F5693CC"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4</w:t>
            </w:r>
          </w:p>
        </w:tc>
      </w:tr>
      <w:tr w:rsidR="0091178F" w:rsidRPr="00E46451" w14:paraId="0CDDFAA9" w14:textId="77777777" w:rsidTr="006D78DE">
        <w:tc>
          <w:tcPr>
            <w:tcW w:w="3681" w:type="dxa"/>
            <w:gridSpan w:val="4"/>
          </w:tcPr>
          <w:p w14:paraId="2AAAB05F"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Wholesale and retail trade (45-47)</w:t>
            </w:r>
          </w:p>
        </w:tc>
        <w:tc>
          <w:tcPr>
            <w:tcW w:w="850" w:type="dxa"/>
            <w:gridSpan w:val="2"/>
          </w:tcPr>
          <w:p w14:paraId="713CE887"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92</w:t>
            </w:r>
          </w:p>
        </w:tc>
        <w:tc>
          <w:tcPr>
            <w:tcW w:w="3544" w:type="dxa"/>
            <w:gridSpan w:val="8"/>
          </w:tcPr>
          <w:p w14:paraId="48B16FD7"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Human health activities (86)</w:t>
            </w:r>
          </w:p>
        </w:tc>
        <w:tc>
          <w:tcPr>
            <w:tcW w:w="941" w:type="dxa"/>
          </w:tcPr>
          <w:p w14:paraId="5A1C5B0D"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11</w:t>
            </w:r>
          </w:p>
        </w:tc>
      </w:tr>
      <w:tr w:rsidR="0091178F" w:rsidRPr="00E46451" w14:paraId="5DA46FA3" w14:textId="77777777" w:rsidTr="006D78DE">
        <w:tc>
          <w:tcPr>
            <w:tcW w:w="3681" w:type="dxa"/>
            <w:gridSpan w:val="4"/>
          </w:tcPr>
          <w:p w14:paraId="3AE5DF51"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Transportation and storage (49-53)</w:t>
            </w:r>
          </w:p>
        </w:tc>
        <w:tc>
          <w:tcPr>
            <w:tcW w:w="850" w:type="dxa"/>
            <w:gridSpan w:val="2"/>
          </w:tcPr>
          <w:p w14:paraId="1FB4E990"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37</w:t>
            </w:r>
          </w:p>
        </w:tc>
        <w:tc>
          <w:tcPr>
            <w:tcW w:w="3544" w:type="dxa"/>
            <w:gridSpan w:val="8"/>
          </w:tcPr>
          <w:p w14:paraId="7A71098F"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Gambling and betting activities (92)</w:t>
            </w:r>
          </w:p>
        </w:tc>
        <w:tc>
          <w:tcPr>
            <w:tcW w:w="941" w:type="dxa"/>
          </w:tcPr>
          <w:p w14:paraId="5D88A164"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8</w:t>
            </w:r>
          </w:p>
        </w:tc>
      </w:tr>
      <w:tr w:rsidR="0091178F" w:rsidRPr="00E46451" w14:paraId="2595D844" w14:textId="77777777" w:rsidTr="006D78DE">
        <w:tc>
          <w:tcPr>
            <w:tcW w:w="3681" w:type="dxa"/>
            <w:gridSpan w:val="4"/>
            <w:tcBorders>
              <w:bottom w:val="single" w:sz="6" w:space="0" w:color="auto"/>
            </w:tcBorders>
          </w:tcPr>
          <w:p w14:paraId="085BB927"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Accommodation and food service activities (55-56)</w:t>
            </w:r>
          </w:p>
        </w:tc>
        <w:tc>
          <w:tcPr>
            <w:tcW w:w="850" w:type="dxa"/>
            <w:gridSpan w:val="2"/>
            <w:tcBorders>
              <w:bottom w:val="single" w:sz="6" w:space="0" w:color="auto"/>
            </w:tcBorders>
          </w:tcPr>
          <w:p w14:paraId="41DAC716"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34</w:t>
            </w:r>
          </w:p>
        </w:tc>
        <w:tc>
          <w:tcPr>
            <w:tcW w:w="3544" w:type="dxa"/>
            <w:gridSpan w:val="8"/>
            <w:tcBorders>
              <w:bottom w:val="single" w:sz="6" w:space="0" w:color="auto"/>
            </w:tcBorders>
          </w:tcPr>
          <w:p w14:paraId="0114807F" w14:textId="77777777" w:rsidR="0091178F" w:rsidRPr="00625023" w:rsidRDefault="0091178F" w:rsidP="006D78DE">
            <w:pPr>
              <w:spacing w:line="276" w:lineRule="auto"/>
              <w:rPr>
                <w:rFonts w:ascii="Times New Roman" w:hAnsi="Times New Roman" w:cs="Times New Roman"/>
                <w:sz w:val="18"/>
                <w:szCs w:val="18"/>
              </w:rPr>
            </w:pPr>
            <w:r w:rsidRPr="00625023">
              <w:rPr>
                <w:rFonts w:ascii="Times New Roman" w:hAnsi="Times New Roman" w:cs="Times New Roman"/>
                <w:bCs/>
                <w:sz w:val="18"/>
                <w:szCs w:val="18"/>
              </w:rPr>
              <w:t>Other service activities (94-96)</w:t>
            </w:r>
          </w:p>
        </w:tc>
        <w:tc>
          <w:tcPr>
            <w:tcW w:w="941" w:type="dxa"/>
            <w:tcBorders>
              <w:bottom w:val="single" w:sz="6" w:space="0" w:color="auto"/>
            </w:tcBorders>
          </w:tcPr>
          <w:p w14:paraId="0A923206" w14:textId="77777777" w:rsidR="0091178F" w:rsidRPr="00625023" w:rsidRDefault="0091178F" w:rsidP="006D78DE">
            <w:pPr>
              <w:spacing w:line="276" w:lineRule="auto"/>
              <w:jc w:val="center"/>
              <w:rPr>
                <w:rFonts w:ascii="Times New Roman" w:hAnsi="Times New Roman" w:cs="Times New Roman"/>
                <w:sz w:val="18"/>
                <w:szCs w:val="18"/>
              </w:rPr>
            </w:pPr>
            <w:r w:rsidRPr="00625023">
              <w:rPr>
                <w:rFonts w:ascii="Times New Roman" w:hAnsi="Times New Roman" w:cs="Times New Roman"/>
                <w:bCs/>
                <w:sz w:val="18"/>
                <w:szCs w:val="18"/>
              </w:rPr>
              <w:t>10</w:t>
            </w:r>
          </w:p>
        </w:tc>
      </w:tr>
      <w:tr w:rsidR="0091178F" w:rsidRPr="00E46451" w14:paraId="23932FDD" w14:textId="77777777" w:rsidTr="006D78DE">
        <w:tc>
          <w:tcPr>
            <w:tcW w:w="9016" w:type="dxa"/>
            <w:gridSpan w:val="15"/>
          </w:tcPr>
          <w:p w14:paraId="00965DA5" w14:textId="3FC2B2C4" w:rsidR="0091178F" w:rsidRPr="007F6189" w:rsidRDefault="0091178F" w:rsidP="006D78DE">
            <w:pPr>
              <w:spacing w:line="276" w:lineRule="auto"/>
              <w:rPr>
                <w:rFonts w:ascii="Times New Roman" w:hAnsi="Times New Roman" w:cs="Times New Roman"/>
                <w:sz w:val="20"/>
                <w:szCs w:val="20"/>
              </w:rPr>
            </w:pPr>
            <w:r w:rsidRPr="007F6189">
              <w:rPr>
                <w:rFonts w:ascii="Times New Roman" w:hAnsi="Times New Roman" w:cs="Times New Roman"/>
                <w:sz w:val="20"/>
                <w:szCs w:val="20"/>
              </w:rPr>
              <w:t>Notes: This table presents the sample selection procedure, firm characteristics of our sample firms relative to the remaining non-financial firms from year 2013 to 2020, and the distribution of the sample by two-digit UK SIC (2007) code.</w:t>
            </w:r>
          </w:p>
        </w:tc>
      </w:tr>
    </w:tbl>
    <w:p w14:paraId="609FF3DC" w14:textId="77777777" w:rsidR="0091178F" w:rsidRDefault="0091178F" w:rsidP="0091178F">
      <w:pPr>
        <w:rPr>
          <w:rFonts w:asciiTheme="majorBidi" w:hAnsiTheme="majorBidi" w:cstheme="majorBidi"/>
          <w:color w:val="000000" w:themeColor="text1"/>
          <w:sz w:val="24"/>
          <w:szCs w:val="28"/>
        </w:rPr>
      </w:pPr>
    </w:p>
    <w:p w14:paraId="735B1FF4" w14:textId="77777777" w:rsidR="0091178F" w:rsidRDefault="0091178F" w:rsidP="0091178F">
      <w:pPr>
        <w:rPr>
          <w:rFonts w:asciiTheme="majorBidi" w:hAnsiTheme="majorBidi" w:cstheme="majorBidi"/>
          <w:color w:val="000000" w:themeColor="text1"/>
          <w:sz w:val="24"/>
          <w:szCs w:val="28"/>
        </w:rPr>
      </w:pPr>
    </w:p>
    <w:p w14:paraId="09E5B61A" w14:textId="77777777" w:rsidR="0091178F" w:rsidRDefault="0091178F" w:rsidP="0091178F">
      <w:pPr>
        <w:rPr>
          <w:rFonts w:asciiTheme="majorBidi" w:hAnsiTheme="majorBidi" w:cstheme="majorBidi"/>
          <w:color w:val="000000" w:themeColor="text1"/>
          <w:sz w:val="24"/>
          <w:szCs w:val="28"/>
        </w:rPr>
      </w:pPr>
    </w:p>
    <w:p w14:paraId="4C87AAA2" w14:textId="77777777" w:rsidR="0091178F" w:rsidRDefault="0091178F" w:rsidP="0091178F">
      <w:pPr>
        <w:rPr>
          <w:rFonts w:asciiTheme="majorBidi" w:hAnsiTheme="majorBidi" w:cstheme="majorBidi"/>
          <w:color w:val="000000" w:themeColor="text1"/>
          <w:sz w:val="24"/>
          <w:szCs w:val="28"/>
        </w:rPr>
      </w:pPr>
    </w:p>
    <w:p w14:paraId="0BA9E29F" w14:textId="77777777" w:rsidR="0091178F" w:rsidRDefault="0091178F" w:rsidP="0091178F">
      <w:pPr>
        <w:rPr>
          <w:rFonts w:asciiTheme="majorBidi" w:hAnsiTheme="majorBidi" w:cstheme="majorBidi"/>
          <w:color w:val="000000" w:themeColor="text1"/>
          <w:sz w:val="24"/>
          <w:szCs w:val="28"/>
        </w:rPr>
      </w:pPr>
    </w:p>
    <w:p w14:paraId="0F67921B" w14:textId="77777777" w:rsidR="0091178F" w:rsidRDefault="0091178F" w:rsidP="0091178F">
      <w:pPr>
        <w:rPr>
          <w:rFonts w:asciiTheme="majorBidi" w:hAnsiTheme="majorBidi" w:cstheme="majorBidi"/>
          <w:color w:val="000000" w:themeColor="text1"/>
          <w:sz w:val="24"/>
          <w:szCs w:val="28"/>
        </w:rPr>
      </w:pPr>
    </w:p>
    <w:p w14:paraId="135CCCF5" w14:textId="77777777" w:rsidR="0091178F" w:rsidRDefault="0091178F" w:rsidP="0091178F">
      <w:pPr>
        <w:rPr>
          <w:rFonts w:asciiTheme="majorBidi" w:hAnsiTheme="majorBidi" w:cstheme="majorBidi"/>
          <w:color w:val="000000" w:themeColor="text1"/>
          <w:sz w:val="24"/>
          <w:szCs w:val="28"/>
        </w:rPr>
      </w:pPr>
    </w:p>
    <w:p w14:paraId="6A2FA0DA" w14:textId="77777777" w:rsidR="0091178F" w:rsidRDefault="0091178F" w:rsidP="0091178F">
      <w:pPr>
        <w:rPr>
          <w:rFonts w:asciiTheme="majorBidi" w:hAnsiTheme="majorBidi" w:cstheme="majorBidi"/>
          <w:color w:val="000000" w:themeColor="text1"/>
          <w:sz w:val="24"/>
          <w:szCs w:val="28"/>
        </w:rPr>
      </w:pPr>
    </w:p>
    <w:p w14:paraId="403AC0D5" w14:textId="77777777" w:rsidR="0091178F" w:rsidRDefault="0091178F" w:rsidP="0091178F">
      <w:pPr>
        <w:rPr>
          <w:rFonts w:asciiTheme="majorBidi" w:hAnsiTheme="majorBidi" w:cstheme="majorBidi"/>
          <w:color w:val="000000" w:themeColor="text1"/>
          <w:sz w:val="24"/>
          <w:szCs w:val="28"/>
        </w:rPr>
      </w:pPr>
    </w:p>
    <w:p w14:paraId="29048BF7" w14:textId="77777777" w:rsidR="0091178F" w:rsidRDefault="0091178F" w:rsidP="0091178F">
      <w:pPr>
        <w:rPr>
          <w:rFonts w:asciiTheme="majorBidi" w:hAnsiTheme="majorBidi" w:cstheme="majorBidi"/>
          <w:color w:val="000000" w:themeColor="text1"/>
          <w:sz w:val="24"/>
          <w:szCs w:val="28"/>
        </w:rPr>
      </w:pPr>
    </w:p>
    <w:p w14:paraId="2E7A3B61" w14:textId="77777777" w:rsidR="0091178F" w:rsidRDefault="0091178F" w:rsidP="0091178F">
      <w:pPr>
        <w:rPr>
          <w:rFonts w:asciiTheme="majorBidi" w:hAnsiTheme="majorBidi" w:cstheme="majorBidi"/>
          <w:color w:val="000000" w:themeColor="text1"/>
          <w:sz w:val="24"/>
          <w:szCs w:val="28"/>
        </w:rPr>
      </w:pPr>
    </w:p>
    <w:p w14:paraId="2244B801" w14:textId="77777777" w:rsidR="0091178F" w:rsidRDefault="0091178F" w:rsidP="0091178F">
      <w:pPr>
        <w:rPr>
          <w:rFonts w:asciiTheme="majorBidi" w:hAnsiTheme="majorBidi" w:cstheme="majorBidi"/>
          <w:color w:val="000000" w:themeColor="text1"/>
          <w:sz w:val="24"/>
          <w:szCs w:val="28"/>
        </w:rPr>
      </w:pPr>
    </w:p>
    <w:p w14:paraId="4153C7F1" w14:textId="77777777" w:rsidR="0091178F" w:rsidRDefault="0091178F" w:rsidP="0091178F">
      <w:pPr>
        <w:rPr>
          <w:rFonts w:asciiTheme="majorBidi" w:hAnsiTheme="majorBidi" w:cstheme="majorBidi"/>
          <w:color w:val="000000" w:themeColor="text1"/>
          <w:sz w:val="24"/>
          <w:szCs w:val="28"/>
        </w:rPr>
      </w:pPr>
    </w:p>
    <w:p w14:paraId="462A50A0" w14:textId="77777777" w:rsidR="0091178F" w:rsidRDefault="0091178F" w:rsidP="0091178F">
      <w:pPr>
        <w:rPr>
          <w:rFonts w:asciiTheme="majorBidi" w:hAnsiTheme="majorBidi" w:cstheme="majorBidi"/>
          <w:color w:val="000000" w:themeColor="text1"/>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992"/>
        <w:gridCol w:w="993"/>
        <w:gridCol w:w="992"/>
        <w:gridCol w:w="992"/>
        <w:gridCol w:w="992"/>
        <w:gridCol w:w="993"/>
        <w:gridCol w:w="1221"/>
      </w:tblGrid>
      <w:tr w:rsidR="0091178F" w:rsidRPr="005E73C2" w14:paraId="13EE2E15" w14:textId="77777777" w:rsidTr="006D78DE">
        <w:tc>
          <w:tcPr>
            <w:tcW w:w="9010" w:type="dxa"/>
            <w:gridSpan w:val="8"/>
            <w:tcBorders>
              <w:bottom w:val="single" w:sz="6" w:space="0" w:color="auto"/>
            </w:tcBorders>
          </w:tcPr>
          <w:p w14:paraId="6063EF6D" w14:textId="77777777" w:rsidR="0091178F" w:rsidRPr="007F6189" w:rsidRDefault="0091178F" w:rsidP="006D78DE">
            <w:pPr>
              <w:spacing w:line="276" w:lineRule="auto"/>
              <w:jc w:val="left"/>
              <w:rPr>
                <w:rFonts w:asciiTheme="majorBidi" w:hAnsiTheme="majorBidi" w:cstheme="majorBidi"/>
                <w:b/>
                <w:bCs/>
                <w:color w:val="000000" w:themeColor="text1"/>
                <w:sz w:val="20"/>
                <w:szCs w:val="20"/>
              </w:rPr>
            </w:pPr>
            <w:r w:rsidRPr="007F6189">
              <w:rPr>
                <w:rFonts w:asciiTheme="majorBidi" w:hAnsiTheme="majorBidi" w:cstheme="majorBidi"/>
                <w:b/>
                <w:bCs/>
                <w:color w:val="000000" w:themeColor="text1"/>
                <w:sz w:val="20"/>
                <w:szCs w:val="20"/>
              </w:rPr>
              <w:t>Table 2</w:t>
            </w:r>
          </w:p>
          <w:p w14:paraId="74E5189D" w14:textId="77777777" w:rsidR="0091178F" w:rsidRPr="00CA0932" w:rsidRDefault="0091178F" w:rsidP="006D78DE">
            <w:pPr>
              <w:spacing w:line="276" w:lineRule="auto"/>
              <w:jc w:val="left"/>
              <w:rPr>
                <w:rFonts w:asciiTheme="majorBidi" w:hAnsiTheme="majorBidi" w:cstheme="majorBidi"/>
                <w:color w:val="000000" w:themeColor="text1"/>
                <w:sz w:val="18"/>
                <w:szCs w:val="18"/>
              </w:rPr>
            </w:pPr>
            <w:r w:rsidRPr="007F6189">
              <w:rPr>
                <w:rFonts w:asciiTheme="majorBidi" w:hAnsiTheme="majorBidi" w:cstheme="majorBidi"/>
                <w:color w:val="000000" w:themeColor="text1"/>
                <w:sz w:val="20"/>
                <w:szCs w:val="20"/>
              </w:rPr>
              <w:t>Descriptive statistics.</w:t>
            </w:r>
          </w:p>
        </w:tc>
      </w:tr>
      <w:tr w:rsidR="0091178F" w:rsidRPr="005E73C2" w14:paraId="1B20438D" w14:textId="77777777" w:rsidTr="006D78DE">
        <w:tc>
          <w:tcPr>
            <w:tcW w:w="9010" w:type="dxa"/>
            <w:gridSpan w:val="8"/>
            <w:tcBorders>
              <w:top w:val="single" w:sz="6" w:space="0" w:color="auto"/>
            </w:tcBorders>
          </w:tcPr>
          <w:p w14:paraId="336A969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Panel A: Original sample</w:t>
            </w:r>
          </w:p>
        </w:tc>
      </w:tr>
      <w:tr w:rsidR="0091178F" w:rsidRPr="005E73C2" w14:paraId="2E456287" w14:textId="77777777" w:rsidTr="006D78DE">
        <w:tc>
          <w:tcPr>
            <w:tcW w:w="1835" w:type="dxa"/>
            <w:tcBorders>
              <w:top w:val="single" w:sz="6" w:space="0" w:color="auto"/>
              <w:bottom w:val="single" w:sz="6" w:space="0" w:color="auto"/>
            </w:tcBorders>
          </w:tcPr>
          <w:p w14:paraId="3FCC3524" w14:textId="77777777" w:rsidR="0091178F" w:rsidRPr="005E73C2" w:rsidRDefault="0091178F" w:rsidP="006D78DE">
            <w:pPr>
              <w:spacing w:line="276" w:lineRule="auto"/>
              <w:rPr>
                <w:rFonts w:asciiTheme="majorBidi" w:hAnsiTheme="majorBidi" w:cstheme="majorBidi"/>
                <w:i/>
                <w:iCs/>
                <w:color w:val="000000" w:themeColor="text1"/>
                <w:sz w:val="18"/>
                <w:szCs w:val="18"/>
              </w:rPr>
            </w:pPr>
          </w:p>
        </w:tc>
        <w:tc>
          <w:tcPr>
            <w:tcW w:w="992" w:type="dxa"/>
            <w:tcBorders>
              <w:top w:val="single" w:sz="6" w:space="0" w:color="auto"/>
              <w:bottom w:val="single" w:sz="6" w:space="0" w:color="auto"/>
            </w:tcBorders>
          </w:tcPr>
          <w:p w14:paraId="181F7368"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N</w:t>
            </w:r>
          </w:p>
        </w:tc>
        <w:tc>
          <w:tcPr>
            <w:tcW w:w="993" w:type="dxa"/>
            <w:tcBorders>
              <w:top w:val="single" w:sz="6" w:space="0" w:color="auto"/>
              <w:bottom w:val="single" w:sz="6" w:space="0" w:color="auto"/>
            </w:tcBorders>
          </w:tcPr>
          <w:p w14:paraId="099B21A5"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Mean</w:t>
            </w:r>
          </w:p>
        </w:tc>
        <w:tc>
          <w:tcPr>
            <w:tcW w:w="992" w:type="dxa"/>
            <w:tcBorders>
              <w:top w:val="single" w:sz="6" w:space="0" w:color="auto"/>
              <w:bottom w:val="single" w:sz="6" w:space="0" w:color="auto"/>
            </w:tcBorders>
          </w:tcPr>
          <w:p w14:paraId="1F6667A6" w14:textId="77777777" w:rsidR="0091178F" w:rsidRPr="0021418A"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SD</w:t>
            </w:r>
          </w:p>
        </w:tc>
        <w:tc>
          <w:tcPr>
            <w:tcW w:w="992" w:type="dxa"/>
            <w:tcBorders>
              <w:top w:val="single" w:sz="6" w:space="0" w:color="auto"/>
              <w:bottom w:val="single" w:sz="6" w:space="0" w:color="auto"/>
            </w:tcBorders>
          </w:tcPr>
          <w:p w14:paraId="36A3015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Min</w:t>
            </w:r>
          </w:p>
        </w:tc>
        <w:tc>
          <w:tcPr>
            <w:tcW w:w="992" w:type="dxa"/>
            <w:tcBorders>
              <w:top w:val="single" w:sz="6" w:space="0" w:color="auto"/>
              <w:bottom w:val="single" w:sz="6" w:space="0" w:color="auto"/>
            </w:tcBorders>
          </w:tcPr>
          <w:p w14:paraId="2676CBE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P50</w:t>
            </w:r>
          </w:p>
        </w:tc>
        <w:tc>
          <w:tcPr>
            <w:tcW w:w="993" w:type="dxa"/>
            <w:tcBorders>
              <w:top w:val="single" w:sz="6" w:space="0" w:color="auto"/>
              <w:bottom w:val="single" w:sz="6" w:space="0" w:color="auto"/>
            </w:tcBorders>
          </w:tcPr>
          <w:p w14:paraId="367A503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Max</w:t>
            </w:r>
          </w:p>
        </w:tc>
        <w:tc>
          <w:tcPr>
            <w:tcW w:w="1221" w:type="dxa"/>
            <w:tcBorders>
              <w:top w:val="single" w:sz="6" w:space="0" w:color="auto"/>
              <w:bottom w:val="single" w:sz="6" w:space="0" w:color="auto"/>
            </w:tcBorders>
          </w:tcPr>
          <w:p w14:paraId="0D631C6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Skewness</w:t>
            </w:r>
          </w:p>
        </w:tc>
      </w:tr>
      <w:tr w:rsidR="0091178F" w:rsidRPr="005E73C2" w14:paraId="1AA160E3" w14:textId="77777777" w:rsidTr="006D78DE">
        <w:tc>
          <w:tcPr>
            <w:tcW w:w="1835" w:type="dxa"/>
            <w:tcBorders>
              <w:top w:val="single" w:sz="6" w:space="0" w:color="auto"/>
            </w:tcBorders>
          </w:tcPr>
          <w:p w14:paraId="36E196FB" w14:textId="77777777"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IFRSEPS</w:t>
            </w:r>
          </w:p>
        </w:tc>
        <w:tc>
          <w:tcPr>
            <w:tcW w:w="992" w:type="dxa"/>
            <w:tcBorders>
              <w:top w:val="single" w:sz="6" w:space="0" w:color="auto"/>
            </w:tcBorders>
          </w:tcPr>
          <w:p w14:paraId="0769EF08" w14:textId="77777777" w:rsidR="0091178F" w:rsidRDefault="0091178F" w:rsidP="006D78DE">
            <w:pPr>
              <w:spacing w:line="276" w:lineRule="auto"/>
              <w:jc w:val="left"/>
              <w:rPr>
                <w:rFonts w:asciiTheme="majorBidi" w:hAnsiTheme="majorBidi" w:cstheme="majorBidi"/>
                <w:color w:val="000000" w:themeColor="text1"/>
                <w:sz w:val="18"/>
                <w:szCs w:val="18"/>
              </w:rPr>
            </w:pPr>
            <w:r w:rsidRPr="00263455">
              <w:rPr>
                <w:rFonts w:asciiTheme="majorBidi" w:hAnsiTheme="majorBidi" w:cstheme="majorBidi"/>
                <w:color w:val="000000" w:themeColor="text1"/>
                <w:sz w:val="18"/>
                <w:szCs w:val="18"/>
              </w:rPr>
              <w:t>533</w:t>
            </w:r>
          </w:p>
        </w:tc>
        <w:tc>
          <w:tcPr>
            <w:tcW w:w="993" w:type="dxa"/>
            <w:tcBorders>
              <w:top w:val="single" w:sz="6" w:space="0" w:color="auto"/>
            </w:tcBorders>
          </w:tcPr>
          <w:p w14:paraId="0603C33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1C5625">
              <w:rPr>
                <w:rFonts w:asciiTheme="majorBidi" w:hAnsiTheme="majorBidi" w:cstheme="majorBidi"/>
                <w:color w:val="000000" w:themeColor="text1"/>
                <w:sz w:val="18"/>
                <w:szCs w:val="18"/>
              </w:rPr>
              <w:t>.48</w:t>
            </w:r>
            <w:r>
              <w:rPr>
                <w:rFonts w:asciiTheme="majorBidi" w:hAnsiTheme="majorBidi" w:cstheme="majorBidi"/>
                <w:color w:val="000000" w:themeColor="text1"/>
                <w:sz w:val="18"/>
                <w:szCs w:val="18"/>
              </w:rPr>
              <w:t>1</w:t>
            </w:r>
          </w:p>
        </w:tc>
        <w:tc>
          <w:tcPr>
            <w:tcW w:w="992" w:type="dxa"/>
            <w:tcBorders>
              <w:top w:val="single" w:sz="6" w:space="0" w:color="auto"/>
            </w:tcBorders>
          </w:tcPr>
          <w:p w14:paraId="5964455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1C5625">
              <w:rPr>
                <w:rFonts w:asciiTheme="majorBidi" w:hAnsiTheme="majorBidi" w:cstheme="majorBidi"/>
                <w:color w:val="000000" w:themeColor="text1"/>
                <w:sz w:val="18"/>
                <w:szCs w:val="18"/>
              </w:rPr>
              <w:t>1.038</w:t>
            </w:r>
          </w:p>
        </w:tc>
        <w:tc>
          <w:tcPr>
            <w:tcW w:w="992" w:type="dxa"/>
            <w:tcBorders>
              <w:top w:val="single" w:sz="6" w:space="0" w:color="auto"/>
            </w:tcBorders>
          </w:tcPr>
          <w:p w14:paraId="76C4A47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341730">
              <w:rPr>
                <w:rFonts w:asciiTheme="majorBidi" w:hAnsiTheme="majorBidi" w:cstheme="majorBidi"/>
                <w:color w:val="000000" w:themeColor="text1"/>
                <w:sz w:val="18"/>
                <w:szCs w:val="18"/>
              </w:rPr>
              <w:t>-3.513</w:t>
            </w:r>
          </w:p>
        </w:tc>
        <w:tc>
          <w:tcPr>
            <w:tcW w:w="992" w:type="dxa"/>
            <w:tcBorders>
              <w:top w:val="single" w:sz="6" w:space="0" w:color="auto"/>
            </w:tcBorders>
          </w:tcPr>
          <w:p w14:paraId="70E7751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CD2CFF">
              <w:rPr>
                <w:rFonts w:asciiTheme="majorBidi" w:hAnsiTheme="majorBidi" w:cstheme="majorBidi"/>
                <w:color w:val="000000" w:themeColor="text1"/>
                <w:sz w:val="18"/>
                <w:szCs w:val="18"/>
              </w:rPr>
              <w:t>.21</w:t>
            </w:r>
            <w:r>
              <w:rPr>
                <w:rFonts w:asciiTheme="majorBidi" w:hAnsiTheme="majorBidi" w:cstheme="majorBidi"/>
                <w:color w:val="000000" w:themeColor="text1"/>
                <w:sz w:val="18"/>
                <w:szCs w:val="18"/>
              </w:rPr>
              <w:t>0</w:t>
            </w:r>
          </w:p>
        </w:tc>
        <w:tc>
          <w:tcPr>
            <w:tcW w:w="993" w:type="dxa"/>
            <w:tcBorders>
              <w:top w:val="single" w:sz="6" w:space="0" w:color="auto"/>
            </w:tcBorders>
          </w:tcPr>
          <w:p w14:paraId="7A834B1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341730">
              <w:rPr>
                <w:rFonts w:asciiTheme="majorBidi" w:hAnsiTheme="majorBidi" w:cstheme="majorBidi"/>
                <w:color w:val="000000" w:themeColor="text1"/>
                <w:sz w:val="18"/>
                <w:szCs w:val="18"/>
              </w:rPr>
              <w:t>7.932</w:t>
            </w:r>
          </w:p>
        </w:tc>
        <w:tc>
          <w:tcPr>
            <w:tcW w:w="1221" w:type="dxa"/>
            <w:tcBorders>
              <w:top w:val="single" w:sz="6" w:space="0" w:color="auto"/>
            </w:tcBorders>
          </w:tcPr>
          <w:p w14:paraId="19E5A96C"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222A10">
              <w:rPr>
                <w:rFonts w:asciiTheme="majorBidi" w:hAnsiTheme="majorBidi" w:cstheme="majorBidi"/>
                <w:color w:val="000000" w:themeColor="text1"/>
                <w:sz w:val="18"/>
                <w:szCs w:val="18"/>
              </w:rPr>
              <w:t>2.44</w:t>
            </w:r>
            <w:r>
              <w:rPr>
                <w:rFonts w:asciiTheme="majorBidi" w:hAnsiTheme="majorBidi" w:cstheme="majorBidi"/>
                <w:color w:val="000000" w:themeColor="text1"/>
                <w:sz w:val="18"/>
                <w:szCs w:val="18"/>
              </w:rPr>
              <w:t>1</w:t>
            </w:r>
          </w:p>
        </w:tc>
      </w:tr>
      <w:tr w:rsidR="0091178F" w:rsidRPr="005E73C2" w14:paraId="5387322C" w14:textId="77777777" w:rsidTr="006D78DE">
        <w:tc>
          <w:tcPr>
            <w:tcW w:w="1835" w:type="dxa"/>
          </w:tcPr>
          <w:p w14:paraId="3C0EB756" w14:textId="2059F294"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NONIFRS</w:t>
            </w:r>
          </w:p>
        </w:tc>
        <w:tc>
          <w:tcPr>
            <w:tcW w:w="992" w:type="dxa"/>
          </w:tcPr>
          <w:p w14:paraId="1B9C340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263455">
              <w:rPr>
                <w:rFonts w:asciiTheme="majorBidi" w:hAnsiTheme="majorBidi" w:cstheme="majorBidi"/>
                <w:color w:val="000000" w:themeColor="text1"/>
                <w:sz w:val="18"/>
                <w:szCs w:val="18"/>
              </w:rPr>
              <w:t>670</w:t>
            </w:r>
          </w:p>
        </w:tc>
        <w:tc>
          <w:tcPr>
            <w:tcW w:w="993" w:type="dxa"/>
          </w:tcPr>
          <w:p w14:paraId="5285164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2568D3">
              <w:rPr>
                <w:rFonts w:asciiTheme="majorBidi" w:hAnsiTheme="majorBidi" w:cstheme="majorBidi"/>
                <w:color w:val="000000" w:themeColor="text1"/>
                <w:sz w:val="18"/>
                <w:szCs w:val="18"/>
              </w:rPr>
              <w:t>.614</w:t>
            </w:r>
          </w:p>
        </w:tc>
        <w:tc>
          <w:tcPr>
            <w:tcW w:w="992" w:type="dxa"/>
          </w:tcPr>
          <w:p w14:paraId="56B4C04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2568D3">
              <w:rPr>
                <w:rFonts w:asciiTheme="majorBidi" w:hAnsiTheme="majorBidi" w:cstheme="majorBidi"/>
                <w:color w:val="000000" w:themeColor="text1"/>
                <w:sz w:val="18"/>
                <w:szCs w:val="18"/>
              </w:rPr>
              <w:t>.977</w:t>
            </w:r>
          </w:p>
        </w:tc>
        <w:tc>
          <w:tcPr>
            <w:tcW w:w="992" w:type="dxa"/>
          </w:tcPr>
          <w:p w14:paraId="6F40D10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E76647">
              <w:rPr>
                <w:rFonts w:asciiTheme="majorBidi" w:hAnsiTheme="majorBidi" w:cstheme="majorBidi"/>
                <w:color w:val="000000" w:themeColor="text1"/>
                <w:sz w:val="18"/>
                <w:szCs w:val="18"/>
              </w:rPr>
              <w:t>-1.956</w:t>
            </w:r>
          </w:p>
        </w:tc>
        <w:tc>
          <w:tcPr>
            <w:tcW w:w="992" w:type="dxa"/>
          </w:tcPr>
          <w:p w14:paraId="24A11CE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291978">
              <w:rPr>
                <w:rFonts w:asciiTheme="majorBidi" w:hAnsiTheme="majorBidi" w:cstheme="majorBidi"/>
                <w:color w:val="000000" w:themeColor="text1"/>
                <w:sz w:val="18"/>
                <w:szCs w:val="18"/>
              </w:rPr>
              <w:t>.27</w:t>
            </w:r>
            <w:r>
              <w:rPr>
                <w:rFonts w:asciiTheme="majorBidi" w:hAnsiTheme="majorBidi" w:cstheme="majorBidi"/>
                <w:color w:val="000000" w:themeColor="text1"/>
                <w:sz w:val="18"/>
                <w:szCs w:val="18"/>
              </w:rPr>
              <w:t>4</w:t>
            </w:r>
          </w:p>
        </w:tc>
        <w:tc>
          <w:tcPr>
            <w:tcW w:w="993" w:type="dxa"/>
          </w:tcPr>
          <w:p w14:paraId="53DF2F9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E76647">
              <w:rPr>
                <w:rFonts w:asciiTheme="majorBidi" w:hAnsiTheme="majorBidi" w:cstheme="majorBidi"/>
                <w:color w:val="000000" w:themeColor="text1"/>
                <w:sz w:val="18"/>
                <w:szCs w:val="18"/>
              </w:rPr>
              <w:t>7.696</w:t>
            </w:r>
          </w:p>
        </w:tc>
        <w:tc>
          <w:tcPr>
            <w:tcW w:w="1221" w:type="dxa"/>
          </w:tcPr>
          <w:p w14:paraId="3430E9D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222A10">
              <w:rPr>
                <w:rFonts w:asciiTheme="majorBidi" w:hAnsiTheme="majorBidi" w:cstheme="majorBidi"/>
                <w:color w:val="000000" w:themeColor="text1"/>
                <w:sz w:val="18"/>
                <w:szCs w:val="18"/>
              </w:rPr>
              <w:t>2.78</w:t>
            </w:r>
            <w:r>
              <w:rPr>
                <w:rFonts w:asciiTheme="majorBidi" w:hAnsiTheme="majorBidi" w:cstheme="majorBidi"/>
                <w:color w:val="000000" w:themeColor="text1"/>
                <w:sz w:val="18"/>
                <w:szCs w:val="18"/>
              </w:rPr>
              <w:t>7</w:t>
            </w:r>
          </w:p>
        </w:tc>
      </w:tr>
      <w:tr w:rsidR="0091178F" w:rsidRPr="005E73C2" w14:paraId="4DEF1AB2" w14:textId="77777777" w:rsidTr="006D78DE">
        <w:tc>
          <w:tcPr>
            <w:tcW w:w="1835" w:type="dxa"/>
          </w:tcPr>
          <w:p w14:paraId="049C98C1" w14:textId="77777777"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EXCLUSION</w:t>
            </w:r>
          </w:p>
        </w:tc>
        <w:tc>
          <w:tcPr>
            <w:tcW w:w="992" w:type="dxa"/>
          </w:tcPr>
          <w:p w14:paraId="069CE4A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4BFBB70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A7A4E">
              <w:rPr>
                <w:rFonts w:asciiTheme="majorBidi" w:hAnsiTheme="majorBidi" w:cstheme="majorBidi"/>
                <w:color w:val="000000" w:themeColor="text1"/>
                <w:sz w:val="18"/>
                <w:szCs w:val="18"/>
              </w:rPr>
              <w:t>.158</w:t>
            </w:r>
          </w:p>
        </w:tc>
        <w:tc>
          <w:tcPr>
            <w:tcW w:w="992" w:type="dxa"/>
          </w:tcPr>
          <w:p w14:paraId="12A9466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A7A4E">
              <w:rPr>
                <w:rFonts w:asciiTheme="majorBidi" w:hAnsiTheme="majorBidi" w:cstheme="majorBidi"/>
                <w:color w:val="000000" w:themeColor="text1"/>
                <w:sz w:val="18"/>
                <w:szCs w:val="18"/>
              </w:rPr>
              <w:t>.56</w:t>
            </w:r>
            <w:r>
              <w:rPr>
                <w:rFonts w:asciiTheme="majorBidi" w:hAnsiTheme="majorBidi" w:cstheme="majorBidi"/>
                <w:color w:val="000000" w:themeColor="text1"/>
                <w:sz w:val="18"/>
                <w:szCs w:val="18"/>
              </w:rPr>
              <w:t>3</w:t>
            </w:r>
          </w:p>
        </w:tc>
        <w:tc>
          <w:tcPr>
            <w:tcW w:w="992" w:type="dxa"/>
          </w:tcPr>
          <w:p w14:paraId="02FEECD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5A7A4E">
              <w:rPr>
                <w:rFonts w:asciiTheme="majorBidi" w:hAnsiTheme="majorBidi" w:cstheme="majorBidi"/>
                <w:color w:val="000000" w:themeColor="text1"/>
                <w:sz w:val="18"/>
                <w:szCs w:val="18"/>
              </w:rPr>
              <w:t>-5.139</w:t>
            </w:r>
          </w:p>
        </w:tc>
        <w:tc>
          <w:tcPr>
            <w:tcW w:w="992" w:type="dxa"/>
          </w:tcPr>
          <w:p w14:paraId="08D0742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A02152">
              <w:rPr>
                <w:rFonts w:asciiTheme="majorBidi" w:hAnsiTheme="majorBidi" w:cstheme="majorBidi"/>
                <w:color w:val="000000" w:themeColor="text1"/>
                <w:sz w:val="18"/>
                <w:szCs w:val="18"/>
              </w:rPr>
              <w:t>.05</w:t>
            </w:r>
            <w:r>
              <w:rPr>
                <w:rFonts w:asciiTheme="majorBidi" w:hAnsiTheme="majorBidi" w:cstheme="majorBidi"/>
                <w:color w:val="000000" w:themeColor="text1"/>
                <w:sz w:val="18"/>
                <w:szCs w:val="18"/>
              </w:rPr>
              <w:t>4</w:t>
            </w:r>
          </w:p>
        </w:tc>
        <w:tc>
          <w:tcPr>
            <w:tcW w:w="993" w:type="dxa"/>
          </w:tcPr>
          <w:p w14:paraId="4005E98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97D7E">
              <w:rPr>
                <w:rFonts w:asciiTheme="majorBidi" w:hAnsiTheme="majorBidi" w:cstheme="majorBidi"/>
                <w:color w:val="000000" w:themeColor="text1"/>
                <w:sz w:val="18"/>
                <w:szCs w:val="18"/>
              </w:rPr>
              <w:t>4.563</w:t>
            </w:r>
          </w:p>
        </w:tc>
        <w:tc>
          <w:tcPr>
            <w:tcW w:w="1221" w:type="dxa"/>
          </w:tcPr>
          <w:p w14:paraId="3DDC77DC"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51EBE">
              <w:rPr>
                <w:rFonts w:asciiTheme="majorBidi" w:hAnsiTheme="majorBidi" w:cstheme="majorBidi"/>
                <w:color w:val="000000" w:themeColor="text1"/>
                <w:sz w:val="18"/>
                <w:szCs w:val="18"/>
              </w:rPr>
              <w:t>.450</w:t>
            </w:r>
          </w:p>
        </w:tc>
      </w:tr>
      <w:tr w:rsidR="0091178F" w:rsidRPr="005E73C2" w14:paraId="3BA0B767" w14:textId="77777777" w:rsidTr="006D78DE">
        <w:tc>
          <w:tcPr>
            <w:tcW w:w="1835" w:type="dxa"/>
          </w:tcPr>
          <w:p w14:paraId="68E00E74" w14:textId="54544280" w:rsidR="0091178F" w:rsidRPr="005E73C2" w:rsidRDefault="00C325D8" w:rsidP="006D78DE">
            <w:pPr>
              <w:spacing w:line="276" w:lineRule="auto"/>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NARCIS</w:t>
            </w:r>
          </w:p>
        </w:tc>
        <w:tc>
          <w:tcPr>
            <w:tcW w:w="992" w:type="dxa"/>
          </w:tcPr>
          <w:p w14:paraId="769778A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2BFC192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97D7E">
              <w:rPr>
                <w:rFonts w:asciiTheme="majorBidi" w:hAnsiTheme="majorBidi" w:cstheme="majorBidi"/>
                <w:color w:val="000000" w:themeColor="text1"/>
                <w:sz w:val="18"/>
                <w:szCs w:val="18"/>
              </w:rPr>
              <w:t>.301</w:t>
            </w:r>
          </w:p>
        </w:tc>
        <w:tc>
          <w:tcPr>
            <w:tcW w:w="992" w:type="dxa"/>
          </w:tcPr>
          <w:p w14:paraId="015CA9A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97D7E">
              <w:rPr>
                <w:rFonts w:asciiTheme="majorBidi" w:hAnsiTheme="majorBidi" w:cstheme="majorBidi"/>
                <w:color w:val="000000" w:themeColor="text1"/>
                <w:sz w:val="18"/>
                <w:szCs w:val="18"/>
              </w:rPr>
              <w:t>.15</w:t>
            </w:r>
            <w:r>
              <w:rPr>
                <w:rFonts w:asciiTheme="majorBidi" w:hAnsiTheme="majorBidi" w:cstheme="majorBidi"/>
                <w:color w:val="000000" w:themeColor="text1"/>
                <w:sz w:val="18"/>
                <w:szCs w:val="18"/>
              </w:rPr>
              <w:t>4</w:t>
            </w:r>
          </w:p>
        </w:tc>
        <w:tc>
          <w:tcPr>
            <w:tcW w:w="992" w:type="dxa"/>
          </w:tcPr>
          <w:p w14:paraId="5AE655D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F0BF5">
              <w:rPr>
                <w:rFonts w:asciiTheme="majorBidi" w:hAnsiTheme="majorBidi" w:cstheme="majorBidi"/>
                <w:color w:val="000000" w:themeColor="text1"/>
                <w:sz w:val="18"/>
                <w:szCs w:val="18"/>
              </w:rPr>
              <w:t>.045</w:t>
            </w:r>
          </w:p>
        </w:tc>
        <w:tc>
          <w:tcPr>
            <w:tcW w:w="992" w:type="dxa"/>
          </w:tcPr>
          <w:p w14:paraId="517927C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A02152">
              <w:rPr>
                <w:rFonts w:asciiTheme="majorBidi" w:hAnsiTheme="majorBidi" w:cstheme="majorBidi"/>
                <w:color w:val="000000" w:themeColor="text1"/>
                <w:sz w:val="18"/>
                <w:szCs w:val="18"/>
              </w:rPr>
              <w:t>.27</w:t>
            </w:r>
            <w:r>
              <w:rPr>
                <w:rFonts w:asciiTheme="majorBidi" w:hAnsiTheme="majorBidi" w:cstheme="majorBidi"/>
                <w:color w:val="000000" w:themeColor="text1"/>
                <w:sz w:val="18"/>
                <w:szCs w:val="18"/>
              </w:rPr>
              <w:t>0</w:t>
            </w:r>
          </w:p>
        </w:tc>
        <w:tc>
          <w:tcPr>
            <w:tcW w:w="993" w:type="dxa"/>
          </w:tcPr>
          <w:p w14:paraId="2FF8B5F8" w14:textId="77777777" w:rsidR="0091178F" w:rsidRDefault="0091178F" w:rsidP="006D78DE">
            <w:pPr>
              <w:spacing w:line="276" w:lineRule="auto"/>
              <w:jc w:val="left"/>
              <w:rPr>
                <w:rFonts w:asciiTheme="majorBidi" w:hAnsiTheme="majorBidi" w:cstheme="majorBidi"/>
                <w:color w:val="000000" w:themeColor="text1"/>
                <w:sz w:val="18"/>
                <w:szCs w:val="18"/>
              </w:rPr>
            </w:pPr>
            <w:r w:rsidRPr="003F0BF5">
              <w:rPr>
                <w:rFonts w:asciiTheme="majorBidi" w:hAnsiTheme="majorBidi" w:cstheme="majorBidi"/>
                <w:color w:val="000000" w:themeColor="text1"/>
                <w:sz w:val="18"/>
                <w:szCs w:val="18"/>
              </w:rPr>
              <w:t>1.1</w:t>
            </w:r>
            <w:r>
              <w:rPr>
                <w:rFonts w:asciiTheme="majorBidi" w:hAnsiTheme="majorBidi" w:cstheme="majorBidi"/>
                <w:color w:val="000000" w:themeColor="text1"/>
                <w:sz w:val="18"/>
                <w:szCs w:val="18"/>
              </w:rPr>
              <w:t>00</w:t>
            </w:r>
          </w:p>
        </w:tc>
        <w:tc>
          <w:tcPr>
            <w:tcW w:w="1221" w:type="dxa"/>
          </w:tcPr>
          <w:p w14:paraId="7369C468"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8773E">
              <w:rPr>
                <w:rFonts w:asciiTheme="majorBidi" w:hAnsiTheme="majorBidi" w:cstheme="majorBidi"/>
                <w:color w:val="000000" w:themeColor="text1"/>
                <w:sz w:val="18"/>
                <w:szCs w:val="18"/>
              </w:rPr>
              <w:t>1.35</w:t>
            </w:r>
            <w:r>
              <w:rPr>
                <w:rFonts w:asciiTheme="majorBidi" w:hAnsiTheme="majorBidi" w:cstheme="majorBidi"/>
                <w:color w:val="000000" w:themeColor="text1"/>
                <w:sz w:val="18"/>
                <w:szCs w:val="18"/>
              </w:rPr>
              <w:t>7</w:t>
            </w:r>
          </w:p>
        </w:tc>
      </w:tr>
      <w:tr w:rsidR="0091178F" w:rsidRPr="005E73C2" w14:paraId="692374A3" w14:textId="77777777" w:rsidTr="006D78DE">
        <w:tc>
          <w:tcPr>
            <w:tcW w:w="1835" w:type="dxa"/>
          </w:tcPr>
          <w:p w14:paraId="1FA8BA5E" w14:textId="77777777"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ROA</w:t>
            </w:r>
          </w:p>
        </w:tc>
        <w:tc>
          <w:tcPr>
            <w:tcW w:w="992" w:type="dxa"/>
          </w:tcPr>
          <w:p w14:paraId="27027AB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252AC52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F0BF5">
              <w:rPr>
                <w:rFonts w:asciiTheme="majorBidi" w:hAnsiTheme="majorBidi" w:cstheme="majorBidi"/>
                <w:color w:val="000000" w:themeColor="text1"/>
                <w:sz w:val="18"/>
                <w:szCs w:val="18"/>
              </w:rPr>
              <w:t>.068</w:t>
            </w:r>
          </w:p>
        </w:tc>
        <w:tc>
          <w:tcPr>
            <w:tcW w:w="992" w:type="dxa"/>
          </w:tcPr>
          <w:p w14:paraId="74D9461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164ED6">
              <w:rPr>
                <w:rFonts w:asciiTheme="majorBidi" w:hAnsiTheme="majorBidi" w:cstheme="majorBidi"/>
                <w:color w:val="000000" w:themeColor="text1"/>
                <w:sz w:val="18"/>
                <w:szCs w:val="18"/>
              </w:rPr>
              <w:t>.241</w:t>
            </w:r>
          </w:p>
        </w:tc>
        <w:tc>
          <w:tcPr>
            <w:tcW w:w="992" w:type="dxa"/>
          </w:tcPr>
          <w:p w14:paraId="4E6409D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164ED6">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164ED6">
              <w:rPr>
                <w:rFonts w:asciiTheme="majorBidi" w:hAnsiTheme="majorBidi" w:cstheme="majorBidi"/>
                <w:color w:val="000000" w:themeColor="text1"/>
                <w:sz w:val="18"/>
                <w:szCs w:val="18"/>
              </w:rPr>
              <w:t>.944</w:t>
            </w:r>
          </w:p>
        </w:tc>
        <w:tc>
          <w:tcPr>
            <w:tcW w:w="992" w:type="dxa"/>
          </w:tcPr>
          <w:p w14:paraId="6EDB9E8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01C2B">
              <w:rPr>
                <w:rFonts w:asciiTheme="majorBidi" w:hAnsiTheme="majorBidi" w:cstheme="majorBidi"/>
                <w:color w:val="000000" w:themeColor="text1"/>
                <w:sz w:val="18"/>
                <w:szCs w:val="18"/>
              </w:rPr>
              <w:t>.044</w:t>
            </w:r>
          </w:p>
        </w:tc>
        <w:tc>
          <w:tcPr>
            <w:tcW w:w="993" w:type="dxa"/>
          </w:tcPr>
          <w:p w14:paraId="7A5D9E2C"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686186">
              <w:rPr>
                <w:rFonts w:asciiTheme="majorBidi" w:hAnsiTheme="majorBidi" w:cstheme="majorBidi"/>
                <w:color w:val="000000" w:themeColor="text1"/>
                <w:sz w:val="18"/>
                <w:szCs w:val="18"/>
              </w:rPr>
              <w:t>2.518</w:t>
            </w:r>
          </w:p>
        </w:tc>
        <w:tc>
          <w:tcPr>
            <w:tcW w:w="1221" w:type="dxa"/>
          </w:tcPr>
          <w:p w14:paraId="7489E502"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8773E">
              <w:rPr>
                <w:rFonts w:asciiTheme="majorBidi" w:hAnsiTheme="majorBidi" w:cstheme="majorBidi"/>
                <w:color w:val="000000" w:themeColor="text1"/>
                <w:sz w:val="18"/>
                <w:szCs w:val="18"/>
              </w:rPr>
              <w:t>6.30</w:t>
            </w:r>
            <w:r>
              <w:rPr>
                <w:rFonts w:asciiTheme="majorBidi" w:hAnsiTheme="majorBidi" w:cstheme="majorBidi"/>
                <w:color w:val="000000" w:themeColor="text1"/>
                <w:sz w:val="18"/>
                <w:szCs w:val="18"/>
              </w:rPr>
              <w:t>6</w:t>
            </w:r>
          </w:p>
        </w:tc>
      </w:tr>
      <w:tr w:rsidR="0091178F" w:rsidRPr="005E73C2" w14:paraId="2AD7FCBC" w14:textId="77777777" w:rsidTr="006D78DE">
        <w:tc>
          <w:tcPr>
            <w:tcW w:w="1835" w:type="dxa"/>
          </w:tcPr>
          <w:p w14:paraId="103E753F" w14:textId="08E883CC"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LEV</w:t>
            </w:r>
          </w:p>
        </w:tc>
        <w:tc>
          <w:tcPr>
            <w:tcW w:w="992" w:type="dxa"/>
          </w:tcPr>
          <w:p w14:paraId="4724B82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66BA31F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86186">
              <w:rPr>
                <w:rFonts w:asciiTheme="majorBidi" w:hAnsiTheme="majorBidi" w:cstheme="majorBidi"/>
                <w:color w:val="000000" w:themeColor="text1"/>
                <w:sz w:val="18"/>
                <w:szCs w:val="18"/>
              </w:rPr>
              <w:t>.597</w:t>
            </w:r>
          </w:p>
        </w:tc>
        <w:tc>
          <w:tcPr>
            <w:tcW w:w="992" w:type="dxa"/>
          </w:tcPr>
          <w:p w14:paraId="101CDE7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86186">
              <w:rPr>
                <w:rFonts w:asciiTheme="majorBidi" w:hAnsiTheme="majorBidi" w:cstheme="majorBidi"/>
                <w:color w:val="000000" w:themeColor="text1"/>
                <w:sz w:val="18"/>
                <w:szCs w:val="18"/>
              </w:rPr>
              <w:t>.26</w:t>
            </w:r>
            <w:r>
              <w:rPr>
                <w:rFonts w:asciiTheme="majorBidi" w:hAnsiTheme="majorBidi" w:cstheme="majorBidi"/>
                <w:color w:val="000000" w:themeColor="text1"/>
                <w:sz w:val="18"/>
                <w:szCs w:val="18"/>
              </w:rPr>
              <w:t>3</w:t>
            </w:r>
          </w:p>
        </w:tc>
        <w:tc>
          <w:tcPr>
            <w:tcW w:w="992" w:type="dxa"/>
          </w:tcPr>
          <w:p w14:paraId="3E8EC15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86186">
              <w:rPr>
                <w:rFonts w:asciiTheme="majorBidi" w:hAnsiTheme="majorBidi" w:cstheme="majorBidi"/>
                <w:color w:val="000000" w:themeColor="text1"/>
                <w:sz w:val="18"/>
                <w:szCs w:val="18"/>
              </w:rPr>
              <w:t>.04</w:t>
            </w:r>
            <w:r>
              <w:rPr>
                <w:rFonts w:asciiTheme="majorBidi" w:hAnsiTheme="majorBidi" w:cstheme="majorBidi"/>
                <w:color w:val="000000" w:themeColor="text1"/>
                <w:sz w:val="18"/>
                <w:szCs w:val="18"/>
              </w:rPr>
              <w:t>8</w:t>
            </w:r>
          </w:p>
        </w:tc>
        <w:tc>
          <w:tcPr>
            <w:tcW w:w="992" w:type="dxa"/>
          </w:tcPr>
          <w:p w14:paraId="059AE43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01C2B">
              <w:rPr>
                <w:rFonts w:asciiTheme="majorBidi" w:hAnsiTheme="majorBidi" w:cstheme="majorBidi"/>
                <w:color w:val="000000" w:themeColor="text1"/>
                <w:sz w:val="18"/>
                <w:szCs w:val="18"/>
              </w:rPr>
              <w:t>.582</w:t>
            </w:r>
          </w:p>
        </w:tc>
        <w:tc>
          <w:tcPr>
            <w:tcW w:w="993" w:type="dxa"/>
          </w:tcPr>
          <w:p w14:paraId="2232F19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7C3CF5">
              <w:rPr>
                <w:rFonts w:asciiTheme="majorBidi" w:hAnsiTheme="majorBidi" w:cstheme="majorBidi"/>
                <w:color w:val="000000" w:themeColor="text1"/>
                <w:sz w:val="18"/>
                <w:szCs w:val="18"/>
              </w:rPr>
              <w:t>2.476</w:t>
            </w:r>
          </w:p>
        </w:tc>
        <w:tc>
          <w:tcPr>
            <w:tcW w:w="1221" w:type="dxa"/>
          </w:tcPr>
          <w:p w14:paraId="176C251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734F3D">
              <w:rPr>
                <w:rFonts w:asciiTheme="majorBidi" w:hAnsiTheme="majorBidi" w:cstheme="majorBidi"/>
                <w:color w:val="000000" w:themeColor="text1"/>
                <w:sz w:val="18"/>
                <w:szCs w:val="18"/>
              </w:rPr>
              <w:t>1.879</w:t>
            </w:r>
          </w:p>
        </w:tc>
      </w:tr>
      <w:tr w:rsidR="0091178F" w:rsidRPr="005E73C2" w14:paraId="292A707B" w14:textId="77777777" w:rsidTr="006D78DE">
        <w:tc>
          <w:tcPr>
            <w:tcW w:w="1835" w:type="dxa"/>
          </w:tcPr>
          <w:p w14:paraId="3B078B2B" w14:textId="47FC341B" w:rsidR="0091178F" w:rsidRPr="005E73C2" w:rsidRDefault="00FC31F8" w:rsidP="006D78DE">
            <w:pPr>
              <w:spacing w:line="276" w:lineRule="auto"/>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SG</w:t>
            </w:r>
          </w:p>
        </w:tc>
        <w:tc>
          <w:tcPr>
            <w:tcW w:w="992" w:type="dxa"/>
          </w:tcPr>
          <w:p w14:paraId="2B72C66A" w14:textId="77777777" w:rsidR="0091178F" w:rsidRDefault="0091178F" w:rsidP="006D78DE">
            <w:pPr>
              <w:spacing w:line="276" w:lineRule="auto"/>
              <w:jc w:val="left"/>
              <w:rPr>
                <w:rFonts w:asciiTheme="majorBidi" w:hAnsiTheme="majorBidi" w:cstheme="majorBidi"/>
                <w:color w:val="000000" w:themeColor="text1"/>
                <w:sz w:val="18"/>
                <w:szCs w:val="18"/>
              </w:rPr>
            </w:pPr>
            <w:r w:rsidRPr="003C391A">
              <w:rPr>
                <w:rFonts w:asciiTheme="majorBidi" w:hAnsiTheme="majorBidi" w:cstheme="majorBidi"/>
                <w:color w:val="000000" w:themeColor="text1"/>
                <w:sz w:val="18"/>
                <w:szCs w:val="18"/>
              </w:rPr>
              <w:t>664</w:t>
            </w:r>
          </w:p>
        </w:tc>
        <w:tc>
          <w:tcPr>
            <w:tcW w:w="993" w:type="dxa"/>
          </w:tcPr>
          <w:p w14:paraId="6D32A98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D33842">
              <w:rPr>
                <w:rFonts w:asciiTheme="majorBidi" w:hAnsiTheme="majorBidi" w:cstheme="majorBidi"/>
                <w:color w:val="000000" w:themeColor="text1"/>
                <w:sz w:val="18"/>
                <w:szCs w:val="18"/>
              </w:rPr>
              <w:t>-5.05</w:t>
            </w:r>
            <w:r>
              <w:rPr>
                <w:rFonts w:asciiTheme="majorBidi" w:hAnsiTheme="majorBidi" w:cstheme="majorBidi"/>
                <w:color w:val="000000" w:themeColor="text1"/>
                <w:sz w:val="18"/>
                <w:szCs w:val="18"/>
              </w:rPr>
              <w:t>6</w:t>
            </w:r>
          </w:p>
        </w:tc>
        <w:tc>
          <w:tcPr>
            <w:tcW w:w="992" w:type="dxa"/>
          </w:tcPr>
          <w:p w14:paraId="4B9E4B6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FE708A">
              <w:rPr>
                <w:rFonts w:asciiTheme="majorBidi" w:hAnsiTheme="majorBidi" w:cstheme="majorBidi"/>
                <w:color w:val="000000" w:themeColor="text1"/>
                <w:sz w:val="18"/>
                <w:szCs w:val="18"/>
              </w:rPr>
              <w:t>126.734</w:t>
            </w:r>
          </w:p>
        </w:tc>
        <w:tc>
          <w:tcPr>
            <w:tcW w:w="992" w:type="dxa"/>
          </w:tcPr>
          <w:p w14:paraId="12C0750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FE708A">
              <w:rPr>
                <w:rFonts w:asciiTheme="majorBidi" w:hAnsiTheme="majorBidi" w:cstheme="majorBidi"/>
                <w:color w:val="000000" w:themeColor="text1"/>
                <w:sz w:val="18"/>
                <w:szCs w:val="18"/>
              </w:rPr>
              <w:t>-3264.489</w:t>
            </w:r>
          </w:p>
        </w:tc>
        <w:tc>
          <w:tcPr>
            <w:tcW w:w="992" w:type="dxa"/>
          </w:tcPr>
          <w:p w14:paraId="7C5684F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45F4D">
              <w:rPr>
                <w:rFonts w:asciiTheme="majorBidi" w:hAnsiTheme="majorBidi" w:cstheme="majorBidi"/>
                <w:color w:val="000000" w:themeColor="text1"/>
                <w:sz w:val="18"/>
                <w:szCs w:val="18"/>
              </w:rPr>
              <w:t>.04</w:t>
            </w:r>
            <w:r>
              <w:rPr>
                <w:rFonts w:asciiTheme="majorBidi" w:hAnsiTheme="majorBidi" w:cstheme="majorBidi"/>
                <w:color w:val="000000" w:themeColor="text1"/>
                <w:sz w:val="18"/>
                <w:szCs w:val="18"/>
              </w:rPr>
              <w:t>2</w:t>
            </w:r>
          </w:p>
        </w:tc>
        <w:tc>
          <w:tcPr>
            <w:tcW w:w="993" w:type="dxa"/>
          </w:tcPr>
          <w:p w14:paraId="1E38593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5421B2">
              <w:rPr>
                <w:rFonts w:asciiTheme="majorBidi" w:hAnsiTheme="majorBidi" w:cstheme="majorBidi"/>
                <w:color w:val="000000" w:themeColor="text1"/>
                <w:sz w:val="18"/>
                <w:szCs w:val="18"/>
              </w:rPr>
              <w:t>1</w:t>
            </w:r>
            <w:r>
              <w:rPr>
                <w:rFonts w:asciiTheme="majorBidi" w:hAnsiTheme="majorBidi" w:cstheme="majorBidi"/>
                <w:color w:val="000000" w:themeColor="text1"/>
                <w:sz w:val="18"/>
                <w:szCs w:val="18"/>
              </w:rPr>
              <w:t>.000</w:t>
            </w:r>
          </w:p>
        </w:tc>
        <w:tc>
          <w:tcPr>
            <w:tcW w:w="1221" w:type="dxa"/>
          </w:tcPr>
          <w:p w14:paraId="72C275B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734F3D">
              <w:rPr>
                <w:rFonts w:asciiTheme="majorBidi" w:hAnsiTheme="majorBidi" w:cstheme="majorBidi"/>
                <w:color w:val="000000" w:themeColor="text1"/>
                <w:sz w:val="18"/>
                <w:szCs w:val="18"/>
              </w:rPr>
              <w:t>-25.678</w:t>
            </w:r>
          </w:p>
        </w:tc>
      </w:tr>
      <w:tr w:rsidR="0091178F" w:rsidRPr="005E73C2" w14:paraId="26459CB7" w14:textId="77777777" w:rsidTr="006D78DE">
        <w:tc>
          <w:tcPr>
            <w:tcW w:w="1835" w:type="dxa"/>
          </w:tcPr>
          <w:p w14:paraId="5C29DC59" w14:textId="2740E2E1"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AGE</w:t>
            </w:r>
          </w:p>
        </w:tc>
        <w:tc>
          <w:tcPr>
            <w:tcW w:w="992" w:type="dxa"/>
          </w:tcPr>
          <w:p w14:paraId="4CF72EF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670</w:t>
            </w:r>
          </w:p>
        </w:tc>
        <w:tc>
          <w:tcPr>
            <w:tcW w:w="993" w:type="dxa"/>
          </w:tcPr>
          <w:p w14:paraId="41D21532"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57BBC">
              <w:rPr>
                <w:rFonts w:asciiTheme="majorBidi" w:hAnsiTheme="majorBidi" w:cstheme="majorBidi"/>
                <w:color w:val="000000" w:themeColor="text1"/>
                <w:sz w:val="18"/>
                <w:szCs w:val="18"/>
              </w:rPr>
              <w:t>2.607</w:t>
            </w:r>
          </w:p>
        </w:tc>
        <w:tc>
          <w:tcPr>
            <w:tcW w:w="992" w:type="dxa"/>
          </w:tcPr>
          <w:p w14:paraId="3383F9F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57BBC">
              <w:rPr>
                <w:rFonts w:asciiTheme="majorBidi" w:hAnsiTheme="majorBidi" w:cstheme="majorBidi"/>
                <w:color w:val="000000" w:themeColor="text1"/>
                <w:sz w:val="18"/>
                <w:szCs w:val="18"/>
              </w:rPr>
              <w:t>.51</w:t>
            </w:r>
            <w:r>
              <w:rPr>
                <w:rFonts w:asciiTheme="majorBidi" w:hAnsiTheme="majorBidi" w:cstheme="majorBidi"/>
                <w:color w:val="000000" w:themeColor="text1"/>
                <w:sz w:val="18"/>
                <w:szCs w:val="18"/>
              </w:rPr>
              <w:t>2</w:t>
            </w:r>
          </w:p>
        </w:tc>
        <w:tc>
          <w:tcPr>
            <w:tcW w:w="992" w:type="dxa"/>
          </w:tcPr>
          <w:p w14:paraId="6919CB5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FC7B63">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1D9B2C3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E87A87">
              <w:rPr>
                <w:rFonts w:asciiTheme="majorBidi" w:hAnsiTheme="majorBidi" w:cstheme="majorBidi"/>
                <w:color w:val="000000" w:themeColor="text1"/>
                <w:sz w:val="18"/>
                <w:szCs w:val="18"/>
              </w:rPr>
              <w:t>2.833</w:t>
            </w:r>
          </w:p>
        </w:tc>
        <w:tc>
          <w:tcPr>
            <w:tcW w:w="993" w:type="dxa"/>
          </w:tcPr>
          <w:p w14:paraId="64FCF34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FC7B63">
              <w:rPr>
                <w:rFonts w:asciiTheme="majorBidi" w:hAnsiTheme="majorBidi" w:cstheme="majorBidi"/>
                <w:color w:val="000000" w:themeColor="text1"/>
                <w:sz w:val="18"/>
                <w:szCs w:val="18"/>
              </w:rPr>
              <w:t>3.091</w:t>
            </w:r>
          </w:p>
        </w:tc>
        <w:tc>
          <w:tcPr>
            <w:tcW w:w="1221" w:type="dxa"/>
          </w:tcPr>
          <w:p w14:paraId="570CEF4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734F3D">
              <w:rPr>
                <w:rFonts w:asciiTheme="majorBidi" w:hAnsiTheme="majorBidi" w:cstheme="majorBidi"/>
                <w:color w:val="000000" w:themeColor="text1"/>
                <w:sz w:val="18"/>
                <w:szCs w:val="18"/>
              </w:rPr>
              <w:t>-1.580</w:t>
            </w:r>
          </w:p>
        </w:tc>
      </w:tr>
      <w:tr w:rsidR="0091178F" w:rsidRPr="005E73C2" w14:paraId="3D13DECC" w14:textId="77777777" w:rsidTr="006D78DE">
        <w:tc>
          <w:tcPr>
            <w:tcW w:w="1835" w:type="dxa"/>
          </w:tcPr>
          <w:p w14:paraId="5799EB5A" w14:textId="762836C6" w:rsidR="0091178F" w:rsidRPr="005E73C2" w:rsidRDefault="00C325D8" w:rsidP="006D78DE">
            <w:pPr>
              <w:spacing w:line="276" w:lineRule="auto"/>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SIZE</w:t>
            </w:r>
          </w:p>
        </w:tc>
        <w:tc>
          <w:tcPr>
            <w:tcW w:w="992" w:type="dxa"/>
          </w:tcPr>
          <w:p w14:paraId="46E6B17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670</w:t>
            </w:r>
          </w:p>
        </w:tc>
        <w:tc>
          <w:tcPr>
            <w:tcW w:w="993" w:type="dxa"/>
          </w:tcPr>
          <w:p w14:paraId="1B33E16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FC7B63">
              <w:rPr>
                <w:rFonts w:asciiTheme="majorBidi" w:hAnsiTheme="majorBidi" w:cstheme="majorBidi"/>
                <w:color w:val="000000" w:themeColor="text1"/>
                <w:sz w:val="18"/>
                <w:szCs w:val="18"/>
              </w:rPr>
              <w:t>14.376</w:t>
            </w:r>
          </w:p>
        </w:tc>
        <w:tc>
          <w:tcPr>
            <w:tcW w:w="992" w:type="dxa"/>
          </w:tcPr>
          <w:p w14:paraId="305BE45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060013">
              <w:rPr>
                <w:rFonts w:asciiTheme="majorBidi" w:hAnsiTheme="majorBidi" w:cstheme="majorBidi"/>
                <w:color w:val="000000" w:themeColor="text1"/>
                <w:sz w:val="18"/>
                <w:szCs w:val="18"/>
              </w:rPr>
              <w:t>1.63</w:t>
            </w:r>
            <w:r>
              <w:rPr>
                <w:rFonts w:asciiTheme="majorBidi" w:hAnsiTheme="majorBidi" w:cstheme="majorBidi"/>
                <w:color w:val="000000" w:themeColor="text1"/>
                <w:sz w:val="18"/>
                <w:szCs w:val="18"/>
              </w:rPr>
              <w:t>4</w:t>
            </w:r>
          </w:p>
        </w:tc>
        <w:tc>
          <w:tcPr>
            <w:tcW w:w="992" w:type="dxa"/>
          </w:tcPr>
          <w:p w14:paraId="5053E45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060013">
              <w:rPr>
                <w:rFonts w:asciiTheme="majorBidi" w:hAnsiTheme="majorBidi" w:cstheme="majorBidi"/>
                <w:color w:val="000000" w:themeColor="text1"/>
                <w:sz w:val="18"/>
                <w:szCs w:val="18"/>
              </w:rPr>
              <w:t>9.854</w:t>
            </w:r>
          </w:p>
        </w:tc>
        <w:tc>
          <w:tcPr>
            <w:tcW w:w="992" w:type="dxa"/>
          </w:tcPr>
          <w:p w14:paraId="3D6B349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3D1E65">
              <w:rPr>
                <w:rFonts w:asciiTheme="majorBidi" w:hAnsiTheme="majorBidi" w:cstheme="majorBidi"/>
                <w:color w:val="000000" w:themeColor="text1"/>
                <w:sz w:val="18"/>
                <w:szCs w:val="18"/>
              </w:rPr>
              <w:t>14.207</w:t>
            </w:r>
          </w:p>
        </w:tc>
        <w:tc>
          <w:tcPr>
            <w:tcW w:w="993" w:type="dxa"/>
          </w:tcPr>
          <w:p w14:paraId="54CE83E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B71BFA">
              <w:rPr>
                <w:rFonts w:asciiTheme="majorBidi" w:hAnsiTheme="majorBidi" w:cstheme="majorBidi"/>
                <w:color w:val="000000" w:themeColor="text1"/>
                <w:sz w:val="18"/>
                <w:szCs w:val="18"/>
              </w:rPr>
              <w:t>18.41</w:t>
            </w:r>
            <w:r>
              <w:rPr>
                <w:rFonts w:asciiTheme="majorBidi" w:hAnsiTheme="majorBidi" w:cstheme="majorBidi"/>
                <w:color w:val="000000" w:themeColor="text1"/>
                <w:sz w:val="18"/>
                <w:szCs w:val="18"/>
              </w:rPr>
              <w:t>9</w:t>
            </w:r>
          </w:p>
        </w:tc>
        <w:tc>
          <w:tcPr>
            <w:tcW w:w="1221" w:type="dxa"/>
          </w:tcPr>
          <w:p w14:paraId="11A68A4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70143">
              <w:rPr>
                <w:rFonts w:asciiTheme="majorBidi" w:hAnsiTheme="majorBidi" w:cstheme="majorBidi"/>
                <w:color w:val="000000" w:themeColor="text1"/>
                <w:sz w:val="18"/>
                <w:szCs w:val="18"/>
              </w:rPr>
              <w:t>.179</w:t>
            </w:r>
          </w:p>
        </w:tc>
      </w:tr>
      <w:tr w:rsidR="0091178F" w:rsidRPr="005E73C2" w14:paraId="63BBCB8C" w14:textId="77777777" w:rsidTr="006D78DE">
        <w:tc>
          <w:tcPr>
            <w:tcW w:w="1835" w:type="dxa"/>
          </w:tcPr>
          <w:p w14:paraId="3E570E81" w14:textId="7FCA4542"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ACCRUAL</w:t>
            </w:r>
          </w:p>
        </w:tc>
        <w:tc>
          <w:tcPr>
            <w:tcW w:w="992" w:type="dxa"/>
          </w:tcPr>
          <w:p w14:paraId="2CD42EE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666</w:t>
            </w:r>
          </w:p>
        </w:tc>
        <w:tc>
          <w:tcPr>
            <w:tcW w:w="993" w:type="dxa"/>
          </w:tcPr>
          <w:p w14:paraId="631804B2"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B71BFA">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B71BFA">
              <w:rPr>
                <w:rFonts w:asciiTheme="majorBidi" w:hAnsiTheme="majorBidi" w:cstheme="majorBidi"/>
                <w:color w:val="000000" w:themeColor="text1"/>
                <w:sz w:val="18"/>
                <w:szCs w:val="18"/>
              </w:rPr>
              <w:t>.14</w:t>
            </w:r>
            <w:r>
              <w:rPr>
                <w:rFonts w:asciiTheme="majorBidi" w:hAnsiTheme="majorBidi" w:cstheme="majorBidi"/>
                <w:color w:val="000000" w:themeColor="text1"/>
                <w:sz w:val="18"/>
                <w:szCs w:val="18"/>
              </w:rPr>
              <w:t>4</w:t>
            </w:r>
          </w:p>
        </w:tc>
        <w:tc>
          <w:tcPr>
            <w:tcW w:w="992" w:type="dxa"/>
          </w:tcPr>
          <w:p w14:paraId="2B79040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12A57">
              <w:rPr>
                <w:rFonts w:asciiTheme="majorBidi" w:hAnsiTheme="majorBidi" w:cstheme="majorBidi"/>
                <w:color w:val="000000" w:themeColor="text1"/>
                <w:sz w:val="18"/>
                <w:szCs w:val="18"/>
              </w:rPr>
              <w:t>5.768</w:t>
            </w:r>
          </w:p>
        </w:tc>
        <w:tc>
          <w:tcPr>
            <w:tcW w:w="992" w:type="dxa"/>
          </w:tcPr>
          <w:p w14:paraId="5C9C081C"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12A57">
              <w:rPr>
                <w:rFonts w:asciiTheme="majorBidi" w:hAnsiTheme="majorBidi" w:cstheme="majorBidi"/>
                <w:color w:val="000000" w:themeColor="text1"/>
                <w:sz w:val="18"/>
                <w:szCs w:val="18"/>
              </w:rPr>
              <w:t>-112.376</w:t>
            </w:r>
          </w:p>
        </w:tc>
        <w:tc>
          <w:tcPr>
            <w:tcW w:w="992" w:type="dxa"/>
          </w:tcPr>
          <w:p w14:paraId="68F0014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071930">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071930">
              <w:rPr>
                <w:rFonts w:asciiTheme="majorBidi" w:hAnsiTheme="majorBidi" w:cstheme="majorBidi"/>
                <w:color w:val="000000" w:themeColor="text1"/>
                <w:sz w:val="18"/>
                <w:szCs w:val="18"/>
              </w:rPr>
              <w:t>.05</w:t>
            </w:r>
            <w:r>
              <w:rPr>
                <w:rFonts w:asciiTheme="majorBidi" w:hAnsiTheme="majorBidi" w:cstheme="majorBidi"/>
                <w:color w:val="000000" w:themeColor="text1"/>
                <w:sz w:val="18"/>
                <w:szCs w:val="18"/>
              </w:rPr>
              <w:t>2</w:t>
            </w:r>
          </w:p>
        </w:tc>
        <w:tc>
          <w:tcPr>
            <w:tcW w:w="993" w:type="dxa"/>
          </w:tcPr>
          <w:p w14:paraId="5A6DB1D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12A57">
              <w:rPr>
                <w:rFonts w:asciiTheme="majorBidi" w:hAnsiTheme="majorBidi" w:cstheme="majorBidi"/>
                <w:color w:val="000000" w:themeColor="text1"/>
                <w:sz w:val="18"/>
                <w:szCs w:val="18"/>
              </w:rPr>
              <w:t>66.86</w:t>
            </w:r>
            <w:r>
              <w:rPr>
                <w:rFonts w:asciiTheme="majorBidi" w:hAnsiTheme="majorBidi" w:cstheme="majorBidi"/>
                <w:color w:val="000000" w:themeColor="text1"/>
                <w:sz w:val="18"/>
                <w:szCs w:val="18"/>
              </w:rPr>
              <w:t>6</w:t>
            </w:r>
          </w:p>
        </w:tc>
        <w:tc>
          <w:tcPr>
            <w:tcW w:w="1221" w:type="dxa"/>
          </w:tcPr>
          <w:p w14:paraId="3D4D90E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70143">
              <w:rPr>
                <w:rFonts w:asciiTheme="majorBidi" w:hAnsiTheme="majorBidi" w:cstheme="majorBidi"/>
                <w:color w:val="000000" w:themeColor="text1"/>
                <w:sz w:val="18"/>
                <w:szCs w:val="18"/>
              </w:rPr>
              <w:t>-8.969</w:t>
            </w:r>
          </w:p>
        </w:tc>
      </w:tr>
      <w:tr w:rsidR="0091178F" w:rsidRPr="005E73C2" w14:paraId="0300F011" w14:textId="77777777" w:rsidTr="006D78DE">
        <w:tc>
          <w:tcPr>
            <w:tcW w:w="1835" w:type="dxa"/>
          </w:tcPr>
          <w:p w14:paraId="367CA276" w14:textId="77777777"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LOSS</w:t>
            </w:r>
          </w:p>
        </w:tc>
        <w:tc>
          <w:tcPr>
            <w:tcW w:w="992" w:type="dxa"/>
          </w:tcPr>
          <w:p w14:paraId="66715238"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670</w:t>
            </w:r>
          </w:p>
        </w:tc>
        <w:tc>
          <w:tcPr>
            <w:tcW w:w="993" w:type="dxa"/>
          </w:tcPr>
          <w:p w14:paraId="246C27E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23166">
              <w:rPr>
                <w:rFonts w:asciiTheme="majorBidi" w:hAnsiTheme="majorBidi" w:cstheme="majorBidi"/>
                <w:color w:val="000000" w:themeColor="text1"/>
                <w:sz w:val="18"/>
                <w:szCs w:val="18"/>
              </w:rPr>
              <w:t>.166</w:t>
            </w:r>
          </w:p>
        </w:tc>
        <w:tc>
          <w:tcPr>
            <w:tcW w:w="992" w:type="dxa"/>
          </w:tcPr>
          <w:p w14:paraId="6442AE0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23166">
              <w:rPr>
                <w:rFonts w:asciiTheme="majorBidi" w:hAnsiTheme="majorBidi" w:cstheme="majorBidi"/>
                <w:color w:val="000000" w:themeColor="text1"/>
                <w:sz w:val="18"/>
                <w:szCs w:val="18"/>
              </w:rPr>
              <w:t>.372</w:t>
            </w:r>
          </w:p>
        </w:tc>
        <w:tc>
          <w:tcPr>
            <w:tcW w:w="992" w:type="dxa"/>
          </w:tcPr>
          <w:p w14:paraId="6D1BA48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23166">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5883A24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0.000</w:t>
            </w:r>
          </w:p>
        </w:tc>
        <w:tc>
          <w:tcPr>
            <w:tcW w:w="993" w:type="dxa"/>
          </w:tcPr>
          <w:p w14:paraId="4CF5C33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0B4F79D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A77C7F">
              <w:rPr>
                <w:rFonts w:asciiTheme="majorBidi" w:hAnsiTheme="majorBidi" w:cstheme="majorBidi"/>
                <w:color w:val="000000" w:themeColor="text1"/>
                <w:sz w:val="18"/>
                <w:szCs w:val="18"/>
              </w:rPr>
              <w:t>1.79</w:t>
            </w:r>
            <w:r>
              <w:rPr>
                <w:rFonts w:asciiTheme="majorBidi" w:hAnsiTheme="majorBidi" w:cstheme="majorBidi"/>
                <w:color w:val="000000" w:themeColor="text1"/>
                <w:sz w:val="18"/>
                <w:szCs w:val="18"/>
              </w:rPr>
              <w:t>9</w:t>
            </w:r>
          </w:p>
        </w:tc>
      </w:tr>
      <w:tr w:rsidR="0091178F" w:rsidRPr="005E73C2" w14:paraId="5AE5CA8F" w14:textId="77777777" w:rsidTr="006D78DE">
        <w:tc>
          <w:tcPr>
            <w:tcW w:w="1835" w:type="dxa"/>
          </w:tcPr>
          <w:p w14:paraId="560664F0" w14:textId="4D84638F"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DU</w:t>
            </w:r>
            <w:r w:rsidR="00C325D8">
              <w:rPr>
                <w:rFonts w:asciiTheme="majorBidi" w:hAnsiTheme="majorBidi" w:cstheme="majorBidi"/>
                <w:i/>
                <w:iCs/>
                <w:color w:val="000000" w:themeColor="text1"/>
                <w:sz w:val="18"/>
                <w:szCs w:val="18"/>
              </w:rPr>
              <w:t>AL</w:t>
            </w:r>
          </w:p>
        </w:tc>
        <w:tc>
          <w:tcPr>
            <w:tcW w:w="992" w:type="dxa"/>
          </w:tcPr>
          <w:p w14:paraId="4E5B1DD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189472A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E7B62">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30</w:t>
            </w:r>
          </w:p>
        </w:tc>
        <w:tc>
          <w:tcPr>
            <w:tcW w:w="992" w:type="dxa"/>
          </w:tcPr>
          <w:p w14:paraId="11FE8D2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E7B62">
              <w:rPr>
                <w:rFonts w:asciiTheme="majorBidi" w:hAnsiTheme="majorBidi" w:cstheme="majorBidi"/>
                <w:color w:val="000000" w:themeColor="text1"/>
                <w:sz w:val="18"/>
                <w:szCs w:val="18"/>
              </w:rPr>
              <w:t>.170</w:t>
            </w:r>
          </w:p>
        </w:tc>
        <w:tc>
          <w:tcPr>
            <w:tcW w:w="992" w:type="dxa"/>
          </w:tcPr>
          <w:p w14:paraId="6D7A55B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23166">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0936C53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0.000</w:t>
            </w:r>
          </w:p>
        </w:tc>
        <w:tc>
          <w:tcPr>
            <w:tcW w:w="993" w:type="dxa"/>
          </w:tcPr>
          <w:p w14:paraId="15398FE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5C52431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A77C7F">
              <w:rPr>
                <w:rFonts w:asciiTheme="majorBidi" w:hAnsiTheme="majorBidi" w:cstheme="majorBidi"/>
                <w:color w:val="000000" w:themeColor="text1"/>
                <w:sz w:val="18"/>
                <w:szCs w:val="18"/>
              </w:rPr>
              <w:t>5.525</w:t>
            </w:r>
          </w:p>
        </w:tc>
      </w:tr>
      <w:tr w:rsidR="0091178F" w:rsidRPr="005E73C2" w14:paraId="05DC4E29" w14:textId="77777777" w:rsidTr="006D78DE">
        <w:tc>
          <w:tcPr>
            <w:tcW w:w="1835" w:type="dxa"/>
          </w:tcPr>
          <w:p w14:paraId="3C98C909" w14:textId="31CACD71"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TEN</w:t>
            </w:r>
            <w:r w:rsidR="00C325D8">
              <w:rPr>
                <w:rFonts w:asciiTheme="majorBidi" w:hAnsiTheme="majorBidi" w:cstheme="majorBidi"/>
                <w:i/>
                <w:iCs/>
                <w:color w:val="000000" w:themeColor="text1"/>
                <w:sz w:val="18"/>
                <w:szCs w:val="18"/>
              </w:rPr>
              <w:t>URE</w:t>
            </w:r>
          </w:p>
        </w:tc>
        <w:tc>
          <w:tcPr>
            <w:tcW w:w="992" w:type="dxa"/>
          </w:tcPr>
          <w:p w14:paraId="4C652620" w14:textId="77777777" w:rsidR="0091178F" w:rsidRPr="00322887"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5F747AE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C069C8">
              <w:rPr>
                <w:rFonts w:asciiTheme="majorBidi" w:hAnsiTheme="majorBidi" w:cstheme="majorBidi"/>
                <w:color w:val="000000" w:themeColor="text1"/>
                <w:sz w:val="18"/>
                <w:szCs w:val="18"/>
              </w:rPr>
              <w:t>8.12</w:t>
            </w:r>
            <w:r>
              <w:rPr>
                <w:rFonts w:asciiTheme="majorBidi" w:hAnsiTheme="majorBidi" w:cstheme="majorBidi"/>
                <w:color w:val="000000" w:themeColor="text1"/>
                <w:sz w:val="18"/>
                <w:szCs w:val="18"/>
              </w:rPr>
              <w:t>4</w:t>
            </w:r>
          </w:p>
        </w:tc>
        <w:tc>
          <w:tcPr>
            <w:tcW w:w="992" w:type="dxa"/>
          </w:tcPr>
          <w:p w14:paraId="129B011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04BB3">
              <w:rPr>
                <w:rFonts w:asciiTheme="majorBidi" w:hAnsiTheme="majorBidi" w:cstheme="majorBidi"/>
                <w:color w:val="000000" w:themeColor="text1"/>
                <w:sz w:val="18"/>
                <w:szCs w:val="18"/>
              </w:rPr>
              <w:t>6.745</w:t>
            </w:r>
          </w:p>
        </w:tc>
        <w:tc>
          <w:tcPr>
            <w:tcW w:w="992" w:type="dxa"/>
          </w:tcPr>
          <w:p w14:paraId="5F86037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04BB3">
              <w:rPr>
                <w:rFonts w:asciiTheme="majorBidi" w:hAnsiTheme="majorBidi" w:cstheme="majorBidi"/>
                <w:color w:val="000000" w:themeColor="text1"/>
                <w:sz w:val="18"/>
                <w:szCs w:val="18"/>
              </w:rPr>
              <w:t>1</w:t>
            </w:r>
            <w:r>
              <w:rPr>
                <w:rFonts w:asciiTheme="majorBidi" w:hAnsiTheme="majorBidi" w:cstheme="majorBidi"/>
                <w:color w:val="000000" w:themeColor="text1"/>
                <w:sz w:val="18"/>
                <w:szCs w:val="18"/>
              </w:rPr>
              <w:t>.000</w:t>
            </w:r>
          </w:p>
        </w:tc>
        <w:tc>
          <w:tcPr>
            <w:tcW w:w="992" w:type="dxa"/>
          </w:tcPr>
          <w:p w14:paraId="3340790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E60C5C">
              <w:rPr>
                <w:rFonts w:asciiTheme="majorBidi" w:hAnsiTheme="majorBidi" w:cstheme="majorBidi"/>
                <w:color w:val="000000" w:themeColor="text1"/>
                <w:sz w:val="18"/>
                <w:szCs w:val="18"/>
              </w:rPr>
              <w:t>6</w:t>
            </w:r>
            <w:r>
              <w:rPr>
                <w:rFonts w:asciiTheme="majorBidi" w:hAnsiTheme="majorBidi" w:cstheme="majorBidi"/>
                <w:color w:val="000000" w:themeColor="text1"/>
                <w:sz w:val="18"/>
                <w:szCs w:val="18"/>
              </w:rPr>
              <w:t>.000</w:t>
            </w:r>
          </w:p>
        </w:tc>
        <w:tc>
          <w:tcPr>
            <w:tcW w:w="993" w:type="dxa"/>
          </w:tcPr>
          <w:p w14:paraId="4B6EBD61"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47.000</w:t>
            </w:r>
          </w:p>
        </w:tc>
        <w:tc>
          <w:tcPr>
            <w:tcW w:w="1221" w:type="dxa"/>
          </w:tcPr>
          <w:p w14:paraId="72641DE8"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A77C7F">
              <w:rPr>
                <w:rFonts w:asciiTheme="majorBidi" w:hAnsiTheme="majorBidi" w:cstheme="majorBidi"/>
                <w:color w:val="000000" w:themeColor="text1"/>
                <w:sz w:val="18"/>
                <w:szCs w:val="18"/>
              </w:rPr>
              <w:t>1.55</w:t>
            </w:r>
            <w:r>
              <w:rPr>
                <w:rFonts w:asciiTheme="majorBidi" w:hAnsiTheme="majorBidi" w:cstheme="majorBidi"/>
                <w:color w:val="000000" w:themeColor="text1"/>
                <w:sz w:val="18"/>
                <w:szCs w:val="18"/>
              </w:rPr>
              <w:t>1</w:t>
            </w:r>
          </w:p>
        </w:tc>
      </w:tr>
      <w:tr w:rsidR="0091178F" w:rsidRPr="005E73C2" w14:paraId="1EE97AD0" w14:textId="77777777" w:rsidTr="006D78DE">
        <w:tc>
          <w:tcPr>
            <w:tcW w:w="1835" w:type="dxa"/>
          </w:tcPr>
          <w:p w14:paraId="6FAF3E8D" w14:textId="66DDFE15"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IND</w:t>
            </w:r>
            <w:r w:rsidR="00C325D8">
              <w:rPr>
                <w:rFonts w:asciiTheme="majorBidi" w:hAnsiTheme="majorBidi" w:cstheme="majorBidi"/>
                <w:i/>
                <w:iCs/>
                <w:color w:val="000000" w:themeColor="text1"/>
                <w:sz w:val="18"/>
                <w:szCs w:val="18"/>
              </w:rPr>
              <w:t>EP</w:t>
            </w:r>
          </w:p>
        </w:tc>
        <w:tc>
          <w:tcPr>
            <w:tcW w:w="992" w:type="dxa"/>
          </w:tcPr>
          <w:p w14:paraId="30FFA84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5AE670F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04BB3">
              <w:rPr>
                <w:rFonts w:asciiTheme="majorBidi" w:hAnsiTheme="majorBidi" w:cstheme="majorBidi"/>
                <w:color w:val="000000" w:themeColor="text1"/>
                <w:sz w:val="18"/>
                <w:szCs w:val="18"/>
              </w:rPr>
              <w:t>.59</w:t>
            </w:r>
            <w:r>
              <w:rPr>
                <w:rFonts w:asciiTheme="majorBidi" w:hAnsiTheme="majorBidi" w:cstheme="majorBidi"/>
                <w:color w:val="000000" w:themeColor="text1"/>
                <w:sz w:val="18"/>
                <w:szCs w:val="18"/>
              </w:rPr>
              <w:t>3</w:t>
            </w:r>
          </w:p>
        </w:tc>
        <w:tc>
          <w:tcPr>
            <w:tcW w:w="992" w:type="dxa"/>
          </w:tcPr>
          <w:p w14:paraId="5589C6F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7A1C86">
              <w:rPr>
                <w:rFonts w:asciiTheme="majorBidi" w:hAnsiTheme="majorBidi" w:cstheme="majorBidi"/>
                <w:color w:val="000000" w:themeColor="text1"/>
                <w:sz w:val="18"/>
                <w:szCs w:val="18"/>
              </w:rPr>
              <w:t>.10</w:t>
            </w:r>
            <w:r>
              <w:rPr>
                <w:rFonts w:asciiTheme="majorBidi" w:hAnsiTheme="majorBidi" w:cstheme="majorBidi"/>
                <w:color w:val="000000" w:themeColor="text1"/>
                <w:sz w:val="18"/>
                <w:szCs w:val="18"/>
              </w:rPr>
              <w:t>8</w:t>
            </w:r>
          </w:p>
        </w:tc>
        <w:tc>
          <w:tcPr>
            <w:tcW w:w="992" w:type="dxa"/>
          </w:tcPr>
          <w:p w14:paraId="21A3EEB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34995">
              <w:rPr>
                <w:rFonts w:asciiTheme="majorBidi" w:hAnsiTheme="majorBidi" w:cstheme="majorBidi"/>
                <w:color w:val="000000" w:themeColor="text1"/>
                <w:sz w:val="18"/>
                <w:szCs w:val="18"/>
              </w:rPr>
              <w:t>.333</w:t>
            </w:r>
          </w:p>
        </w:tc>
        <w:tc>
          <w:tcPr>
            <w:tcW w:w="992" w:type="dxa"/>
          </w:tcPr>
          <w:p w14:paraId="290ABB2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E60C5C">
              <w:rPr>
                <w:rFonts w:asciiTheme="majorBidi" w:hAnsiTheme="majorBidi" w:cstheme="majorBidi"/>
                <w:color w:val="000000" w:themeColor="text1"/>
                <w:sz w:val="18"/>
                <w:szCs w:val="18"/>
              </w:rPr>
              <w:t>.6</w:t>
            </w:r>
            <w:r>
              <w:rPr>
                <w:rFonts w:asciiTheme="majorBidi" w:hAnsiTheme="majorBidi" w:cstheme="majorBidi"/>
                <w:color w:val="000000" w:themeColor="text1"/>
                <w:sz w:val="18"/>
                <w:szCs w:val="18"/>
              </w:rPr>
              <w:t>00</w:t>
            </w:r>
          </w:p>
        </w:tc>
        <w:tc>
          <w:tcPr>
            <w:tcW w:w="993" w:type="dxa"/>
          </w:tcPr>
          <w:p w14:paraId="1BBA8FA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34995">
              <w:rPr>
                <w:rFonts w:asciiTheme="majorBidi" w:hAnsiTheme="majorBidi" w:cstheme="majorBidi"/>
                <w:color w:val="000000" w:themeColor="text1"/>
                <w:sz w:val="18"/>
                <w:szCs w:val="18"/>
              </w:rPr>
              <w:t>.857</w:t>
            </w:r>
          </w:p>
        </w:tc>
        <w:tc>
          <w:tcPr>
            <w:tcW w:w="1221" w:type="dxa"/>
          </w:tcPr>
          <w:p w14:paraId="5F24B96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AA6362">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AA6362">
              <w:rPr>
                <w:rFonts w:asciiTheme="majorBidi" w:hAnsiTheme="majorBidi" w:cstheme="majorBidi"/>
                <w:color w:val="000000" w:themeColor="text1"/>
                <w:sz w:val="18"/>
                <w:szCs w:val="18"/>
              </w:rPr>
              <w:t>.023</w:t>
            </w:r>
          </w:p>
        </w:tc>
      </w:tr>
      <w:tr w:rsidR="0091178F" w:rsidRPr="005E73C2" w14:paraId="2CD58F94" w14:textId="77777777" w:rsidTr="006D78DE">
        <w:tc>
          <w:tcPr>
            <w:tcW w:w="1835" w:type="dxa"/>
          </w:tcPr>
          <w:p w14:paraId="7E194198" w14:textId="448E7895"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B</w:t>
            </w:r>
            <w:r w:rsidR="00C325D8">
              <w:rPr>
                <w:rFonts w:asciiTheme="majorBidi" w:hAnsiTheme="majorBidi" w:cstheme="majorBidi"/>
                <w:i/>
                <w:iCs/>
                <w:color w:val="000000" w:themeColor="text1"/>
                <w:sz w:val="18"/>
                <w:szCs w:val="18"/>
              </w:rPr>
              <w:t>D</w:t>
            </w:r>
            <w:r w:rsidRPr="005E73C2">
              <w:rPr>
                <w:rFonts w:asciiTheme="majorBidi" w:hAnsiTheme="majorBidi" w:cstheme="majorBidi"/>
                <w:i/>
                <w:iCs/>
                <w:color w:val="000000" w:themeColor="text1"/>
                <w:sz w:val="18"/>
                <w:szCs w:val="18"/>
              </w:rPr>
              <w:t>SIZE</w:t>
            </w:r>
          </w:p>
        </w:tc>
        <w:tc>
          <w:tcPr>
            <w:tcW w:w="992" w:type="dxa"/>
          </w:tcPr>
          <w:p w14:paraId="29F661BA" w14:textId="77777777" w:rsidR="0091178F" w:rsidRPr="0006653D"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6C0FD9A2"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627EC">
              <w:rPr>
                <w:rFonts w:asciiTheme="majorBidi" w:hAnsiTheme="majorBidi" w:cstheme="majorBidi"/>
                <w:color w:val="000000" w:themeColor="text1"/>
                <w:sz w:val="18"/>
                <w:szCs w:val="18"/>
              </w:rPr>
              <w:t>9.028</w:t>
            </w:r>
          </w:p>
        </w:tc>
        <w:tc>
          <w:tcPr>
            <w:tcW w:w="992" w:type="dxa"/>
          </w:tcPr>
          <w:p w14:paraId="371D1D7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627EC">
              <w:rPr>
                <w:rFonts w:asciiTheme="majorBidi" w:hAnsiTheme="majorBidi" w:cstheme="majorBidi"/>
                <w:color w:val="000000" w:themeColor="text1"/>
                <w:sz w:val="18"/>
                <w:szCs w:val="18"/>
              </w:rPr>
              <w:t>2.17</w:t>
            </w:r>
            <w:r>
              <w:rPr>
                <w:rFonts w:asciiTheme="majorBidi" w:hAnsiTheme="majorBidi" w:cstheme="majorBidi"/>
                <w:color w:val="000000" w:themeColor="text1"/>
                <w:sz w:val="18"/>
                <w:szCs w:val="18"/>
              </w:rPr>
              <w:t>1</w:t>
            </w:r>
          </w:p>
        </w:tc>
        <w:tc>
          <w:tcPr>
            <w:tcW w:w="992" w:type="dxa"/>
          </w:tcPr>
          <w:p w14:paraId="7300B47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627EC">
              <w:rPr>
                <w:rFonts w:asciiTheme="majorBidi" w:hAnsiTheme="majorBidi" w:cstheme="majorBidi"/>
                <w:color w:val="000000" w:themeColor="text1"/>
                <w:sz w:val="18"/>
                <w:szCs w:val="18"/>
              </w:rPr>
              <w:t>4</w:t>
            </w:r>
            <w:r>
              <w:rPr>
                <w:rFonts w:asciiTheme="majorBidi" w:hAnsiTheme="majorBidi" w:cstheme="majorBidi"/>
                <w:color w:val="000000" w:themeColor="text1"/>
                <w:sz w:val="18"/>
                <w:szCs w:val="18"/>
              </w:rPr>
              <w:t>.000</w:t>
            </w:r>
            <w:r w:rsidRPr="009627EC">
              <w:rPr>
                <w:rFonts w:asciiTheme="majorBidi" w:hAnsiTheme="majorBidi" w:cstheme="majorBidi"/>
                <w:color w:val="000000" w:themeColor="text1"/>
                <w:sz w:val="18"/>
                <w:szCs w:val="18"/>
              </w:rPr>
              <w:t xml:space="preserve">        </w:t>
            </w:r>
          </w:p>
        </w:tc>
        <w:tc>
          <w:tcPr>
            <w:tcW w:w="992" w:type="dxa"/>
          </w:tcPr>
          <w:p w14:paraId="7D17858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702EA0">
              <w:rPr>
                <w:rFonts w:asciiTheme="majorBidi" w:hAnsiTheme="majorBidi" w:cstheme="majorBidi"/>
                <w:color w:val="000000" w:themeColor="text1"/>
                <w:sz w:val="18"/>
                <w:szCs w:val="18"/>
              </w:rPr>
              <w:t>9</w:t>
            </w:r>
            <w:r>
              <w:rPr>
                <w:rFonts w:asciiTheme="majorBidi" w:hAnsiTheme="majorBidi" w:cstheme="majorBidi"/>
                <w:color w:val="000000" w:themeColor="text1"/>
                <w:sz w:val="18"/>
                <w:szCs w:val="18"/>
              </w:rPr>
              <w:t>.000</w:t>
            </w:r>
          </w:p>
        </w:tc>
        <w:tc>
          <w:tcPr>
            <w:tcW w:w="993" w:type="dxa"/>
          </w:tcPr>
          <w:p w14:paraId="0A6A7FA9" w14:textId="77777777" w:rsidR="0091178F" w:rsidRDefault="0091178F" w:rsidP="006D78DE">
            <w:pPr>
              <w:spacing w:line="276" w:lineRule="auto"/>
              <w:jc w:val="left"/>
              <w:rPr>
                <w:rFonts w:asciiTheme="majorBidi" w:hAnsiTheme="majorBidi" w:cstheme="majorBidi"/>
                <w:color w:val="000000" w:themeColor="text1"/>
                <w:sz w:val="18"/>
                <w:szCs w:val="18"/>
              </w:rPr>
            </w:pPr>
            <w:r w:rsidRPr="009627EC">
              <w:rPr>
                <w:rFonts w:asciiTheme="majorBidi" w:hAnsiTheme="majorBidi" w:cstheme="majorBidi"/>
                <w:color w:val="000000" w:themeColor="text1"/>
                <w:sz w:val="18"/>
                <w:szCs w:val="18"/>
              </w:rPr>
              <w:t>16</w:t>
            </w:r>
            <w:r>
              <w:rPr>
                <w:rFonts w:asciiTheme="majorBidi" w:hAnsiTheme="majorBidi" w:cstheme="majorBidi"/>
                <w:color w:val="000000" w:themeColor="text1"/>
                <w:sz w:val="18"/>
                <w:szCs w:val="18"/>
              </w:rPr>
              <w:t>.000</w:t>
            </w:r>
          </w:p>
        </w:tc>
        <w:tc>
          <w:tcPr>
            <w:tcW w:w="1221" w:type="dxa"/>
          </w:tcPr>
          <w:p w14:paraId="32B0345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AA6362">
              <w:rPr>
                <w:rFonts w:asciiTheme="majorBidi" w:hAnsiTheme="majorBidi" w:cstheme="majorBidi"/>
                <w:color w:val="000000" w:themeColor="text1"/>
                <w:sz w:val="18"/>
                <w:szCs w:val="18"/>
              </w:rPr>
              <w:t>.294</w:t>
            </w:r>
          </w:p>
        </w:tc>
      </w:tr>
      <w:tr w:rsidR="0091178F" w:rsidRPr="005E73C2" w14:paraId="141FD12A" w14:textId="77777777" w:rsidTr="006D78DE">
        <w:tc>
          <w:tcPr>
            <w:tcW w:w="1835" w:type="dxa"/>
          </w:tcPr>
          <w:p w14:paraId="17F1F8A9" w14:textId="77777777"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ACSIZE</w:t>
            </w:r>
          </w:p>
        </w:tc>
        <w:tc>
          <w:tcPr>
            <w:tcW w:w="992" w:type="dxa"/>
          </w:tcPr>
          <w:p w14:paraId="38DD2158"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1654FE6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26980">
              <w:rPr>
                <w:rFonts w:asciiTheme="majorBidi" w:hAnsiTheme="majorBidi" w:cstheme="majorBidi"/>
                <w:color w:val="000000" w:themeColor="text1"/>
                <w:sz w:val="18"/>
                <w:szCs w:val="18"/>
              </w:rPr>
              <w:t>.450</w:t>
            </w:r>
          </w:p>
        </w:tc>
        <w:tc>
          <w:tcPr>
            <w:tcW w:w="992" w:type="dxa"/>
          </w:tcPr>
          <w:p w14:paraId="55B1135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26980">
              <w:rPr>
                <w:rFonts w:asciiTheme="majorBidi" w:hAnsiTheme="majorBidi" w:cstheme="majorBidi"/>
                <w:color w:val="000000" w:themeColor="text1"/>
                <w:sz w:val="18"/>
                <w:szCs w:val="18"/>
              </w:rPr>
              <w:t>.1</w:t>
            </w:r>
            <w:r>
              <w:rPr>
                <w:rFonts w:asciiTheme="majorBidi" w:hAnsiTheme="majorBidi" w:cstheme="majorBidi"/>
                <w:color w:val="000000" w:themeColor="text1"/>
                <w:sz w:val="18"/>
                <w:szCs w:val="18"/>
              </w:rPr>
              <w:t>10</w:t>
            </w:r>
          </w:p>
        </w:tc>
        <w:tc>
          <w:tcPr>
            <w:tcW w:w="992" w:type="dxa"/>
          </w:tcPr>
          <w:p w14:paraId="054064A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26980">
              <w:rPr>
                <w:rFonts w:asciiTheme="majorBidi" w:hAnsiTheme="majorBidi" w:cstheme="majorBidi"/>
                <w:color w:val="000000" w:themeColor="text1"/>
                <w:sz w:val="18"/>
                <w:szCs w:val="18"/>
              </w:rPr>
              <w:t>.214</w:t>
            </w:r>
          </w:p>
        </w:tc>
        <w:tc>
          <w:tcPr>
            <w:tcW w:w="992" w:type="dxa"/>
          </w:tcPr>
          <w:p w14:paraId="1261FEF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702EA0">
              <w:rPr>
                <w:rFonts w:asciiTheme="majorBidi" w:hAnsiTheme="majorBidi" w:cstheme="majorBidi"/>
                <w:color w:val="000000" w:themeColor="text1"/>
                <w:sz w:val="18"/>
                <w:szCs w:val="18"/>
              </w:rPr>
              <w:t>.43</w:t>
            </w:r>
            <w:r>
              <w:rPr>
                <w:rFonts w:asciiTheme="majorBidi" w:hAnsiTheme="majorBidi" w:cstheme="majorBidi"/>
                <w:color w:val="000000" w:themeColor="text1"/>
                <w:sz w:val="18"/>
                <w:szCs w:val="18"/>
              </w:rPr>
              <w:t>7</w:t>
            </w:r>
          </w:p>
        </w:tc>
        <w:tc>
          <w:tcPr>
            <w:tcW w:w="993" w:type="dxa"/>
          </w:tcPr>
          <w:p w14:paraId="547DED5E"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CB4E3D">
              <w:rPr>
                <w:rFonts w:asciiTheme="majorBidi" w:hAnsiTheme="majorBidi" w:cstheme="majorBidi"/>
                <w:color w:val="000000" w:themeColor="text1"/>
                <w:sz w:val="18"/>
                <w:szCs w:val="18"/>
              </w:rPr>
              <w:t>.8</w:t>
            </w:r>
            <w:r>
              <w:rPr>
                <w:rFonts w:asciiTheme="majorBidi" w:hAnsiTheme="majorBidi" w:cstheme="majorBidi"/>
                <w:color w:val="000000" w:themeColor="text1"/>
                <w:sz w:val="18"/>
                <w:szCs w:val="18"/>
              </w:rPr>
              <w:t>00</w:t>
            </w:r>
          </w:p>
        </w:tc>
        <w:tc>
          <w:tcPr>
            <w:tcW w:w="1221" w:type="dxa"/>
          </w:tcPr>
          <w:p w14:paraId="7E08011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AA6362">
              <w:rPr>
                <w:rFonts w:asciiTheme="majorBidi" w:hAnsiTheme="majorBidi" w:cstheme="majorBidi"/>
                <w:color w:val="000000" w:themeColor="text1"/>
                <w:sz w:val="18"/>
                <w:szCs w:val="18"/>
              </w:rPr>
              <w:t>.359</w:t>
            </w:r>
          </w:p>
        </w:tc>
      </w:tr>
      <w:tr w:rsidR="0091178F" w:rsidRPr="005E73C2" w14:paraId="2C62C8AB" w14:textId="77777777" w:rsidTr="006D78DE">
        <w:tc>
          <w:tcPr>
            <w:tcW w:w="1835" w:type="dxa"/>
          </w:tcPr>
          <w:p w14:paraId="23A7F613" w14:textId="1ACD5370"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FEMALE</w:t>
            </w:r>
          </w:p>
        </w:tc>
        <w:tc>
          <w:tcPr>
            <w:tcW w:w="992" w:type="dxa"/>
          </w:tcPr>
          <w:p w14:paraId="7D980B1E" w14:textId="77777777" w:rsidR="0091178F"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4CEF846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CB4E3D">
              <w:rPr>
                <w:rFonts w:asciiTheme="majorBidi" w:hAnsiTheme="majorBidi" w:cstheme="majorBidi"/>
                <w:color w:val="000000" w:themeColor="text1"/>
                <w:sz w:val="18"/>
                <w:szCs w:val="18"/>
              </w:rPr>
              <w:t>.305</w:t>
            </w:r>
          </w:p>
        </w:tc>
        <w:tc>
          <w:tcPr>
            <w:tcW w:w="992" w:type="dxa"/>
          </w:tcPr>
          <w:p w14:paraId="1BB6F25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80681">
              <w:rPr>
                <w:rFonts w:asciiTheme="majorBidi" w:hAnsiTheme="majorBidi" w:cstheme="majorBidi"/>
                <w:color w:val="000000" w:themeColor="text1"/>
                <w:sz w:val="18"/>
                <w:szCs w:val="18"/>
              </w:rPr>
              <w:t>.203</w:t>
            </w:r>
          </w:p>
        </w:tc>
        <w:tc>
          <w:tcPr>
            <w:tcW w:w="992" w:type="dxa"/>
          </w:tcPr>
          <w:p w14:paraId="547B5FF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680681">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1C1DBD0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162E9">
              <w:rPr>
                <w:rFonts w:asciiTheme="majorBidi" w:hAnsiTheme="majorBidi" w:cstheme="majorBidi"/>
                <w:color w:val="000000" w:themeColor="text1"/>
                <w:sz w:val="18"/>
                <w:szCs w:val="18"/>
              </w:rPr>
              <w:t>.333</w:t>
            </w:r>
          </w:p>
        </w:tc>
        <w:tc>
          <w:tcPr>
            <w:tcW w:w="993" w:type="dxa"/>
          </w:tcPr>
          <w:p w14:paraId="3BE9B32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0F89969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F8228B">
              <w:rPr>
                <w:rFonts w:asciiTheme="majorBidi" w:hAnsiTheme="majorBidi" w:cstheme="majorBidi"/>
                <w:color w:val="000000" w:themeColor="text1"/>
                <w:sz w:val="18"/>
                <w:szCs w:val="18"/>
              </w:rPr>
              <w:t>.233</w:t>
            </w:r>
          </w:p>
        </w:tc>
      </w:tr>
      <w:tr w:rsidR="0091178F" w:rsidRPr="005E73C2" w14:paraId="2BE67701" w14:textId="77777777" w:rsidTr="006D78DE">
        <w:tc>
          <w:tcPr>
            <w:tcW w:w="1835" w:type="dxa"/>
          </w:tcPr>
          <w:p w14:paraId="64B9093B" w14:textId="7A469007" w:rsidR="0091178F" w:rsidRPr="005E73C2" w:rsidRDefault="0091178F" w:rsidP="006D78DE">
            <w:pPr>
              <w:spacing w:line="276" w:lineRule="auto"/>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ACCEXP</w:t>
            </w:r>
          </w:p>
        </w:tc>
        <w:tc>
          <w:tcPr>
            <w:tcW w:w="992" w:type="dxa"/>
          </w:tcPr>
          <w:p w14:paraId="29A416B8"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1708551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02D3B">
              <w:rPr>
                <w:rFonts w:asciiTheme="majorBidi" w:hAnsiTheme="majorBidi" w:cstheme="majorBidi"/>
                <w:color w:val="000000" w:themeColor="text1"/>
                <w:sz w:val="18"/>
                <w:szCs w:val="18"/>
              </w:rPr>
              <w:t>.3</w:t>
            </w:r>
            <w:r>
              <w:rPr>
                <w:rFonts w:asciiTheme="majorBidi" w:hAnsiTheme="majorBidi" w:cstheme="majorBidi"/>
                <w:color w:val="000000" w:themeColor="text1"/>
                <w:sz w:val="18"/>
                <w:szCs w:val="18"/>
              </w:rPr>
              <w:t>80</w:t>
            </w:r>
          </w:p>
        </w:tc>
        <w:tc>
          <w:tcPr>
            <w:tcW w:w="992" w:type="dxa"/>
          </w:tcPr>
          <w:p w14:paraId="35B5B27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02D3B">
              <w:rPr>
                <w:rFonts w:asciiTheme="majorBidi" w:hAnsiTheme="majorBidi" w:cstheme="majorBidi"/>
                <w:color w:val="000000" w:themeColor="text1"/>
                <w:sz w:val="18"/>
                <w:szCs w:val="18"/>
              </w:rPr>
              <w:t>.18</w:t>
            </w:r>
            <w:r>
              <w:rPr>
                <w:rFonts w:asciiTheme="majorBidi" w:hAnsiTheme="majorBidi" w:cstheme="majorBidi"/>
                <w:color w:val="000000" w:themeColor="text1"/>
                <w:sz w:val="18"/>
                <w:szCs w:val="18"/>
              </w:rPr>
              <w:t>5</w:t>
            </w:r>
          </w:p>
        </w:tc>
        <w:tc>
          <w:tcPr>
            <w:tcW w:w="992" w:type="dxa"/>
          </w:tcPr>
          <w:p w14:paraId="168D62C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680681">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4912CE9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162E9">
              <w:rPr>
                <w:rFonts w:asciiTheme="majorBidi" w:hAnsiTheme="majorBidi" w:cstheme="majorBidi"/>
                <w:color w:val="000000" w:themeColor="text1"/>
                <w:sz w:val="18"/>
                <w:szCs w:val="18"/>
              </w:rPr>
              <w:t>.333</w:t>
            </w:r>
          </w:p>
        </w:tc>
        <w:tc>
          <w:tcPr>
            <w:tcW w:w="993" w:type="dxa"/>
          </w:tcPr>
          <w:p w14:paraId="718D864C"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5D65F7F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F8228B">
              <w:rPr>
                <w:rFonts w:asciiTheme="majorBidi" w:hAnsiTheme="majorBidi" w:cstheme="majorBidi"/>
                <w:color w:val="000000" w:themeColor="text1"/>
                <w:sz w:val="18"/>
                <w:szCs w:val="18"/>
              </w:rPr>
              <w:t>.587</w:t>
            </w:r>
          </w:p>
        </w:tc>
      </w:tr>
      <w:tr w:rsidR="0091178F" w:rsidRPr="005E73C2" w14:paraId="33B418DF" w14:textId="77777777" w:rsidTr="006D78DE">
        <w:tc>
          <w:tcPr>
            <w:tcW w:w="1835" w:type="dxa"/>
          </w:tcPr>
          <w:p w14:paraId="437024A6" w14:textId="577C08F5" w:rsidR="0091178F" w:rsidRPr="005E73C2" w:rsidRDefault="0091178F" w:rsidP="006D78DE">
            <w:pPr>
              <w:spacing w:line="276" w:lineRule="auto"/>
              <w:rPr>
                <w:rFonts w:asciiTheme="majorBidi" w:hAnsiTheme="majorBidi" w:cstheme="majorBidi"/>
                <w:i/>
                <w:iCs/>
                <w:color w:val="000000" w:themeColor="text1"/>
                <w:sz w:val="18"/>
                <w:szCs w:val="18"/>
              </w:rPr>
            </w:pPr>
            <w:r w:rsidRPr="00BC7D29">
              <w:rPr>
                <w:rFonts w:ascii="Times New Roman" w:hAnsi="Times New Roman" w:cs="Times New Roman"/>
                <w:i/>
                <w:iCs/>
                <w:sz w:val="18"/>
                <w:szCs w:val="18"/>
              </w:rPr>
              <w:t>COMPEN</w:t>
            </w:r>
            <w:r w:rsidR="00C325D8">
              <w:rPr>
                <w:rFonts w:ascii="Times New Roman" w:hAnsi="Times New Roman" w:cs="Times New Roman"/>
                <w:i/>
                <w:iCs/>
                <w:sz w:val="18"/>
                <w:szCs w:val="18"/>
              </w:rPr>
              <w:t>SATION</w:t>
            </w:r>
          </w:p>
        </w:tc>
        <w:tc>
          <w:tcPr>
            <w:tcW w:w="992" w:type="dxa"/>
          </w:tcPr>
          <w:p w14:paraId="403AD27D"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2BA9EB9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FB3C9A">
              <w:rPr>
                <w:rFonts w:asciiTheme="majorBidi" w:hAnsiTheme="majorBidi" w:cstheme="majorBidi"/>
                <w:color w:val="000000" w:themeColor="text1"/>
                <w:sz w:val="18"/>
                <w:szCs w:val="18"/>
              </w:rPr>
              <w:t>4.06</w:t>
            </w:r>
            <w:r>
              <w:rPr>
                <w:rFonts w:asciiTheme="majorBidi" w:hAnsiTheme="majorBidi" w:cstheme="majorBidi"/>
                <w:color w:val="000000" w:themeColor="text1"/>
                <w:sz w:val="18"/>
                <w:szCs w:val="18"/>
              </w:rPr>
              <w:t>1</w:t>
            </w:r>
          </w:p>
        </w:tc>
        <w:tc>
          <w:tcPr>
            <w:tcW w:w="992" w:type="dxa"/>
          </w:tcPr>
          <w:p w14:paraId="30C0B696"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FB3C9A">
              <w:rPr>
                <w:rFonts w:asciiTheme="majorBidi" w:hAnsiTheme="majorBidi" w:cstheme="majorBidi"/>
                <w:color w:val="000000" w:themeColor="text1"/>
                <w:sz w:val="18"/>
                <w:szCs w:val="18"/>
              </w:rPr>
              <w:t>.75</w:t>
            </w:r>
            <w:r>
              <w:rPr>
                <w:rFonts w:asciiTheme="majorBidi" w:hAnsiTheme="majorBidi" w:cstheme="majorBidi"/>
                <w:color w:val="000000" w:themeColor="text1"/>
                <w:sz w:val="18"/>
                <w:szCs w:val="18"/>
              </w:rPr>
              <w:t>1</w:t>
            </w:r>
          </w:p>
        </w:tc>
        <w:tc>
          <w:tcPr>
            <w:tcW w:w="992" w:type="dxa"/>
          </w:tcPr>
          <w:p w14:paraId="6C29561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6D4CCB">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08D8494F"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4162E9">
              <w:rPr>
                <w:rFonts w:asciiTheme="majorBidi" w:hAnsiTheme="majorBidi" w:cstheme="majorBidi"/>
                <w:color w:val="000000" w:themeColor="text1"/>
                <w:sz w:val="18"/>
                <w:szCs w:val="18"/>
              </w:rPr>
              <w:t>4.174</w:t>
            </w:r>
          </w:p>
        </w:tc>
        <w:tc>
          <w:tcPr>
            <w:tcW w:w="993" w:type="dxa"/>
          </w:tcPr>
          <w:p w14:paraId="6C8121E8"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6D4CCB">
              <w:rPr>
                <w:rFonts w:asciiTheme="majorBidi" w:hAnsiTheme="majorBidi" w:cstheme="majorBidi"/>
                <w:color w:val="000000" w:themeColor="text1"/>
                <w:sz w:val="18"/>
                <w:szCs w:val="18"/>
              </w:rPr>
              <w:t>5.38</w:t>
            </w:r>
            <w:r>
              <w:rPr>
                <w:rFonts w:asciiTheme="majorBidi" w:hAnsiTheme="majorBidi" w:cstheme="majorBidi"/>
                <w:color w:val="000000" w:themeColor="text1"/>
                <w:sz w:val="18"/>
                <w:szCs w:val="18"/>
              </w:rPr>
              <w:t>0</w:t>
            </w:r>
          </w:p>
        </w:tc>
        <w:tc>
          <w:tcPr>
            <w:tcW w:w="1221" w:type="dxa"/>
          </w:tcPr>
          <w:p w14:paraId="30FEA2B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0A3AD5">
              <w:rPr>
                <w:rFonts w:asciiTheme="majorBidi" w:hAnsiTheme="majorBidi" w:cstheme="majorBidi"/>
                <w:color w:val="000000" w:themeColor="text1"/>
                <w:sz w:val="18"/>
                <w:szCs w:val="18"/>
              </w:rPr>
              <w:t>-3.8</w:t>
            </w:r>
            <w:r>
              <w:rPr>
                <w:rFonts w:asciiTheme="majorBidi" w:hAnsiTheme="majorBidi" w:cstheme="majorBidi"/>
                <w:color w:val="000000" w:themeColor="text1"/>
                <w:sz w:val="18"/>
                <w:szCs w:val="18"/>
              </w:rPr>
              <w:t>60</w:t>
            </w:r>
          </w:p>
        </w:tc>
      </w:tr>
      <w:tr w:rsidR="0091178F" w:rsidRPr="005E73C2" w14:paraId="5CF9752C" w14:textId="77777777" w:rsidTr="006D78DE">
        <w:tc>
          <w:tcPr>
            <w:tcW w:w="1835" w:type="dxa"/>
            <w:tcBorders>
              <w:bottom w:val="single" w:sz="6" w:space="0" w:color="auto"/>
            </w:tcBorders>
          </w:tcPr>
          <w:p w14:paraId="1F2B022C" w14:textId="77777777" w:rsidR="0091178F" w:rsidRPr="00BC7D29" w:rsidRDefault="0091178F" w:rsidP="006D78DE">
            <w:pPr>
              <w:spacing w:line="276" w:lineRule="auto"/>
              <w:rPr>
                <w:rFonts w:ascii="Times New Roman" w:hAnsi="Times New Roman" w:cs="Times New Roman"/>
                <w:i/>
                <w:iCs/>
                <w:sz w:val="18"/>
                <w:szCs w:val="18"/>
              </w:rPr>
            </w:pPr>
          </w:p>
        </w:tc>
        <w:tc>
          <w:tcPr>
            <w:tcW w:w="992" w:type="dxa"/>
            <w:tcBorders>
              <w:bottom w:val="single" w:sz="6" w:space="0" w:color="auto"/>
            </w:tcBorders>
          </w:tcPr>
          <w:p w14:paraId="4FFF1FAF" w14:textId="77777777" w:rsidR="0091178F" w:rsidRPr="00B91AE4" w:rsidRDefault="0091178F" w:rsidP="006D78DE">
            <w:pPr>
              <w:spacing w:line="276" w:lineRule="auto"/>
              <w:jc w:val="left"/>
              <w:rPr>
                <w:rFonts w:asciiTheme="majorBidi" w:hAnsiTheme="majorBidi" w:cstheme="majorBidi"/>
                <w:color w:val="000000" w:themeColor="text1"/>
                <w:sz w:val="18"/>
                <w:szCs w:val="18"/>
              </w:rPr>
            </w:pPr>
          </w:p>
        </w:tc>
        <w:tc>
          <w:tcPr>
            <w:tcW w:w="993" w:type="dxa"/>
            <w:tcBorders>
              <w:bottom w:val="single" w:sz="6" w:space="0" w:color="auto"/>
            </w:tcBorders>
          </w:tcPr>
          <w:p w14:paraId="096F6447" w14:textId="77777777" w:rsidR="0091178F" w:rsidRPr="00FB3C9A" w:rsidRDefault="0091178F" w:rsidP="006D78DE">
            <w:pPr>
              <w:spacing w:line="276" w:lineRule="auto"/>
              <w:jc w:val="left"/>
              <w:rPr>
                <w:rFonts w:asciiTheme="majorBidi" w:hAnsiTheme="majorBidi" w:cstheme="majorBidi"/>
                <w:color w:val="000000" w:themeColor="text1"/>
                <w:sz w:val="18"/>
                <w:szCs w:val="18"/>
              </w:rPr>
            </w:pPr>
          </w:p>
        </w:tc>
        <w:tc>
          <w:tcPr>
            <w:tcW w:w="992" w:type="dxa"/>
            <w:tcBorders>
              <w:bottom w:val="single" w:sz="6" w:space="0" w:color="auto"/>
            </w:tcBorders>
          </w:tcPr>
          <w:p w14:paraId="1166BA42" w14:textId="77777777" w:rsidR="0091178F" w:rsidRDefault="0091178F" w:rsidP="006D78DE">
            <w:pPr>
              <w:spacing w:line="276" w:lineRule="auto"/>
              <w:jc w:val="left"/>
              <w:rPr>
                <w:rFonts w:asciiTheme="majorBidi" w:hAnsiTheme="majorBidi" w:cstheme="majorBidi"/>
                <w:color w:val="000000" w:themeColor="text1"/>
                <w:sz w:val="18"/>
                <w:szCs w:val="18"/>
              </w:rPr>
            </w:pPr>
          </w:p>
        </w:tc>
        <w:tc>
          <w:tcPr>
            <w:tcW w:w="992" w:type="dxa"/>
            <w:tcBorders>
              <w:bottom w:val="single" w:sz="6" w:space="0" w:color="auto"/>
            </w:tcBorders>
          </w:tcPr>
          <w:p w14:paraId="2D042DE0" w14:textId="77777777" w:rsidR="0091178F" w:rsidRPr="006D4CCB" w:rsidRDefault="0091178F" w:rsidP="006D78DE">
            <w:pPr>
              <w:spacing w:line="276" w:lineRule="auto"/>
              <w:jc w:val="left"/>
              <w:rPr>
                <w:rFonts w:asciiTheme="majorBidi" w:hAnsiTheme="majorBidi" w:cstheme="majorBidi"/>
                <w:color w:val="000000" w:themeColor="text1"/>
                <w:sz w:val="18"/>
                <w:szCs w:val="18"/>
              </w:rPr>
            </w:pPr>
          </w:p>
        </w:tc>
        <w:tc>
          <w:tcPr>
            <w:tcW w:w="992" w:type="dxa"/>
            <w:tcBorders>
              <w:bottom w:val="single" w:sz="6" w:space="0" w:color="auto"/>
            </w:tcBorders>
          </w:tcPr>
          <w:p w14:paraId="1460B12F" w14:textId="77777777" w:rsidR="0091178F" w:rsidRPr="004162E9" w:rsidRDefault="0091178F" w:rsidP="006D78DE">
            <w:pPr>
              <w:spacing w:line="276" w:lineRule="auto"/>
              <w:jc w:val="left"/>
              <w:rPr>
                <w:rFonts w:asciiTheme="majorBidi" w:hAnsiTheme="majorBidi" w:cstheme="majorBidi"/>
                <w:color w:val="000000" w:themeColor="text1"/>
                <w:sz w:val="18"/>
                <w:szCs w:val="18"/>
              </w:rPr>
            </w:pPr>
          </w:p>
        </w:tc>
        <w:tc>
          <w:tcPr>
            <w:tcW w:w="993" w:type="dxa"/>
            <w:tcBorders>
              <w:bottom w:val="single" w:sz="6" w:space="0" w:color="auto"/>
            </w:tcBorders>
          </w:tcPr>
          <w:p w14:paraId="5C7A2480" w14:textId="77777777" w:rsidR="0091178F" w:rsidRPr="006D4CCB" w:rsidRDefault="0091178F" w:rsidP="006D78DE">
            <w:pPr>
              <w:spacing w:line="276" w:lineRule="auto"/>
              <w:jc w:val="left"/>
              <w:rPr>
                <w:rFonts w:asciiTheme="majorBidi" w:hAnsiTheme="majorBidi" w:cstheme="majorBidi"/>
                <w:color w:val="000000" w:themeColor="text1"/>
                <w:sz w:val="18"/>
                <w:szCs w:val="18"/>
              </w:rPr>
            </w:pPr>
          </w:p>
        </w:tc>
        <w:tc>
          <w:tcPr>
            <w:tcW w:w="1221" w:type="dxa"/>
            <w:tcBorders>
              <w:bottom w:val="single" w:sz="6" w:space="0" w:color="auto"/>
            </w:tcBorders>
          </w:tcPr>
          <w:p w14:paraId="54D726D4" w14:textId="77777777" w:rsidR="0091178F" w:rsidRPr="000A3AD5" w:rsidRDefault="0091178F" w:rsidP="006D78DE">
            <w:pPr>
              <w:spacing w:line="276" w:lineRule="auto"/>
              <w:jc w:val="left"/>
              <w:rPr>
                <w:rFonts w:asciiTheme="majorBidi" w:hAnsiTheme="majorBidi" w:cstheme="majorBidi"/>
                <w:color w:val="000000" w:themeColor="text1"/>
                <w:sz w:val="18"/>
                <w:szCs w:val="18"/>
              </w:rPr>
            </w:pPr>
          </w:p>
        </w:tc>
      </w:tr>
      <w:tr w:rsidR="0091178F" w:rsidRPr="005E73C2" w14:paraId="49F59DB0" w14:textId="77777777" w:rsidTr="006D78DE">
        <w:tc>
          <w:tcPr>
            <w:tcW w:w="9010" w:type="dxa"/>
            <w:gridSpan w:val="8"/>
          </w:tcPr>
          <w:p w14:paraId="6910F0E0"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Panel B: </w:t>
            </w:r>
            <w:proofErr w:type="spellStart"/>
            <w:r w:rsidRPr="00F01B89">
              <w:rPr>
                <w:rFonts w:asciiTheme="majorBidi" w:hAnsiTheme="majorBidi" w:cstheme="majorBidi"/>
                <w:color w:val="000000" w:themeColor="text1"/>
                <w:sz w:val="18"/>
                <w:szCs w:val="18"/>
              </w:rPr>
              <w:t>Winsorized</w:t>
            </w:r>
            <w:proofErr w:type="spellEnd"/>
            <w:r w:rsidRPr="00F01B89">
              <w:rPr>
                <w:rFonts w:asciiTheme="majorBidi" w:hAnsiTheme="majorBidi" w:cstheme="majorBidi"/>
                <w:color w:val="000000" w:themeColor="text1"/>
                <w:sz w:val="18"/>
                <w:szCs w:val="18"/>
              </w:rPr>
              <w:t xml:space="preserve"> sample</w:t>
            </w:r>
          </w:p>
        </w:tc>
      </w:tr>
      <w:tr w:rsidR="0091178F" w:rsidRPr="005E73C2" w14:paraId="084FA288" w14:textId="77777777" w:rsidTr="006D78DE">
        <w:tc>
          <w:tcPr>
            <w:tcW w:w="1835" w:type="dxa"/>
            <w:tcBorders>
              <w:top w:val="single" w:sz="6" w:space="0" w:color="auto"/>
              <w:bottom w:val="single" w:sz="6" w:space="0" w:color="auto"/>
            </w:tcBorders>
          </w:tcPr>
          <w:p w14:paraId="6EAF3A62" w14:textId="77777777" w:rsidR="0091178F" w:rsidRPr="005E73C2" w:rsidRDefault="0091178F" w:rsidP="006D78DE">
            <w:pPr>
              <w:spacing w:line="276" w:lineRule="auto"/>
              <w:rPr>
                <w:rFonts w:asciiTheme="majorBidi" w:hAnsiTheme="majorBidi" w:cstheme="majorBidi"/>
                <w:i/>
                <w:iCs/>
                <w:color w:val="000000" w:themeColor="text1"/>
                <w:sz w:val="18"/>
                <w:szCs w:val="18"/>
              </w:rPr>
            </w:pPr>
          </w:p>
        </w:tc>
        <w:tc>
          <w:tcPr>
            <w:tcW w:w="992" w:type="dxa"/>
            <w:tcBorders>
              <w:top w:val="single" w:sz="6" w:space="0" w:color="auto"/>
              <w:bottom w:val="single" w:sz="6" w:space="0" w:color="auto"/>
            </w:tcBorders>
          </w:tcPr>
          <w:p w14:paraId="535FAC73"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N</w:t>
            </w:r>
          </w:p>
        </w:tc>
        <w:tc>
          <w:tcPr>
            <w:tcW w:w="993" w:type="dxa"/>
            <w:tcBorders>
              <w:top w:val="single" w:sz="6" w:space="0" w:color="auto"/>
              <w:bottom w:val="single" w:sz="6" w:space="0" w:color="auto"/>
            </w:tcBorders>
          </w:tcPr>
          <w:p w14:paraId="18679285"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Mean</w:t>
            </w:r>
          </w:p>
        </w:tc>
        <w:tc>
          <w:tcPr>
            <w:tcW w:w="992" w:type="dxa"/>
            <w:tcBorders>
              <w:top w:val="single" w:sz="6" w:space="0" w:color="auto"/>
              <w:bottom w:val="single" w:sz="6" w:space="0" w:color="auto"/>
            </w:tcBorders>
          </w:tcPr>
          <w:p w14:paraId="586CAA84"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SD</w:t>
            </w:r>
          </w:p>
        </w:tc>
        <w:tc>
          <w:tcPr>
            <w:tcW w:w="992" w:type="dxa"/>
            <w:tcBorders>
              <w:top w:val="single" w:sz="6" w:space="0" w:color="auto"/>
              <w:bottom w:val="single" w:sz="6" w:space="0" w:color="auto"/>
            </w:tcBorders>
          </w:tcPr>
          <w:p w14:paraId="5BD67E9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Min</w:t>
            </w:r>
          </w:p>
        </w:tc>
        <w:tc>
          <w:tcPr>
            <w:tcW w:w="992" w:type="dxa"/>
            <w:tcBorders>
              <w:top w:val="single" w:sz="6" w:space="0" w:color="auto"/>
              <w:bottom w:val="single" w:sz="6" w:space="0" w:color="auto"/>
            </w:tcBorders>
          </w:tcPr>
          <w:p w14:paraId="4EC4461E"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P50</w:t>
            </w:r>
          </w:p>
        </w:tc>
        <w:tc>
          <w:tcPr>
            <w:tcW w:w="993" w:type="dxa"/>
            <w:tcBorders>
              <w:top w:val="single" w:sz="6" w:space="0" w:color="auto"/>
              <w:bottom w:val="single" w:sz="6" w:space="0" w:color="auto"/>
            </w:tcBorders>
          </w:tcPr>
          <w:p w14:paraId="5AC2DB1E"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Max</w:t>
            </w:r>
          </w:p>
        </w:tc>
        <w:tc>
          <w:tcPr>
            <w:tcW w:w="1221" w:type="dxa"/>
            <w:tcBorders>
              <w:top w:val="single" w:sz="6" w:space="0" w:color="auto"/>
              <w:bottom w:val="single" w:sz="6" w:space="0" w:color="auto"/>
            </w:tcBorders>
          </w:tcPr>
          <w:p w14:paraId="005CEF2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Skewness</w:t>
            </w:r>
          </w:p>
        </w:tc>
      </w:tr>
      <w:tr w:rsidR="0091178F" w:rsidRPr="005E73C2" w14:paraId="7B588C6A" w14:textId="77777777" w:rsidTr="006D78DE">
        <w:tc>
          <w:tcPr>
            <w:tcW w:w="1835" w:type="dxa"/>
            <w:tcBorders>
              <w:top w:val="single" w:sz="6" w:space="0" w:color="auto"/>
            </w:tcBorders>
          </w:tcPr>
          <w:p w14:paraId="721AFC71" w14:textId="77777777"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IFRSEPS</w:t>
            </w:r>
          </w:p>
        </w:tc>
        <w:tc>
          <w:tcPr>
            <w:tcW w:w="992" w:type="dxa"/>
            <w:tcBorders>
              <w:top w:val="single" w:sz="6" w:space="0" w:color="auto"/>
            </w:tcBorders>
          </w:tcPr>
          <w:p w14:paraId="10537CBF"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263455">
              <w:rPr>
                <w:rFonts w:asciiTheme="majorBidi" w:hAnsiTheme="majorBidi" w:cstheme="majorBidi"/>
                <w:color w:val="000000" w:themeColor="text1"/>
                <w:sz w:val="18"/>
                <w:szCs w:val="18"/>
              </w:rPr>
              <w:t>533</w:t>
            </w:r>
          </w:p>
        </w:tc>
        <w:tc>
          <w:tcPr>
            <w:tcW w:w="993" w:type="dxa"/>
            <w:tcBorders>
              <w:top w:val="single" w:sz="6" w:space="0" w:color="auto"/>
            </w:tcBorders>
          </w:tcPr>
          <w:p w14:paraId="6DE55FC2"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A1322C">
              <w:rPr>
                <w:rFonts w:asciiTheme="majorBidi" w:hAnsiTheme="majorBidi" w:cstheme="majorBidi"/>
                <w:color w:val="000000" w:themeColor="text1"/>
                <w:sz w:val="18"/>
                <w:szCs w:val="18"/>
              </w:rPr>
              <w:t>.4</w:t>
            </w:r>
            <w:r>
              <w:rPr>
                <w:rFonts w:asciiTheme="majorBidi" w:hAnsiTheme="majorBidi" w:cstheme="majorBidi"/>
                <w:color w:val="000000" w:themeColor="text1"/>
                <w:sz w:val="18"/>
                <w:szCs w:val="18"/>
              </w:rPr>
              <w:t>40</w:t>
            </w:r>
          </w:p>
        </w:tc>
        <w:tc>
          <w:tcPr>
            <w:tcW w:w="992" w:type="dxa"/>
            <w:tcBorders>
              <w:top w:val="single" w:sz="6" w:space="0" w:color="auto"/>
            </w:tcBorders>
          </w:tcPr>
          <w:p w14:paraId="13979468"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1B46ED">
              <w:rPr>
                <w:rFonts w:asciiTheme="majorBidi" w:hAnsiTheme="majorBidi" w:cstheme="majorBidi"/>
                <w:color w:val="000000" w:themeColor="text1"/>
                <w:sz w:val="18"/>
                <w:szCs w:val="18"/>
              </w:rPr>
              <w:t>.6</w:t>
            </w:r>
            <w:r>
              <w:rPr>
                <w:rFonts w:asciiTheme="majorBidi" w:hAnsiTheme="majorBidi" w:cstheme="majorBidi"/>
                <w:color w:val="000000" w:themeColor="text1"/>
                <w:sz w:val="18"/>
                <w:szCs w:val="18"/>
              </w:rPr>
              <w:t>40</w:t>
            </w:r>
          </w:p>
        </w:tc>
        <w:tc>
          <w:tcPr>
            <w:tcW w:w="992" w:type="dxa"/>
            <w:tcBorders>
              <w:top w:val="single" w:sz="6" w:space="0" w:color="auto"/>
            </w:tcBorders>
          </w:tcPr>
          <w:p w14:paraId="3925283B"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1B46ED">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1B46ED">
              <w:rPr>
                <w:rFonts w:asciiTheme="majorBidi" w:hAnsiTheme="majorBidi" w:cstheme="majorBidi"/>
                <w:color w:val="000000" w:themeColor="text1"/>
                <w:sz w:val="18"/>
                <w:szCs w:val="18"/>
              </w:rPr>
              <w:t>.445</w:t>
            </w:r>
          </w:p>
        </w:tc>
        <w:tc>
          <w:tcPr>
            <w:tcW w:w="992" w:type="dxa"/>
            <w:tcBorders>
              <w:top w:val="single" w:sz="6" w:space="0" w:color="auto"/>
            </w:tcBorders>
          </w:tcPr>
          <w:p w14:paraId="61854017"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B73635">
              <w:rPr>
                <w:rFonts w:asciiTheme="majorBidi" w:hAnsiTheme="majorBidi" w:cstheme="majorBidi"/>
                <w:color w:val="000000" w:themeColor="text1"/>
                <w:sz w:val="18"/>
                <w:szCs w:val="18"/>
              </w:rPr>
              <w:t>.21</w:t>
            </w:r>
            <w:r>
              <w:rPr>
                <w:rFonts w:asciiTheme="majorBidi" w:hAnsiTheme="majorBidi" w:cstheme="majorBidi"/>
                <w:color w:val="000000" w:themeColor="text1"/>
                <w:sz w:val="18"/>
                <w:szCs w:val="18"/>
              </w:rPr>
              <w:t>0</w:t>
            </w:r>
          </w:p>
        </w:tc>
        <w:tc>
          <w:tcPr>
            <w:tcW w:w="993" w:type="dxa"/>
            <w:tcBorders>
              <w:top w:val="single" w:sz="6" w:space="0" w:color="auto"/>
            </w:tcBorders>
          </w:tcPr>
          <w:p w14:paraId="4FF89855"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1B46ED">
              <w:rPr>
                <w:rFonts w:asciiTheme="majorBidi" w:hAnsiTheme="majorBidi" w:cstheme="majorBidi"/>
                <w:color w:val="000000" w:themeColor="text1"/>
                <w:sz w:val="18"/>
                <w:szCs w:val="18"/>
              </w:rPr>
              <w:t>2.048</w:t>
            </w:r>
          </w:p>
        </w:tc>
        <w:tc>
          <w:tcPr>
            <w:tcW w:w="1221" w:type="dxa"/>
            <w:tcBorders>
              <w:top w:val="single" w:sz="6" w:space="0" w:color="auto"/>
            </w:tcBorders>
          </w:tcPr>
          <w:p w14:paraId="0EF8D6E3"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133103">
              <w:rPr>
                <w:rFonts w:asciiTheme="majorBidi" w:hAnsiTheme="majorBidi" w:cstheme="majorBidi"/>
                <w:color w:val="000000" w:themeColor="text1"/>
                <w:sz w:val="18"/>
                <w:szCs w:val="18"/>
              </w:rPr>
              <w:t>1.16</w:t>
            </w:r>
            <w:r>
              <w:rPr>
                <w:rFonts w:asciiTheme="majorBidi" w:hAnsiTheme="majorBidi" w:cstheme="majorBidi"/>
                <w:color w:val="000000" w:themeColor="text1"/>
                <w:sz w:val="18"/>
                <w:szCs w:val="18"/>
              </w:rPr>
              <w:t>2</w:t>
            </w:r>
          </w:p>
        </w:tc>
      </w:tr>
      <w:tr w:rsidR="0091178F" w:rsidRPr="005E73C2" w14:paraId="49F181A2" w14:textId="77777777" w:rsidTr="006D78DE">
        <w:tc>
          <w:tcPr>
            <w:tcW w:w="1835" w:type="dxa"/>
          </w:tcPr>
          <w:p w14:paraId="0F0FC96E" w14:textId="3658DE46"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NONIFRS</w:t>
            </w:r>
          </w:p>
        </w:tc>
        <w:tc>
          <w:tcPr>
            <w:tcW w:w="992" w:type="dxa"/>
          </w:tcPr>
          <w:p w14:paraId="6BAF2B71"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263455">
              <w:rPr>
                <w:rFonts w:asciiTheme="majorBidi" w:hAnsiTheme="majorBidi" w:cstheme="majorBidi"/>
                <w:color w:val="000000" w:themeColor="text1"/>
                <w:sz w:val="18"/>
                <w:szCs w:val="18"/>
              </w:rPr>
              <w:t>670</w:t>
            </w:r>
          </w:p>
        </w:tc>
        <w:tc>
          <w:tcPr>
            <w:tcW w:w="993" w:type="dxa"/>
          </w:tcPr>
          <w:p w14:paraId="3A228DE1"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30AD8">
              <w:rPr>
                <w:rFonts w:asciiTheme="majorBidi" w:hAnsiTheme="majorBidi" w:cstheme="majorBidi"/>
                <w:color w:val="000000" w:themeColor="text1"/>
                <w:sz w:val="18"/>
                <w:szCs w:val="18"/>
              </w:rPr>
              <w:t>.5</w:t>
            </w:r>
            <w:r>
              <w:rPr>
                <w:rFonts w:asciiTheme="majorBidi" w:hAnsiTheme="majorBidi" w:cstheme="majorBidi"/>
                <w:color w:val="000000" w:themeColor="text1"/>
                <w:sz w:val="18"/>
                <w:szCs w:val="18"/>
              </w:rPr>
              <w:t>60</w:t>
            </w:r>
          </w:p>
        </w:tc>
        <w:tc>
          <w:tcPr>
            <w:tcW w:w="992" w:type="dxa"/>
          </w:tcPr>
          <w:p w14:paraId="5AA9C615"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30AD8">
              <w:rPr>
                <w:rFonts w:asciiTheme="majorBidi" w:hAnsiTheme="majorBidi" w:cstheme="majorBidi"/>
                <w:color w:val="000000" w:themeColor="text1"/>
                <w:sz w:val="18"/>
                <w:szCs w:val="18"/>
              </w:rPr>
              <w:t>.647</w:t>
            </w:r>
          </w:p>
        </w:tc>
        <w:tc>
          <w:tcPr>
            <w:tcW w:w="992" w:type="dxa"/>
          </w:tcPr>
          <w:p w14:paraId="3E20E933"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830AD8">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830AD8">
              <w:rPr>
                <w:rFonts w:asciiTheme="majorBidi" w:hAnsiTheme="majorBidi" w:cstheme="majorBidi"/>
                <w:color w:val="000000" w:themeColor="text1"/>
                <w:sz w:val="18"/>
                <w:szCs w:val="18"/>
              </w:rPr>
              <w:t>.008</w:t>
            </w:r>
          </w:p>
        </w:tc>
        <w:tc>
          <w:tcPr>
            <w:tcW w:w="992" w:type="dxa"/>
          </w:tcPr>
          <w:p w14:paraId="0F9F0DA4"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07B5D">
              <w:rPr>
                <w:rFonts w:asciiTheme="majorBidi" w:hAnsiTheme="majorBidi" w:cstheme="majorBidi"/>
                <w:color w:val="000000" w:themeColor="text1"/>
                <w:sz w:val="18"/>
                <w:szCs w:val="18"/>
              </w:rPr>
              <w:t>.27</w:t>
            </w:r>
            <w:r>
              <w:rPr>
                <w:rFonts w:asciiTheme="majorBidi" w:hAnsiTheme="majorBidi" w:cstheme="majorBidi"/>
                <w:color w:val="000000" w:themeColor="text1"/>
                <w:sz w:val="18"/>
                <w:szCs w:val="18"/>
              </w:rPr>
              <w:t>4</w:t>
            </w:r>
          </w:p>
        </w:tc>
        <w:tc>
          <w:tcPr>
            <w:tcW w:w="993" w:type="dxa"/>
          </w:tcPr>
          <w:p w14:paraId="63DB0453"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28096C">
              <w:rPr>
                <w:rFonts w:asciiTheme="majorBidi" w:hAnsiTheme="majorBidi" w:cstheme="majorBidi"/>
                <w:color w:val="000000" w:themeColor="text1"/>
                <w:sz w:val="18"/>
                <w:szCs w:val="18"/>
              </w:rPr>
              <w:t>2.288</w:t>
            </w:r>
          </w:p>
        </w:tc>
        <w:tc>
          <w:tcPr>
            <w:tcW w:w="1221" w:type="dxa"/>
          </w:tcPr>
          <w:p w14:paraId="6441C362"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CD6514">
              <w:rPr>
                <w:rFonts w:asciiTheme="majorBidi" w:hAnsiTheme="majorBidi" w:cstheme="majorBidi"/>
                <w:color w:val="000000" w:themeColor="text1"/>
                <w:sz w:val="18"/>
                <w:szCs w:val="18"/>
              </w:rPr>
              <w:t>1.453</w:t>
            </w:r>
          </w:p>
        </w:tc>
      </w:tr>
      <w:tr w:rsidR="0091178F" w:rsidRPr="005E73C2" w14:paraId="4D7FAAA9" w14:textId="77777777" w:rsidTr="006D78DE">
        <w:tc>
          <w:tcPr>
            <w:tcW w:w="1835" w:type="dxa"/>
          </w:tcPr>
          <w:p w14:paraId="5107076E" w14:textId="77777777"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EXCLUSION</w:t>
            </w:r>
          </w:p>
        </w:tc>
        <w:tc>
          <w:tcPr>
            <w:tcW w:w="992" w:type="dxa"/>
          </w:tcPr>
          <w:p w14:paraId="15B4F02A"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596E2FA2"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28096C">
              <w:rPr>
                <w:rFonts w:asciiTheme="majorBidi" w:hAnsiTheme="majorBidi" w:cstheme="majorBidi"/>
                <w:color w:val="000000" w:themeColor="text1"/>
                <w:sz w:val="18"/>
                <w:szCs w:val="18"/>
              </w:rPr>
              <w:t>.15</w:t>
            </w:r>
            <w:r>
              <w:rPr>
                <w:rFonts w:asciiTheme="majorBidi" w:hAnsiTheme="majorBidi" w:cstheme="majorBidi"/>
                <w:color w:val="000000" w:themeColor="text1"/>
                <w:sz w:val="18"/>
                <w:szCs w:val="18"/>
              </w:rPr>
              <w:t>0</w:t>
            </w:r>
          </w:p>
        </w:tc>
        <w:tc>
          <w:tcPr>
            <w:tcW w:w="992" w:type="dxa"/>
          </w:tcPr>
          <w:p w14:paraId="7326326A"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28096C">
              <w:rPr>
                <w:rFonts w:asciiTheme="majorBidi" w:hAnsiTheme="majorBidi" w:cstheme="majorBidi"/>
                <w:color w:val="000000" w:themeColor="text1"/>
                <w:sz w:val="18"/>
                <w:szCs w:val="18"/>
              </w:rPr>
              <w:t>.281</w:t>
            </w:r>
          </w:p>
        </w:tc>
        <w:tc>
          <w:tcPr>
            <w:tcW w:w="992" w:type="dxa"/>
          </w:tcPr>
          <w:p w14:paraId="1B69012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32330C">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32330C">
              <w:rPr>
                <w:rFonts w:asciiTheme="majorBidi" w:hAnsiTheme="majorBidi" w:cstheme="majorBidi"/>
                <w:color w:val="000000" w:themeColor="text1"/>
                <w:sz w:val="18"/>
                <w:szCs w:val="18"/>
              </w:rPr>
              <w:t>.15</w:t>
            </w:r>
            <w:r>
              <w:rPr>
                <w:rFonts w:asciiTheme="majorBidi" w:hAnsiTheme="majorBidi" w:cstheme="majorBidi"/>
                <w:color w:val="000000" w:themeColor="text1"/>
                <w:sz w:val="18"/>
                <w:szCs w:val="18"/>
              </w:rPr>
              <w:t>0</w:t>
            </w:r>
          </w:p>
        </w:tc>
        <w:tc>
          <w:tcPr>
            <w:tcW w:w="992" w:type="dxa"/>
          </w:tcPr>
          <w:p w14:paraId="265EC7C8"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07B5D">
              <w:rPr>
                <w:rFonts w:asciiTheme="majorBidi" w:hAnsiTheme="majorBidi" w:cstheme="majorBidi"/>
                <w:color w:val="000000" w:themeColor="text1"/>
                <w:sz w:val="18"/>
                <w:szCs w:val="18"/>
              </w:rPr>
              <w:t>.05</w:t>
            </w:r>
            <w:r>
              <w:rPr>
                <w:rFonts w:asciiTheme="majorBidi" w:hAnsiTheme="majorBidi" w:cstheme="majorBidi"/>
                <w:color w:val="000000" w:themeColor="text1"/>
                <w:sz w:val="18"/>
                <w:szCs w:val="18"/>
              </w:rPr>
              <w:t>4</w:t>
            </w:r>
          </w:p>
        </w:tc>
        <w:tc>
          <w:tcPr>
            <w:tcW w:w="993" w:type="dxa"/>
          </w:tcPr>
          <w:p w14:paraId="1D23127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32330C">
              <w:rPr>
                <w:rFonts w:asciiTheme="majorBidi" w:hAnsiTheme="majorBidi" w:cstheme="majorBidi"/>
                <w:color w:val="000000" w:themeColor="text1"/>
                <w:sz w:val="18"/>
                <w:szCs w:val="18"/>
              </w:rPr>
              <w:t>1.021</w:t>
            </w:r>
          </w:p>
        </w:tc>
        <w:tc>
          <w:tcPr>
            <w:tcW w:w="1221" w:type="dxa"/>
          </w:tcPr>
          <w:p w14:paraId="6588D5D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CD6514">
              <w:rPr>
                <w:rFonts w:asciiTheme="majorBidi" w:hAnsiTheme="majorBidi" w:cstheme="majorBidi"/>
                <w:color w:val="000000" w:themeColor="text1"/>
                <w:sz w:val="18"/>
                <w:szCs w:val="18"/>
              </w:rPr>
              <w:t>2.02</w:t>
            </w:r>
            <w:r>
              <w:rPr>
                <w:rFonts w:asciiTheme="majorBidi" w:hAnsiTheme="majorBidi" w:cstheme="majorBidi"/>
                <w:color w:val="000000" w:themeColor="text1"/>
                <w:sz w:val="18"/>
                <w:szCs w:val="18"/>
              </w:rPr>
              <w:t>2</w:t>
            </w:r>
          </w:p>
        </w:tc>
      </w:tr>
      <w:tr w:rsidR="0091178F" w:rsidRPr="005E73C2" w14:paraId="67FA2211" w14:textId="77777777" w:rsidTr="006D78DE">
        <w:tc>
          <w:tcPr>
            <w:tcW w:w="1835" w:type="dxa"/>
          </w:tcPr>
          <w:p w14:paraId="35C2F946" w14:textId="235CBAA8" w:rsidR="0091178F" w:rsidRPr="00BC7D29" w:rsidRDefault="00C325D8" w:rsidP="006D78DE">
            <w:pPr>
              <w:spacing w:line="276" w:lineRule="auto"/>
              <w:rPr>
                <w:rFonts w:ascii="Times New Roman" w:hAnsi="Times New Roman" w:cs="Times New Roman"/>
                <w:i/>
                <w:iCs/>
                <w:sz w:val="18"/>
                <w:szCs w:val="18"/>
              </w:rPr>
            </w:pPr>
            <w:r>
              <w:rPr>
                <w:rFonts w:asciiTheme="majorBidi" w:hAnsiTheme="majorBidi" w:cstheme="majorBidi"/>
                <w:i/>
                <w:iCs/>
                <w:color w:val="000000" w:themeColor="text1"/>
                <w:sz w:val="18"/>
                <w:szCs w:val="18"/>
              </w:rPr>
              <w:t>NARCIS</w:t>
            </w:r>
          </w:p>
        </w:tc>
        <w:tc>
          <w:tcPr>
            <w:tcW w:w="992" w:type="dxa"/>
          </w:tcPr>
          <w:p w14:paraId="13E1D124"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59211C55"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2330C">
              <w:rPr>
                <w:rFonts w:asciiTheme="majorBidi" w:hAnsiTheme="majorBidi" w:cstheme="majorBidi"/>
                <w:color w:val="000000" w:themeColor="text1"/>
                <w:sz w:val="18"/>
                <w:szCs w:val="18"/>
              </w:rPr>
              <w:t>.30</w:t>
            </w:r>
            <w:r>
              <w:rPr>
                <w:rFonts w:asciiTheme="majorBidi" w:hAnsiTheme="majorBidi" w:cstheme="majorBidi"/>
                <w:color w:val="000000" w:themeColor="text1"/>
                <w:sz w:val="18"/>
                <w:szCs w:val="18"/>
              </w:rPr>
              <w:t>4</w:t>
            </w:r>
          </w:p>
        </w:tc>
        <w:tc>
          <w:tcPr>
            <w:tcW w:w="992" w:type="dxa"/>
          </w:tcPr>
          <w:p w14:paraId="6648C2F1"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2330C">
              <w:rPr>
                <w:rFonts w:asciiTheme="majorBidi" w:hAnsiTheme="majorBidi" w:cstheme="majorBidi"/>
                <w:color w:val="000000" w:themeColor="text1"/>
                <w:sz w:val="18"/>
                <w:szCs w:val="18"/>
              </w:rPr>
              <w:t>.145</w:t>
            </w:r>
          </w:p>
        </w:tc>
        <w:tc>
          <w:tcPr>
            <w:tcW w:w="992" w:type="dxa"/>
          </w:tcPr>
          <w:p w14:paraId="106B7E21"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67CD3">
              <w:rPr>
                <w:rFonts w:asciiTheme="majorBidi" w:hAnsiTheme="majorBidi" w:cstheme="majorBidi"/>
                <w:color w:val="000000" w:themeColor="text1"/>
                <w:sz w:val="18"/>
                <w:szCs w:val="18"/>
              </w:rPr>
              <w:t>.14</w:t>
            </w:r>
            <w:r>
              <w:rPr>
                <w:rFonts w:asciiTheme="majorBidi" w:hAnsiTheme="majorBidi" w:cstheme="majorBidi"/>
                <w:color w:val="000000" w:themeColor="text1"/>
                <w:sz w:val="18"/>
                <w:szCs w:val="18"/>
              </w:rPr>
              <w:t>3</w:t>
            </w:r>
          </w:p>
        </w:tc>
        <w:tc>
          <w:tcPr>
            <w:tcW w:w="992" w:type="dxa"/>
          </w:tcPr>
          <w:p w14:paraId="06D28505"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E6446E">
              <w:rPr>
                <w:rFonts w:asciiTheme="majorBidi" w:hAnsiTheme="majorBidi" w:cstheme="majorBidi"/>
                <w:color w:val="000000" w:themeColor="text1"/>
                <w:sz w:val="18"/>
                <w:szCs w:val="18"/>
              </w:rPr>
              <w:t>.27</w:t>
            </w:r>
            <w:r>
              <w:rPr>
                <w:rFonts w:asciiTheme="majorBidi" w:hAnsiTheme="majorBidi" w:cstheme="majorBidi"/>
                <w:color w:val="000000" w:themeColor="text1"/>
                <w:sz w:val="18"/>
                <w:szCs w:val="18"/>
              </w:rPr>
              <w:t>0</w:t>
            </w:r>
          </w:p>
        </w:tc>
        <w:tc>
          <w:tcPr>
            <w:tcW w:w="993" w:type="dxa"/>
          </w:tcPr>
          <w:p w14:paraId="5545B9C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67CD3">
              <w:rPr>
                <w:rFonts w:asciiTheme="majorBidi" w:hAnsiTheme="majorBidi" w:cstheme="majorBidi"/>
                <w:color w:val="000000" w:themeColor="text1"/>
                <w:sz w:val="18"/>
                <w:szCs w:val="18"/>
              </w:rPr>
              <w:t>.793</w:t>
            </w:r>
          </w:p>
        </w:tc>
        <w:tc>
          <w:tcPr>
            <w:tcW w:w="1221" w:type="dxa"/>
          </w:tcPr>
          <w:p w14:paraId="6EF5D50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A12651">
              <w:rPr>
                <w:rFonts w:asciiTheme="majorBidi" w:hAnsiTheme="majorBidi" w:cstheme="majorBidi"/>
                <w:color w:val="000000" w:themeColor="text1"/>
                <w:sz w:val="18"/>
                <w:szCs w:val="18"/>
              </w:rPr>
              <w:t>1.263</w:t>
            </w:r>
          </w:p>
        </w:tc>
      </w:tr>
      <w:tr w:rsidR="0091178F" w:rsidRPr="005E73C2" w14:paraId="23DC7CAB" w14:textId="77777777" w:rsidTr="006D78DE">
        <w:tc>
          <w:tcPr>
            <w:tcW w:w="1835" w:type="dxa"/>
          </w:tcPr>
          <w:p w14:paraId="01F9CCC2" w14:textId="77777777"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ROA</w:t>
            </w:r>
          </w:p>
        </w:tc>
        <w:tc>
          <w:tcPr>
            <w:tcW w:w="992" w:type="dxa"/>
          </w:tcPr>
          <w:p w14:paraId="6730D523"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576D956E"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67CD3">
              <w:rPr>
                <w:rFonts w:asciiTheme="majorBidi" w:hAnsiTheme="majorBidi" w:cstheme="majorBidi"/>
                <w:color w:val="000000" w:themeColor="text1"/>
                <w:sz w:val="18"/>
                <w:szCs w:val="18"/>
              </w:rPr>
              <w:t>.067</w:t>
            </w:r>
          </w:p>
        </w:tc>
        <w:tc>
          <w:tcPr>
            <w:tcW w:w="992" w:type="dxa"/>
          </w:tcPr>
          <w:p w14:paraId="220A7527"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FE4859">
              <w:rPr>
                <w:rFonts w:asciiTheme="majorBidi" w:hAnsiTheme="majorBidi" w:cstheme="majorBidi"/>
                <w:color w:val="000000" w:themeColor="text1"/>
                <w:sz w:val="18"/>
                <w:szCs w:val="18"/>
              </w:rPr>
              <w:t>.20</w:t>
            </w:r>
            <w:r>
              <w:rPr>
                <w:rFonts w:asciiTheme="majorBidi" w:hAnsiTheme="majorBidi" w:cstheme="majorBidi"/>
                <w:color w:val="000000" w:themeColor="text1"/>
                <w:sz w:val="18"/>
                <w:szCs w:val="18"/>
              </w:rPr>
              <w:t>3</w:t>
            </w:r>
          </w:p>
        </w:tc>
        <w:tc>
          <w:tcPr>
            <w:tcW w:w="992" w:type="dxa"/>
          </w:tcPr>
          <w:p w14:paraId="063D2AFE"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FE4859">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FE4859">
              <w:rPr>
                <w:rFonts w:asciiTheme="majorBidi" w:hAnsiTheme="majorBidi" w:cstheme="majorBidi"/>
                <w:color w:val="000000" w:themeColor="text1"/>
                <w:sz w:val="18"/>
                <w:szCs w:val="18"/>
              </w:rPr>
              <w:t>.336</w:t>
            </w:r>
          </w:p>
        </w:tc>
        <w:tc>
          <w:tcPr>
            <w:tcW w:w="992" w:type="dxa"/>
          </w:tcPr>
          <w:p w14:paraId="73A7133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85889">
              <w:rPr>
                <w:rFonts w:asciiTheme="majorBidi" w:hAnsiTheme="majorBidi" w:cstheme="majorBidi"/>
                <w:color w:val="000000" w:themeColor="text1"/>
                <w:sz w:val="18"/>
                <w:szCs w:val="18"/>
              </w:rPr>
              <w:t>.044</w:t>
            </w:r>
          </w:p>
        </w:tc>
        <w:tc>
          <w:tcPr>
            <w:tcW w:w="993" w:type="dxa"/>
          </w:tcPr>
          <w:p w14:paraId="6B99D124"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FE4859">
              <w:rPr>
                <w:rFonts w:asciiTheme="majorBidi" w:hAnsiTheme="majorBidi" w:cstheme="majorBidi"/>
                <w:color w:val="000000" w:themeColor="text1"/>
                <w:sz w:val="18"/>
                <w:szCs w:val="18"/>
              </w:rPr>
              <w:t>1.766</w:t>
            </w:r>
          </w:p>
        </w:tc>
        <w:tc>
          <w:tcPr>
            <w:tcW w:w="1221" w:type="dxa"/>
          </w:tcPr>
          <w:p w14:paraId="06F9451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A12651">
              <w:rPr>
                <w:rFonts w:asciiTheme="majorBidi" w:hAnsiTheme="majorBidi" w:cstheme="majorBidi"/>
                <w:color w:val="000000" w:themeColor="text1"/>
                <w:sz w:val="18"/>
                <w:szCs w:val="18"/>
              </w:rPr>
              <w:t>6.08</w:t>
            </w:r>
            <w:r>
              <w:rPr>
                <w:rFonts w:asciiTheme="majorBidi" w:hAnsiTheme="majorBidi" w:cstheme="majorBidi"/>
                <w:color w:val="000000" w:themeColor="text1"/>
                <w:sz w:val="18"/>
                <w:szCs w:val="18"/>
              </w:rPr>
              <w:t>2</w:t>
            </w:r>
          </w:p>
        </w:tc>
      </w:tr>
      <w:tr w:rsidR="0091178F" w:rsidRPr="005E73C2" w14:paraId="654EFDC3" w14:textId="77777777" w:rsidTr="006D78DE">
        <w:tc>
          <w:tcPr>
            <w:tcW w:w="1835" w:type="dxa"/>
          </w:tcPr>
          <w:p w14:paraId="5CA76285" w14:textId="5224CDC1"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LEV</w:t>
            </w:r>
          </w:p>
        </w:tc>
        <w:tc>
          <w:tcPr>
            <w:tcW w:w="992" w:type="dxa"/>
          </w:tcPr>
          <w:p w14:paraId="1C7B5D36"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F15AD">
              <w:rPr>
                <w:rFonts w:asciiTheme="majorBidi" w:hAnsiTheme="majorBidi" w:cstheme="majorBidi"/>
                <w:color w:val="000000" w:themeColor="text1"/>
                <w:sz w:val="18"/>
                <w:szCs w:val="18"/>
              </w:rPr>
              <w:t>670</w:t>
            </w:r>
          </w:p>
        </w:tc>
        <w:tc>
          <w:tcPr>
            <w:tcW w:w="993" w:type="dxa"/>
          </w:tcPr>
          <w:p w14:paraId="43B3B2BD"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7226A">
              <w:rPr>
                <w:rFonts w:asciiTheme="majorBidi" w:hAnsiTheme="majorBidi" w:cstheme="majorBidi"/>
                <w:color w:val="000000" w:themeColor="text1"/>
                <w:sz w:val="18"/>
                <w:szCs w:val="18"/>
              </w:rPr>
              <w:t>.593</w:t>
            </w:r>
          </w:p>
        </w:tc>
        <w:tc>
          <w:tcPr>
            <w:tcW w:w="992" w:type="dxa"/>
          </w:tcPr>
          <w:p w14:paraId="5FDCD97F"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7226A">
              <w:rPr>
                <w:rFonts w:asciiTheme="majorBidi" w:hAnsiTheme="majorBidi" w:cstheme="majorBidi"/>
                <w:color w:val="000000" w:themeColor="text1"/>
                <w:sz w:val="18"/>
                <w:szCs w:val="18"/>
              </w:rPr>
              <w:t>.24</w:t>
            </w:r>
            <w:r>
              <w:rPr>
                <w:rFonts w:asciiTheme="majorBidi" w:hAnsiTheme="majorBidi" w:cstheme="majorBidi"/>
                <w:color w:val="000000" w:themeColor="text1"/>
                <w:sz w:val="18"/>
                <w:szCs w:val="18"/>
              </w:rPr>
              <w:t>2</w:t>
            </w:r>
          </w:p>
        </w:tc>
        <w:tc>
          <w:tcPr>
            <w:tcW w:w="992" w:type="dxa"/>
          </w:tcPr>
          <w:p w14:paraId="3690B900"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37226A">
              <w:rPr>
                <w:rFonts w:asciiTheme="majorBidi" w:hAnsiTheme="majorBidi" w:cstheme="majorBidi"/>
                <w:color w:val="000000" w:themeColor="text1"/>
                <w:sz w:val="18"/>
                <w:szCs w:val="18"/>
              </w:rPr>
              <w:t>.117</w:t>
            </w:r>
          </w:p>
        </w:tc>
        <w:tc>
          <w:tcPr>
            <w:tcW w:w="992" w:type="dxa"/>
          </w:tcPr>
          <w:p w14:paraId="69160300"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01C2B">
              <w:rPr>
                <w:rFonts w:asciiTheme="majorBidi" w:hAnsiTheme="majorBidi" w:cstheme="majorBidi"/>
                <w:color w:val="000000" w:themeColor="text1"/>
                <w:sz w:val="18"/>
                <w:szCs w:val="18"/>
              </w:rPr>
              <w:t>.582</w:t>
            </w:r>
          </w:p>
        </w:tc>
        <w:tc>
          <w:tcPr>
            <w:tcW w:w="993" w:type="dxa"/>
          </w:tcPr>
          <w:p w14:paraId="0C7DF437"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F529AC">
              <w:rPr>
                <w:rFonts w:asciiTheme="majorBidi" w:hAnsiTheme="majorBidi" w:cstheme="majorBidi"/>
                <w:color w:val="000000" w:themeColor="text1"/>
                <w:sz w:val="18"/>
                <w:szCs w:val="18"/>
              </w:rPr>
              <w:t>1.657</w:t>
            </w:r>
          </w:p>
        </w:tc>
        <w:tc>
          <w:tcPr>
            <w:tcW w:w="1221" w:type="dxa"/>
          </w:tcPr>
          <w:p w14:paraId="570E93F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022FF">
              <w:rPr>
                <w:rFonts w:asciiTheme="majorBidi" w:hAnsiTheme="majorBidi" w:cstheme="majorBidi"/>
                <w:color w:val="000000" w:themeColor="text1"/>
                <w:sz w:val="18"/>
                <w:szCs w:val="18"/>
              </w:rPr>
              <w:t>.972</w:t>
            </w:r>
          </w:p>
        </w:tc>
      </w:tr>
      <w:tr w:rsidR="0091178F" w:rsidRPr="005E73C2" w14:paraId="47336171" w14:textId="77777777" w:rsidTr="006D78DE">
        <w:tc>
          <w:tcPr>
            <w:tcW w:w="1835" w:type="dxa"/>
          </w:tcPr>
          <w:p w14:paraId="226A00ED" w14:textId="5F7DB812" w:rsidR="0091178F" w:rsidRPr="00BC7D29" w:rsidRDefault="009E605C" w:rsidP="006D78DE">
            <w:pPr>
              <w:spacing w:line="276" w:lineRule="auto"/>
              <w:rPr>
                <w:rFonts w:ascii="Times New Roman" w:hAnsi="Times New Roman" w:cs="Times New Roman"/>
                <w:i/>
                <w:iCs/>
                <w:sz w:val="18"/>
                <w:szCs w:val="18"/>
              </w:rPr>
            </w:pPr>
            <w:r>
              <w:rPr>
                <w:rFonts w:asciiTheme="majorBidi" w:hAnsiTheme="majorBidi" w:cstheme="majorBidi"/>
                <w:i/>
                <w:iCs/>
                <w:color w:val="000000" w:themeColor="text1"/>
                <w:sz w:val="18"/>
                <w:szCs w:val="18"/>
              </w:rPr>
              <w:t>SG</w:t>
            </w:r>
          </w:p>
        </w:tc>
        <w:tc>
          <w:tcPr>
            <w:tcW w:w="992" w:type="dxa"/>
          </w:tcPr>
          <w:p w14:paraId="57B24AD4"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3C391A">
              <w:rPr>
                <w:rFonts w:asciiTheme="majorBidi" w:hAnsiTheme="majorBidi" w:cstheme="majorBidi"/>
                <w:color w:val="000000" w:themeColor="text1"/>
                <w:sz w:val="18"/>
                <w:szCs w:val="18"/>
              </w:rPr>
              <w:t>664</w:t>
            </w:r>
          </w:p>
        </w:tc>
        <w:tc>
          <w:tcPr>
            <w:tcW w:w="993" w:type="dxa"/>
          </w:tcPr>
          <w:p w14:paraId="6DED92D6"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771A1">
              <w:rPr>
                <w:rFonts w:asciiTheme="majorBidi" w:hAnsiTheme="majorBidi" w:cstheme="majorBidi"/>
                <w:color w:val="000000" w:themeColor="text1"/>
                <w:sz w:val="18"/>
                <w:szCs w:val="18"/>
              </w:rPr>
              <w:t>.001</w:t>
            </w:r>
          </w:p>
        </w:tc>
        <w:tc>
          <w:tcPr>
            <w:tcW w:w="992" w:type="dxa"/>
          </w:tcPr>
          <w:p w14:paraId="4E270431"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771A1">
              <w:rPr>
                <w:rFonts w:asciiTheme="majorBidi" w:hAnsiTheme="majorBidi" w:cstheme="majorBidi"/>
                <w:color w:val="000000" w:themeColor="text1"/>
                <w:sz w:val="18"/>
                <w:szCs w:val="18"/>
              </w:rPr>
              <w:t>.36</w:t>
            </w:r>
            <w:r>
              <w:rPr>
                <w:rFonts w:asciiTheme="majorBidi" w:hAnsiTheme="majorBidi" w:cstheme="majorBidi"/>
                <w:color w:val="000000" w:themeColor="text1"/>
                <w:sz w:val="18"/>
                <w:szCs w:val="18"/>
              </w:rPr>
              <w:t>4</w:t>
            </w:r>
          </w:p>
        </w:tc>
        <w:tc>
          <w:tcPr>
            <w:tcW w:w="992" w:type="dxa"/>
          </w:tcPr>
          <w:p w14:paraId="49D8ADBB"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D771A1">
              <w:rPr>
                <w:rFonts w:asciiTheme="majorBidi" w:hAnsiTheme="majorBidi" w:cstheme="majorBidi"/>
                <w:color w:val="000000" w:themeColor="text1"/>
                <w:sz w:val="18"/>
                <w:szCs w:val="18"/>
              </w:rPr>
              <w:t>-2.514</w:t>
            </w:r>
          </w:p>
        </w:tc>
        <w:tc>
          <w:tcPr>
            <w:tcW w:w="992" w:type="dxa"/>
          </w:tcPr>
          <w:p w14:paraId="188DC849"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45F4D">
              <w:rPr>
                <w:rFonts w:asciiTheme="majorBidi" w:hAnsiTheme="majorBidi" w:cstheme="majorBidi"/>
                <w:color w:val="000000" w:themeColor="text1"/>
                <w:sz w:val="18"/>
                <w:szCs w:val="18"/>
              </w:rPr>
              <w:t>.04</w:t>
            </w:r>
            <w:r>
              <w:rPr>
                <w:rFonts w:asciiTheme="majorBidi" w:hAnsiTheme="majorBidi" w:cstheme="majorBidi"/>
                <w:color w:val="000000" w:themeColor="text1"/>
                <w:sz w:val="18"/>
                <w:szCs w:val="18"/>
              </w:rPr>
              <w:t>2</w:t>
            </w:r>
          </w:p>
        </w:tc>
        <w:tc>
          <w:tcPr>
            <w:tcW w:w="993" w:type="dxa"/>
          </w:tcPr>
          <w:p w14:paraId="12495AD6"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771A1">
              <w:rPr>
                <w:rFonts w:asciiTheme="majorBidi" w:hAnsiTheme="majorBidi" w:cstheme="majorBidi"/>
                <w:color w:val="000000" w:themeColor="text1"/>
                <w:sz w:val="18"/>
                <w:szCs w:val="18"/>
              </w:rPr>
              <w:t>.764</w:t>
            </w:r>
          </w:p>
        </w:tc>
        <w:tc>
          <w:tcPr>
            <w:tcW w:w="1221" w:type="dxa"/>
          </w:tcPr>
          <w:p w14:paraId="232E6DB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022FF">
              <w:rPr>
                <w:rFonts w:asciiTheme="majorBidi" w:hAnsiTheme="majorBidi" w:cstheme="majorBidi"/>
                <w:color w:val="000000" w:themeColor="text1"/>
                <w:sz w:val="18"/>
                <w:szCs w:val="18"/>
              </w:rPr>
              <w:t>-4.09</w:t>
            </w:r>
            <w:r>
              <w:rPr>
                <w:rFonts w:asciiTheme="majorBidi" w:hAnsiTheme="majorBidi" w:cstheme="majorBidi"/>
                <w:color w:val="000000" w:themeColor="text1"/>
                <w:sz w:val="18"/>
                <w:szCs w:val="18"/>
              </w:rPr>
              <w:t>1</w:t>
            </w:r>
          </w:p>
        </w:tc>
      </w:tr>
      <w:tr w:rsidR="0091178F" w:rsidRPr="005E73C2" w14:paraId="44A33106" w14:textId="77777777" w:rsidTr="006D78DE">
        <w:tc>
          <w:tcPr>
            <w:tcW w:w="1835" w:type="dxa"/>
          </w:tcPr>
          <w:p w14:paraId="192DF7BB" w14:textId="49541108"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AGE</w:t>
            </w:r>
          </w:p>
        </w:tc>
        <w:tc>
          <w:tcPr>
            <w:tcW w:w="992" w:type="dxa"/>
          </w:tcPr>
          <w:p w14:paraId="138585F2"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670</w:t>
            </w:r>
          </w:p>
        </w:tc>
        <w:tc>
          <w:tcPr>
            <w:tcW w:w="993" w:type="dxa"/>
          </w:tcPr>
          <w:p w14:paraId="0470538F"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E26E48">
              <w:rPr>
                <w:rFonts w:asciiTheme="majorBidi" w:hAnsiTheme="majorBidi" w:cstheme="majorBidi"/>
                <w:color w:val="000000" w:themeColor="text1"/>
                <w:sz w:val="18"/>
                <w:szCs w:val="18"/>
              </w:rPr>
              <w:t>2.61</w:t>
            </w:r>
            <w:r>
              <w:rPr>
                <w:rFonts w:asciiTheme="majorBidi" w:hAnsiTheme="majorBidi" w:cstheme="majorBidi"/>
                <w:color w:val="000000" w:themeColor="text1"/>
                <w:sz w:val="18"/>
                <w:szCs w:val="18"/>
              </w:rPr>
              <w:t>2</w:t>
            </w:r>
          </w:p>
        </w:tc>
        <w:tc>
          <w:tcPr>
            <w:tcW w:w="992" w:type="dxa"/>
          </w:tcPr>
          <w:p w14:paraId="644242BB"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E26E48">
              <w:rPr>
                <w:rFonts w:asciiTheme="majorBidi" w:hAnsiTheme="majorBidi" w:cstheme="majorBidi"/>
                <w:color w:val="000000" w:themeColor="text1"/>
                <w:sz w:val="18"/>
                <w:szCs w:val="18"/>
              </w:rPr>
              <w:t>.49</w:t>
            </w:r>
            <w:r>
              <w:rPr>
                <w:rFonts w:asciiTheme="majorBidi" w:hAnsiTheme="majorBidi" w:cstheme="majorBidi"/>
                <w:color w:val="000000" w:themeColor="text1"/>
                <w:sz w:val="18"/>
                <w:szCs w:val="18"/>
              </w:rPr>
              <w:t>4</w:t>
            </w:r>
          </w:p>
        </w:tc>
        <w:tc>
          <w:tcPr>
            <w:tcW w:w="992" w:type="dxa"/>
          </w:tcPr>
          <w:p w14:paraId="5D06D919"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E26E48">
              <w:rPr>
                <w:rFonts w:asciiTheme="majorBidi" w:hAnsiTheme="majorBidi" w:cstheme="majorBidi"/>
                <w:color w:val="000000" w:themeColor="text1"/>
                <w:sz w:val="18"/>
                <w:szCs w:val="18"/>
              </w:rPr>
              <w:t>1.09</w:t>
            </w:r>
            <w:r>
              <w:rPr>
                <w:rFonts w:asciiTheme="majorBidi" w:hAnsiTheme="majorBidi" w:cstheme="majorBidi"/>
                <w:color w:val="000000" w:themeColor="text1"/>
                <w:sz w:val="18"/>
                <w:szCs w:val="18"/>
              </w:rPr>
              <w:t>9</w:t>
            </w:r>
          </w:p>
        </w:tc>
        <w:tc>
          <w:tcPr>
            <w:tcW w:w="992" w:type="dxa"/>
          </w:tcPr>
          <w:p w14:paraId="6AC373C3"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E87A87">
              <w:rPr>
                <w:rFonts w:asciiTheme="majorBidi" w:hAnsiTheme="majorBidi" w:cstheme="majorBidi"/>
                <w:color w:val="000000" w:themeColor="text1"/>
                <w:sz w:val="18"/>
                <w:szCs w:val="18"/>
              </w:rPr>
              <w:t>2.833</w:t>
            </w:r>
          </w:p>
        </w:tc>
        <w:tc>
          <w:tcPr>
            <w:tcW w:w="993" w:type="dxa"/>
          </w:tcPr>
          <w:p w14:paraId="673CFE51"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A62B9B">
              <w:rPr>
                <w:rFonts w:asciiTheme="majorBidi" w:hAnsiTheme="majorBidi" w:cstheme="majorBidi"/>
                <w:color w:val="000000" w:themeColor="text1"/>
                <w:sz w:val="18"/>
                <w:szCs w:val="18"/>
              </w:rPr>
              <w:t>3.091</w:t>
            </w:r>
          </w:p>
        </w:tc>
        <w:tc>
          <w:tcPr>
            <w:tcW w:w="1221" w:type="dxa"/>
          </w:tcPr>
          <w:p w14:paraId="29F55AA5"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8022FF">
              <w:rPr>
                <w:rFonts w:asciiTheme="majorBidi" w:hAnsiTheme="majorBidi" w:cstheme="majorBidi"/>
                <w:color w:val="000000" w:themeColor="text1"/>
                <w:sz w:val="18"/>
                <w:szCs w:val="18"/>
              </w:rPr>
              <w:t>-1.33</w:t>
            </w:r>
            <w:r>
              <w:rPr>
                <w:rFonts w:asciiTheme="majorBidi" w:hAnsiTheme="majorBidi" w:cstheme="majorBidi"/>
                <w:color w:val="000000" w:themeColor="text1"/>
                <w:sz w:val="18"/>
                <w:szCs w:val="18"/>
              </w:rPr>
              <w:t>9</w:t>
            </w:r>
          </w:p>
        </w:tc>
      </w:tr>
      <w:tr w:rsidR="0091178F" w:rsidRPr="005E73C2" w14:paraId="340CC784" w14:textId="77777777" w:rsidTr="006D78DE">
        <w:tc>
          <w:tcPr>
            <w:tcW w:w="1835" w:type="dxa"/>
          </w:tcPr>
          <w:p w14:paraId="439C9F27" w14:textId="713E23FF" w:rsidR="0091178F" w:rsidRPr="00BC7D29" w:rsidRDefault="00C325D8" w:rsidP="006D78DE">
            <w:pPr>
              <w:spacing w:line="276" w:lineRule="auto"/>
              <w:rPr>
                <w:rFonts w:ascii="Times New Roman" w:hAnsi="Times New Roman" w:cs="Times New Roman"/>
                <w:i/>
                <w:iCs/>
                <w:sz w:val="18"/>
                <w:szCs w:val="18"/>
              </w:rPr>
            </w:pPr>
            <w:r>
              <w:rPr>
                <w:rFonts w:asciiTheme="majorBidi" w:hAnsiTheme="majorBidi" w:cstheme="majorBidi"/>
                <w:i/>
                <w:iCs/>
                <w:color w:val="000000" w:themeColor="text1"/>
                <w:sz w:val="18"/>
                <w:szCs w:val="18"/>
              </w:rPr>
              <w:t>SIZE</w:t>
            </w:r>
          </w:p>
        </w:tc>
        <w:tc>
          <w:tcPr>
            <w:tcW w:w="992" w:type="dxa"/>
          </w:tcPr>
          <w:p w14:paraId="6A926B30"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670</w:t>
            </w:r>
          </w:p>
        </w:tc>
        <w:tc>
          <w:tcPr>
            <w:tcW w:w="993" w:type="dxa"/>
          </w:tcPr>
          <w:p w14:paraId="0E271058"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A62B9B">
              <w:rPr>
                <w:rFonts w:asciiTheme="majorBidi" w:hAnsiTheme="majorBidi" w:cstheme="majorBidi"/>
                <w:color w:val="000000" w:themeColor="text1"/>
                <w:sz w:val="18"/>
                <w:szCs w:val="18"/>
              </w:rPr>
              <w:t>14.381</w:t>
            </w:r>
          </w:p>
        </w:tc>
        <w:tc>
          <w:tcPr>
            <w:tcW w:w="992" w:type="dxa"/>
          </w:tcPr>
          <w:p w14:paraId="0BAAB5C5" w14:textId="77777777" w:rsidR="0091178F" w:rsidRDefault="0091178F" w:rsidP="006D78DE">
            <w:pPr>
              <w:spacing w:line="276" w:lineRule="auto"/>
              <w:jc w:val="left"/>
              <w:rPr>
                <w:rFonts w:asciiTheme="majorBidi" w:hAnsiTheme="majorBidi" w:cstheme="majorBidi"/>
                <w:color w:val="000000" w:themeColor="text1"/>
                <w:sz w:val="18"/>
                <w:szCs w:val="18"/>
              </w:rPr>
            </w:pPr>
            <w:r w:rsidRPr="007113BB">
              <w:rPr>
                <w:rFonts w:asciiTheme="majorBidi" w:hAnsiTheme="majorBidi" w:cstheme="majorBidi"/>
                <w:color w:val="000000" w:themeColor="text1"/>
                <w:sz w:val="18"/>
                <w:szCs w:val="18"/>
              </w:rPr>
              <w:t>1.61</w:t>
            </w:r>
            <w:r>
              <w:rPr>
                <w:rFonts w:asciiTheme="majorBidi" w:hAnsiTheme="majorBidi" w:cstheme="majorBidi"/>
                <w:color w:val="000000" w:themeColor="text1"/>
                <w:sz w:val="18"/>
                <w:szCs w:val="18"/>
              </w:rPr>
              <w:t>5</w:t>
            </w:r>
          </w:p>
        </w:tc>
        <w:tc>
          <w:tcPr>
            <w:tcW w:w="992" w:type="dxa"/>
          </w:tcPr>
          <w:p w14:paraId="2F0C0A14"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7C6C0E">
              <w:rPr>
                <w:rFonts w:asciiTheme="majorBidi" w:hAnsiTheme="majorBidi" w:cstheme="majorBidi"/>
                <w:color w:val="000000" w:themeColor="text1"/>
                <w:sz w:val="18"/>
                <w:szCs w:val="18"/>
              </w:rPr>
              <w:t>11.2</w:t>
            </w:r>
            <w:r>
              <w:rPr>
                <w:rFonts w:asciiTheme="majorBidi" w:hAnsiTheme="majorBidi" w:cstheme="majorBidi"/>
                <w:color w:val="000000" w:themeColor="text1"/>
                <w:sz w:val="18"/>
                <w:szCs w:val="18"/>
              </w:rPr>
              <w:t>60</w:t>
            </w:r>
          </w:p>
        </w:tc>
        <w:tc>
          <w:tcPr>
            <w:tcW w:w="992" w:type="dxa"/>
          </w:tcPr>
          <w:p w14:paraId="7BEB6DF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3D1E65">
              <w:rPr>
                <w:rFonts w:asciiTheme="majorBidi" w:hAnsiTheme="majorBidi" w:cstheme="majorBidi"/>
                <w:color w:val="000000" w:themeColor="text1"/>
                <w:sz w:val="18"/>
                <w:szCs w:val="18"/>
              </w:rPr>
              <w:t>14.207</w:t>
            </w:r>
          </w:p>
        </w:tc>
        <w:tc>
          <w:tcPr>
            <w:tcW w:w="993" w:type="dxa"/>
          </w:tcPr>
          <w:p w14:paraId="11E7831E"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7E406E">
              <w:rPr>
                <w:rFonts w:asciiTheme="majorBidi" w:hAnsiTheme="majorBidi" w:cstheme="majorBidi"/>
                <w:color w:val="000000" w:themeColor="text1"/>
                <w:sz w:val="18"/>
                <w:szCs w:val="18"/>
              </w:rPr>
              <w:t>17.987</w:t>
            </w:r>
          </w:p>
        </w:tc>
        <w:tc>
          <w:tcPr>
            <w:tcW w:w="1221" w:type="dxa"/>
          </w:tcPr>
          <w:p w14:paraId="799DC147"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C557E8">
              <w:rPr>
                <w:rFonts w:asciiTheme="majorBidi" w:hAnsiTheme="majorBidi" w:cstheme="majorBidi"/>
                <w:color w:val="000000" w:themeColor="text1"/>
                <w:sz w:val="18"/>
                <w:szCs w:val="18"/>
              </w:rPr>
              <w:t>.219</w:t>
            </w:r>
          </w:p>
        </w:tc>
      </w:tr>
      <w:tr w:rsidR="0091178F" w:rsidRPr="005E73C2" w14:paraId="3920F5CC" w14:textId="77777777" w:rsidTr="006D78DE">
        <w:tc>
          <w:tcPr>
            <w:tcW w:w="1835" w:type="dxa"/>
          </w:tcPr>
          <w:p w14:paraId="694EDD34" w14:textId="77F7F1BB"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ACCRUAL</w:t>
            </w:r>
          </w:p>
        </w:tc>
        <w:tc>
          <w:tcPr>
            <w:tcW w:w="992" w:type="dxa"/>
          </w:tcPr>
          <w:p w14:paraId="11891452"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666</w:t>
            </w:r>
          </w:p>
        </w:tc>
        <w:tc>
          <w:tcPr>
            <w:tcW w:w="993" w:type="dxa"/>
          </w:tcPr>
          <w:p w14:paraId="52DD4E00"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2D4C6D">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2D4C6D">
              <w:rPr>
                <w:rFonts w:asciiTheme="majorBidi" w:hAnsiTheme="majorBidi" w:cstheme="majorBidi"/>
                <w:color w:val="000000" w:themeColor="text1"/>
                <w:sz w:val="18"/>
                <w:szCs w:val="18"/>
              </w:rPr>
              <w:t>.03</w:t>
            </w:r>
            <w:r>
              <w:rPr>
                <w:rFonts w:asciiTheme="majorBidi" w:hAnsiTheme="majorBidi" w:cstheme="majorBidi"/>
                <w:color w:val="000000" w:themeColor="text1"/>
                <w:sz w:val="18"/>
                <w:szCs w:val="18"/>
              </w:rPr>
              <w:t>2</w:t>
            </w:r>
          </w:p>
        </w:tc>
        <w:tc>
          <w:tcPr>
            <w:tcW w:w="992" w:type="dxa"/>
          </w:tcPr>
          <w:p w14:paraId="0F064965"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071F5F">
              <w:rPr>
                <w:rFonts w:asciiTheme="majorBidi" w:hAnsiTheme="majorBidi" w:cstheme="majorBidi"/>
                <w:color w:val="000000" w:themeColor="text1"/>
                <w:sz w:val="18"/>
                <w:szCs w:val="18"/>
              </w:rPr>
              <w:t>.869</w:t>
            </w:r>
          </w:p>
        </w:tc>
        <w:tc>
          <w:tcPr>
            <w:tcW w:w="992" w:type="dxa"/>
          </w:tcPr>
          <w:p w14:paraId="7F3A50A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071F5F">
              <w:rPr>
                <w:rFonts w:asciiTheme="majorBidi" w:hAnsiTheme="majorBidi" w:cstheme="majorBidi"/>
                <w:color w:val="000000" w:themeColor="text1"/>
                <w:sz w:val="18"/>
                <w:szCs w:val="18"/>
              </w:rPr>
              <w:t>-3.94</w:t>
            </w:r>
            <w:r>
              <w:rPr>
                <w:rFonts w:asciiTheme="majorBidi" w:hAnsiTheme="majorBidi" w:cstheme="majorBidi"/>
                <w:color w:val="000000" w:themeColor="text1"/>
                <w:sz w:val="18"/>
                <w:szCs w:val="18"/>
              </w:rPr>
              <w:t>6</w:t>
            </w:r>
          </w:p>
        </w:tc>
        <w:tc>
          <w:tcPr>
            <w:tcW w:w="992" w:type="dxa"/>
          </w:tcPr>
          <w:p w14:paraId="7B35E465"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071930">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071930">
              <w:rPr>
                <w:rFonts w:asciiTheme="majorBidi" w:hAnsiTheme="majorBidi" w:cstheme="majorBidi"/>
                <w:color w:val="000000" w:themeColor="text1"/>
                <w:sz w:val="18"/>
                <w:szCs w:val="18"/>
              </w:rPr>
              <w:t>.05</w:t>
            </w:r>
            <w:r>
              <w:rPr>
                <w:rFonts w:asciiTheme="majorBidi" w:hAnsiTheme="majorBidi" w:cstheme="majorBidi"/>
                <w:color w:val="000000" w:themeColor="text1"/>
                <w:sz w:val="18"/>
                <w:szCs w:val="18"/>
              </w:rPr>
              <w:t>2</w:t>
            </w:r>
          </w:p>
        </w:tc>
        <w:tc>
          <w:tcPr>
            <w:tcW w:w="993" w:type="dxa"/>
          </w:tcPr>
          <w:p w14:paraId="5D87F817"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071F5F">
              <w:rPr>
                <w:rFonts w:asciiTheme="majorBidi" w:hAnsiTheme="majorBidi" w:cstheme="majorBidi"/>
                <w:color w:val="000000" w:themeColor="text1"/>
                <w:sz w:val="18"/>
                <w:szCs w:val="18"/>
              </w:rPr>
              <w:t>5.69</w:t>
            </w:r>
            <w:r>
              <w:rPr>
                <w:rFonts w:asciiTheme="majorBidi" w:hAnsiTheme="majorBidi" w:cstheme="majorBidi"/>
                <w:color w:val="000000" w:themeColor="text1"/>
                <w:sz w:val="18"/>
                <w:szCs w:val="18"/>
              </w:rPr>
              <w:t>8</w:t>
            </w:r>
          </w:p>
        </w:tc>
        <w:tc>
          <w:tcPr>
            <w:tcW w:w="1221" w:type="dxa"/>
          </w:tcPr>
          <w:p w14:paraId="44457ED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C557E8">
              <w:rPr>
                <w:rFonts w:asciiTheme="majorBidi" w:hAnsiTheme="majorBidi" w:cstheme="majorBidi"/>
                <w:color w:val="000000" w:themeColor="text1"/>
                <w:sz w:val="18"/>
                <w:szCs w:val="18"/>
              </w:rPr>
              <w:t>2.74</w:t>
            </w:r>
            <w:r>
              <w:rPr>
                <w:rFonts w:asciiTheme="majorBidi" w:hAnsiTheme="majorBidi" w:cstheme="majorBidi"/>
                <w:color w:val="000000" w:themeColor="text1"/>
                <w:sz w:val="18"/>
                <w:szCs w:val="18"/>
              </w:rPr>
              <w:t>1</w:t>
            </w:r>
          </w:p>
        </w:tc>
      </w:tr>
      <w:tr w:rsidR="0091178F" w:rsidRPr="005E73C2" w14:paraId="6261E8CD" w14:textId="77777777" w:rsidTr="006D78DE">
        <w:tc>
          <w:tcPr>
            <w:tcW w:w="1835" w:type="dxa"/>
          </w:tcPr>
          <w:p w14:paraId="40826335" w14:textId="77777777"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LOSS</w:t>
            </w:r>
          </w:p>
        </w:tc>
        <w:tc>
          <w:tcPr>
            <w:tcW w:w="992" w:type="dxa"/>
          </w:tcPr>
          <w:p w14:paraId="6524C8C2"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806922">
              <w:rPr>
                <w:rFonts w:asciiTheme="majorBidi" w:hAnsiTheme="majorBidi" w:cstheme="majorBidi"/>
                <w:color w:val="000000" w:themeColor="text1"/>
                <w:sz w:val="18"/>
                <w:szCs w:val="18"/>
              </w:rPr>
              <w:t>670</w:t>
            </w:r>
          </w:p>
        </w:tc>
        <w:tc>
          <w:tcPr>
            <w:tcW w:w="993" w:type="dxa"/>
          </w:tcPr>
          <w:p w14:paraId="4F36B8E1"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23166">
              <w:rPr>
                <w:rFonts w:asciiTheme="majorBidi" w:hAnsiTheme="majorBidi" w:cstheme="majorBidi"/>
                <w:color w:val="000000" w:themeColor="text1"/>
                <w:sz w:val="18"/>
                <w:szCs w:val="18"/>
              </w:rPr>
              <w:t>.166</w:t>
            </w:r>
          </w:p>
        </w:tc>
        <w:tc>
          <w:tcPr>
            <w:tcW w:w="992" w:type="dxa"/>
          </w:tcPr>
          <w:p w14:paraId="015F79FE"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23166">
              <w:rPr>
                <w:rFonts w:asciiTheme="majorBidi" w:hAnsiTheme="majorBidi" w:cstheme="majorBidi"/>
                <w:color w:val="000000" w:themeColor="text1"/>
                <w:sz w:val="18"/>
                <w:szCs w:val="18"/>
              </w:rPr>
              <w:t>.372</w:t>
            </w:r>
          </w:p>
        </w:tc>
        <w:tc>
          <w:tcPr>
            <w:tcW w:w="992" w:type="dxa"/>
          </w:tcPr>
          <w:p w14:paraId="46D7A81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923166">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5A594C22"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0.000</w:t>
            </w:r>
          </w:p>
        </w:tc>
        <w:tc>
          <w:tcPr>
            <w:tcW w:w="993" w:type="dxa"/>
          </w:tcPr>
          <w:p w14:paraId="2ECA935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2C84168D"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37228">
              <w:rPr>
                <w:rFonts w:asciiTheme="majorBidi" w:hAnsiTheme="majorBidi" w:cstheme="majorBidi"/>
                <w:color w:val="000000" w:themeColor="text1"/>
                <w:sz w:val="18"/>
                <w:szCs w:val="18"/>
              </w:rPr>
              <w:t>1.79</w:t>
            </w:r>
            <w:r>
              <w:rPr>
                <w:rFonts w:asciiTheme="majorBidi" w:hAnsiTheme="majorBidi" w:cstheme="majorBidi"/>
                <w:color w:val="000000" w:themeColor="text1"/>
                <w:sz w:val="18"/>
                <w:szCs w:val="18"/>
              </w:rPr>
              <w:t>9</w:t>
            </w:r>
          </w:p>
        </w:tc>
      </w:tr>
      <w:tr w:rsidR="0091178F" w:rsidRPr="005E73C2" w14:paraId="0E361E54" w14:textId="77777777" w:rsidTr="006D78DE">
        <w:tc>
          <w:tcPr>
            <w:tcW w:w="1835" w:type="dxa"/>
          </w:tcPr>
          <w:p w14:paraId="612CE88C" w14:textId="3A1667DF"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DU</w:t>
            </w:r>
            <w:r w:rsidR="00C325D8">
              <w:rPr>
                <w:rFonts w:asciiTheme="majorBidi" w:hAnsiTheme="majorBidi" w:cstheme="majorBidi"/>
                <w:i/>
                <w:iCs/>
                <w:color w:val="000000" w:themeColor="text1"/>
                <w:sz w:val="18"/>
                <w:szCs w:val="18"/>
              </w:rPr>
              <w:t>AL</w:t>
            </w:r>
          </w:p>
        </w:tc>
        <w:tc>
          <w:tcPr>
            <w:tcW w:w="992" w:type="dxa"/>
          </w:tcPr>
          <w:p w14:paraId="12E2282A"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092B9CEA"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E7B62">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30</w:t>
            </w:r>
          </w:p>
        </w:tc>
        <w:tc>
          <w:tcPr>
            <w:tcW w:w="992" w:type="dxa"/>
          </w:tcPr>
          <w:p w14:paraId="692F85B0"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E7B62">
              <w:rPr>
                <w:rFonts w:asciiTheme="majorBidi" w:hAnsiTheme="majorBidi" w:cstheme="majorBidi"/>
                <w:color w:val="000000" w:themeColor="text1"/>
                <w:sz w:val="18"/>
                <w:szCs w:val="18"/>
              </w:rPr>
              <w:t>.170</w:t>
            </w:r>
          </w:p>
        </w:tc>
        <w:tc>
          <w:tcPr>
            <w:tcW w:w="992" w:type="dxa"/>
          </w:tcPr>
          <w:p w14:paraId="5F28921E"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923166">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327A794B"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0.000</w:t>
            </w:r>
          </w:p>
        </w:tc>
        <w:tc>
          <w:tcPr>
            <w:tcW w:w="993" w:type="dxa"/>
          </w:tcPr>
          <w:p w14:paraId="1F8BF768"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579F1D5B"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937228">
              <w:rPr>
                <w:rFonts w:asciiTheme="majorBidi" w:hAnsiTheme="majorBidi" w:cstheme="majorBidi"/>
                <w:color w:val="000000" w:themeColor="text1"/>
                <w:sz w:val="18"/>
                <w:szCs w:val="18"/>
              </w:rPr>
              <w:t>5.525</w:t>
            </w:r>
          </w:p>
        </w:tc>
      </w:tr>
      <w:tr w:rsidR="0091178F" w:rsidRPr="005E73C2" w14:paraId="3F4828F7" w14:textId="77777777" w:rsidTr="006D78DE">
        <w:tc>
          <w:tcPr>
            <w:tcW w:w="1835" w:type="dxa"/>
          </w:tcPr>
          <w:p w14:paraId="4D363011" w14:textId="31220FD1"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TENU</w:t>
            </w:r>
            <w:r w:rsidR="00C325D8">
              <w:rPr>
                <w:rFonts w:asciiTheme="majorBidi" w:hAnsiTheme="majorBidi" w:cstheme="majorBidi"/>
                <w:i/>
                <w:iCs/>
                <w:color w:val="000000" w:themeColor="text1"/>
                <w:sz w:val="18"/>
                <w:szCs w:val="18"/>
              </w:rPr>
              <w:t>RE</w:t>
            </w:r>
          </w:p>
        </w:tc>
        <w:tc>
          <w:tcPr>
            <w:tcW w:w="992" w:type="dxa"/>
          </w:tcPr>
          <w:p w14:paraId="32DED4D1"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29972B32"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9F76F0">
              <w:rPr>
                <w:rFonts w:asciiTheme="majorBidi" w:hAnsiTheme="majorBidi" w:cstheme="majorBidi"/>
                <w:color w:val="000000" w:themeColor="text1"/>
                <w:sz w:val="18"/>
                <w:szCs w:val="18"/>
              </w:rPr>
              <w:t>8.06</w:t>
            </w:r>
            <w:r>
              <w:rPr>
                <w:rFonts w:asciiTheme="majorBidi" w:hAnsiTheme="majorBidi" w:cstheme="majorBidi"/>
                <w:color w:val="000000" w:themeColor="text1"/>
                <w:sz w:val="18"/>
                <w:szCs w:val="18"/>
              </w:rPr>
              <w:t>9</w:t>
            </w:r>
          </w:p>
        </w:tc>
        <w:tc>
          <w:tcPr>
            <w:tcW w:w="992" w:type="dxa"/>
          </w:tcPr>
          <w:p w14:paraId="2760EBC4" w14:textId="77777777" w:rsidR="0091178F" w:rsidRDefault="0091178F" w:rsidP="006D78DE">
            <w:pPr>
              <w:spacing w:line="276" w:lineRule="auto"/>
              <w:jc w:val="left"/>
              <w:rPr>
                <w:rFonts w:asciiTheme="majorBidi" w:hAnsiTheme="majorBidi" w:cstheme="majorBidi"/>
                <w:color w:val="000000" w:themeColor="text1"/>
                <w:sz w:val="18"/>
                <w:szCs w:val="18"/>
              </w:rPr>
            </w:pPr>
            <w:r w:rsidRPr="009F76F0">
              <w:rPr>
                <w:rFonts w:asciiTheme="majorBidi" w:hAnsiTheme="majorBidi" w:cstheme="majorBidi"/>
                <w:color w:val="000000" w:themeColor="text1"/>
                <w:sz w:val="18"/>
                <w:szCs w:val="18"/>
              </w:rPr>
              <w:t>6.523</w:t>
            </w:r>
          </w:p>
        </w:tc>
        <w:tc>
          <w:tcPr>
            <w:tcW w:w="992" w:type="dxa"/>
          </w:tcPr>
          <w:p w14:paraId="4C41866F"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9F76F0">
              <w:rPr>
                <w:rFonts w:asciiTheme="majorBidi" w:hAnsiTheme="majorBidi" w:cstheme="majorBidi"/>
                <w:color w:val="000000" w:themeColor="text1"/>
                <w:sz w:val="18"/>
                <w:szCs w:val="18"/>
              </w:rPr>
              <w:t>1</w:t>
            </w:r>
            <w:r>
              <w:rPr>
                <w:rFonts w:asciiTheme="majorBidi" w:hAnsiTheme="majorBidi" w:cstheme="majorBidi"/>
                <w:color w:val="000000" w:themeColor="text1"/>
                <w:sz w:val="18"/>
                <w:szCs w:val="18"/>
              </w:rPr>
              <w:t>.000</w:t>
            </w:r>
          </w:p>
        </w:tc>
        <w:tc>
          <w:tcPr>
            <w:tcW w:w="992" w:type="dxa"/>
          </w:tcPr>
          <w:p w14:paraId="08CF2E10"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E60C5C">
              <w:rPr>
                <w:rFonts w:asciiTheme="majorBidi" w:hAnsiTheme="majorBidi" w:cstheme="majorBidi"/>
                <w:color w:val="000000" w:themeColor="text1"/>
                <w:sz w:val="18"/>
                <w:szCs w:val="18"/>
              </w:rPr>
              <w:t>6</w:t>
            </w:r>
            <w:r>
              <w:rPr>
                <w:rFonts w:asciiTheme="majorBidi" w:hAnsiTheme="majorBidi" w:cstheme="majorBidi"/>
                <w:color w:val="000000" w:themeColor="text1"/>
                <w:sz w:val="18"/>
                <w:szCs w:val="18"/>
              </w:rPr>
              <w:t>.000</w:t>
            </w:r>
          </w:p>
        </w:tc>
        <w:tc>
          <w:tcPr>
            <w:tcW w:w="993" w:type="dxa"/>
          </w:tcPr>
          <w:p w14:paraId="0F26D835"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29.000</w:t>
            </w:r>
          </w:p>
        </w:tc>
        <w:tc>
          <w:tcPr>
            <w:tcW w:w="1221" w:type="dxa"/>
          </w:tcPr>
          <w:p w14:paraId="60412C2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561DAE">
              <w:rPr>
                <w:rFonts w:asciiTheme="majorBidi" w:hAnsiTheme="majorBidi" w:cstheme="majorBidi"/>
                <w:color w:val="000000" w:themeColor="text1"/>
                <w:sz w:val="18"/>
                <w:szCs w:val="18"/>
              </w:rPr>
              <w:t>1.30</w:t>
            </w:r>
            <w:r>
              <w:rPr>
                <w:rFonts w:asciiTheme="majorBidi" w:hAnsiTheme="majorBidi" w:cstheme="majorBidi"/>
                <w:color w:val="000000" w:themeColor="text1"/>
                <w:sz w:val="18"/>
                <w:szCs w:val="18"/>
              </w:rPr>
              <w:t>2</w:t>
            </w:r>
          </w:p>
        </w:tc>
      </w:tr>
      <w:tr w:rsidR="0091178F" w:rsidRPr="005E73C2" w14:paraId="49840795" w14:textId="77777777" w:rsidTr="006D78DE">
        <w:tc>
          <w:tcPr>
            <w:tcW w:w="1835" w:type="dxa"/>
          </w:tcPr>
          <w:p w14:paraId="4E58602D" w14:textId="164A7F5A"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IND</w:t>
            </w:r>
            <w:r w:rsidR="00C325D8">
              <w:rPr>
                <w:rFonts w:asciiTheme="majorBidi" w:hAnsiTheme="majorBidi" w:cstheme="majorBidi"/>
                <w:i/>
                <w:iCs/>
                <w:color w:val="000000" w:themeColor="text1"/>
                <w:sz w:val="18"/>
                <w:szCs w:val="18"/>
              </w:rPr>
              <w:t>EP</w:t>
            </w:r>
          </w:p>
        </w:tc>
        <w:tc>
          <w:tcPr>
            <w:tcW w:w="992" w:type="dxa"/>
          </w:tcPr>
          <w:p w14:paraId="2F6E6D06"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3A594E61"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21D25">
              <w:rPr>
                <w:rFonts w:asciiTheme="majorBidi" w:hAnsiTheme="majorBidi" w:cstheme="majorBidi"/>
                <w:color w:val="000000" w:themeColor="text1"/>
                <w:sz w:val="18"/>
                <w:szCs w:val="18"/>
              </w:rPr>
              <w:t>.592</w:t>
            </w:r>
          </w:p>
        </w:tc>
        <w:tc>
          <w:tcPr>
            <w:tcW w:w="992" w:type="dxa"/>
          </w:tcPr>
          <w:p w14:paraId="0F20B8DB"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21D25">
              <w:rPr>
                <w:rFonts w:asciiTheme="majorBidi" w:hAnsiTheme="majorBidi" w:cstheme="majorBidi"/>
                <w:color w:val="000000" w:themeColor="text1"/>
                <w:sz w:val="18"/>
                <w:szCs w:val="18"/>
              </w:rPr>
              <w:t>.108</w:t>
            </w:r>
          </w:p>
        </w:tc>
        <w:tc>
          <w:tcPr>
            <w:tcW w:w="992" w:type="dxa"/>
          </w:tcPr>
          <w:p w14:paraId="75606653"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D45FA">
              <w:rPr>
                <w:rFonts w:asciiTheme="majorBidi" w:hAnsiTheme="majorBidi" w:cstheme="majorBidi"/>
                <w:color w:val="000000" w:themeColor="text1"/>
                <w:sz w:val="18"/>
                <w:szCs w:val="18"/>
              </w:rPr>
              <w:t>.333</w:t>
            </w:r>
          </w:p>
        </w:tc>
        <w:tc>
          <w:tcPr>
            <w:tcW w:w="992" w:type="dxa"/>
          </w:tcPr>
          <w:p w14:paraId="0E4263E9"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E60C5C">
              <w:rPr>
                <w:rFonts w:asciiTheme="majorBidi" w:hAnsiTheme="majorBidi" w:cstheme="majorBidi"/>
                <w:color w:val="000000" w:themeColor="text1"/>
                <w:sz w:val="18"/>
                <w:szCs w:val="18"/>
              </w:rPr>
              <w:t>.6</w:t>
            </w:r>
            <w:r>
              <w:rPr>
                <w:rFonts w:asciiTheme="majorBidi" w:hAnsiTheme="majorBidi" w:cstheme="majorBidi"/>
                <w:color w:val="000000" w:themeColor="text1"/>
                <w:sz w:val="18"/>
                <w:szCs w:val="18"/>
              </w:rPr>
              <w:t>00</w:t>
            </w:r>
          </w:p>
        </w:tc>
        <w:tc>
          <w:tcPr>
            <w:tcW w:w="993" w:type="dxa"/>
          </w:tcPr>
          <w:p w14:paraId="23FF8889"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9D45FA">
              <w:rPr>
                <w:rFonts w:asciiTheme="majorBidi" w:hAnsiTheme="majorBidi" w:cstheme="majorBidi"/>
                <w:color w:val="000000" w:themeColor="text1"/>
                <w:sz w:val="18"/>
                <w:szCs w:val="18"/>
              </w:rPr>
              <w:t>.833</w:t>
            </w:r>
          </w:p>
        </w:tc>
        <w:tc>
          <w:tcPr>
            <w:tcW w:w="1221" w:type="dxa"/>
          </w:tcPr>
          <w:p w14:paraId="1D25ADAA"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561DAE">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0</w:t>
            </w:r>
            <w:r w:rsidRPr="00561DAE">
              <w:rPr>
                <w:rFonts w:asciiTheme="majorBidi" w:hAnsiTheme="majorBidi" w:cstheme="majorBidi"/>
                <w:color w:val="000000" w:themeColor="text1"/>
                <w:sz w:val="18"/>
                <w:szCs w:val="18"/>
              </w:rPr>
              <w:t>.032</w:t>
            </w:r>
          </w:p>
        </w:tc>
      </w:tr>
      <w:tr w:rsidR="0091178F" w:rsidRPr="005E73C2" w14:paraId="3897CA6C" w14:textId="77777777" w:rsidTr="006D78DE">
        <w:tc>
          <w:tcPr>
            <w:tcW w:w="1835" w:type="dxa"/>
          </w:tcPr>
          <w:p w14:paraId="6923BB23" w14:textId="4CFCC1C3"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B</w:t>
            </w:r>
            <w:r w:rsidR="00C325D8">
              <w:rPr>
                <w:rFonts w:asciiTheme="majorBidi" w:hAnsiTheme="majorBidi" w:cstheme="majorBidi"/>
                <w:i/>
                <w:iCs/>
                <w:color w:val="000000" w:themeColor="text1"/>
                <w:sz w:val="18"/>
                <w:szCs w:val="18"/>
              </w:rPr>
              <w:t>D</w:t>
            </w:r>
            <w:r w:rsidRPr="005E73C2">
              <w:rPr>
                <w:rFonts w:asciiTheme="majorBidi" w:hAnsiTheme="majorBidi" w:cstheme="majorBidi"/>
                <w:i/>
                <w:iCs/>
                <w:color w:val="000000" w:themeColor="text1"/>
                <w:sz w:val="18"/>
                <w:szCs w:val="18"/>
              </w:rPr>
              <w:t>SIZE</w:t>
            </w:r>
          </w:p>
        </w:tc>
        <w:tc>
          <w:tcPr>
            <w:tcW w:w="992" w:type="dxa"/>
          </w:tcPr>
          <w:p w14:paraId="1ACF3005"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1971DE6D"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9D45FA">
              <w:rPr>
                <w:rFonts w:asciiTheme="majorBidi" w:hAnsiTheme="majorBidi" w:cstheme="majorBidi"/>
                <w:color w:val="000000" w:themeColor="text1"/>
                <w:sz w:val="18"/>
                <w:szCs w:val="18"/>
              </w:rPr>
              <w:t>9.016</w:t>
            </w:r>
          </w:p>
        </w:tc>
        <w:tc>
          <w:tcPr>
            <w:tcW w:w="992" w:type="dxa"/>
          </w:tcPr>
          <w:p w14:paraId="406EAE53" w14:textId="77777777" w:rsidR="0091178F" w:rsidRDefault="0091178F" w:rsidP="006D78DE">
            <w:pPr>
              <w:spacing w:line="276" w:lineRule="auto"/>
              <w:jc w:val="left"/>
              <w:rPr>
                <w:rFonts w:asciiTheme="majorBidi" w:hAnsiTheme="majorBidi" w:cstheme="majorBidi"/>
                <w:color w:val="000000" w:themeColor="text1"/>
                <w:sz w:val="18"/>
                <w:szCs w:val="18"/>
              </w:rPr>
            </w:pPr>
            <w:r w:rsidRPr="00204995">
              <w:rPr>
                <w:rFonts w:asciiTheme="majorBidi" w:hAnsiTheme="majorBidi" w:cstheme="majorBidi"/>
                <w:color w:val="000000" w:themeColor="text1"/>
                <w:sz w:val="18"/>
                <w:szCs w:val="18"/>
              </w:rPr>
              <w:t>2.131</w:t>
            </w:r>
          </w:p>
        </w:tc>
        <w:tc>
          <w:tcPr>
            <w:tcW w:w="992" w:type="dxa"/>
          </w:tcPr>
          <w:p w14:paraId="71227ED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204995">
              <w:rPr>
                <w:rFonts w:asciiTheme="majorBidi" w:hAnsiTheme="majorBidi" w:cstheme="majorBidi"/>
                <w:color w:val="000000" w:themeColor="text1"/>
                <w:sz w:val="18"/>
                <w:szCs w:val="18"/>
              </w:rPr>
              <w:t>5</w:t>
            </w:r>
            <w:r>
              <w:rPr>
                <w:rFonts w:asciiTheme="majorBidi" w:hAnsiTheme="majorBidi" w:cstheme="majorBidi"/>
                <w:color w:val="000000" w:themeColor="text1"/>
                <w:sz w:val="18"/>
                <w:szCs w:val="18"/>
              </w:rPr>
              <w:t>.000</w:t>
            </w:r>
          </w:p>
        </w:tc>
        <w:tc>
          <w:tcPr>
            <w:tcW w:w="992" w:type="dxa"/>
          </w:tcPr>
          <w:p w14:paraId="5369E6E2"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702EA0">
              <w:rPr>
                <w:rFonts w:asciiTheme="majorBidi" w:hAnsiTheme="majorBidi" w:cstheme="majorBidi"/>
                <w:color w:val="000000" w:themeColor="text1"/>
                <w:sz w:val="18"/>
                <w:szCs w:val="18"/>
              </w:rPr>
              <w:t>9</w:t>
            </w:r>
            <w:r>
              <w:rPr>
                <w:rFonts w:asciiTheme="majorBidi" w:hAnsiTheme="majorBidi" w:cstheme="majorBidi"/>
                <w:color w:val="000000" w:themeColor="text1"/>
                <w:sz w:val="18"/>
                <w:szCs w:val="18"/>
              </w:rPr>
              <w:t>.000</w:t>
            </w:r>
          </w:p>
        </w:tc>
        <w:tc>
          <w:tcPr>
            <w:tcW w:w="993" w:type="dxa"/>
          </w:tcPr>
          <w:p w14:paraId="20CB5D05"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14.000</w:t>
            </w:r>
          </w:p>
        </w:tc>
        <w:tc>
          <w:tcPr>
            <w:tcW w:w="1221" w:type="dxa"/>
          </w:tcPr>
          <w:p w14:paraId="34BC5864"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561DAE">
              <w:rPr>
                <w:rFonts w:asciiTheme="majorBidi" w:hAnsiTheme="majorBidi" w:cstheme="majorBidi"/>
                <w:color w:val="000000" w:themeColor="text1"/>
                <w:sz w:val="18"/>
                <w:szCs w:val="18"/>
              </w:rPr>
              <w:t>.19</w:t>
            </w:r>
            <w:r>
              <w:rPr>
                <w:rFonts w:asciiTheme="majorBidi" w:hAnsiTheme="majorBidi" w:cstheme="majorBidi"/>
                <w:color w:val="000000" w:themeColor="text1"/>
                <w:sz w:val="18"/>
                <w:szCs w:val="18"/>
              </w:rPr>
              <w:t>6</w:t>
            </w:r>
          </w:p>
        </w:tc>
      </w:tr>
      <w:tr w:rsidR="0091178F" w:rsidRPr="005E73C2" w14:paraId="1837BE1F" w14:textId="77777777" w:rsidTr="006D78DE">
        <w:tc>
          <w:tcPr>
            <w:tcW w:w="1835" w:type="dxa"/>
          </w:tcPr>
          <w:p w14:paraId="323D5FC3" w14:textId="77777777"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ACSIZE</w:t>
            </w:r>
          </w:p>
        </w:tc>
        <w:tc>
          <w:tcPr>
            <w:tcW w:w="992" w:type="dxa"/>
          </w:tcPr>
          <w:p w14:paraId="778F7D19"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56BF304D"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E5079">
              <w:rPr>
                <w:rFonts w:asciiTheme="majorBidi" w:hAnsiTheme="majorBidi" w:cstheme="majorBidi"/>
                <w:color w:val="000000" w:themeColor="text1"/>
                <w:sz w:val="18"/>
                <w:szCs w:val="18"/>
              </w:rPr>
              <w:t>.4</w:t>
            </w:r>
            <w:r>
              <w:rPr>
                <w:rFonts w:asciiTheme="majorBidi" w:hAnsiTheme="majorBidi" w:cstheme="majorBidi"/>
                <w:color w:val="000000" w:themeColor="text1"/>
                <w:sz w:val="18"/>
                <w:szCs w:val="18"/>
              </w:rPr>
              <w:t>50</w:t>
            </w:r>
          </w:p>
        </w:tc>
        <w:tc>
          <w:tcPr>
            <w:tcW w:w="992" w:type="dxa"/>
          </w:tcPr>
          <w:p w14:paraId="7FACDC80"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8E5079">
              <w:rPr>
                <w:rFonts w:asciiTheme="majorBidi" w:hAnsiTheme="majorBidi" w:cstheme="majorBidi"/>
                <w:color w:val="000000" w:themeColor="text1"/>
                <w:sz w:val="18"/>
                <w:szCs w:val="18"/>
              </w:rPr>
              <w:t>.108</w:t>
            </w:r>
          </w:p>
        </w:tc>
        <w:tc>
          <w:tcPr>
            <w:tcW w:w="992" w:type="dxa"/>
          </w:tcPr>
          <w:p w14:paraId="2594153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152D81">
              <w:rPr>
                <w:rFonts w:asciiTheme="majorBidi" w:hAnsiTheme="majorBidi" w:cstheme="majorBidi"/>
                <w:color w:val="000000" w:themeColor="text1"/>
                <w:sz w:val="18"/>
                <w:szCs w:val="18"/>
              </w:rPr>
              <w:t>.23</w:t>
            </w:r>
            <w:r>
              <w:rPr>
                <w:rFonts w:asciiTheme="majorBidi" w:hAnsiTheme="majorBidi" w:cstheme="majorBidi"/>
                <w:color w:val="000000" w:themeColor="text1"/>
                <w:sz w:val="18"/>
                <w:szCs w:val="18"/>
              </w:rPr>
              <w:t>1</w:t>
            </w:r>
          </w:p>
        </w:tc>
        <w:tc>
          <w:tcPr>
            <w:tcW w:w="992" w:type="dxa"/>
          </w:tcPr>
          <w:p w14:paraId="3CFF66A7"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702EA0">
              <w:rPr>
                <w:rFonts w:asciiTheme="majorBidi" w:hAnsiTheme="majorBidi" w:cstheme="majorBidi"/>
                <w:color w:val="000000" w:themeColor="text1"/>
                <w:sz w:val="18"/>
                <w:szCs w:val="18"/>
              </w:rPr>
              <w:t>.43</w:t>
            </w:r>
            <w:r>
              <w:rPr>
                <w:rFonts w:asciiTheme="majorBidi" w:hAnsiTheme="majorBidi" w:cstheme="majorBidi"/>
                <w:color w:val="000000" w:themeColor="text1"/>
                <w:sz w:val="18"/>
                <w:szCs w:val="18"/>
              </w:rPr>
              <w:t>7</w:t>
            </w:r>
          </w:p>
        </w:tc>
        <w:tc>
          <w:tcPr>
            <w:tcW w:w="993" w:type="dxa"/>
          </w:tcPr>
          <w:p w14:paraId="2D11F5E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152D81">
              <w:rPr>
                <w:rFonts w:asciiTheme="majorBidi" w:hAnsiTheme="majorBidi" w:cstheme="majorBidi"/>
                <w:color w:val="000000" w:themeColor="text1"/>
                <w:sz w:val="18"/>
                <w:szCs w:val="18"/>
              </w:rPr>
              <w:t>.714</w:t>
            </w:r>
          </w:p>
        </w:tc>
        <w:tc>
          <w:tcPr>
            <w:tcW w:w="1221" w:type="dxa"/>
          </w:tcPr>
          <w:p w14:paraId="2514561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A960E5">
              <w:rPr>
                <w:rFonts w:asciiTheme="majorBidi" w:hAnsiTheme="majorBidi" w:cstheme="majorBidi"/>
                <w:color w:val="000000" w:themeColor="text1"/>
                <w:sz w:val="18"/>
                <w:szCs w:val="18"/>
              </w:rPr>
              <w:t>.270</w:t>
            </w:r>
          </w:p>
        </w:tc>
      </w:tr>
      <w:tr w:rsidR="0091178F" w:rsidRPr="005E73C2" w14:paraId="0D5D0733" w14:textId="77777777" w:rsidTr="006D78DE">
        <w:tc>
          <w:tcPr>
            <w:tcW w:w="1835" w:type="dxa"/>
          </w:tcPr>
          <w:p w14:paraId="2D857837" w14:textId="74D76235"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FEMALE</w:t>
            </w:r>
          </w:p>
        </w:tc>
        <w:tc>
          <w:tcPr>
            <w:tcW w:w="992" w:type="dxa"/>
          </w:tcPr>
          <w:p w14:paraId="74619E5C"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60051B18"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F6657">
              <w:rPr>
                <w:rFonts w:asciiTheme="majorBidi" w:hAnsiTheme="majorBidi" w:cstheme="majorBidi"/>
                <w:color w:val="000000" w:themeColor="text1"/>
                <w:sz w:val="18"/>
                <w:szCs w:val="18"/>
              </w:rPr>
              <w:t>.30</w:t>
            </w:r>
            <w:r>
              <w:rPr>
                <w:rFonts w:asciiTheme="majorBidi" w:hAnsiTheme="majorBidi" w:cstheme="majorBidi"/>
                <w:color w:val="000000" w:themeColor="text1"/>
                <w:sz w:val="18"/>
                <w:szCs w:val="18"/>
              </w:rPr>
              <w:t>4</w:t>
            </w:r>
          </w:p>
        </w:tc>
        <w:tc>
          <w:tcPr>
            <w:tcW w:w="992" w:type="dxa"/>
          </w:tcPr>
          <w:p w14:paraId="3EED424F"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F6657">
              <w:rPr>
                <w:rFonts w:asciiTheme="majorBidi" w:hAnsiTheme="majorBidi" w:cstheme="majorBidi"/>
                <w:color w:val="000000" w:themeColor="text1"/>
                <w:sz w:val="18"/>
                <w:szCs w:val="18"/>
              </w:rPr>
              <w:t>.</w:t>
            </w:r>
            <w:r>
              <w:rPr>
                <w:rFonts w:asciiTheme="majorBidi" w:hAnsiTheme="majorBidi" w:cstheme="majorBidi"/>
                <w:color w:val="000000" w:themeColor="text1"/>
                <w:sz w:val="18"/>
                <w:szCs w:val="18"/>
              </w:rPr>
              <w:t>200</w:t>
            </w:r>
          </w:p>
        </w:tc>
        <w:tc>
          <w:tcPr>
            <w:tcW w:w="992" w:type="dxa"/>
          </w:tcPr>
          <w:p w14:paraId="2F159B54"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DF6657">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Pr>
          <w:p w14:paraId="6AF4BC0E"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162E9">
              <w:rPr>
                <w:rFonts w:asciiTheme="majorBidi" w:hAnsiTheme="majorBidi" w:cstheme="majorBidi"/>
                <w:color w:val="000000" w:themeColor="text1"/>
                <w:sz w:val="18"/>
                <w:szCs w:val="18"/>
              </w:rPr>
              <w:t>.333</w:t>
            </w:r>
          </w:p>
        </w:tc>
        <w:tc>
          <w:tcPr>
            <w:tcW w:w="993" w:type="dxa"/>
          </w:tcPr>
          <w:p w14:paraId="49DF5D6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0.800</w:t>
            </w:r>
          </w:p>
        </w:tc>
        <w:tc>
          <w:tcPr>
            <w:tcW w:w="1221" w:type="dxa"/>
          </w:tcPr>
          <w:p w14:paraId="190FC749"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CA38BA">
              <w:rPr>
                <w:rFonts w:asciiTheme="majorBidi" w:hAnsiTheme="majorBidi" w:cstheme="majorBidi"/>
                <w:color w:val="000000" w:themeColor="text1"/>
                <w:sz w:val="18"/>
                <w:szCs w:val="18"/>
              </w:rPr>
              <w:t>.099</w:t>
            </w:r>
          </w:p>
        </w:tc>
      </w:tr>
      <w:tr w:rsidR="0091178F" w:rsidRPr="005E73C2" w14:paraId="6BEE6CBE" w14:textId="77777777" w:rsidTr="006D78DE">
        <w:tc>
          <w:tcPr>
            <w:tcW w:w="1835" w:type="dxa"/>
          </w:tcPr>
          <w:p w14:paraId="44E9F489" w14:textId="523ABE03" w:rsidR="0091178F" w:rsidRPr="00BC7D29" w:rsidRDefault="0091178F" w:rsidP="006D78DE">
            <w:pPr>
              <w:spacing w:line="276" w:lineRule="auto"/>
              <w:rPr>
                <w:rFonts w:ascii="Times New Roman" w:hAnsi="Times New Roman" w:cs="Times New Roman"/>
                <w:i/>
                <w:iCs/>
                <w:sz w:val="18"/>
                <w:szCs w:val="18"/>
              </w:rPr>
            </w:pPr>
            <w:r w:rsidRPr="005E73C2">
              <w:rPr>
                <w:rFonts w:asciiTheme="majorBidi" w:hAnsiTheme="majorBidi" w:cstheme="majorBidi"/>
                <w:i/>
                <w:iCs/>
                <w:color w:val="000000" w:themeColor="text1"/>
                <w:sz w:val="18"/>
                <w:szCs w:val="18"/>
              </w:rPr>
              <w:t>ACCEXP</w:t>
            </w:r>
          </w:p>
        </w:tc>
        <w:tc>
          <w:tcPr>
            <w:tcW w:w="992" w:type="dxa"/>
          </w:tcPr>
          <w:p w14:paraId="5E5710C5"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Pr>
          <w:p w14:paraId="4D2B5013"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D11E6D">
              <w:rPr>
                <w:rFonts w:asciiTheme="majorBidi" w:hAnsiTheme="majorBidi" w:cstheme="majorBidi"/>
                <w:color w:val="000000" w:themeColor="text1"/>
                <w:sz w:val="18"/>
                <w:szCs w:val="18"/>
              </w:rPr>
              <w:t>.3</w:t>
            </w:r>
            <w:r>
              <w:rPr>
                <w:rFonts w:asciiTheme="majorBidi" w:hAnsiTheme="majorBidi" w:cstheme="majorBidi"/>
                <w:color w:val="000000" w:themeColor="text1"/>
                <w:sz w:val="18"/>
                <w:szCs w:val="18"/>
              </w:rPr>
              <w:t>80</w:t>
            </w:r>
          </w:p>
        </w:tc>
        <w:tc>
          <w:tcPr>
            <w:tcW w:w="992" w:type="dxa"/>
          </w:tcPr>
          <w:p w14:paraId="11ABC212"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61215E">
              <w:rPr>
                <w:rFonts w:asciiTheme="majorBidi" w:hAnsiTheme="majorBidi" w:cstheme="majorBidi"/>
                <w:color w:val="000000" w:themeColor="text1"/>
                <w:sz w:val="18"/>
                <w:szCs w:val="18"/>
              </w:rPr>
              <w:t>.18</w:t>
            </w:r>
            <w:r>
              <w:rPr>
                <w:rFonts w:asciiTheme="majorBidi" w:hAnsiTheme="majorBidi" w:cstheme="majorBidi"/>
                <w:color w:val="000000" w:themeColor="text1"/>
                <w:sz w:val="18"/>
                <w:szCs w:val="18"/>
              </w:rPr>
              <w:t>5</w:t>
            </w:r>
          </w:p>
        </w:tc>
        <w:tc>
          <w:tcPr>
            <w:tcW w:w="992" w:type="dxa"/>
          </w:tcPr>
          <w:p w14:paraId="0540E5D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0.000</w:t>
            </w:r>
          </w:p>
        </w:tc>
        <w:tc>
          <w:tcPr>
            <w:tcW w:w="992" w:type="dxa"/>
          </w:tcPr>
          <w:p w14:paraId="25BF010A"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162E9">
              <w:rPr>
                <w:rFonts w:asciiTheme="majorBidi" w:hAnsiTheme="majorBidi" w:cstheme="majorBidi"/>
                <w:color w:val="000000" w:themeColor="text1"/>
                <w:sz w:val="18"/>
                <w:szCs w:val="18"/>
              </w:rPr>
              <w:t>.333</w:t>
            </w:r>
          </w:p>
        </w:tc>
        <w:tc>
          <w:tcPr>
            <w:tcW w:w="993" w:type="dxa"/>
          </w:tcPr>
          <w:p w14:paraId="2B97A77D"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1.000</w:t>
            </w:r>
          </w:p>
        </w:tc>
        <w:tc>
          <w:tcPr>
            <w:tcW w:w="1221" w:type="dxa"/>
          </w:tcPr>
          <w:p w14:paraId="74012B7E"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CA38BA">
              <w:rPr>
                <w:rFonts w:asciiTheme="majorBidi" w:hAnsiTheme="majorBidi" w:cstheme="majorBidi"/>
                <w:color w:val="000000" w:themeColor="text1"/>
                <w:sz w:val="18"/>
                <w:szCs w:val="18"/>
              </w:rPr>
              <w:t>.587</w:t>
            </w:r>
          </w:p>
        </w:tc>
      </w:tr>
      <w:tr w:rsidR="0091178F" w:rsidRPr="005E73C2" w14:paraId="0000A92F" w14:textId="77777777" w:rsidTr="006D78DE">
        <w:tc>
          <w:tcPr>
            <w:tcW w:w="1835" w:type="dxa"/>
            <w:tcBorders>
              <w:bottom w:val="single" w:sz="6" w:space="0" w:color="auto"/>
            </w:tcBorders>
          </w:tcPr>
          <w:p w14:paraId="34CEAB7C" w14:textId="75E39028" w:rsidR="0091178F" w:rsidRPr="00BC7D29" w:rsidRDefault="0091178F" w:rsidP="006D78DE">
            <w:pPr>
              <w:spacing w:line="276" w:lineRule="auto"/>
              <w:rPr>
                <w:rFonts w:ascii="Times New Roman" w:hAnsi="Times New Roman" w:cs="Times New Roman"/>
                <w:i/>
                <w:iCs/>
                <w:sz w:val="18"/>
                <w:szCs w:val="18"/>
              </w:rPr>
            </w:pPr>
            <w:r w:rsidRPr="00BC7D29">
              <w:rPr>
                <w:rFonts w:ascii="Times New Roman" w:hAnsi="Times New Roman" w:cs="Times New Roman"/>
                <w:i/>
                <w:iCs/>
                <w:sz w:val="18"/>
                <w:szCs w:val="18"/>
              </w:rPr>
              <w:t>COMPEN</w:t>
            </w:r>
            <w:r w:rsidR="00C325D8">
              <w:rPr>
                <w:rFonts w:ascii="Times New Roman" w:hAnsi="Times New Roman" w:cs="Times New Roman"/>
                <w:i/>
                <w:iCs/>
                <w:sz w:val="18"/>
                <w:szCs w:val="18"/>
              </w:rPr>
              <w:t>SATION</w:t>
            </w:r>
          </w:p>
        </w:tc>
        <w:tc>
          <w:tcPr>
            <w:tcW w:w="992" w:type="dxa"/>
            <w:tcBorders>
              <w:bottom w:val="single" w:sz="6" w:space="0" w:color="auto"/>
            </w:tcBorders>
          </w:tcPr>
          <w:p w14:paraId="779594A0"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B91AE4">
              <w:rPr>
                <w:rFonts w:asciiTheme="majorBidi" w:hAnsiTheme="majorBidi" w:cstheme="majorBidi"/>
                <w:color w:val="000000" w:themeColor="text1"/>
                <w:sz w:val="18"/>
                <w:szCs w:val="18"/>
              </w:rPr>
              <w:t>670</w:t>
            </w:r>
          </w:p>
        </w:tc>
        <w:tc>
          <w:tcPr>
            <w:tcW w:w="993" w:type="dxa"/>
            <w:tcBorders>
              <w:bottom w:val="single" w:sz="6" w:space="0" w:color="auto"/>
            </w:tcBorders>
          </w:tcPr>
          <w:p w14:paraId="4073C37F" w14:textId="77777777" w:rsidR="0091178F" w:rsidRPr="00B723E4" w:rsidRDefault="0091178F" w:rsidP="006D78DE">
            <w:pPr>
              <w:spacing w:line="276" w:lineRule="auto"/>
              <w:jc w:val="left"/>
              <w:rPr>
                <w:rFonts w:asciiTheme="majorBidi" w:hAnsiTheme="majorBidi" w:cstheme="majorBidi"/>
                <w:color w:val="000000" w:themeColor="text1"/>
                <w:sz w:val="18"/>
                <w:szCs w:val="18"/>
              </w:rPr>
            </w:pPr>
            <w:r w:rsidRPr="00A2050A">
              <w:rPr>
                <w:rFonts w:asciiTheme="majorBidi" w:hAnsiTheme="majorBidi" w:cstheme="majorBidi"/>
                <w:color w:val="000000" w:themeColor="text1"/>
                <w:sz w:val="18"/>
                <w:szCs w:val="18"/>
              </w:rPr>
              <w:t>4.060</w:t>
            </w:r>
          </w:p>
        </w:tc>
        <w:tc>
          <w:tcPr>
            <w:tcW w:w="992" w:type="dxa"/>
            <w:tcBorders>
              <w:bottom w:val="single" w:sz="6" w:space="0" w:color="auto"/>
            </w:tcBorders>
          </w:tcPr>
          <w:p w14:paraId="341FC544" w14:textId="77777777" w:rsidR="0091178F" w:rsidRDefault="0091178F" w:rsidP="006D78DE">
            <w:pPr>
              <w:spacing w:line="276" w:lineRule="auto"/>
              <w:jc w:val="left"/>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0</w:t>
            </w:r>
            <w:r w:rsidRPr="004F3DD1">
              <w:rPr>
                <w:rFonts w:asciiTheme="majorBidi" w:hAnsiTheme="majorBidi" w:cstheme="majorBidi"/>
                <w:color w:val="000000" w:themeColor="text1"/>
                <w:sz w:val="18"/>
                <w:szCs w:val="18"/>
              </w:rPr>
              <w:t>.750</w:t>
            </w:r>
          </w:p>
        </w:tc>
        <w:tc>
          <w:tcPr>
            <w:tcW w:w="992" w:type="dxa"/>
            <w:tcBorders>
              <w:bottom w:val="single" w:sz="6" w:space="0" w:color="auto"/>
            </w:tcBorders>
          </w:tcPr>
          <w:p w14:paraId="41DF8B48"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4F3DD1">
              <w:rPr>
                <w:rFonts w:asciiTheme="majorBidi" w:hAnsiTheme="majorBidi" w:cstheme="majorBidi"/>
                <w:color w:val="000000" w:themeColor="text1"/>
                <w:sz w:val="18"/>
                <w:szCs w:val="18"/>
              </w:rPr>
              <w:t>0</w:t>
            </w:r>
            <w:r>
              <w:rPr>
                <w:rFonts w:asciiTheme="majorBidi" w:hAnsiTheme="majorBidi" w:cstheme="majorBidi"/>
                <w:color w:val="000000" w:themeColor="text1"/>
                <w:sz w:val="18"/>
                <w:szCs w:val="18"/>
              </w:rPr>
              <w:t>.000</w:t>
            </w:r>
          </w:p>
        </w:tc>
        <w:tc>
          <w:tcPr>
            <w:tcW w:w="992" w:type="dxa"/>
            <w:tcBorders>
              <w:bottom w:val="single" w:sz="6" w:space="0" w:color="auto"/>
            </w:tcBorders>
          </w:tcPr>
          <w:p w14:paraId="37EF313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4162E9">
              <w:rPr>
                <w:rFonts w:asciiTheme="majorBidi" w:hAnsiTheme="majorBidi" w:cstheme="majorBidi"/>
                <w:color w:val="000000" w:themeColor="text1"/>
                <w:sz w:val="18"/>
                <w:szCs w:val="18"/>
              </w:rPr>
              <w:t>4.174</w:t>
            </w:r>
          </w:p>
        </w:tc>
        <w:tc>
          <w:tcPr>
            <w:tcW w:w="993" w:type="dxa"/>
            <w:tcBorders>
              <w:bottom w:val="single" w:sz="6" w:space="0" w:color="auto"/>
            </w:tcBorders>
          </w:tcPr>
          <w:p w14:paraId="6E4089BC" w14:textId="77777777" w:rsidR="0091178F" w:rsidRPr="00610219" w:rsidRDefault="0091178F" w:rsidP="006D78DE">
            <w:pPr>
              <w:spacing w:line="276" w:lineRule="auto"/>
              <w:jc w:val="left"/>
              <w:rPr>
                <w:rFonts w:asciiTheme="majorBidi" w:hAnsiTheme="majorBidi" w:cstheme="majorBidi"/>
                <w:color w:val="000000" w:themeColor="text1"/>
                <w:sz w:val="18"/>
                <w:szCs w:val="18"/>
              </w:rPr>
            </w:pPr>
            <w:r w:rsidRPr="004F3DD1">
              <w:rPr>
                <w:rFonts w:asciiTheme="majorBidi" w:hAnsiTheme="majorBidi" w:cstheme="majorBidi"/>
                <w:color w:val="000000" w:themeColor="text1"/>
                <w:sz w:val="18"/>
                <w:szCs w:val="18"/>
              </w:rPr>
              <w:t>5.298</w:t>
            </w:r>
          </w:p>
        </w:tc>
        <w:tc>
          <w:tcPr>
            <w:tcW w:w="1221" w:type="dxa"/>
            <w:tcBorders>
              <w:bottom w:val="single" w:sz="6" w:space="0" w:color="auto"/>
            </w:tcBorders>
          </w:tcPr>
          <w:p w14:paraId="3CF0E151" w14:textId="77777777" w:rsidR="0091178F" w:rsidRPr="005E73C2" w:rsidRDefault="0091178F" w:rsidP="006D78DE">
            <w:pPr>
              <w:spacing w:line="276" w:lineRule="auto"/>
              <w:jc w:val="left"/>
              <w:rPr>
                <w:rFonts w:asciiTheme="majorBidi" w:hAnsiTheme="majorBidi" w:cstheme="majorBidi"/>
                <w:color w:val="000000" w:themeColor="text1"/>
                <w:sz w:val="18"/>
                <w:szCs w:val="18"/>
              </w:rPr>
            </w:pPr>
            <w:r w:rsidRPr="00C1688C">
              <w:rPr>
                <w:rFonts w:asciiTheme="majorBidi" w:hAnsiTheme="majorBidi" w:cstheme="majorBidi"/>
                <w:color w:val="000000" w:themeColor="text1"/>
                <w:sz w:val="18"/>
                <w:szCs w:val="18"/>
              </w:rPr>
              <w:t>-3.87</w:t>
            </w:r>
            <w:r>
              <w:rPr>
                <w:rFonts w:asciiTheme="majorBidi" w:hAnsiTheme="majorBidi" w:cstheme="majorBidi"/>
                <w:color w:val="000000" w:themeColor="text1"/>
                <w:sz w:val="18"/>
                <w:szCs w:val="18"/>
              </w:rPr>
              <w:t>5</w:t>
            </w:r>
          </w:p>
        </w:tc>
      </w:tr>
      <w:tr w:rsidR="0091178F" w:rsidRPr="005E73C2" w14:paraId="75F0B131" w14:textId="77777777" w:rsidTr="006D78DE">
        <w:tc>
          <w:tcPr>
            <w:tcW w:w="9010" w:type="dxa"/>
            <w:gridSpan w:val="8"/>
            <w:tcBorders>
              <w:top w:val="single" w:sz="6" w:space="0" w:color="auto"/>
            </w:tcBorders>
          </w:tcPr>
          <w:p w14:paraId="346731DD" w14:textId="319E63F4" w:rsidR="0091178F" w:rsidRPr="005E73C2" w:rsidRDefault="0091178F" w:rsidP="006D78DE">
            <w:pPr>
              <w:spacing w:line="276" w:lineRule="auto"/>
              <w:rPr>
                <w:rFonts w:asciiTheme="majorBidi" w:hAnsiTheme="majorBidi" w:cstheme="majorBidi"/>
                <w:color w:val="000000" w:themeColor="text1"/>
                <w:sz w:val="18"/>
                <w:szCs w:val="18"/>
              </w:rPr>
            </w:pPr>
            <w:r w:rsidRPr="007F6189">
              <w:rPr>
                <w:rFonts w:asciiTheme="majorBidi" w:hAnsiTheme="majorBidi" w:cstheme="majorBidi"/>
                <w:color w:val="000000" w:themeColor="text1"/>
                <w:sz w:val="20"/>
                <w:szCs w:val="20"/>
              </w:rPr>
              <w:t xml:space="preserve">Notes: </w:t>
            </w:r>
            <w:r w:rsidR="007A1425" w:rsidRPr="007F6189">
              <w:rPr>
                <w:rFonts w:asciiTheme="majorBidi" w:hAnsiTheme="majorBidi" w:cstheme="majorBidi"/>
                <w:color w:val="000000" w:themeColor="text1"/>
                <w:sz w:val="20"/>
                <w:szCs w:val="20"/>
              </w:rPr>
              <w:t xml:space="preserve">This table presents the descriptive statistics of our sample before and after </w:t>
            </w:r>
            <w:proofErr w:type="spellStart"/>
            <w:r w:rsidR="007A1425" w:rsidRPr="007F6189">
              <w:rPr>
                <w:rFonts w:asciiTheme="majorBidi" w:hAnsiTheme="majorBidi" w:cstheme="majorBidi"/>
                <w:color w:val="000000" w:themeColor="text1"/>
                <w:sz w:val="20"/>
                <w:szCs w:val="20"/>
              </w:rPr>
              <w:t>winsorization</w:t>
            </w:r>
            <w:proofErr w:type="spellEnd"/>
            <w:r w:rsidR="007A1425" w:rsidRPr="007F6189">
              <w:rPr>
                <w:rFonts w:asciiTheme="majorBidi" w:hAnsiTheme="majorBidi" w:cstheme="majorBidi"/>
                <w:color w:val="000000" w:themeColor="text1"/>
                <w:sz w:val="20"/>
                <w:szCs w:val="20"/>
              </w:rPr>
              <w:t xml:space="preserve">. </w:t>
            </w:r>
            <w:r w:rsidRPr="007F6189">
              <w:rPr>
                <w:rFonts w:asciiTheme="majorBidi" w:hAnsiTheme="majorBidi" w:cstheme="majorBidi"/>
                <w:color w:val="000000" w:themeColor="text1"/>
                <w:sz w:val="20"/>
                <w:szCs w:val="20"/>
              </w:rPr>
              <w:t>Variable definitions are reported in Appendix A.</w:t>
            </w:r>
          </w:p>
        </w:tc>
      </w:tr>
    </w:tbl>
    <w:p w14:paraId="2DCA9E7C" w14:textId="77777777" w:rsidR="0091178F" w:rsidRDefault="0091178F" w:rsidP="0091178F">
      <w:pPr>
        <w:rPr>
          <w:rFonts w:asciiTheme="majorBidi" w:hAnsiTheme="majorBidi" w:cstheme="majorBidi"/>
          <w:color w:val="000000" w:themeColor="text1"/>
          <w:sz w:val="24"/>
          <w:szCs w:val="28"/>
        </w:rPr>
      </w:pPr>
    </w:p>
    <w:p w14:paraId="512ED449" w14:textId="50368E81" w:rsidR="0091178F" w:rsidRDefault="0091178F" w:rsidP="0091178F">
      <w:pPr>
        <w:rPr>
          <w:rFonts w:asciiTheme="majorBidi" w:hAnsiTheme="majorBidi" w:cstheme="majorBidi"/>
          <w:color w:val="000000" w:themeColor="text1"/>
          <w:sz w:val="24"/>
          <w:szCs w:val="28"/>
        </w:rPr>
      </w:pPr>
    </w:p>
    <w:p w14:paraId="5805D9FB" w14:textId="77777777" w:rsidR="0091178F" w:rsidRDefault="0091178F">
      <w:pPr>
        <w:widowControl/>
        <w:spacing w:after="160" w:line="259" w:lineRule="auto"/>
        <w:jc w:val="left"/>
        <w:rPr>
          <w:rFonts w:asciiTheme="majorBidi" w:hAnsiTheme="majorBidi" w:cstheme="majorBidi"/>
          <w:color w:val="000000" w:themeColor="text1"/>
          <w:sz w:val="24"/>
          <w:szCs w:val="28"/>
        </w:rPr>
      </w:pPr>
      <w:r>
        <w:rPr>
          <w:rFonts w:asciiTheme="majorBidi" w:hAnsiTheme="majorBidi" w:cstheme="majorBidi"/>
          <w:color w:val="000000" w:themeColor="text1"/>
          <w:sz w:val="24"/>
          <w:szCs w:val="28"/>
        </w:rPr>
        <w:br w:type="page"/>
      </w:r>
    </w:p>
    <w:p w14:paraId="37416F45" w14:textId="77777777" w:rsidR="0091178F" w:rsidRDefault="0091178F" w:rsidP="0091178F">
      <w:pPr>
        <w:widowControl/>
        <w:rPr>
          <w:rFonts w:asciiTheme="majorBidi" w:hAnsiTheme="majorBidi" w:cstheme="majorBidi"/>
          <w:color w:val="000000" w:themeColor="text1"/>
          <w:sz w:val="24"/>
          <w:szCs w:val="28"/>
        </w:rPr>
        <w:sectPr w:rsidR="0091178F" w:rsidSect="00E75A09">
          <w:footerReference w:type="default" r:id="rId11"/>
          <w:pgSz w:w="11906" w:h="16838"/>
          <w:pgMar w:top="1440" w:right="1440" w:bottom="1440" w:left="1440" w:header="708" w:footer="708" w:gutter="0"/>
          <w:pgNumType w:start="0"/>
          <w:cols w:space="708"/>
          <w:docGrid w:linePitch="360"/>
        </w:sectPr>
      </w:pPr>
    </w:p>
    <w:p w14:paraId="02878E34" w14:textId="77777777" w:rsidR="0091178F" w:rsidRPr="005E73C2" w:rsidRDefault="0091178F" w:rsidP="0091178F">
      <w:pPr>
        <w:widowControl/>
        <w:rPr>
          <w:rFonts w:asciiTheme="majorBidi" w:hAnsiTheme="majorBidi" w:cstheme="majorBidi"/>
          <w:color w:val="000000" w:themeColor="text1"/>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134"/>
        <w:gridCol w:w="1134"/>
        <w:gridCol w:w="1134"/>
        <w:gridCol w:w="1134"/>
        <w:gridCol w:w="1134"/>
        <w:gridCol w:w="1134"/>
        <w:gridCol w:w="1134"/>
        <w:gridCol w:w="1134"/>
        <w:gridCol w:w="1134"/>
        <w:gridCol w:w="1134"/>
      </w:tblGrid>
      <w:tr w:rsidR="0091178F" w14:paraId="4C8BB078" w14:textId="77777777" w:rsidTr="006D78DE">
        <w:tc>
          <w:tcPr>
            <w:tcW w:w="13745" w:type="dxa"/>
            <w:gridSpan w:val="11"/>
            <w:tcBorders>
              <w:bottom w:val="single" w:sz="6" w:space="0" w:color="auto"/>
            </w:tcBorders>
          </w:tcPr>
          <w:p w14:paraId="25670203" w14:textId="77777777" w:rsidR="0091178F" w:rsidRPr="007F6189" w:rsidRDefault="0091178F" w:rsidP="006D78DE">
            <w:pPr>
              <w:widowControl/>
              <w:jc w:val="left"/>
              <w:rPr>
                <w:rFonts w:ascii="Times New Roman" w:hAnsi="Times New Roman" w:cs="Times New Roman"/>
                <w:b/>
                <w:bCs/>
                <w:color w:val="000000" w:themeColor="text1"/>
                <w:sz w:val="20"/>
                <w:szCs w:val="20"/>
              </w:rPr>
            </w:pPr>
            <w:r w:rsidRPr="007F6189">
              <w:rPr>
                <w:rFonts w:ascii="Times New Roman" w:hAnsi="Times New Roman" w:cs="Times New Roman"/>
                <w:b/>
                <w:bCs/>
                <w:color w:val="000000" w:themeColor="text1"/>
                <w:sz w:val="20"/>
                <w:szCs w:val="20"/>
              </w:rPr>
              <w:t>Table 3</w:t>
            </w:r>
          </w:p>
          <w:p w14:paraId="7BC4EB81" w14:textId="1548530D" w:rsidR="0091178F" w:rsidRPr="000D488F" w:rsidRDefault="0091178F" w:rsidP="006D78DE">
            <w:pPr>
              <w:widowControl/>
              <w:jc w:val="left"/>
              <w:rPr>
                <w:rFonts w:ascii="Times New Roman" w:hAnsi="Times New Roman" w:cs="Times New Roman"/>
                <w:color w:val="000000" w:themeColor="text1"/>
                <w:sz w:val="18"/>
                <w:szCs w:val="18"/>
              </w:rPr>
            </w:pPr>
            <w:r w:rsidRPr="007F6189">
              <w:rPr>
                <w:rFonts w:ascii="Times New Roman" w:hAnsi="Times New Roman" w:cs="Times New Roman"/>
                <w:color w:val="000000" w:themeColor="text1"/>
                <w:sz w:val="20"/>
                <w:szCs w:val="20"/>
              </w:rPr>
              <w:t>Pearson correlation matrix</w:t>
            </w:r>
            <w:r w:rsidR="00A97628">
              <w:rPr>
                <w:rFonts w:ascii="Times New Roman" w:hAnsi="Times New Roman" w:cs="Times New Roman"/>
                <w:color w:val="000000" w:themeColor="text1"/>
                <w:sz w:val="20"/>
                <w:szCs w:val="20"/>
              </w:rPr>
              <w:t>.</w:t>
            </w:r>
          </w:p>
        </w:tc>
      </w:tr>
      <w:tr w:rsidR="0091178F" w14:paraId="13F38058" w14:textId="77777777" w:rsidTr="006D78DE">
        <w:tc>
          <w:tcPr>
            <w:tcW w:w="13745" w:type="dxa"/>
            <w:gridSpan w:val="11"/>
            <w:tcBorders>
              <w:top w:val="single" w:sz="6" w:space="0" w:color="auto"/>
              <w:bottom w:val="single" w:sz="6" w:space="0" w:color="auto"/>
            </w:tcBorders>
          </w:tcPr>
          <w:p w14:paraId="25FDC822"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Panel A: Variables 1–10</w:t>
            </w:r>
          </w:p>
        </w:tc>
      </w:tr>
      <w:tr w:rsidR="0091178F" w14:paraId="3D82B45F" w14:textId="77777777" w:rsidTr="006D78DE">
        <w:tc>
          <w:tcPr>
            <w:tcW w:w="2405" w:type="dxa"/>
            <w:tcBorders>
              <w:top w:val="single" w:sz="6" w:space="0" w:color="auto"/>
            </w:tcBorders>
          </w:tcPr>
          <w:p w14:paraId="7F8F6816"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Variables </w:t>
            </w:r>
          </w:p>
        </w:tc>
        <w:tc>
          <w:tcPr>
            <w:tcW w:w="1134" w:type="dxa"/>
            <w:tcBorders>
              <w:top w:val="single" w:sz="6" w:space="0" w:color="auto"/>
            </w:tcBorders>
          </w:tcPr>
          <w:p w14:paraId="3B991611"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Borders>
              <w:top w:val="single" w:sz="6" w:space="0" w:color="auto"/>
            </w:tcBorders>
          </w:tcPr>
          <w:p w14:paraId="7AF07099"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6" w:space="0" w:color="auto"/>
            </w:tcBorders>
          </w:tcPr>
          <w:p w14:paraId="751CA965"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6" w:space="0" w:color="auto"/>
            </w:tcBorders>
          </w:tcPr>
          <w:p w14:paraId="679B85CB"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6" w:space="0" w:color="auto"/>
            </w:tcBorders>
          </w:tcPr>
          <w:p w14:paraId="5468B18F"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6" w:space="0" w:color="auto"/>
            </w:tcBorders>
          </w:tcPr>
          <w:p w14:paraId="4F709B9B"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6" w:space="0" w:color="auto"/>
            </w:tcBorders>
          </w:tcPr>
          <w:p w14:paraId="2E0E6F4A"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6" w:space="0" w:color="auto"/>
            </w:tcBorders>
          </w:tcPr>
          <w:p w14:paraId="7AD02586"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1134" w:type="dxa"/>
            <w:tcBorders>
              <w:top w:val="single" w:sz="6" w:space="0" w:color="auto"/>
            </w:tcBorders>
          </w:tcPr>
          <w:p w14:paraId="1E3C7600"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1134" w:type="dxa"/>
            <w:tcBorders>
              <w:top w:val="single" w:sz="6" w:space="0" w:color="auto"/>
            </w:tcBorders>
          </w:tcPr>
          <w:p w14:paraId="10879C45"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91178F" w14:paraId="18353626" w14:textId="77777777" w:rsidTr="006D78DE">
        <w:tc>
          <w:tcPr>
            <w:tcW w:w="2405" w:type="dxa"/>
          </w:tcPr>
          <w:p w14:paraId="5A4E67EB" w14:textId="77777777" w:rsidR="0091178F" w:rsidRPr="000D488F" w:rsidRDefault="0091178F" w:rsidP="006D78DE">
            <w:pPr>
              <w:widowControl/>
              <w:jc w:val="left"/>
              <w:rPr>
                <w:rFonts w:ascii="Times New Roman" w:hAnsi="Times New Roman" w:cs="Times New Roman"/>
                <w:color w:val="000000" w:themeColor="text1"/>
                <w:sz w:val="18"/>
                <w:szCs w:val="18"/>
              </w:rPr>
            </w:pPr>
            <w:r w:rsidRPr="003545C7">
              <w:rPr>
                <w:rFonts w:ascii="Times New Roman" w:hAnsi="Times New Roman" w:cs="Times New Roman"/>
                <w:i/>
                <w:iCs/>
                <w:color w:val="000000" w:themeColor="text1"/>
                <w:sz w:val="18"/>
                <w:szCs w:val="18"/>
              </w:rPr>
              <w:t xml:space="preserve">1. </w:t>
            </w:r>
            <w:r w:rsidRPr="005E73C2">
              <w:rPr>
                <w:rFonts w:asciiTheme="majorBidi" w:hAnsiTheme="majorBidi" w:cstheme="majorBidi"/>
                <w:i/>
                <w:iCs/>
                <w:color w:val="000000" w:themeColor="text1"/>
                <w:sz w:val="18"/>
                <w:szCs w:val="18"/>
              </w:rPr>
              <w:t>IFRSEPS</w:t>
            </w:r>
          </w:p>
        </w:tc>
        <w:tc>
          <w:tcPr>
            <w:tcW w:w="1134" w:type="dxa"/>
          </w:tcPr>
          <w:p w14:paraId="0CF5802F"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41434E6F"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4E24DD7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7517366"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AC5075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43B7750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011D1B4"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6A6D4C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93D05B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5124030"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276EE031" w14:textId="77777777" w:rsidTr="006D78DE">
        <w:tc>
          <w:tcPr>
            <w:tcW w:w="2405" w:type="dxa"/>
          </w:tcPr>
          <w:p w14:paraId="4C6B18EF" w14:textId="66B349E0"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2. </w:t>
            </w:r>
            <w:r w:rsidRPr="005E73C2">
              <w:rPr>
                <w:rFonts w:asciiTheme="majorBidi" w:hAnsiTheme="majorBidi" w:cstheme="majorBidi"/>
                <w:i/>
                <w:iCs/>
                <w:color w:val="000000" w:themeColor="text1"/>
                <w:sz w:val="18"/>
                <w:szCs w:val="18"/>
              </w:rPr>
              <w:t>NONIFRS</w:t>
            </w:r>
          </w:p>
        </w:tc>
        <w:tc>
          <w:tcPr>
            <w:tcW w:w="1134" w:type="dxa"/>
          </w:tcPr>
          <w:p w14:paraId="43A86D74" w14:textId="77777777" w:rsidR="0091178F" w:rsidRPr="000D488F" w:rsidRDefault="0091178F" w:rsidP="006D78DE">
            <w:pPr>
              <w:widowControl/>
              <w:jc w:val="left"/>
              <w:rPr>
                <w:rFonts w:ascii="Times New Roman" w:hAnsi="Times New Roman" w:cs="Times New Roman"/>
                <w:color w:val="000000" w:themeColor="text1"/>
                <w:sz w:val="18"/>
                <w:szCs w:val="18"/>
              </w:rPr>
            </w:pPr>
            <w:r w:rsidRPr="00300754">
              <w:rPr>
                <w:rFonts w:ascii="Times New Roman" w:hAnsi="Times New Roman" w:cs="Times New Roman"/>
                <w:color w:val="000000" w:themeColor="text1"/>
                <w:sz w:val="18"/>
                <w:szCs w:val="18"/>
              </w:rPr>
              <w:t>0.75</w:t>
            </w:r>
            <w:r>
              <w:rPr>
                <w:rFonts w:ascii="Times New Roman" w:hAnsi="Times New Roman" w:cs="Times New Roman"/>
                <w:color w:val="000000" w:themeColor="text1"/>
                <w:sz w:val="18"/>
                <w:szCs w:val="18"/>
              </w:rPr>
              <w:t>9</w:t>
            </w:r>
            <w:r w:rsidRPr="00300754">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p>
        </w:tc>
        <w:tc>
          <w:tcPr>
            <w:tcW w:w="1134" w:type="dxa"/>
          </w:tcPr>
          <w:p w14:paraId="2F7BD2CF"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3C53169B"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5A97161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138669F"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BC5C6EB"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D6CE13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509C005"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2185803"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AF5168C"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4FFFC117" w14:textId="77777777" w:rsidTr="006D78DE">
        <w:tc>
          <w:tcPr>
            <w:tcW w:w="2405" w:type="dxa"/>
          </w:tcPr>
          <w:p w14:paraId="639B6E6C"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3. </w:t>
            </w:r>
            <w:r w:rsidRPr="005E73C2">
              <w:rPr>
                <w:rFonts w:asciiTheme="majorBidi" w:hAnsiTheme="majorBidi" w:cstheme="majorBidi"/>
                <w:i/>
                <w:iCs/>
                <w:color w:val="000000" w:themeColor="text1"/>
                <w:sz w:val="18"/>
                <w:szCs w:val="18"/>
              </w:rPr>
              <w:t>EXCLUSION</w:t>
            </w:r>
          </w:p>
        </w:tc>
        <w:tc>
          <w:tcPr>
            <w:tcW w:w="1134" w:type="dxa"/>
          </w:tcPr>
          <w:p w14:paraId="5CE80F08" w14:textId="77777777" w:rsidR="0091178F" w:rsidRPr="000D488F" w:rsidRDefault="0091178F" w:rsidP="006D78DE">
            <w:pPr>
              <w:widowControl/>
              <w:jc w:val="left"/>
              <w:rPr>
                <w:rFonts w:ascii="Times New Roman" w:hAnsi="Times New Roman" w:cs="Times New Roman"/>
                <w:color w:val="000000" w:themeColor="text1"/>
                <w:sz w:val="18"/>
                <w:szCs w:val="18"/>
              </w:rPr>
            </w:pPr>
            <w:r w:rsidRPr="00B04E77">
              <w:rPr>
                <w:rFonts w:ascii="Times New Roman" w:hAnsi="Times New Roman" w:cs="Times New Roman"/>
                <w:color w:val="000000" w:themeColor="text1"/>
                <w:sz w:val="18"/>
                <w:szCs w:val="18"/>
              </w:rPr>
              <w:t>0.105</w:t>
            </w:r>
            <w:r>
              <w:rPr>
                <w:rFonts w:ascii="Times New Roman" w:hAnsi="Times New Roman" w:cs="Times New Roman"/>
                <w:color w:val="000000" w:themeColor="text1"/>
                <w:sz w:val="18"/>
                <w:szCs w:val="18"/>
              </w:rPr>
              <w:t>*</w:t>
            </w:r>
            <w:r w:rsidRPr="00B04E77">
              <w:rPr>
                <w:rFonts w:ascii="Times New Roman" w:hAnsi="Times New Roman" w:cs="Times New Roman"/>
                <w:color w:val="000000" w:themeColor="text1"/>
                <w:sz w:val="18"/>
                <w:szCs w:val="18"/>
              </w:rPr>
              <w:t>*</w:t>
            </w:r>
          </w:p>
        </w:tc>
        <w:tc>
          <w:tcPr>
            <w:tcW w:w="1134" w:type="dxa"/>
          </w:tcPr>
          <w:p w14:paraId="4D959207"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0.28</w:t>
            </w:r>
            <w:r>
              <w:rPr>
                <w:rFonts w:ascii="Times New Roman" w:hAnsi="Times New Roman" w:cs="Times New Roman"/>
                <w:color w:val="000000" w:themeColor="text1"/>
                <w:sz w:val="18"/>
                <w:szCs w:val="18"/>
              </w:rPr>
              <w:t>4***</w:t>
            </w:r>
          </w:p>
        </w:tc>
        <w:tc>
          <w:tcPr>
            <w:tcW w:w="1134" w:type="dxa"/>
          </w:tcPr>
          <w:p w14:paraId="7E0FF480"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4523CA29"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90F63E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E77988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D23ABE4"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C8627C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61B141A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68318D1F"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3776D7C0" w14:textId="77777777" w:rsidTr="006D78DE">
        <w:tc>
          <w:tcPr>
            <w:tcW w:w="2405" w:type="dxa"/>
          </w:tcPr>
          <w:p w14:paraId="219F7F9A" w14:textId="7B09C074"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4. </w:t>
            </w:r>
            <w:r w:rsidR="00C325D8">
              <w:rPr>
                <w:rFonts w:asciiTheme="majorBidi" w:hAnsiTheme="majorBidi" w:cstheme="majorBidi"/>
                <w:i/>
                <w:iCs/>
                <w:color w:val="000000" w:themeColor="text1"/>
                <w:sz w:val="18"/>
                <w:szCs w:val="18"/>
              </w:rPr>
              <w:t>NARCIS</w:t>
            </w:r>
          </w:p>
        </w:tc>
        <w:tc>
          <w:tcPr>
            <w:tcW w:w="1134" w:type="dxa"/>
          </w:tcPr>
          <w:p w14:paraId="7EEEEE2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31566">
              <w:rPr>
                <w:rFonts w:ascii="Times New Roman" w:hAnsi="Times New Roman" w:cs="Times New Roman"/>
                <w:color w:val="000000" w:themeColor="text1"/>
                <w:sz w:val="18"/>
                <w:szCs w:val="18"/>
              </w:rPr>
              <w:t>-0.10</w:t>
            </w:r>
            <w:r>
              <w:rPr>
                <w:rFonts w:ascii="Times New Roman" w:hAnsi="Times New Roman" w:cs="Times New Roman"/>
                <w:color w:val="000000" w:themeColor="text1"/>
                <w:sz w:val="18"/>
                <w:szCs w:val="18"/>
              </w:rPr>
              <w:t>4</w:t>
            </w:r>
            <w:r w:rsidRPr="00D31566">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p>
        </w:tc>
        <w:tc>
          <w:tcPr>
            <w:tcW w:w="1134" w:type="dxa"/>
          </w:tcPr>
          <w:p w14:paraId="2F33BC71"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-0.069</w:t>
            </w:r>
          </w:p>
        </w:tc>
        <w:tc>
          <w:tcPr>
            <w:tcW w:w="1134" w:type="dxa"/>
          </w:tcPr>
          <w:p w14:paraId="6ED10634"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-0.00</w:t>
            </w:r>
            <w:r>
              <w:rPr>
                <w:rFonts w:ascii="Times New Roman" w:hAnsi="Times New Roman" w:cs="Times New Roman"/>
                <w:color w:val="000000" w:themeColor="text1"/>
                <w:sz w:val="18"/>
                <w:szCs w:val="18"/>
              </w:rPr>
              <w:t>6</w:t>
            </w:r>
          </w:p>
        </w:tc>
        <w:tc>
          <w:tcPr>
            <w:tcW w:w="1134" w:type="dxa"/>
          </w:tcPr>
          <w:p w14:paraId="63E7D9D9"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509D357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A191C0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056084B"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F8922D4"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B09E2F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55560FF"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1F7EB843" w14:textId="77777777" w:rsidTr="006D78DE">
        <w:tc>
          <w:tcPr>
            <w:tcW w:w="2405" w:type="dxa"/>
          </w:tcPr>
          <w:p w14:paraId="653FB4AB"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5. </w:t>
            </w:r>
            <w:r w:rsidRPr="005E73C2">
              <w:rPr>
                <w:rFonts w:asciiTheme="majorBidi" w:hAnsiTheme="majorBidi" w:cstheme="majorBidi"/>
                <w:i/>
                <w:iCs/>
                <w:color w:val="000000" w:themeColor="text1"/>
                <w:sz w:val="18"/>
                <w:szCs w:val="18"/>
              </w:rPr>
              <w:t>ROA</w:t>
            </w:r>
          </w:p>
        </w:tc>
        <w:tc>
          <w:tcPr>
            <w:tcW w:w="1134" w:type="dxa"/>
          </w:tcPr>
          <w:p w14:paraId="5802EEBE" w14:textId="77777777" w:rsidR="0091178F" w:rsidRPr="000D488F" w:rsidRDefault="0091178F" w:rsidP="006D78DE">
            <w:pPr>
              <w:widowControl/>
              <w:jc w:val="left"/>
              <w:rPr>
                <w:rFonts w:ascii="Times New Roman" w:hAnsi="Times New Roman" w:cs="Times New Roman"/>
                <w:color w:val="000000" w:themeColor="text1"/>
                <w:sz w:val="18"/>
                <w:szCs w:val="18"/>
              </w:rPr>
            </w:pPr>
            <w:r w:rsidRPr="00342D38">
              <w:rPr>
                <w:rFonts w:ascii="Times New Roman" w:hAnsi="Times New Roman" w:cs="Times New Roman"/>
                <w:color w:val="000000" w:themeColor="text1"/>
                <w:sz w:val="18"/>
                <w:szCs w:val="18"/>
              </w:rPr>
              <w:t>0.134</w:t>
            </w:r>
            <w:r>
              <w:rPr>
                <w:rFonts w:ascii="Times New Roman" w:hAnsi="Times New Roman" w:cs="Times New Roman"/>
                <w:color w:val="000000" w:themeColor="text1"/>
                <w:sz w:val="18"/>
                <w:szCs w:val="18"/>
              </w:rPr>
              <w:t>**</w:t>
            </w:r>
            <w:r w:rsidRPr="00342D38">
              <w:rPr>
                <w:rFonts w:ascii="Times New Roman" w:hAnsi="Times New Roman" w:cs="Times New Roman"/>
                <w:color w:val="000000" w:themeColor="text1"/>
                <w:sz w:val="18"/>
                <w:szCs w:val="18"/>
              </w:rPr>
              <w:t>*</w:t>
            </w:r>
          </w:p>
        </w:tc>
        <w:tc>
          <w:tcPr>
            <w:tcW w:w="1134" w:type="dxa"/>
          </w:tcPr>
          <w:p w14:paraId="038DDB13"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0.138</w:t>
            </w:r>
            <w:r>
              <w:rPr>
                <w:rFonts w:ascii="Times New Roman" w:hAnsi="Times New Roman" w:cs="Times New Roman"/>
                <w:color w:val="000000" w:themeColor="text1"/>
                <w:sz w:val="18"/>
                <w:szCs w:val="18"/>
              </w:rPr>
              <w:t>***</w:t>
            </w:r>
          </w:p>
        </w:tc>
        <w:tc>
          <w:tcPr>
            <w:tcW w:w="1134" w:type="dxa"/>
          </w:tcPr>
          <w:p w14:paraId="741A1887"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-0.162</w:t>
            </w:r>
            <w:r>
              <w:rPr>
                <w:rFonts w:ascii="Times New Roman" w:hAnsi="Times New Roman" w:cs="Times New Roman"/>
                <w:color w:val="000000" w:themeColor="text1"/>
                <w:sz w:val="18"/>
                <w:szCs w:val="18"/>
              </w:rPr>
              <w:t>***</w:t>
            </w:r>
          </w:p>
        </w:tc>
        <w:tc>
          <w:tcPr>
            <w:tcW w:w="1134" w:type="dxa"/>
          </w:tcPr>
          <w:p w14:paraId="282BEED4"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-0.048</w:t>
            </w:r>
          </w:p>
        </w:tc>
        <w:tc>
          <w:tcPr>
            <w:tcW w:w="1134" w:type="dxa"/>
          </w:tcPr>
          <w:p w14:paraId="3875F131"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1FB2A4CB"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368B7DF"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3629B5D"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8EEFED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3B3B04A"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4B4825E0" w14:textId="77777777" w:rsidTr="006D78DE">
        <w:tc>
          <w:tcPr>
            <w:tcW w:w="2405" w:type="dxa"/>
          </w:tcPr>
          <w:p w14:paraId="5B6FB0B7" w14:textId="40E7C9F4"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6. </w:t>
            </w:r>
            <w:r w:rsidRPr="005E73C2">
              <w:rPr>
                <w:rFonts w:asciiTheme="majorBidi" w:hAnsiTheme="majorBidi" w:cstheme="majorBidi"/>
                <w:i/>
                <w:iCs/>
                <w:color w:val="000000" w:themeColor="text1"/>
                <w:sz w:val="18"/>
                <w:szCs w:val="18"/>
              </w:rPr>
              <w:t>LEV</w:t>
            </w:r>
          </w:p>
        </w:tc>
        <w:tc>
          <w:tcPr>
            <w:tcW w:w="1134" w:type="dxa"/>
          </w:tcPr>
          <w:p w14:paraId="66DB362B" w14:textId="77777777" w:rsidR="0091178F" w:rsidRPr="000D488F" w:rsidRDefault="0091178F" w:rsidP="006D78DE">
            <w:pPr>
              <w:widowControl/>
              <w:jc w:val="left"/>
              <w:rPr>
                <w:rFonts w:ascii="Times New Roman" w:hAnsi="Times New Roman" w:cs="Times New Roman"/>
                <w:color w:val="000000" w:themeColor="text1"/>
                <w:sz w:val="18"/>
                <w:szCs w:val="18"/>
              </w:rPr>
            </w:pPr>
            <w:r w:rsidRPr="00342D38">
              <w:rPr>
                <w:rFonts w:ascii="Times New Roman" w:hAnsi="Times New Roman" w:cs="Times New Roman"/>
                <w:color w:val="000000" w:themeColor="text1"/>
                <w:sz w:val="18"/>
                <w:szCs w:val="18"/>
              </w:rPr>
              <w:t>0.10</w:t>
            </w:r>
            <w:r>
              <w:rPr>
                <w:rFonts w:ascii="Times New Roman" w:hAnsi="Times New Roman" w:cs="Times New Roman"/>
                <w:color w:val="000000" w:themeColor="text1"/>
                <w:sz w:val="18"/>
                <w:szCs w:val="18"/>
              </w:rPr>
              <w:t>3</w:t>
            </w:r>
            <w:r w:rsidRPr="00342D3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p>
        </w:tc>
        <w:tc>
          <w:tcPr>
            <w:tcW w:w="1134" w:type="dxa"/>
          </w:tcPr>
          <w:p w14:paraId="02B9F9B9"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0.14</w:t>
            </w:r>
            <w:r>
              <w:rPr>
                <w:rFonts w:ascii="Times New Roman" w:hAnsi="Times New Roman" w:cs="Times New Roman"/>
                <w:color w:val="000000" w:themeColor="text1"/>
                <w:sz w:val="18"/>
                <w:szCs w:val="18"/>
              </w:rPr>
              <w:t>4***</w:t>
            </w:r>
          </w:p>
        </w:tc>
        <w:tc>
          <w:tcPr>
            <w:tcW w:w="1134" w:type="dxa"/>
          </w:tcPr>
          <w:p w14:paraId="33ADE97A"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0.106</w:t>
            </w:r>
            <w:r>
              <w:rPr>
                <w:rFonts w:ascii="Times New Roman" w:hAnsi="Times New Roman" w:cs="Times New Roman"/>
                <w:color w:val="000000" w:themeColor="text1"/>
                <w:sz w:val="18"/>
                <w:szCs w:val="18"/>
              </w:rPr>
              <w:t>**</w:t>
            </w:r>
          </w:p>
        </w:tc>
        <w:tc>
          <w:tcPr>
            <w:tcW w:w="1134" w:type="dxa"/>
          </w:tcPr>
          <w:p w14:paraId="31E2BACD"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-0.116</w:t>
            </w:r>
            <w:r>
              <w:rPr>
                <w:rFonts w:ascii="Times New Roman" w:hAnsi="Times New Roman" w:cs="Times New Roman"/>
                <w:color w:val="000000" w:themeColor="text1"/>
                <w:sz w:val="18"/>
                <w:szCs w:val="18"/>
              </w:rPr>
              <w:t>***</w:t>
            </w:r>
          </w:p>
        </w:tc>
        <w:tc>
          <w:tcPr>
            <w:tcW w:w="1134" w:type="dxa"/>
          </w:tcPr>
          <w:p w14:paraId="62250DE8"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0.036</w:t>
            </w:r>
          </w:p>
        </w:tc>
        <w:tc>
          <w:tcPr>
            <w:tcW w:w="1134" w:type="dxa"/>
          </w:tcPr>
          <w:p w14:paraId="42936967"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2C3F7261"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913C48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66798AF"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6F592E0A"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5664E43C" w14:textId="77777777" w:rsidTr="006D78DE">
        <w:tc>
          <w:tcPr>
            <w:tcW w:w="2405" w:type="dxa"/>
          </w:tcPr>
          <w:p w14:paraId="29E1E01D" w14:textId="5B1FCE7B"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7. </w:t>
            </w:r>
            <w:r w:rsidR="009E605C">
              <w:rPr>
                <w:rFonts w:asciiTheme="majorBidi" w:hAnsiTheme="majorBidi" w:cstheme="majorBidi"/>
                <w:i/>
                <w:iCs/>
                <w:color w:val="000000" w:themeColor="text1"/>
                <w:sz w:val="18"/>
                <w:szCs w:val="18"/>
              </w:rPr>
              <w:t>SG</w:t>
            </w:r>
          </w:p>
        </w:tc>
        <w:tc>
          <w:tcPr>
            <w:tcW w:w="1134" w:type="dxa"/>
          </w:tcPr>
          <w:p w14:paraId="595F74ED" w14:textId="77777777" w:rsidR="0091178F" w:rsidRPr="000D488F" w:rsidRDefault="0091178F" w:rsidP="006D78DE">
            <w:pPr>
              <w:widowControl/>
              <w:jc w:val="left"/>
              <w:rPr>
                <w:rFonts w:ascii="Times New Roman" w:hAnsi="Times New Roman" w:cs="Times New Roman"/>
                <w:color w:val="000000" w:themeColor="text1"/>
                <w:sz w:val="18"/>
                <w:szCs w:val="18"/>
              </w:rPr>
            </w:pPr>
            <w:r w:rsidRPr="00CA2D40">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6</w:t>
            </w:r>
          </w:p>
        </w:tc>
        <w:tc>
          <w:tcPr>
            <w:tcW w:w="1134" w:type="dxa"/>
          </w:tcPr>
          <w:p w14:paraId="3E15915F"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1</w:t>
            </w:r>
          </w:p>
        </w:tc>
        <w:tc>
          <w:tcPr>
            <w:tcW w:w="1134" w:type="dxa"/>
          </w:tcPr>
          <w:p w14:paraId="5C76CB38"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7</w:t>
            </w:r>
          </w:p>
        </w:tc>
        <w:tc>
          <w:tcPr>
            <w:tcW w:w="1134" w:type="dxa"/>
          </w:tcPr>
          <w:p w14:paraId="545EF7C9"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40***</w:t>
            </w:r>
          </w:p>
        </w:tc>
        <w:tc>
          <w:tcPr>
            <w:tcW w:w="1134" w:type="dxa"/>
          </w:tcPr>
          <w:p w14:paraId="5A54CF0E"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0.06</w:t>
            </w:r>
            <w:r>
              <w:rPr>
                <w:rFonts w:ascii="Times New Roman" w:hAnsi="Times New Roman" w:cs="Times New Roman"/>
                <w:color w:val="000000" w:themeColor="text1"/>
                <w:sz w:val="18"/>
                <w:szCs w:val="18"/>
              </w:rPr>
              <w:t>7</w:t>
            </w:r>
          </w:p>
        </w:tc>
        <w:tc>
          <w:tcPr>
            <w:tcW w:w="1134" w:type="dxa"/>
          </w:tcPr>
          <w:p w14:paraId="029841A7"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0.008</w:t>
            </w:r>
          </w:p>
        </w:tc>
        <w:tc>
          <w:tcPr>
            <w:tcW w:w="1134" w:type="dxa"/>
          </w:tcPr>
          <w:p w14:paraId="261B56EC"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01E2588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636A2341"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9D75F03"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7DF4AE78" w14:textId="77777777" w:rsidTr="006D78DE">
        <w:tc>
          <w:tcPr>
            <w:tcW w:w="2405" w:type="dxa"/>
          </w:tcPr>
          <w:p w14:paraId="7794AC3B" w14:textId="09520DE8"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8. </w:t>
            </w:r>
            <w:r w:rsidRPr="005E73C2">
              <w:rPr>
                <w:rFonts w:asciiTheme="majorBidi" w:hAnsiTheme="majorBidi" w:cstheme="majorBidi"/>
                <w:i/>
                <w:iCs/>
                <w:color w:val="000000" w:themeColor="text1"/>
                <w:sz w:val="18"/>
                <w:szCs w:val="18"/>
              </w:rPr>
              <w:t>AGE</w:t>
            </w:r>
          </w:p>
        </w:tc>
        <w:tc>
          <w:tcPr>
            <w:tcW w:w="1134" w:type="dxa"/>
          </w:tcPr>
          <w:p w14:paraId="1DA05CDB" w14:textId="77777777" w:rsidR="0091178F" w:rsidRPr="000D488F" w:rsidRDefault="0091178F" w:rsidP="006D78DE">
            <w:pPr>
              <w:widowControl/>
              <w:jc w:val="left"/>
              <w:rPr>
                <w:rFonts w:ascii="Times New Roman" w:hAnsi="Times New Roman" w:cs="Times New Roman"/>
                <w:color w:val="000000" w:themeColor="text1"/>
                <w:sz w:val="18"/>
                <w:szCs w:val="18"/>
              </w:rPr>
            </w:pPr>
            <w:r w:rsidRPr="00CA2D40">
              <w:rPr>
                <w:rFonts w:ascii="Times New Roman" w:hAnsi="Times New Roman" w:cs="Times New Roman"/>
                <w:color w:val="000000" w:themeColor="text1"/>
                <w:sz w:val="18"/>
                <w:szCs w:val="18"/>
              </w:rPr>
              <w:t>0.122</w:t>
            </w:r>
            <w:r>
              <w:rPr>
                <w:rFonts w:ascii="Times New Roman" w:hAnsi="Times New Roman" w:cs="Times New Roman"/>
                <w:color w:val="000000" w:themeColor="text1"/>
                <w:sz w:val="18"/>
                <w:szCs w:val="18"/>
              </w:rPr>
              <w:t>**</w:t>
            </w:r>
            <w:r w:rsidRPr="00CA2D40">
              <w:rPr>
                <w:rFonts w:ascii="Times New Roman" w:hAnsi="Times New Roman" w:cs="Times New Roman"/>
                <w:color w:val="000000" w:themeColor="text1"/>
                <w:sz w:val="18"/>
                <w:szCs w:val="18"/>
              </w:rPr>
              <w:t>*</w:t>
            </w:r>
          </w:p>
        </w:tc>
        <w:tc>
          <w:tcPr>
            <w:tcW w:w="1134" w:type="dxa"/>
          </w:tcPr>
          <w:p w14:paraId="2C16F622"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0.197</w:t>
            </w:r>
            <w:r>
              <w:rPr>
                <w:rFonts w:ascii="Times New Roman" w:hAnsi="Times New Roman" w:cs="Times New Roman"/>
                <w:color w:val="000000" w:themeColor="text1"/>
                <w:sz w:val="18"/>
                <w:szCs w:val="18"/>
              </w:rPr>
              <w:t>***</w:t>
            </w:r>
          </w:p>
        </w:tc>
        <w:tc>
          <w:tcPr>
            <w:tcW w:w="1134" w:type="dxa"/>
          </w:tcPr>
          <w:p w14:paraId="07ED2F27"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0.105</w:t>
            </w:r>
            <w:r>
              <w:rPr>
                <w:rFonts w:ascii="Times New Roman" w:hAnsi="Times New Roman" w:cs="Times New Roman"/>
                <w:color w:val="000000" w:themeColor="text1"/>
                <w:sz w:val="18"/>
                <w:szCs w:val="18"/>
              </w:rPr>
              <w:t>**</w:t>
            </w:r>
          </w:p>
        </w:tc>
        <w:tc>
          <w:tcPr>
            <w:tcW w:w="1134" w:type="dxa"/>
          </w:tcPr>
          <w:p w14:paraId="31369282"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-0.030</w:t>
            </w:r>
          </w:p>
        </w:tc>
        <w:tc>
          <w:tcPr>
            <w:tcW w:w="1134" w:type="dxa"/>
          </w:tcPr>
          <w:p w14:paraId="159F4691"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0.006</w:t>
            </w:r>
          </w:p>
        </w:tc>
        <w:tc>
          <w:tcPr>
            <w:tcW w:w="1134" w:type="dxa"/>
          </w:tcPr>
          <w:p w14:paraId="1A62EB24"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0.10</w:t>
            </w:r>
            <w:r>
              <w:rPr>
                <w:rFonts w:ascii="Times New Roman" w:hAnsi="Times New Roman" w:cs="Times New Roman"/>
                <w:color w:val="000000" w:themeColor="text1"/>
                <w:sz w:val="18"/>
                <w:szCs w:val="18"/>
              </w:rPr>
              <w:t>3**</w:t>
            </w:r>
          </w:p>
        </w:tc>
        <w:tc>
          <w:tcPr>
            <w:tcW w:w="1134" w:type="dxa"/>
          </w:tcPr>
          <w:p w14:paraId="5FE37BF9"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-0.04</w:t>
            </w:r>
            <w:r>
              <w:rPr>
                <w:rFonts w:ascii="Times New Roman" w:hAnsi="Times New Roman" w:cs="Times New Roman"/>
                <w:color w:val="000000" w:themeColor="text1"/>
                <w:sz w:val="18"/>
                <w:szCs w:val="18"/>
              </w:rPr>
              <w:t>3</w:t>
            </w:r>
          </w:p>
        </w:tc>
        <w:tc>
          <w:tcPr>
            <w:tcW w:w="1134" w:type="dxa"/>
          </w:tcPr>
          <w:p w14:paraId="3517ECA1"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71DDA8E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5FA5FD56"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72247002" w14:textId="77777777" w:rsidTr="006D78DE">
        <w:tc>
          <w:tcPr>
            <w:tcW w:w="2405" w:type="dxa"/>
          </w:tcPr>
          <w:p w14:paraId="2ED636D1" w14:textId="619C1AA1"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9. </w:t>
            </w:r>
            <w:r w:rsidR="00C325D8">
              <w:rPr>
                <w:rFonts w:asciiTheme="majorBidi" w:hAnsiTheme="majorBidi" w:cstheme="majorBidi"/>
                <w:i/>
                <w:iCs/>
                <w:color w:val="000000" w:themeColor="text1"/>
                <w:sz w:val="18"/>
                <w:szCs w:val="18"/>
              </w:rPr>
              <w:t>SIZE</w:t>
            </w:r>
          </w:p>
        </w:tc>
        <w:tc>
          <w:tcPr>
            <w:tcW w:w="1134" w:type="dxa"/>
          </w:tcPr>
          <w:p w14:paraId="6B01C844" w14:textId="77777777" w:rsidR="0091178F" w:rsidRPr="000D488F" w:rsidRDefault="0091178F" w:rsidP="006D78DE">
            <w:pPr>
              <w:widowControl/>
              <w:jc w:val="left"/>
              <w:rPr>
                <w:rFonts w:ascii="Times New Roman" w:hAnsi="Times New Roman" w:cs="Times New Roman"/>
                <w:color w:val="000000" w:themeColor="text1"/>
                <w:sz w:val="18"/>
                <w:szCs w:val="18"/>
              </w:rPr>
            </w:pPr>
            <w:r w:rsidRPr="00C17A20">
              <w:rPr>
                <w:rFonts w:ascii="Times New Roman" w:hAnsi="Times New Roman" w:cs="Times New Roman"/>
                <w:color w:val="000000" w:themeColor="text1"/>
                <w:sz w:val="18"/>
                <w:szCs w:val="18"/>
              </w:rPr>
              <w:t>0.402*</w:t>
            </w:r>
            <w:r>
              <w:rPr>
                <w:rFonts w:ascii="Times New Roman" w:hAnsi="Times New Roman" w:cs="Times New Roman"/>
                <w:color w:val="000000" w:themeColor="text1"/>
                <w:sz w:val="18"/>
                <w:szCs w:val="18"/>
              </w:rPr>
              <w:t>**</w:t>
            </w:r>
          </w:p>
        </w:tc>
        <w:tc>
          <w:tcPr>
            <w:tcW w:w="1134" w:type="dxa"/>
          </w:tcPr>
          <w:p w14:paraId="3E6CB876"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0.508</w:t>
            </w:r>
            <w:r>
              <w:rPr>
                <w:rFonts w:ascii="Times New Roman" w:hAnsi="Times New Roman" w:cs="Times New Roman"/>
                <w:color w:val="000000" w:themeColor="text1"/>
                <w:sz w:val="18"/>
                <w:szCs w:val="18"/>
              </w:rPr>
              <w:t>***</w:t>
            </w:r>
          </w:p>
        </w:tc>
        <w:tc>
          <w:tcPr>
            <w:tcW w:w="1134" w:type="dxa"/>
          </w:tcPr>
          <w:p w14:paraId="6BED6619"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0.15</w:t>
            </w:r>
            <w:r>
              <w:rPr>
                <w:rFonts w:ascii="Times New Roman" w:hAnsi="Times New Roman" w:cs="Times New Roman"/>
                <w:color w:val="000000" w:themeColor="text1"/>
                <w:sz w:val="18"/>
                <w:szCs w:val="18"/>
              </w:rPr>
              <w:t>4***</w:t>
            </w:r>
          </w:p>
        </w:tc>
        <w:tc>
          <w:tcPr>
            <w:tcW w:w="1134" w:type="dxa"/>
          </w:tcPr>
          <w:p w14:paraId="0D72C81E"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3</w:t>
            </w:r>
          </w:p>
        </w:tc>
        <w:tc>
          <w:tcPr>
            <w:tcW w:w="1134" w:type="dxa"/>
          </w:tcPr>
          <w:p w14:paraId="0773E445"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0.056</w:t>
            </w:r>
          </w:p>
        </w:tc>
        <w:tc>
          <w:tcPr>
            <w:tcW w:w="1134" w:type="dxa"/>
          </w:tcPr>
          <w:p w14:paraId="0408D57B"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0.192</w:t>
            </w:r>
            <w:r>
              <w:rPr>
                <w:rFonts w:ascii="Times New Roman" w:hAnsi="Times New Roman" w:cs="Times New Roman"/>
                <w:color w:val="000000" w:themeColor="text1"/>
                <w:sz w:val="18"/>
                <w:szCs w:val="18"/>
              </w:rPr>
              <w:t>***</w:t>
            </w:r>
          </w:p>
        </w:tc>
        <w:tc>
          <w:tcPr>
            <w:tcW w:w="1134" w:type="dxa"/>
          </w:tcPr>
          <w:p w14:paraId="61F27BD1"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0.066</w:t>
            </w:r>
          </w:p>
        </w:tc>
        <w:tc>
          <w:tcPr>
            <w:tcW w:w="1134" w:type="dxa"/>
          </w:tcPr>
          <w:p w14:paraId="2E84DA3E"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0.232</w:t>
            </w:r>
            <w:r>
              <w:rPr>
                <w:rFonts w:ascii="Times New Roman" w:hAnsi="Times New Roman" w:cs="Times New Roman"/>
                <w:color w:val="000000" w:themeColor="text1"/>
                <w:sz w:val="18"/>
                <w:szCs w:val="18"/>
              </w:rPr>
              <w:t>***</w:t>
            </w:r>
          </w:p>
        </w:tc>
        <w:tc>
          <w:tcPr>
            <w:tcW w:w="1134" w:type="dxa"/>
          </w:tcPr>
          <w:p w14:paraId="39B543C8"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79F61F87"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5DEF2FA3" w14:textId="77777777" w:rsidTr="006D78DE">
        <w:tc>
          <w:tcPr>
            <w:tcW w:w="2405" w:type="dxa"/>
          </w:tcPr>
          <w:p w14:paraId="7AE9E134" w14:textId="3CB67F49"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10. </w:t>
            </w:r>
            <w:r w:rsidRPr="005E73C2">
              <w:rPr>
                <w:rFonts w:asciiTheme="majorBidi" w:hAnsiTheme="majorBidi" w:cstheme="majorBidi"/>
                <w:i/>
                <w:iCs/>
                <w:color w:val="000000" w:themeColor="text1"/>
                <w:sz w:val="18"/>
                <w:szCs w:val="18"/>
              </w:rPr>
              <w:t>ACCRUAL</w:t>
            </w:r>
          </w:p>
        </w:tc>
        <w:tc>
          <w:tcPr>
            <w:tcW w:w="1134" w:type="dxa"/>
          </w:tcPr>
          <w:p w14:paraId="7971780E" w14:textId="77777777" w:rsidR="0091178F" w:rsidRPr="000D488F" w:rsidRDefault="0091178F" w:rsidP="006D78DE">
            <w:pPr>
              <w:widowControl/>
              <w:jc w:val="left"/>
              <w:rPr>
                <w:rFonts w:ascii="Times New Roman" w:hAnsi="Times New Roman" w:cs="Times New Roman"/>
                <w:color w:val="000000" w:themeColor="text1"/>
                <w:sz w:val="18"/>
                <w:szCs w:val="18"/>
              </w:rPr>
            </w:pPr>
            <w:r w:rsidRPr="00C17A20">
              <w:rPr>
                <w:rFonts w:ascii="Times New Roman" w:hAnsi="Times New Roman" w:cs="Times New Roman"/>
                <w:color w:val="000000" w:themeColor="text1"/>
                <w:sz w:val="18"/>
                <w:szCs w:val="18"/>
              </w:rPr>
              <w:t>-0.001</w:t>
            </w:r>
          </w:p>
        </w:tc>
        <w:tc>
          <w:tcPr>
            <w:tcW w:w="1134" w:type="dxa"/>
          </w:tcPr>
          <w:p w14:paraId="1117AE25"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0.011</w:t>
            </w:r>
          </w:p>
        </w:tc>
        <w:tc>
          <w:tcPr>
            <w:tcW w:w="1134" w:type="dxa"/>
          </w:tcPr>
          <w:p w14:paraId="54807B0F"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-0.17</w:t>
            </w:r>
            <w:r>
              <w:rPr>
                <w:rFonts w:ascii="Times New Roman" w:hAnsi="Times New Roman" w:cs="Times New Roman"/>
                <w:color w:val="000000" w:themeColor="text1"/>
                <w:sz w:val="18"/>
                <w:szCs w:val="18"/>
              </w:rPr>
              <w:t>7***</w:t>
            </w:r>
          </w:p>
        </w:tc>
        <w:tc>
          <w:tcPr>
            <w:tcW w:w="1134" w:type="dxa"/>
          </w:tcPr>
          <w:p w14:paraId="5FFDE270"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-0.059</w:t>
            </w:r>
          </w:p>
        </w:tc>
        <w:tc>
          <w:tcPr>
            <w:tcW w:w="1134" w:type="dxa"/>
          </w:tcPr>
          <w:p w14:paraId="29E4C36C"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0.157</w:t>
            </w:r>
            <w:r>
              <w:rPr>
                <w:rFonts w:ascii="Times New Roman" w:hAnsi="Times New Roman" w:cs="Times New Roman"/>
                <w:color w:val="000000" w:themeColor="text1"/>
                <w:sz w:val="18"/>
                <w:szCs w:val="18"/>
              </w:rPr>
              <w:t>***</w:t>
            </w:r>
          </w:p>
        </w:tc>
        <w:tc>
          <w:tcPr>
            <w:tcW w:w="1134" w:type="dxa"/>
          </w:tcPr>
          <w:p w14:paraId="4829CCD1"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-0.15</w:t>
            </w:r>
            <w:r>
              <w:rPr>
                <w:rFonts w:ascii="Times New Roman" w:hAnsi="Times New Roman" w:cs="Times New Roman"/>
                <w:color w:val="000000" w:themeColor="text1"/>
                <w:sz w:val="18"/>
                <w:szCs w:val="18"/>
              </w:rPr>
              <w:t>6***</w:t>
            </w:r>
          </w:p>
        </w:tc>
        <w:tc>
          <w:tcPr>
            <w:tcW w:w="1134" w:type="dxa"/>
          </w:tcPr>
          <w:p w14:paraId="06A34BD1"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0.071</w:t>
            </w:r>
          </w:p>
        </w:tc>
        <w:tc>
          <w:tcPr>
            <w:tcW w:w="1134" w:type="dxa"/>
          </w:tcPr>
          <w:p w14:paraId="41A034E4"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-0.015</w:t>
            </w:r>
          </w:p>
        </w:tc>
        <w:tc>
          <w:tcPr>
            <w:tcW w:w="1134" w:type="dxa"/>
          </w:tcPr>
          <w:p w14:paraId="3A19EFDC"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0.033</w:t>
            </w:r>
          </w:p>
        </w:tc>
        <w:tc>
          <w:tcPr>
            <w:tcW w:w="1134" w:type="dxa"/>
          </w:tcPr>
          <w:p w14:paraId="1013AD62"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r>
      <w:tr w:rsidR="0091178F" w14:paraId="3E60FD66" w14:textId="77777777" w:rsidTr="006D78DE">
        <w:tc>
          <w:tcPr>
            <w:tcW w:w="2405" w:type="dxa"/>
          </w:tcPr>
          <w:p w14:paraId="3C037268"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11. </w:t>
            </w:r>
            <w:r w:rsidRPr="005E73C2">
              <w:rPr>
                <w:rFonts w:asciiTheme="majorBidi" w:hAnsiTheme="majorBidi" w:cstheme="majorBidi"/>
                <w:i/>
                <w:iCs/>
                <w:color w:val="000000" w:themeColor="text1"/>
                <w:sz w:val="18"/>
                <w:szCs w:val="18"/>
              </w:rPr>
              <w:t>LOSS</w:t>
            </w:r>
          </w:p>
        </w:tc>
        <w:tc>
          <w:tcPr>
            <w:tcW w:w="1134" w:type="dxa"/>
          </w:tcPr>
          <w:p w14:paraId="6B48D2B9" w14:textId="77777777" w:rsidR="0091178F" w:rsidRPr="000D488F" w:rsidRDefault="0091178F" w:rsidP="006D78DE">
            <w:pPr>
              <w:widowControl/>
              <w:jc w:val="left"/>
              <w:rPr>
                <w:rFonts w:ascii="Times New Roman" w:hAnsi="Times New Roman" w:cs="Times New Roman"/>
                <w:color w:val="000000" w:themeColor="text1"/>
                <w:sz w:val="18"/>
                <w:szCs w:val="18"/>
              </w:rPr>
            </w:pPr>
            <w:r w:rsidRPr="00C17A20">
              <w:rPr>
                <w:rFonts w:ascii="Times New Roman" w:hAnsi="Times New Roman" w:cs="Times New Roman"/>
                <w:color w:val="000000" w:themeColor="text1"/>
                <w:sz w:val="18"/>
                <w:szCs w:val="18"/>
              </w:rPr>
              <w:t>-0.20</w:t>
            </w:r>
            <w:r>
              <w:rPr>
                <w:rFonts w:ascii="Times New Roman" w:hAnsi="Times New Roman" w:cs="Times New Roman"/>
                <w:color w:val="000000" w:themeColor="text1"/>
                <w:sz w:val="18"/>
                <w:szCs w:val="18"/>
              </w:rPr>
              <w:t>4***</w:t>
            </w:r>
          </w:p>
        </w:tc>
        <w:tc>
          <w:tcPr>
            <w:tcW w:w="1134" w:type="dxa"/>
          </w:tcPr>
          <w:p w14:paraId="63C90654"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-0.21</w:t>
            </w:r>
            <w:r>
              <w:rPr>
                <w:rFonts w:ascii="Times New Roman" w:hAnsi="Times New Roman" w:cs="Times New Roman"/>
                <w:color w:val="000000" w:themeColor="text1"/>
                <w:sz w:val="18"/>
                <w:szCs w:val="18"/>
              </w:rPr>
              <w:t>7***</w:t>
            </w:r>
          </w:p>
        </w:tc>
        <w:tc>
          <w:tcPr>
            <w:tcW w:w="1134" w:type="dxa"/>
          </w:tcPr>
          <w:p w14:paraId="3204BFEC"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0.277</w:t>
            </w:r>
            <w:r>
              <w:rPr>
                <w:rFonts w:ascii="Times New Roman" w:hAnsi="Times New Roman" w:cs="Times New Roman"/>
                <w:color w:val="000000" w:themeColor="text1"/>
                <w:sz w:val="18"/>
                <w:szCs w:val="18"/>
              </w:rPr>
              <w:t>***</w:t>
            </w:r>
          </w:p>
        </w:tc>
        <w:tc>
          <w:tcPr>
            <w:tcW w:w="1134" w:type="dxa"/>
          </w:tcPr>
          <w:p w14:paraId="7B43A0C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0.11</w:t>
            </w:r>
            <w:r>
              <w:rPr>
                <w:rFonts w:ascii="Times New Roman" w:hAnsi="Times New Roman" w:cs="Times New Roman"/>
                <w:color w:val="000000" w:themeColor="text1"/>
                <w:sz w:val="18"/>
                <w:szCs w:val="18"/>
              </w:rPr>
              <w:t>7***</w:t>
            </w:r>
          </w:p>
        </w:tc>
        <w:tc>
          <w:tcPr>
            <w:tcW w:w="1134" w:type="dxa"/>
          </w:tcPr>
          <w:p w14:paraId="6C7C6056"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-0.290</w:t>
            </w:r>
            <w:r>
              <w:rPr>
                <w:rFonts w:ascii="Times New Roman" w:hAnsi="Times New Roman" w:cs="Times New Roman"/>
                <w:color w:val="000000" w:themeColor="text1"/>
                <w:sz w:val="18"/>
                <w:szCs w:val="18"/>
              </w:rPr>
              <w:t>***</w:t>
            </w:r>
          </w:p>
        </w:tc>
        <w:tc>
          <w:tcPr>
            <w:tcW w:w="1134" w:type="dxa"/>
          </w:tcPr>
          <w:p w14:paraId="7A88C64A"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-0.05</w:t>
            </w:r>
            <w:r>
              <w:rPr>
                <w:rFonts w:ascii="Times New Roman" w:hAnsi="Times New Roman" w:cs="Times New Roman"/>
                <w:color w:val="000000" w:themeColor="text1"/>
                <w:sz w:val="18"/>
                <w:szCs w:val="18"/>
              </w:rPr>
              <w:t>5</w:t>
            </w:r>
          </w:p>
        </w:tc>
        <w:tc>
          <w:tcPr>
            <w:tcW w:w="1134" w:type="dxa"/>
          </w:tcPr>
          <w:p w14:paraId="6C2BF93E"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-0.10</w:t>
            </w:r>
            <w:r>
              <w:rPr>
                <w:rFonts w:ascii="Times New Roman" w:hAnsi="Times New Roman" w:cs="Times New Roman"/>
                <w:color w:val="000000" w:themeColor="text1"/>
                <w:sz w:val="18"/>
                <w:szCs w:val="18"/>
              </w:rPr>
              <w:t>7**</w:t>
            </w:r>
          </w:p>
        </w:tc>
        <w:tc>
          <w:tcPr>
            <w:tcW w:w="1134" w:type="dxa"/>
          </w:tcPr>
          <w:p w14:paraId="6E05C32C"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-0.128</w:t>
            </w:r>
            <w:r>
              <w:rPr>
                <w:rFonts w:ascii="Times New Roman" w:hAnsi="Times New Roman" w:cs="Times New Roman"/>
                <w:color w:val="000000" w:themeColor="text1"/>
                <w:sz w:val="18"/>
                <w:szCs w:val="18"/>
              </w:rPr>
              <w:t>***</w:t>
            </w:r>
          </w:p>
        </w:tc>
        <w:tc>
          <w:tcPr>
            <w:tcW w:w="1134" w:type="dxa"/>
          </w:tcPr>
          <w:p w14:paraId="6E1D4E5E"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-0.13</w:t>
            </w:r>
            <w:r>
              <w:rPr>
                <w:rFonts w:ascii="Times New Roman" w:hAnsi="Times New Roman" w:cs="Times New Roman"/>
                <w:color w:val="000000" w:themeColor="text1"/>
                <w:sz w:val="18"/>
                <w:szCs w:val="18"/>
              </w:rPr>
              <w:t>4***</w:t>
            </w:r>
          </w:p>
        </w:tc>
        <w:tc>
          <w:tcPr>
            <w:tcW w:w="1134" w:type="dxa"/>
          </w:tcPr>
          <w:p w14:paraId="75544ED3"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-0.27</w:t>
            </w:r>
            <w:r>
              <w:rPr>
                <w:rFonts w:ascii="Times New Roman" w:hAnsi="Times New Roman" w:cs="Times New Roman"/>
                <w:color w:val="000000" w:themeColor="text1"/>
                <w:sz w:val="18"/>
                <w:szCs w:val="18"/>
              </w:rPr>
              <w:t>9***</w:t>
            </w:r>
          </w:p>
        </w:tc>
      </w:tr>
      <w:tr w:rsidR="0091178F" w14:paraId="442B8C56" w14:textId="77777777" w:rsidTr="006D78DE">
        <w:tc>
          <w:tcPr>
            <w:tcW w:w="2405" w:type="dxa"/>
          </w:tcPr>
          <w:p w14:paraId="29E5F890" w14:textId="712EE01A"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12, </w:t>
            </w:r>
            <w:r w:rsidRPr="005E73C2">
              <w:rPr>
                <w:rFonts w:asciiTheme="majorBidi" w:hAnsiTheme="majorBidi" w:cstheme="majorBidi"/>
                <w:i/>
                <w:iCs/>
                <w:color w:val="000000" w:themeColor="text1"/>
                <w:sz w:val="18"/>
                <w:szCs w:val="18"/>
              </w:rPr>
              <w:t>DU</w:t>
            </w:r>
            <w:r w:rsidR="00C325D8">
              <w:rPr>
                <w:rFonts w:asciiTheme="majorBidi" w:hAnsiTheme="majorBidi" w:cstheme="majorBidi"/>
                <w:i/>
                <w:iCs/>
                <w:color w:val="000000" w:themeColor="text1"/>
                <w:sz w:val="18"/>
                <w:szCs w:val="18"/>
              </w:rPr>
              <w:t>AL</w:t>
            </w:r>
          </w:p>
        </w:tc>
        <w:tc>
          <w:tcPr>
            <w:tcW w:w="1134" w:type="dxa"/>
          </w:tcPr>
          <w:p w14:paraId="767D833A" w14:textId="77777777" w:rsidR="0091178F" w:rsidRPr="000D488F" w:rsidRDefault="0091178F" w:rsidP="006D78DE">
            <w:pPr>
              <w:widowControl/>
              <w:jc w:val="left"/>
              <w:rPr>
                <w:rFonts w:ascii="Times New Roman" w:hAnsi="Times New Roman" w:cs="Times New Roman"/>
                <w:color w:val="000000" w:themeColor="text1"/>
                <w:sz w:val="18"/>
                <w:szCs w:val="18"/>
              </w:rPr>
            </w:pPr>
            <w:r w:rsidRPr="00FB4027">
              <w:rPr>
                <w:rFonts w:ascii="Times New Roman" w:hAnsi="Times New Roman" w:cs="Times New Roman"/>
                <w:color w:val="000000" w:themeColor="text1"/>
                <w:sz w:val="18"/>
                <w:szCs w:val="18"/>
              </w:rPr>
              <w:t>-0.07</w:t>
            </w:r>
            <w:r>
              <w:rPr>
                <w:rFonts w:ascii="Times New Roman" w:hAnsi="Times New Roman" w:cs="Times New Roman"/>
                <w:color w:val="000000" w:themeColor="text1"/>
                <w:sz w:val="18"/>
                <w:szCs w:val="18"/>
              </w:rPr>
              <w:t>3*</w:t>
            </w:r>
          </w:p>
        </w:tc>
        <w:tc>
          <w:tcPr>
            <w:tcW w:w="1134" w:type="dxa"/>
          </w:tcPr>
          <w:p w14:paraId="48203CE2"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-0.04</w:t>
            </w:r>
            <w:r>
              <w:rPr>
                <w:rFonts w:ascii="Times New Roman" w:hAnsi="Times New Roman" w:cs="Times New Roman"/>
                <w:color w:val="000000" w:themeColor="text1"/>
                <w:sz w:val="18"/>
                <w:szCs w:val="18"/>
              </w:rPr>
              <w:t>3</w:t>
            </w:r>
          </w:p>
        </w:tc>
        <w:tc>
          <w:tcPr>
            <w:tcW w:w="1134" w:type="dxa"/>
          </w:tcPr>
          <w:p w14:paraId="17CC8AD6" w14:textId="77777777" w:rsidR="0091178F" w:rsidRPr="000D488F" w:rsidRDefault="0091178F" w:rsidP="006D78DE">
            <w:pPr>
              <w:widowControl/>
              <w:jc w:val="left"/>
              <w:rPr>
                <w:rFonts w:ascii="Times New Roman" w:hAnsi="Times New Roman" w:cs="Times New Roman"/>
                <w:color w:val="000000" w:themeColor="text1"/>
                <w:sz w:val="18"/>
                <w:szCs w:val="18"/>
              </w:rPr>
            </w:pPr>
            <w:r w:rsidRPr="00C80DD2">
              <w:rPr>
                <w:rFonts w:ascii="Times New Roman" w:hAnsi="Times New Roman" w:cs="Times New Roman"/>
                <w:color w:val="000000" w:themeColor="text1"/>
                <w:sz w:val="18"/>
                <w:szCs w:val="18"/>
              </w:rPr>
              <w:t>0.002</w:t>
            </w:r>
          </w:p>
        </w:tc>
        <w:tc>
          <w:tcPr>
            <w:tcW w:w="1134" w:type="dxa"/>
          </w:tcPr>
          <w:p w14:paraId="1CF6FA54"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7**</w:t>
            </w:r>
          </w:p>
        </w:tc>
        <w:tc>
          <w:tcPr>
            <w:tcW w:w="1134" w:type="dxa"/>
          </w:tcPr>
          <w:p w14:paraId="49EE200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-0.039</w:t>
            </w:r>
          </w:p>
        </w:tc>
        <w:tc>
          <w:tcPr>
            <w:tcW w:w="1134" w:type="dxa"/>
          </w:tcPr>
          <w:p w14:paraId="4F4FE9F6"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0.05</w:t>
            </w:r>
            <w:r>
              <w:rPr>
                <w:rFonts w:ascii="Times New Roman" w:hAnsi="Times New Roman" w:cs="Times New Roman"/>
                <w:color w:val="000000" w:themeColor="text1"/>
                <w:sz w:val="18"/>
                <w:szCs w:val="18"/>
              </w:rPr>
              <w:t>8</w:t>
            </w:r>
          </w:p>
        </w:tc>
        <w:tc>
          <w:tcPr>
            <w:tcW w:w="1134" w:type="dxa"/>
          </w:tcPr>
          <w:p w14:paraId="47CF6366"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-0.07</w:t>
            </w:r>
            <w:r>
              <w:rPr>
                <w:rFonts w:ascii="Times New Roman" w:hAnsi="Times New Roman" w:cs="Times New Roman"/>
                <w:color w:val="000000" w:themeColor="text1"/>
                <w:sz w:val="18"/>
                <w:szCs w:val="18"/>
              </w:rPr>
              <w:t>9*</w:t>
            </w:r>
          </w:p>
        </w:tc>
        <w:tc>
          <w:tcPr>
            <w:tcW w:w="1134" w:type="dxa"/>
          </w:tcPr>
          <w:p w14:paraId="7A252282"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-0.07</w:t>
            </w:r>
            <w:r>
              <w:rPr>
                <w:rFonts w:ascii="Times New Roman" w:hAnsi="Times New Roman" w:cs="Times New Roman"/>
                <w:color w:val="000000" w:themeColor="text1"/>
                <w:sz w:val="18"/>
                <w:szCs w:val="18"/>
              </w:rPr>
              <w:t>6*</w:t>
            </w:r>
          </w:p>
        </w:tc>
        <w:tc>
          <w:tcPr>
            <w:tcW w:w="1134" w:type="dxa"/>
          </w:tcPr>
          <w:p w14:paraId="7DA9C8FD"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-0.00</w:t>
            </w:r>
            <w:r>
              <w:rPr>
                <w:rFonts w:ascii="Times New Roman" w:hAnsi="Times New Roman" w:cs="Times New Roman"/>
                <w:color w:val="000000" w:themeColor="text1"/>
                <w:sz w:val="18"/>
                <w:szCs w:val="18"/>
              </w:rPr>
              <w:t>3</w:t>
            </w:r>
          </w:p>
        </w:tc>
        <w:tc>
          <w:tcPr>
            <w:tcW w:w="1134" w:type="dxa"/>
          </w:tcPr>
          <w:p w14:paraId="7590842C"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-0.10</w:t>
            </w:r>
            <w:r>
              <w:rPr>
                <w:rFonts w:ascii="Times New Roman" w:hAnsi="Times New Roman" w:cs="Times New Roman"/>
                <w:color w:val="000000" w:themeColor="text1"/>
                <w:sz w:val="18"/>
                <w:szCs w:val="18"/>
              </w:rPr>
              <w:t>2**</w:t>
            </w:r>
          </w:p>
        </w:tc>
      </w:tr>
      <w:tr w:rsidR="0091178F" w14:paraId="288B9323" w14:textId="77777777" w:rsidTr="006D78DE">
        <w:tc>
          <w:tcPr>
            <w:tcW w:w="2405" w:type="dxa"/>
          </w:tcPr>
          <w:p w14:paraId="55B39EED" w14:textId="66ED6CE5"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13. </w:t>
            </w:r>
            <w:r w:rsidRPr="005E73C2">
              <w:rPr>
                <w:rFonts w:asciiTheme="majorBidi" w:hAnsiTheme="majorBidi" w:cstheme="majorBidi"/>
                <w:i/>
                <w:iCs/>
                <w:color w:val="000000" w:themeColor="text1"/>
                <w:sz w:val="18"/>
                <w:szCs w:val="18"/>
              </w:rPr>
              <w:t>TENU</w:t>
            </w:r>
            <w:r w:rsidR="00C325D8">
              <w:rPr>
                <w:rFonts w:asciiTheme="majorBidi" w:hAnsiTheme="majorBidi" w:cstheme="majorBidi"/>
                <w:i/>
                <w:iCs/>
                <w:color w:val="000000" w:themeColor="text1"/>
                <w:sz w:val="18"/>
                <w:szCs w:val="18"/>
              </w:rPr>
              <w:t>RE</w:t>
            </w:r>
          </w:p>
        </w:tc>
        <w:tc>
          <w:tcPr>
            <w:tcW w:w="1134" w:type="dxa"/>
          </w:tcPr>
          <w:p w14:paraId="66E4C236" w14:textId="77777777" w:rsidR="0091178F" w:rsidRPr="000D488F" w:rsidRDefault="0091178F" w:rsidP="006D78DE">
            <w:pPr>
              <w:widowControl/>
              <w:jc w:val="left"/>
              <w:rPr>
                <w:rFonts w:ascii="Times New Roman" w:hAnsi="Times New Roman" w:cs="Times New Roman"/>
                <w:color w:val="000000" w:themeColor="text1"/>
                <w:sz w:val="18"/>
                <w:szCs w:val="18"/>
              </w:rPr>
            </w:pPr>
            <w:r w:rsidRPr="00FB4027">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1</w:t>
            </w:r>
          </w:p>
        </w:tc>
        <w:tc>
          <w:tcPr>
            <w:tcW w:w="1134" w:type="dxa"/>
          </w:tcPr>
          <w:p w14:paraId="70FB82D5"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5</w:t>
            </w:r>
          </w:p>
        </w:tc>
        <w:tc>
          <w:tcPr>
            <w:tcW w:w="1134" w:type="dxa"/>
          </w:tcPr>
          <w:p w14:paraId="7BD710D3"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-0.04</w:t>
            </w:r>
            <w:r>
              <w:rPr>
                <w:rFonts w:ascii="Times New Roman" w:hAnsi="Times New Roman" w:cs="Times New Roman"/>
                <w:color w:val="000000" w:themeColor="text1"/>
                <w:sz w:val="18"/>
                <w:szCs w:val="18"/>
              </w:rPr>
              <w:t>5</w:t>
            </w:r>
          </w:p>
        </w:tc>
        <w:tc>
          <w:tcPr>
            <w:tcW w:w="1134" w:type="dxa"/>
          </w:tcPr>
          <w:p w14:paraId="04AD5AC7"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8**</w:t>
            </w:r>
          </w:p>
        </w:tc>
        <w:tc>
          <w:tcPr>
            <w:tcW w:w="1134" w:type="dxa"/>
          </w:tcPr>
          <w:p w14:paraId="09803BF8"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0.084</w:t>
            </w:r>
          </w:p>
        </w:tc>
        <w:tc>
          <w:tcPr>
            <w:tcW w:w="1134" w:type="dxa"/>
          </w:tcPr>
          <w:p w14:paraId="17894B00"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9**</w:t>
            </w:r>
          </w:p>
        </w:tc>
        <w:tc>
          <w:tcPr>
            <w:tcW w:w="1134" w:type="dxa"/>
          </w:tcPr>
          <w:p w14:paraId="090EF16E"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-0.068</w:t>
            </w:r>
          </w:p>
        </w:tc>
        <w:tc>
          <w:tcPr>
            <w:tcW w:w="1134" w:type="dxa"/>
          </w:tcPr>
          <w:p w14:paraId="1D50C5CE"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0.06</w:t>
            </w:r>
            <w:r>
              <w:rPr>
                <w:rFonts w:ascii="Times New Roman" w:hAnsi="Times New Roman" w:cs="Times New Roman"/>
                <w:color w:val="000000" w:themeColor="text1"/>
                <w:sz w:val="18"/>
                <w:szCs w:val="18"/>
              </w:rPr>
              <w:t>3</w:t>
            </w:r>
          </w:p>
        </w:tc>
        <w:tc>
          <w:tcPr>
            <w:tcW w:w="1134" w:type="dxa"/>
          </w:tcPr>
          <w:p w14:paraId="3EC13632"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-0.22</w:t>
            </w:r>
            <w:r>
              <w:rPr>
                <w:rFonts w:ascii="Times New Roman" w:hAnsi="Times New Roman" w:cs="Times New Roman"/>
                <w:color w:val="000000" w:themeColor="text1"/>
                <w:sz w:val="18"/>
                <w:szCs w:val="18"/>
              </w:rPr>
              <w:t>5***</w:t>
            </w:r>
          </w:p>
        </w:tc>
        <w:tc>
          <w:tcPr>
            <w:tcW w:w="1134" w:type="dxa"/>
          </w:tcPr>
          <w:p w14:paraId="1548E526"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-0.036</w:t>
            </w:r>
          </w:p>
        </w:tc>
      </w:tr>
      <w:tr w:rsidR="0091178F" w14:paraId="741E8809" w14:textId="77777777" w:rsidTr="006D78DE">
        <w:tc>
          <w:tcPr>
            <w:tcW w:w="2405" w:type="dxa"/>
          </w:tcPr>
          <w:p w14:paraId="0D985F43" w14:textId="1CE62218"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14. </w:t>
            </w:r>
            <w:r w:rsidRPr="005E73C2">
              <w:rPr>
                <w:rFonts w:asciiTheme="majorBidi" w:hAnsiTheme="majorBidi" w:cstheme="majorBidi"/>
                <w:i/>
                <w:iCs/>
                <w:color w:val="000000" w:themeColor="text1"/>
                <w:sz w:val="18"/>
                <w:szCs w:val="18"/>
              </w:rPr>
              <w:t>IND</w:t>
            </w:r>
            <w:r w:rsidR="00C325D8">
              <w:rPr>
                <w:rFonts w:asciiTheme="majorBidi" w:hAnsiTheme="majorBidi" w:cstheme="majorBidi"/>
                <w:i/>
                <w:iCs/>
                <w:color w:val="000000" w:themeColor="text1"/>
                <w:sz w:val="18"/>
                <w:szCs w:val="18"/>
              </w:rPr>
              <w:t>EP</w:t>
            </w:r>
          </w:p>
        </w:tc>
        <w:tc>
          <w:tcPr>
            <w:tcW w:w="1134" w:type="dxa"/>
          </w:tcPr>
          <w:p w14:paraId="298B5400" w14:textId="77777777" w:rsidR="0091178F" w:rsidRPr="000D488F" w:rsidRDefault="0091178F" w:rsidP="006D78DE">
            <w:pPr>
              <w:widowControl/>
              <w:jc w:val="left"/>
              <w:rPr>
                <w:rFonts w:ascii="Times New Roman" w:hAnsi="Times New Roman" w:cs="Times New Roman"/>
                <w:color w:val="000000" w:themeColor="text1"/>
                <w:sz w:val="18"/>
                <w:szCs w:val="18"/>
              </w:rPr>
            </w:pPr>
            <w:r w:rsidRPr="00FB4027">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9</w:t>
            </w:r>
          </w:p>
        </w:tc>
        <w:tc>
          <w:tcPr>
            <w:tcW w:w="1134" w:type="dxa"/>
          </w:tcPr>
          <w:p w14:paraId="6122427D"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0.097</w:t>
            </w:r>
            <w:r>
              <w:rPr>
                <w:rFonts w:ascii="Times New Roman" w:hAnsi="Times New Roman" w:cs="Times New Roman"/>
                <w:color w:val="000000" w:themeColor="text1"/>
                <w:sz w:val="18"/>
                <w:szCs w:val="18"/>
              </w:rPr>
              <w:t>**</w:t>
            </w:r>
          </w:p>
        </w:tc>
        <w:tc>
          <w:tcPr>
            <w:tcW w:w="1134" w:type="dxa"/>
          </w:tcPr>
          <w:p w14:paraId="7A5DA1F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0.13</w:t>
            </w:r>
            <w:r>
              <w:rPr>
                <w:rFonts w:ascii="Times New Roman" w:hAnsi="Times New Roman" w:cs="Times New Roman"/>
                <w:color w:val="000000" w:themeColor="text1"/>
                <w:sz w:val="18"/>
                <w:szCs w:val="18"/>
              </w:rPr>
              <w:t>2***</w:t>
            </w:r>
          </w:p>
        </w:tc>
        <w:tc>
          <w:tcPr>
            <w:tcW w:w="1134" w:type="dxa"/>
          </w:tcPr>
          <w:p w14:paraId="751BFB96"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0.120</w:t>
            </w:r>
            <w:r>
              <w:rPr>
                <w:rFonts w:ascii="Times New Roman" w:hAnsi="Times New Roman" w:cs="Times New Roman"/>
                <w:color w:val="000000" w:themeColor="text1"/>
                <w:sz w:val="18"/>
                <w:szCs w:val="18"/>
              </w:rPr>
              <w:t>***</w:t>
            </w:r>
          </w:p>
        </w:tc>
        <w:tc>
          <w:tcPr>
            <w:tcW w:w="1134" w:type="dxa"/>
          </w:tcPr>
          <w:p w14:paraId="4D8FAEC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-0.023</w:t>
            </w:r>
          </w:p>
        </w:tc>
        <w:tc>
          <w:tcPr>
            <w:tcW w:w="1134" w:type="dxa"/>
          </w:tcPr>
          <w:p w14:paraId="1C315A9F"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70</w:t>
            </w:r>
          </w:p>
        </w:tc>
        <w:tc>
          <w:tcPr>
            <w:tcW w:w="1134" w:type="dxa"/>
          </w:tcPr>
          <w:p w14:paraId="2C6E3412"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-0.043</w:t>
            </w:r>
          </w:p>
        </w:tc>
        <w:tc>
          <w:tcPr>
            <w:tcW w:w="1134" w:type="dxa"/>
          </w:tcPr>
          <w:p w14:paraId="1AD053C2"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0.256</w:t>
            </w:r>
            <w:r>
              <w:rPr>
                <w:rFonts w:ascii="Times New Roman" w:hAnsi="Times New Roman" w:cs="Times New Roman"/>
                <w:color w:val="000000" w:themeColor="text1"/>
                <w:sz w:val="18"/>
                <w:szCs w:val="18"/>
              </w:rPr>
              <w:t>***</w:t>
            </w:r>
          </w:p>
        </w:tc>
        <w:tc>
          <w:tcPr>
            <w:tcW w:w="1134" w:type="dxa"/>
          </w:tcPr>
          <w:p w14:paraId="4529FC50"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90***</w:t>
            </w:r>
          </w:p>
        </w:tc>
        <w:tc>
          <w:tcPr>
            <w:tcW w:w="1134" w:type="dxa"/>
          </w:tcPr>
          <w:p w14:paraId="76C163CC"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0.027</w:t>
            </w:r>
          </w:p>
        </w:tc>
      </w:tr>
      <w:tr w:rsidR="0091178F" w14:paraId="26EB45C6" w14:textId="77777777" w:rsidTr="006D78DE">
        <w:tc>
          <w:tcPr>
            <w:tcW w:w="2405" w:type="dxa"/>
          </w:tcPr>
          <w:p w14:paraId="5255B615" w14:textId="1F1A4FB3"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15. </w:t>
            </w:r>
            <w:r w:rsidRPr="005E73C2">
              <w:rPr>
                <w:rFonts w:asciiTheme="majorBidi" w:hAnsiTheme="majorBidi" w:cstheme="majorBidi"/>
                <w:i/>
                <w:iCs/>
                <w:color w:val="000000" w:themeColor="text1"/>
                <w:sz w:val="18"/>
                <w:szCs w:val="18"/>
              </w:rPr>
              <w:t>B</w:t>
            </w:r>
            <w:r w:rsidR="00C325D8">
              <w:rPr>
                <w:rFonts w:asciiTheme="majorBidi" w:hAnsiTheme="majorBidi" w:cstheme="majorBidi"/>
                <w:i/>
                <w:iCs/>
                <w:color w:val="000000" w:themeColor="text1"/>
                <w:sz w:val="18"/>
                <w:szCs w:val="18"/>
              </w:rPr>
              <w:t>D</w:t>
            </w:r>
            <w:r w:rsidRPr="005E73C2">
              <w:rPr>
                <w:rFonts w:asciiTheme="majorBidi" w:hAnsiTheme="majorBidi" w:cstheme="majorBidi"/>
                <w:i/>
                <w:iCs/>
                <w:color w:val="000000" w:themeColor="text1"/>
                <w:sz w:val="18"/>
                <w:szCs w:val="18"/>
              </w:rPr>
              <w:t>SIZE</w:t>
            </w:r>
          </w:p>
        </w:tc>
        <w:tc>
          <w:tcPr>
            <w:tcW w:w="1134" w:type="dxa"/>
          </w:tcPr>
          <w:p w14:paraId="3D37245D" w14:textId="77777777" w:rsidR="0091178F" w:rsidRPr="000D488F" w:rsidRDefault="0091178F" w:rsidP="006D78DE">
            <w:pPr>
              <w:widowControl/>
              <w:jc w:val="left"/>
              <w:rPr>
                <w:rFonts w:ascii="Times New Roman" w:hAnsi="Times New Roman" w:cs="Times New Roman"/>
                <w:color w:val="000000" w:themeColor="text1"/>
                <w:sz w:val="18"/>
                <w:szCs w:val="18"/>
              </w:rPr>
            </w:pPr>
            <w:r w:rsidRPr="004267A0">
              <w:rPr>
                <w:rFonts w:ascii="Times New Roman" w:hAnsi="Times New Roman" w:cs="Times New Roman"/>
                <w:color w:val="000000" w:themeColor="text1"/>
                <w:sz w:val="18"/>
                <w:szCs w:val="18"/>
              </w:rPr>
              <w:t>0.21</w:t>
            </w:r>
            <w:r>
              <w:rPr>
                <w:rFonts w:ascii="Times New Roman" w:hAnsi="Times New Roman" w:cs="Times New Roman"/>
                <w:color w:val="000000" w:themeColor="text1"/>
                <w:sz w:val="18"/>
                <w:szCs w:val="18"/>
              </w:rPr>
              <w:t>4***</w:t>
            </w:r>
          </w:p>
        </w:tc>
        <w:tc>
          <w:tcPr>
            <w:tcW w:w="1134" w:type="dxa"/>
          </w:tcPr>
          <w:p w14:paraId="077ACA5F"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0.299</w:t>
            </w:r>
            <w:r>
              <w:rPr>
                <w:rFonts w:ascii="Times New Roman" w:hAnsi="Times New Roman" w:cs="Times New Roman"/>
                <w:color w:val="000000" w:themeColor="text1"/>
                <w:sz w:val="18"/>
                <w:szCs w:val="18"/>
              </w:rPr>
              <w:t>***</w:t>
            </w:r>
          </w:p>
        </w:tc>
        <w:tc>
          <w:tcPr>
            <w:tcW w:w="1134" w:type="dxa"/>
          </w:tcPr>
          <w:p w14:paraId="0CB25609"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0.13</w:t>
            </w:r>
            <w:r>
              <w:rPr>
                <w:rFonts w:ascii="Times New Roman" w:hAnsi="Times New Roman" w:cs="Times New Roman"/>
                <w:color w:val="000000" w:themeColor="text1"/>
                <w:sz w:val="18"/>
                <w:szCs w:val="18"/>
              </w:rPr>
              <w:t>4***</w:t>
            </w:r>
          </w:p>
        </w:tc>
        <w:tc>
          <w:tcPr>
            <w:tcW w:w="1134" w:type="dxa"/>
          </w:tcPr>
          <w:p w14:paraId="309B619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-0.02</w:t>
            </w:r>
            <w:r>
              <w:rPr>
                <w:rFonts w:ascii="Times New Roman" w:hAnsi="Times New Roman" w:cs="Times New Roman"/>
                <w:color w:val="000000" w:themeColor="text1"/>
                <w:sz w:val="18"/>
                <w:szCs w:val="18"/>
              </w:rPr>
              <w:t>6</w:t>
            </w:r>
          </w:p>
        </w:tc>
        <w:tc>
          <w:tcPr>
            <w:tcW w:w="1134" w:type="dxa"/>
          </w:tcPr>
          <w:p w14:paraId="53FC0B9D"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-0.023</w:t>
            </w:r>
          </w:p>
        </w:tc>
        <w:tc>
          <w:tcPr>
            <w:tcW w:w="1134" w:type="dxa"/>
          </w:tcPr>
          <w:p w14:paraId="0756687F"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0.125</w:t>
            </w:r>
            <w:r>
              <w:rPr>
                <w:rFonts w:ascii="Times New Roman" w:hAnsi="Times New Roman" w:cs="Times New Roman"/>
                <w:color w:val="000000" w:themeColor="text1"/>
                <w:sz w:val="18"/>
                <w:szCs w:val="18"/>
              </w:rPr>
              <w:t>***</w:t>
            </w:r>
          </w:p>
        </w:tc>
        <w:tc>
          <w:tcPr>
            <w:tcW w:w="1134" w:type="dxa"/>
          </w:tcPr>
          <w:p w14:paraId="18F3772D"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6</w:t>
            </w:r>
          </w:p>
        </w:tc>
        <w:tc>
          <w:tcPr>
            <w:tcW w:w="1134" w:type="dxa"/>
          </w:tcPr>
          <w:p w14:paraId="4F2FC52D"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0.14</w:t>
            </w:r>
            <w:r>
              <w:rPr>
                <w:rFonts w:ascii="Times New Roman" w:hAnsi="Times New Roman" w:cs="Times New Roman"/>
                <w:color w:val="000000" w:themeColor="text1"/>
                <w:sz w:val="18"/>
                <w:szCs w:val="18"/>
              </w:rPr>
              <w:t>6***</w:t>
            </w:r>
          </w:p>
        </w:tc>
        <w:tc>
          <w:tcPr>
            <w:tcW w:w="1134" w:type="dxa"/>
          </w:tcPr>
          <w:p w14:paraId="76AC224A" w14:textId="77777777" w:rsidR="0091178F" w:rsidRPr="000D488F" w:rsidRDefault="0091178F" w:rsidP="006D78DE">
            <w:pPr>
              <w:widowControl/>
              <w:jc w:val="left"/>
              <w:rPr>
                <w:rFonts w:ascii="Times New Roman" w:hAnsi="Times New Roman" w:cs="Times New Roman"/>
                <w:color w:val="000000" w:themeColor="text1"/>
                <w:sz w:val="18"/>
                <w:szCs w:val="18"/>
              </w:rPr>
            </w:pPr>
            <w:r w:rsidRPr="005E37AF">
              <w:rPr>
                <w:rFonts w:ascii="Times New Roman" w:hAnsi="Times New Roman" w:cs="Times New Roman"/>
                <w:color w:val="000000" w:themeColor="text1"/>
                <w:sz w:val="18"/>
                <w:szCs w:val="18"/>
              </w:rPr>
              <w:t>0.655</w:t>
            </w:r>
            <w:r>
              <w:rPr>
                <w:rFonts w:ascii="Times New Roman" w:hAnsi="Times New Roman" w:cs="Times New Roman"/>
                <w:color w:val="000000" w:themeColor="text1"/>
                <w:sz w:val="18"/>
                <w:szCs w:val="18"/>
              </w:rPr>
              <w:t>***</w:t>
            </w:r>
          </w:p>
        </w:tc>
        <w:tc>
          <w:tcPr>
            <w:tcW w:w="1134" w:type="dxa"/>
          </w:tcPr>
          <w:p w14:paraId="44AC7402"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0.087</w:t>
            </w:r>
            <w:r>
              <w:rPr>
                <w:rFonts w:ascii="Times New Roman" w:hAnsi="Times New Roman" w:cs="Times New Roman"/>
                <w:color w:val="000000" w:themeColor="text1"/>
                <w:sz w:val="18"/>
                <w:szCs w:val="18"/>
              </w:rPr>
              <w:t>**</w:t>
            </w:r>
          </w:p>
        </w:tc>
      </w:tr>
      <w:tr w:rsidR="0091178F" w14:paraId="532418F3" w14:textId="77777777" w:rsidTr="006D78DE">
        <w:tc>
          <w:tcPr>
            <w:tcW w:w="2405" w:type="dxa"/>
          </w:tcPr>
          <w:p w14:paraId="2AE076A0"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16. </w:t>
            </w:r>
            <w:r w:rsidRPr="005E73C2">
              <w:rPr>
                <w:rFonts w:asciiTheme="majorBidi" w:hAnsiTheme="majorBidi" w:cstheme="majorBidi"/>
                <w:i/>
                <w:iCs/>
                <w:color w:val="000000" w:themeColor="text1"/>
                <w:sz w:val="18"/>
                <w:szCs w:val="18"/>
              </w:rPr>
              <w:t>ACSIZE</w:t>
            </w:r>
          </w:p>
        </w:tc>
        <w:tc>
          <w:tcPr>
            <w:tcW w:w="1134" w:type="dxa"/>
          </w:tcPr>
          <w:p w14:paraId="0033ACB9" w14:textId="77777777" w:rsidR="0091178F" w:rsidRPr="000D488F" w:rsidRDefault="0091178F" w:rsidP="006D78DE">
            <w:pPr>
              <w:widowControl/>
              <w:jc w:val="left"/>
              <w:rPr>
                <w:rFonts w:ascii="Times New Roman" w:hAnsi="Times New Roman" w:cs="Times New Roman"/>
                <w:color w:val="000000" w:themeColor="text1"/>
                <w:sz w:val="18"/>
                <w:szCs w:val="18"/>
              </w:rPr>
            </w:pPr>
            <w:r w:rsidRPr="009D79E6">
              <w:rPr>
                <w:rFonts w:ascii="Times New Roman" w:hAnsi="Times New Roman" w:cs="Times New Roman"/>
                <w:color w:val="000000" w:themeColor="text1"/>
                <w:sz w:val="18"/>
                <w:szCs w:val="18"/>
              </w:rPr>
              <w:t>0.008</w:t>
            </w:r>
          </w:p>
        </w:tc>
        <w:tc>
          <w:tcPr>
            <w:tcW w:w="1134" w:type="dxa"/>
          </w:tcPr>
          <w:p w14:paraId="5975EB74"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0.001</w:t>
            </w:r>
          </w:p>
        </w:tc>
        <w:tc>
          <w:tcPr>
            <w:tcW w:w="1134" w:type="dxa"/>
          </w:tcPr>
          <w:p w14:paraId="1BD6AE77"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6</w:t>
            </w:r>
          </w:p>
        </w:tc>
        <w:tc>
          <w:tcPr>
            <w:tcW w:w="1134" w:type="dxa"/>
          </w:tcPr>
          <w:p w14:paraId="15EFCD9F"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0.009</w:t>
            </w:r>
          </w:p>
        </w:tc>
        <w:tc>
          <w:tcPr>
            <w:tcW w:w="1134" w:type="dxa"/>
          </w:tcPr>
          <w:p w14:paraId="2BAFFDB1"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-0.07</w:t>
            </w:r>
            <w:r>
              <w:rPr>
                <w:rFonts w:ascii="Times New Roman" w:hAnsi="Times New Roman" w:cs="Times New Roman"/>
                <w:color w:val="000000" w:themeColor="text1"/>
                <w:sz w:val="18"/>
                <w:szCs w:val="18"/>
              </w:rPr>
              <w:t>7*</w:t>
            </w:r>
          </w:p>
        </w:tc>
        <w:tc>
          <w:tcPr>
            <w:tcW w:w="1134" w:type="dxa"/>
          </w:tcPr>
          <w:p w14:paraId="19A43A3B"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-0.02</w:t>
            </w:r>
            <w:r>
              <w:rPr>
                <w:rFonts w:ascii="Times New Roman" w:hAnsi="Times New Roman" w:cs="Times New Roman"/>
                <w:color w:val="000000" w:themeColor="text1"/>
                <w:sz w:val="18"/>
                <w:szCs w:val="18"/>
              </w:rPr>
              <w:t>3</w:t>
            </w:r>
          </w:p>
        </w:tc>
        <w:tc>
          <w:tcPr>
            <w:tcW w:w="1134" w:type="dxa"/>
          </w:tcPr>
          <w:p w14:paraId="4C5AB57C"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8</w:t>
            </w:r>
          </w:p>
        </w:tc>
        <w:tc>
          <w:tcPr>
            <w:tcW w:w="1134" w:type="dxa"/>
          </w:tcPr>
          <w:p w14:paraId="4EF13DE6"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-0.022</w:t>
            </w:r>
          </w:p>
        </w:tc>
        <w:tc>
          <w:tcPr>
            <w:tcW w:w="1134" w:type="dxa"/>
          </w:tcPr>
          <w:p w14:paraId="17E070F5" w14:textId="77777777" w:rsidR="0091178F" w:rsidRPr="000D488F" w:rsidRDefault="0091178F" w:rsidP="006D78DE">
            <w:pPr>
              <w:widowControl/>
              <w:jc w:val="left"/>
              <w:rPr>
                <w:rFonts w:ascii="Times New Roman" w:hAnsi="Times New Roman" w:cs="Times New Roman"/>
                <w:color w:val="000000" w:themeColor="text1"/>
                <w:sz w:val="18"/>
                <w:szCs w:val="18"/>
              </w:rPr>
            </w:pPr>
            <w:r w:rsidRPr="005E37AF">
              <w:rPr>
                <w:rFonts w:ascii="Times New Roman" w:hAnsi="Times New Roman" w:cs="Times New Roman"/>
                <w:color w:val="000000" w:themeColor="text1"/>
                <w:sz w:val="18"/>
                <w:szCs w:val="18"/>
              </w:rPr>
              <w:t>-0.14</w:t>
            </w:r>
            <w:r>
              <w:rPr>
                <w:rFonts w:ascii="Times New Roman" w:hAnsi="Times New Roman" w:cs="Times New Roman"/>
                <w:color w:val="000000" w:themeColor="text1"/>
                <w:sz w:val="18"/>
                <w:szCs w:val="18"/>
              </w:rPr>
              <w:t>7***</w:t>
            </w:r>
          </w:p>
        </w:tc>
        <w:tc>
          <w:tcPr>
            <w:tcW w:w="1134" w:type="dxa"/>
          </w:tcPr>
          <w:p w14:paraId="185A16A9"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-0.091</w:t>
            </w:r>
            <w:r>
              <w:rPr>
                <w:rFonts w:ascii="Times New Roman" w:hAnsi="Times New Roman" w:cs="Times New Roman"/>
                <w:color w:val="000000" w:themeColor="text1"/>
                <w:sz w:val="18"/>
                <w:szCs w:val="18"/>
              </w:rPr>
              <w:t>**</w:t>
            </w:r>
          </w:p>
        </w:tc>
      </w:tr>
      <w:tr w:rsidR="0091178F" w14:paraId="321D8ECC" w14:textId="77777777" w:rsidTr="006D78DE">
        <w:tc>
          <w:tcPr>
            <w:tcW w:w="2405" w:type="dxa"/>
          </w:tcPr>
          <w:p w14:paraId="2ADE0E07" w14:textId="39D7B261"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17. </w:t>
            </w:r>
            <w:r w:rsidRPr="005E73C2">
              <w:rPr>
                <w:rFonts w:asciiTheme="majorBidi" w:hAnsiTheme="majorBidi" w:cstheme="majorBidi"/>
                <w:i/>
                <w:iCs/>
                <w:color w:val="000000" w:themeColor="text1"/>
                <w:sz w:val="18"/>
                <w:szCs w:val="18"/>
              </w:rPr>
              <w:t>FEMALE</w:t>
            </w:r>
          </w:p>
        </w:tc>
        <w:tc>
          <w:tcPr>
            <w:tcW w:w="1134" w:type="dxa"/>
          </w:tcPr>
          <w:p w14:paraId="23CCDDAA" w14:textId="77777777" w:rsidR="0091178F" w:rsidRPr="000D488F" w:rsidRDefault="0091178F" w:rsidP="006D78DE">
            <w:pPr>
              <w:widowControl/>
              <w:jc w:val="left"/>
              <w:rPr>
                <w:rFonts w:ascii="Times New Roman" w:hAnsi="Times New Roman" w:cs="Times New Roman"/>
                <w:color w:val="000000" w:themeColor="text1"/>
                <w:sz w:val="18"/>
                <w:szCs w:val="18"/>
              </w:rPr>
            </w:pPr>
            <w:r w:rsidRPr="009D79E6">
              <w:rPr>
                <w:rFonts w:ascii="Times New Roman" w:hAnsi="Times New Roman" w:cs="Times New Roman"/>
                <w:color w:val="000000" w:themeColor="text1"/>
                <w:sz w:val="18"/>
                <w:szCs w:val="18"/>
              </w:rPr>
              <w:t>0.051</w:t>
            </w:r>
          </w:p>
        </w:tc>
        <w:tc>
          <w:tcPr>
            <w:tcW w:w="1134" w:type="dxa"/>
          </w:tcPr>
          <w:p w14:paraId="0560824D"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0.14</w:t>
            </w:r>
            <w:r>
              <w:rPr>
                <w:rFonts w:ascii="Times New Roman" w:hAnsi="Times New Roman" w:cs="Times New Roman"/>
                <w:color w:val="000000" w:themeColor="text1"/>
                <w:sz w:val="18"/>
                <w:szCs w:val="18"/>
              </w:rPr>
              <w:t>4***</w:t>
            </w:r>
          </w:p>
        </w:tc>
        <w:tc>
          <w:tcPr>
            <w:tcW w:w="1134" w:type="dxa"/>
          </w:tcPr>
          <w:p w14:paraId="627378A5"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0.05</w:t>
            </w:r>
            <w:r>
              <w:rPr>
                <w:rFonts w:ascii="Times New Roman" w:hAnsi="Times New Roman" w:cs="Times New Roman"/>
                <w:color w:val="000000" w:themeColor="text1"/>
                <w:sz w:val="18"/>
                <w:szCs w:val="18"/>
              </w:rPr>
              <w:t>6</w:t>
            </w:r>
          </w:p>
        </w:tc>
        <w:tc>
          <w:tcPr>
            <w:tcW w:w="1134" w:type="dxa"/>
          </w:tcPr>
          <w:p w14:paraId="02E84662"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-0.102</w:t>
            </w:r>
            <w:r>
              <w:rPr>
                <w:rFonts w:ascii="Times New Roman" w:hAnsi="Times New Roman" w:cs="Times New Roman"/>
                <w:color w:val="000000" w:themeColor="text1"/>
                <w:sz w:val="18"/>
                <w:szCs w:val="18"/>
              </w:rPr>
              <w:t>**</w:t>
            </w:r>
          </w:p>
        </w:tc>
        <w:tc>
          <w:tcPr>
            <w:tcW w:w="1134" w:type="dxa"/>
          </w:tcPr>
          <w:p w14:paraId="23E0DB6B"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0.039</w:t>
            </w:r>
          </w:p>
        </w:tc>
        <w:tc>
          <w:tcPr>
            <w:tcW w:w="1134" w:type="dxa"/>
          </w:tcPr>
          <w:p w14:paraId="044E6C19"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0.18</w:t>
            </w:r>
            <w:r>
              <w:rPr>
                <w:rFonts w:ascii="Times New Roman" w:hAnsi="Times New Roman" w:cs="Times New Roman"/>
                <w:color w:val="000000" w:themeColor="text1"/>
                <w:sz w:val="18"/>
                <w:szCs w:val="18"/>
              </w:rPr>
              <w:t>8***</w:t>
            </w:r>
          </w:p>
        </w:tc>
        <w:tc>
          <w:tcPr>
            <w:tcW w:w="1134" w:type="dxa"/>
          </w:tcPr>
          <w:p w14:paraId="4F95A57E"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0.02</w:t>
            </w:r>
            <w:r>
              <w:rPr>
                <w:rFonts w:ascii="Times New Roman" w:hAnsi="Times New Roman" w:cs="Times New Roman"/>
                <w:color w:val="000000" w:themeColor="text1"/>
                <w:sz w:val="18"/>
                <w:szCs w:val="18"/>
              </w:rPr>
              <w:t>6</w:t>
            </w:r>
          </w:p>
        </w:tc>
        <w:tc>
          <w:tcPr>
            <w:tcW w:w="1134" w:type="dxa"/>
          </w:tcPr>
          <w:p w14:paraId="3AFAA545"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0.204</w:t>
            </w:r>
            <w:r>
              <w:rPr>
                <w:rFonts w:ascii="Times New Roman" w:hAnsi="Times New Roman" w:cs="Times New Roman"/>
                <w:color w:val="000000" w:themeColor="text1"/>
                <w:sz w:val="18"/>
                <w:szCs w:val="18"/>
              </w:rPr>
              <w:t>***</w:t>
            </w:r>
          </w:p>
        </w:tc>
        <w:tc>
          <w:tcPr>
            <w:tcW w:w="1134" w:type="dxa"/>
          </w:tcPr>
          <w:p w14:paraId="3CA32162"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0.123</w:t>
            </w:r>
            <w:r>
              <w:rPr>
                <w:rFonts w:ascii="Times New Roman" w:hAnsi="Times New Roman" w:cs="Times New Roman"/>
                <w:color w:val="000000" w:themeColor="text1"/>
                <w:sz w:val="18"/>
                <w:szCs w:val="18"/>
              </w:rPr>
              <w:t>***</w:t>
            </w:r>
          </w:p>
        </w:tc>
        <w:tc>
          <w:tcPr>
            <w:tcW w:w="1134" w:type="dxa"/>
          </w:tcPr>
          <w:p w14:paraId="594473DB"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-0.086</w:t>
            </w:r>
            <w:r>
              <w:rPr>
                <w:rFonts w:ascii="Times New Roman" w:hAnsi="Times New Roman" w:cs="Times New Roman"/>
                <w:color w:val="000000" w:themeColor="text1"/>
                <w:sz w:val="18"/>
                <w:szCs w:val="18"/>
              </w:rPr>
              <w:t>**</w:t>
            </w:r>
          </w:p>
        </w:tc>
      </w:tr>
      <w:tr w:rsidR="0091178F" w14:paraId="759EC557" w14:textId="77777777" w:rsidTr="006D78DE">
        <w:tc>
          <w:tcPr>
            <w:tcW w:w="2405" w:type="dxa"/>
          </w:tcPr>
          <w:p w14:paraId="32FBF3B7" w14:textId="3FBA238C"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18. </w:t>
            </w:r>
            <w:r w:rsidRPr="005E73C2">
              <w:rPr>
                <w:rFonts w:asciiTheme="majorBidi" w:hAnsiTheme="majorBidi" w:cstheme="majorBidi"/>
                <w:i/>
                <w:iCs/>
                <w:color w:val="000000" w:themeColor="text1"/>
                <w:sz w:val="18"/>
                <w:szCs w:val="18"/>
              </w:rPr>
              <w:t>ACCEXP</w:t>
            </w:r>
          </w:p>
        </w:tc>
        <w:tc>
          <w:tcPr>
            <w:tcW w:w="1134" w:type="dxa"/>
          </w:tcPr>
          <w:p w14:paraId="06C17186" w14:textId="77777777" w:rsidR="0091178F" w:rsidRPr="000D488F" w:rsidRDefault="0091178F" w:rsidP="006D78DE">
            <w:pPr>
              <w:widowControl/>
              <w:jc w:val="left"/>
              <w:rPr>
                <w:rFonts w:ascii="Times New Roman" w:hAnsi="Times New Roman" w:cs="Times New Roman"/>
                <w:color w:val="000000" w:themeColor="text1"/>
                <w:sz w:val="18"/>
                <w:szCs w:val="18"/>
              </w:rPr>
            </w:pPr>
            <w:r w:rsidRPr="009D79E6">
              <w:rPr>
                <w:rFonts w:ascii="Times New Roman" w:hAnsi="Times New Roman" w:cs="Times New Roman"/>
                <w:color w:val="000000" w:themeColor="text1"/>
                <w:sz w:val="18"/>
                <w:szCs w:val="18"/>
              </w:rPr>
              <w:t>-0.07</w:t>
            </w:r>
            <w:r>
              <w:rPr>
                <w:rFonts w:ascii="Times New Roman" w:hAnsi="Times New Roman" w:cs="Times New Roman"/>
                <w:color w:val="000000" w:themeColor="text1"/>
                <w:sz w:val="18"/>
                <w:szCs w:val="18"/>
              </w:rPr>
              <w:t>5*</w:t>
            </w:r>
          </w:p>
        </w:tc>
        <w:tc>
          <w:tcPr>
            <w:tcW w:w="1134" w:type="dxa"/>
          </w:tcPr>
          <w:p w14:paraId="462CE471"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9**</w:t>
            </w:r>
          </w:p>
        </w:tc>
        <w:tc>
          <w:tcPr>
            <w:tcW w:w="1134" w:type="dxa"/>
          </w:tcPr>
          <w:p w14:paraId="434496D2"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-0.087</w:t>
            </w:r>
            <w:r>
              <w:rPr>
                <w:rFonts w:ascii="Times New Roman" w:hAnsi="Times New Roman" w:cs="Times New Roman"/>
                <w:color w:val="000000" w:themeColor="text1"/>
                <w:sz w:val="18"/>
                <w:szCs w:val="18"/>
              </w:rPr>
              <w:t>**</w:t>
            </w:r>
          </w:p>
        </w:tc>
        <w:tc>
          <w:tcPr>
            <w:tcW w:w="1134" w:type="dxa"/>
          </w:tcPr>
          <w:p w14:paraId="395AD2FA"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10**</w:t>
            </w:r>
          </w:p>
        </w:tc>
        <w:tc>
          <w:tcPr>
            <w:tcW w:w="1134" w:type="dxa"/>
          </w:tcPr>
          <w:p w14:paraId="6C5C8EBE"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0.033</w:t>
            </w:r>
          </w:p>
        </w:tc>
        <w:tc>
          <w:tcPr>
            <w:tcW w:w="1134" w:type="dxa"/>
          </w:tcPr>
          <w:p w14:paraId="35DD0BA1"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0.16</w:t>
            </w:r>
            <w:r>
              <w:rPr>
                <w:rFonts w:ascii="Times New Roman" w:hAnsi="Times New Roman" w:cs="Times New Roman"/>
                <w:color w:val="000000" w:themeColor="text1"/>
                <w:sz w:val="18"/>
                <w:szCs w:val="18"/>
              </w:rPr>
              <w:t>7***</w:t>
            </w:r>
          </w:p>
        </w:tc>
        <w:tc>
          <w:tcPr>
            <w:tcW w:w="1134" w:type="dxa"/>
          </w:tcPr>
          <w:p w14:paraId="7C13FC05"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4</w:t>
            </w:r>
          </w:p>
        </w:tc>
        <w:tc>
          <w:tcPr>
            <w:tcW w:w="1134" w:type="dxa"/>
          </w:tcPr>
          <w:p w14:paraId="25B85889"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70</w:t>
            </w:r>
          </w:p>
        </w:tc>
        <w:tc>
          <w:tcPr>
            <w:tcW w:w="1134" w:type="dxa"/>
          </w:tcPr>
          <w:p w14:paraId="2C29380B"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0.06</w:t>
            </w:r>
            <w:r>
              <w:rPr>
                <w:rFonts w:ascii="Times New Roman" w:hAnsi="Times New Roman" w:cs="Times New Roman"/>
                <w:color w:val="000000" w:themeColor="text1"/>
                <w:sz w:val="18"/>
                <w:szCs w:val="18"/>
              </w:rPr>
              <w:t>3</w:t>
            </w:r>
          </w:p>
        </w:tc>
        <w:tc>
          <w:tcPr>
            <w:tcW w:w="1134" w:type="dxa"/>
          </w:tcPr>
          <w:p w14:paraId="4457C148"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40</w:t>
            </w:r>
          </w:p>
        </w:tc>
      </w:tr>
      <w:tr w:rsidR="0091178F" w14:paraId="76007B07" w14:textId="77777777" w:rsidTr="006D78DE">
        <w:tc>
          <w:tcPr>
            <w:tcW w:w="2405" w:type="dxa"/>
          </w:tcPr>
          <w:p w14:paraId="670580CE" w14:textId="54268133"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i/>
                <w:iCs/>
                <w:sz w:val="18"/>
                <w:szCs w:val="18"/>
              </w:rPr>
              <w:t xml:space="preserve">19. </w:t>
            </w:r>
            <w:r w:rsidRPr="00BC7D29">
              <w:rPr>
                <w:rFonts w:ascii="Times New Roman" w:hAnsi="Times New Roman" w:cs="Times New Roman"/>
                <w:i/>
                <w:iCs/>
                <w:sz w:val="18"/>
                <w:szCs w:val="18"/>
              </w:rPr>
              <w:t>COMPEN</w:t>
            </w:r>
            <w:r w:rsidR="00C325D8">
              <w:rPr>
                <w:rFonts w:ascii="Times New Roman" w:hAnsi="Times New Roman" w:cs="Times New Roman"/>
                <w:i/>
                <w:iCs/>
                <w:sz w:val="18"/>
                <w:szCs w:val="18"/>
              </w:rPr>
              <w:t>SATION</w:t>
            </w:r>
          </w:p>
        </w:tc>
        <w:tc>
          <w:tcPr>
            <w:tcW w:w="1134" w:type="dxa"/>
          </w:tcPr>
          <w:p w14:paraId="592B55BF" w14:textId="77777777" w:rsidR="0091178F" w:rsidRPr="000D488F" w:rsidRDefault="0091178F" w:rsidP="006D78DE">
            <w:pPr>
              <w:widowControl/>
              <w:jc w:val="left"/>
              <w:rPr>
                <w:rFonts w:ascii="Times New Roman" w:hAnsi="Times New Roman" w:cs="Times New Roman"/>
                <w:color w:val="000000" w:themeColor="text1"/>
                <w:sz w:val="18"/>
                <w:szCs w:val="18"/>
              </w:rPr>
            </w:pPr>
            <w:r w:rsidRPr="0003459E">
              <w:rPr>
                <w:rFonts w:ascii="Times New Roman" w:hAnsi="Times New Roman" w:cs="Times New Roman"/>
                <w:color w:val="000000" w:themeColor="text1"/>
                <w:sz w:val="18"/>
                <w:szCs w:val="18"/>
              </w:rPr>
              <w:t>0.038</w:t>
            </w:r>
          </w:p>
        </w:tc>
        <w:tc>
          <w:tcPr>
            <w:tcW w:w="1134" w:type="dxa"/>
          </w:tcPr>
          <w:p w14:paraId="6E856457" w14:textId="77777777" w:rsidR="0091178F" w:rsidRPr="000D488F" w:rsidRDefault="0091178F" w:rsidP="006D78DE">
            <w:pPr>
              <w:widowControl/>
              <w:jc w:val="left"/>
              <w:rPr>
                <w:rFonts w:ascii="Times New Roman" w:hAnsi="Times New Roman" w:cs="Times New Roman"/>
                <w:color w:val="000000" w:themeColor="text1"/>
                <w:sz w:val="18"/>
                <w:szCs w:val="18"/>
              </w:rPr>
            </w:pPr>
            <w:r w:rsidRPr="00C406F1">
              <w:rPr>
                <w:rFonts w:ascii="Times New Roman" w:hAnsi="Times New Roman" w:cs="Times New Roman"/>
                <w:color w:val="000000" w:themeColor="text1"/>
                <w:sz w:val="18"/>
                <w:szCs w:val="18"/>
              </w:rPr>
              <w:t>0.14</w:t>
            </w:r>
            <w:r>
              <w:rPr>
                <w:rFonts w:ascii="Times New Roman" w:hAnsi="Times New Roman" w:cs="Times New Roman"/>
                <w:color w:val="000000" w:themeColor="text1"/>
                <w:sz w:val="18"/>
                <w:szCs w:val="18"/>
              </w:rPr>
              <w:t>7***</w:t>
            </w:r>
          </w:p>
        </w:tc>
        <w:tc>
          <w:tcPr>
            <w:tcW w:w="1134" w:type="dxa"/>
          </w:tcPr>
          <w:p w14:paraId="0E674349"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0.13</w:t>
            </w:r>
            <w:r>
              <w:rPr>
                <w:rFonts w:ascii="Times New Roman" w:hAnsi="Times New Roman" w:cs="Times New Roman"/>
                <w:color w:val="000000" w:themeColor="text1"/>
                <w:sz w:val="18"/>
                <w:szCs w:val="18"/>
              </w:rPr>
              <w:t>6***</w:t>
            </w:r>
          </w:p>
        </w:tc>
        <w:tc>
          <w:tcPr>
            <w:tcW w:w="1134" w:type="dxa"/>
          </w:tcPr>
          <w:p w14:paraId="2A8D0DBB" w14:textId="77777777" w:rsidR="0091178F" w:rsidRPr="000D488F" w:rsidRDefault="0091178F" w:rsidP="006D78DE">
            <w:pPr>
              <w:widowControl/>
              <w:jc w:val="left"/>
              <w:rPr>
                <w:rFonts w:ascii="Times New Roman" w:hAnsi="Times New Roman" w:cs="Times New Roman"/>
                <w:color w:val="000000" w:themeColor="text1"/>
                <w:sz w:val="18"/>
                <w:szCs w:val="18"/>
              </w:rPr>
            </w:pPr>
            <w:r w:rsidRPr="00D744EB">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4</w:t>
            </w:r>
          </w:p>
        </w:tc>
        <w:tc>
          <w:tcPr>
            <w:tcW w:w="1134" w:type="dxa"/>
          </w:tcPr>
          <w:p w14:paraId="005479FB"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-0.032</w:t>
            </w:r>
          </w:p>
        </w:tc>
        <w:tc>
          <w:tcPr>
            <w:tcW w:w="1134" w:type="dxa"/>
          </w:tcPr>
          <w:p w14:paraId="43D84AC1"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0.166</w:t>
            </w:r>
            <w:r>
              <w:rPr>
                <w:rFonts w:ascii="Times New Roman" w:hAnsi="Times New Roman" w:cs="Times New Roman"/>
                <w:color w:val="000000" w:themeColor="text1"/>
                <w:sz w:val="18"/>
                <w:szCs w:val="18"/>
              </w:rPr>
              <w:t>***</w:t>
            </w:r>
          </w:p>
        </w:tc>
        <w:tc>
          <w:tcPr>
            <w:tcW w:w="1134" w:type="dxa"/>
          </w:tcPr>
          <w:p w14:paraId="5BB8AD46"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-0.033</w:t>
            </w:r>
          </w:p>
        </w:tc>
        <w:tc>
          <w:tcPr>
            <w:tcW w:w="1134" w:type="dxa"/>
          </w:tcPr>
          <w:p w14:paraId="56DC3284" w14:textId="77777777" w:rsidR="0091178F" w:rsidRPr="000D488F" w:rsidRDefault="0091178F" w:rsidP="006D78DE">
            <w:pPr>
              <w:widowControl/>
              <w:jc w:val="left"/>
              <w:rPr>
                <w:rFonts w:ascii="Times New Roman" w:hAnsi="Times New Roman" w:cs="Times New Roman"/>
                <w:color w:val="000000" w:themeColor="text1"/>
                <w:sz w:val="18"/>
                <w:szCs w:val="18"/>
              </w:rPr>
            </w:pPr>
            <w:r w:rsidRPr="002959D1">
              <w:rPr>
                <w:rFonts w:ascii="Times New Roman" w:hAnsi="Times New Roman" w:cs="Times New Roman"/>
                <w:color w:val="000000" w:themeColor="text1"/>
                <w:sz w:val="18"/>
                <w:szCs w:val="18"/>
              </w:rPr>
              <w:t>0.05</w:t>
            </w:r>
            <w:r>
              <w:rPr>
                <w:rFonts w:ascii="Times New Roman" w:hAnsi="Times New Roman" w:cs="Times New Roman"/>
                <w:color w:val="000000" w:themeColor="text1"/>
                <w:sz w:val="18"/>
                <w:szCs w:val="18"/>
              </w:rPr>
              <w:t>2</w:t>
            </w:r>
          </w:p>
        </w:tc>
        <w:tc>
          <w:tcPr>
            <w:tcW w:w="1134" w:type="dxa"/>
          </w:tcPr>
          <w:p w14:paraId="588AD4DB"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0.162</w:t>
            </w:r>
            <w:r>
              <w:rPr>
                <w:rFonts w:ascii="Times New Roman" w:hAnsi="Times New Roman" w:cs="Times New Roman"/>
                <w:color w:val="000000" w:themeColor="text1"/>
                <w:sz w:val="18"/>
                <w:szCs w:val="18"/>
              </w:rPr>
              <w:t>***</w:t>
            </w:r>
          </w:p>
        </w:tc>
        <w:tc>
          <w:tcPr>
            <w:tcW w:w="1134" w:type="dxa"/>
          </w:tcPr>
          <w:p w14:paraId="6114CCC5" w14:textId="77777777" w:rsidR="0091178F" w:rsidRPr="000D488F" w:rsidRDefault="0091178F" w:rsidP="006D78DE">
            <w:pPr>
              <w:widowControl/>
              <w:jc w:val="left"/>
              <w:rPr>
                <w:rFonts w:ascii="Times New Roman" w:hAnsi="Times New Roman" w:cs="Times New Roman"/>
                <w:color w:val="000000" w:themeColor="text1"/>
                <w:sz w:val="18"/>
                <w:szCs w:val="18"/>
              </w:rPr>
            </w:pPr>
            <w:r w:rsidRPr="00EA2B10">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1</w:t>
            </w:r>
          </w:p>
        </w:tc>
      </w:tr>
      <w:tr w:rsidR="0091178F" w14:paraId="6D0D5A4A" w14:textId="77777777" w:rsidTr="006D78DE">
        <w:tc>
          <w:tcPr>
            <w:tcW w:w="2405" w:type="dxa"/>
            <w:tcBorders>
              <w:bottom w:val="single" w:sz="6" w:space="0" w:color="auto"/>
            </w:tcBorders>
          </w:tcPr>
          <w:p w14:paraId="0B7CB71A" w14:textId="77777777" w:rsidR="0091178F" w:rsidRDefault="0091178F" w:rsidP="006D78DE">
            <w:pPr>
              <w:widowControl/>
              <w:jc w:val="left"/>
              <w:rPr>
                <w:rFonts w:ascii="Times New Roman" w:hAnsi="Times New Roman" w:cs="Times New Roman"/>
                <w:i/>
                <w:iCs/>
                <w:sz w:val="18"/>
                <w:szCs w:val="18"/>
              </w:rPr>
            </w:pPr>
          </w:p>
        </w:tc>
        <w:tc>
          <w:tcPr>
            <w:tcW w:w="1134" w:type="dxa"/>
            <w:tcBorders>
              <w:bottom w:val="single" w:sz="6" w:space="0" w:color="auto"/>
            </w:tcBorders>
          </w:tcPr>
          <w:p w14:paraId="4A892827" w14:textId="77777777" w:rsidR="0091178F" w:rsidRPr="0003459E"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0AD6337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56821BA6"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586B95F5"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3264AC00"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5B27473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0CE46400"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30DD0501"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2A15C943"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Borders>
              <w:bottom w:val="single" w:sz="6" w:space="0" w:color="auto"/>
            </w:tcBorders>
          </w:tcPr>
          <w:p w14:paraId="20D6D746"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2536D930" w14:textId="77777777" w:rsidTr="006D78DE">
        <w:tc>
          <w:tcPr>
            <w:tcW w:w="13745" w:type="dxa"/>
            <w:gridSpan w:val="11"/>
          </w:tcPr>
          <w:p w14:paraId="344DBC20"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Panel B: Variables 11–19</w:t>
            </w:r>
          </w:p>
        </w:tc>
      </w:tr>
      <w:tr w:rsidR="0091178F" w14:paraId="42D85725" w14:textId="77777777" w:rsidTr="006D78DE">
        <w:tc>
          <w:tcPr>
            <w:tcW w:w="2405" w:type="dxa"/>
            <w:tcBorders>
              <w:top w:val="single" w:sz="6" w:space="0" w:color="auto"/>
            </w:tcBorders>
          </w:tcPr>
          <w:p w14:paraId="4436DDCE" w14:textId="77777777" w:rsidR="0091178F" w:rsidRPr="00F9178B" w:rsidRDefault="0091178F" w:rsidP="006D78DE">
            <w:pPr>
              <w:widowControl/>
              <w:jc w:val="left"/>
              <w:rPr>
                <w:rFonts w:ascii="Times New Roman" w:hAnsi="Times New Roman" w:cs="Times New Roman"/>
                <w:sz w:val="18"/>
                <w:szCs w:val="18"/>
              </w:rPr>
            </w:pPr>
            <w:r>
              <w:rPr>
                <w:rFonts w:ascii="Times New Roman" w:hAnsi="Times New Roman" w:cs="Times New Roman"/>
                <w:sz w:val="18"/>
                <w:szCs w:val="18"/>
              </w:rPr>
              <w:t xml:space="preserve">Variables </w:t>
            </w:r>
          </w:p>
        </w:tc>
        <w:tc>
          <w:tcPr>
            <w:tcW w:w="1134" w:type="dxa"/>
            <w:tcBorders>
              <w:top w:val="single" w:sz="6" w:space="0" w:color="auto"/>
            </w:tcBorders>
          </w:tcPr>
          <w:p w14:paraId="07E7F9BC" w14:textId="77777777" w:rsidR="0091178F" w:rsidRPr="0003459E"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w:t>
            </w:r>
          </w:p>
        </w:tc>
        <w:tc>
          <w:tcPr>
            <w:tcW w:w="1134" w:type="dxa"/>
            <w:tcBorders>
              <w:top w:val="single" w:sz="6" w:space="0" w:color="auto"/>
            </w:tcBorders>
          </w:tcPr>
          <w:p w14:paraId="6964693A"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1134" w:type="dxa"/>
            <w:tcBorders>
              <w:top w:val="single" w:sz="6" w:space="0" w:color="auto"/>
            </w:tcBorders>
          </w:tcPr>
          <w:p w14:paraId="4C25BE4C"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w:t>
            </w:r>
          </w:p>
        </w:tc>
        <w:tc>
          <w:tcPr>
            <w:tcW w:w="1134" w:type="dxa"/>
            <w:tcBorders>
              <w:top w:val="single" w:sz="6" w:space="0" w:color="auto"/>
            </w:tcBorders>
          </w:tcPr>
          <w:p w14:paraId="5F02367C"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w:t>
            </w:r>
          </w:p>
        </w:tc>
        <w:tc>
          <w:tcPr>
            <w:tcW w:w="1134" w:type="dxa"/>
            <w:tcBorders>
              <w:top w:val="single" w:sz="6" w:space="0" w:color="auto"/>
            </w:tcBorders>
          </w:tcPr>
          <w:p w14:paraId="72F11AD2"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c>
          <w:tcPr>
            <w:tcW w:w="1134" w:type="dxa"/>
            <w:tcBorders>
              <w:top w:val="single" w:sz="6" w:space="0" w:color="auto"/>
            </w:tcBorders>
          </w:tcPr>
          <w:p w14:paraId="269EDA15"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1134" w:type="dxa"/>
            <w:tcBorders>
              <w:top w:val="single" w:sz="6" w:space="0" w:color="auto"/>
            </w:tcBorders>
          </w:tcPr>
          <w:p w14:paraId="372131C5"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w:t>
            </w:r>
          </w:p>
        </w:tc>
        <w:tc>
          <w:tcPr>
            <w:tcW w:w="1134" w:type="dxa"/>
            <w:tcBorders>
              <w:top w:val="single" w:sz="6" w:space="0" w:color="auto"/>
            </w:tcBorders>
          </w:tcPr>
          <w:p w14:paraId="0F7F19C0"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w:t>
            </w:r>
          </w:p>
        </w:tc>
        <w:tc>
          <w:tcPr>
            <w:tcW w:w="1134" w:type="dxa"/>
            <w:tcBorders>
              <w:top w:val="single" w:sz="6" w:space="0" w:color="auto"/>
            </w:tcBorders>
          </w:tcPr>
          <w:p w14:paraId="1A0BA3A8"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w:t>
            </w:r>
          </w:p>
        </w:tc>
        <w:tc>
          <w:tcPr>
            <w:tcW w:w="1134" w:type="dxa"/>
            <w:tcBorders>
              <w:top w:val="single" w:sz="6" w:space="0" w:color="auto"/>
            </w:tcBorders>
          </w:tcPr>
          <w:p w14:paraId="4B9233C1"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1495A4C3" w14:textId="77777777" w:rsidTr="006D78DE">
        <w:tc>
          <w:tcPr>
            <w:tcW w:w="2405" w:type="dxa"/>
          </w:tcPr>
          <w:p w14:paraId="0093ECBA" w14:textId="77777777"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11. </w:t>
            </w:r>
            <w:r w:rsidRPr="005E73C2">
              <w:rPr>
                <w:rFonts w:asciiTheme="majorBidi" w:hAnsiTheme="majorBidi" w:cstheme="majorBidi"/>
                <w:i/>
                <w:iCs/>
                <w:color w:val="000000" w:themeColor="text1"/>
                <w:sz w:val="18"/>
                <w:szCs w:val="18"/>
              </w:rPr>
              <w:t>LOSS</w:t>
            </w:r>
          </w:p>
        </w:tc>
        <w:tc>
          <w:tcPr>
            <w:tcW w:w="1134" w:type="dxa"/>
          </w:tcPr>
          <w:p w14:paraId="45ED5D95" w14:textId="77777777" w:rsidR="0091178F" w:rsidRPr="0003459E"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3E2BF7F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7D3C38D"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5201BA6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7582A5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C5D95FC"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D4FD5D7"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6ACB652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7F4976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D605B27"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67D6D98E" w14:textId="77777777" w:rsidTr="006D78DE">
        <w:tc>
          <w:tcPr>
            <w:tcW w:w="2405" w:type="dxa"/>
          </w:tcPr>
          <w:p w14:paraId="4BDE8C27" w14:textId="23325F73"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12, </w:t>
            </w:r>
            <w:r w:rsidRPr="005E73C2">
              <w:rPr>
                <w:rFonts w:asciiTheme="majorBidi" w:hAnsiTheme="majorBidi" w:cstheme="majorBidi"/>
                <w:i/>
                <w:iCs/>
                <w:color w:val="000000" w:themeColor="text1"/>
                <w:sz w:val="18"/>
                <w:szCs w:val="18"/>
              </w:rPr>
              <w:t>DU</w:t>
            </w:r>
            <w:r w:rsidR="00C325D8">
              <w:rPr>
                <w:rFonts w:asciiTheme="majorBidi" w:hAnsiTheme="majorBidi" w:cstheme="majorBidi"/>
                <w:i/>
                <w:iCs/>
                <w:color w:val="000000" w:themeColor="text1"/>
                <w:sz w:val="18"/>
                <w:szCs w:val="18"/>
              </w:rPr>
              <w:t>AL</w:t>
            </w:r>
          </w:p>
        </w:tc>
        <w:tc>
          <w:tcPr>
            <w:tcW w:w="1134" w:type="dxa"/>
          </w:tcPr>
          <w:p w14:paraId="33B3A0AA" w14:textId="77777777" w:rsidR="0091178F" w:rsidRPr="0003459E"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0.00</w:t>
            </w:r>
            <w:r>
              <w:rPr>
                <w:rFonts w:ascii="Times New Roman" w:hAnsi="Times New Roman" w:cs="Times New Roman"/>
                <w:color w:val="000000" w:themeColor="text1"/>
                <w:sz w:val="18"/>
                <w:szCs w:val="18"/>
              </w:rPr>
              <w:t>2</w:t>
            </w:r>
          </w:p>
        </w:tc>
        <w:tc>
          <w:tcPr>
            <w:tcW w:w="1134" w:type="dxa"/>
          </w:tcPr>
          <w:p w14:paraId="0D277433"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3DA1853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8809420"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7BF8735"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9B2F890"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1F66CF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55BF834B"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F1CB13C"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AC80E3B"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7C0407AE" w14:textId="77777777" w:rsidTr="006D78DE">
        <w:tc>
          <w:tcPr>
            <w:tcW w:w="2405" w:type="dxa"/>
          </w:tcPr>
          <w:p w14:paraId="3864FA9F" w14:textId="71D983ED"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13. </w:t>
            </w:r>
            <w:r w:rsidRPr="005E73C2">
              <w:rPr>
                <w:rFonts w:asciiTheme="majorBidi" w:hAnsiTheme="majorBidi" w:cstheme="majorBidi"/>
                <w:i/>
                <w:iCs/>
                <w:color w:val="000000" w:themeColor="text1"/>
                <w:sz w:val="18"/>
                <w:szCs w:val="18"/>
              </w:rPr>
              <w:t>TENU</w:t>
            </w:r>
            <w:r w:rsidR="00C325D8">
              <w:rPr>
                <w:rFonts w:asciiTheme="majorBidi" w:hAnsiTheme="majorBidi" w:cstheme="majorBidi"/>
                <w:i/>
                <w:iCs/>
                <w:color w:val="000000" w:themeColor="text1"/>
                <w:sz w:val="18"/>
                <w:szCs w:val="18"/>
              </w:rPr>
              <w:t>RE</w:t>
            </w:r>
          </w:p>
        </w:tc>
        <w:tc>
          <w:tcPr>
            <w:tcW w:w="1134" w:type="dxa"/>
          </w:tcPr>
          <w:p w14:paraId="14EF7E08" w14:textId="77777777" w:rsidR="0091178F" w:rsidRPr="0003459E"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-0.04</w:t>
            </w:r>
            <w:r>
              <w:rPr>
                <w:rFonts w:ascii="Times New Roman" w:hAnsi="Times New Roman" w:cs="Times New Roman"/>
                <w:color w:val="000000" w:themeColor="text1"/>
                <w:sz w:val="18"/>
                <w:szCs w:val="18"/>
              </w:rPr>
              <w:t>9</w:t>
            </w:r>
          </w:p>
        </w:tc>
        <w:tc>
          <w:tcPr>
            <w:tcW w:w="1134" w:type="dxa"/>
          </w:tcPr>
          <w:p w14:paraId="42C2AB55"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-0.10</w:t>
            </w:r>
            <w:r>
              <w:rPr>
                <w:rFonts w:ascii="Times New Roman" w:hAnsi="Times New Roman" w:cs="Times New Roman"/>
                <w:color w:val="000000" w:themeColor="text1"/>
                <w:sz w:val="18"/>
                <w:szCs w:val="18"/>
              </w:rPr>
              <w:t>3**</w:t>
            </w:r>
          </w:p>
        </w:tc>
        <w:tc>
          <w:tcPr>
            <w:tcW w:w="1134" w:type="dxa"/>
          </w:tcPr>
          <w:p w14:paraId="4133BF16"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79367559"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940C6AD"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512B1B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9379AC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539CF70"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5D7BAE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02AFBA0"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4A984B1D" w14:textId="77777777" w:rsidTr="006D78DE">
        <w:tc>
          <w:tcPr>
            <w:tcW w:w="2405" w:type="dxa"/>
          </w:tcPr>
          <w:p w14:paraId="41A7A741" w14:textId="06CED9DD"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14. </w:t>
            </w:r>
            <w:r w:rsidR="00C325D8" w:rsidRPr="005E73C2">
              <w:rPr>
                <w:rFonts w:asciiTheme="majorBidi" w:hAnsiTheme="majorBidi" w:cstheme="majorBidi"/>
                <w:i/>
                <w:iCs/>
                <w:color w:val="000000" w:themeColor="text1"/>
                <w:sz w:val="18"/>
                <w:szCs w:val="18"/>
              </w:rPr>
              <w:t>IND</w:t>
            </w:r>
            <w:r w:rsidR="00C325D8">
              <w:rPr>
                <w:rFonts w:asciiTheme="majorBidi" w:hAnsiTheme="majorBidi" w:cstheme="majorBidi"/>
                <w:i/>
                <w:iCs/>
                <w:color w:val="000000" w:themeColor="text1"/>
                <w:sz w:val="18"/>
                <w:szCs w:val="18"/>
              </w:rPr>
              <w:t>EP</w:t>
            </w:r>
          </w:p>
        </w:tc>
        <w:tc>
          <w:tcPr>
            <w:tcW w:w="1134" w:type="dxa"/>
          </w:tcPr>
          <w:p w14:paraId="57C84AFE" w14:textId="77777777" w:rsidR="0091178F" w:rsidRPr="0003459E"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6</w:t>
            </w:r>
          </w:p>
        </w:tc>
        <w:tc>
          <w:tcPr>
            <w:tcW w:w="1134" w:type="dxa"/>
          </w:tcPr>
          <w:p w14:paraId="39F1DF12"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0.155</w:t>
            </w:r>
            <w:r>
              <w:rPr>
                <w:rFonts w:ascii="Times New Roman" w:hAnsi="Times New Roman" w:cs="Times New Roman"/>
                <w:color w:val="000000" w:themeColor="text1"/>
                <w:sz w:val="18"/>
                <w:szCs w:val="18"/>
              </w:rPr>
              <w:t>***</w:t>
            </w:r>
          </w:p>
        </w:tc>
        <w:tc>
          <w:tcPr>
            <w:tcW w:w="1134" w:type="dxa"/>
          </w:tcPr>
          <w:p w14:paraId="0F07857E"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-0.29</w:t>
            </w:r>
            <w:r>
              <w:rPr>
                <w:rFonts w:ascii="Times New Roman" w:hAnsi="Times New Roman" w:cs="Times New Roman"/>
                <w:color w:val="000000" w:themeColor="text1"/>
                <w:sz w:val="18"/>
                <w:szCs w:val="18"/>
              </w:rPr>
              <w:t>6***</w:t>
            </w:r>
          </w:p>
        </w:tc>
        <w:tc>
          <w:tcPr>
            <w:tcW w:w="1134" w:type="dxa"/>
          </w:tcPr>
          <w:p w14:paraId="2E98DEFC"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39AF237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EF075BC"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9E1572F"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4DA6E2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AC0C455"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038B583"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4B73C37A" w14:textId="77777777" w:rsidTr="006D78DE">
        <w:tc>
          <w:tcPr>
            <w:tcW w:w="2405" w:type="dxa"/>
          </w:tcPr>
          <w:p w14:paraId="4F86805C" w14:textId="1E6B10AA"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15. </w:t>
            </w:r>
            <w:r w:rsidRPr="005E73C2">
              <w:rPr>
                <w:rFonts w:asciiTheme="majorBidi" w:hAnsiTheme="majorBidi" w:cstheme="majorBidi"/>
                <w:i/>
                <w:iCs/>
                <w:color w:val="000000" w:themeColor="text1"/>
                <w:sz w:val="18"/>
                <w:szCs w:val="18"/>
              </w:rPr>
              <w:t>B</w:t>
            </w:r>
            <w:r w:rsidR="00C325D8">
              <w:rPr>
                <w:rFonts w:asciiTheme="majorBidi" w:hAnsiTheme="majorBidi" w:cstheme="majorBidi"/>
                <w:i/>
                <w:iCs/>
                <w:color w:val="000000" w:themeColor="text1"/>
                <w:sz w:val="18"/>
                <w:szCs w:val="18"/>
              </w:rPr>
              <w:t>D</w:t>
            </w:r>
            <w:r w:rsidRPr="005E73C2">
              <w:rPr>
                <w:rFonts w:asciiTheme="majorBidi" w:hAnsiTheme="majorBidi" w:cstheme="majorBidi"/>
                <w:i/>
                <w:iCs/>
                <w:color w:val="000000" w:themeColor="text1"/>
                <w:sz w:val="18"/>
                <w:szCs w:val="18"/>
              </w:rPr>
              <w:t>SIZE</w:t>
            </w:r>
          </w:p>
        </w:tc>
        <w:tc>
          <w:tcPr>
            <w:tcW w:w="1134" w:type="dxa"/>
          </w:tcPr>
          <w:p w14:paraId="75F727AE" w14:textId="77777777" w:rsidR="0091178F" w:rsidRPr="0003459E"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4</w:t>
            </w:r>
          </w:p>
        </w:tc>
        <w:tc>
          <w:tcPr>
            <w:tcW w:w="1134" w:type="dxa"/>
          </w:tcPr>
          <w:p w14:paraId="25BA2B62"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-0.1</w:t>
            </w:r>
            <w:r>
              <w:rPr>
                <w:rFonts w:ascii="Times New Roman" w:hAnsi="Times New Roman" w:cs="Times New Roman"/>
                <w:color w:val="000000" w:themeColor="text1"/>
                <w:sz w:val="18"/>
                <w:szCs w:val="18"/>
              </w:rPr>
              <w:t>20***</w:t>
            </w:r>
          </w:p>
        </w:tc>
        <w:tc>
          <w:tcPr>
            <w:tcW w:w="1134" w:type="dxa"/>
          </w:tcPr>
          <w:p w14:paraId="721F1B1A"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-0.16</w:t>
            </w:r>
            <w:r>
              <w:rPr>
                <w:rFonts w:ascii="Times New Roman" w:hAnsi="Times New Roman" w:cs="Times New Roman"/>
                <w:color w:val="000000" w:themeColor="text1"/>
                <w:sz w:val="18"/>
                <w:szCs w:val="18"/>
              </w:rPr>
              <w:t>9***</w:t>
            </w:r>
          </w:p>
        </w:tc>
        <w:tc>
          <w:tcPr>
            <w:tcW w:w="1134" w:type="dxa"/>
          </w:tcPr>
          <w:p w14:paraId="2E5F9FBE"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0.237</w:t>
            </w:r>
            <w:r>
              <w:rPr>
                <w:rFonts w:ascii="Times New Roman" w:hAnsi="Times New Roman" w:cs="Times New Roman"/>
                <w:color w:val="000000" w:themeColor="text1"/>
                <w:sz w:val="18"/>
                <w:szCs w:val="18"/>
              </w:rPr>
              <w:t>***</w:t>
            </w:r>
          </w:p>
        </w:tc>
        <w:tc>
          <w:tcPr>
            <w:tcW w:w="1134" w:type="dxa"/>
          </w:tcPr>
          <w:p w14:paraId="25801A0F"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3E7489B7"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7D40A46"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C9ADC46"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C012FC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7493215C"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135ADD4C" w14:textId="77777777" w:rsidTr="006D78DE">
        <w:tc>
          <w:tcPr>
            <w:tcW w:w="2405" w:type="dxa"/>
          </w:tcPr>
          <w:p w14:paraId="331EFF4E" w14:textId="77777777"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16. </w:t>
            </w:r>
            <w:r w:rsidRPr="005E73C2">
              <w:rPr>
                <w:rFonts w:asciiTheme="majorBidi" w:hAnsiTheme="majorBidi" w:cstheme="majorBidi"/>
                <w:i/>
                <w:iCs/>
                <w:color w:val="000000" w:themeColor="text1"/>
                <w:sz w:val="18"/>
                <w:szCs w:val="18"/>
              </w:rPr>
              <w:t>ACSIZE</w:t>
            </w:r>
          </w:p>
        </w:tc>
        <w:tc>
          <w:tcPr>
            <w:tcW w:w="1134" w:type="dxa"/>
          </w:tcPr>
          <w:p w14:paraId="473520F6" w14:textId="77777777" w:rsidR="0091178F" w:rsidRPr="0003459E"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-0.00</w:t>
            </w:r>
            <w:r>
              <w:rPr>
                <w:rFonts w:ascii="Times New Roman" w:hAnsi="Times New Roman" w:cs="Times New Roman"/>
                <w:color w:val="000000" w:themeColor="text1"/>
                <w:sz w:val="18"/>
                <w:szCs w:val="18"/>
              </w:rPr>
              <w:t>9</w:t>
            </w:r>
          </w:p>
        </w:tc>
        <w:tc>
          <w:tcPr>
            <w:tcW w:w="1134" w:type="dxa"/>
          </w:tcPr>
          <w:p w14:paraId="5C3E5E19"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0.26</w:t>
            </w:r>
            <w:r>
              <w:rPr>
                <w:rFonts w:ascii="Times New Roman" w:hAnsi="Times New Roman" w:cs="Times New Roman"/>
                <w:color w:val="000000" w:themeColor="text1"/>
                <w:sz w:val="18"/>
                <w:szCs w:val="18"/>
              </w:rPr>
              <w:t>6***</w:t>
            </w:r>
          </w:p>
        </w:tc>
        <w:tc>
          <w:tcPr>
            <w:tcW w:w="1134" w:type="dxa"/>
          </w:tcPr>
          <w:p w14:paraId="5FACD207"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1</w:t>
            </w:r>
          </w:p>
        </w:tc>
        <w:tc>
          <w:tcPr>
            <w:tcW w:w="1134" w:type="dxa"/>
          </w:tcPr>
          <w:p w14:paraId="0402346F"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0.13</w:t>
            </w:r>
            <w:r>
              <w:rPr>
                <w:rFonts w:ascii="Times New Roman" w:hAnsi="Times New Roman" w:cs="Times New Roman"/>
                <w:color w:val="000000" w:themeColor="text1"/>
                <w:sz w:val="18"/>
                <w:szCs w:val="18"/>
              </w:rPr>
              <w:t>1***</w:t>
            </w:r>
          </w:p>
        </w:tc>
        <w:tc>
          <w:tcPr>
            <w:tcW w:w="1134" w:type="dxa"/>
          </w:tcPr>
          <w:p w14:paraId="63A22A4A"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-0.467</w:t>
            </w:r>
            <w:r>
              <w:rPr>
                <w:rFonts w:ascii="Times New Roman" w:hAnsi="Times New Roman" w:cs="Times New Roman"/>
                <w:color w:val="000000" w:themeColor="text1"/>
                <w:sz w:val="18"/>
                <w:szCs w:val="18"/>
              </w:rPr>
              <w:t>***</w:t>
            </w:r>
          </w:p>
        </w:tc>
        <w:tc>
          <w:tcPr>
            <w:tcW w:w="1134" w:type="dxa"/>
          </w:tcPr>
          <w:p w14:paraId="5F3D39EA"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4AE3A877"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AC2AAA2"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918D4AE"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08A3EA29"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775D8196" w14:textId="77777777" w:rsidTr="006D78DE">
        <w:tc>
          <w:tcPr>
            <w:tcW w:w="2405" w:type="dxa"/>
          </w:tcPr>
          <w:p w14:paraId="1FE85B24" w14:textId="02B71095" w:rsidR="0091178F" w:rsidRDefault="0091178F" w:rsidP="006D78DE">
            <w:pPr>
              <w:widowControl/>
              <w:jc w:val="left"/>
              <w:rPr>
                <w:rFonts w:ascii="Times New Roman" w:hAnsi="Times New Roman" w:cs="Times New Roman"/>
                <w:i/>
                <w:iCs/>
                <w:sz w:val="18"/>
                <w:szCs w:val="18"/>
              </w:rPr>
            </w:pPr>
            <w:r>
              <w:rPr>
                <w:rFonts w:asciiTheme="majorBidi" w:hAnsiTheme="majorBidi" w:cstheme="majorBidi"/>
                <w:i/>
                <w:iCs/>
                <w:color w:val="000000" w:themeColor="text1"/>
                <w:sz w:val="18"/>
                <w:szCs w:val="18"/>
              </w:rPr>
              <w:t xml:space="preserve">17. </w:t>
            </w:r>
            <w:r w:rsidR="00C325D8" w:rsidRPr="005E73C2">
              <w:rPr>
                <w:rFonts w:asciiTheme="majorBidi" w:hAnsiTheme="majorBidi" w:cstheme="majorBidi"/>
                <w:i/>
                <w:iCs/>
                <w:color w:val="000000" w:themeColor="text1"/>
                <w:sz w:val="18"/>
                <w:szCs w:val="18"/>
              </w:rPr>
              <w:t>FEMALE</w:t>
            </w:r>
          </w:p>
        </w:tc>
        <w:tc>
          <w:tcPr>
            <w:tcW w:w="1134" w:type="dxa"/>
          </w:tcPr>
          <w:p w14:paraId="2FFD4633" w14:textId="77777777" w:rsidR="0091178F" w:rsidRPr="0003459E"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-0.095</w:t>
            </w:r>
            <w:r>
              <w:rPr>
                <w:rFonts w:ascii="Times New Roman" w:hAnsi="Times New Roman" w:cs="Times New Roman"/>
                <w:color w:val="000000" w:themeColor="text1"/>
                <w:sz w:val="18"/>
                <w:szCs w:val="18"/>
              </w:rPr>
              <w:t>**</w:t>
            </w:r>
          </w:p>
        </w:tc>
        <w:tc>
          <w:tcPr>
            <w:tcW w:w="1134" w:type="dxa"/>
          </w:tcPr>
          <w:p w14:paraId="227AEF5E"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-0.068</w:t>
            </w:r>
          </w:p>
        </w:tc>
        <w:tc>
          <w:tcPr>
            <w:tcW w:w="1134" w:type="dxa"/>
          </w:tcPr>
          <w:p w14:paraId="613D9EA5"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0.04</w:t>
            </w:r>
            <w:r>
              <w:rPr>
                <w:rFonts w:ascii="Times New Roman" w:hAnsi="Times New Roman" w:cs="Times New Roman"/>
                <w:color w:val="000000" w:themeColor="text1"/>
                <w:sz w:val="18"/>
                <w:szCs w:val="18"/>
              </w:rPr>
              <w:t>4</w:t>
            </w:r>
          </w:p>
        </w:tc>
        <w:tc>
          <w:tcPr>
            <w:tcW w:w="1134" w:type="dxa"/>
          </w:tcPr>
          <w:p w14:paraId="13FC144F"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0.069</w:t>
            </w:r>
          </w:p>
        </w:tc>
        <w:tc>
          <w:tcPr>
            <w:tcW w:w="1134" w:type="dxa"/>
          </w:tcPr>
          <w:p w14:paraId="48A3D18C"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100***</w:t>
            </w:r>
          </w:p>
        </w:tc>
        <w:tc>
          <w:tcPr>
            <w:tcW w:w="1134" w:type="dxa"/>
          </w:tcPr>
          <w:p w14:paraId="4FAAC033"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0.01</w:t>
            </w:r>
            <w:r>
              <w:rPr>
                <w:rFonts w:ascii="Times New Roman" w:hAnsi="Times New Roman" w:cs="Times New Roman"/>
                <w:color w:val="000000" w:themeColor="text1"/>
                <w:sz w:val="18"/>
                <w:szCs w:val="18"/>
              </w:rPr>
              <w:t>6</w:t>
            </w:r>
          </w:p>
        </w:tc>
        <w:tc>
          <w:tcPr>
            <w:tcW w:w="1134" w:type="dxa"/>
          </w:tcPr>
          <w:p w14:paraId="649C4449"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59F4839A"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1469980B"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31FAA375"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2AA91AB7" w14:textId="77777777" w:rsidTr="006D78DE">
        <w:tc>
          <w:tcPr>
            <w:tcW w:w="2405" w:type="dxa"/>
          </w:tcPr>
          <w:p w14:paraId="59415FA3" w14:textId="04A97016" w:rsidR="0091178F" w:rsidRPr="000D488F" w:rsidRDefault="0091178F" w:rsidP="006D78DE">
            <w:pPr>
              <w:widowControl/>
              <w:jc w:val="left"/>
              <w:rPr>
                <w:rFonts w:ascii="Times New Roman" w:hAnsi="Times New Roman" w:cs="Times New Roman"/>
                <w:color w:val="000000" w:themeColor="text1"/>
                <w:sz w:val="18"/>
                <w:szCs w:val="18"/>
              </w:rPr>
            </w:pPr>
            <w:r>
              <w:rPr>
                <w:rFonts w:asciiTheme="majorBidi" w:hAnsiTheme="majorBidi" w:cstheme="majorBidi"/>
                <w:i/>
                <w:iCs/>
                <w:color w:val="000000" w:themeColor="text1"/>
                <w:sz w:val="18"/>
                <w:szCs w:val="18"/>
              </w:rPr>
              <w:t xml:space="preserve">18. </w:t>
            </w:r>
            <w:r w:rsidR="00C325D8" w:rsidRPr="005E73C2">
              <w:rPr>
                <w:rFonts w:asciiTheme="majorBidi" w:hAnsiTheme="majorBidi" w:cstheme="majorBidi"/>
                <w:i/>
                <w:iCs/>
                <w:color w:val="000000" w:themeColor="text1"/>
                <w:sz w:val="18"/>
                <w:szCs w:val="18"/>
              </w:rPr>
              <w:t>ACCEXP</w:t>
            </w:r>
          </w:p>
        </w:tc>
        <w:tc>
          <w:tcPr>
            <w:tcW w:w="1134" w:type="dxa"/>
          </w:tcPr>
          <w:p w14:paraId="3BFECBB4"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-0.058</w:t>
            </w:r>
          </w:p>
        </w:tc>
        <w:tc>
          <w:tcPr>
            <w:tcW w:w="1134" w:type="dxa"/>
          </w:tcPr>
          <w:p w14:paraId="38D989EA"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-0.036</w:t>
            </w:r>
          </w:p>
        </w:tc>
        <w:tc>
          <w:tcPr>
            <w:tcW w:w="1134" w:type="dxa"/>
          </w:tcPr>
          <w:p w14:paraId="0C8CA177"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2*</w:t>
            </w:r>
          </w:p>
        </w:tc>
        <w:tc>
          <w:tcPr>
            <w:tcW w:w="1134" w:type="dxa"/>
          </w:tcPr>
          <w:p w14:paraId="0A1B0257"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0.08</w:t>
            </w:r>
            <w:r>
              <w:rPr>
                <w:rFonts w:ascii="Times New Roman" w:hAnsi="Times New Roman" w:cs="Times New Roman"/>
                <w:color w:val="000000" w:themeColor="text1"/>
                <w:sz w:val="18"/>
                <w:szCs w:val="18"/>
              </w:rPr>
              <w:t>3*</w:t>
            </w:r>
          </w:p>
        </w:tc>
        <w:tc>
          <w:tcPr>
            <w:tcW w:w="1134" w:type="dxa"/>
          </w:tcPr>
          <w:p w14:paraId="4935683F"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w:t>
            </w:r>
            <w:r>
              <w:rPr>
                <w:rFonts w:ascii="Times New Roman" w:hAnsi="Times New Roman" w:cs="Times New Roman"/>
                <w:color w:val="000000" w:themeColor="text1"/>
                <w:sz w:val="18"/>
                <w:szCs w:val="18"/>
              </w:rPr>
              <w:t>10</w:t>
            </w:r>
          </w:p>
        </w:tc>
        <w:tc>
          <w:tcPr>
            <w:tcW w:w="1134" w:type="dxa"/>
          </w:tcPr>
          <w:p w14:paraId="20ED0BE9"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-0.17</w:t>
            </w:r>
            <w:r>
              <w:rPr>
                <w:rFonts w:ascii="Times New Roman" w:hAnsi="Times New Roman" w:cs="Times New Roman"/>
                <w:color w:val="000000" w:themeColor="text1"/>
                <w:sz w:val="18"/>
                <w:szCs w:val="18"/>
              </w:rPr>
              <w:t>3***</w:t>
            </w:r>
          </w:p>
        </w:tc>
        <w:tc>
          <w:tcPr>
            <w:tcW w:w="1134" w:type="dxa"/>
          </w:tcPr>
          <w:p w14:paraId="40EEA703"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-0.070</w:t>
            </w:r>
          </w:p>
        </w:tc>
        <w:tc>
          <w:tcPr>
            <w:tcW w:w="1134" w:type="dxa"/>
          </w:tcPr>
          <w:p w14:paraId="1E89EEDD"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Pr>
          <w:p w14:paraId="2C9D66C8" w14:textId="77777777" w:rsidR="0091178F" w:rsidRPr="000D488F" w:rsidRDefault="0091178F" w:rsidP="006D78DE">
            <w:pPr>
              <w:widowControl/>
              <w:jc w:val="left"/>
              <w:rPr>
                <w:rFonts w:ascii="Times New Roman" w:hAnsi="Times New Roman" w:cs="Times New Roman"/>
                <w:color w:val="000000" w:themeColor="text1"/>
                <w:sz w:val="18"/>
                <w:szCs w:val="18"/>
              </w:rPr>
            </w:pPr>
          </w:p>
        </w:tc>
        <w:tc>
          <w:tcPr>
            <w:tcW w:w="1134" w:type="dxa"/>
          </w:tcPr>
          <w:p w14:paraId="2D7CDFF9"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021FEE02" w14:textId="77777777" w:rsidTr="006D78DE">
        <w:tc>
          <w:tcPr>
            <w:tcW w:w="2405" w:type="dxa"/>
            <w:tcBorders>
              <w:bottom w:val="single" w:sz="6" w:space="0" w:color="auto"/>
            </w:tcBorders>
          </w:tcPr>
          <w:p w14:paraId="3472AE5B" w14:textId="57936DF2"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i/>
                <w:iCs/>
                <w:sz w:val="18"/>
                <w:szCs w:val="18"/>
              </w:rPr>
              <w:t xml:space="preserve">19. </w:t>
            </w:r>
            <w:r w:rsidR="00C325D8" w:rsidRPr="00BC7D29">
              <w:rPr>
                <w:rFonts w:ascii="Times New Roman" w:hAnsi="Times New Roman" w:cs="Times New Roman"/>
                <w:i/>
                <w:iCs/>
                <w:sz w:val="18"/>
                <w:szCs w:val="18"/>
              </w:rPr>
              <w:t>COMPEN</w:t>
            </w:r>
            <w:r w:rsidR="00C325D8">
              <w:rPr>
                <w:rFonts w:ascii="Times New Roman" w:hAnsi="Times New Roman" w:cs="Times New Roman"/>
                <w:i/>
                <w:iCs/>
                <w:sz w:val="18"/>
                <w:szCs w:val="18"/>
              </w:rPr>
              <w:t>SATION</w:t>
            </w:r>
          </w:p>
        </w:tc>
        <w:tc>
          <w:tcPr>
            <w:tcW w:w="1134" w:type="dxa"/>
            <w:tcBorders>
              <w:bottom w:val="single" w:sz="6" w:space="0" w:color="auto"/>
            </w:tcBorders>
          </w:tcPr>
          <w:p w14:paraId="2E97A4AA"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0.063</w:t>
            </w:r>
          </w:p>
        </w:tc>
        <w:tc>
          <w:tcPr>
            <w:tcW w:w="1134" w:type="dxa"/>
            <w:tcBorders>
              <w:bottom w:val="single" w:sz="6" w:space="0" w:color="auto"/>
            </w:tcBorders>
          </w:tcPr>
          <w:p w14:paraId="0A94CBCD"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3</w:t>
            </w:r>
          </w:p>
        </w:tc>
        <w:tc>
          <w:tcPr>
            <w:tcW w:w="1134" w:type="dxa"/>
            <w:tcBorders>
              <w:bottom w:val="single" w:sz="6" w:space="0" w:color="auto"/>
            </w:tcBorders>
          </w:tcPr>
          <w:p w14:paraId="095B3A3D"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-0.02</w:t>
            </w:r>
            <w:r>
              <w:rPr>
                <w:rFonts w:ascii="Times New Roman" w:hAnsi="Times New Roman" w:cs="Times New Roman"/>
                <w:color w:val="000000" w:themeColor="text1"/>
                <w:sz w:val="18"/>
                <w:szCs w:val="18"/>
              </w:rPr>
              <w:t>7</w:t>
            </w:r>
          </w:p>
        </w:tc>
        <w:tc>
          <w:tcPr>
            <w:tcW w:w="1134" w:type="dxa"/>
            <w:tcBorders>
              <w:bottom w:val="single" w:sz="6" w:space="0" w:color="auto"/>
            </w:tcBorders>
          </w:tcPr>
          <w:p w14:paraId="0BD5E392" w14:textId="77777777" w:rsidR="0091178F" w:rsidRPr="000D488F" w:rsidRDefault="0091178F" w:rsidP="006D78DE">
            <w:pPr>
              <w:widowControl/>
              <w:jc w:val="left"/>
              <w:rPr>
                <w:rFonts w:ascii="Times New Roman" w:hAnsi="Times New Roman" w:cs="Times New Roman"/>
                <w:color w:val="000000" w:themeColor="text1"/>
                <w:sz w:val="18"/>
                <w:szCs w:val="18"/>
              </w:rPr>
            </w:pPr>
            <w:r w:rsidRPr="00152A29">
              <w:rPr>
                <w:rFonts w:ascii="Times New Roman" w:hAnsi="Times New Roman" w:cs="Times New Roman"/>
                <w:color w:val="000000" w:themeColor="text1"/>
                <w:sz w:val="18"/>
                <w:szCs w:val="18"/>
              </w:rPr>
              <w:t>0.047</w:t>
            </w:r>
          </w:p>
        </w:tc>
        <w:tc>
          <w:tcPr>
            <w:tcW w:w="1134" w:type="dxa"/>
            <w:tcBorders>
              <w:bottom w:val="single" w:sz="6" w:space="0" w:color="auto"/>
            </w:tcBorders>
          </w:tcPr>
          <w:p w14:paraId="27880E5D"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0.14</w:t>
            </w:r>
            <w:r>
              <w:rPr>
                <w:rFonts w:ascii="Times New Roman" w:hAnsi="Times New Roman" w:cs="Times New Roman"/>
                <w:color w:val="000000" w:themeColor="text1"/>
                <w:sz w:val="18"/>
                <w:szCs w:val="18"/>
              </w:rPr>
              <w:t>8***</w:t>
            </w:r>
          </w:p>
        </w:tc>
        <w:tc>
          <w:tcPr>
            <w:tcW w:w="1134" w:type="dxa"/>
            <w:tcBorders>
              <w:bottom w:val="single" w:sz="6" w:space="0" w:color="auto"/>
            </w:tcBorders>
          </w:tcPr>
          <w:p w14:paraId="299BD3B6"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-0.12</w:t>
            </w:r>
            <w:r>
              <w:rPr>
                <w:rFonts w:ascii="Times New Roman" w:hAnsi="Times New Roman" w:cs="Times New Roman"/>
                <w:color w:val="000000" w:themeColor="text1"/>
                <w:sz w:val="18"/>
                <w:szCs w:val="18"/>
              </w:rPr>
              <w:t>8***</w:t>
            </w:r>
          </w:p>
        </w:tc>
        <w:tc>
          <w:tcPr>
            <w:tcW w:w="1134" w:type="dxa"/>
            <w:tcBorders>
              <w:bottom w:val="single" w:sz="6" w:space="0" w:color="auto"/>
            </w:tcBorders>
          </w:tcPr>
          <w:p w14:paraId="5A15C35C"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0.03</w:t>
            </w:r>
            <w:r>
              <w:rPr>
                <w:rFonts w:ascii="Times New Roman" w:hAnsi="Times New Roman" w:cs="Times New Roman"/>
                <w:color w:val="000000" w:themeColor="text1"/>
                <w:sz w:val="18"/>
                <w:szCs w:val="18"/>
              </w:rPr>
              <w:t>7</w:t>
            </w:r>
          </w:p>
        </w:tc>
        <w:tc>
          <w:tcPr>
            <w:tcW w:w="1134" w:type="dxa"/>
            <w:tcBorders>
              <w:bottom w:val="single" w:sz="6" w:space="0" w:color="auto"/>
            </w:tcBorders>
          </w:tcPr>
          <w:p w14:paraId="0FF47CE3" w14:textId="77777777" w:rsidR="0091178F" w:rsidRPr="000D488F" w:rsidRDefault="0091178F" w:rsidP="006D78DE">
            <w:pPr>
              <w:widowControl/>
              <w:jc w:val="left"/>
              <w:rPr>
                <w:rFonts w:ascii="Times New Roman" w:hAnsi="Times New Roman" w:cs="Times New Roman"/>
                <w:color w:val="000000" w:themeColor="text1"/>
                <w:sz w:val="18"/>
                <w:szCs w:val="18"/>
              </w:rPr>
            </w:pPr>
            <w:r w:rsidRPr="003C27E4">
              <w:rPr>
                <w:rFonts w:ascii="Times New Roman" w:hAnsi="Times New Roman" w:cs="Times New Roman"/>
                <w:color w:val="000000" w:themeColor="text1"/>
                <w:sz w:val="18"/>
                <w:szCs w:val="18"/>
              </w:rPr>
              <w:t>0.05</w:t>
            </w:r>
            <w:r>
              <w:rPr>
                <w:rFonts w:ascii="Times New Roman" w:hAnsi="Times New Roman" w:cs="Times New Roman"/>
                <w:color w:val="000000" w:themeColor="text1"/>
                <w:sz w:val="18"/>
                <w:szCs w:val="18"/>
              </w:rPr>
              <w:t>3</w:t>
            </w:r>
          </w:p>
        </w:tc>
        <w:tc>
          <w:tcPr>
            <w:tcW w:w="1134" w:type="dxa"/>
            <w:tcBorders>
              <w:bottom w:val="single" w:sz="6" w:space="0" w:color="auto"/>
            </w:tcBorders>
          </w:tcPr>
          <w:p w14:paraId="3167C97D" w14:textId="77777777" w:rsidR="0091178F" w:rsidRPr="000D488F" w:rsidRDefault="0091178F" w:rsidP="006D78DE">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34" w:type="dxa"/>
            <w:tcBorders>
              <w:bottom w:val="single" w:sz="6" w:space="0" w:color="auto"/>
            </w:tcBorders>
          </w:tcPr>
          <w:p w14:paraId="75A97CA6" w14:textId="77777777" w:rsidR="0091178F" w:rsidRPr="000D488F" w:rsidRDefault="0091178F" w:rsidP="006D78DE">
            <w:pPr>
              <w:widowControl/>
              <w:jc w:val="left"/>
              <w:rPr>
                <w:rFonts w:ascii="Times New Roman" w:hAnsi="Times New Roman" w:cs="Times New Roman"/>
                <w:color w:val="000000" w:themeColor="text1"/>
                <w:sz w:val="18"/>
                <w:szCs w:val="18"/>
              </w:rPr>
            </w:pPr>
          </w:p>
        </w:tc>
      </w:tr>
      <w:tr w:rsidR="0091178F" w14:paraId="2F025EA2" w14:textId="77777777" w:rsidTr="006D78DE">
        <w:tc>
          <w:tcPr>
            <w:tcW w:w="13745" w:type="dxa"/>
            <w:gridSpan w:val="11"/>
            <w:tcBorders>
              <w:top w:val="single" w:sz="6" w:space="0" w:color="auto"/>
            </w:tcBorders>
          </w:tcPr>
          <w:p w14:paraId="1DFA8664" w14:textId="1F7A34E9" w:rsidR="0091178F" w:rsidRPr="000D488F" w:rsidRDefault="0091178F" w:rsidP="006D78DE">
            <w:pPr>
              <w:widowControl/>
              <w:rPr>
                <w:rFonts w:ascii="Times New Roman" w:hAnsi="Times New Roman" w:cs="Times New Roman"/>
                <w:color w:val="000000" w:themeColor="text1"/>
                <w:sz w:val="18"/>
                <w:szCs w:val="18"/>
              </w:rPr>
            </w:pPr>
            <w:r w:rsidRPr="007F6189">
              <w:rPr>
                <w:rFonts w:ascii="Times New Roman" w:hAnsi="Times New Roman" w:cs="Times New Roman"/>
                <w:color w:val="000000" w:themeColor="text1"/>
                <w:sz w:val="20"/>
                <w:szCs w:val="20"/>
              </w:rPr>
              <w:t>Notes: *, **, and *** indicate statistical significance at the 10%, 5%, and 1% levels (two-tailed), respectively. All variables are defined in Appendix A.</w:t>
            </w:r>
          </w:p>
        </w:tc>
      </w:tr>
    </w:tbl>
    <w:p w14:paraId="08F52F18" w14:textId="77777777" w:rsidR="0091178F" w:rsidRDefault="0091178F" w:rsidP="0091178F">
      <w:pPr>
        <w:widowControl/>
        <w:jc w:val="left"/>
        <w:rPr>
          <w:rFonts w:asciiTheme="majorBidi" w:hAnsiTheme="majorBidi" w:cstheme="majorBidi"/>
          <w:color w:val="000000" w:themeColor="text1"/>
          <w:sz w:val="24"/>
          <w:szCs w:val="28"/>
        </w:rPr>
      </w:pPr>
    </w:p>
    <w:p w14:paraId="44AD8791" w14:textId="77777777" w:rsidR="0091178F" w:rsidRDefault="0091178F" w:rsidP="0091178F">
      <w:pPr>
        <w:rPr>
          <w:rFonts w:asciiTheme="majorBidi" w:hAnsiTheme="majorBidi" w:cstheme="majorBidi"/>
          <w:color w:val="000000" w:themeColor="text1"/>
          <w:sz w:val="24"/>
          <w:szCs w:val="28"/>
        </w:rPr>
      </w:pPr>
    </w:p>
    <w:p w14:paraId="71FAECB5" w14:textId="77777777" w:rsidR="0091178F" w:rsidRDefault="0091178F" w:rsidP="0091178F">
      <w:pPr>
        <w:rPr>
          <w:rFonts w:asciiTheme="majorBidi" w:hAnsiTheme="majorBidi" w:cstheme="majorBidi"/>
          <w:color w:val="000000" w:themeColor="text1"/>
          <w:sz w:val="24"/>
          <w:szCs w:val="28"/>
        </w:rPr>
      </w:pPr>
    </w:p>
    <w:p w14:paraId="3ED7C0C0" w14:textId="77777777" w:rsidR="0091178F" w:rsidRDefault="0091178F" w:rsidP="0091178F">
      <w:pPr>
        <w:rPr>
          <w:rFonts w:asciiTheme="majorBidi" w:hAnsiTheme="majorBidi" w:cstheme="majorBidi"/>
          <w:color w:val="000000" w:themeColor="text1"/>
          <w:sz w:val="24"/>
          <w:szCs w:val="28"/>
        </w:rPr>
      </w:pPr>
    </w:p>
    <w:p w14:paraId="64566D80" w14:textId="77777777" w:rsidR="0091178F" w:rsidRDefault="0091178F" w:rsidP="0091178F">
      <w:pPr>
        <w:sectPr w:rsidR="0091178F" w:rsidSect="0091178F">
          <w:pgSz w:w="16838" w:h="11906" w:orient="landscape"/>
          <w:pgMar w:top="1440" w:right="1440" w:bottom="1440" w:left="1440" w:header="709" w:footer="709" w:gutter="0"/>
          <w:cols w:space="708"/>
          <w:docGrid w:linePitch="360"/>
        </w:sectPr>
      </w:pPr>
    </w:p>
    <w:tbl>
      <w:tblPr>
        <w:tblW w:w="9606" w:type="dxa"/>
        <w:tblLayout w:type="fixed"/>
        <w:tblLook w:val="0000" w:firstRow="0" w:lastRow="0" w:firstColumn="0" w:lastColumn="0" w:noHBand="0" w:noVBand="0"/>
      </w:tblPr>
      <w:tblGrid>
        <w:gridCol w:w="2660"/>
        <w:gridCol w:w="1772"/>
        <w:gridCol w:w="1772"/>
        <w:gridCol w:w="1701"/>
        <w:gridCol w:w="1701"/>
      </w:tblGrid>
      <w:tr w:rsidR="0091178F" w:rsidRPr="001559ED" w14:paraId="637CD5DB" w14:textId="77777777" w:rsidTr="006D78DE">
        <w:trPr>
          <w:trHeight w:val="284"/>
        </w:trPr>
        <w:tc>
          <w:tcPr>
            <w:tcW w:w="9606" w:type="dxa"/>
            <w:gridSpan w:val="5"/>
            <w:tcBorders>
              <w:bottom w:val="single" w:sz="6" w:space="0" w:color="auto"/>
            </w:tcBorders>
          </w:tcPr>
          <w:p w14:paraId="2D95D74D" w14:textId="77777777" w:rsidR="0091178F" w:rsidRPr="007F6189" w:rsidRDefault="0091178F" w:rsidP="006D78DE">
            <w:pPr>
              <w:autoSpaceDE w:val="0"/>
              <w:autoSpaceDN w:val="0"/>
              <w:adjustRightInd w:val="0"/>
              <w:rPr>
                <w:rFonts w:ascii="Times New Roman" w:hAnsi="Times New Roman" w:cs="Times New Roman"/>
                <w:b/>
                <w:bCs/>
                <w:color w:val="000000"/>
                <w:sz w:val="20"/>
                <w:szCs w:val="20"/>
              </w:rPr>
            </w:pPr>
            <w:r w:rsidRPr="007F6189">
              <w:rPr>
                <w:rFonts w:ascii="Times New Roman" w:hAnsi="Times New Roman" w:cs="Times New Roman"/>
                <w:b/>
                <w:bCs/>
                <w:color w:val="000000"/>
                <w:sz w:val="20"/>
                <w:szCs w:val="20"/>
              </w:rPr>
              <w:lastRenderedPageBreak/>
              <w:t xml:space="preserve">Table 4 </w:t>
            </w:r>
          </w:p>
          <w:p w14:paraId="68717405" w14:textId="77777777" w:rsidR="0091178F" w:rsidRPr="007F6189" w:rsidRDefault="0091178F" w:rsidP="006D78DE">
            <w:pPr>
              <w:autoSpaceDE w:val="0"/>
              <w:autoSpaceDN w:val="0"/>
              <w:adjustRightInd w:val="0"/>
              <w:rPr>
                <w:rFonts w:ascii="Times New Roman" w:hAnsi="Times New Roman" w:cs="Times New Roman"/>
                <w:sz w:val="20"/>
                <w:szCs w:val="20"/>
              </w:rPr>
            </w:pPr>
            <w:r w:rsidRPr="007F6189">
              <w:rPr>
                <w:rFonts w:ascii="Times New Roman" w:hAnsi="Times New Roman" w:cs="Times New Roman"/>
                <w:color w:val="000000"/>
                <w:sz w:val="20"/>
                <w:szCs w:val="20"/>
              </w:rPr>
              <w:t>Main analysis.</w:t>
            </w:r>
          </w:p>
        </w:tc>
      </w:tr>
      <w:tr w:rsidR="0091178F" w:rsidRPr="001559ED" w14:paraId="5ED6E96E" w14:textId="77777777" w:rsidTr="00AA47D6">
        <w:tc>
          <w:tcPr>
            <w:tcW w:w="2660" w:type="dxa"/>
            <w:tcBorders>
              <w:top w:val="single" w:sz="6" w:space="0" w:color="auto"/>
              <w:bottom w:val="single" w:sz="6" w:space="0" w:color="auto"/>
            </w:tcBorders>
          </w:tcPr>
          <w:p w14:paraId="47251DEE" w14:textId="77777777"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imes New Roman" w:hAnsi="Times New Roman" w:cs="Times New Roman"/>
                <w:color w:val="000000"/>
                <w:sz w:val="18"/>
                <w:szCs w:val="18"/>
              </w:rPr>
              <w:t>Variables</w:t>
            </w:r>
          </w:p>
        </w:tc>
        <w:tc>
          <w:tcPr>
            <w:tcW w:w="1772" w:type="dxa"/>
            <w:tcBorders>
              <w:top w:val="single" w:sz="6" w:space="0" w:color="auto"/>
              <w:bottom w:val="single" w:sz="6" w:space="0" w:color="auto"/>
            </w:tcBorders>
          </w:tcPr>
          <w:p w14:paraId="75FA187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w:t>
            </w:r>
          </w:p>
        </w:tc>
        <w:tc>
          <w:tcPr>
            <w:tcW w:w="1772" w:type="dxa"/>
            <w:tcBorders>
              <w:top w:val="single" w:sz="6" w:space="0" w:color="auto"/>
              <w:bottom w:val="single" w:sz="6" w:space="0" w:color="auto"/>
            </w:tcBorders>
          </w:tcPr>
          <w:p w14:paraId="1689616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(2)</w:t>
            </w:r>
          </w:p>
        </w:tc>
        <w:tc>
          <w:tcPr>
            <w:tcW w:w="1701" w:type="dxa"/>
            <w:tcBorders>
              <w:top w:val="single" w:sz="6" w:space="0" w:color="auto"/>
              <w:bottom w:val="single" w:sz="6" w:space="0" w:color="auto"/>
            </w:tcBorders>
          </w:tcPr>
          <w:p w14:paraId="2F69791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w:t>
            </w:r>
            <w:r>
              <w:rPr>
                <w:rFonts w:ascii="Times New Roman" w:hAnsi="Times New Roman" w:cs="Times New Roman"/>
                <w:sz w:val="18"/>
                <w:szCs w:val="18"/>
              </w:rPr>
              <w:t>3</w:t>
            </w:r>
            <w:r w:rsidRPr="00BC7D29">
              <w:rPr>
                <w:rFonts w:ascii="Times New Roman" w:hAnsi="Times New Roman" w:cs="Times New Roman"/>
                <w:sz w:val="18"/>
                <w:szCs w:val="18"/>
              </w:rPr>
              <w:t>)</w:t>
            </w:r>
          </w:p>
        </w:tc>
        <w:tc>
          <w:tcPr>
            <w:tcW w:w="1701" w:type="dxa"/>
            <w:tcBorders>
              <w:top w:val="single" w:sz="6" w:space="0" w:color="auto"/>
              <w:bottom w:val="single" w:sz="6" w:space="0" w:color="auto"/>
            </w:tcBorders>
          </w:tcPr>
          <w:p w14:paraId="7C58342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w:t>
            </w:r>
            <w:r>
              <w:rPr>
                <w:rFonts w:ascii="Times New Roman" w:hAnsi="Times New Roman" w:cs="Times New Roman"/>
                <w:sz w:val="18"/>
                <w:szCs w:val="18"/>
              </w:rPr>
              <w:t>4</w:t>
            </w:r>
            <w:r w:rsidRPr="00BC7D29">
              <w:rPr>
                <w:rFonts w:ascii="Times New Roman" w:hAnsi="Times New Roman" w:cs="Times New Roman"/>
                <w:sz w:val="18"/>
                <w:szCs w:val="18"/>
              </w:rPr>
              <w:t>)</w:t>
            </w:r>
          </w:p>
        </w:tc>
      </w:tr>
      <w:tr w:rsidR="0091178F" w:rsidRPr="001559ED" w14:paraId="3D30CD0A" w14:textId="77777777" w:rsidTr="006D78DE">
        <w:tc>
          <w:tcPr>
            <w:tcW w:w="2660" w:type="dxa"/>
            <w:tcBorders>
              <w:top w:val="single" w:sz="6" w:space="0" w:color="auto"/>
            </w:tcBorders>
          </w:tcPr>
          <w:p w14:paraId="75C612A0" w14:textId="4BD0B895" w:rsidR="0091178F" w:rsidRPr="005F0E39" w:rsidRDefault="0091178F" w:rsidP="006D78DE">
            <w:pPr>
              <w:autoSpaceDE w:val="0"/>
              <w:autoSpaceDN w:val="0"/>
              <w:adjustRightInd w:val="0"/>
              <w:rPr>
                <w:rFonts w:ascii="Times New Roman" w:hAnsi="Times New Roman" w:cs="Times New Roman"/>
                <w:sz w:val="18"/>
                <w:szCs w:val="18"/>
              </w:rPr>
            </w:pPr>
            <w:r w:rsidRPr="005F0E39">
              <w:rPr>
                <w:rFonts w:asciiTheme="majorBidi" w:hAnsiTheme="majorBidi" w:cstheme="majorBidi"/>
                <w:i/>
                <w:iCs/>
                <w:color w:val="000000" w:themeColor="text1"/>
                <w:sz w:val="18"/>
                <w:szCs w:val="18"/>
              </w:rPr>
              <w:t>NONIFRS</w:t>
            </w:r>
          </w:p>
        </w:tc>
        <w:tc>
          <w:tcPr>
            <w:tcW w:w="1772" w:type="dxa"/>
            <w:tcBorders>
              <w:top w:val="single" w:sz="6" w:space="0" w:color="auto"/>
            </w:tcBorders>
          </w:tcPr>
          <w:p w14:paraId="4AC57305"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0.848***</w:t>
            </w:r>
          </w:p>
        </w:tc>
        <w:tc>
          <w:tcPr>
            <w:tcW w:w="1772" w:type="dxa"/>
            <w:tcBorders>
              <w:top w:val="single" w:sz="6" w:space="0" w:color="auto"/>
            </w:tcBorders>
          </w:tcPr>
          <w:p w14:paraId="13DA5A11"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0.955***</w:t>
            </w:r>
          </w:p>
        </w:tc>
        <w:tc>
          <w:tcPr>
            <w:tcW w:w="1701" w:type="dxa"/>
            <w:tcBorders>
              <w:top w:val="single" w:sz="6" w:space="0" w:color="auto"/>
            </w:tcBorders>
          </w:tcPr>
          <w:p w14:paraId="3ABDEA16"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0.777***</w:t>
            </w:r>
          </w:p>
        </w:tc>
        <w:tc>
          <w:tcPr>
            <w:tcW w:w="1701" w:type="dxa"/>
            <w:tcBorders>
              <w:top w:val="single" w:sz="6" w:space="0" w:color="auto"/>
            </w:tcBorders>
          </w:tcPr>
          <w:p w14:paraId="22CA1267"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0.256***</w:t>
            </w:r>
          </w:p>
        </w:tc>
      </w:tr>
      <w:tr w:rsidR="0091178F" w:rsidRPr="001559ED" w14:paraId="42CCFCDF" w14:textId="77777777" w:rsidTr="006D78DE">
        <w:tc>
          <w:tcPr>
            <w:tcW w:w="2660" w:type="dxa"/>
          </w:tcPr>
          <w:p w14:paraId="1436C763" w14:textId="77777777" w:rsidR="0091178F" w:rsidRPr="005F0E3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148BD0C6"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(18.07)</w:t>
            </w:r>
          </w:p>
        </w:tc>
        <w:tc>
          <w:tcPr>
            <w:tcW w:w="1772" w:type="dxa"/>
          </w:tcPr>
          <w:p w14:paraId="52D4EB0F"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(12.86)</w:t>
            </w:r>
          </w:p>
        </w:tc>
        <w:tc>
          <w:tcPr>
            <w:tcW w:w="1701" w:type="dxa"/>
          </w:tcPr>
          <w:p w14:paraId="4D4A81F4"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(19.42)</w:t>
            </w:r>
          </w:p>
        </w:tc>
        <w:tc>
          <w:tcPr>
            <w:tcW w:w="1701" w:type="dxa"/>
          </w:tcPr>
          <w:p w14:paraId="3E684FDF" w14:textId="77777777" w:rsidR="0091178F" w:rsidRPr="005F0E39" w:rsidRDefault="0091178F" w:rsidP="006D78DE">
            <w:pPr>
              <w:autoSpaceDE w:val="0"/>
              <w:autoSpaceDN w:val="0"/>
              <w:adjustRightInd w:val="0"/>
              <w:jc w:val="center"/>
              <w:rPr>
                <w:rFonts w:ascii="Times New Roman" w:hAnsi="Times New Roman" w:cs="Times New Roman"/>
                <w:sz w:val="18"/>
                <w:szCs w:val="18"/>
              </w:rPr>
            </w:pPr>
            <w:r w:rsidRPr="005F0E39">
              <w:rPr>
                <w:rFonts w:ascii="Times New Roman" w:hAnsi="Times New Roman" w:cs="Times New Roman"/>
                <w:sz w:val="18"/>
                <w:szCs w:val="18"/>
              </w:rPr>
              <w:t>(2.80)</w:t>
            </w:r>
          </w:p>
        </w:tc>
      </w:tr>
      <w:tr w:rsidR="0091178F" w:rsidRPr="001559ED" w14:paraId="6DE8A6E1" w14:textId="77777777" w:rsidTr="006D78DE">
        <w:tc>
          <w:tcPr>
            <w:tcW w:w="2660" w:type="dxa"/>
          </w:tcPr>
          <w:p w14:paraId="4D0DCF34" w14:textId="77777777" w:rsidR="0091178F" w:rsidRPr="00A05404" w:rsidRDefault="0091178F" w:rsidP="006D78DE">
            <w:pPr>
              <w:autoSpaceDE w:val="0"/>
              <w:autoSpaceDN w:val="0"/>
              <w:adjustRightInd w:val="0"/>
              <w:rPr>
                <w:rFonts w:ascii="Times New Roman" w:hAnsi="Times New Roman" w:cs="Times New Roman"/>
                <w:b/>
                <w:bCs/>
                <w:sz w:val="18"/>
                <w:szCs w:val="18"/>
              </w:rPr>
            </w:pPr>
            <w:r w:rsidRPr="00A05404">
              <w:rPr>
                <w:rFonts w:asciiTheme="majorBidi" w:hAnsiTheme="majorBidi" w:cstheme="majorBidi"/>
                <w:b/>
                <w:bCs/>
                <w:i/>
                <w:iCs/>
                <w:color w:val="000000" w:themeColor="text1"/>
                <w:sz w:val="18"/>
                <w:szCs w:val="18"/>
              </w:rPr>
              <w:t>EXCLUSION</w:t>
            </w:r>
          </w:p>
        </w:tc>
        <w:tc>
          <w:tcPr>
            <w:tcW w:w="1772" w:type="dxa"/>
          </w:tcPr>
          <w:p w14:paraId="25D2CFB7"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-0.135**</w:t>
            </w:r>
          </w:p>
        </w:tc>
        <w:tc>
          <w:tcPr>
            <w:tcW w:w="1772" w:type="dxa"/>
          </w:tcPr>
          <w:p w14:paraId="23776072"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0.138</w:t>
            </w:r>
          </w:p>
        </w:tc>
        <w:tc>
          <w:tcPr>
            <w:tcW w:w="1701" w:type="dxa"/>
          </w:tcPr>
          <w:p w14:paraId="35BBBB66"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-0.109**</w:t>
            </w:r>
          </w:p>
        </w:tc>
        <w:tc>
          <w:tcPr>
            <w:tcW w:w="1701" w:type="dxa"/>
          </w:tcPr>
          <w:p w14:paraId="7E11048E"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-0.0563</w:t>
            </w:r>
          </w:p>
        </w:tc>
      </w:tr>
      <w:tr w:rsidR="0091178F" w:rsidRPr="001559ED" w14:paraId="6B19CB1E" w14:textId="77777777" w:rsidTr="006D78DE">
        <w:tc>
          <w:tcPr>
            <w:tcW w:w="2660" w:type="dxa"/>
          </w:tcPr>
          <w:p w14:paraId="11570A24" w14:textId="77777777" w:rsidR="0091178F" w:rsidRPr="00A05404" w:rsidRDefault="0091178F" w:rsidP="006D78DE">
            <w:pPr>
              <w:autoSpaceDE w:val="0"/>
              <w:autoSpaceDN w:val="0"/>
              <w:adjustRightInd w:val="0"/>
              <w:rPr>
                <w:rFonts w:asciiTheme="majorBidi" w:hAnsiTheme="majorBidi" w:cstheme="majorBidi"/>
                <w:b/>
                <w:bCs/>
                <w:i/>
                <w:iCs/>
                <w:color w:val="000000" w:themeColor="text1"/>
                <w:sz w:val="18"/>
                <w:szCs w:val="18"/>
              </w:rPr>
            </w:pPr>
          </w:p>
        </w:tc>
        <w:tc>
          <w:tcPr>
            <w:tcW w:w="1772" w:type="dxa"/>
          </w:tcPr>
          <w:p w14:paraId="532CB90E"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(-2.09)</w:t>
            </w:r>
          </w:p>
        </w:tc>
        <w:tc>
          <w:tcPr>
            <w:tcW w:w="1772" w:type="dxa"/>
          </w:tcPr>
          <w:p w14:paraId="75C42DD7"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(1.03)</w:t>
            </w:r>
          </w:p>
        </w:tc>
        <w:tc>
          <w:tcPr>
            <w:tcW w:w="1701" w:type="dxa"/>
          </w:tcPr>
          <w:p w14:paraId="021F968F"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(-2.04)</w:t>
            </w:r>
          </w:p>
        </w:tc>
        <w:tc>
          <w:tcPr>
            <w:tcW w:w="1701" w:type="dxa"/>
          </w:tcPr>
          <w:p w14:paraId="10DF8C65"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(-0.93)</w:t>
            </w:r>
          </w:p>
        </w:tc>
      </w:tr>
      <w:tr w:rsidR="0091178F" w:rsidRPr="001559ED" w14:paraId="50513CE5" w14:textId="77777777" w:rsidTr="006D78DE">
        <w:tc>
          <w:tcPr>
            <w:tcW w:w="2660" w:type="dxa"/>
          </w:tcPr>
          <w:p w14:paraId="5792393B"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r w:rsidRPr="000E0524">
              <w:rPr>
                <w:rFonts w:ascii="Times New Roman" w:hAnsi="Times New Roman" w:cs="Times New Roman"/>
                <w:i/>
                <w:iCs/>
                <w:color w:val="000000"/>
                <w:sz w:val="18"/>
                <w:szCs w:val="18"/>
              </w:rPr>
              <w:t>HIGH</w:t>
            </w:r>
          </w:p>
        </w:tc>
        <w:tc>
          <w:tcPr>
            <w:tcW w:w="1772" w:type="dxa"/>
          </w:tcPr>
          <w:p w14:paraId="1FAA65A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670B5E2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-0.204**</w:t>
            </w:r>
          </w:p>
        </w:tc>
        <w:tc>
          <w:tcPr>
            <w:tcW w:w="1701" w:type="dxa"/>
          </w:tcPr>
          <w:p w14:paraId="3A2738B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0DB7695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r>
      <w:tr w:rsidR="0091178F" w:rsidRPr="001559ED" w14:paraId="2290E780" w14:textId="77777777" w:rsidTr="006D78DE">
        <w:tc>
          <w:tcPr>
            <w:tcW w:w="2660" w:type="dxa"/>
          </w:tcPr>
          <w:p w14:paraId="5799F48F"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4847E3D8"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08FCC3C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(-2.18)</w:t>
            </w:r>
          </w:p>
        </w:tc>
        <w:tc>
          <w:tcPr>
            <w:tcW w:w="1701" w:type="dxa"/>
          </w:tcPr>
          <w:p w14:paraId="63EEF81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61AF710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r>
      <w:tr w:rsidR="0091178F" w:rsidRPr="001559ED" w14:paraId="71A0E409" w14:textId="77777777" w:rsidTr="006D78DE">
        <w:tc>
          <w:tcPr>
            <w:tcW w:w="2660" w:type="dxa"/>
          </w:tcPr>
          <w:p w14:paraId="2C0DE2EE" w14:textId="36CB75BB"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r w:rsidRPr="000E0524">
              <w:rPr>
                <w:rFonts w:ascii="Times New Roman" w:hAnsi="Times New Roman" w:cs="Times New Roman"/>
                <w:i/>
                <w:iCs/>
                <w:color w:val="000000"/>
                <w:sz w:val="18"/>
                <w:szCs w:val="18"/>
              </w:rPr>
              <w:t>HIGH×NONIFRS</w:t>
            </w:r>
          </w:p>
        </w:tc>
        <w:tc>
          <w:tcPr>
            <w:tcW w:w="1772" w:type="dxa"/>
          </w:tcPr>
          <w:p w14:paraId="2BC79E9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241C412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-0.134</w:t>
            </w:r>
          </w:p>
        </w:tc>
        <w:tc>
          <w:tcPr>
            <w:tcW w:w="1701" w:type="dxa"/>
          </w:tcPr>
          <w:p w14:paraId="6AFB57E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4767BBE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r>
      <w:tr w:rsidR="0091178F" w:rsidRPr="001559ED" w14:paraId="7F8D622D" w14:textId="77777777" w:rsidTr="006D78DE">
        <w:tc>
          <w:tcPr>
            <w:tcW w:w="2660" w:type="dxa"/>
          </w:tcPr>
          <w:p w14:paraId="445919EA"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29440E8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32EE6028"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(-1.62)</w:t>
            </w:r>
          </w:p>
        </w:tc>
        <w:tc>
          <w:tcPr>
            <w:tcW w:w="1701" w:type="dxa"/>
          </w:tcPr>
          <w:p w14:paraId="7DEBB5D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56AB2A9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r>
      <w:tr w:rsidR="0091178F" w:rsidRPr="001559ED" w14:paraId="71185A0F" w14:textId="77777777" w:rsidTr="006D78DE">
        <w:tc>
          <w:tcPr>
            <w:tcW w:w="2660" w:type="dxa"/>
          </w:tcPr>
          <w:p w14:paraId="6DFC668F" w14:textId="77777777" w:rsidR="0091178F" w:rsidRPr="00A05404" w:rsidRDefault="0091178F" w:rsidP="006D78DE">
            <w:pPr>
              <w:autoSpaceDE w:val="0"/>
              <w:autoSpaceDN w:val="0"/>
              <w:adjustRightInd w:val="0"/>
              <w:rPr>
                <w:rFonts w:asciiTheme="majorBidi" w:hAnsiTheme="majorBidi" w:cstheme="majorBidi"/>
                <w:b/>
                <w:bCs/>
                <w:i/>
                <w:iCs/>
                <w:color w:val="000000" w:themeColor="text1"/>
                <w:sz w:val="18"/>
                <w:szCs w:val="18"/>
              </w:rPr>
            </w:pPr>
            <w:r w:rsidRPr="00A05404">
              <w:rPr>
                <w:rFonts w:ascii="Times New Roman" w:hAnsi="Times New Roman" w:cs="Times New Roman"/>
                <w:b/>
                <w:bCs/>
                <w:i/>
                <w:iCs/>
                <w:color w:val="000000"/>
                <w:sz w:val="18"/>
                <w:szCs w:val="18"/>
              </w:rPr>
              <w:t>HIGH×EXCLUSION</w:t>
            </w:r>
          </w:p>
        </w:tc>
        <w:tc>
          <w:tcPr>
            <w:tcW w:w="1772" w:type="dxa"/>
          </w:tcPr>
          <w:p w14:paraId="06F772DD"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72" w:type="dxa"/>
          </w:tcPr>
          <w:p w14:paraId="5DFE45F3"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-0.289*</w:t>
            </w:r>
          </w:p>
        </w:tc>
        <w:tc>
          <w:tcPr>
            <w:tcW w:w="1701" w:type="dxa"/>
          </w:tcPr>
          <w:p w14:paraId="7ECE67EB"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01" w:type="dxa"/>
          </w:tcPr>
          <w:p w14:paraId="4F75B11C"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r>
      <w:tr w:rsidR="0091178F" w:rsidRPr="001559ED" w14:paraId="5D37ABB3" w14:textId="77777777" w:rsidTr="006D78DE">
        <w:tc>
          <w:tcPr>
            <w:tcW w:w="2660" w:type="dxa"/>
          </w:tcPr>
          <w:p w14:paraId="4E43D7F3" w14:textId="77777777" w:rsidR="0091178F" w:rsidRPr="00A05404" w:rsidRDefault="0091178F" w:rsidP="006D78DE">
            <w:pPr>
              <w:autoSpaceDE w:val="0"/>
              <w:autoSpaceDN w:val="0"/>
              <w:adjustRightInd w:val="0"/>
              <w:rPr>
                <w:rFonts w:asciiTheme="majorBidi" w:hAnsiTheme="majorBidi" w:cstheme="majorBidi"/>
                <w:b/>
                <w:bCs/>
                <w:i/>
                <w:iCs/>
                <w:color w:val="000000" w:themeColor="text1"/>
                <w:sz w:val="18"/>
                <w:szCs w:val="18"/>
              </w:rPr>
            </w:pPr>
          </w:p>
        </w:tc>
        <w:tc>
          <w:tcPr>
            <w:tcW w:w="1772" w:type="dxa"/>
          </w:tcPr>
          <w:p w14:paraId="1BC071B3"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72" w:type="dxa"/>
          </w:tcPr>
          <w:p w14:paraId="40D6B37F"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(-1.74)</w:t>
            </w:r>
          </w:p>
        </w:tc>
        <w:tc>
          <w:tcPr>
            <w:tcW w:w="1701" w:type="dxa"/>
          </w:tcPr>
          <w:p w14:paraId="07B0F651"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01" w:type="dxa"/>
          </w:tcPr>
          <w:p w14:paraId="2AE63979"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r>
      <w:tr w:rsidR="0091178F" w:rsidRPr="001559ED" w14:paraId="3E6201D1" w14:textId="77777777" w:rsidTr="006D78DE">
        <w:tc>
          <w:tcPr>
            <w:tcW w:w="2660" w:type="dxa"/>
          </w:tcPr>
          <w:p w14:paraId="3BC2DC93" w14:textId="244B214C" w:rsidR="0091178F" w:rsidRPr="00BC7D29" w:rsidRDefault="00C325D8" w:rsidP="006D78DE">
            <w:pPr>
              <w:autoSpaceDE w:val="0"/>
              <w:autoSpaceDN w:val="0"/>
              <w:adjustRightInd w:val="0"/>
              <w:rPr>
                <w:rFonts w:ascii="Times New Roman" w:hAnsi="Times New Roman" w:cs="Times New Roman"/>
                <w:sz w:val="18"/>
                <w:szCs w:val="18"/>
              </w:rPr>
            </w:pPr>
            <w:r>
              <w:rPr>
                <w:rFonts w:asciiTheme="majorBidi" w:hAnsiTheme="majorBidi" w:cstheme="majorBidi"/>
                <w:i/>
                <w:iCs/>
                <w:color w:val="000000" w:themeColor="text1"/>
                <w:sz w:val="18"/>
                <w:szCs w:val="18"/>
              </w:rPr>
              <w:t>NARCIS</w:t>
            </w:r>
          </w:p>
        </w:tc>
        <w:tc>
          <w:tcPr>
            <w:tcW w:w="1772" w:type="dxa"/>
          </w:tcPr>
          <w:p w14:paraId="3D94D87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1241C1C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7FB4842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-0.140</w:t>
            </w:r>
          </w:p>
        </w:tc>
        <w:tc>
          <w:tcPr>
            <w:tcW w:w="1701" w:type="dxa"/>
          </w:tcPr>
          <w:p w14:paraId="4B3EAC3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-0.562**</w:t>
            </w:r>
          </w:p>
        </w:tc>
      </w:tr>
      <w:tr w:rsidR="0091178F" w:rsidRPr="001559ED" w14:paraId="7A8CFA7E" w14:textId="77777777" w:rsidTr="006D78DE">
        <w:tc>
          <w:tcPr>
            <w:tcW w:w="2660" w:type="dxa"/>
          </w:tcPr>
          <w:p w14:paraId="50EC731C"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1A08DE4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6143185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660A7CD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(-0.70)</w:t>
            </w:r>
          </w:p>
        </w:tc>
        <w:tc>
          <w:tcPr>
            <w:tcW w:w="1701" w:type="dxa"/>
          </w:tcPr>
          <w:p w14:paraId="3B63B11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(-2.07)</w:t>
            </w:r>
          </w:p>
        </w:tc>
      </w:tr>
      <w:tr w:rsidR="0091178F" w:rsidRPr="001559ED" w14:paraId="516BD6FD" w14:textId="77777777" w:rsidTr="006D78DE">
        <w:tc>
          <w:tcPr>
            <w:tcW w:w="2660" w:type="dxa"/>
          </w:tcPr>
          <w:p w14:paraId="0D72B6C0" w14:textId="5AFCA924"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NONIFRS×</w:t>
            </w:r>
            <w:r w:rsidR="00C325D8">
              <w:rPr>
                <w:rFonts w:asciiTheme="majorBidi" w:hAnsiTheme="majorBidi" w:cstheme="majorBidi"/>
                <w:i/>
                <w:iCs/>
                <w:color w:val="000000" w:themeColor="text1"/>
                <w:sz w:val="18"/>
                <w:szCs w:val="18"/>
              </w:rPr>
              <w:t>NARCIS</w:t>
            </w:r>
          </w:p>
        </w:tc>
        <w:tc>
          <w:tcPr>
            <w:tcW w:w="1772" w:type="dxa"/>
          </w:tcPr>
          <w:p w14:paraId="04D9AAB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2D76BC1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3F1BA6F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0.302</w:t>
            </w:r>
          </w:p>
        </w:tc>
        <w:tc>
          <w:tcPr>
            <w:tcW w:w="1701" w:type="dxa"/>
          </w:tcPr>
          <w:p w14:paraId="22E1F47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-0.294</w:t>
            </w:r>
          </w:p>
        </w:tc>
      </w:tr>
      <w:tr w:rsidR="0091178F" w:rsidRPr="001559ED" w14:paraId="7504C538" w14:textId="77777777" w:rsidTr="006D78DE">
        <w:tc>
          <w:tcPr>
            <w:tcW w:w="2660" w:type="dxa"/>
          </w:tcPr>
          <w:p w14:paraId="31238160"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3A27151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08601B2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69FF335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(1.28)</w:t>
            </w:r>
          </w:p>
        </w:tc>
        <w:tc>
          <w:tcPr>
            <w:tcW w:w="1701" w:type="dxa"/>
          </w:tcPr>
          <w:p w14:paraId="7E61479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(-1.01)</w:t>
            </w:r>
          </w:p>
        </w:tc>
      </w:tr>
      <w:tr w:rsidR="0091178F" w:rsidRPr="001559ED" w14:paraId="3A5517CA" w14:textId="77777777" w:rsidTr="006D78DE">
        <w:tc>
          <w:tcPr>
            <w:tcW w:w="2660" w:type="dxa"/>
          </w:tcPr>
          <w:p w14:paraId="530EF34C" w14:textId="6E305C3C" w:rsidR="0091178F" w:rsidRPr="00A05404" w:rsidRDefault="0091178F" w:rsidP="006D78DE">
            <w:pPr>
              <w:autoSpaceDE w:val="0"/>
              <w:autoSpaceDN w:val="0"/>
              <w:adjustRightInd w:val="0"/>
              <w:rPr>
                <w:rFonts w:ascii="Times New Roman" w:hAnsi="Times New Roman" w:cs="Times New Roman"/>
                <w:b/>
                <w:bCs/>
                <w:sz w:val="18"/>
                <w:szCs w:val="18"/>
              </w:rPr>
            </w:pPr>
            <w:r w:rsidRPr="00A05404">
              <w:rPr>
                <w:rFonts w:asciiTheme="majorBidi" w:hAnsiTheme="majorBidi" w:cstheme="majorBidi"/>
                <w:b/>
                <w:bCs/>
                <w:i/>
                <w:iCs/>
                <w:color w:val="000000" w:themeColor="text1"/>
                <w:sz w:val="18"/>
                <w:szCs w:val="18"/>
              </w:rPr>
              <w:t>EXCLUSION×</w:t>
            </w:r>
            <w:r w:rsidR="00C325D8">
              <w:rPr>
                <w:rFonts w:asciiTheme="majorBidi" w:hAnsiTheme="majorBidi" w:cstheme="majorBidi"/>
                <w:b/>
                <w:bCs/>
                <w:i/>
                <w:iCs/>
                <w:color w:val="000000" w:themeColor="text1"/>
                <w:sz w:val="18"/>
                <w:szCs w:val="18"/>
              </w:rPr>
              <w:t>NARCIS</w:t>
            </w:r>
          </w:p>
        </w:tc>
        <w:tc>
          <w:tcPr>
            <w:tcW w:w="1772" w:type="dxa"/>
          </w:tcPr>
          <w:p w14:paraId="7F98917B"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72" w:type="dxa"/>
          </w:tcPr>
          <w:p w14:paraId="1B122AF3"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01" w:type="dxa"/>
          </w:tcPr>
          <w:p w14:paraId="23066B25"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-1.146***</w:t>
            </w:r>
          </w:p>
        </w:tc>
        <w:tc>
          <w:tcPr>
            <w:tcW w:w="1701" w:type="dxa"/>
          </w:tcPr>
          <w:p w14:paraId="48492D21"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-0.826**</w:t>
            </w:r>
          </w:p>
        </w:tc>
      </w:tr>
      <w:tr w:rsidR="0091178F" w:rsidRPr="001559ED" w14:paraId="79659646" w14:textId="77777777" w:rsidTr="006D78DE">
        <w:tc>
          <w:tcPr>
            <w:tcW w:w="2660" w:type="dxa"/>
          </w:tcPr>
          <w:p w14:paraId="6D7E8130" w14:textId="77777777" w:rsidR="0091178F" w:rsidRPr="00A05404" w:rsidRDefault="0091178F" w:rsidP="006D78DE">
            <w:pPr>
              <w:autoSpaceDE w:val="0"/>
              <w:autoSpaceDN w:val="0"/>
              <w:adjustRightInd w:val="0"/>
              <w:rPr>
                <w:rFonts w:asciiTheme="majorBidi" w:hAnsiTheme="majorBidi" w:cstheme="majorBidi"/>
                <w:b/>
                <w:bCs/>
                <w:i/>
                <w:iCs/>
                <w:color w:val="000000" w:themeColor="text1"/>
                <w:sz w:val="18"/>
                <w:szCs w:val="18"/>
              </w:rPr>
            </w:pPr>
          </w:p>
        </w:tc>
        <w:tc>
          <w:tcPr>
            <w:tcW w:w="1772" w:type="dxa"/>
          </w:tcPr>
          <w:p w14:paraId="292F025A"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72" w:type="dxa"/>
          </w:tcPr>
          <w:p w14:paraId="0B7A108A"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p>
        </w:tc>
        <w:tc>
          <w:tcPr>
            <w:tcW w:w="1701" w:type="dxa"/>
          </w:tcPr>
          <w:p w14:paraId="64D92970"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(-2.89)</w:t>
            </w:r>
          </w:p>
        </w:tc>
        <w:tc>
          <w:tcPr>
            <w:tcW w:w="1701" w:type="dxa"/>
          </w:tcPr>
          <w:p w14:paraId="7A17AD70" w14:textId="77777777" w:rsidR="0091178F" w:rsidRPr="00A05404" w:rsidRDefault="0091178F" w:rsidP="006D78DE">
            <w:pPr>
              <w:autoSpaceDE w:val="0"/>
              <w:autoSpaceDN w:val="0"/>
              <w:adjustRightInd w:val="0"/>
              <w:jc w:val="center"/>
              <w:rPr>
                <w:rFonts w:ascii="Times New Roman" w:hAnsi="Times New Roman" w:cs="Times New Roman"/>
                <w:b/>
                <w:bCs/>
                <w:sz w:val="18"/>
                <w:szCs w:val="18"/>
              </w:rPr>
            </w:pPr>
            <w:r w:rsidRPr="00A05404">
              <w:rPr>
                <w:rFonts w:ascii="Times New Roman" w:hAnsi="Times New Roman" w:cs="Times New Roman"/>
                <w:b/>
                <w:bCs/>
                <w:sz w:val="18"/>
                <w:szCs w:val="18"/>
              </w:rPr>
              <w:t>(-2.05)</w:t>
            </w:r>
          </w:p>
        </w:tc>
      </w:tr>
      <w:tr w:rsidR="0091178F" w:rsidRPr="001559ED" w14:paraId="66CD96F0" w14:textId="77777777" w:rsidTr="006D78DE">
        <w:tc>
          <w:tcPr>
            <w:tcW w:w="2660" w:type="dxa"/>
          </w:tcPr>
          <w:p w14:paraId="4942ED8C" w14:textId="77777777"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ROA</w:t>
            </w:r>
          </w:p>
        </w:tc>
        <w:tc>
          <w:tcPr>
            <w:tcW w:w="1772" w:type="dxa"/>
          </w:tcPr>
          <w:p w14:paraId="279FDFE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0.0464</w:t>
            </w:r>
          </w:p>
        </w:tc>
        <w:tc>
          <w:tcPr>
            <w:tcW w:w="1772" w:type="dxa"/>
          </w:tcPr>
          <w:p w14:paraId="3B5DD57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0.0253</w:t>
            </w:r>
          </w:p>
        </w:tc>
        <w:tc>
          <w:tcPr>
            <w:tcW w:w="1701" w:type="dxa"/>
          </w:tcPr>
          <w:p w14:paraId="19D4398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0.113</w:t>
            </w:r>
          </w:p>
        </w:tc>
        <w:tc>
          <w:tcPr>
            <w:tcW w:w="1701" w:type="dxa"/>
          </w:tcPr>
          <w:p w14:paraId="7DB012C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0.239</w:t>
            </w:r>
          </w:p>
        </w:tc>
      </w:tr>
      <w:tr w:rsidR="0091178F" w:rsidRPr="001559ED" w14:paraId="25415C2E" w14:textId="77777777" w:rsidTr="006D78DE">
        <w:tc>
          <w:tcPr>
            <w:tcW w:w="2660" w:type="dxa"/>
          </w:tcPr>
          <w:p w14:paraId="78246102"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26AA722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(0.26)</w:t>
            </w:r>
          </w:p>
        </w:tc>
        <w:tc>
          <w:tcPr>
            <w:tcW w:w="1772" w:type="dxa"/>
          </w:tcPr>
          <w:p w14:paraId="73EB0A4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(0.14)</w:t>
            </w:r>
          </w:p>
        </w:tc>
        <w:tc>
          <w:tcPr>
            <w:tcW w:w="1701" w:type="dxa"/>
          </w:tcPr>
          <w:p w14:paraId="1AF62F2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(0.77)</w:t>
            </w:r>
          </w:p>
        </w:tc>
        <w:tc>
          <w:tcPr>
            <w:tcW w:w="1701" w:type="dxa"/>
          </w:tcPr>
          <w:p w14:paraId="717B60E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(0.37)</w:t>
            </w:r>
          </w:p>
        </w:tc>
      </w:tr>
      <w:tr w:rsidR="0091178F" w:rsidRPr="001559ED" w14:paraId="08538191" w14:textId="77777777" w:rsidTr="006D78DE">
        <w:tc>
          <w:tcPr>
            <w:tcW w:w="2660" w:type="dxa"/>
          </w:tcPr>
          <w:p w14:paraId="577A17AB" w14:textId="23A95F8B"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LEV</w:t>
            </w:r>
          </w:p>
        </w:tc>
        <w:tc>
          <w:tcPr>
            <w:tcW w:w="1772" w:type="dxa"/>
          </w:tcPr>
          <w:p w14:paraId="01EAD57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-0.195</w:t>
            </w:r>
          </w:p>
        </w:tc>
        <w:tc>
          <w:tcPr>
            <w:tcW w:w="1772" w:type="dxa"/>
          </w:tcPr>
          <w:p w14:paraId="290CD22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-0.171</w:t>
            </w:r>
          </w:p>
        </w:tc>
        <w:tc>
          <w:tcPr>
            <w:tcW w:w="1701" w:type="dxa"/>
          </w:tcPr>
          <w:p w14:paraId="6BE6454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-0.0226</w:t>
            </w:r>
          </w:p>
        </w:tc>
        <w:tc>
          <w:tcPr>
            <w:tcW w:w="1701" w:type="dxa"/>
          </w:tcPr>
          <w:p w14:paraId="7BFBDCD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0.553*</w:t>
            </w:r>
          </w:p>
        </w:tc>
      </w:tr>
      <w:tr w:rsidR="0091178F" w:rsidRPr="001559ED" w14:paraId="32602FAF" w14:textId="77777777" w:rsidTr="006D78DE">
        <w:tc>
          <w:tcPr>
            <w:tcW w:w="2660" w:type="dxa"/>
          </w:tcPr>
          <w:p w14:paraId="069E5558"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033CD74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(-0.93)</w:t>
            </w:r>
          </w:p>
        </w:tc>
        <w:tc>
          <w:tcPr>
            <w:tcW w:w="1772" w:type="dxa"/>
          </w:tcPr>
          <w:p w14:paraId="501A9AA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(-0.81)</w:t>
            </w:r>
          </w:p>
        </w:tc>
        <w:tc>
          <w:tcPr>
            <w:tcW w:w="1701" w:type="dxa"/>
          </w:tcPr>
          <w:p w14:paraId="27AAC6F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(-0.13)</w:t>
            </w:r>
          </w:p>
        </w:tc>
        <w:tc>
          <w:tcPr>
            <w:tcW w:w="1701" w:type="dxa"/>
          </w:tcPr>
          <w:p w14:paraId="5D9EDBB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(1.65)</w:t>
            </w:r>
          </w:p>
        </w:tc>
      </w:tr>
      <w:tr w:rsidR="0091178F" w:rsidRPr="001559ED" w14:paraId="73DCB787" w14:textId="77777777" w:rsidTr="006D78DE">
        <w:tc>
          <w:tcPr>
            <w:tcW w:w="2660" w:type="dxa"/>
          </w:tcPr>
          <w:p w14:paraId="2F12207F" w14:textId="55C10FCE" w:rsidR="0091178F" w:rsidRPr="00BC7D29" w:rsidRDefault="009E605C" w:rsidP="006D78DE">
            <w:pPr>
              <w:autoSpaceDE w:val="0"/>
              <w:autoSpaceDN w:val="0"/>
              <w:adjustRightInd w:val="0"/>
              <w:rPr>
                <w:rFonts w:ascii="Times New Roman" w:hAnsi="Times New Roman" w:cs="Times New Roman"/>
                <w:sz w:val="18"/>
                <w:szCs w:val="18"/>
              </w:rPr>
            </w:pPr>
            <w:r>
              <w:rPr>
                <w:rFonts w:asciiTheme="majorBidi" w:hAnsiTheme="majorBidi" w:cstheme="majorBidi"/>
                <w:i/>
                <w:iCs/>
                <w:color w:val="000000" w:themeColor="text1"/>
                <w:sz w:val="18"/>
                <w:szCs w:val="18"/>
              </w:rPr>
              <w:t>SG</w:t>
            </w:r>
          </w:p>
        </w:tc>
        <w:tc>
          <w:tcPr>
            <w:tcW w:w="1772" w:type="dxa"/>
          </w:tcPr>
          <w:p w14:paraId="65756C6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-0.0405</w:t>
            </w:r>
          </w:p>
        </w:tc>
        <w:tc>
          <w:tcPr>
            <w:tcW w:w="1772" w:type="dxa"/>
          </w:tcPr>
          <w:p w14:paraId="64CC4AB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-0.0296</w:t>
            </w:r>
          </w:p>
        </w:tc>
        <w:tc>
          <w:tcPr>
            <w:tcW w:w="1701" w:type="dxa"/>
          </w:tcPr>
          <w:p w14:paraId="0C5C0BA8"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-0.0442</w:t>
            </w:r>
          </w:p>
        </w:tc>
        <w:tc>
          <w:tcPr>
            <w:tcW w:w="1701" w:type="dxa"/>
          </w:tcPr>
          <w:p w14:paraId="4237DB1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-0.00843</w:t>
            </w:r>
          </w:p>
        </w:tc>
      </w:tr>
      <w:tr w:rsidR="0091178F" w:rsidRPr="001559ED" w14:paraId="5D6FC58C" w14:textId="77777777" w:rsidTr="006D78DE">
        <w:tc>
          <w:tcPr>
            <w:tcW w:w="2660" w:type="dxa"/>
          </w:tcPr>
          <w:p w14:paraId="75799C64"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5571AD5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(-0.39)</w:t>
            </w:r>
          </w:p>
        </w:tc>
        <w:tc>
          <w:tcPr>
            <w:tcW w:w="1772" w:type="dxa"/>
          </w:tcPr>
          <w:p w14:paraId="051332E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(-0.29)</w:t>
            </w:r>
          </w:p>
        </w:tc>
        <w:tc>
          <w:tcPr>
            <w:tcW w:w="1701" w:type="dxa"/>
          </w:tcPr>
          <w:p w14:paraId="4C93A08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(-0.51)</w:t>
            </w:r>
          </w:p>
        </w:tc>
        <w:tc>
          <w:tcPr>
            <w:tcW w:w="1701" w:type="dxa"/>
          </w:tcPr>
          <w:p w14:paraId="56823D2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(-0.09)</w:t>
            </w:r>
          </w:p>
        </w:tc>
      </w:tr>
      <w:tr w:rsidR="0091178F" w:rsidRPr="001559ED" w14:paraId="04AC8F7E" w14:textId="77777777" w:rsidTr="006D78DE">
        <w:tc>
          <w:tcPr>
            <w:tcW w:w="2660" w:type="dxa"/>
          </w:tcPr>
          <w:p w14:paraId="23FA6C4B" w14:textId="4854F116"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AGE</w:t>
            </w:r>
          </w:p>
        </w:tc>
        <w:tc>
          <w:tcPr>
            <w:tcW w:w="1772" w:type="dxa"/>
          </w:tcPr>
          <w:p w14:paraId="59194A5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0.0593</w:t>
            </w:r>
          </w:p>
        </w:tc>
        <w:tc>
          <w:tcPr>
            <w:tcW w:w="1772" w:type="dxa"/>
          </w:tcPr>
          <w:p w14:paraId="3A44F3C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0.0353</w:t>
            </w:r>
          </w:p>
        </w:tc>
        <w:tc>
          <w:tcPr>
            <w:tcW w:w="1701" w:type="dxa"/>
          </w:tcPr>
          <w:p w14:paraId="0249A1F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0.0509</w:t>
            </w:r>
          </w:p>
        </w:tc>
        <w:tc>
          <w:tcPr>
            <w:tcW w:w="1701" w:type="dxa"/>
          </w:tcPr>
          <w:p w14:paraId="5DD6634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0.0983</w:t>
            </w:r>
          </w:p>
        </w:tc>
      </w:tr>
      <w:tr w:rsidR="0091178F" w:rsidRPr="001559ED" w14:paraId="6C70DF5C" w14:textId="77777777" w:rsidTr="006D78DE">
        <w:tc>
          <w:tcPr>
            <w:tcW w:w="2660" w:type="dxa"/>
          </w:tcPr>
          <w:p w14:paraId="6B098B52"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6832AB9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(0.74)</w:t>
            </w:r>
          </w:p>
        </w:tc>
        <w:tc>
          <w:tcPr>
            <w:tcW w:w="1772" w:type="dxa"/>
          </w:tcPr>
          <w:p w14:paraId="7AEEBCB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(0.44)</w:t>
            </w:r>
          </w:p>
        </w:tc>
        <w:tc>
          <w:tcPr>
            <w:tcW w:w="1701" w:type="dxa"/>
          </w:tcPr>
          <w:p w14:paraId="33CA9D0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(0.74)</w:t>
            </w:r>
          </w:p>
        </w:tc>
        <w:tc>
          <w:tcPr>
            <w:tcW w:w="1701" w:type="dxa"/>
          </w:tcPr>
          <w:p w14:paraId="7EF7331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(0.43)</w:t>
            </w:r>
          </w:p>
        </w:tc>
      </w:tr>
      <w:tr w:rsidR="0091178F" w:rsidRPr="001559ED" w14:paraId="01D90E1E" w14:textId="77777777" w:rsidTr="006D78DE">
        <w:tc>
          <w:tcPr>
            <w:tcW w:w="2660" w:type="dxa"/>
          </w:tcPr>
          <w:p w14:paraId="4135C821" w14:textId="4072A7DC" w:rsidR="0091178F" w:rsidRPr="00BC7D29" w:rsidRDefault="00C325D8" w:rsidP="006D78DE">
            <w:pPr>
              <w:autoSpaceDE w:val="0"/>
              <w:autoSpaceDN w:val="0"/>
              <w:adjustRightInd w:val="0"/>
              <w:rPr>
                <w:rFonts w:ascii="Times New Roman" w:hAnsi="Times New Roman" w:cs="Times New Roman"/>
                <w:sz w:val="18"/>
                <w:szCs w:val="18"/>
              </w:rPr>
            </w:pPr>
            <w:r>
              <w:rPr>
                <w:rFonts w:asciiTheme="majorBidi" w:hAnsiTheme="majorBidi" w:cstheme="majorBidi"/>
                <w:i/>
                <w:iCs/>
                <w:color w:val="000000" w:themeColor="text1"/>
                <w:sz w:val="18"/>
                <w:szCs w:val="18"/>
              </w:rPr>
              <w:t>SIZE</w:t>
            </w:r>
          </w:p>
        </w:tc>
        <w:tc>
          <w:tcPr>
            <w:tcW w:w="1772" w:type="dxa"/>
          </w:tcPr>
          <w:p w14:paraId="474B6FA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0.0552*</w:t>
            </w:r>
          </w:p>
        </w:tc>
        <w:tc>
          <w:tcPr>
            <w:tcW w:w="1772" w:type="dxa"/>
          </w:tcPr>
          <w:p w14:paraId="340664E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0.0577**</w:t>
            </w:r>
          </w:p>
        </w:tc>
        <w:tc>
          <w:tcPr>
            <w:tcW w:w="1701" w:type="dxa"/>
          </w:tcPr>
          <w:p w14:paraId="745AD87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0.0625**</w:t>
            </w:r>
          </w:p>
        </w:tc>
        <w:tc>
          <w:tcPr>
            <w:tcW w:w="1701" w:type="dxa"/>
          </w:tcPr>
          <w:p w14:paraId="5C2E936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0.0360</w:t>
            </w:r>
          </w:p>
        </w:tc>
      </w:tr>
      <w:tr w:rsidR="0091178F" w:rsidRPr="001559ED" w14:paraId="6CB67E6F" w14:textId="77777777" w:rsidTr="006D78DE">
        <w:tc>
          <w:tcPr>
            <w:tcW w:w="2660" w:type="dxa"/>
          </w:tcPr>
          <w:p w14:paraId="7EFF3D82"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20E78F4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(1.97)</w:t>
            </w:r>
          </w:p>
        </w:tc>
        <w:tc>
          <w:tcPr>
            <w:tcW w:w="1772" w:type="dxa"/>
          </w:tcPr>
          <w:p w14:paraId="6E715D1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(2.06)</w:t>
            </w:r>
          </w:p>
        </w:tc>
        <w:tc>
          <w:tcPr>
            <w:tcW w:w="1701" w:type="dxa"/>
          </w:tcPr>
          <w:p w14:paraId="0E0DB06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(2.13)</w:t>
            </w:r>
          </w:p>
        </w:tc>
        <w:tc>
          <w:tcPr>
            <w:tcW w:w="1701" w:type="dxa"/>
          </w:tcPr>
          <w:p w14:paraId="3E34052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(0.49)</w:t>
            </w:r>
          </w:p>
        </w:tc>
      </w:tr>
      <w:tr w:rsidR="0091178F" w:rsidRPr="001559ED" w14:paraId="6ED08163" w14:textId="77777777" w:rsidTr="006D78DE">
        <w:tc>
          <w:tcPr>
            <w:tcW w:w="2660" w:type="dxa"/>
          </w:tcPr>
          <w:p w14:paraId="301D5D4A" w14:textId="099E763F"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ACCRUAL</w:t>
            </w:r>
          </w:p>
        </w:tc>
        <w:tc>
          <w:tcPr>
            <w:tcW w:w="1772" w:type="dxa"/>
          </w:tcPr>
          <w:p w14:paraId="7190A83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-0.0523</w:t>
            </w:r>
          </w:p>
        </w:tc>
        <w:tc>
          <w:tcPr>
            <w:tcW w:w="1772" w:type="dxa"/>
          </w:tcPr>
          <w:p w14:paraId="55911E2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-0.0441</w:t>
            </w:r>
          </w:p>
        </w:tc>
        <w:tc>
          <w:tcPr>
            <w:tcW w:w="1701" w:type="dxa"/>
          </w:tcPr>
          <w:p w14:paraId="3B3E29B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-0.0540</w:t>
            </w:r>
          </w:p>
        </w:tc>
        <w:tc>
          <w:tcPr>
            <w:tcW w:w="1701" w:type="dxa"/>
          </w:tcPr>
          <w:p w14:paraId="5AD314C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-0.0149</w:t>
            </w:r>
          </w:p>
        </w:tc>
      </w:tr>
      <w:tr w:rsidR="0091178F" w:rsidRPr="001559ED" w14:paraId="0132B748" w14:textId="77777777" w:rsidTr="006D78DE">
        <w:tc>
          <w:tcPr>
            <w:tcW w:w="2660" w:type="dxa"/>
          </w:tcPr>
          <w:p w14:paraId="5000992B"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4200D72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(-1.30)</w:t>
            </w:r>
          </w:p>
        </w:tc>
        <w:tc>
          <w:tcPr>
            <w:tcW w:w="1772" w:type="dxa"/>
          </w:tcPr>
          <w:p w14:paraId="354B709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(-1.08)</w:t>
            </w:r>
          </w:p>
        </w:tc>
        <w:tc>
          <w:tcPr>
            <w:tcW w:w="1701" w:type="dxa"/>
          </w:tcPr>
          <w:p w14:paraId="2A2A9D1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(-1.59)</w:t>
            </w:r>
          </w:p>
        </w:tc>
        <w:tc>
          <w:tcPr>
            <w:tcW w:w="1701" w:type="dxa"/>
          </w:tcPr>
          <w:p w14:paraId="3FD8F4C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(-0.34)</w:t>
            </w:r>
          </w:p>
        </w:tc>
      </w:tr>
      <w:tr w:rsidR="0091178F" w:rsidRPr="001559ED" w14:paraId="6A5F22A7" w14:textId="77777777" w:rsidTr="006D78DE">
        <w:tc>
          <w:tcPr>
            <w:tcW w:w="2660" w:type="dxa"/>
          </w:tcPr>
          <w:p w14:paraId="11AE01DA" w14:textId="77777777"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LOSS</w:t>
            </w:r>
          </w:p>
        </w:tc>
        <w:tc>
          <w:tcPr>
            <w:tcW w:w="1772" w:type="dxa"/>
          </w:tcPr>
          <w:p w14:paraId="5B89C09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0.0332</w:t>
            </w:r>
          </w:p>
        </w:tc>
        <w:tc>
          <w:tcPr>
            <w:tcW w:w="1772" w:type="dxa"/>
          </w:tcPr>
          <w:p w14:paraId="4EAF4A1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0.0612</w:t>
            </w:r>
          </w:p>
        </w:tc>
        <w:tc>
          <w:tcPr>
            <w:tcW w:w="1701" w:type="dxa"/>
          </w:tcPr>
          <w:p w14:paraId="35BB6BD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0.0239</w:t>
            </w:r>
          </w:p>
        </w:tc>
        <w:tc>
          <w:tcPr>
            <w:tcW w:w="1701" w:type="dxa"/>
          </w:tcPr>
          <w:p w14:paraId="7224019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-0.000682</w:t>
            </w:r>
          </w:p>
        </w:tc>
      </w:tr>
      <w:tr w:rsidR="0091178F" w:rsidRPr="001559ED" w14:paraId="56BF22DD" w14:textId="77777777" w:rsidTr="006D78DE">
        <w:tc>
          <w:tcPr>
            <w:tcW w:w="2660" w:type="dxa"/>
          </w:tcPr>
          <w:p w14:paraId="5EC13E1A"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367858B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(0.29)</w:t>
            </w:r>
          </w:p>
        </w:tc>
        <w:tc>
          <w:tcPr>
            <w:tcW w:w="1772" w:type="dxa"/>
          </w:tcPr>
          <w:p w14:paraId="41EF51B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(0.52)</w:t>
            </w:r>
          </w:p>
        </w:tc>
        <w:tc>
          <w:tcPr>
            <w:tcW w:w="1701" w:type="dxa"/>
          </w:tcPr>
          <w:p w14:paraId="151DF9E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(0.25)</w:t>
            </w:r>
          </w:p>
        </w:tc>
        <w:tc>
          <w:tcPr>
            <w:tcW w:w="1701" w:type="dxa"/>
          </w:tcPr>
          <w:p w14:paraId="3A07C28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(-0.01)</w:t>
            </w:r>
          </w:p>
        </w:tc>
      </w:tr>
      <w:tr w:rsidR="0091178F" w:rsidRPr="001559ED" w14:paraId="59070D5E" w14:textId="77777777" w:rsidTr="006D78DE">
        <w:tc>
          <w:tcPr>
            <w:tcW w:w="2660" w:type="dxa"/>
          </w:tcPr>
          <w:p w14:paraId="7DA9665A" w14:textId="6934AAA6"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DU</w:t>
            </w:r>
            <w:r w:rsidR="00C325D8">
              <w:rPr>
                <w:rFonts w:asciiTheme="majorBidi" w:hAnsiTheme="majorBidi" w:cstheme="majorBidi"/>
                <w:i/>
                <w:iCs/>
                <w:color w:val="000000" w:themeColor="text1"/>
                <w:sz w:val="18"/>
                <w:szCs w:val="18"/>
              </w:rPr>
              <w:t>AL</w:t>
            </w:r>
          </w:p>
        </w:tc>
        <w:tc>
          <w:tcPr>
            <w:tcW w:w="1772" w:type="dxa"/>
          </w:tcPr>
          <w:p w14:paraId="66C8846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358B567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3D816CF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-0.0201</w:t>
            </w:r>
          </w:p>
        </w:tc>
        <w:tc>
          <w:tcPr>
            <w:tcW w:w="1701" w:type="dxa"/>
          </w:tcPr>
          <w:p w14:paraId="293E607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-0.253</w:t>
            </w:r>
          </w:p>
        </w:tc>
      </w:tr>
      <w:tr w:rsidR="0091178F" w:rsidRPr="001559ED" w14:paraId="7777B5C8" w14:textId="77777777" w:rsidTr="006D78DE">
        <w:trPr>
          <w:trHeight w:val="151"/>
        </w:trPr>
        <w:tc>
          <w:tcPr>
            <w:tcW w:w="2660" w:type="dxa"/>
          </w:tcPr>
          <w:p w14:paraId="7E98B712"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43B42B4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71ECC81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23C5D668"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(-0.11)</w:t>
            </w:r>
          </w:p>
        </w:tc>
        <w:tc>
          <w:tcPr>
            <w:tcW w:w="1701" w:type="dxa"/>
          </w:tcPr>
          <w:p w14:paraId="77BF0D8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(-0.93)</w:t>
            </w:r>
          </w:p>
        </w:tc>
      </w:tr>
      <w:tr w:rsidR="0091178F" w:rsidRPr="001559ED" w14:paraId="0B6B558D" w14:textId="77777777" w:rsidTr="006D78DE">
        <w:tc>
          <w:tcPr>
            <w:tcW w:w="2660" w:type="dxa"/>
          </w:tcPr>
          <w:p w14:paraId="4685B8A9" w14:textId="5E6112C0"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TENU</w:t>
            </w:r>
            <w:r w:rsidR="00C325D8">
              <w:rPr>
                <w:rFonts w:asciiTheme="majorBidi" w:hAnsiTheme="majorBidi" w:cstheme="majorBidi"/>
                <w:i/>
                <w:iCs/>
                <w:color w:val="000000" w:themeColor="text1"/>
                <w:sz w:val="18"/>
                <w:szCs w:val="18"/>
              </w:rPr>
              <w:t>RE</w:t>
            </w:r>
          </w:p>
        </w:tc>
        <w:tc>
          <w:tcPr>
            <w:tcW w:w="1772" w:type="dxa"/>
          </w:tcPr>
          <w:p w14:paraId="130A00B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01CB283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69D3238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0.00386</w:t>
            </w:r>
          </w:p>
        </w:tc>
        <w:tc>
          <w:tcPr>
            <w:tcW w:w="1701" w:type="dxa"/>
          </w:tcPr>
          <w:p w14:paraId="6407699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0.00785</w:t>
            </w:r>
          </w:p>
        </w:tc>
      </w:tr>
      <w:tr w:rsidR="0091178F" w:rsidRPr="001559ED" w14:paraId="1830F780" w14:textId="77777777" w:rsidTr="006D78DE">
        <w:tc>
          <w:tcPr>
            <w:tcW w:w="2660" w:type="dxa"/>
          </w:tcPr>
          <w:p w14:paraId="2FBDA777"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19CE3E4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1837C63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2EBB199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(0.78)</w:t>
            </w:r>
          </w:p>
        </w:tc>
        <w:tc>
          <w:tcPr>
            <w:tcW w:w="1701" w:type="dxa"/>
          </w:tcPr>
          <w:p w14:paraId="5AD0D2B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(1.11)</w:t>
            </w:r>
          </w:p>
        </w:tc>
      </w:tr>
      <w:tr w:rsidR="0091178F" w:rsidRPr="001559ED" w14:paraId="5B0B5504" w14:textId="77777777" w:rsidTr="006D78DE">
        <w:tc>
          <w:tcPr>
            <w:tcW w:w="2660" w:type="dxa"/>
          </w:tcPr>
          <w:p w14:paraId="29939962" w14:textId="0466BE47"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IND</w:t>
            </w:r>
            <w:r w:rsidR="00C325D8">
              <w:rPr>
                <w:rFonts w:asciiTheme="majorBidi" w:hAnsiTheme="majorBidi" w:cstheme="majorBidi"/>
                <w:i/>
                <w:iCs/>
                <w:color w:val="000000" w:themeColor="text1"/>
                <w:sz w:val="18"/>
                <w:szCs w:val="18"/>
              </w:rPr>
              <w:t>EP</w:t>
            </w:r>
          </w:p>
        </w:tc>
        <w:tc>
          <w:tcPr>
            <w:tcW w:w="1772" w:type="dxa"/>
          </w:tcPr>
          <w:p w14:paraId="1E6FFAB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48F1846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747192B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-0.254</w:t>
            </w:r>
          </w:p>
        </w:tc>
        <w:tc>
          <w:tcPr>
            <w:tcW w:w="1701" w:type="dxa"/>
          </w:tcPr>
          <w:p w14:paraId="4417AB1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-0.137</w:t>
            </w:r>
          </w:p>
        </w:tc>
      </w:tr>
      <w:tr w:rsidR="0091178F" w:rsidRPr="001559ED" w14:paraId="1007D248" w14:textId="77777777" w:rsidTr="006D78DE">
        <w:tc>
          <w:tcPr>
            <w:tcW w:w="2660" w:type="dxa"/>
          </w:tcPr>
          <w:p w14:paraId="5CC9551D"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32D3317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6B1EA78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120EEB4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(-0.78)</w:t>
            </w:r>
          </w:p>
        </w:tc>
        <w:tc>
          <w:tcPr>
            <w:tcW w:w="1701" w:type="dxa"/>
          </w:tcPr>
          <w:p w14:paraId="61658E0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(-0.35)</w:t>
            </w:r>
          </w:p>
        </w:tc>
      </w:tr>
      <w:tr w:rsidR="0091178F" w:rsidRPr="001559ED" w14:paraId="7992387E" w14:textId="77777777" w:rsidTr="006D78DE">
        <w:tc>
          <w:tcPr>
            <w:tcW w:w="2660" w:type="dxa"/>
          </w:tcPr>
          <w:p w14:paraId="171ADF2A" w14:textId="6E7B169D"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B</w:t>
            </w:r>
            <w:r w:rsidR="00C325D8">
              <w:rPr>
                <w:rFonts w:asciiTheme="majorBidi" w:hAnsiTheme="majorBidi" w:cstheme="majorBidi"/>
                <w:i/>
                <w:iCs/>
                <w:color w:val="000000" w:themeColor="text1"/>
                <w:sz w:val="18"/>
                <w:szCs w:val="18"/>
              </w:rPr>
              <w:t>D</w:t>
            </w:r>
            <w:r w:rsidRPr="00BC7D29">
              <w:rPr>
                <w:rFonts w:asciiTheme="majorBidi" w:hAnsiTheme="majorBidi" w:cstheme="majorBidi"/>
                <w:i/>
                <w:iCs/>
                <w:color w:val="000000" w:themeColor="text1"/>
                <w:sz w:val="18"/>
                <w:szCs w:val="18"/>
              </w:rPr>
              <w:t>SIZE</w:t>
            </w:r>
          </w:p>
        </w:tc>
        <w:tc>
          <w:tcPr>
            <w:tcW w:w="1772" w:type="dxa"/>
          </w:tcPr>
          <w:p w14:paraId="7CEFFAE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1D79C6B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63CA118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0.00455</w:t>
            </w:r>
          </w:p>
        </w:tc>
        <w:tc>
          <w:tcPr>
            <w:tcW w:w="1701" w:type="dxa"/>
          </w:tcPr>
          <w:p w14:paraId="5A0E81B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-0.00381</w:t>
            </w:r>
          </w:p>
        </w:tc>
      </w:tr>
      <w:tr w:rsidR="0091178F" w:rsidRPr="001559ED" w14:paraId="04C20764" w14:textId="77777777" w:rsidTr="006D78DE">
        <w:tc>
          <w:tcPr>
            <w:tcW w:w="2660" w:type="dxa"/>
          </w:tcPr>
          <w:p w14:paraId="798E27C4"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5D987CE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3DFD20C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32E06C1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(0.22)</w:t>
            </w:r>
          </w:p>
        </w:tc>
        <w:tc>
          <w:tcPr>
            <w:tcW w:w="1701" w:type="dxa"/>
          </w:tcPr>
          <w:p w14:paraId="669F350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(-0.15)</w:t>
            </w:r>
          </w:p>
        </w:tc>
      </w:tr>
      <w:tr w:rsidR="0091178F" w:rsidRPr="001559ED" w14:paraId="2515FEDD" w14:textId="77777777" w:rsidTr="006D78DE">
        <w:tc>
          <w:tcPr>
            <w:tcW w:w="2660" w:type="dxa"/>
          </w:tcPr>
          <w:p w14:paraId="22A2437F" w14:textId="77777777"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ACSIZE</w:t>
            </w:r>
          </w:p>
        </w:tc>
        <w:tc>
          <w:tcPr>
            <w:tcW w:w="1772" w:type="dxa"/>
          </w:tcPr>
          <w:p w14:paraId="46043382"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2A38C9E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5FA7A92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0.456</w:t>
            </w:r>
          </w:p>
        </w:tc>
        <w:tc>
          <w:tcPr>
            <w:tcW w:w="1701" w:type="dxa"/>
          </w:tcPr>
          <w:p w14:paraId="3E10C9A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-0.301</w:t>
            </w:r>
          </w:p>
        </w:tc>
      </w:tr>
      <w:tr w:rsidR="0091178F" w:rsidRPr="001559ED" w14:paraId="733F95ED" w14:textId="77777777" w:rsidTr="006D78DE">
        <w:tc>
          <w:tcPr>
            <w:tcW w:w="2660" w:type="dxa"/>
          </w:tcPr>
          <w:p w14:paraId="57DF3847"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297EED6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0565B088"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2932026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(1.41)</w:t>
            </w:r>
          </w:p>
        </w:tc>
        <w:tc>
          <w:tcPr>
            <w:tcW w:w="1701" w:type="dxa"/>
          </w:tcPr>
          <w:p w14:paraId="7E93480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(-0.69)</w:t>
            </w:r>
          </w:p>
        </w:tc>
      </w:tr>
      <w:tr w:rsidR="0091178F" w:rsidRPr="001559ED" w14:paraId="7DD7BE98" w14:textId="77777777" w:rsidTr="006D78DE">
        <w:tc>
          <w:tcPr>
            <w:tcW w:w="2660" w:type="dxa"/>
          </w:tcPr>
          <w:p w14:paraId="69678D52" w14:textId="48B62865"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FEMALE</w:t>
            </w:r>
          </w:p>
        </w:tc>
        <w:tc>
          <w:tcPr>
            <w:tcW w:w="1772" w:type="dxa"/>
          </w:tcPr>
          <w:p w14:paraId="44A5761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1AB0B23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07B0C71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-0.368**</w:t>
            </w:r>
          </w:p>
        </w:tc>
        <w:tc>
          <w:tcPr>
            <w:tcW w:w="1701" w:type="dxa"/>
          </w:tcPr>
          <w:p w14:paraId="23D357B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-0.258</w:t>
            </w:r>
          </w:p>
        </w:tc>
      </w:tr>
      <w:tr w:rsidR="0091178F" w:rsidRPr="001559ED" w14:paraId="2F6F00B3" w14:textId="77777777" w:rsidTr="006D78DE">
        <w:tc>
          <w:tcPr>
            <w:tcW w:w="2660" w:type="dxa"/>
          </w:tcPr>
          <w:p w14:paraId="58B7CE3E"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1E7018A3"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4D6DDF3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0B18E4B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(-2.43)</w:t>
            </w:r>
          </w:p>
        </w:tc>
        <w:tc>
          <w:tcPr>
            <w:tcW w:w="1701" w:type="dxa"/>
          </w:tcPr>
          <w:p w14:paraId="550B5955"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(-1.25)</w:t>
            </w:r>
          </w:p>
        </w:tc>
      </w:tr>
      <w:tr w:rsidR="0091178F" w:rsidRPr="001559ED" w14:paraId="227A9856" w14:textId="77777777" w:rsidTr="006D78DE">
        <w:tc>
          <w:tcPr>
            <w:tcW w:w="2660" w:type="dxa"/>
          </w:tcPr>
          <w:p w14:paraId="507A9F4E" w14:textId="5AE7CF3D" w:rsidR="0091178F" w:rsidRPr="00BC7D29" w:rsidRDefault="0091178F" w:rsidP="006D78DE">
            <w:pPr>
              <w:autoSpaceDE w:val="0"/>
              <w:autoSpaceDN w:val="0"/>
              <w:adjustRightInd w:val="0"/>
              <w:rPr>
                <w:rFonts w:ascii="Times New Roman" w:hAnsi="Times New Roman" w:cs="Times New Roman"/>
                <w:sz w:val="18"/>
                <w:szCs w:val="18"/>
              </w:rPr>
            </w:pPr>
            <w:r w:rsidRPr="00BC7D29">
              <w:rPr>
                <w:rFonts w:asciiTheme="majorBidi" w:hAnsiTheme="majorBidi" w:cstheme="majorBidi"/>
                <w:i/>
                <w:iCs/>
                <w:color w:val="000000" w:themeColor="text1"/>
                <w:sz w:val="18"/>
                <w:szCs w:val="18"/>
              </w:rPr>
              <w:t>ACCEXP</w:t>
            </w:r>
          </w:p>
        </w:tc>
        <w:tc>
          <w:tcPr>
            <w:tcW w:w="1772" w:type="dxa"/>
          </w:tcPr>
          <w:p w14:paraId="0B3E49B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6F9F4EF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4DA5573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-0.219</w:t>
            </w:r>
          </w:p>
        </w:tc>
        <w:tc>
          <w:tcPr>
            <w:tcW w:w="1701" w:type="dxa"/>
          </w:tcPr>
          <w:p w14:paraId="5B107C3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-0.226</w:t>
            </w:r>
          </w:p>
        </w:tc>
      </w:tr>
      <w:tr w:rsidR="0091178F" w:rsidRPr="001559ED" w14:paraId="5A0057EF" w14:textId="77777777" w:rsidTr="006D78DE">
        <w:tc>
          <w:tcPr>
            <w:tcW w:w="2660" w:type="dxa"/>
          </w:tcPr>
          <w:p w14:paraId="5432D7DC"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3D8FEAB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552D2A0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40B13DE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(-1.36)</w:t>
            </w:r>
          </w:p>
        </w:tc>
        <w:tc>
          <w:tcPr>
            <w:tcW w:w="1701" w:type="dxa"/>
          </w:tcPr>
          <w:p w14:paraId="6AA1BDE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(-1.19)</w:t>
            </w:r>
          </w:p>
        </w:tc>
      </w:tr>
      <w:tr w:rsidR="0091178F" w:rsidRPr="001559ED" w14:paraId="10C633A8" w14:textId="77777777" w:rsidTr="006D78DE">
        <w:tc>
          <w:tcPr>
            <w:tcW w:w="2660" w:type="dxa"/>
          </w:tcPr>
          <w:p w14:paraId="5A3A4B0F" w14:textId="1030F10D" w:rsidR="0091178F" w:rsidRPr="00BC7D29" w:rsidRDefault="0091178F" w:rsidP="006D78DE">
            <w:pPr>
              <w:autoSpaceDE w:val="0"/>
              <w:autoSpaceDN w:val="0"/>
              <w:adjustRightInd w:val="0"/>
              <w:rPr>
                <w:rFonts w:ascii="Times New Roman" w:hAnsi="Times New Roman" w:cs="Times New Roman"/>
                <w:i/>
                <w:iCs/>
                <w:sz w:val="18"/>
                <w:szCs w:val="18"/>
              </w:rPr>
            </w:pPr>
            <w:r w:rsidRPr="00BC7D29">
              <w:rPr>
                <w:rFonts w:ascii="Times New Roman" w:hAnsi="Times New Roman" w:cs="Times New Roman"/>
                <w:i/>
                <w:iCs/>
                <w:sz w:val="18"/>
                <w:szCs w:val="18"/>
              </w:rPr>
              <w:t>COMPEN</w:t>
            </w:r>
            <w:r w:rsidR="00C325D8">
              <w:rPr>
                <w:rFonts w:ascii="Times New Roman" w:hAnsi="Times New Roman" w:cs="Times New Roman"/>
                <w:i/>
                <w:iCs/>
                <w:sz w:val="18"/>
                <w:szCs w:val="18"/>
              </w:rPr>
              <w:t>SATION</w:t>
            </w:r>
          </w:p>
        </w:tc>
        <w:tc>
          <w:tcPr>
            <w:tcW w:w="1772" w:type="dxa"/>
          </w:tcPr>
          <w:p w14:paraId="095E531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02A7897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7051F684"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-0.0931**</w:t>
            </w:r>
          </w:p>
        </w:tc>
        <w:tc>
          <w:tcPr>
            <w:tcW w:w="1701" w:type="dxa"/>
          </w:tcPr>
          <w:p w14:paraId="136B270F"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-0.0852*</w:t>
            </w:r>
          </w:p>
        </w:tc>
      </w:tr>
      <w:tr w:rsidR="0091178F" w:rsidRPr="001559ED" w14:paraId="1D221121" w14:textId="77777777" w:rsidTr="006D78DE">
        <w:tc>
          <w:tcPr>
            <w:tcW w:w="2660" w:type="dxa"/>
          </w:tcPr>
          <w:p w14:paraId="1EB87944" w14:textId="77777777" w:rsidR="0091178F" w:rsidRPr="00BC7D29" w:rsidRDefault="0091178F" w:rsidP="006D78DE">
            <w:pPr>
              <w:autoSpaceDE w:val="0"/>
              <w:autoSpaceDN w:val="0"/>
              <w:adjustRightInd w:val="0"/>
              <w:rPr>
                <w:rFonts w:ascii="Times New Roman" w:hAnsi="Times New Roman" w:cs="Times New Roman"/>
                <w:i/>
                <w:iCs/>
                <w:sz w:val="18"/>
                <w:szCs w:val="18"/>
              </w:rPr>
            </w:pPr>
          </w:p>
        </w:tc>
        <w:tc>
          <w:tcPr>
            <w:tcW w:w="1772" w:type="dxa"/>
          </w:tcPr>
          <w:p w14:paraId="2610F94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72" w:type="dxa"/>
          </w:tcPr>
          <w:p w14:paraId="7436D40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p>
        </w:tc>
        <w:tc>
          <w:tcPr>
            <w:tcW w:w="1701" w:type="dxa"/>
          </w:tcPr>
          <w:p w14:paraId="7671113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(-2.10)</w:t>
            </w:r>
          </w:p>
        </w:tc>
        <w:tc>
          <w:tcPr>
            <w:tcW w:w="1701" w:type="dxa"/>
          </w:tcPr>
          <w:p w14:paraId="6AAD805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(-1.94)</w:t>
            </w:r>
          </w:p>
        </w:tc>
      </w:tr>
      <w:tr w:rsidR="0091178F" w:rsidRPr="001559ED" w14:paraId="1D00446A" w14:textId="77777777" w:rsidTr="006D78DE">
        <w:tc>
          <w:tcPr>
            <w:tcW w:w="2660" w:type="dxa"/>
          </w:tcPr>
          <w:p w14:paraId="3EF7F24F" w14:textId="77777777" w:rsidR="0091178F" w:rsidRPr="00BC7D29" w:rsidRDefault="0091178F" w:rsidP="006D78DE">
            <w:pPr>
              <w:autoSpaceDE w:val="0"/>
              <w:autoSpaceDN w:val="0"/>
              <w:adjustRightInd w:val="0"/>
              <w:rPr>
                <w:rFonts w:ascii="Times New Roman" w:hAnsi="Times New Roman" w:cs="Times New Roman"/>
                <w:i/>
                <w:iCs/>
                <w:sz w:val="18"/>
                <w:szCs w:val="18"/>
              </w:rPr>
            </w:pPr>
            <w:r w:rsidRPr="00BC7D29">
              <w:rPr>
                <w:rFonts w:asciiTheme="majorBidi" w:hAnsiTheme="majorBidi" w:cstheme="majorBidi"/>
                <w:i/>
                <w:iCs/>
                <w:color w:val="000000" w:themeColor="text1"/>
                <w:sz w:val="18"/>
                <w:szCs w:val="18"/>
              </w:rPr>
              <w:t>Constant</w:t>
            </w:r>
          </w:p>
        </w:tc>
        <w:tc>
          <w:tcPr>
            <w:tcW w:w="1772" w:type="dxa"/>
          </w:tcPr>
          <w:p w14:paraId="491799F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-0.891**</w:t>
            </w:r>
          </w:p>
        </w:tc>
        <w:tc>
          <w:tcPr>
            <w:tcW w:w="1772" w:type="dxa"/>
          </w:tcPr>
          <w:p w14:paraId="297972D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-0.207</w:t>
            </w:r>
          </w:p>
        </w:tc>
        <w:tc>
          <w:tcPr>
            <w:tcW w:w="1701" w:type="dxa"/>
          </w:tcPr>
          <w:p w14:paraId="3337761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-0.142</w:t>
            </w:r>
          </w:p>
        </w:tc>
        <w:tc>
          <w:tcPr>
            <w:tcW w:w="1701" w:type="dxa"/>
          </w:tcPr>
          <w:p w14:paraId="71BA8EA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0.0470</w:t>
            </w:r>
          </w:p>
        </w:tc>
      </w:tr>
      <w:tr w:rsidR="0091178F" w:rsidRPr="001559ED" w14:paraId="35BE264C" w14:textId="77777777" w:rsidTr="006D78DE">
        <w:tc>
          <w:tcPr>
            <w:tcW w:w="2660" w:type="dxa"/>
          </w:tcPr>
          <w:p w14:paraId="2E4D4796"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p>
        </w:tc>
        <w:tc>
          <w:tcPr>
            <w:tcW w:w="1772" w:type="dxa"/>
          </w:tcPr>
          <w:p w14:paraId="65C01E5B"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(-2.21)</w:t>
            </w:r>
          </w:p>
        </w:tc>
        <w:tc>
          <w:tcPr>
            <w:tcW w:w="1772" w:type="dxa"/>
          </w:tcPr>
          <w:p w14:paraId="1659733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(-0.49)</w:t>
            </w:r>
          </w:p>
        </w:tc>
        <w:tc>
          <w:tcPr>
            <w:tcW w:w="1701" w:type="dxa"/>
          </w:tcPr>
          <w:p w14:paraId="00A6870A"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(-0.32)</w:t>
            </w:r>
          </w:p>
        </w:tc>
        <w:tc>
          <w:tcPr>
            <w:tcW w:w="1701" w:type="dxa"/>
          </w:tcPr>
          <w:p w14:paraId="0F972DA1"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(0.04)</w:t>
            </w:r>
          </w:p>
        </w:tc>
      </w:tr>
      <w:tr w:rsidR="0091178F" w:rsidRPr="001559ED" w14:paraId="30F24256" w14:textId="77777777" w:rsidTr="006D78DE">
        <w:tc>
          <w:tcPr>
            <w:tcW w:w="2660" w:type="dxa"/>
          </w:tcPr>
          <w:p w14:paraId="5AD0086A" w14:textId="77777777" w:rsidR="0091178F" w:rsidRPr="00BC7D29" w:rsidRDefault="0091178F" w:rsidP="006D78DE">
            <w:pPr>
              <w:autoSpaceDE w:val="0"/>
              <w:autoSpaceDN w:val="0"/>
              <w:adjustRightInd w:val="0"/>
              <w:rPr>
                <w:rFonts w:ascii="Times New Roman" w:hAnsi="Times New Roman" w:cs="Times New Roman"/>
                <w:i/>
                <w:iCs/>
                <w:sz w:val="18"/>
                <w:szCs w:val="18"/>
              </w:rPr>
            </w:pPr>
            <w:r w:rsidRPr="00BC7D29">
              <w:rPr>
                <w:rFonts w:asciiTheme="majorBidi" w:hAnsiTheme="majorBidi" w:cstheme="majorBidi"/>
                <w:i/>
                <w:iCs/>
                <w:color w:val="000000" w:themeColor="text1"/>
                <w:sz w:val="18"/>
                <w:szCs w:val="18"/>
              </w:rPr>
              <w:t xml:space="preserve">Industry </w:t>
            </w:r>
            <w:proofErr w:type="gramStart"/>
            <w:r w:rsidRPr="00BC7D29">
              <w:rPr>
                <w:rFonts w:asciiTheme="majorBidi" w:hAnsiTheme="majorBidi" w:cstheme="majorBidi"/>
                <w:i/>
                <w:iCs/>
                <w:color w:val="000000" w:themeColor="text1"/>
                <w:sz w:val="18"/>
                <w:szCs w:val="18"/>
              </w:rPr>
              <w:t>fixed-effect</w:t>
            </w:r>
            <w:proofErr w:type="gramEnd"/>
          </w:p>
        </w:tc>
        <w:tc>
          <w:tcPr>
            <w:tcW w:w="1772" w:type="dxa"/>
          </w:tcPr>
          <w:p w14:paraId="79DFA1B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Yes</w:t>
            </w:r>
          </w:p>
        </w:tc>
        <w:tc>
          <w:tcPr>
            <w:tcW w:w="1772" w:type="dxa"/>
          </w:tcPr>
          <w:p w14:paraId="134C2089"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Yes</w:t>
            </w:r>
          </w:p>
        </w:tc>
        <w:tc>
          <w:tcPr>
            <w:tcW w:w="1701" w:type="dxa"/>
          </w:tcPr>
          <w:p w14:paraId="6A88D1A7"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701" w:type="dxa"/>
          </w:tcPr>
          <w:p w14:paraId="1DDFE21D"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No</w:t>
            </w:r>
          </w:p>
        </w:tc>
      </w:tr>
      <w:tr w:rsidR="0091178F" w:rsidRPr="001559ED" w14:paraId="128DE8ED" w14:textId="77777777" w:rsidTr="006D78DE">
        <w:tc>
          <w:tcPr>
            <w:tcW w:w="2660" w:type="dxa"/>
          </w:tcPr>
          <w:p w14:paraId="58E7A1E0" w14:textId="77777777" w:rsidR="0091178F" w:rsidRPr="00BC7D29" w:rsidRDefault="0091178F" w:rsidP="006D78DE">
            <w:pPr>
              <w:autoSpaceDE w:val="0"/>
              <w:autoSpaceDN w:val="0"/>
              <w:adjustRightInd w:val="0"/>
              <w:rPr>
                <w:rFonts w:ascii="Times New Roman" w:hAnsi="Times New Roman" w:cs="Times New Roman"/>
                <w:i/>
                <w:iCs/>
                <w:sz w:val="18"/>
                <w:szCs w:val="18"/>
              </w:rPr>
            </w:pPr>
            <w:r w:rsidRPr="00BC7D29">
              <w:rPr>
                <w:rFonts w:asciiTheme="majorBidi" w:hAnsiTheme="majorBidi" w:cstheme="majorBidi"/>
                <w:i/>
                <w:iCs/>
                <w:color w:val="000000" w:themeColor="text1"/>
                <w:sz w:val="18"/>
                <w:szCs w:val="18"/>
              </w:rPr>
              <w:t xml:space="preserve">Year </w:t>
            </w:r>
            <w:proofErr w:type="gramStart"/>
            <w:r w:rsidRPr="00BC7D29">
              <w:rPr>
                <w:rFonts w:asciiTheme="majorBidi" w:hAnsiTheme="majorBidi" w:cstheme="majorBidi"/>
                <w:i/>
                <w:iCs/>
                <w:color w:val="000000" w:themeColor="text1"/>
                <w:sz w:val="18"/>
                <w:szCs w:val="18"/>
              </w:rPr>
              <w:t>fixed-effect</w:t>
            </w:r>
            <w:proofErr w:type="gramEnd"/>
          </w:p>
        </w:tc>
        <w:tc>
          <w:tcPr>
            <w:tcW w:w="1772" w:type="dxa"/>
          </w:tcPr>
          <w:p w14:paraId="4939F6E6"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Yes</w:t>
            </w:r>
          </w:p>
        </w:tc>
        <w:tc>
          <w:tcPr>
            <w:tcW w:w="1772" w:type="dxa"/>
          </w:tcPr>
          <w:p w14:paraId="4FC1BE4E"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Yes</w:t>
            </w:r>
          </w:p>
        </w:tc>
        <w:tc>
          <w:tcPr>
            <w:tcW w:w="1701" w:type="dxa"/>
          </w:tcPr>
          <w:p w14:paraId="56AE8DA0"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701" w:type="dxa"/>
          </w:tcPr>
          <w:p w14:paraId="017C246C" w14:textId="77777777" w:rsidR="0091178F" w:rsidRPr="00BC7D29" w:rsidRDefault="0091178F" w:rsidP="006D78DE">
            <w:pPr>
              <w:autoSpaceDE w:val="0"/>
              <w:autoSpaceDN w:val="0"/>
              <w:adjustRightInd w:val="0"/>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r>
      <w:tr w:rsidR="0091178F" w:rsidRPr="001559ED" w14:paraId="4CDF2ED8" w14:textId="77777777" w:rsidTr="006D78DE">
        <w:tc>
          <w:tcPr>
            <w:tcW w:w="2660" w:type="dxa"/>
          </w:tcPr>
          <w:p w14:paraId="692D8D95" w14:textId="77777777" w:rsidR="0091178F" w:rsidRPr="00BC7D29" w:rsidRDefault="0091178F" w:rsidP="006D78DE">
            <w:pPr>
              <w:autoSpaceDE w:val="0"/>
              <w:autoSpaceDN w:val="0"/>
              <w:adjustRightInd w:val="0"/>
              <w:rPr>
                <w:rFonts w:asciiTheme="majorBidi" w:hAnsiTheme="majorBidi" w:cstheme="majorBidi"/>
                <w:i/>
                <w:iCs/>
                <w:color w:val="000000" w:themeColor="text1"/>
                <w:sz w:val="18"/>
                <w:szCs w:val="18"/>
              </w:rPr>
            </w:pPr>
            <w:r w:rsidRPr="00BC7D29">
              <w:rPr>
                <w:rFonts w:asciiTheme="majorBidi" w:hAnsiTheme="majorBidi" w:cstheme="majorBidi"/>
                <w:i/>
                <w:iCs/>
                <w:color w:val="000000" w:themeColor="text1"/>
                <w:sz w:val="18"/>
                <w:szCs w:val="18"/>
              </w:rPr>
              <w:t xml:space="preserve">Firm </w:t>
            </w:r>
            <w:proofErr w:type="gramStart"/>
            <w:r w:rsidRPr="00BC7D29">
              <w:rPr>
                <w:rFonts w:asciiTheme="majorBidi" w:hAnsiTheme="majorBidi" w:cstheme="majorBidi"/>
                <w:i/>
                <w:iCs/>
                <w:color w:val="000000" w:themeColor="text1"/>
                <w:sz w:val="18"/>
                <w:szCs w:val="18"/>
              </w:rPr>
              <w:t>fixed-effect</w:t>
            </w:r>
            <w:proofErr w:type="gramEnd"/>
          </w:p>
        </w:tc>
        <w:tc>
          <w:tcPr>
            <w:tcW w:w="1772" w:type="dxa"/>
          </w:tcPr>
          <w:p w14:paraId="139D8F65" w14:textId="7D85C123" w:rsidR="0091178F" w:rsidRPr="00BC7D29" w:rsidRDefault="005279D8" w:rsidP="006D78DE">
            <w:pPr>
              <w:autoSpaceDE w:val="0"/>
              <w:autoSpaceDN w:val="0"/>
              <w:adjustRightInd w:val="0"/>
              <w:jc w:val="center"/>
              <w:rPr>
                <w:rFonts w:asciiTheme="majorBidi" w:hAnsiTheme="majorBidi" w:cstheme="majorBidi"/>
                <w:color w:val="000000" w:themeColor="text1"/>
                <w:sz w:val="18"/>
                <w:szCs w:val="18"/>
              </w:rPr>
            </w:pPr>
            <w:r w:rsidRPr="00BC7D29">
              <w:rPr>
                <w:rFonts w:asciiTheme="majorBidi" w:hAnsiTheme="majorBidi" w:cstheme="majorBidi"/>
                <w:color w:val="000000" w:themeColor="text1"/>
                <w:sz w:val="18"/>
                <w:szCs w:val="18"/>
              </w:rPr>
              <w:t>No</w:t>
            </w:r>
          </w:p>
        </w:tc>
        <w:tc>
          <w:tcPr>
            <w:tcW w:w="1772" w:type="dxa"/>
          </w:tcPr>
          <w:p w14:paraId="1E92D409" w14:textId="6DF6AEEF" w:rsidR="0091178F" w:rsidRPr="00BC7D29" w:rsidRDefault="005279D8" w:rsidP="006D78DE">
            <w:pPr>
              <w:autoSpaceDE w:val="0"/>
              <w:autoSpaceDN w:val="0"/>
              <w:adjustRightInd w:val="0"/>
              <w:jc w:val="center"/>
              <w:rPr>
                <w:rFonts w:asciiTheme="majorBidi" w:hAnsiTheme="majorBidi" w:cstheme="majorBidi"/>
                <w:color w:val="000000" w:themeColor="text1"/>
                <w:sz w:val="18"/>
                <w:szCs w:val="18"/>
              </w:rPr>
            </w:pPr>
            <w:r w:rsidRPr="00BC7D29">
              <w:rPr>
                <w:rFonts w:asciiTheme="majorBidi" w:hAnsiTheme="majorBidi" w:cstheme="majorBidi"/>
                <w:color w:val="000000" w:themeColor="text1"/>
                <w:sz w:val="18"/>
                <w:szCs w:val="18"/>
              </w:rPr>
              <w:t>No</w:t>
            </w:r>
          </w:p>
        </w:tc>
        <w:tc>
          <w:tcPr>
            <w:tcW w:w="1701" w:type="dxa"/>
          </w:tcPr>
          <w:p w14:paraId="01DD158B" w14:textId="77777777" w:rsidR="0091178F" w:rsidRPr="00BC7D29" w:rsidRDefault="0091178F" w:rsidP="006D78DE">
            <w:pPr>
              <w:autoSpaceDE w:val="0"/>
              <w:autoSpaceDN w:val="0"/>
              <w:adjustRightInd w:val="0"/>
              <w:jc w:val="center"/>
              <w:rPr>
                <w:rFonts w:asciiTheme="majorBidi" w:hAnsiTheme="majorBidi" w:cstheme="majorBidi"/>
                <w:color w:val="000000" w:themeColor="text1"/>
                <w:sz w:val="18"/>
                <w:szCs w:val="18"/>
              </w:rPr>
            </w:pPr>
            <w:r w:rsidRPr="00BC7D29">
              <w:rPr>
                <w:rFonts w:asciiTheme="majorBidi" w:hAnsiTheme="majorBidi" w:cstheme="majorBidi"/>
                <w:color w:val="000000" w:themeColor="text1"/>
                <w:sz w:val="18"/>
                <w:szCs w:val="18"/>
              </w:rPr>
              <w:t>No</w:t>
            </w:r>
          </w:p>
        </w:tc>
        <w:tc>
          <w:tcPr>
            <w:tcW w:w="1701" w:type="dxa"/>
          </w:tcPr>
          <w:p w14:paraId="199038C9" w14:textId="77777777" w:rsidR="0091178F" w:rsidRPr="00BC7D29" w:rsidRDefault="0091178F" w:rsidP="006D78DE">
            <w:pPr>
              <w:autoSpaceDE w:val="0"/>
              <w:autoSpaceDN w:val="0"/>
              <w:adjustRightInd w:val="0"/>
              <w:jc w:val="center"/>
              <w:rPr>
                <w:rFonts w:asciiTheme="majorBidi" w:hAnsiTheme="majorBidi" w:cstheme="majorBidi"/>
                <w:color w:val="000000" w:themeColor="text1"/>
                <w:sz w:val="18"/>
                <w:szCs w:val="18"/>
              </w:rPr>
            </w:pPr>
            <w:r w:rsidRPr="00BC7D29">
              <w:rPr>
                <w:rFonts w:asciiTheme="majorBidi" w:hAnsiTheme="majorBidi" w:cstheme="majorBidi"/>
                <w:color w:val="000000" w:themeColor="text1"/>
                <w:sz w:val="18"/>
                <w:szCs w:val="18"/>
              </w:rPr>
              <w:t>Yes</w:t>
            </w:r>
          </w:p>
        </w:tc>
      </w:tr>
      <w:tr w:rsidR="005279D8" w:rsidRPr="001559ED" w14:paraId="7D7623E1" w14:textId="77777777" w:rsidTr="006D78DE">
        <w:tc>
          <w:tcPr>
            <w:tcW w:w="2660" w:type="dxa"/>
          </w:tcPr>
          <w:p w14:paraId="2914EB50" w14:textId="77777777" w:rsidR="005279D8" w:rsidRPr="00BC7D29" w:rsidRDefault="005279D8" w:rsidP="005279D8">
            <w:pPr>
              <w:autoSpaceDE w:val="0"/>
              <w:autoSpaceDN w:val="0"/>
              <w:adjustRightInd w:val="0"/>
              <w:rPr>
                <w:rFonts w:ascii="Times New Roman" w:hAnsi="Times New Roman" w:cs="Times New Roman"/>
                <w:i/>
                <w:iCs/>
                <w:sz w:val="18"/>
                <w:szCs w:val="18"/>
              </w:rPr>
            </w:pPr>
            <w:r w:rsidRPr="00BC7D29">
              <w:rPr>
                <w:rFonts w:asciiTheme="majorBidi" w:hAnsiTheme="majorBidi" w:cstheme="majorBidi"/>
                <w:i/>
                <w:iCs/>
                <w:color w:val="000000" w:themeColor="text1"/>
                <w:sz w:val="18"/>
                <w:szCs w:val="18"/>
              </w:rPr>
              <w:t>N</w:t>
            </w:r>
          </w:p>
        </w:tc>
        <w:tc>
          <w:tcPr>
            <w:tcW w:w="1772" w:type="dxa"/>
          </w:tcPr>
          <w:p w14:paraId="2294238C" w14:textId="3DD13BEE" w:rsidR="005279D8" w:rsidRPr="00BC7D29" w:rsidRDefault="005279D8" w:rsidP="005279D8">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52</w:t>
            </w:r>
            <w:r>
              <w:rPr>
                <w:rFonts w:ascii="Times New Roman" w:hAnsi="Times New Roman" w:cs="Times New Roman"/>
                <w:sz w:val="18"/>
                <w:szCs w:val="18"/>
              </w:rPr>
              <w:t>6</w:t>
            </w:r>
          </w:p>
        </w:tc>
        <w:tc>
          <w:tcPr>
            <w:tcW w:w="1772" w:type="dxa"/>
          </w:tcPr>
          <w:p w14:paraId="28247047" w14:textId="23F065CA" w:rsidR="005279D8" w:rsidRPr="00BC7D29" w:rsidRDefault="005279D8" w:rsidP="005279D8">
            <w:pPr>
              <w:autoSpaceDE w:val="0"/>
              <w:autoSpaceDN w:val="0"/>
              <w:adjustRightInd w:val="0"/>
              <w:jc w:val="center"/>
              <w:rPr>
                <w:rFonts w:ascii="Times New Roman" w:hAnsi="Times New Roman" w:cs="Times New Roman"/>
                <w:sz w:val="18"/>
                <w:szCs w:val="18"/>
              </w:rPr>
            </w:pPr>
            <w:r w:rsidRPr="00494199">
              <w:rPr>
                <w:rFonts w:ascii="Times New Roman" w:hAnsi="Times New Roman" w:cs="Times New Roman"/>
                <w:sz w:val="18"/>
                <w:szCs w:val="18"/>
              </w:rPr>
              <w:t>52</w:t>
            </w:r>
            <w:r>
              <w:rPr>
                <w:rFonts w:ascii="Times New Roman" w:hAnsi="Times New Roman" w:cs="Times New Roman"/>
                <w:sz w:val="18"/>
                <w:szCs w:val="18"/>
              </w:rPr>
              <w:t>6</w:t>
            </w:r>
          </w:p>
        </w:tc>
        <w:tc>
          <w:tcPr>
            <w:tcW w:w="1701" w:type="dxa"/>
          </w:tcPr>
          <w:p w14:paraId="18F41309" w14:textId="77777777" w:rsidR="005279D8" w:rsidRPr="00BC7D29" w:rsidRDefault="005279D8" w:rsidP="005279D8">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52</w:t>
            </w:r>
            <w:r>
              <w:rPr>
                <w:rFonts w:ascii="Times New Roman" w:hAnsi="Times New Roman" w:cs="Times New Roman"/>
                <w:sz w:val="18"/>
                <w:szCs w:val="18"/>
              </w:rPr>
              <w:t>6</w:t>
            </w:r>
          </w:p>
        </w:tc>
        <w:tc>
          <w:tcPr>
            <w:tcW w:w="1701" w:type="dxa"/>
          </w:tcPr>
          <w:p w14:paraId="668AFF6F" w14:textId="77777777" w:rsidR="005279D8" w:rsidRPr="00BC7D29" w:rsidRDefault="005279D8" w:rsidP="005279D8">
            <w:pPr>
              <w:autoSpaceDE w:val="0"/>
              <w:autoSpaceDN w:val="0"/>
              <w:adjustRightInd w:val="0"/>
              <w:jc w:val="center"/>
              <w:rPr>
                <w:rFonts w:ascii="Times New Roman" w:hAnsi="Times New Roman" w:cs="Times New Roman"/>
                <w:sz w:val="18"/>
                <w:szCs w:val="18"/>
              </w:rPr>
            </w:pPr>
            <w:r w:rsidRPr="00BC7D29">
              <w:rPr>
                <w:rFonts w:ascii="Times New Roman" w:hAnsi="Times New Roman" w:cs="Times New Roman"/>
                <w:sz w:val="18"/>
                <w:szCs w:val="18"/>
              </w:rPr>
              <w:t>52</w:t>
            </w:r>
            <w:r>
              <w:rPr>
                <w:rFonts w:ascii="Times New Roman" w:hAnsi="Times New Roman" w:cs="Times New Roman"/>
                <w:sz w:val="18"/>
                <w:szCs w:val="18"/>
              </w:rPr>
              <w:t>6</w:t>
            </w:r>
          </w:p>
        </w:tc>
      </w:tr>
      <w:tr w:rsidR="005279D8" w:rsidRPr="001559ED" w14:paraId="5F3C5472" w14:textId="77777777" w:rsidTr="006D78DE">
        <w:tc>
          <w:tcPr>
            <w:tcW w:w="2660" w:type="dxa"/>
            <w:tcBorders>
              <w:bottom w:val="single" w:sz="6" w:space="0" w:color="auto"/>
            </w:tcBorders>
          </w:tcPr>
          <w:p w14:paraId="384B77C8" w14:textId="77777777" w:rsidR="005279D8" w:rsidRPr="00BC7D29" w:rsidRDefault="005279D8" w:rsidP="005279D8">
            <w:pPr>
              <w:autoSpaceDE w:val="0"/>
              <w:autoSpaceDN w:val="0"/>
              <w:adjustRightInd w:val="0"/>
              <w:rPr>
                <w:rFonts w:ascii="Times New Roman" w:hAnsi="Times New Roman" w:cs="Times New Roman"/>
                <w:i/>
                <w:iCs/>
                <w:sz w:val="18"/>
                <w:szCs w:val="18"/>
              </w:rPr>
            </w:pPr>
            <w:r w:rsidRPr="00BC7D29">
              <w:rPr>
                <w:rFonts w:asciiTheme="majorBidi" w:hAnsiTheme="majorBidi" w:cstheme="majorBidi"/>
                <w:i/>
                <w:iCs/>
                <w:color w:val="000000" w:themeColor="text1"/>
                <w:sz w:val="18"/>
                <w:szCs w:val="18"/>
              </w:rPr>
              <w:t>Adjusted R</w:t>
            </w:r>
            <w:r w:rsidRPr="00BC7D29">
              <w:rPr>
                <w:rFonts w:asciiTheme="majorBidi" w:hAnsiTheme="majorBidi" w:cstheme="majorBidi"/>
                <w:i/>
                <w:iCs/>
                <w:color w:val="000000" w:themeColor="text1"/>
                <w:sz w:val="18"/>
                <w:szCs w:val="18"/>
                <w:vertAlign w:val="superscript"/>
              </w:rPr>
              <w:t>2</w:t>
            </w:r>
          </w:p>
        </w:tc>
        <w:tc>
          <w:tcPr>
            <w:tcW w:w="1772" w:type="dxa"/>
            <w:tcBorders>
              <w:bottom w:val="single" w:sz="6" w:space="0" w:color="auto"/>
            </w:tcBorders>
          </w:tcPr>
          <w:p w14:paraId="423F160A" w14:textId="1EF4EB36" w:rsidR="005279D8" w:rsidRPr="00BC7D29" w:rsidRDefault="005279D8" w:rsidP="005279D8">
            <w:pPr>
              <w:autoSpaceDE w:val="0"/>
              <w:autoSpaceDN w:val="0"/>
              <w:adjustRightInd w:val="0"/>
              <w:jc w:val="center"/>
              <w:rPr>
                <w:rFonts w:ascii="Times New Roman" w:hAnsi="Times New Roman" w:cs="Times New Roman"/>
                <w:sz w:val="18"/>
                <w:szCs w:val="18"/>
              </w:rPr>
            </w:pPr>
            <w:r w:rsidRPr="00162903">
              <w:rPr>
                <w:rFonts w:ascii="Times New Roman" w:hAnsi="Times New Roman" w:cs="Times New Roman"/>
                <w:sz w:val="18"/>
                <w:szCs w:val="18"/>
              </w:rPr>
              <w:t>0.60</w:t>
            </w:r>
            <w:r>
              <w:rPr>
                <w:rFonts w:ascii="Times New Roman" w:hAnsi="Times New Roman" w:cs="Times New Roman"/>
                <w:sz w:val="18"/>
                <w:szCs w:val="18"/>
              </w:rPr>
              <w:t>3</w:t>
            </w:r>
          </w:p>
        </w:tc>
        <w:tc>
          <w:tcPr>
            <w:tcW w:w="1772" w:type="dxa"/>
            <w:tcBorders>
              <w:bottom w:val="single" w:sz="6" w:space="0" w:color="auto"/>
            </w:tcBorders>
          </w:tcPr>
          <w:p w14:paraId="093D4412" w14:textId="587DCA87" w:rsidR="005279D8" w:rsidRPr="00BC7D29" w:rsidRDefault="005279D8" w:rsidP="005279D8">
            <w:pPr>
              <w:autoSpaceDE w:val="0"/>
              <w:autoSpaceDN w:val="0"/>
              <w:adjustRightInd w:val="0"/>
              <w:jc w:val="center"/>
              <w:rPr>
                <w:rFonts w:ascii="Times New Roman" w:hAnsi="Times New Roman" w:cs="Times New Roman"/>
                <w:sz w:val="18"/>
                <w:szCs w:val="18"/>
              </w:rPr>
            </w:pPr>
            <w:r w:rsidRPr="00162903">
              <w:rPr>
                <w:rFonts w:ascii="Times New Roman" w:hAnsi="Times New Roman" w:cs="Times New Roman"/>
                <w:sz w:val="18"/>
                <w:szCs w:val="18"/>
              </w:rPr>
              <w:t>0.60</w:t>
            </w:r>
            <w:r>
              <w:rPr>
                <w:rFonts w:ascii="Times New Roman" w:hAnsi="Times New Roman" w:cs="Times New Roman"/>
                <w:sz w:val="18"/>
                <w:szCs w:val="18"/>
              </w:rPr>
              <w:t>7</w:t>
            </w:r>
          </w:p>
        </w:tc>
        <w:tc>
          <w:tcPr>
            <w:tcW w:w="1701" w:type="dxa"/>
            <w:tcBorders>
              <w:bottom w:val="single" w:sz="6" w:space="0" w:color="auto"/>
            </w:tcBorders>
          </w:tcPr>
          <w:p w14:paraId="0E691021" w14:textId="77777777" w:rsidR="005279D8" w:rsidRPr="00BC7D29" w:rsidRDefault="005279D8" w:rsidP="005279D8">
            <w:pPr>
              <w:autoSpaceDE w:val="0"/>
              <w:autoSpaceDN w:val="0"/>
              <w:adjustRightInd w:val="0"/>
              <w:jc w:val="center"/>
              <w:rPr>
                <w:rFonts w:ascii="Times New Roman" w:hAnsi="Times New Roman" w:cs="Times New Roman"/>
                <w:sz w:val="18"/>
                <w:szCs w:val="18"/>
              </w:rPr>
            </w:pPr>
            <w:r w:rsidRPr="005075D9">
              <w:rPr>
                <w:rFonts w:ascii="Times New Roman" w:hAnsi="Times New Roman" w:cs="Times New Roman"/>
                <w:sz w:val="18"/>
                <w:szCs w:val="18"/>
              </w:rPr>
              <w:t>0.672</w:t>
            </w:r>
          </w:p>
        </w:tc>
        <w:tc>
          <w:tcPr>
            <w:tcW w:w="1701" w:type="dxa"/>
            <w:tcBorders>
              <w:bottom w:val="single" w:sz="6" w:space="0" w:color="auto"/>
            </w:tcBorders>
          </w:tcPr>
          <w:p w14:paraId="6F9C6E32" w14:textId="77777777" w:rsidR="005279D8" w:rsidRPr="00BC7D29" w:rsidRDefault="005279D8" w:rsidP="005279D8">
            <w:pPr>
              <w:autoSpaceDE w:val="0"/>
              <w:autoSpaceDN w:val="0"/>
              <w:adjustRightInd w:val="0"/>
              <w:jc w:val="center"/>
              <w:rPr>
                <w:rFonts w:ascii="Times New Roman" w:hAnsi="Times New Roman" w:cs="Times New Roman"/>
                <w:sz w:val="18"/>
                <w:szCs w:val="18"/>
              </w:rPr>
            </w:pPr>
            <w:r w:rsidRPr="00E616F6">
              <w:rPr>
                <w:rFonts w:ascii="Times New Roman" w:hAnsi="Times New Roman" w:cs="Times New Roman"/>
                <w:sz w:val="18"/>
                <w:szCs w:val="18"/>
              </w:rPr>
              <w:t>0.717</w:t>
            </w:r>
          </w:p>
        </w:tc>
      </w:tr>
      <w:tr w:rsidR="0091178F" w:rsidRPr="001559ED" w14:paraId="652DFB20" w14:textId="77777777" w:rsidTr="006D78DE">
        <w:tc>
          <w:tcPr>
            <w:tcW w:w="9606" w:type="dxa"/>
            <w:gridSpan w:val="5"/>
            <w:tcBorders>
              <w:top w:val="single" w:sz="6" w:space="0" w:color="auto"/>
            </w:tcBorders>
          </w:tcPr>
          <w:p w14:paraId="288082FD" w14:textId="69429FCB" w:rsidR="0091178F" w:rsidRPr="007F6189" w:rsidRDefault="0091178F" w:rsidP="006D78DE">
            <w:pPr>
              <w:autoSpaceDE w:val="0"/>
              <w:autoSpaceDN w:val="0"/>
              <w:adjustRightInd w:val="0"/>
              <w:rPr>
                <w:rFonts w:ascii="Times New Roman" w:hAnsi="Times New Roman" w:cs="Times New Roman"/>
                <w:sz w:val="20"/>
                <w:szCs w:val="20"/>
              </w:rPr>
            </w:pPr>
            <w:r w:rsidRPr="007F6189">
              <w:rPr>
                <w:rFonts w:ascii="Times New Roman" w:hAnsi="Times New Roman" w:cs="Times New Roman"/>
                <w:color w:val="000000"/>
                <w:sz w:val="20"/>
                <w:szCs w:val="20"/>
              </w:rPr>
              <w:t xml:space="preserve">Notes: </w:t>
            </w:r>
            <w:r w:rsidR="005F0E39" w:rsidRPr="007F6189">
              <w:rPr>
                <w:rFonts w:ascii="Times New Roman" w:hAnsi="Times New Roman" w:cs="Times New Roman"/>
                <w:color w:val="000000"/>
                <w:sz w:val="20"/>
                <w:szCs w:val="20"/>
              </w:rPr>
              <w:t xml:space="preserve">This table presents our main results. </w:t>
            </w:r>
            <w:r w:rsidR="007A1425" w:rsidRPr="007F6189">
              <w:rPr>
                <w:rFonts w:ascii="Times New Roman" w:hAnsi="Times New Roman" w:cs="Times New Roman"/>
                <w:color w:val="000000"/>
                <w:sz w:val="20"/>
                <w:szCs w:val="20"/>
              </w:rPr>
              <w:t xml:space="preserve">The dependent variable is </w:t>
            </w:r>
            <w:r w:rsidR="007A1425" w:rsidRPr="007F6189">
              <w:rPr>
                <w:rFonts w:ascii="Times New Roman" w:hAnsi="Times New Roman" w:cs="Times New Roman"/>
                <w:i/>
                <w:iCs/>
                <w:color w:val="000000"/>
                <w:sz w:val="20"/>
                <w:szCs w:val="20"/>
              </w:rPr>
              <w:t>IFRSEPS</w:t>
            </w:r>
            <w:r w:rsidR="007A1425" w:rsidRPr="007F6189">
              <w:rPr>
                <w:rFonts w:ascii="Times New Roman" w:hAnsi="Times New Roman" w:cs="Times New Roman"/>
                <w:i/>
                <w:iCs/>
                <w:color w:val="000000"/>
                <w:sz w:val="20"/>
                <w:szCs w:val="20"/>
                <w:vertAlign w:val="subscript"/>
              </w:rPr>
              <w:t>t+1</w:t>
            </w:r>
            <w:r w:rsidR="007A1425" w:rsidRPr="007F6189">
              <w:rPr>
                <w:rFonts w:ascii="Times New Roman" w:hAnsi="Times New Roman" w:cs="Times New Roman"/>
                <w:color w:val="000000"/>
                <w:sz w:val="20"/>
                <w:szCs w:val="20"/>
              </w:rPr>
              <w:t xml:space="preserve">. </w:t>
            </w:r>
            <w:r w:rsidR="005F0E39" w:rsidRPr="007F6189">
              <w:rPr>
                <w:rFonts w:ascii="Times New Roman" w:hAnsi="Times New Roman" w:cs="Times New Roman"/>
                <w:color w:val="000000"/>
                <w:sz w:val="20"/>
                <w:szCs w:val="20"/>
              </w:rPr>
              <w:t>The coefficient</w:t>
            </w:r>
            <w:r w:rsidR="007A1425" w:rsidRPr="007F6189">
              <w:rPr>
                <w:rFonts w:ascii="Times New Roman" w:hAnsi="Times New Roman" w:cs="Times New Roman"/>
                <w:color w:val="000000"/>
                <w:sz w:val="20"/>
                <w:szCs w:val="20"/>
              </w:rPr>
              <w:t>s</w:t>
            </w:r>
            <w:r w:rsidR="005F0E39" w:rsidRPr="007F6189">
              <w:rPr>
                <w:rFonts w:ascii="Times New Roman" w:hAnsi="Times New Roman" w:cs="Times New Roman"/>
                <w:color w:val="000000"/>
                <w:sz w:val="20"/>
                <w:szCs w:val="20"/>
              </w:rPr>
              <w:t xml:space="preserve"> of interest </w:t>
            </w:r>
            <w:r w:rsidR="007A1425" w:rsidRPr="007F6189">
              <w:rPr>
                <w:rFonts w:ascii="Times New Roman" w:hAnsi="Times New Roman" w:cs="Times New Roman"/>
                <w:color w:val="000000"/>
                <w:sz w:val="20"/>
                <w:szCs w:val="20"/>
              </w:rPr>
              <w:t>are</w:t>
            </w:r>
            <w:r w:rsidR="005F0E39" w:rsidRPr="007F6189">
              <w:rPr>
                <w:rFonts w:ascii="Times New Roman" w:hAnsi="Times New Roman" w:cs="Times New Roman"/>
                <w:color w:val="000000"/>
                <w:sz w:val="20"/>
                <w:szCs w:val="20"/>
              </w:rPr>
              <w:t xml:space="preserve"> shown in bold. </w:t>
            </w:r>
            <w:r w:rsidRPr="007F6189">
              <w:rPr>
                <w:rFonts w:ascii="Times New Roman" w:hAnsi="Times New Roman" w:cs="Times New Roman"/>
                <w:color w:val="000000"/>
                <w:sz w:val="20"/>
                <w:szCs w:val="20"/>
              </w:rPr>
              <w:t>*, ** and *** indicate statistical significance at the 10</w:t>
            </w:r>
            <w:r w:rsidR="005F0E39" w:rsidRPr="007F6189">
              <w:rPr>
                <w:rFonts w:ascii="Times New Roman" w:hAnsi="Times New Roman" w:cs="Times New Roman"/>
                <w:color w:val="000000"/>
                <w:sz w:val="20"/>
                <w:szCs w:val="20"/>
              </w:rPr>
              <w:t>%</w:t>
            </w:r>
            <w:r w:rsidRPr="007F6189">
              <w:rPr>
                <w:rFonts w:ascii="Times New Roman" w:hAnsi="Times New Roman" w:cs="Times New Roman"/>
                <w:color w:val="000000"/>
                <w:sz w:val="20"/>
                <w:szCs w:val="20"/>
              </w:rPr>
              <w:t>, 5</w:t>
            </w:r>
            <w:r w:rsidR="005F0E39" w:rsidRPr="007F6189">
              <w:rPr>
                <w:rFonts w:ascii="Times New Roman" w:hAnsi="Times New Roman" w:cs="Times New Roman"/>
                <w:color w:val="000000"/>
                <w:sz w:val="20"/>
                <w:szCs w:val="20"/>
              </w:rPr>
              <w:t>%</w:t>
            </w:r>
            <w:r w:rsidRPr="007F6189">
              <w:rPr>
                <w:rFonts w:ascii="Times New Roman" w:hAnsi="Times New Roman" w:cs="Times New Roman"/>
                <w:color w:val="000000"/>
                <w:sz w:val="20"/>
                <w:szCs w:val="20"/>
              </w:rPr>
              <w:t xml:space="preserve"> and 1</w:t>
            </w:r>
            <w:r w:rsidR="005F0E39" w:rsidRPr="007F6189">
              <w:rPr>
                <w:rFonts w:ascii="Times New Roman" w:hAnsi="Times New Roman" w:cs="Times New Roman"/>
                <w:color w:val="000000"/>
                <w:sz w:val="20"/>
                <w:szCs w:val="20"/>
              </w:rPr>
              <w:t>%</w:t>
            </w:r>
            <w:r w:rsidRPr="007F6189">
              <w:rPr>
                <w:rFonts w:ascii="Times New Roman" w:hAnsi="Times New Roman" w:cs="Times New Roman"/>
                <w:color w:val="000000"/>
                <w:sz w:val="20"/>
                <w:szCs w:val="20"/>
              </w:rPr>
              <w:t xml:space="preserve"> levels respectively. All continuous variables are </w:t>
            </w:r>
            <w:proofErr w:type="spellStart"/>
            <w:r w:rsidRPr="007F6189">
              <w:rPr>
                <w:rFonts w:ascii="Times New Roman" w:hAnsi="Times New Roman" w:cs="Times New Roman"/>
                <w:color w:val="000000"/>
                <w:sz w:val="20"/>
                <w:szCs w:val="20"/>
              </w:rPr>
              <w:t>winsorized</w:t>
            </w:r>
            <w:proofErr w:type="spellEnd"/>
            <w:r w:rsidRPr="007F6189">
              <w:rPr>
                <w:rFonts w:ascii="Times New Roman" w:hAnsi="Times New Roman" w:cs="Times New Roman"/>
                <w:color w:val="000000"/>
                <w:sz w:val="20"/>
                <w:szCs w:val="20"/>
              </w:rPr>
              <w:t xml:space="preserve"> at </w:t>
            </w:r>
            <w:r w:rsidR="007A1425" w:rsidRPr="007F6189">
              <w:rPr>
                <w:rFonts w:ascii="Times New Roman" w:hAnsi="Times New Roman" w:cs="Times New Roman"/>
                <w:color w:val="000000"/>
                <w:sz w:val="20"/>
                <w:szCs w:val="20"/>
              </w:rPr>
              <w:t>1% and 99% levels.</w:t>
            </w:r>
            <w:r w:rsidRPr="007F6189">
              <w:rPr>
                <w:rFonts w:ascii="Times New Roman" w:hAnsi="Times New Roman" w:cs="Times New Roman"/>
                <w:color w:val="000000"/>
                <w:sz w:val="20"/>
                <w:szCs w:val="20"/>
              </w:rPr>
              <w:t xml:space="preserve"> Standard errors are clustered by firm for Column (1), (2) and (3) of the results. Variables are defined in Appendix A.</w:t>
            </w:r>
          </w:p>
        </w:tc>
      </w:tr>
    </w:tbl>
    <w:p w14:paraId="19557EFB" w14:textId="2CE709C5" w:rsidR="0091178F" w:rsidRDefault="0091178F" w:rsidP="0091178F"/>
    <w:p w14:paraId="366E8B3B" w14:textId="77777777" w:rsidR="0091178F" w:rsidRDefault="0091178F">
      <w:pPr>
        <w:widowControl/>
        <w:spacing w:after="160" w:line="259" w:lineRule="auto"/>
        <w:jc w:val="left"/>
      </w:pPr>
      <w:r>
        <w:br w:type="page"/>
      </w:r>
    </w:p>
    <w:p w14:paraId="0D2DB0DF" w14:textId="77777777" w:rsidR="0091178F" w:rsidRDefault="0091178F" w:rsidP="0091178F"/>
    <w:tbl>
      <w:tblPr>
        <w:tblStyle w:val="TableGrid"/>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1843"/>
        <w:gridCol w:w="1843"/>
        <w:gridCol w:w="1788"/>
      </w:tblGrid>
      <w:tr w:rsidR="005F0E39" w:rsidRPr="004C7B10" w14:paraId="485A4B35" w14:textId="77777777" w:rsidTr="00CF449D">
        <w:tc>
          <w:tcPr>
            <w:tcW w:w="9010" w:type="dxa"/>
            <w:gridSpan w:val="4"/>
          </w:tcPr>
          <w:p w14:paraId="02178C85" w14:textId="77777777" w:rsidR="005F0E39" w:rsidRPr="007F6189" w:rsidRDefault="005F0E39" w:rsidP="006D78DE">
            <w:pPr>
              <w:rPr>
                <w:rFonts w:ascii="Times New Roman" w:hAnsi="Times New Roman" w:cs="Times New Roman"/>
                <w:b/>
                <w:bCs/>
                <w:sz w:val="20"/>
                <w:szCs w:val="20"/>
              </w:rPr>
            </w:pPr>
            <w:r w:rsidRPr="007F6189">
              <w:rPr>
                <w:rFonts w:ascii="Times New Roman" w:hAnsi="Times New Roman" w:cs="Times New Roman"/>
                <w:b/>
                <w:bCs/>
                <w:sz w:val="20"/>
                <w:szCs w:val="20"/>
              </w:rPr>
              <w:t>Table 5</w:t>
            </w:r>
          </w:p>
          <w:p w14:paraId="5C767B05" w14:textId="12A6C3FC" w:rsidR="005F0E39" w:rsidRPr="004C7B10" w:rsidRDefault="00EE3A19" w:rsidP="006D78DE">
            <w:pPr>
              <w:rPr>
                <w:rFonts w:ascii="Times New Roman" w:hAnsi="Times New Roman" w:cs="Times New Roman"/>
                <w:sz w:val="18"/>
                <w:szCs w:val="18"/>
              </w:rPr>
            </w:pPr>
            <w:r w:rsidRPr="007F6189">
              <w:rPr>
                <w:rFonts w:ascii="Times New Roman" w:hAnsi="Times New Roman" w:cs="Times New Roman"/>
                <w:sz w:val="20"/>
                <w:szCs w:val="20"/>
              </w:rPr>
              <w:t xml:space="preserve">Channel analysis: </w:t>
            </w:r>
            <w:r w:rsidR="005F0E39" w:rsidRPr="007F6189">
              <w:rPr>
                <w:rFonts w:ascii="Times New Roman" w:hAnsi="Times New Roman" w:cs="Times New Roman"/>
                <w:sz w:val="20"/>
                <w:szCs w:val="20"/>
              </w:rPr>
              <w:t>AC chair competence (experience)</w:t>
            </w:r>
            <w:r w:rsidR="00A97628">
              <w:rPr>
                <w:rFonts w:ascii="Times New Roman" w:hAnsi="Times New Roman" w:cs="Times New Roman"/>
                <w:sz w:val="20"/>
                <w:szCs w:val="20"/>
              </w:rPr>
              <w:t>.</w:t>
            </w:r>
          </w:p>
        </w:tc>
      </w:tr>
      <w:tr w:rsidR="003D6D77" w:rsidRPr="004C7B10" w14:paraId="658E8DC9" w14:textId="77777777" w:rsidTr="00CF449D">
        <w:tc>
          <w:tcPr>
            <w:tcW w:w="3536" w:type="dxa"/>
            <w:vMerge w:val="restart"/>
            <w:tcBorders>
              <w:top w:val="single" w:sz="6" w:space="0" w:color="auto"/>
            </w:tcBorders>
            <w:vAlign w:val="center"/>
          </w:tcPr>
          <w:p w14:paraId="4B03F94F" w14:textId="77777777" w:rsidR="003D6D77" w:rsidRPr="004C7B10" w:rsidRDefault="003D6D77" w:rsidP="006D78DE">
            <w:pPr>
              <w:rPr>
                <w:rFonts w:ascii="Times New Roman" w:hAnsi="Times New Roman" w:cs="Times New Roman"/>
                <w:sz w:val="18"/>
                <w:szCs w:val="18"/>
              </w:rPr>
            </w:pPr>
            <w:r>
              <w:rPr>
                <w:rFonts w:ascii="Times New Roman" w:hAnsi="Times New Roman" w:cs="Times New Roman"/>
                <w:sz w:val="18"/>
                <w:szCs w:val="18"/>
              </w:rPr>
              <w:t xml:space="preserve">Variables </w:t>
            </w:r>
          </w:p>
        </w:tc>
        <w:tc>
          <w:tcPr>
            <w:tcW w:w="1843" w:type="dxa"/>
            <w:tcBorders>
              <w:top w:val="single" w:sz="6" w:space="0" w:color="auto"/>
            </w:tcBorders>
            <w:vAlign w:val="center"/>
          </w:tcPr>
          <w:p w14:paraId="042600BA" w14:textId="40FBCF1A" w:rsidR="003D6D77" w:rsidRPr="004C7B10" w:rsidRDefault="003D6D77" w:rsidP="006D78DE">
            <w:pPr>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6" w:space="0" w:color="auto"/>
            </w:tcBorders>
            <w:vAlign w:val="center"/>
          </w:tcPr>
          <w:p w14:paraId="7707B231" w14:textId="7AF26F2F" w:rsidR="003D6D77" w:rsidRPr="004C7B10" w:rsidRDefault="003D6D77" w:rsidP="001E57BE">
            <w:pPr>
              <w:jc w:val="center"/>
              <w:rPr>
                <w:rFonts w:ascii="Times New Roman" w:hAnsi="Times New Roman" w:cs="Times New Roman"/>
                <w:sz w:val="18"/>
                <w:szCs w:val="18"/>
              </w:rPr>
            </w:pPr>
            <w:r>
              <w:rPr>
                <w:rFonts w:ascii="Times New Roman" w:hAnsi="Times New Roman" w:cs="Times New Roman"/>
                <w:sz w:val="18"/>
                <w:szCs w:val="18"/>
              </w:rPr>
              <w:t xml:space="preserve">(2) </w:t>
            </w:r>
          </w:p>
        </w:tc>
        <w:tc>
          <w:tcPr>
            <w:tcW w:w="1788" w:type="dxa"/>
            <w:tcBorders>
              <w:top w:val="single" w:sz="6" w:space="0" w:color="auto"/>
            </w:tcBorders>
            <w:vAlign w:val="center"/>
          </w:tcPr>
          <w:p w14:paraId="7D4BF1F7" w14:textId="661D92E5" w:rsidR="003D6D77" w:rsidRPr="004C7B10" w:rsidRDefault="003D6D77" w:rsidP="001E57BE">
            <w:pPr>
              <w:jc w:val="center"/>
              <w:rPr>
                <w:rFonts w:ascii="Times New Roman" w:hAnsi="Times New Roman" w:cs="Times New Roman"/>
                <w:sz w:val="18"/>
                <w:szCs w:val="18"/>
              </w:rPr>
            </w:pPr>
            <w:r>
              <w:rPr>
                <w:rFonts w:ascii="Times New Roman" w:hAnsi="Times New Roman" w:cs="Times New Roman"/>
                <w:sz w:val="18"/>
                <w:szCs w:val="18"/>
              </w:rPr>
              <w:t>(3)</w:t>
            </w:r>
          </w:p>
        </w:tc>
      </w:tr>
      <w:tr w:rsidR="003D6D77" w:rsidRPr="004C7B10" w14:paraId="6C138390" w14:textId="77777777" w:rsidTr="00CF449D">
        <w:tc>
          <w:tcPr>
            <w:tcW w:w="3536" w:type="dxa"/>
            <w:vMerge/>
            <w:tcBorders>
              <w:bottom w:val="single" w:sz="6" w:space="0" w:color="auto"/>
            </w:tcBorders>
          </w:tcPr>
          <w:p w14:paraId="28E23801" w14:textId="77777777" w:rsidR="003D6D77" w:rsidRPr="004C7B10" w:rsidRDefault="003D6D77" w:rsidP="006D78DE">
            <w:pPr>
              <w:rPr>
                <w:rFonts w:ascii="Times New Roman" w:hAnsi="Times New Roman" w:cs="Times New Roman"/>
                <w:sz w:val="18"/>
                <w:szCs w:val="18"/>
              </w:rPr>
            </w:pPr>
          </w:p>
        </w:tc>
        <w:tc>
          <w:tcPr>
            <w:tcW w:w="1843" w:type="dxa"/>
            <w:tcBorders>
              <w:bottom w:val="single" w:sz="6" w:space="0" w:color="auto"/>
            </w:tcBorders>
            <w:vAlign w:val="center"/>
          </w:tcPr>
          <w:p w14:paraId="098B4BFE" w14:textId="26AFBAB0" w:rsidR="003D6D77" w:rsidRPr="004C7B10" w:rsidRDefault="003D6D77" w:rsidP="006D78DE">
            <w:pPr>
              <w:jc w:val="center"/>
              <w:rPr>
                <w:rFonts w:ascii="Times New Roman" w:hAnsi="Times New Roman" w:cs="Times New Roman"/>
                <w:sz w:val="18"/>
                <w:szCs w:val="18"/>
              </w:rPr>
            </w:pPr>
            <w:r>
              <w:rPr>
                <w:rFonts w:ascii="Times New Roman" w:hAnsi="Times New Roman" w:cs="Times New Roman"/>
                <w:sz w:val="18"/>
                <w:szCs w:val="18"/>
              </w:rPr>
              <w:t>Accounting expertise</w:t>
            </w:r>
          </w:p>
        </w:tc>
        <w:tc>
          <w:tcPr>
            <w:tcW w:w="1843" w:type="dxa"/>
            <w:tcBorders>
              <w:bottom w:val="single" w:sz="6" w:space="0" w:color="auto"/>
            </w:tcBorders>
            <w:vAlign w:val="center"/>
          </w:tcPr>
          <w:p w14:paraId="3FEF09A5" w14:textId="41A04912" w:rsidR="003D6D77" w:rsidRPr="004C7B10" w:rsidRDefault="003D6D77" w:rsidP="001E57BE">
            <w:pPr>
              <w:jc w:val="center"/>
              <w:rPr>
                <w:rFonts w:ascii="Times New Roman" w:hAnsi="Times New Roman" w:cs="Times New Roman"/>
                <w:sz w:val="18"/>
                <w:szCs w:val="18"/>
              </w:rPr>
            </w:pPr>
            <w:r>
              <w:rPr>
                <w:rFonts w:ascii="Times New Roman" w:hAnsi="Times New Roman" w:cs="Times New Roman"/>
                <w:sz w:val="18"/>
                <w:szCs w:val="18"/>
              </w:rPr>
              <w:t>Tenure</w:t>
            </w:r>
          </w:p>
        </w:tc>
        <w:tc>
          <w:tcPr>
            <w:tcW w:w="1788" w:type="dxa"/>
            <w:tcBorders>
              <w:bottom w:val="single" w:sz="6" w:space="0" w:color="auto"/>
            </w:tcBorders>
            <w:vAlign w:val="center"/>
          </w:tcPr>
          <w:p w14:paraId="5051C586" w14:textId="179959D3" w:rsidR="003D6D77" w:rsidRPr="004C7B10" w:rsidRDefault="003D6D77" w:rsidP="001E57BE">
            <w:pPr>
              <w:jc w:val="center"/>
              <w:rPr>
                <w:rFonts w:ascii="Times New Roman" w:hAnsi="Times New Roman" w:cs="Times New Roman"/>
                <w:sz w:val="18"/>
                <w:szCs w:val="18"/>
              </w:rPr>
            </w:pPr>
            <w:r>
              <w:rPr>
                <w:rFonts w:ascii="Times New Roman" w:hAnsi="Times New Roman" w:cs="Times New Roman"/>
                <w:sz w:val="18"/>
                <w:szCs w:val="18"/>
              </w:rPr>
              <w:t>Outside directorships</w:t>
            </w:r>
          </w:p>
        </w:tc>
      </w:tr>
      <w:tr w:rsidR="003D6D77" w:rsidRPr="004C7B10" w14:paraId="24519059" w14:textId="77777777" w:rsidTr="00CF449D">
        <w:tc>
          <w:tcPr>
            <w:tcW w:w="3536" w:type="dxa"/>
            <w:tcBorders>
              <w:top w:val="single" w:sz="6" w:space="0" w:color="auto"/>
            </w:tcBorders>
          </w:tcPr>
          <w:p w14:paraId="52AA00FF" w14:textId="74CC1FEE" w:rsidR="003D6D77" w:rsidRPr="00A73C18" w:rsidRDefault="003D6D77" w:rsidP="005279D8">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w:t>
            </w:r>
          </w:p>
        </w:tc>
        <w:tc>
          <w:tcPr>
            <w:tcW w:w="1843" w:type="dxa"/>
            <w:tcBorders>
              <w:top w:val="single" w:sz="6" w:space="0" w:color="auto"/>
            </w:tcBorders>
            <w:vAlign w:val="center"/>
          </w:tcPr>
          <w:p w14:paraId="5EF5230E" w14:textId="2F6D3E34" w:rsidR="003D6D77" w:rsidRPr="00616FBA" w:rsidRDefault="003D6D77" w:rsidP="005279D8">
            <w:pPr>
              <w:jc w:val="center"/>
              <w:rPr>
                <w:rFonts w:ascii="Times New Roman" w:hAnsi="Times New Roman" w:cs="Times New Roman"/>
                <w:sz w:val="18"/>
                <w:szCs w:val="18"/>
              </w:rPr>
            </w:pPr>
            <w:r w:rsidRPr="00616FBA">
              <w:rPr>
                <w:rFonts w:ascii="Times New Roman" w:hAnsi="Times New Roman" w:cs="Times New Roman"/>
                <w:sz w:val="18"/>
                <w:szCs w:val="18"/>
              </w:rPr>
              <w:t>0.779***</w:t>
            </w:r>
          </w:p>
        </w:tc>
        <w:tc>
          <w:tcPr>
            <w:tcW w:w="1843" w:type="dxa"/>
            <w:tcBorders>
              <w:top w:val="single" w:sz="6" w:space="0" w:color="auto"/>
            </w:tcBorders>
            <w:vAlign w:val="center"/>
          </w:tcPr>
          <w:p w14:paraId="7D4EC9EA" w14:textId="07FDA886" w:rsidR="003D6D77" w:rsidRPr="00ED2E2E"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0.860***</w:t>
            </w:r>
          </w:p>
        </w:tc>
        <w:tc>
          <w:tcPr>
            <w:tcW w:w="1788" w:type="dxa"/>
            <w:tcBorders>
              <w:top w:val="single" w:sz="6" w:space="0" w:color="auto"/>
            </w:tcBorders>
            <w:vAlign w:val="center"/>
          </w:tcPr>
          <w:p w14:paraId="52A5238C" w14:textId="24984C1A" w:rsidR="003D6D77" w:rsidRPr="00096DA1"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0.795***</w:t>
            </w:r>
          </w:p>
        </w:tc>
      </w:tr>
      <w:tr w:rsidR="003D6D77" w:rsidRPr="004C7B10" w14:paraId="4EE5B1A9" w14:textId="77777777" w:rsidTr="00CF449D">
        <w:tc>
          <w:tcPr>
            <w:tcW w:w="3536" w:type="dxa"/>
          </w:tcPr>
          <w:p w14:paraId="681B5BAE" w14:textId="77777777" w:rsidR="003D6D77" w:rsidRPr="00A73C18" w:rsidRDefault="003D6D77" w:rsidP="005279D8">
            <w:pPr>
              <w:rPr>
                <w:rFonts w:ascii="Times New Roman" w:hAnsi="Times New Roman" w:cs="Times New Roman"/>
                <w:i/>
                <w:iCs/>
                <w:color w:val="000000"/>
                <w:sz w:val="18"/>
                <w:szCs w:val="18"/>
              </w:rPr>
            </w:pPr>
          </w:p>
        </w:tc>
        <w:tc>
          <w:tcPr>
            <w:tcW w:w="1843" w:type="dxa"/>
            <w:vAlign w:val="center"/>
          </w:tcPr>
          <w:p w14:paraId="7C9908A2" w14:textId="1746DF4A" w:rsidR="003D6D77" w:rsidRPr="00616FBA" w:rsidRDefault="003D6D77" w:rsidP="005279D8">
            <w:pPr>
              <w:jc w:val="center"/>
              <w:rPr>
                <w:rFonts w:ascii="Times New Roman" w:hAnsi="Times New Roman" w:cs="Times New Roman"/>
                <w:sz w:val="18"/>
                <w:szCs w:val="18"/>
              </w:rPr>
            </w:pPr>
            <w:r w:rsidRPr="00616FBA">
              <w:rPr>
                <w:rFonts w:ascii="Times New Roman" w:hAnsi="Times New Roman" w:cs="Times New Roman"/>
                <w:sz w:val="18"/>
                <w:szCs w:val="18"/>
              </w:rPr>
              <w:t>(12.27)</w:t>
            </w:r>
          </w:p>
        </w:tc>
        <w:tc>
          <w:tcPr>
            <w:tcW w:w="1843" w:type="dxa"/>
            <w:vAlign w:val="center"/>
          </w:tcPr>
          <w:p w14:paraId="15ED3AAC" w14:textId="2BE60107" w:rsidR="003D6D77" w:rsidRPr="00ED2E2E"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(16.44)</w:t>
            </w:r>
          </w:p>
        </w:tc>
        <w:tc>
          <w:tcPr>
            <w:tcW w:w="1788" w:type="dxa"/>
            <w:vAlign w:val="center"/>
          </w:tcPr>
          <w:p w14:paraId="48F089DD" w14:textId="42B72781" w:rsidR="003D6D77" w:rsidRPr="00096DA1"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(19.90)</w:t>
            </w:r>
          </w:p>
        </w:tc>
      </w:tr>
      <w:tr w:rsidR="003D6D77" w:rsidRPr="004C7B10" w14:paraId="7406CC14" w14:textId="77777777" w:rsidTr="00CF449D">
        <w:tc>
          <w:tcPr>
            <w:tcW w:w="3536" w:type="dxa"/>
          </w:tcPr>
          <w:p w14:paraId="43AB1C01" w14:textId="092B62D8" w:rsidR="003D6D77" w:rsidRPr="004C7B10" w:rsidRDefault="003D6D77" w:rsidP="006D78DE">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p>
        </w:tc>
        <w:tc>
          <w:tcPr>
            <w:tcW w:w="1843" w:type="dxa"/>
            <w:vAlign w:val="center"/>
          </w:tcPr>
          <w:p w14:paraId="165E3366" w14:textId="61D34108" w:rsidR="003D6D77" w:rsidRPr="004C7B10" w:rsidRDefault="003D6D77" w:rsidP="006D78DE">
            <w:pPr>
              <w:jc w:val="center"/>
              <w:rPr>
                <w:rFonts w:ascii="Times New Roman" w:hAnsi="Times New Roman" w:cs="Times New Roman"/>
                <w:sz w:val="18"/>
                <w:szCs w:val="18"/>
              </w:rPr>
            </w:pPr>
            <w:r w:rsidRPr="00616FBA">
              <w:rPr>
                <w:rFonts w:ascii="Times New Roman" w:hAnsi="Times New Roman" w:cs="Times New Roman"/>
                <w:sz w:val="18"/>
                <w:szCs w:val="18"/>
              </w:rPr>
              <w:t>-0.232***</w:t>
            </w:r>
          </w:p>
        </w:tc>
        <w:tc>
          <w:tcPr>
            <w:tcW w:w="1843" w:type="dxa"/>
            <w:vAlign w:val="center"/>
          </w:tcPr>
          <w:p w14:paraId="36E68C26" w14:textId="5F640D11" w:rsidR="003D6D77" w:rsidRPr="004C7B10"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-0.165**</w:t>
            </w:r>
          </w:p>
        </w:tc>
        <w:tc>
          <w:tcPr>
            <w:tcW w:w="1788" w:type="dxa"/>
            <w:vAlign w:val="center"/>
          </w:tcPr>
          <w:p w14:paraId="459B5B35" w14:textId="77777777" w:rsidR="003D6D77" w:rsidRPr="004C7B10"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-0.199***</w:t>
            </w:r>
          </w:p>
        </w:tc>
      </w:tr>
      <w:tr w:rsidR="003D6D77" w:rsidRPr="004C7B10" w14:paraId="44C6EDFF" w14:textId="77777777" w:rsidTr="00CF449D">
        <w:tc>
          <w:tcPr>
            <w:tcW w:w="3536" w:type="dxa"/>
          </w:tcPr>
          <w:p w14:paraId="43D01493" w14:textId="77777777" w:rsidR="003D6D77" w:rsidRPr="004C7B10" w:rsidRDefault="003D6D77" w:rsidP="006D78DE">
            <w:pPr>
              <w:rPr>
                <w:rFonts w:ascii="Times New Roman" w:hAnsi="Times New Roman" w:cs="Times New Roman"/>
                <w:sz w:val="18"/>
                <w:szCs w:val="18"/>
              </w:rPr>
            </w:pPr>
          </w:p>
        </w:tc>
        <w:tc>
          <w:tcPr>
            <w:tcW w:w="1843" w:type="dxa"/>
            <w:vAlign w:val="center"/>
          </w:tcPr>
          <w:p w14:paraId="20B2283E" w14:textId="7D542D36" w:rsidR="003D6D77" w:rsidRPr="004C7B10" w:rsidRDefault="003D6D77" w:rsidP="006D78DE">
            <w:pPr>
              <w:jc w:val="center"/>
              <w:rPr>
                <w:rFonts w:ascii="Times New Roman" w:hAnsi="Times New Roman" w:cs="Times New Roman"/>
                <w:sz w:val="18"/>
                <w:szCs w:val="18"/>
              </w:rPr>
            </w:pPr>
            <w:r w:rsidRPr="00616FBA">
              <w:rPr>
                <w:rFonts w:ascii="Times New Roman" w:hAnsi="Times New Roman" w:cs="Times New Roman"/>
                <w:sz w:val="18"/>
                <w:szCs w:val="18"/>
              </w:rPr>
              <w:t>(-2.59)</w:t>
            </w:r>
          </w:p>
        </w:tc>
        <w:tc>
          <w:tcPr>
            <w:tcW w:w="1843" w:type="dxa"/>
            <w:vAlign w:val="center"/>
          </w:tcPr>
          <w:p w14:paraId="6DBE8805" w14:textId="77894EDB" w:rsidR="003D6D77" w:rsidRPr="004C7B10"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(-2.39)</w:t>
            </w:r>
          </w:p>
        </w:tc>
        <w:tc>
          <w:tcPr>
            <w:tcW w:w="1788" w:type="dxa"/>
            <w:vAlign w:val="center"/>
          </w:tcPr>
          <w:p w14:paraId="41751C2E" w14:textId="77777777" w:rsidR="003D6D77" w:rsidRPr="004C7B10"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(-3.37)</w:t>
            </w:r>
          </w:p>
        </w:tc>
      </w:tr>
      <w:tr w:rsidR="003D6D77" w:rsidRPr="004C7B10" w14:paraId="58F8AB3C" w14:textId="77777777" w:rsidTr="00CF449D">
        <w:tc>
          <w:tcPr>
            <w:tcW w:w="3536" w:type="dxa"/>
          </w:tcPr>
          <w:p w14:paraId="1EA52EF3" w14:textId="785B0FC3" w:rsidR="003D6D77" w:rsidRPr="004C7B10" w:rsidRDefault="003D6D77" w:rsidP="006D78DE">
            <w:pPr>
              <w:rPr>
                <w:rFonts w:ascii="Times New Roman" w:hAnsi="Times New Roman" w:cs="Times New Roman"/>
                <w:sz w:val="18"/>
                <w:szCs w:val="18"/>
              </w:rPr>
            </w:pPr>
            <w:r>
              <w:rPr>
                <w:rFonts w:ascii="Times New Roman" w:hAnsi="Times New Roman" w:cs="Times New Roman"/>
                <w:i/>
                <w:iCs/>
                <w:color w:val="000000"/>
                <w:sz w:val="18"/>
                <w:szCs w:val="18"/>
              </w:rPr>
              <w:t>NARCIS</w:t>
            </w:r>
          </w:p>
        </w:tc>
        <w:tc>
          <w:tcPr>
            <w:tcW w:w="1843" w:type="dxa"/>
            <w:vAlign w:val="center"/>
          </w:tcPr>
          <w:p w14:paraId="4206D58D" w14:textId="1696EE6C" w:rsidR="003D6D77" w:rsidRPr="004C7B10" w:rsidRDefault="003D6D77" w:rsidP="006D78DE">
            <w:pPr>
              <w:jc w:val="center"/>
              <w:rPr>
                <w:rFonts w:ascii="Times New Roman" w:hAnsi="Times New Roman" w:cs="Times New Roman"/>
                <w:sz w:val="18"/>
                <w:szCs w:val="18"/>
              </w:rPr>
            </w:pPr>
            <w:r w:rsidRPr="00616FBA">
              <w:rPr>
                <w:rFonts w:ascii="Times New Roman" w:hAnsi="Times New Roman" w:cs="Times New Roman"/>
                <w:sz w:val="18"/>
                <w:szCs w:val="18"/>
              </w:rPr>
              <w:t>-0.181</w:t>
            </w:r>
          </w:p>
        </w:tc>
        <w:tc>
          <w:tcPr>
            <w:tcW w:w="1843" w:type="dxa"/>
            <w:vAlign w:val="center"/>
          </w:tcPr>
          <w:p w14:paraId="1B3B61AF" w14:textId="6E192D9B" w:rsidR="003D6D77" w:rsidRPr="004C7B10"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-0.178</w:t>
            </w:r>
          </w:p>
        </w:tc>
        <w:tc>
          <w:tcPr>
            <w:tcW w:w="1788" w:type="dxa"/>
            <w:vAlign w:val="center"/>
          </w:tcPr>
          <w:p w14:paraId="501F39C9" w14:textId="77777777" w:rsidR="003D6D77" w:rsidRPr="004C7B10"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-0.245</w:t>
            </w:r>
          </w:p>
        </w:tc>
      </w:tr>
      <w:tr w:rsidR="003D6D77" w:rsidRPr="004C7B10" w14:paraId="7CCF53F3" w14:textId="77777777" w:rsidTr="00CF449D">
        <w:tc>
          <w:tcPr>
            <w:tcW w:w="3536" w:type="dxa"/>
          </w:tcPr>
          <w:p w14:paraId="56CE071E" w14:textId="77777777" w:rsidR="003D6D77" w:rsidRPr="004C7B10" w:rsidRDefault="003D6D77" w:rsidP="006D78DE">
            <w:pPr>
              <w:rPr>
                <w:rFonts w:ascii="Times New Roman" w:hAnsi="Times New Roman" w:cs="Times New Roman"/>
                <w:sz w:val="18"/>
                <w:szCs w:val="18"/>
              </w:rPr>
            </w:pPr>
          </w:p>
        </w:tc>
        <w:tc>
          <w:tcPr>
            <w:tcW w:w="1843" w:type="dxa"/>
            <w:vAlign w:val="center"/>
          </w:tcPr>
          <w:p w14:paraId="38F40070" w14:textId="6D748672" w:rsidR="003D6D77" w:rsidRPr="004C7B10" w:rsidRDefault="003D6D77" w:rsidP="006D78DE">
            <w:pPr>
              <w:jc w:val="center"/>
              <w:rPr>
                <w:rFonts w:ascii="Times New Roman" w:hAnsi="Times New Roman" w:cs="Times New Roman"/>
                <w:sz w:val="18"/>
                <w:szCs w:val="18"/>
              </w:rPr>
            </w:pPr>
            <w:r w:rsidRPr="00616FBA">
              <w:rPr>
                <w:rFonts w:ascii="Times New Roman" w:hAnsi="Times New Roman" w:cs="Times New Roman"/>
                <w:sz w:val="18"/>
                <w:szCs w:val="18"/>
              </w:rPr>
              <w:t>(-0.90)</w:t>
            </w:r>
          </w:p>
        </w:tc>
        <w:tc>
          <w:tcPr>
            <w:tcW w:w="1843" w:type="dxa"/>
            <w:vAlign w:val="center"/>
          </w:tcPr>
          <w:p w14:paraId="03C189CE" w14:textId="6D530573" w:rsidR="003D6D77" w:rsidRPr="004C7B10"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(-0.74)</w:t>
            </w:r>
          </w:p>
        </w:tc>
        <w:tc>
          <w:tcPr>
            <w:tcW w:w="1788" w:type="dxa"/>
            <w:vAlign w:val="center"/>
          </w:tcPr>
          <w:p w14:paraId="32D05165" w14:textId="77777777" w:rsidR="003D6D77" w:rsidRPr="004C7B10"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(-1.22)</w:t>
            </w:r>
          </w:p>
        </w:tc>
      </w:tr>
      <w:tr w:rsidR="003D6D77" w:rsidRPr="004C7B10" w14:paraId="46997890" w14:textId="77777777" w:rsidTr="00CF449D">
        <w:tc>
          <w:tcPr>
            <w:tcW w:w="3536" w:type="dxa"/>
          </w:tcPr>
          <w:p w14:paraId="05918EF3" w14:textId="7A0D3F98" w:rsidR="003D6D77" w:rsidRPr="00F53102" w:rsidRDefault="003D6D77" w:rsidP="005279D8">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p>
        </w:tc>
        <w:tc>
          <w:tcPr>
            <w:tcW w:w="1843" w:type="dxa"/>
            <w:vAlign w:val="center"/>
          </w:tcPr>
          <w:p w14:paraId="3C25A8BD" w14:textId="788F81D5" w:rsidR="003D6D77" w:rsidRPr="00F53102" w:rsidRDefault="003D6D77" w:rsidP="005279D8">
            <w:pPr>
              <w:jc w:val="center"/>
              <w:rPr>
                <w:rFonts w:ascii="Times New Roman" w:hAnsi="Times New Roman" w:cs="Times New Roman"/>
                <w:sz w:val="18"/>
                <w:szCs w:val="18"/>
              </w:rPr>
            </w:pPr>
            <w:r w:rsidRPr="00616FBA">
              <w:rPr>
                <w:rFonts w:ascii="Times New Roman" w:hAnsi="Times New Roman" w:cs="Times New Roman"/>
                <w:sz w:val="18"/>
                <w:szCs w:val="18"/>
              </w:rPr>
              <w:t>0.442</w:t>
            </w:r>
          </w:p>
        </w:tc>
        <w:tc>
          <w:tcPr>
            <w:tcW w:w="1843" w:type="dxa"/>
            <w:vAlign w:val="center"/>
          </w:tcPr>
          <w:p w14:paraId="0BC737CD" w14:textId="2025102B" w:rsidR="003D6D77" w:rsidRPr="00F53102"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0.0843</w:t>
            </w:r>
          </w:p>
        </w:tc>
        <w:tc>
          <w:tcPr>
            <w:tcW w:w="1788" w:type="dxa"/>
            <w:vAlign w:val="center"/>
          </w:tcPr>
          <w:p w14:paraId="74B45E7B" w14:textId="2D46C800" w:rsidR="003D6D77" w:rsidRPr="00F53102"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0.237</w:t>
            </w:r>
          </w:p>
        </w:tc>
      </w:tr>
      <w:tr w:rsidR="003D6D77" w:rsidRPr="004C7B10" w14:paraId="77CD8BE3" w14:textId="77777777" w:rsidTr="00CF449D">
        <w:tc>
          <w:tcPr>
            <w:tcW w:w="3536" w:type="dxa"/>
          </w:tcPr>
          <w:p w14:paraId="08B30B1A" w14:textId="77777777" w:rsidR="003D6D77" w:rsidRPr="00F53102" w:rsidRDefault="003D6D77" w:rsidP="005279D8">
            <w:pPr>
              <w:rPr>
                <w:rFonts w:ascii="Times New Roman" w:hAnsi="Times New Roman" w:cs="Times New Roman"/>
                <w:i/>
                <w:iCs/>
                <w:color w:val="000000"/>
                <w:sz w:val="18"/>
                <w:szCs w:val="18"/>
              </w:rPr>
            </w:pPr>
          </w:p>
        </w:tc>
        <w:tc>
          <w:tcPr>
            <w:tcW w:w="1843" w:type="dxa"/>
            <w:vAlign w:val="center"/>
          </w:tcPr>
          <w:p w14:paraId="57BD8F4E" w14:textId="1AA6E825" w:rsidR="003D6D77" w:rsidRPr="00F53102" w:rsidRDefault="003D6D77" w:rsidP="005279D8">
            <w:pPr>
              <w:jc w:val="center"/>
              <w:rPr>
                <w:rFonts w:ascii="Times New Roman" w:hAnsi="Times New Roman" w:cs="Times New Roman"/>
                <w:sz w:val="18"/>
                <w:szCs w:val="18"/>
              </w:rPr>
            </w:pPr>
            <w:r w:rsidRPr="00616FBA">
              <w:rPr>
                <w:rFonts w:ascii="Times New Roman" w:hAnsi="Times New Roman" w:cs="Times New Roman"/>
                <w:sz w:val="18"/>
                <w:szCs w:val="18"/>
              </w:rPr>
              <w:t>(1.22)</w:t>
            </w:r>
          </w:p>
        </w:tc>
        <w:tc>
          <w:tcPr>
            <w:tcW w:w="1843" w:type="dxa"/>
            <w:vAlign w:val="center"/>
          </w:tcPr>
          <w:p w14:paraId="1E2F7948" w14:textId="43D52FE8" w:rsidR="003D6D77" w:rsidRPr="00F53102" w:rsidRDefault="003D6D77" w:rsidP="001E57BE">
            <w:pPr>
              <w:jc w:val="center"/>
              <w:rPr>
                <w:rFonts w:ascii="Times New Roman" w:hAnsi="Times New Roman" w:cs="Times New Roman"/>
                <w:sz w:val="18"/>
                <w:szCs w:val="18"/>
              </w:rPr>
            </w:pPr>
            <w:r w:rsidRPr="00ED2E2E">
              <w:rPr>
                <w:rFonts w:ascii="Times New Roman" w:hAnsi="Times New Roman" w:cs="Times New Roman"/>
                <w:sz w:val="18"/>
                <w:szCs w:val="18"/>
              </w:rPr>
              <w:t>(0.28)</w:t>
            </w:r>
          </w:p>
        </w:tc>
        <w:tc>
          <w:tcPr>
            <w:tcW w:w="1788" w:type="dxa"/>
            <w:vAlign w:val="center"/>
          </w:tcPr>
          <w:p w14:paraId="1E4C7FBF" w14:textId="04121F71" w:rsidR="003D6D77" w:rsidRPr="00F53102" w:rsidRDefault="003D6D77" w:rsidP="001E57BE">
            <w:pPr>
              <w:jc w:val="center"/>
              <w:rPr>
                <w:rFonts w:ascii="Times New Roman" w:hAnsi="Times New Roman" w:cs="Times New Roman"/>
                <w:sz w:val="18"/>
                <w:szCs w:val="18"/>
              </w:rPr>
            </w:pPr>
            <w:r w:rsidRPr="00096DA1">
              <w:rPr>
                <w:rFonts w:ascii="Times New Roman" w:hAnsi="Times New Roman" w:cs="Times New Roman"/>
                <w:sz w:val="18"/>
                <w:szCs w:val="18"/>
              </w:rPr>
              <w:t>(1.01)</w:t>
            </w:r>
          </w:p>
        </w:tc>
      </w:tr>
      <w:tr w:rsidR="003D6D77" w:rsidRPr="004C7B10" w14:paraId="10DDE357" w14:textId="77777777" w:rsidTr="00CF449D">
        <w:tc>
          <w:tcPr>
            <w:tcW w:w="3536" w:type="dxa"/>
          </w:tcPr>
          <w:p w14:paraId="38D47D53" w14:textId="050FAF16" w:rsidR="003D6D77" w:rsidRPr="00F53102" w:rsidRDefault="003D6D77" w:rsidP="006D78DE">
            <w:pPr>
              <w:rPr>
                <w:rFonts w:ascii="Times New Roman" w:hAnsi="Times New Roman" w:cs="Times New Roman"/>
                <w:sz w:val="18"/>
                <w:szCs w:val="18"/>
              </w:rPr>
            </w:pPr>
            <w:r w:rsidRPr="00F53102">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NARCIS</w:t>
            </w:r>
          </w:p>
        </w:tc>
        <w:tc>
          <w:tcPr>
            <w:tcW w:w="1843" w:type="dxa"/>
            <w:vAlign w:val="center"/>
          </w:tcPr>
          <w:p w14:paraId="4AD8B04B" w14:textId="1BBC2D6D" w:rsidR="003D6D77" w:rsidRPr="00F53102" w:rsidRDefault="003D6D77" w:rsidP="006D78DE">
            <w:pPr>
              <w:jc w:val="center"/>
              <w:rPr>
                <w:rFonts w:ascii="Times New Roman" w:hAnsi="Times New Roman" w:cs="Times New Roman"/>
                <w:sz w:val="18"/>
                <w:szCs w:val="18"/>
              </w:rPr>
            </w:pPr>
            <w:r w:rsidRPr="00F53102">
              <w:rPr>
                <w:rFonts w:ascii="Times New Roman" w:hAnsi="Times New Roman" w:cs="Times New Roman"/>
                <w:sz w:val="18"/>
                <w:szCs w:val="18"/>
              </w:rPr>
              <w:t>-2.827***</w:t>
            </w:r>
          </w:p>
        </w:tc>
        <w:tc>
          <w:tcPr>
            <w:tcW w:w="1843" w:type="dxa"/>
            <w:vAlign w:val="center"/>
          </w:tcPr>
          <w:p w14:paraId="75F01099" w14:textId="65551BC6" w:rsidR="003D6D77" w:rsidRPr="00F53102" w:rsidRDefault="003D6D77" w:rsidP="001E57BE">
            <w:pPr>
              <w:jc w:val="center"/>
              <w:rPr>
                <w:rFonts w:ascii="Times New Roman" w:hAnsi="Times New Roman" w:cs="Times New Roman"/>
                <w:sz w:val="18"/>
                <w:szCs w:val="18"/>
              </w:rPr>
            </w:pPr>
            <w:r w:rsidRPr="00F53102">
              <w:rPr>
                <w:rFonts w:ascii="Times New Roman" w:hAnsi="Times New Roman" w:cs="Times New Roman"/>
                <w:sz w:val="18"/>
                <w:szCs w:val="18"/>
              </w:rPr>
              <w:t>-1.165**</w:t>
            </w:r>
          </w:p>
        </w:tc>
        <w:tc>
          <w:tcPr>
            <w:tcW w:w="1788" w:type="dxa"/>
            <w:vAlign w:val="center"/>
          </w:tcPr>
          <w:p w14:paraId="15B9B83E" w14:textId="77777777" w:rsidR="003D6D77" w:rsidRPr="00F53102" w:rsidRDefault="003D6D77" w:rsidP="001E57BE">
            <w:pPr>
              <w:jc w:val="center"/>
              <w:rPr>
                <w:rFonts w:ascii="Times New Roman" w:hAnsi="Times New Roman" w:cs="Times New Roman"/>
                <w:sz w:val="18"/>
                <w:szCs w:val="18"/>
              </w:rPr>
            </w:pPr>
            <w:r w:rsidRPr="00F53102">
              <w:rPr>
                <w:rFonts w:ascii="Times New Roman" w:hAnsi="Times New Roman" w:cs="Times New Roman"/>
                <w:sz w:val="18"/>
                <w:szCs w:val="18"/>
              </w:rPr>
              <w:t>-1.474***</w:t>
            </w:r>
          </w:p>
        </w:tc>
      </w:tr>
      <w:tr w:rsidR="003D6D77" w:rsidRPr="004C7B10" w14:paraId="2EFD985A" w14:textId="77777777" w:rsidTr="00CF449D">
        <w:tc>
          <w:tcPr>
            <w:tcW w:w="3536" w:type="dxa"/>
          </w:tcPr>
          <w:p w14:paraId="2B6738A7" w14:textId="77777777" w:rsidR="003D6D77" w:rsidRPr="00F53102" w:rsidRDefault="003D6D77" w:rsidP="006D78DE">
            <w:pPr>
              <w:rPr>
                <w:rFonts w:ascii="Times New Roman" w:hAnsi="Times New Roman" w:cs="Times New Roman"/>
                <w:sz w:val="18"/>
                <w:szCs w:val="18"/>
              </w:rPr>
            </w:pPr>
          </w:p>
        </w:tc>
        <w:tc>
          <w:tcPr>
            <w:tcW w:w="1843" w:type="dxa"/>
            <w:vAlign w:val="center"/>
          </w:tcPr>
          <w:p w14:paraId="31F5336A" w14:textId="430976EB" w:rsidR="003D6D77" w:rsidRPr="00F53102" w:rsidRDefault="003D6D77" w:rsidP="006D78DE">
            <w:pPr>
              <w:jc w:val="center"/>
              <w:rPr>
                <w:rFonts w:ascii="Times New Roman" w:hAnsi="Times New Roman" w:cs="Times New Roman"/>
                <w:sz w:val="18"/>
                <w:szCs w:val="18"/>
              </w:rPr>
            </w:pPr>
            <w:r w:rsidRPr="00F53102">
              <w:rPr>
                <w:rFonts w:ascii="Times New Roman" w:hAnsi="Times New Roman" w:cs="Times New Roman"/>
                <w:sz w:val="18"/>
                <w:szCs w:val="18"/>
              </w:rPr>
              <w:t>(-3.84)</w:t>
            </w:r>
          </w:p>
        </w:tc>
        <w:tc>
          <w:tcPr>
            <w:tcW w:w="1843" w:type="dxa"/>
            <w:vAlign w:val="center"/>
          </w:tcPr>
          <w:p w14:paraId="26C22DB2" w14:textId="5E108000" w:rsidR="003D6D77" w:rsidRPr="00F53102" w:rsidRDefault="003D6D77" w:rsidP="001E57BE">
            <w:pPr>
              <w:jc w:val="center"/>
              <w:rPr>
                <w:rFonts w:ascii="Times New Roman" w:hAnsi="Times New Roman" w:cs="Times New Roman"/>
                <w:sz w:val="18"/>
                <w:szCs w:val="18"/>
              </w:rPr>
            </w:pPr>
            <w:r w:rsidRPr="00F53102">
              <w:rPr>
                <w:rFonts w:ascii="Times New Roman" w:hAnsi="Times New Roman" w:cs="Times New Roman"/>
                <w:sz w:val="18"/>
                <w:szCs w:val="18"/>
              </w:rPr>
              <w:t>(-2.26)</w:t>
            </w:r>
          </w:p>
        </w:tc>
        <w:tc>
          <w:tcPr>
            <w:tcW w:w="1788" w:type="dxa"/>
            <w:vAlign w:val="center"/>
          </w:tcPr>
          <w:p w14:paraId="025FC462" w14:textId="77777777" w:rsidR="003D6D77" w:rsidRPr="00F53102" w:rsidRDefault="003D6D77" w:rsidP="001E57BE">
            <w:pPr>
              <w:jc w:val="center"/>
              <w:rPr>
                <w:rFonts w:ascii="Times New Roman" w:hAnsi="Times New Roman" w:cs="Times New Roman"/>
                <w:sz w:val="18"/>
                <w:szCs w:val="18"/>
              </w:rPr>
            </w:pPr>
            <w:r w:rsidRPr="00F53102">
              <w:rPr>
                <w:rFonts w:ascii="Times New Roman" w:hAnsi="Times New Roman" w:cs="Times New Roman"/>
                <w:sz w:val="18"/>
                <w:szCs w:val="18"/>
              </w:rPr>
              <w:t>(-3.59)</w:t>
            </w:r>
          </w:p>
        </w:tc>
      </w:tr>
      <w:tr w:rsidR="003D6D77" w:rsidRPr="004C7B10" w14:paraId="7E8AAEB2" w14:textId="77777777" w:rsidTr="00CF449D">
        <w:tc>
          <w:tcPr>
            <w:tcW w:w="3536" w:type="dxa"/>
          </w:tcPr>
          <w:p w14:paraId="465B40FD" w14:textId="31CBC807" w:rsidR="003D6D77" w:rsidRPr="00A73C18" w:rsidRDefault="003D6D77" w:rsidP="003D332B">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w:t>
            </w:r>
            <w:r w:rsidR="009E605C">
              <w:rPr>
                <w:rFonts w:ascii="Times New Roman" w:hAnsi="Times New Roman" w:cs="Times New Roman"/>
                <w:i/>
                <w:iCs/>
                <w:color w:val="000000"/>
                <w:sz w:val="18"/>
                <w:szCs w:val="18"/>
              </w:rPr>
              <w:t>ACC_</w:t>
            </w:r>
            <w:r w:rsidR="009E605C" w:rsidRPr="00A73C18">
              <w:rPr>
                <w:rFonts w:ascii="Times New Roman" w:hAnsi="Times New Roman" w:cs="Times New Roman"/>
                <w:i/>
                <w:iCs/>
                <w:color w:val="000000"/>
                <w:sz w:val="18"/>
                <w:szCs w:val="18"/>
              </w:rPr>
              <w:t>EXP</w:t>
            </w:r>
          </w:p>
        </w:tc>
        <w:tc>
          <w:tcPr>
            <w:tcW w:w="1843" w:type="dxa"/>
            <w:vAlign w:val="center"/>
          </w:tcPr>
          <w:p w14:paraId="35D8F224" w14:textId="1AD18C16" w:rsidR="003D6D77" w:rsidRPr="00616FBA" w:rsidRDefault="003D6D77" w:rsidP="003D332B">
            <w:pPr>
              <w:jc w:val="center"/>
              <w:rPr>
                <w:rFonts w:ascii="Times New Roman" w:hAnsi="Times New Roman" w:cs="Times New Roman"/>
                <w:sz w:val="18"/>
                <w:szCs w:val="18"/>
              </w:rPr>
            </w:pPr>
            <w:r w:rsidRPr="00616FBA">
              <w:rPr>
                <w:rFonts w:ascii="Times New Roman" w:hAnsi="Times New Roman" w:cs="Times New Roman"/>
                <w:sz w:val="18"/>
                <w:szCs w:val="18"/>
              </w:rPr>
              <w:t>0.0123</w:t>
            </w:r>
          </w:p>
        </w:tc>
        <w:tc>
          <w:tcPr>
            <w:tcW w:w="1843" w:type="dxa"/>
            <w:vAlign w:val="center"/>
          </w:tcPr>
          <w:p w14:paraId="5ECE2CD0" w14:textId="1DC8F308"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269A0A52"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172EED6E" w14:textId="77777777" w:rsidTr="00CF449D">
        <w:tc>
          <w:tcPr>
            <w:tcW w:w="3536" w:type="dxa"/>
          </w:tcPr>
          <w:p w14:paraId="295CEABC" w14:textId="77777777" w:rsidR="003D6D77" w:rsidRPr="00A73C18" w:rsidRDefault="003D6D77" w:rsidP="003D332B">
            <w:pPr>
              <w:rPr>
                <w:rFonts w:ascii="Times New Roman" w:hAnsi="Times New Roman" w:cs="Times New Roman"/>
                <w:i/>
                <w:iCs/>
                <w:color w:val="000000"/>
                <w:sz w:val="18"/>
                <w:szCs w:val="18"/>
              </w:rPr>
            </w:pPr>
          </w:p>
        </w:tc>
        <w:tc>
          <w:tcPr>
            <w:tcW w:w="1843" w:type="dxa"/>
            <w:vAlign w:val="center"/>
          </w:tcPr>
          <w:p w14:paraId="6CA602BD" w14:textId="4CD553F4" w:rsidR="003D6D77" w:rsidRPr="00616FBA" w:rsidRDefault="003D6D77" w:rsidP="003D332B">
            <w:pPr>
              <w:jc w:val="center"/>
              <w:rPr>
                <w:rFonts w:ascii="Times New Roman" w:hAnsi="Times New Roman" w:cs="Times New Roman"/>
                <w:sz w:val="18"/>
                <w:szCs w:val="18"/>
              </w:rPr>
            </w:pPr>
            <w:r w:rsidRPr="00616FBA">
              <w:rPr>
                <w:rFonts w:ascii="Times New Roman" w:hAnsi="Times New Roman" w:cs="Times New Roman"/>
                <w:sz w:val="18"/>
                <w:szCs w:val="18"/>
              </w:rPr>
              <w:t>(0.19)</w:t>
            </w:r>
          </w:p>
        </w:tc>
        <w:tc>
          <w:tcPr>
            <w:tcW w:w="1843" w:type="dxa"/>
            <w:vAlign w:val="center"/>
          </w:tcPr>
          <w:p w14:paraId="37C401B3" w14:textId="45A1A327"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7581FF60"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7058ABB0" w14:textId="77777777" w:rsidTr="00CF449D">
        <w:tc>
          <w:tcPr>
            <w:tcW w:w="3536" w:type="dxa"/>
          </w:tcPr>
          <w:p w14:paraId="7E5749A2" w14:textId="71C573DB" w:rsidR="003D6D77" w:rsidRPr="00A73C18" w:rsidRDefault="003D6D77" w:rsidP="003D332B">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EXCLUSION×</w:t>
            </w:r>
            <w:r w:rsidR="009E605C">
              <w:rPr>
                <w:rFonts w:ascii="Times New Roman" w:hAnsi="Times New Roman" w:cs="Times New Roman"/>
                <w:i/>
                <w:iCs/>
                <w:color w:val="000000"/>
                <w:sz w:val="18"/>
                <w:szCs w:val="18"/>
              </w:rPr>
              <w:t>ACC_</w:t>
            </w:r>
            <w:r w:rsidR="009E605C" w:rsidRPr="00A73C18">
              <w:rPr>
                <w:rFonts w:ascii="Times New Roman" w:hAnsi="Times New Roman" w:cs="Times New Roman"/>
                <w:i/>
                <w:iCs/>
                <w:color w:val="000000"/>
                <w:sz w:val="18"/>
                <w:szCs w:val="18"/>
              </w:rPr>
              <w:t>EXP</w:t>
            </w:r>
          </w:p>
        </w:tc>
        <w:tc>
          <w:tcPr>
            <w:tcW w:w="1843" w:type="dxa"/>
            <w:vAlign w:val="center"/>
          </w:tcPr>
          <w:p w14:paraId="75B0C04A" w14:textId="0EEA3D67" w:rsidR="003D6D77" w:rsidRPr="00616FBA" w:rsidRDefault="003D6D77" w:rsidP="003D332B">
            <w:pPr>
              <w:jc w:val="center"/>
              <w:rPr>
                <w:rFonts w:ascii="Times New Roman" w:hAnsi="Times New Roman" w:cs="Times New Roman"/>
                <w:sz w:val="18"/>
                <w:szCs w:val="18"/>
              </w:rPr>
            </w:pPr>
            <w:r w:rsidRPr="00616FBA">
              <w:rPr>
                <w:rFonts w:ascii="Times New Roman" w:hAnsi="Times New Roman" w:cs="Times New Roman"/>
                <w:sz w:val="18"/>
                <w:szCs w:val="18"/>
              </w:rPr>
              <w:t>0.126</w:t>
            </w:r>
          </w:p>
        </w:tc>
        <w:tc>
          <w:tcPr>
            <w:tcW w:w="1843" w:type="dxa"/>
            <w:vAlign w:val="center"/>
          </w:tcPr>
          <w:p w14:paraId="18CDBB37" w14:textId="67618D30"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2793E8DA"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64CC652C" w14:textId="77777777" w:rsidTr="00CF449D">
        <w:tc>
          <w:tcPr>
            <w:tcW w:w="3536" w:type="dxa"/>
          </w:tcPr>
          <w:p w14:paraId="14BF7D7F" w14:textId="77777777" w:rsidR="003D6D77" w:rsidRPr="00A73C18" w:rsidRDefault="003D6D77" w:rsidP="003D332B">
            <w:pPr>
              <w:rPr>
                <w:rFonts w:ascii="Times New Roman" w:hAnsi="Times New Roman" w:cs="Times New Roman"/>
                <w:i/>
                <w:iCs/>
                <w:color w:val="000000"/>
                <w:sz w:val="18"/>
                <w:szCs w:val="18"/>
              </w:rPr>
            </w:pPr>
          </w:p>
        </w:tc>
        <w:tc>
          <w:tcPr>
            <w:tcW w:w="1843" w:type="dxa"/>
            <w:vAlign w:val="center"/>
          </w:tcPr>
          <w:p w14:paraId="113E1CAC" w14:textId="1D03DEAA" w:rsidR="003D6D77" w:rsidRPr="00616FBA" w:rsidRDefault="003D6D77" w:rsidP="003D332B">
            <w:pPr>
              <w:jc w:val="center"/>
              <w:rPr>
                <w:rFonts w:ascii="Times New Roman" w:hAnsi="Times New Roman" w:cs="Times New Roman"/>
                <w:sz w:val="18"/>
                <w:szCs w:val="18"/>
              </w:rPr>
            </w:pPr>
            <w:r w:rsidRPr="00616FBA">
              <w:rPr>
                <w:rFonts w:ascii="Times New Roman" w:hAnsi="Times New Roman" w:cs="Times New Roman"/>
                <w:sz w:val="18"/>
                <w:szCs w:val="18"/>
              </w:rPr>
              <w:t>(1.20)</w:t>
            </w:r>
          </w:p>
        </w:tc>
        <w:tc>
          <w:tcPr>
            <w:tcW w:w="1843" w:type="dxa"/>
            <w:vAlign w:val="center"/>
          </w:tcPr>
          <w:p w14:paraId="16DEBA6B" w14:textId="0A009D4A"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79A25CBB"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6ECF4BC9" w14:textId="77777777" w:rsidTr="00CF449D">
        <w:tc>
          <w:tcPr>
            <w:tcW w:w="3536" w:type="dxa"/>
          </w:tcPr>
          <w:p w14:paraId="57184146" w14:textId="6484D11B" w:rsidR="003D6D77" w:rsidRPr="00A73C18" w:rsidRDefault="003D6D77" w:rsidP="003D332B">
            <w:pPr>
              <w:rPr>
                <w:rFonts w:ascii="Times New Roman" w:hAnsi="Times New Roman" w:cs="Times New Roman"/>
                <w:i/>
                <w:iCs/>
                <w:color w:val="000000"/>
                <w:sz w:val="18"/>
                <w:szCs w:val="18"/>
              </w:rPr>
            </w:pPr>
            <w:r w:rsidRPr="009103D6">
              <w:rPr>
                <w:rFonts w:ascii="Times New Roman" w:hAnsi="Times New Roman" w:cs="Times New Roman"/>
                <w:i/>
                <w:iCs/>
                <w:color w:val="000000"/>
                <w:sz w:val="18"/>
                <w:szCs w:val="18"/>
              </w:rPr>
              <w:t>NONIFRS×</w:t>
            </w:r>
            <w:r w:rsidR="009E605C">
              <w:rPr>
                <w:rFonts w:ascii="Times New Roman" w:hAnsi="Times New Roman" w:cs="Times New Roman"/>
                <w:i/>
                <w:iCs/>
                <w:color w:val="000000"/>
                <w:sz w:val="18"/>
                <w:szCs w:val="18"/>
              </w:rPr>
              <w:t>FIRM_EXP</w:t>
            </w:r>
          </w:p>
        </w:tc>
        <w:tc>
          <w:tcPr>
            <w:tcW w:w="1843" w:type="dxa"/>
            <w:vAlign w:val="center"/>
          </w:tcPr>
          <w:p w14:paraId="588CF551" w14:textId="1A0ECBA5" w:rsidR="003D6D77" w:rsidRPr="00616FBA" w:rsidRDefault="003D6D77" w:rsidP="003D332B">
            <w:pPr>
              <w:jc w:val="center"/>
              <w:rPr>
                <w:rFonts w:ascii="Times New Roman" w:hAnsi="Times New Roman" w:cs="Times New Roman"/>
                <w:sz w:val="18"/>
                <w:szCs w:val="18"/>
              </w:rPr>
            </w:pPr>
          </w:p>
        </w:tc>
        <w:tc>
          <w:tcPr>
            <w:tcW w:w="1843" w:type="dxa"/>
            <w:vAlign w:val="center"/>
          </w:tcPr>
          <w:p w14:paraId="32AC0AEE" w14:textId="12BEFD85" w:rsidR="003D6D77" w:rsidRPr="00C6261A" w:rsidRDefault="003D6D77" w:rsidP="001E57BE">
            <w:pPr>
              <w:jc w:val="center"/>
              <w:rPr>
                <w:rFonts w:ascii="Times New Roman" w:hAnsi="Times New Roman" w:cs="Times New Roman"/>
                <w:b/>
                <w:bCs/>
                <w:sz w:val="18"/>
                <w:szCs w:val="18"/>
              </w:rPr>
            </w:pPr>
            <w:r w:rsidRPr="00ED2E2E">
              <w:rPr>
                <w:rFonts w:ascii="Times New Roman" w:hAnsi="Times New Roman" w:cs="Times New Roman"/>
                <w:sz w:val="18"/>
                <w:szCs w:val="18"/>
              </w:rPr>
              <w:t>0.0135</w:t>
            </w:r>
          </w:p>
        </w:tc>
        <w:tc>
          <w:tcPr>
            <w:tcW w:w="1788" w:type="dxa"/>
            <w:vAlign w:val="center"/>
          </w:tcPr>
          <w:p w14:paraId="0D2C1286"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2C287D45" w14:textId="77777777" w:rsidTr="00CF449D">
        <w:tc>
          <w:tcPr>
            <w:tcW w:w="3536" w:type="dxa"/>
          </w:tcPr>
          <w:p w14:paraId="219B4533" w14:textId="77777777" w:rsidR="003D6D77" w:rsidRPr="00A73C18" w:rsidRDefault="003D6D77" w:rsidP="003D332B">
            <w:pPr>
              <w:rPr>
                <w:rFonts w:ascii="Times New Roman" w:hAnsi="Times New Roman" w:cs="Times New Roman"/>
                <w:i/>
                <w:iCs/>
                <w:color w:val="000000"/>
                <w:sz w:val="18"/>
                <w:szCs w:val="18"/>
              </w:rPr>
            </w:pPr>
          </w:p>
        </w:tc>
        <w:tc>
          <w:tcPr>
            <w:tcW w:w="1843" w:type="dxa"/>
            <w:vAlign w:val="center"/>
          </w:tcPr>
          <w:p w14:paraId="5CBA6DA6" w14:textId="20ECD43E" w:rsidR="003D6D77" w:rsidRPr="00616FBA" w:rsidRDefault="003D6D77" w:rsidP="003D332B">
            <w:pPr>
              <w:jc w:val="center"/>
              <w:rPr>
                <w:rFonts w:ascii="Times New Roman" w:hAnsi="Times New Roman" w:cs="Times New Roman"/>
                <w:sz w:val="18"/>
                <w:szCs w:val="18"/>
              </w:rPr>
            </w:pPr>
          </w:p>
        </w:tc>
        <w:tc>
          <w:tcPr>
            <w:tcW w:w="1843" w:type="dxa"/>
            <w:vAlign w:val="center"/>
          </w:tcPr>
          <w:p w14:paraId="770D5504" w14:textId="243511C0" w:rsidR="003D6D77" w:rsidRPr="00C6261A" w:rsidRDefault="003D6D77" w:rsidP="001E57BE">
            <w:pPr>
              <w:jc w:val="center"/>
              <w:rPr>
                <w:rFonts w:ascii="Times New Roman" w:hAnsi="Times New Roman" w:cs="Times New Roman"/>
                <w:b/>
                <w:bCs/>
                <w:sz w:val="18"/>
                <w:szCs w:val="18"/>
              </w:rPr>
            </w:pPr>
            <w:r w:rsidRPr="00ED2E2E">
              <w:rPr>
                <w:rFonts w:ascii="Times New Roman" w:hAnsi="Times New Roman" w:cs="Times New Roman"/>
                <w:sz w:val="18"/>
                <w:szCs w:val="18"/>
              </w:rPr>
              <w:t>(0.99)</w:t>
            </w:r>
          </w:p>
        </w:tc>
        <w:tc>
          <w:tcPr>
            <w:tcW w:w="1788" w:type="dxa"/>
            <w:vAlign w:val="center"/>
          </w:tcPr>
          <w:p w14:paraId="558360E1"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571E906D" w14:textId="77777777" w:rsidTr="00CF449D">
        <w:tc>
          <w:tcPr>
            <w:tcW w:w="3536" w:type="dxa"/>
          </w:tcPr>
          <w:p w14:paraId="285A7844" w14:textId="6A5546AA" w:rsidR="003D6D77" w:rsidRPr="00A73C18" w:rsidRDefault="003D6D77" w:rsidP="003D332B">
            <w:pPr>
              <w:rPr>
                <w:rFonts w:ascii="Times New Roman" w:hAnsi="Times New Roman" w:cs="Times New Roman"/>
                <w:i/>
                <w:iCs/>
                <w:color w:val="000000"/>
                <w:sz w:val="18"/>
                <w:szCs w:val="18"/>
              </w:rPr>
            </w:pPr>
            <w:r w:rsidRPr="009103D6">
              <w:rPr>
                <w:rFonts w:ascii="Times New Roman" w:hAnsi="Times New Roman" w:cs="Times New Roman"/>
                <w:i/>
                <w:iCs/>
                <w:color w:val="000000"/>
                <w:sz w:val="18"/>
                <w:szCs w:val="18"/>
              </w:rPr>
              <w:t>EXCLUSION×</w:t>
            </w:r>
            <w:r w:rsidR="009E605C">
              <w:rPr>
                <w:rFonts w:ascii="Times New Roman" w:hAnsi="Times New Roman" w:cs="Times New Roman"/>
                <w:i/>
                <w:iCs/>
                <w:color w:val="000000"/>
                <w:sz w:val="18"/>
                <w:szCs w:val="18"/>
              </w:rPr>
              <w:t>FIRM_EXP</w:t>
            </w:r>
          </w:p>
        </w:tc>
        <w:tc>
          <w:tcPr>
            <w:tcW w:w="1843" w:type="dxa"/>
            <w:vAlign w:val="center"/>
          </w:tcPr>
          <w:p w14:paraId="31C48506" w14:textId="238ACD5F" w:rsidR="003D6D77" w:rsidRPr="00616FBA" w:rsidRDefault="003D6D77" w:rsidP="003D332B">
            <w:pPr>
              <w:jc w:val="center"/>
              <w:rPr>
                <w:rFonts w:ascii="Times New Roman" w:hAnsi="Times New Roman" w:cs="Times New Roman"/>
                <w:sz w:val="18"/>
                <w:szCs w:val="18"/>
              </w:rPr>
            </w:pPr>
          </w:p>
        </w:tc>
        <w:tc>
          <w:tcPr>
            <w:tcW w:w="1843" w:type="dxa"/>
            <w:vAlign w:val="center"/>
          </w:tcPr>
          <w:p w14:paraId="5B2FF31F" w14:textId="06F4C893" w:rsidR="003D6D77" w:rsidRPr="00C6261A" w:rsidRDefault="003D6D77" w:rsidP="001E57BE">
            <w:pPr>
              <w:jc w:val="center"/>
              <w:rPr>
                <w:rFonts w:ascii="Times New Roman" w:hAnsi="Times New Roman" w:cs="Times New Roman"/>
                <w:b/>
                <w:bCs/>
                <w:sz w:val="18"/>
                <w:szCs w:val="18"/>
              </w:rPr>
            </w:pPr>
            <w:r w:rsidRPr="00ED2E2E">
              <w:rPr>
                <w:rFonts w:ascii="Times New Roman" w:hAnsi="Times New Roman" w:cs="Times New Roman"/>
                <w:sz w:val="18"/>
                <w:szCs w:val="18"/>
              </w:rPr>
              <w:t>-0.0449</w:t>
            </w:r>
          </w:p>
        </w:tc>
        <w:tc>
          <w:tcPr>
            <w:tcW w:w="1788" w:type="dxa"/>
            <w:vAlign w:val="center"/>
          </w:tcPr>
          <w:p w14:paraId="598ED217"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7C33997F" w14:textId="77777777" w:rsidTr="00CF449D">
        <w:tc>
          <w:tcPr>
            <w:tcW w:w="3536" w:type="dxa"/>
          </w:tcPr>
          <w:p w14:paraId="4A9777CB" w14:textId="77777777" w:rsidR="003D6D77" w:rsidRPr="00A73C18" w:rsidRDefault="003D6D77" w:rsidP="003D332B">
            <w:pPr>
              <w:rPr>
                <w:rFonts w:ascii="Times New Roman" w:hAnsi="Times New Roman" w:cs="Times New Roman"/>
                <w:i/>
                <w:iCs/>
                <w:color w:val="000000"/>
                <w:sz w:val="18"/>
                <w:szCs w:val="18"/>
              </w:rPr>
            </w:pPr>
          </w:p>
        </w:tc>
        <w:tc>
          <w:tcPr>
            <w:tcW w:w="1843" w:type="dxa"/>
            <w:vAlign w:val="center"/>
          </w:tcPr>
          <w:p w14:paraId="2FDB8A8D" w14:textId="756D79CD" w:rsidR="003D6D77" w:rsidRPr="00616FBA" w:rsidRDefault="003D6D77" w:rsidP="003D332B">
            <w:pPr>
              <w:jc w:val="center"/>
              <w:rPr>
                <w:rFonts w:ascii="Times New Roman" w:hAnsi="Times New Roman" w:cs="Times New Roman"/>
                <w:sz w:val="18"/>
                <w:szCs w:val="18"/>
              </w:rPr>
            </w:pPr>
          </w:p>
        </w:tc>
        <w:tc>
          <w:tcPr>
            <w:tcW w:w="1843" w:type="dxa"/>
            <w:vAlign w:val="center"/>
          </w:tcPr>
          <w:p w14:paraId="145F1AF7" w14:textId="61BD8FCC" w:rsidR="003D6D77" w:rsidRPr="00C6261A" w:rsidRDefault="003D6D77" w:rsidP="001E57BE">
            <w:pPr>
              <w:jc w:val="center"/>
              <w:rPr>
                <w:rFonts w:ascii="Times New Roman" w:hAnsi="Times New Roman" w:cs="Times New Roman"/>
                <w:b/>
                <w:bCs/>
                <w:sz w:val="18"/>
                <w:szCs w:val="18"/>
              </w:rPr>
            </w:pPr>
            <w:r w:rsidRPr="00ED2E2E">
              <w:rPr>
                <w:rFonts w:ascii="Times New Roman" w:hAnsi="Times New Roman" w:cs="Times New Roman"/>
                <w:sz w:val="18"/>
                <w:szCs w:val="18"/>
              </w:rPr>
              <w:t>(-1.46)</w:t>
            </w:r>
          </w:p>
        </w:tc>
        <w:tc>
          <w:tcPr>
            <w:tcW w:w="1788" w:type="dxa"/>
            <w:vAlign w:val="center"/>
          </w:tcPr>
          <w:p w14:paraId="1F9A441C" w14:textId="77777777" w:rsidR="003D6D77" w:rsidRPr="00C6261A" w:rsidRDefault="003D6D77" w:rsidP="001E57BE">
            <w:pPr>
              <w:jc w:val="center"/>
              <w:rPr>
                <w:rFonts w:ascii="Times New Roman" w:hAnsi="Times New Roman" w:cs="Times New Roman"/>
                <w:b/>
                <w:bCs/>
                <w:sz w:val="18"/>
                <w:szCs w:val="18"/>
              </w:rPr>
            </w:pPr>
          </w:p>
        </w:tc>
      </w:tr>
      <w:tr w:rsidR="003D6D77" w:rsidRPr="004C7B10" w14:paraId="12E2AEF7" w14:textId="77777777" w:rsidTr="00CF449D">
        <w:tc>
          <w:tcPr>
            <w:tcW w:w="3536" w:type="dxa"/>
          </w:tcPr>
          <w:p w14:paraId="420455B0" w14:textId="34A39A73" w:rsidR="003D6D77" w:rsidRPr="00A73C18" w:rsidRDefault="003D6D77" w:rsidP="003D332B">
            <w:pPr>
              <w:rPr>
                <w:rFonts w:ascii="Times New Roman" w:hAnsi="Times New Roman" w:cs="Times New Roman"/>
                <w:i/>
                <w:iCs/>
                <w:color w:val="000000"/>
                <w:sz w:val="18"/>
                <w:szCs w:val="18"/>
              </w:rPr>
            </w:pPr>
            <w:r w:rsidRPr="00096DA1">
              <w:rPr>
                <w:rFonts w:ascii="Times New Roman" w:hAnsi="Times New Roman" w:cs="Times New Roman"/>
                <w:i/>
                <w:iCs/>
                <w:color w:val="000000"/>
                <w:sz w:val="18"/>
                <w:szCs w:val="18"/>
              </w:rPr>
              <w:t>NONIFRS×</w:t>
            </w:r>
            <w:r w:rsidR="009E605C">
              <w:rPr>
                <w:rFonts w:ascii="Times New Roman" w:hAnsi="Times New Roman" w:cs="Times New Roman"/>
                <w:i/>
                <w:iCs/>
                <w:color w:val="000000"/>
                <w:sz w:val="18"/>
                <w:szCs w:val="18"/>
              </w:rPr>
              <w:t>GOV_EXP</w:t>
            </w:r>
          </w:p>
        </w:tc>
        <w:tc>
          <w:tcPr>
            <w:tcW w:w="1843" w:type="dxa"/>
            <w:vAlign w:val="center"/>
          </w:tcPr>
          <w:p w14:paraId="3B581CCD" w14:textId="1652D37A" w:rsidR="003D6D77" w:rsidRPr="00616FBA" w:rsidRDefault="003D6D77" w:rsidP="003D332B">
            <w:pPr>
              <w:jc w:val="center"/>
              <w:rPr>
                <w:rFonts w:ascii="Times New Roman" w:hAnsi="Times New Roman" w:cs="Times New Roman"/>
                <w:sz w:val="18"/>
                <w:szCs w:val="18"/>
              </w:rPr>
            </w:pPr>
          </w:p>
        </w:tc>
        <w:tc>
          <w:tcPr>
            <w:tcW w:w="1843" w:type="dxa"/>
            <w:vAlign w:val="center"/>
          </w:tcPr>
          <w:p w14:paraId="3E55B279" w14:textId="40F8444A"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78ACA92A" w14:textId="128CA0E7" w:rsidR="003D6D77" w:rsidRPr="00C6261A" w:rsidRDefault="003D6D77" w:rsidP="001E57BE">
            <w:pPr>
              <w:jc w:val="center"/>
              <w:rPr>
                <w:rFonts w:ascii="Times New Roman" w:hAnsi="Times New Roman" w:cs="Times New Roman"/>
                <w:b/>
                <w:bCs/>
                <w:sz w:val="18"/>
                <w:szCs w:val="18"/>
              </w:rPr>
            </w:pPr>
            <w:r w:rsidRPr="00096DA1">
              <w:rPr>
                <w:rFonts w:ascii="Times New Roman" w:hAnsi="Times New Roman" w:cs="Times New Roman"/>
                <w:sz w:val="18"/>
                <w:szCs w:val="18"/>
              </w:rPr>
              <w:t>-0.00528</w:t>
            </w:r>
          </w:p>
        </w:tc>
      </w:tr>
      <w:tr w:rsidR="003D6D77" w:rsidRPr="004C7B10" w14:paraId="17A7977D" w14:textId="77777777" w:rsidTr="00CF449D">
        <w:tc>
          <w:tcPr>
            <w:tcW w:w="3536" w:type="dxa"/>
          </w:tcPr>
          <w:p w14:paraId="1D5EF334" w14:textId="77777777" w:rsidR="003D6D77" w:rsidRPr="00A73C18" w:rsidRDefault="003D6D77" w:rsidP="003D332B">
            <w:pPr>
              <w:rPr>
                <w:rFonts w:ascii="Times New Roman" w:hAnsi="Times New Roman" w:cs="Times New Roman"/>
                <w:i/>
                <w:iCs/>
                <w:color w:val="000000"/>
                <w:sz w:val="18"/>
                <w:szCs w:val="18"/>
              </w:rPr>
            </w:pPr>
          </w:p>
        </w:tc>
        <w:tc>
          <w:tcPr>
            <w:tcW w:w="1843" w:type="dxa"/>
            <w:vAlign w:val="center"/>
          </w:tcPr>
          <w:p w14:paraId="5EA4D194" w14:textId="20767057" w:rsidR="003D6D77" w:rsidRPr="00616FBA" w:rsidRDefault="003D6D77" w:rsidP="003D332B">
            <w:pPr>
              <w:jc w:val="center"/>
              <w:rPr>
                <w:rFonts w:ascii="Times New Roman" w:hAnsi="Times New Roman" w:cs="Times New Roman"/>
                <w:sz w:val="18"/>
                <w:szCs w:val="18"/>
              </w:rPr>
            </w:pPr>
          </w:p>
        </w:tc>
        <w:tc>
          <w:tcPr>
            <w:tcW w:w="1843" w:type="dxa"/>
            <w:vAlign w:val="center"/>
          </w:tcPr>
          <w:p w14:paraId="740903BD" w14:textId="37841647"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18E155DC" w14:textId="38058061" w:rsidR="003D6D77" w:rsidRPr="00C6261A" w:rsidRDefault="003D6D77" w:rsidP="001E57BE">
            <w:pPr>
              <w:jc w:val="center"/>
              <w:rPr>
                <w:rFonts w:ascii="Times New Roman" w:hAnsi="Times New Roman" w:cs="Times New Roman"/>
                <w:b/>
                <w:bCs/>
                <w:sz w:val="18"/>
                <w:szCs w:val="18"/>
              </w:rPr>
            </w:pPr>
            <w:r w:rsidRPr="00096DA1">
              <w:rPr>
                <w:rFonts w:ascii="Times New Roman" w:hAnsi="Times New Roman" w:cs="Times New Roman"/>
                <w:sz w:val="18"/>
                <w:szCs w:val="18"/>
              </w:rPr>
              <w:t>(-0.23)</w:t>
            </w:r>
          </w:p>
        </w:tc>
      </w:tr>
      <w:tr w:rsidR="003D6D77" w:rsidRPr="004C7B10" w14:paraId="7D068596" w14:textId="77777777" w:rsidTr="00CF449D">
        <w:tc>
          <w:tcPr>
            <w:tcW w:w="3536" w:type="dxa"/>
          </w:tcPr>
          <w:p w14:paraId="136B6397" w14:textId="0368F603" w:rsidR="003D6D77" w:rsidRPr="00A73C18" w:rsidRDefault="003D6D77" w:rsidP="003D332B">
            <w:pPr>
              <w:rPr>
                <w:rFonts w:ascii="Times New Roman" w:hAnsi="Times New Roman" w:cs="Times New Roman"/>
                <w:i/>
                <w:iCs/>
                <w:color w:val="000000"/>
                <w:sz w:val="18"/>
                <w:szCs w:val="18"/>
              </w:rPr>
            </w:pPr>
            <w:r w:rsidRPr="00096DA1">
              <w:rPr>
                <w:rFonts w:ascii="Times New Roman" w:hAnsi="Times New Roman" w:cs="Times New Roman"/>
                <w:i/>
                <w:iCs/>
                <w:color w:val="000000"/>
                <w:sz w:val="18"/>
                <w:szCs w:val="18"/>
              </w:rPr>
              <w:t>EXCLUSION×</w:t>
            </w:r>
            <w:r w:rsidR="009E605C">
              <w:rPr>
                <w:rFonts w:ascii="Times New Roman" w:hAnsi="Times New Roman" w:cs="Times New Roman"/>
                <w:i/>
                <w:iCs/>
                <w:color w:val="000000"/>
                <w:sz w:val="18"/>
                <w:szCs w:val="18"/>
              </w:rPr>
              <w:t>GOV_EXP</w:t>
            </w:r>
          </w:p>
        </w:tc>
        <w:tc>
          <w:tcPr>
            <w:tcW w:w="1843" w:type="dxa"/>
            <w:vAlign w:val="center"/>
          </w:tcPr>
          <w:p w14:paraId="19D84EC8" w14:textId="5870D995" w:rsidR="003D6D77" w:rsidRPr="00616FBA" w:rsidRDefault="003D6D77" w:rsidP="003D332B">
            <w:pPr>
              <w:jc w:val="center"/>
              <w:rPr>
                <w:rFonts w:ascii="Times New Roman" w:hAnsi="Times New Roman" w:cs="Times New Roman"/>
                <w:sz w:val="18"/>
                <w:szCs w:val="18"/>
              </w:rPr>
            </w:pPr>
          </w:p>
        </w:tc>
        <w:tc>
          <w:tcPr>
            <w:tcW w:w="1843" w:type="dxa"/>
            <w:vAlign w:val="center"/>
          </w:tcPr>
          <w:p w14:paraId="1A53079B" w14:textId="278C448A" w:rsidR="003D6D77" w:rsidRPr="00C6261A" w:rsidRDefault="003D6D77" w:rsidP="001E57BE">
            <w:pPr>
              <w:jc w:val="center"/>
              <w:rPr>
                <w:rFonts w:ascii="Times New Roman" w:hAnsi="Times New Roman" w:cs="Times New Roman"/>
                <w:b/>
                <w:bCs/>
                <w:sz w:val="18"/>
                <w:szCs w:val="18"/>
              </w:rPr>
            </w:pPr>
          </w:p>
        </w:tc>
        <w:tc>
          <w:tcPr>
            <w:tcW w:w="1788" w:type="dxa"/>
            <w:vAlign w:val="center"/>
          </w:tcPr>
          <w:p w14:paraId="7E577A94" w14:textId="112FE04F" w:rsidR="003D6D77" w:rsidRPr="00C6261A" w:rsidRDefault="003D6D77" w:rsidP="001E57BE">
            <w:pPr>
              <w:jc w:val="center"/>
              <w:rPr>
                <w:rFonts w:ascii="Times New Roman" w:hAnsi="Times New Roman" w:cs="Times New Roman"/>
                <w:b/>
                <w:bCs/>
                <w:sz w:val="18"/>
                <w:szCs w:val="18"/>
              </w:rPr>
            </w:pPr>
            <w:r w:rsidRPr="00096DA1">
              <w:rPr>
                <w:rFonts w:ascii="Times New Roman" w:hAnsi="Times New Roman" w:cs="Times New Roman"/>
                <w:sz w:val="18"/>
                <w:szCs w:val="18"/>
              </w:rPr>
              <w:t>0.0202</w:t>
            </w:r>
          </w:p>
        </w:tc>
      </w:tr>
      <w:tr w:rsidR="003D6D77" w:rsidRPr="004C7B10" w14:paraId="09B7704A" w14:textId="77777777" w:rsidTr="00CF449D">
        <w:tc>
          <w:tcPr>
            <w:tcW w:w="3536" w:type="dxa"/>
          </w:tcPr>
          <w:p w14:paraId="7E3FB536" w14:textId="77777777" w:rsidR="003D6D77" w:rsidRPr="00A73C18" w:rsidRDefault="003D6D77" w:rsidP="003D6D77">
            <w:pPr>
              <w:rPr>
                <w:rFonts w:ascii="Times New Roman" w:hAnsi="Times New Roman" w:cs="Times New Roman"/>
                <w:i/>
                <w:iCs/>
                <w:color w:val="000000"/>
                <w:sz w:val="18"/>
                <w:szCs w:val="18"/>
              </w:rPr>
            </w:pPr>
          </w:p>
        </w:tc>
        <w:tc>
          <w:tcPr>
            <w:tcW w:w="1843" w:type="dxa"/>
            <w:vAlign w:val="center"/>
          </w:tcPr>
          <w:p w14:paraId="6D17E435" w14:textId="14DCEF9E" w:rsidR="003D6D77" w:rsidRPr="00616FBA" w:rsidRDefault="003D6D77" w:rsidP="003D6D77">
            <w:pPr>
              <w:jc w:val="center"/>
              <w:rPr>
                <w:rFonts w:ascii="Times New Roman" w:hAnsi="Times New Roman" w:cs="Times New Roman"/>
                <w:sz w:val="18"/>
                <w:szCs w:val="18"/>
              </w:rPr>
            </w:pPr>
          </w:p>
        </w:tc>
        <w:tc>
          <w:tcPr>
            <w:tcW w:w="1843" w:type="dxa"/>
            <w:vAlign w:val="center"/>
          </w:tcPr>
          <w:p w14:paraId="489AAE61" w14:textId="2DEA73A5"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71209315" w14:textId="74BD0320" w:rsidR="003D6D77" w:rsidRPr="00C6261A" w:rsidRDefault="003D6D77" w:rsidP="003D6D77">
            <w:pPr>
              <w:jc w:val="center"/>
              <w:rPr>
                <w:rFonts w:ascii="Times New Roman" w:hAnsi="Times New Roman" w:cs="Times New Roman"/>
                <w:b/>
                <w:bCs/>
                <w:sz w:val="18"/>
                <w:szCs w:val="18"/>
              </w:rPr>
            </w:pPr>
            <w:r w:rsidRPr="00096DA1">
              <w:rPr>
                <w:rFonts w:ascii="Times New Roman" w:hAnsi="Times New Roman" w:cs="Times New Roman"/>
                <w:sz w:val="18"/>
                <w:szCs w:val="18"/>
              </w:rPr>
              <w:t>(0.63)</w:t>
            </w:r>
          </w:p>
        </w:tc>
      </w:tr>
      <w:tr w:rsidR="003D6D77" w:rsidRPr="004C7B10" w14:paraId="37FB3AA9" w14:textId="77777777" w:rsidTr="00CF449D">
        <w:tc>
          <w:tcPr>
            <w:tcW w:w="3536" w:type="dxa"/>
          </w:tcPr>
          <w:p w14:paraId="171DDAEC" w14:textId="615275B4" w:rsidR="003D6D77" w:rsidRPr="00C6261A" w:rsidRDefault="003D6D77" w:rsidP="003D6D77">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sidR="009E605C">
              <w:rPr>
                <w:rFonts w:ascii="Times New Roman" w:hAnsi="Times New Roman" w:cs="Times New Roman"/>
                <w:i/>
                <w:iCs/>
                <w:color w:val="000000"/>
                <w:sz w:val="18"/>
                <w:szCs w:val="18"/>
              </w:rPr>
              <w:t>ACC_</w:t>
            </w:r>
            <w:r w:rsidR="009E605C" w:rsidRPr="00A73C18">
              <w:rPr>
                <w:rFonts w:ascii="Times New Roman" w:hAnsi="Times New Roman" w:cs="Times New Roman"/>
                <w:i/>
                <w:iCs/>
                <w:color w:val="000000"/>
                <w:sz w:val="18"/>
                <w:szCs w:val="18"/>
              </w:rPr>
              <w:t>EXP</w:t>
            </w:r>
          </w:p>
        </w:tc>
        <w:tc>
          <w:tcPr>
            <w:tcW w:w="1843" w:type="dxa"/>
            <w:vAlign w:val="center"/>
          </w:tcPr>
          <w:p w14:paraId="6F6442E8" w14:textId="51F3F5E3" w:rsidR="003D6D77" w:rsidRPr="00C6261A" w:rsidRDefault="003D6D77" w:rsidP="003D6D77">
            <w:pPr>
              <w:jc w:val="center"/>
              <w:rPr>
                <w:rFonts w:ascii="Times New Roman" w:hAnsi="Times New Roman" w:cs="Times New Roman"/>
                <w:b/>
                <w:bCs/>
                <w:sz w:val="18"/>
                <w:szCs w:val="18"/>
              </w:rPr>
            </w:pPr>
            <w:r w:rsidRPr="00616FBA">
              <w:rPr>
                <w:rFonts w:ascii="Times New Roman" w:hAnsi="Times New Roman" w:cs="Times New Roman"/>
                <w:sz w:val="18"/>
                <w:szCs w:val="18"/>
              </w:rPr>
              <w:t>-0.134</w:t>
            </w:r>
          </w:p>
        </w:tc>
        <w:tc>
          <w:tcPr>
            <w:tcW w:w="1843" w:type="dxa"/>
            <w:vAlign w:val="center"/>
          </w:tcPr>
          <w:p w14:paraId="7467C0CE" w14:textId="2662787F"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4B5C88DC"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59B0C568" w14:textId="77777777" w:rsidTr="00CF449D">
        <w:tc>
          <w:tcPr>
            <w:tcW w:w="3536" w:type="dxa"/>
          </w:tcPr>
          <w:p w14:paraId="3C063DF6" w14:textId="77777777" w:rsidR="003D6D77" w:rsidRPr="00C6261A" w:rsidRDefault="003D6D77" w:rsidP="003D6D77">
            <w:pPr>
              <w:rPr>
                <w:rFonts w:ascii="Times New Roman" w:hAnsi="Times New Roman" w:cs="Times New Roman"/>
                <w:b/>
                <w:bCs/>
                <w:i/>
                <w:iCs/>
                <w:color w:val="000000"/>
                <w:sz w:val="18"/>
                <w:szCs w:val="18"/>
              </w:rPr>
            </w:pPr>
          </w:p>
        </w:tc>
        <w:tc>
          <w:tcPr>
            <w:tcW w:w="1843" w:type="dxa"/>
            <w:vAlign w:val="center"/>
          </w:tcPr>
          <w:p w14:paraId="5683D4AB" w14:textId="56E3CF7C" w:rsidR="003D6D77" w:rsidRPr="00C6261A" w:rsidRDefault="003D6D77" w:rsidP="003D6D77">
            <w:pPr>
              <w:jc w:val="center"/>
              <w:rPr>
                <w:rFonts w:ascii="Times New Roman" w:hAnsi="Times New Roman" w:cs="Times New Roman"/>
                <w:b/>
                <w:bCs/>
                <w:sz w:val="18"/>
                <w:szCs w:val="18"/>
              </w:rPr>
            </w:pPr>
            <w:r w:rsidRPr="00616FBA">
              <w:rPr>
                <w:rFonts w:ascii="Times New Roman" w:hAnsi="Times New Roman" w:cs="Times New Roman"/>
                <w:sz w:val="18"/>
                <w:szCs w:val="18"/>
              </w:rPr>
              <w:t>(-0.28)</w:t>
            </w:r>
          </w:p>
        </w:tc>
        <w:tc>
          <w:tcPr>
            <w:tcW w:w="1843" w:type="dxa"/>
            <w:vAlign w:val="center"/>
          </w:tcPr>
          <w:p w14:paraId="1A8276D8" w14:textId="3AA7F92B"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1A160454"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1FFA222E" w14:textId="77777777" w:rsidTr="00CF449D">
        <w:tc>
          <w:tcPr>
            <w:tcW w:w="3536" w:type="dxa"/>
          </w:tcPr>
          <w:p w14:paraId="51CA89BE" w14:textId="48B169E0" w:rsidR="003D6D77" w:rsidRPr="009E605C" w:rsidRDefault="003D6D77" w:rsidP="003D6D77">
            <w:pPr>
              <w:rPr>
                <w:rFonts w:ascii="Times New Roman" w:hAnsi="Times New Roman" w:cs="Times New Roman"/>
                <w:b/>
                <w:bCs/>
                <w:sz w:val="18"/>
                <w:szCs w:val="18"/>
              </w:rPr>
            </w:pPr>
            <w:r w:rsidRPr="009E605C">
              <w:rPr>
                <w:rFonts w:ascii="Times New Roman" w:hAnsi="Times New Roman" w:cs="Times New Roman"/>
                <w:b/>
                <w:bCs/>
                <w:i/>
                <w:iCs/>
                <w:color w:val="000000"/>
                <w:sz w:val="18"/>
                <w:szCs w:val="18"/>
              </w:rPr>
              <w:t>EXCLUSION×NARCIS×</w:t>
            </w:r>
            <w:r w:rsidR="009E605C" w:rsidRPr="009E605C">
              <w:rPr>
                <w:rFonts w:ascii="Times New Roman" w:hAnsi="Times New Roman" w:cs="Times New Roman"/>
                <w:b/>
                <w:bCs/>
                <w:i/>
                <w:iCs/>
                <w:color w:val="000000"/>
                <w:sz w:val="18"/>
                <w:szCs w:val="18"/>
              </w:rPr>
              <w:t>ACC_EXP</w:t>
            </w:r>
          </w:p>
        </w:tc>
        <w:tc>
          <w:tcPr>
            <w:tcW w:w="1843" w:type="dxa"/>
            <w:vAlign w:val="center"/>
          </w:tcPr>
          <w:p w14:paraId="62130EB8" w14:textId="066F8565" w:rsidR="003D6D77" w:rsidRPr="00C6261A" w:rsidRDefault="003D6D77" w:rsidP="003D6D77">
            <w:pPr>
              <w:jc w:val="center"/>
              <w:rPr>
                <w:rFonts w:ascii="Times New Roman" w:hAnsi="Times New Roman" w:cs="Times New Roman"/>
                <w:b/>
                <w:bCs/>
                <w:sz w:val="18"/>
                <w:szCs w:val="18"/>
              </w:rPr>
            </w:pPr>
            <w:r w:rsidRPr="00C6261A">
              <w:rPr>
                <w:rFonts w:ascii="Times New Roman" w:hAnsi="Times New Roman" w:cs="Times New Roman"/>
                <w:b/>
                <w:bCs/>
                <w:sz w:val="18"/>
                <w:szCs w:val="18"/>
              </w:rPr>
              <w:t>2.380***</w:t>
            </w:r>
          </w:p>
        </w:tc>
        <w:tc>
          <w:tcPr>
            <w:tcW w:w="1843" w:type="dxa"/>
            <w:vAlign w:val="center"/>
          </w:tcPr>
          <w:p w14:paraId="10289ABD" w14:textId="21D6C120"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00C4FBBD"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2DDDB443" w14:textId="77777777" w:rsidTr="00CF449D">
        <w:tc>
          <w:tcPr>
            <w:tcW w:w="3536" w:type="dxa"/>
          </w:tcPr>
          <w:p w14:paraId="59FE121B" w14:textId="77777777" w:rsidR="003D6D77" w:rsidRPr="00C6261A" w:rsidRDefault="003D6D77" w:rsidP="003D6D77">
            <w:pPr>
              <w:rPr>
                <w:rFonts w:ascii="Times New Roman" w:hAnsi="Times New Roman" w:cs="Times New Roman"/>
                <w:b/>
                <w:bCs/>
                <w:sz w:val="18"/>
                <w:szCs w:val="18"/>
              </w:rPr>
            </w:pPr>
          </w:p>
        </w:tc>
        <w:tc>
          <w:tcPr>
            <w:tcW w:w="1843" w:type="dxa"/>
            <w:vAlign w:val="center"/>
          </w:tcPr>
          <w:p w14:paraId="03098186" w14:textId="06ED821D" w:rsidR="003D6D77" w:rsidRPr="00C6261A" w:rsidRDefault="003D6D77" w:rsidP="003D6D77">
            <w:pPr>
              <w:jc w:val="center"/>
              <w:rPr>
                <w:rFonts w:ascii="Times New Roman" w:hAnsi="Times New Roman" w:cs="Times New Roman"/>
                <w:b/>
                <w:bCs/>
                <w:sz w:val="18"/>
                <w:szCs w:val="18"/>
              </w:rPr>
            </w:pPr>
            <w:r w:rsidRPr="00C6261A">
              <w:rPr>
                <w:rFonts w:ascii="Times New Roman" w:hAnsi="Times New Roman" w:cs="Times New Roman"/>
                <w:b/>
                <w:bCs/>
                <w:sz w:val="18"/>
                <w:szCs w:val="18"/>
              </w:rPr>
              <w:t>(2.67)</w:t>
            </w:r>
          </w:p>
        </w:tc>
        <w:tc>
          <w:tcPr>
            <w:tcW w:w="1843" w:type="dxa"/>
            <w:vAlign w:val="center"/>
          </w:tcPr>
          <w:p w14:paraId="1EBA9619" w14:textId="5AE1756F"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771CFB32"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1EE9CDDD" w14:textId="77777777" w:rsidTr="00CF449D">
        <w:tc>
          <w:tcPr>
            <w:tcW w:w="3536" w:type="dxa"/>
          </w:tcPr>
          <w:p w14:paraId="74213036" w14:textId="5CDCA180" w:rsidR="003D6D77" w:rsidRPr="00C6261A" w:rsidRDefault="003D6D77" w:rsidP="003D6D77">
            <w:pPr>
              <w:rPr>
                <w:rFonts w:ascii="Times New Roman" w:hAnsi="Times New Roman" w:cs="Times New Roman"/>
                <w:b/>
                <w:bCs/>
                <w:i/>
                <w:iCs/>
                <w:color w:val="000000"/>
                <w:sz w:val="18"/>
                <w:szCs w:val="18"/>
              </w:rPr>
            </w:pPr>
            <w:r w:rsidRPr="009103D6">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9103D6">
              <w:rPr>
                <w:rFonts w:ascii="Times New Roman" w:hAnsi="Times New Roman" w:cs="Times New Roman"/>
                <w:i/>
                <w:iCs/>
                <w:color w:val="000000"/>
                <w:sz w:val="18"/>
                <w:szCs w:val="18"/>
              </w:rPr>
              <w:t>×</w:t>
            </w:r>
            <w:r w:rsidR="009E605C">
              <w:rPr>
                <w:rFonts w:ascii="Times New Roman" w:hAnsi="Times New Roman" w:cs="Times New Roman"/>
                <w:i/>
                <w:iCs/>
                <w:color w:val="000000"/>
                <w:sz w:val="18"/>
                <w:szCs w:val="18"/>
              </w:rPr>
              <w:t>FIRM_EXP</w:t>
            </w:r>
          </w:p>
        </w:tc>
        <w:tc>
          <w:tcPr>
            <w:tcW w:w="1843" w:type="dxa"/>
            <w:vAlign w:val="center"/>
          </w:tcPr>
          <w:p w14:paraId="38437D98" w14:textId="354271B4"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1035F6BB" w14:textId="28499F18" w:rsidR="003D6D77" w:rsidRPr="00C6261A" w:rsidRDefault="003D6D77" w:rsidP="003D6D77">
            <w:pPr>
              <w:jc w:val="center"/>
              <w:rPr>
                <w:rFonts w:ascii="Times New Roman" w:hAnsi="Times New Roman" w:cs="Times New Roman"/>
                <w:b/>
                <w:bCs/>
                <w:sz w:val="18"/>
                <w:szCs w:val="18"/>
              </w:rPr>
            </w:pPr>
            <w:r w:rsidRPr="00ED2E2E">
              <w:rPr>
                <w:rFonts w:ascii="Times New Roman" w:hAnsi="Times New Roman" w:cs="Times New Roman"/>
                <w:sz w:val="18"/>
                <w:szCs w:val="18"/>
              </w:rPr>
              <w:t>-0.232**</w:t>
            </w:r>
          </w:p>
        </w:tc>
        <w:tc>
          <w:tcPr>
            <w:tcW w:w="1788" w:type="dxa"/>
            <w:vAlign w:val="center"/>
          </w:tcPr>
          <w:p w14:paraId="0147147E"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5E6F72A3" w14:textId="77777777" w:rsidTr="00CF449D">
        <w:tc>
          <w:tcPr>
            <w:tcW w:w="3536" w:type="dxa"/>
          </w:tcPr>
          <w:p w14:paraId="0A8B5196" w14:textId="77777777" w:rsidR="003D6D77" w:rsidRPr="00C6261A" w:rsidRDefault="003D6D77" w:rsidP="003D6D77">
            <w:pPr>
              <w:rPr>
                <w:rFonts w:ascii="Times New Roman" w:hAnsi="Times New Roman" w:cs="Times New Roman"/>
                <w:b/>
                <w:bCs/>
                <w:i/>
                <w:iCs/>
                <w:color w:val="000000"/>
                <w:sz w:val="18"/>
                <w:szCs w:val="18"/>
              </w:rPr>
            </w:pPr>
          </w:p>
        </w:tc>
        <w:tc>
          <w:tcPr>
            <w:tcW w:w="1843" w:type="dxa"/>
            <w:vAlign w:val="center"/>
          </w:tcPr>
          <w:p w14:paraId="1DC58C3F" w14:textId="62278C86"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3EA2172E" w14:textId="23357E55" w:rsidR="003D6D77" w:rsidRPr="00C6261A" w:rsidRDefault="003D6D77" w:rsidP="003D6D77">
            <w:pPr>
              <w:jc w:val="center"/>
              <w:rPr>
                <w:rFonts w:ascii="Times New Roman" w:hAnsi="Times New Roman" w:cs="Times New Roman"/>
                <w:b/>
                <w:bCs/>
                <w:sz w:val="18"/>
                <w:szCs w:val="18"/>
              </w:rPr>
            </w:pPr>
            <w:r w:rsidRPr="00ED2E2E">
              <w:rPr>
                <w:rFonts w:ascii="Times New Roman" w:hAnsi="Times New Roman" w:cs="Times New Roman"/>
                <w:sz w:val="18"/>
                <w:szCs w:val="18"/>
              </w:rPr>
              <w:t>(-2.35)</w:t>
            </w:r>
          </w:p>
        </w:tc>
        <w:tc>
          <w:tcPr>
            <w:tcW w:w="1788" w:type="dxa"/>
            <w:vAlign w:val="center"/>
          </w:tcPr>
          <w:p w14:paraId="6B600A13"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5E2B5FCA" w14:textId="77777777" w:rsidTr="00CF449D">
        <w:tc>
          <w:tcPr>
            <w:tcW w:w="3536" w:type="dxa"/>
          </w:tcPr>
          <w:p w14:paraId="2D593500" w14:textId="7E659BC2" w:rsidR="003D6D77" w:rsidRPr="009E605C" w:rsidRDefault="003D6D77" w:rsidP="003D6D77">
            <w:pPr>
              <w:rPr>
                <w:rFonts w:ascii="Times New Roman" w:hAnsi="Times New Roman" w:cs="Times New Roman"/>
                <w:b/>
                <w:bCs/>
                <w:sz w:val="18"/>
                <w:szCs w:val="18"/>
              </w:rPr>
            </w:pPr>
            <w:r w:rsidRPr="009E605C">
              <w:rPr>
                <w:rFonts w:ascii="Times New Roman" w:hAnsi="Times New Roman" w:cs="Times New Roman"/>
                <w:b/>
                <w:bCs/>
                <w:i/>
                <w:iCs/>
                <w:color w:val="000000"/>
                <w:sz w:val="18"/>
                <w:szCs w:val="18"/>
              </w:rPr>
              <w:t>EXCLUSION×NARCIS×</w:t>
            </w:r>
            <w:r w:rsidR="009E605C" w:rsidRPr="009E605C">
              <w:rPr>
                <w:rFonts w:ascii="Times New Roman" w:hAnsi="Times New Roman" w:cs="Times New Roman"/>
                <w:b/>
                <w:bCs/>
                <w:i/>
                <w:iCs/>
                <w:color w:val="000000"/>
                <w:sz w:val="18"/>
                <w:szCs w:val="18"/>
              </w:rPr>
              <w:t>FIRM_EXP</w:t>
            </w:r>
          </w:p>
        </w:tc>
        <w:tc>
          <w:tcPr>
            <w:tcW w:w="1843" w:type="dxa"/>
            <w:vAlign w:val="center"/>
          </w:tcPr>
          <w:p w14:paraId="5252FF7D" w14:textId="242DF64E"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55204AFB" w14:textId="1EAC5289" w:rsidR="003D6D77" w:rsidRPr="00C6261A" w:rsidRDefault="003D6D77" w:rsidP="003D6D77">
            <w:pPr>
              <w:jc w:val="center"/>
              <w:rPr>
                <w:rFonts w:ascii="Times New Roman" w:hAnsi="Times New Roman" w:cs="Times New Roman"/>
                <w:b/>
                <w:bCs/>
                <w:sz w:val="18"/>
                <w:szCs w:val="18"/>
              </w:rPr>
            </w:pPr>
            <w:r w:rsidRPr="00C6261A">
              <w:rPr>
                <w:rFonts w:ascii="Times New Roman" w:hAnsi="Times New Roman" w:cs="Times New Roman"/>
                <w:b/>
                <w:bCs/>
                <w:sz w:val="18"/>
                <w:szCs w:val="18"/>
              </w:rPr>
              <w:t>0.794***</w:t>
            </w:r>
          </w:p>
        </w:tc>
        <w:tc>
          <w:tcPr>
            <w:tcW w:w="1788" w:type="dxa"/>
            <w:vAlign w:val="center"/>
          </w:tcPr>
          <w:p w14:paraId="52E96097"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743F696E" w14:textId="77777777" w:rsidTr="00CF449D">
        <w:tc>
          <w:tcPr>
            <w:tcW w:w="3536" w:type="dxa"/>
          </w:tcPr>
          <w:p w14:paraId="4106A78B" w14:textId="77777777" w:rsidR="003D6D77" w:rsidRPr="00C6261A" w:rsidRDefault="003D6D77" w:rsidP="003D6D77">
            <w:pPr>
              <w:rPr>
                <w:rFonts w:ascii="Times New Roman" w:hAnsi="Times New Roman" w:cs="Times New Roman"/>
                <w:b/>
                <w:bCs/>
                <w:sz w:val="18"/>
                <w:szCs w:val="18"/>
              </w:rPr>
            </w:pPr>
          </w:p>
        </w:tc>
        <w:tc>
          <w:tcPr>
            <w:tcW w:w="1843" w:type="dxa"/>
            <w:vAlign w:val="center"/>
          </w:tcPr>
          <w:p w14:paraId="37564D33" w14:textId="3B434C8A"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04DC5EDE" w14:textId="217F0BB4" w:rsidR="003D6D77" w:rsidRPr="00C6261A" w:rsidRDefault="003D6D77" w:rsidP="003D6D77">
            <w:pPr>
              <w:jc w:val="center"/>
              <w:rPr>
                <w:rFonts w:ascii="Times New Roman" w:hAnsi="Times New Roman" w:cs="Times New Roman"/>
                <w:b/>
                <w:bCs/>
                <w:sz w:val="18"/>
                <w:szCs w:val="18"/>
              </w:rPr>
            </w:pPr>
            <w:r w:rsidRPr="00C6261A">
              <w:rPr>
                <w:rFonts w:ascii="Times New Roman" w:hAnsi="Times New Roman" w:cs="Times New Roman"/>
                <w:b/>
                <w:bCs/>
                <w:sz w:val="18"/>
                <w:szCs w:val="18"/>
              </w:rPr>
              <w:t>(3.42)</w:t>
            </w:r>
          </w:p>
        </w:tc>
        <w:tc>
          <w:tcPr>
            <w:tcW w:w="1788" w:type="dxa"/>
            <w:vAlign w:val="center"/>
          </w:tcPr>
          <w:p w14:paraId="15302D1D"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14A26932" w14:textId="77777777" w:rsidTr="00CF449D">
        <w:tc>
          <w:tcPr>
            <w:tcW w:w="3536" w:type="dxa"/>
          </w:tcPr>
          <w:p w14:paraId="36242A61" w14:textId="5656E17B" w:rsidR="003D6D77" w:rsidRPr="00C6261A" w:rsidRDefault="003D6D77" w:rsidP="003D6D77">
            <w:pPr>
              <w:rPr>
                <w:rFonts w:ascii="Times New Roman" w:hAnsi="Times New Roman" w:cs="Times New Roman"/>
                <w:b/>
                <w:bCs/>
                <w:i/>
                <w:iCs/>
                <w:color w:val="000000"/>
                <w:sz w:val="18"/>
                <w:szCs w:val="18"/>
              </w:rPr>
            </w:pPr>
            <w:r w:rsidRPr="00096DA1">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096DA1">
              <w:rPr>
                <w:rFonts w:ascii="Times New Roman" w:hAnsi="Times New Roman" w:cs="Times New Roman"/>
                <w:i/>
                <w:iCs/>
                <w:color w:val="000000"/>
                <w:sz w:val="18"/>
                <w:szCs w:val="18"/>
              </w:rPr>
              <w:t>×</w:t>
            </w:r>
            <w:r w:rsidR="009E605C">
              <w:rPr>
                <w:rFonts w:ascii="Times New Roman" w:hAnsi="Times New Roman" w:cs="Times New Roman"/>
                <w:i/>
                <w:iCs/>
                <w:color w:val="000000"/>
                <w:sz w:val="18"/>
                <w:szCs w:val="18"/>
              </w:rPr>
              <w:t>GOV_EXP</w:t>
            </w:r>
          </w:p>
        </w:tc>
        <w:tc>
          <w:tcPr>
            <w:tcW w:w="1843" w:type="dxa"/>
            <w:vAlign w:val="center"/>
          </w:tcPr>
          <w:p w14:paraId="247A94E5" w14:textId="3FBF23A7"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0DAEDDE0" w14:textId="0431AEB3"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08829533" w14:textId="6E6D166E" w:rsidR="003D6D77" w:rsidRPr="00C6261A" w:rsidRDefault="003D6D77" w:rsidP="003D6D77">
            <w:pPr>
              <w:jc w:val="center"/>
              <w:rPr>
                <w:rFonts w:ascii="Times New Roman" w:hAnsi="Times New Roman" w:cs="Times New Roman"/>
                <w:b/>
                <w:bCs/>
                <w:sz w:val="18"/>
                <w:szCs w:val="18"/>
              </w:rPr>
            </w:pPr>
            <w:r w:rsidRPr="00096DA1">
              <w:rPr>
                <w:rFonts w:ascii="Times New Roman" w:hAnsi="Times New Roman" w:cs="Times New Roman"/>
                <w:sz w:val="18"/>
                <w:szCs w:val="18"/>
              </w:rPr>
              <w:t>-0.0976</w:t>
            </w:r>
          </w:p>
        </w:tc>
      </w:tr>
      <w:tr w:rsidR="003D6D77" w:rsidRPr="004C7B10" w14:paraId="1C0791AD" w14:textId="77777777" w:rsidTr="00CF449D">
        <w:tc>
          <w:tcPr>
            <w:tcW w:w="3536" w:type="dxa"/>
          </w:tcPr>
          <w:p w14:paraId="35AA6853" w14:textId="77777777" w:rsidR="003D6D77" w:rsidRPr="00C6261A" w:rsidRDefault="003D6D77" w:rsidP="003D6D77">
            <w:pPr>
              <w:rPr>
                <w:rFonts w:ascii="Times New Roman" w:hAnsi="Times New Roman" w:cs="Times New Roman"/>
                <w:b/>
                <w:bCs/>
                <w:i/>
                <w:iCs/>
                <w:color w:val="000000"/>
                <w:sz w:val="18"/>
                <w:szCs w:val="18"/>
              </w:rPr>
            </w:pPr>
          </w:p>
        </w:tc>
        <w:tc>
          <w:tcPr>
            <w:tcW w:w="1843" w:type="dxa"/>
            <w:vAlign w:val="center"/>
          </w:tcPr>
          <w:p w14:paraId="657104BA" w14:textId="6652ACC5"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3BCF45D6" w14:textId="69D81D95"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19B6FCA9" w14:textId="6A02681A" w:rsidR="003D6D77" w:rsidRPr="00C6261A" w:rsidRDefault="003D6D77" w:rsidP="003D6D77">
            <w:pPr>
              <w:jc w:val="center"/>
              <w:rPr>
                <w:rFonts w:ascii="Times New Roman" w:hAnsi="Times New Roman" w:cs="Times New Roman"/>
                <w:b/>
                <w:bCs/>
                <w:sz w:val="18"/>
                <w:szCs w:val="18"/>
              </w:rPr>
            </w:pPr>
            <w:r w:rsidRPr="00096DA1">
              <w:rPr>
                <w:rFonts w:ascii="Times New Roman" w:hAnsi="Times New Roman" w:cs="Times New Roman"/>
                <w:sz w:val="18"/>
                <w:szCs w:val="18"/>
              </w:rPr>
              <w:t>(-0.50)</w:t>
            </w:r>
          </w:p>
        </w:tc>
      </w:tr>
      <w:tr w:rsidR="003D6D77" w:rsidRPr="004C7B10" w14:paraId="28226877" w14:textId="77777777" w:rsidTr="00CF449D">
        <w:tc>
          <w:tcPr>
            <w:tcW w:w="3536" w:type="dxa"/>
          </w:tcPr>
          <w:p w14:paraId="3FBC8E22" w14:textId="5E15225E" w:rsidR="003D6D77" w:rsidRPr="00C6261A" w:rsidRDefault="003D6D77" w:rsidP="003D6D77">
            <w:pPr>
              <w:rPr>
                <w:rFonts w:ascii="Times New Roman" w:hAnsi="Times New Roman" w:cs="Times New Roman"/>
                <w:b/>
                <w:bCs/>
                <w:sz w:val="18"/>
                <w:szCs w:val="18"/>
              </w:rPr>
            </w:pPr>
            <w:r w:rsidRPr="00C6261A">
              <w:rPr>
                <w:rFonts w:ascii="Times New Roman" w:hAnsi="Times New Roman" w:cs="Times New Roman"/>
                <w:b/>
                <w:bCs/>
                <w:i/>
                <w:iCs/>
                <w:color w:val="000000"/>
                <w:sz w:val="18"/>
                <w:szCs w:val="18"/>
              </w:rPr>
              <w:t>EXCLUSION×</w:t>
            </w:r>
            <w:r>
              <w:rPr>
                <w:rFonts w:ascii="Times New Roman" w:hAnsi="Times New Roman" w:cs="Times New Roman"/>
                <w:b/>
                <w:bCs/>
                <w:i/>
                <w:iCs/>
                <w:color w:val="000000"/>
                <w:sz w:val="18"/>
                <w:szCs w:val="18"/>
              </w:rPr>
              <w:t>NARCIS</w:t>
            </w:r>
            <w:r w:rsidRPr="00C6261A">
              <w:rPr>
                <w:rFonts w:ascii="Times New Roman" w:hAnsi="Times New Roman" w:cs="Times New Roman"/>
                <w:b/>
                <w:bCs/>
                <w:i/>
                <w:iCs/>
                <w:color w:val="000000"/>
                <w:sz w:val="18"/>
                <w:szCs w:val="18"/>
              </w:rPr>
              <w:t>×</w:t>
            </w:r>
            <w:r w:rsidR="009E605C" w:rsidRPr="009E605C">
              <w:rPr>
                <w:rFonts w:ascii="Times New Roman" w:hAnsi="Times New Roman" w:cs="Times New Roman"/>
                <w:b/>
                <w:bCs/>
                <w:i/>
                <w:iCs/>
                <w:color w:val="000000"/>
                <w:sz w:val="18"/>
                <w:szCs w:val="18"/>
              </w:rPr>
              <w:t>GOV_EXP</w:t>
            </w:r>
          </w:p>
        </w:tc>
        <w:tc>
          <w:tcPr>
            <w:tcW w:w="1843" w:type="dxa"/>
            <w:vAlign w:val="center"/>
          </w:tcPr>
          <w:p w14:paraId="3FA57ADB" w14:textId="53C02128"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4A66E87E" w14:textId="1AF5DC61"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68F207CE" w14:textId="77777777" w:rsidR="003D6D77" w:rsidRPr="00C6261A" w:rsidRDefault="003D6D77" w:rsidP="003D6D77">
            <w:pPr>
              <w:jc w:val="center"/>
              <w:rPr>
                <w:rFonts w:ascii="Times New Roman" w:hAnsi="Times New Roman" w:cs="Times New Roman"/>
                <w:b/>
                <w:bCs/>
                <w:sz w:val="18"/>
                <w:szCs w:val="18"/>
              </w:rPr>
            </w:pPr>
            <w:r w:rsidRPr="00C6261A">
              <w:rPr>
                <w:rFonts w:ascii="Times New Roman" w:hAnsi="Times New Roman" w:cs="Times New Roman"/>
                <w:b/>
                <w:bCs/>
                <w:sz w:val="18"/>
                <w:szCs w:val="18"/>
              </w:rPr>
              <w:t>1.229***</w:t>
            </w:r>
          </w:p>
        </w:tc>
      </w:tr>
      <w:tr w:rsidR="003D6D77" w:rsidRPr="004C7B10" w14:paraId="777FFB39" w14:textId="77777777" w:rsidTr="00CF449D">
        <w:tc>
          <w:tcPr>
            <w:tcW w:w="3536" w:type="dxa"/>
          </w:tcPr>
          <w:p w14:paraId="4B0E7605" w14:textId="77777777" w:rsidR="003D6D77" w:rsidRPr="00C6261A" w:rsidRDefault="003D6D77" w:rsidP="003D6D77">
            <w:pPr>
              <w:rPr>
                <w:rFonts w:ascii="Times New Roman" w:hAnsi="Times New Roman" w:cs="Times New Roman"/>
                <w:b/>
                <w:bCs/>
                <w:sz w:val="18"/>
                <w:szCs w:val="18"/>
              </w:rPr>
            </w:pPr>
          </w:p>
        </w:tc>
        <w:tc>
          <w:tcPr>
            <w:tcW w:w="1843" w:type="dxa"/>
            <w:vAlign w:val="center"/>
          </w:tcPr>
          <w:p w14:paraId="04D28107" w14:textId="5A22A2C3"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1AAC898A" w14:textId="4150F39B"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68253C1C" w14:textId="77777777" w:rsidR="003D6D77" w:rsidRPr="00C6261A" w:rsidRDefault="003D6D77" w:rsidP="003D6D77">
            <w:pPr>
              <w:jc w:val="center"/>
              <w:rPr>
                <w:rFonts w:ascii="Times New Roman" w:hAnsi="Times New Roman" w:cs="Times New Roman"/>
                <w:b/>
                <w:bCs/>
                <w:sz w:val="18"/>
                <w:szCs w:val="18"/>
              </w:rPr>
            </w:pPr>
            <w:r w:rsidRPr="00C6261A">
              <w:rPr>
                <w:rFonts w:ascii="Times New Roman" w:hAnsi="Times New Roman" w:cs="Times New Roman"/>
                <w:b/>
                <w:bCs/>
                <w:sz w:val="18"/>
                <w:szCs w:val="18"/>
              </w:rPr>
              <w:t>(3.52)</w:t>
            </w:r>
          </w:p>
        </w:tc>
      </w:tr>
      <w:tr w:rsidR="003D6D77" w:rsidRPr="004C7B10" w14:paraId="0822B8AB" w14:textId="77777777" w:rsidTr="00CF449D">
        <w:tc>
          <w:tcPr>
            <w:tcW w:w="3536" w:type="dxa"/>
          </w:tcPr>
          <w:p w14:paraId="47736BF4" w14:textId="7EE325EE" w:rsidR="003D6D77" w:rsidRPr="00C6261A" w:rsidRDefault="009E605C" w:rsidP="003D6D77">
            <w:pPr>
              <w:rPr>
                <w:rFonts w:ascii="Times New Roman" w:hAnsi="Times New Roman" w:cs="Times New Roman"/>
                <w:b/>
                <w:bCs/>
                <w:sz w:val="18"/>
                <w:szCs w:val="18"/>
              </w:rPr>
            </w:pPr>
            <w:r>
              <w:rPr>
                <w:rFonts w:ascii="Times New Roman" w:hAnsi="Times New Roman" w:cs="Times New Roman"/>
                <w:i/>
                <w:iCs/>
                <w:color w:val="000000"/>
                <w:sz w:val="18"/>
                <w:szCs w:val="18"/>
              </w:rPr>
              <w:t>ACC_</w:t>
            </w:r>
            <w:r w:rsidR="003D6D77" w:rsidRPr="00A73C18">
              <w:rPr>
                <w:rFonts w:ascii="Times New Roman" w:hAnsi="Times New Roman" w:cs="Times New Roman"/>
                <w:i/>
                <w:iCs/>
                <w:color w:val="000000"/>
                <w:sz w:val="18"/>
                <w:szCs w:val="18"/>
              </w:rPr>
              <w:t>EXP</w:t>
            </w:r>
          </w:p>
        </w:tc>
        <w:tc>
          <w:tcPr>
            <w:tcW w:w="1843" w:type="dxa"/>
            <w:vAlign w:val="center"/>
          </w:tcPr>
          <w:p w14:paraId="32015758" w14:textId="0B3060D5" w:rsidR="003D6D77" w:rsidRPr="00C6261A" w:rsidRDefault="003D6D77" w:rsidP="003D6D77">
            <w:pPr>
              <w:jc w:val="center"/>
              <w:rPr>
                <w:rFonts w:ascii="Times New Roman" w:hAnsi="Times New Roman" w:cs="Times New Roman"/>
                <w:b/>
                <w:bCs/>
                <w:sz w:val="18"/>
                <w:szCs w:val="18"/>
              </w:rPr>
            </w:pPr>
            <w:r w:rsidRPr="00616FBA">
              <w:rPr>
                <w:rFonts w:ascii="Times New Roman" w:hAnsi="Times New Roman" w:cs="Times New Roman"/>
                <w:sz w:val="18"/>
                <w:szCs w:val="18"/>
              </w:rPr>
              <w:t>-0.0708</w:t>
            </w:r>
          </w:p>
        </w:tc>
        <w:tc>
          <w:tcPr>
            <w:tcW w:w="1843" w:type="dxa"/>
            <w:vAlign w:val="center"/>
          </w:tcPr>
          <w:p w14:paraId="78808D6D" w14:textId="2CD20CC6"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76BE9338"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1A2F106F" w14:textId="77777777" w:rsidTr="00CF449D">
        <w:tc>
          <w:tcPr>
            <w:tcW w:w="3536" w:type="dxa"/>
          </w:tcPr>
          <w:p w14:paraId="37132C32" w14:textId="77777777" w:rsidR="003D6D77" w:rsidRPr="00C6261A" w:rsidRDefault="003D6D77" w:rsidP="003D6D77">
            <w:pPr>
              <w:rPr>
                <w:rFonts w:ascii="Times New Roman" w:hAnsi="Times New Roman" w:cs="Times New Roman"/>
                <w:b/>
                <w:bCs/>
                <w:sz w:val="18"/>
                <w:szCs w:val="18"/>
              </w:rPr>
            </w:pPr>
          </w:p>
        </w:tc>
        <w:tc>
          <w:tcPr>
            <w:tcW w:w="1843" w:type="dxa"/>
            <w:vAlign w:val="center"/>
          </w:tcPr>
          <w:p w14:paraId="75935D37" w14:textId="20CB5179" w:rsidR="003D6D77" w:rsidRPr="00C6261A" w:rsidRDefault="003D6D77" w:rsidP="003D6D77">
            <w:pPr>
              <w:jc w:val="center"/>
              <w:rPr>
                <w:rFonts w:ascii="Times New Roman" w:hAnsi="Times New Roman" w:cs="Times New Roman"/>
                <w:b/>
                <w:bCs/>
                <w:sz w:val="18"/>
                <w:szCs w:val="18"/>
              </w:rPr>
            </w:pPr>
            <w:r w:rsidRPr="00616FBA">
              <w:rPr>
                <w:rFonts w:ascii="Times New Roman" w:hAnsi="Times New Roman" w:cs="Times New Roman"/>
                <w:sz w:val="18"/>
                <w:szCs w:val="18"/>
              </w:rPr>
              <w:t>(-1.22)</w:t>
            </w:r>
          </w:p>
        </w:tc>
        <w:tc>
          <w:tcPr>
            <w:tcW w:w="1843" w:type="dxa"/>
            <w:vAlign w:val="center"/>
          </w:tcPr>
          <w:p w14:paraId="316C0C21" w14:textId="2CF20981"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191A1F4A"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3C804A1C" w14:textId="77777777" w:rsidTr="00CF449D">
        <w:tc>
          <w:tcPr>
            <w:tcW w:w="3536" w:type="dxa"/>
          </w:tcPr>
          <w:p w14:paraId="31A39A57" w14:textId="402D8BA7" w:rsidR="003D6D77" w:rsidRPr="00C6261A" w:rsidRDefault="009E605C" w:rsidP="003D6D77">
            <w:pPr>
              <w:rPr>
                <w:rFonts w:ascii="Times New Roman" w:hAnsi="Times New Roman" w:cs="Times New Roman"/>
                <w:b/>
                <w:bCs/>
                <w:sz w:val="18"/>
                <w:szCs w:val="18"/>
              </w:rPr>
            </w:pPr>
            <w:r>
              <w:rPr>
                <w:rFonts w:ascii="Times New Roman" w:hAnsi="Times New Roman" w:cs="Times New Roman"/>
                <w:i/>
                <w:iCs/>
                <w:color w:val="000000"/>
                <w:sz w:val="18"/>
                <w:szCs w:val="18"/>
              </w:rPr>
              <w:t>FIRM_EXP</w:t>
            </w:r>
          </w:p>
        </w:tc>
        <w:tc>
          <w:tcPr>
            <w:tcW w:w="1843" w:type="dxa"/>
            <w:vAlign w:val="center"/>
          </w:tcPr>
          <w:p w14:paraId="6C64DCA3" w14:textId="21DB2B40"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74713BAB" w14:textId="3B7A4382" w:rsidR="003D6D77" w:rsidRPr="00C6261A" w:rsidRDefault="003D6D77" w:rsidP="003D6D77">
            <w:pPr>
              <w:jc w:val="center"/>
              <w:rPr>
                <w:rFonts w:ascii="Times New Roman" w:hAnsi="Times New Roman" w:cs="Times New Roman"/>
                <w:b/>
                <w:bCs/>
                <w:sz w:val="18"/>
                <w:szCs w:val="18"/>
              </w:rPr>
            </w:pPr>
            <w:r w:rsidRPr="00ED2E2E">
              <w:rPr>
                <w:rFonts w:ascii="Times New Roman" w:hAnsi="Times New Roman" w:cs="Times New Roman"/>
                <w:sz w:val="18"/>
                <w:szCs w:val="18"/>
              </w:rPr>
              <w:t>0.0152</w:t>
            </w:r>
          </w:p>
        </w:tc>
        <w:tc>
          <w:tcPr>
            <w:tcW w:w="1788" w:type="dxa"/>
            <w:vAlign w:val="center"/>
          </w:tcPr>
          <w:p w14:paraId="370B0309"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119520EE" w14:textId="77777777" w:rsidTr="00CF449D">
        <w:tc>
          <w:tcPr>
            <w:tcW w:w="3536" w:type="dxa"/>
          </w:tcPr>
          <w:p w14:paraId="20A7E5D9" w14:textId="77777777" w:rsidR="003D6D77" w:rsidRPr="00C6261A" w:rsidRDefault="003D6D77" w:rsidP="003D6D77">
            <w:pPr>
              <w:rPr>
                <w:rFonts w:ascii="Times New Roman" w:hAnsi="Times New Roman" w:cs="Times New Roman"/>
                <w:b/>
                <w:bCs/>
                <w:sz w:val="18"/>
                <w:szCs w:val="18"/>
              </w:rPr>
            </w:pPr>
          </w:p>
        </w:tc>
        <w:tc>
          <w:tcPr>
            <w:tcW w:w="1843" w:type="dxa"/>
            <w:vAlign w:val="center"/>
          </w:tcPr>
          <w:p w14:paraId="642968DB" w14:textId="15BA1B5D"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23A88E26" w14:textId="5DBF0B19" w:rsidR="003D6D77" w:rsidRPr="00C6261A" w:rsidRDefault="003D6D77" w:rsidP="003D6D77">
            <w:pPr>
              <w:jc w:val="center"/>
              <w:rPr>
                <w:rFonts w:ascii="Times New Roman" w:hAnsi="Times New Roman" w:cs="Times New Roman"/>
                <w:b/>
                <w:bCs/>
                <w:sz w:val="18"/>
                <w:szCs w:val="18"/>
              </w:rPr>
            </w:pPr>
            <w:r w:rsidRPr="00ED2E2E">
              <w:rPr>
                <w:rFonts w:ascii="Times New Roman" w:hAnsi="Times New Roman" w:cs="Times New Roman"/>
                <w:sz w:val="18"/>
                <w:szCs w:val="18"/>
              </w:rPr>
              <w:t>(1.18)</w:t>
            </w:r>
          </w:p>
        </w:tc>
        <w:tc>
          <w:tcPr>
            <w:tcW w:w="1788" w:type="dxa"/>
            <w:vAlign w:val="center"/>
          </w:tcPr>
          <w:p w14:paraId="1462138F" w14:textId="77777777" w:rsidR="003D6D77" w:rsidRPr="00C6261A" w:rsidRDefault="003D6D77" w:rsidP="003D6D77">
            <w:pPr>
              <w:jc w:val="center"/>
              <w:rPr>
                <w:rFonts w:ascii="Times New Roman" w:hAnsi="Times New Roman" w:cs="Times New Roman"/>
                <w:b/>
                <w:bCs/>
                <w:sz w:val="18"/>
                <w:szCs w:val="18"/>
              </w:rPr>
            </w:pPr>
          </w:p>
        </w:tc>
      </w:tr>
      <w:tr w:rsidR="003D6D77" w:rsidRPr="004C7B10" w14:paraId="38C20628" w14:textId="77777777" w:rsidTr="00CF449D">
        <w:tc>
          <w:tcPr>
            <w:tcW w:w="3536" w:type="dxa"/>
          </w:tcPr>
          <w:p w14:paraId="783D2430" w14:textId="62504B1C" w:rsidR="003D6D77" w:rsidRPr="00C6261A" w:rsidRDefault="003D6D77" w:rsidP="003D6D77">
            <w:pPr>
              <w:rPr>
                <w:rFonts w:ascii="Times New Roman" w:hAnsi="Times New Roman" w:cs="Times New Roman"/>
                <w:b/>
                <w:bCs/>
                <w:sz w:val="18"/>
                <w:szCs w:val="18"/>
              </w:rPr>
            </w:pPr>
            <w:r>
              <w:rPr>
                <w:rFonts w:ascii="Times New Roman" w:hAnsi="Times New Roman" w:cs="Times New Roman"/>
                <w:i/>
                <w:iCs/>
                <w:color w:val="000000"/>
                <w:sz w:val="18"/>
                <w:szCs w:val="18"/>
              </w:rPr>
              <w:t>GOV</w:t>
            </w:r>
            <w:r w:rsidR="009E605C">
              <w:rPr>
                <w:rFonts w:ascii="Times New Roman" w:hAnsi="Times New Roman" w:cs="Times New Roman"/>
                <w:i/>
                <w:iCs/>
                <w:color w:val="000000"/>
                <w:sz w:val="18"/>
                <w:szCs w:val="18"/>
              </w:rPr>
              <w:t>_EXP</w:t>
            </w:r>
          </w:p>
        </w:tc>
        <w:tc>
          <w:tcPr>
            <w:tcW w:w="1843" w:type="dxa"/>
            <w:vAlign w:val="center"/>
          </w:tcPr>
          <w:p w14:paraId="5CA24749" w14:textId="580BA643"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5895B37B" w14:textId="0EE9D984"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0213481C" w14:textId="18AB9F8A" w:rsidR="003D6D77" w:rsidRPr="00C6261A" w:rsidRDefault="003D6D77" w:rsidP="003D6D77">
            <w:pPr>
              <w:jc w:val="center"/>
              <w:rPr>
                <w:rFonts w:ascii="Times New Roman" w:hAnsi="Times New Roman" w:cs="Times New Roman"/>
                <w:b/>
                <w:bCs/>
                <w:sz w:val="18"/>
                <w:szCs w:val="18"/>
              </w:rPr>
            </w:pPr>
            <w:r w:rsidRPr="00096DA1">
              <w:rPr>
                <w:rFonts w:ascii="Times New Roman" w:hAnsi="Times New Roman" w:cs="Times New Roman"/>
                <w:sz w:val="18"/>
                <w:szCs w:val="18"/>
              </w:rPr>
              <w:t>0.0107</w:t>
            </w:r>
          </w:p>
        </w:tc>
      </w:tr>
      <w:tr w:rsidR="003D6D77" w:rsidRPr="004C7B10" w14:paraId="046E8B4B" w14:textId="77777777" w:rsidTr="00CF449D">
        <w:tc>
          <w:tcPr>
            <w:tcW w:w="3536" w:type="dxa"/>
          </w:tcPr>
          <w:p w14:paraId="0672F7EA" w14:textId="77777777" w:rsidR="003D6D77" w:rsidRPr="00C6261A" w:rsidRDefault="003D6D77" w:rsidP="003D6D77">
            <w:pPr>
              <w:rPr>
                <w:rFonts w:ascii="Times New Roman" w:hAnsi="Times New Roman" w:cs="Times New Roman"/>
                <w:b/>
                <w:bCs/>
                <w:sz w:val="18"/>
                <w:szCs w:val="18"/>
              </w:rPr>
            </w:pPr>
          </w:p>
        </w:tc>
        <w:tc>
          <w:tcPr>
            <w:tcW w:w="1843" w:type="dxa"/>
            <w:vAlign w:val="center"/>
          </w:tcPr>
          <w:p w14:paraId="039D8C27" w14:textId="4E1CF13A" w:rsidR="003D6D77" w:rsidRPr="00C6261A" w:rsidRDefault="003D6D77" w:rsidP="003D6D77">
            <w:pPr>
              <w:jc w:val="center"/>
              <w:rPr>
                <w:rFonts w:ascii="Times New Roman" w:hAnsi="Times New Roman" w:cs="Times New Roman"/>
                <w:b/>
                <w:bCs/>
                <w:sz w:val="18"/>
                <w:szCs w:val="18"/>
              </w:rPr>
            </w:pPr>
          </w:p>
        </w:tc>
        <w:tc>
          <w:tcPr>
            <w:tcW w:w="1843" w:type="dxa"/>
            <w:vAlign w:val="center"/>
          </w:tcPr>
          <w:p w14:paraId="4E1653DD" w14:textId="25C88897" w:rsidR="003D6D77" w:rsidRPr="00C6261A" w:rsidRDefault="003D6D77" w:rsidP="003D6D77">
            <w:pPr>
              <w:jc w:val="center"/>
              <w:rPr>
                <w:rFonts w:ascii="Times New Roman" w:hAnsi="Times New Roman" w:cs="Times New Roman"/>
                <w:b/>
                <w:bCs/>
                <w:sz w:val="18"/>
                <w:szCs w:val="18"/>
              </w:rPr>
            </w:pPr>
          </w:p>
        </w:tc>
        <w:tc>
          <w:tcPr>
            <w:tcW w:w="1788" w:type="dxa"/>
            <w:vAlign w:val="center"/>
          </w:tcPr>
          <w:p w14:paraId="499C18C1" w14:textId="0B142609" w:rsidR="003D6D77" w:rsidRPr="00C6261A" w:rsidRDefault="003D6D77" w:rsidP="003D6D77">
            <w:pPr>
              <w:jc w:val="center"/>
              <w:rPr>
                <w:rFonts w:ascii="Times New Roman" w:hAnsi="Times New Roman" w:cs="Times New Roman"/>
                <w:b/>
                <w:bCs/>
                <w:sz w:val="18"/>
                <w:szCs w:val="18"/>
              </w:rPr>
            </w:pPr>
            <w:r w:rsidRPr="00096DA1">
              <w:rPr>
                <w:rFonts w:ascii="Times New Roman" w:hAnsi="Times New Roman" w:cs="Times New Roman"/>
                <w:sz w:val="18"/>
                <w:szCs w:val="18"/>
              </w:rPr>
              <w:t>(0.50)</w:t>
            </w:r>
          </w:p>
        </w:tc>
      </w:tr>
      <w:tr w:rsidR="003D6D77" w:rsidRPr="004C7B10" w14:paraId="6221F9CF" w14:textId="77777777" w:rsidTr="00CF449D">
        <w:tc>
          <w:tcPr>
            <w:tcW w:w="3536" w:type="dxa"/>
          </w:tcPr>
          <w:p w14:paraId="03D5BFFC" w14:textId="2D168390" w:rsidR="003D6D77" w:rsidRPr="004C7B10" w:rsidRDefault="003D6D77" w:rsidP="003D6D77">
            <w:pPr>
              <w:rPr>
                <w:rFonts w:ascii="Times New Roman" w:hAnsi="Times New Roman" w:cs="Times New Roman"/>
                <w:sz w:val="18"/>
                <w:szCs w:val="18"/>
              </w:rPr>
            </w:pPr>
            <w:r>
              <w:rPr>
                <w:rFonts w:asciiTheme="majorBidi" w:hAnsiTheme="majorBidi" w:cstheme="majorBidi"/>
                <w:i/>
                <w:iCs/>
                <w:color w:val="000000" w:themeColor="text1"/>
                <w:sz w:val="18"/>
                <w:szCs w:val="18"/>
              </w:rPr>
              <w:t xml:space="preserve">Controls </w:t>
            </w:r>
          </w:p>
        </w:tc>
        <w:tc>
          <w:tcPr>
            <w:tcW w:w="1843" w:type="dxa"/>
            <w:vAlign w:val="center"/>
          </w:tcPr>
          <w:p w14:paraId="3A32C6D7" w14:textId="0F6006AA"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843" w:type="dxa"/>
            <w:vAlign w:val="center"/>
          </w:tcPr>
          <w:p w14:paraId="49030AF5" w14:textId="3ED66482"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788" w:type="dxa"/>
            <w:vAlign w:val="center"/>
          </w:tcPr>
          <w:p w14:paraId="14C84594" w14:textId="77777777"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r>
      <w:tr w:rsidR="003D6D77" w:rsidRPr="004C7B10" w14:paraId="192B25F5" w14:textId="77777777" w:rsidTr="00CF449D">
        <w:tc>
          <w:tcPr>
            <w:tcW w:w="3536" w:type="dxa"/>
          </w:tcPr>
          <w:p w14:paraId="4C795922" w14:textId="53C1E9F4" w:rsidR="003D6D77" w:rsidRPr="004C7B10" w:rsidRDefault="003D6D77" w:rsidP="003D6D77">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Industry fixed</w:t>
            </w:r>
            <w:r>
              <w:rPr>
                <w:rFonts w:asciiTheme="majorBidi" w:hAnsiTheme="majorBidi" w:cstheme="majorBidi"/>
                <w:i/>
                <w:iCs/>
                <w:color w:val="000000" w:themeColor="text1"/>
                <w:sz w:val="18"/>
                <w:szCs w:val="18"/>
              </w:rPr>
              <w:t xml:space="preserve"> </w:t>
            </w:r>
            <w:r w:rsidRPr="00BC7D29">
              <w:rPr>
                <w:rFonts w:asciiTheme="majorBidi" w:hAnsiTheme="majorBidi" w:cstheme="majorBidi"/>
                <w:i/>
                <w:iCs/>
                <w:color w:val="000000" w:themeColor="text1"/>
                <w:sz w:val="18"/>
                <w:szCs w:val="18"/>
              </w:rPr>
              <w:t>effect</w:t>
            </w:r>
          </w:p>
        </w:tc>
        <w:tc>
          <w:tcPr>
            <w:tcW w:w="1843" w:type="dxa"/>
            <w:vAlign w:val="center"/>
          </w:tcPr>
          <w:p w14:paraId="665D4C82" w14:textId="12583ED6"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843" w:type="dxa"/>
            <w:vAlign w:val="center"/>
          </w:tcPr>
          <w:p w14:paraId="244D0B4B" w14:textId="74D7CAC9"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788" w:type="dxa"/>
            <w:vAlign w:val="center"/>
          </w:tcPr>
          <w:p w14:paraId="3AB6FD96" w14:textId="77777777"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r>
      <w:tr w:rsidR="003D6D77" w:rsidRPr="004C7B10" w14:paraId="73929DE2" w14:textId="77777777" w:rsidTr="00CF449D">
        <w:tc>
          <w:tcPr>
            <w:tcW w:w="3536" w:type="dxa"/>
          </w:tcPr>
          <w:p w14:paraId="275BDFE7" w14:textId="513909C9" w:rsidR="003D6D77" w:rsidRPr="004C7B10" w:rsidRDefault="003D6D77" w:rsidP="003D6D77">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Year fixed</w:t>
            </w:r>
            <w:r>
              <w:rPr>
                <w:rFonts w:asciiTheme="majorBidi" w:hAnsiTheme="majorBidi" w:cstheme="majorBidi"/>
                <w:i/>
                <w:iCs/>
                <w:color w:val="000000" w:themeColor="text1"/>
                <w:sz w:val="18"/>
                <w:szCs w:val="18"/>
              </w:rPr>
              <w:t xml:space="preserve"> </w:t>
            </w:r>
            <w:r w:rsidRPr="00BC7D29">
              <w:rPr>
                <w:rFonts w:asciiTheme="majorBidi" w:hAnsiTheme="majorBidi" w:cstheme="majorBidi"/>
                <w:i/>
                <w:iCs/>
                <w:color w:val="000000" w:themeColor="text1"/>
                <w:sz w:val="18"/>
                <w:szCs w:val="18"/>
              </w:rPr>
              <w:t>effect</w:t>
            </w:r>
          </w:p>
        </w:tc>
        <w:tc>
          <w:tcPr>
            <w:tcW w:w="1843" w:type="dxa"/>
            <w:vAlign w:val="center"/>
          </w:tcPr>
          <w:p w14:paraId="0AA967BB" w14:textId="23CE89AC"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843" w:type="dxa"/>
            <w:vAlign w:val="center"/>
          </w:tcPr>
          <w:p w14:paraId="1FFD1700" w14:textId="7C7AADB1"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1788" w:type="dxa"/>
            <w:vAlign w:val="center"/>
          </w:tcPr>
          <w:p w14:paraId="4B6818F7" w14:textId="77777777" w:rsidR="003D6D77" w:rsidRPr="004C7B10" w:rsidRDefault="003D6D77" w:rsidP="003D6D77">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r>
      <w:tr w:rsidR="003D6D77" w:rsidRPr="004C7B10" w14:paraId="24C6F7FD" w14:textId="77777777" w:rsidTr="00CF449D">
        <w:tc>
          <w:tcPr>
            <w:tcW w:w="3536" w:type="dxa"/>
          </w:tcPr>
          <w:p w14:paraId="5ABFE55B" w14:textId="14393D30" w:rsidR="003D6D77" w:rsidRPr="004C7B10" w:rsidRDefault="003D6D77" w:rsidP="003D6D77">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N</w:t>
            </w:r>
          </w:p>
        </w:tc>
        <w:tc>
          <w:tcPr>
            <w:tcW w:w="1843" w:type="dxa"/>
            <w:vAlign w:val="center"/>
          </w:tcPr>
          <w:p w14:paraId="0ECEB073" w14:textId="7FD803CB" w:rsidR="003D6D77" w:rsidRPr="004C7B10" w:rsidRDefault="003D6D77" w:rsidP="003D6D77">
            <w:pPr>
              <w:jc w:val="center"/>
              <w:rPr>
                <w:rFonts w:ascii="Times New Roman" w:hAnsi="Times New Roman" w:cs="Times New Roman"/>
                <w:sz w:val="18"/>
                <w:szCs w:val="18"/>
              </w:rPr>
            </w:pPr>
            <w:r w:rsidRPr="00616FBA">
              <w:rPr>
                <w:rFonts w:ascii="Times New Roman" w:hAnsi="Times New Roman" w:cs="Times New Roman"/>
                <w:sz w:val="18"/>
                <w:szCs w:val="18"/>
              </w:rPr>
              <w:t>52</w:t>
            </w:r>
            <w:r>
              <w:rPr>
                <w:rFonts w:ascii="Times New Roman" w:hAnsi="Times New Roman" w:cs="Times New Roman"/>
                <w:sz w:val="18"/>
                <w:szCs w:val="18"/>
              </w:rPr>
              <w:t>6</w:t>
            </w:r>
          </w:p>
        </w:tc>
        <w:tc>
          <w:tcPr>
            <w:tcW w:w="1843" w:type="dxa"/>
            <w:vAlign w:val="center"/>
          </w:tcPr>
          <w:p w14:paraId="2A53DDD5" w14:textId="006D1EA2" w:rsidR="003D6D77" w:rsidRPr="004C7B10" w:rsidRDefault="003D6D77" w:rsidP="003D6D77">
            <w:pPr>
              <w:jc w:val="center"/>
              <w:rPr>
                <w:rFonts w:ascii="Times New Roman" w:hAnsi="Times New Roman" w:cs="Times New Roman"/>
                <w:sz w:val="18"/>
                <w:szCs w:val="18"/>
              </w:rPr>
            </w:pPr>
            <w:r w:rsidRPr="00ED2E2E">
              <w:rPr>
                <w:rFonts w:ascii="Times New Roman" w:hAnsi="Times New Roman" w:cs="Times New Roman"/>
                <w:sz w:val="18"/>
                <w:szCs w:val="18"/>
              </w:rPr>
              <w:t>52</w:t>
            </w:r>
            <w:r>
              <w:rPr>
                <w:rFonts w:ascii="Times New Roman" w:hAnsi="Times New Roman" w:cs="Times New Roman"/>
                <w:sz w:val="18"/>
                <w:szCs w:val="18"/>
              </w:rPr>
              <w:t>6</w:t>
            </w:r>
          </w:p>
        </w:tc>
        <w:tc>
          <w:tcPr>
            <w:tcW w:w="1788" w:type="dxa"/>
            <w:vAlign w:val="center"/>
          </w:tcPr>
          <w:p w14:paraId="6E71F4BD" w14:textId="77777777" w:rsidR="003D6D77" w:rsidRPr="004C7B10" w:rsidRDefault="003D6D77" w:rsidP="003D6D77">
            <w:pPr>
              <w:jc w:val="center"/>
              <w:rPr>
                <w:rFonts w:ascii="Times New Roman" w:hAnsi="Times New Roman" w:cs="Times New Roman"/>
                <w:sz w:val="18"/>
                <w:szCs w:val="18"/>
              </w:rPr>
            </w:pPr>
            <w:r w:rsidRPr="00096DA1">
              <w:rPr>
                <w:rFonts w:ascii="Times New Roman" w:hAnsi="Times New Roman" w:cs="Times New Roman"/>
                <w:sz w:val="18"/>
                <w:szCs w:val="18"/>
              </w:rPr>
              <w:t>52</w:t>
            </w:r>
            <w:r>
              <w:rPr>
                <w:rFonts w:ascii="Times New Roman" w:hAnsi="Times New Roman" w:cs="Times New Roman"/>
                <w:sz w:val="18"/>
                <w:szCs w:val="18"/>
              </w:rPr>
              <w:t>6</w:t>
            </w:r>
          </w:p>
        </w:tc>
      </w:tr>
      <w:tr w:rsidR="003D6D77" w:rsidRPr="004C7B10" w14:paraId="3B759528" w14:textId="77777777" w:rsidTr="00CF449D">
        <w:tc>
          <w:tcPr>
            <w:tcW w:w="3536" w:type="dxa"/>
            <w:tcBorders>
              <w:bottom w:val="single" w:sz="6" w:space="0" w:color="auto"/>
            </w:tcBorders>
          </w:tcPr>
          <w:p w14:paraId="00246C2C" w14:textId="72ED13C1" w:rsidR="003D6D77" w:rsidRPr="004C7B10" w:rsidRDefault="003D6D77" w:rsidP="003D6D77">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Adjusted R</w:t>
            </w:r>
            <w:r w:rsidRPr="00BC7D29">
              <w:rPr>
                <w:rFonts w:asciiTheme="majorBidi" w:hAnsiTheme="majorBidi" w:cstheme="majorBidi"/>
                <w:i/>
                <w:iCs/>
                <w:color w:val="000000" w:themeColor="text1"/>
                <w:sz w:val="18"/>
                <w:szCs w:val="18"/>
                <w:vertAlign w:val="superscript"/>
              </w:rPr>
              <w:t>2</w:t>
            </w:r>
          </w:p>
        </w:tc>
        <w:tc>
          <w:tcPr>
            <w:tcW w:w="1843" w:type="dxa"/>
            <w:tcBorders>
              <w:bottom w:val="single" w:sz="6" w:space="0" w:color="auto"/>
            </w:tcBorders>
            <w:vAlign w:val="center"/>
          </w:tcPr>
          <w:p w14:paraId="10567D7F" w14:textId="3D717D5D" w:rsidR="003D6D77" w:rsidRPr="004C7B10" w:rsidRDefault="003D6D77" w:rsidP="003D6D77">
            <w:pPr>
              <w:jc w:val="center"/>
              <w:rPr>
                <w:rFonts w:ascii="Times New Roman" w:hAnsi="Times New Roman" w:cs="Times New Roman"/>
                <w:sz w:val="18"/>
                <w:szCs w:val="18"/>
              </w:rPr>
            </w:pPr>
            <w:r w:rsidRPr="004775DC">
              <w:rPr>
                <w:rFonts w:ascii="Times New Roman" w:hAnsi="Times New Roman" w:cs="Times New Roman"/>
                <w:sz w:val="18"/>
                <w:szCs w:val="18"/>
              </w:rPr>
              <w:t>0.67</w:t>
            </w:r>
            <w:r>
              <w:rPr>
                <w:rFonts w:ascii="Times New Roman" w:hAnsi="Times New Roman" w:cs="Times New Roman"/>
                <w:sz w:val="18"/>
                <w:szCs w:val="18"/>
              </w:rPr>
              <w:t>6</w:t>
            </w:r>
          </w:p>
        </w:tc>
        <w:tc>
          <w:tcPr>
            <w:tcW w:w="1843" w:type="dxa"/>
            <w:tcBorders>
              <w:bottom w:val="single" w:sz="6" w:space="0" w:color="auto"/>
            </w:tcBorders>
            <w:vAlign w:val="center"/>
          </w:tcPr>
          <w:p w14:paraId="61193CBD" w14:textId="3DAC64B3" w:rsidR="003D6D77" w:rsidRPr="004C7B10" w:rsidRDefault="003D6D77" w:rsidP="003D6D77">
            <w:pPr>
              <w:jc w:val="center"/>
              <w:rPr>
                <w:rFonts w:ascii="Times New Roman" w:hAnsi="Times New Roman" w:cs="Times New Roman"/>
                <w:sz w:val="18"/>
                <w:szCs w:val="18"/>
              </w:rPr>
            </w:pPr>
            <w:r w:rsidRPr="00ED2E2E">
              <w:rPr>
                <w:rFonts w:ascii="Times New Roman" w:hAnsi="Times New Roman" w:cs="Times New Roman"/>
                <w:sz w:val="18"/>
                <w:szCs w:val="18"/>
              </w:rPr>
              <w:t>0.62</w:t>
            </w:r>
            <w:r>
              <w:rPr>
                <w:rFonts w:ascii="Times New Roman" w:hAnsi="Times New Roman" w:cs="Times New Roman"/>
                <w:sz w:val="18"/>
                <w:szCs w:val="18"/>
              </w:rPr>
              <w:t>1</w:t>
            </w:r>
          </w:p>
        </w:tc>
        <w:tc>
          <w:tcPr>
            <w:tcW w:w="1788" w:type="dxa"/>
            <w:tcBorders>
              <w:bottom w:val="single" w:sz="6" w:space="0" w:color="auto"/>
            </w:tcBorders>
            <w:vAlign w:val="center"/>
          </w:tcPr>
          <w:p w14:paraId="203C116F" w14:textId="77777777" w:rsidR="003D6D77" w:rsidRPr="004C7B10" w:rsidRDefault="003D6D77" w:rsidP="003D6D77">
            <w:pPr>
              <w:jc w:val="center"/>
              <w:rPr>
                <w:rFonts w:ascii="Times New Roman" w:hAnsi="Times New Roman" w:cs="Times New Roman"/>
                <w:sz w:val="18"/>
                <w:szCs w:val="18"/>
              </w:rPr>
            </w:pPr>
            <w:r w:rsidRPr="00096DA1">
              <w:rPr>
                <w:rFonts w:ascii="Times New Roman" w:hAnsi="Times New Roman" w:cs="Times New Roman"/>
                <w:sz w:val="18"/>
                <w:szCs w:val="18"/>
              </w:rPr>
              <w:t>0.679</w:t>
            </w:r>
          </w:p>
        </w:tc>
      </w:tr>
      <w:tr w:rsidR="003D6D77" w:rsidRPr="004C7B10" w14:paraId="67FFF00B" w14:textId="77777777" w:rsidTr="00CF449D">
        <w:tc>
          <w:tcPr>
            <w:tcW w:w="9010" w:type="dxa"/>
            <w:gridSpan w:val="4"/>
          </w:tcPr>
          <w:p w14:paraId="28E80476" w14:textId="0030D597" w:rsidR="003D6D77" w:rsidRPr="004C7B10" w:rsidRDefault="003D6D77" w:rsidP="003D6D77">
            <w:pPr>
              <w:rPr>
                <w:rFonts w:ascii="Times New Roman" w:hAnsi="Times New Roman" w:cs="Times New Roman"/>
                <w:sz w:val="18"/>
                <w:szCs w:val="18"/>
              </w:rPr>
            </w:pPr>
            <w:r w:rsidRPr="007F6189">
              <w:rPr>
                <w:rFonts w:ascii="Times New Roman" w:hAnsi="Times New Roman" w:cs="Times New Roman"/>
                <w:color w:val="000000"/>
                <w:sz w:val="20"/>
                <w:szCs w:val="20"/>
              </w:rPr>
              <w:t xml:space="preserve">Notes: This table presents the results which test the role of AC chair accounting expertise, tenure and outside directorships in shaping the association between AC chair narcissism and the quality of non-IFRS disclosure. The dependent variable in column (1) – (3) is </w:t>
            </w:r>
            <w:r w:rsidRPr="007F6189">
              <w:rPr>
                <w:rFonts w:ascii="Times New Roman" w:hAnsi="Times New Roman" w:cs="Times New Roman"/>
                <w:i/>
                <w:iCs/>
                <w:color w:val="000000"/>
                <w:sz w:val="20"/>
                <w:szCs w:val="20"/>
              </w:rPr>
              <w:t>IFRSEPS</w:t>
            </w:r>
            <w:r w:rsidRPr="007F6189">
              <w:rPr>
                <w:rFonts w:ascii="Times New Roman" w:hAnsi="Times New Roman" w:cs="Times New Roman"/>
                <w:i/>
                <w:iCs/>
                <w:color w:val="000000"/>
                <w:sz w:val="20"/>
                <w:szCs w:val="20"/>
                <w:vertAlign w:val="subscript"/>
              </w:rPr>
              <w:t>t+1</w:t>
            </w:r>
            <w:r w:rsidRPr="007F6189">
              <w:rPr>
                <w:rFonts w:ascii="Times New Roman" w:hAnsi="Times New Roman" w:cs="Times New Roman"/>
                <w:color w:val="000000"/>
                <w:sz w:val="20"/>
                <w:szCs w:val="20"/>
              </w:rPr>
              <w:t xml:space="preserve">. The coefficients of interest are shown in bold. The </w:t>
            </w:r>
            <w:r w:rsidRPr="007F6189">
              <w:rPr>
                <w:rFonts w:ascii="Times New Roman" w:hAnsi="Times New Roman" w:cs="Times New Roman"/>
                <w:color w:val="000000"/>
                <w:sz w:val="20"/>
              </w:rPr>
              <w:t xml:space="preserve">t-statistics are reported in parentheses. </w:t>
            </w:r>
            <w:r w:rsidRPr="007F6189">
              <w:rPr>
                <w:rFonts w:ascii="Times New Roman" w:hAnsi="Times New Roman" w:cs="Times New Roman"/>
                <w:color w:val="000000"/>
                <w:sz w:val="20"/>
                <w:szCs w:val="20"/>
              </w:rPr>
              <w:t xml:space="preserve">Control variables are omitted for brevity. *, **, and *** indicate statistical significance at the 10%, 5%, and 1% levels, respectively. All continuous variables are </w:t>
            </w:r>
            <w:proofErr w:type="spellStart"/>
            <w:r w:rsidRPr="007F6189">
              <w:rPr>
                <w:rFonts w:ascii="Times New Roman" w:hAnsi="Times New Roman" w:cs="Times New Roman"/>
                <w:color w:val="000000"/>
                <w:sz w:val="20"/>
                <w:szCs w:val="20"/>
              </w:rPr>
              <w:t>winsorized</w:t>
            </w:r>
            <w:proofErr w:type="spellEnd"/>
            <w:r w:rsidRPr="007F6189">
              <w:rPr>
                <w:rFonts w:ascii="Times New Roman" w:hAnsi="Times New Roman" w:cs="Times New Roman"/>
                <w:color w:val="000000"/>
                <w:sz w:val="20"/>
                <w:szCs w:val="20"/>
              </w:rPr>
              <w:t xml:space="preserve"> at 1% and 99% levels. Standard errors are clustered by firm. Variables are defined in Appendix A.</w:t>
            </w:r>
          </w:p>
        </w:tc>
      </w:tr>
    </w:tbl>
    <w:p w14:paraId="5E551BC7" w14:textId="77777777" w:rsidR="005F0E39" w:rsidRDefault="005F0E39" w:rsidP="0091178F"/>
    <w:p w14:paraId="34D52972" w14:textId="4BD67EF0" w:rsidR="005F0E39" w:rsidRDefault="005F0E39" w:rsidP="0091178F"/>
    <w:p w14:paraId="7ED0A03D" w14:textId="77777777" w:rsidR="005F0E39" w:rsidRDefault="005F0E39">
      <w:pPr>
        <w:widowControl/>
        <w:spacing w:after="160" w:line="259" w:lineRule="auto"/>
        <w:jc w:val="left"/>
      </w:pPr>
      <w:r>
        <w:br w:type="page"/>
      </w:r>
    </w:p>
    <w:p w14:paraId="25F2B5D6" w14:textId="77777777" w:rsidR="005F0E39" w:rsidRDefault="005F0E39" w:rsidP="0091178F">
      <w:pPr>
        <w:sectPr w:rsidR="005F0E39" w:rsidSect="000F0E74">
          <w:pgSz w:w="11906" w:h="16838"/>
          <w:pgMar w:top="1440" w:right="1440" w:bottom="1440" w:left="1440" w:header="708" w:footer="708" w:gutter="0"/>
          <w:cols w:space="708"/>
          <w:docGrid w:linePitch="360"/>
        </w:sectPr>
      </w:pPr>
    </w:p>
    <w:p w14:paraId="587CEE80" w14:textId="77777777" w:rsidR="005F0E39" w:rsidRDefault="005F0E39" w:rsidP="009117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2126"/>
        <w:gridCol w:w="1985"/>
        <w:gridCol w:w="1843"/>
        <w:gridCol w:w="1984"/>
        <w:gridCol w:w="1901"/>
      </w:tblGrid>
      <w:tr w:rsidR="005F0E39" w14:paraId="6E0D8E80" w14:textId="77777777" w:rsidTr="00CF449D">
        <w:tc>
          <w:tcPr>
            <w:tcW w:w="13942" w:type="dxa"/>
            <w:gridSpan w:val="6"/>
          </w:tcPr>
          <w:p w14:paraId="46D9F29C" w14:textId="77777777" w:rsidR="005F0E39" w:rsidRPr="007F6189" w:rsidRDefault="005F0E39" w:rsidP="006D78DE">
            <w:pPr>
              <w:rPr>
                <w:rFonts w:ascii="Times New Roman" w:hAnsi="Times New Roman" w:cs="Times New Roman"/>
                <w:b/>
                <w:bCs/>
                <w:sz w:val="20"/>
                <w:szCs w:val="20"/>
              </w:rPr>
            </w:pPr>
            <w:r w:rsidRPr="007F6189">
              <w:rPr>
                <w:rFonts w:ascii="Times New Roman" w:hAnsi="Times New Roman" w:cs="Times New Roman"/>
                <w:b/>
                <w:bCs/>
                <w:sz w:val="20"/>
                <w:szCs w:val="20"/>
              </w:rPr>
              <w:t>Table 6</w:t>
            </w:r>
          </w:p>
          <w:p w14:paraId="323D2051" w14:textId="22B95F1C" w:rsidR="005F0E39" w:rsidRPr="00BA167E" w:rsidRDefault="00EE3A19" w:rsidP="006D78DE">
            <w:pPr>
              <w:rPr>
                <w:rFonts w:ascii="Times New Roman" w:hAnsi="Times New Roman" w:cs="Times New Roman"/>
                <w:sz w:val="18"/>
                <w:szCs w:val="18"/>
              </w:rPr>
            </w:pPr>
            <w:r w:rsidRPr="007F6189">
              <w:rPr>
                <w:rFonts w:ascii="Times New Roman" w:hAnsi="Times New Roman" w:cs="Times New Roman"/>
                <w:sz w:val="20"/>
                <w:szCs w:val="20"/>
              </w:rPr>
              <w:t xml:space="preserve">Channel analysis: </w:t>
            </w:r>
            <w:r w:rsidR="005F0E39" w:rsidRPr="007F6189">
              <w:rPr>
                <w:rFonts w:ascii="Times New Roman" w:hAnsi="Times New Roman" w:cs="Times New Roman"/>
                <w:sz w:val="20"/>
                <w:szCs w:val="20"/>
              </w:rPr>
              <w:t>Power distribution, independence and complexity</w:t>
            </w:r>
            <w:r w:rsidR="00A97628">
              <w:rPr>
                <w:rFonts w:ascii="Times New Roman" w:hAnsi="Times New Roman" w:cs="Times New Roman"/>
                <w:sz w:val="20"/>
                <w:szCs w:val="20"/>
              </w:rPr>
              <w:t>.</w:t>
            </w:r>
          </w:p>
        </w:tc>
      </w:tr>
      <w:tr w:rsidR="00CF449D" w14:paraId="1294728E" w14:textId="77777777" w:rsidTr="00CF449D">
        <w:tc>
          <w:tcPr>
            <w:tcW w:w="4103" w:type="dxa"/>
            <w:vMerge w:val="restart"/>
            <w:tcBorders>
              <w:top w:val="single" w:sz="6" w:space="0" w:color="auto"/>
            </w:tcBorders>
            <w:vAlign w:val="center"/>
          </w:tcPr>
          <w:p w14:paraId="1920C4DB" w14:textId="77777777" w:rsidR="00CF449D" w:rsidRPr="00BA167E" w:rsidRDefault="00CF449D" w:rsidP="006D78DE">
            <w:pPr>
              <w:jc w:val="left"/>
              <w:rPr>
                <w:rFonts w:ascii="Times New Roman" w:hAnsi="Times New Roman" w:cs="Times New Roman"/>
                <w:sz w:val="18"/>
                <w:szCs w:val="18"/>
              </w:rPr>
            </w:pPr>
            <w:r>
              <w:rPr>
                <w:rFonts w:ascii="Times New Roman" w:hAnsi="Times New Roman" w:cs="Times New Roman"/>
                <w:sz w:val="18"/>
                <w:szCs w:val="18"/>
              </w:rPr>
              <w:t>Variables</w:t>
            </w:r>
          </w:p>
        </w:tc>
        <w:tc>
          <w:tcPr>
            <w:tcW w:w="2126" w:type="dxa"/>
            <w:tcBorders>
              <w:top w:val="single" w:sz="6" w:space="0" w:color="auto"/>
            </w:tcBorders>
            <w:vAlign w:val="center"/>
          </w:tcPr>
          <w:p w14:paraId="51458C16" w14:textId="79E415B6" w:rsidR="00CF449D" w:rsidRPr="00BA167E" w:rsidRDefault="00CF449D" w:rsidP="003D6D77">
            <w:pPr>
              <w:jc w:val="center"/>
              <w:rPr>
                <w:rFonts w:ascii="Times New Roman" w:hAnsi="Times New Roman" w:cs="Times New Roman"/>
                <w:sz w:val="18"/>
                <w:szCs w:val="18"/>
              </w:rPr>
            </w:pPr>
            <w:r w:rsidRPr="00BA167E">
              <w:rPr>
                <w:rFonts w:ascii="Times New Roman" w:hAnsi="Times New Roman" w:cs="Times New Roman"/>
                <w:sz w:val="18"/>
                <w:szCs w:val="18"/>
              </w:rPr>
              <w:t>(1)</w:t>
            </w:r>
          </w:p>
        </w:tc>
        <w:tc>
          <w:tcPr>
            <w:tcW w:w="1985" w:type="dxa"/>
            <w:tcBorders>
              <w:top w:val="single" w:sz="6" w:space="0" w:color="auto"/>
            </w:tcBorders>
            <w:vAlign w:val="center"/>
          </w:tcPr>
          <w:p w14:paraId="741C0B32" w14:textId="683AC3B9" w:rsidR="00CF449D" w:rsidRPr="00BA167E" w:rsidRDefault="00CF449D" w:rsidP="003D6D77">
            <w:pPr>
              <w:jc w:val="center"/>
              <w:rPr>
                <w:rFonts w:ascii="Times New Roman" w:hAnsi="Times New Roman" w:cs="Times New Roman"/>
                <w:sz w:val="18"/>
                <w:szCs w:val="18"/>
              </w:rPr>
            </w:pPr>
            <w:r w:rsidRPr="00BA167E">
              <w:rPr>
                <w:rFonts w:ascii="Times New Roman" w:hAnsi="Times New Roman" w:cs="Times New Roman"/>
                <w:sz w:val="18"/>
                <w:szCs w:val="18"/>
              </w:rPr>
              <w:t>(2)</w:t>
            </w:r>
          </w:p>
        </w:tc>
        <w:tc>
          <w:tcPr>
            <w:tcW w:w="1843" w:type="dxa"/>
            <w:tcBorders>
              <w:top w:val="single" w:sz="6" w:space="0" w:color="auto"/>
            </w:tcBorders>
            <w:vAlign w:val="center"/>
          </w:tcPr>
          <w:p w14:paraId="72B8BD69" w14:textId="728EE9D4" w:rsidR="00CF449D" w:rsidRPr="00BA167E" w:rsidRDefault="00CF449D" w:rsidP="003D6D77">
            <w:pPr>
              <w:jc w:val="center"/>
              <w:rPr>
                <w:rFonts w:ascii="Times New Roman" w:hAnsi="Times New Roman" w:cs="Times New Roman"/>
                <w:sz w:val="18"/>
                <w:szCs w:val="18"/>
              </w:rPr>
            </w:pPr>
            <w:r w:rsidRPr="00BA167E">
              <w:rPr>
                <w:rFonts w:ascii="Times New Roman" w:hAnsi="Times New Roman" w:cs="Times New Roman"/>
                <w:sz w:val="18"/>
                <w:szCs w:val="18"/>
              </w:rPr>
              <w:t>(3)</w:t>
            </w:r>
          </w:p>
        </w:tc>
        <w:tc>
          <w:tcPr>
            <w:tcW w:w="1984" w:type="dxa"/>
            <w:tcBorders>
              <w:top w:val="single" w:sz="6" w:space="0" w:color="auto"/>
            </w:tcBorders>
            <w:vAlign w:val="center"/>
          </w:tcPr>
          <w:p w14:paraId="1FF200C8" w14:textId="3CD45839" w:rsidR="00CF449D" w:rsidRPr="00BA167E" w:rsidRDefault="00CF449D" w:rsidP="003D6D77">
            <w:pPr>
              <w:jc w:val="center"/>
              <w:rPr>
                <w:rFonts w:ascii="Times New Roman" w:hAnsi="Times New Roman" w:cs="Times New Roman"/>
                <w:sz w:val="18"/>
                <w:szCs w:val="18"/>
              </w:rPr>
            </w:pPr>
            <w:r w:rsidRPr="00BA167E">
              <w:rPr>
                <w:rFonts w:ascii="Times New Roman" w:hAnsi="Times New Roman" w:cs="Times New Roman"/>
                <w:sz w:val="18"/>
                <w:szCs w:val="18"/>
              </w:rPr>
              <w:t>(4)</w:t>
            </w:r>
          </w:p>
        </w:tc>
        <w:tc>
          <w:tcPr>
            <w:tcW w:w="1901" w:type="dxa"/>
            <w:tcBorders>
              <w:top w:val="single" w:sz="6" w:space="0" w:color="auto"/>
            </w:tcBorders>
            <w:vAlign w:val="center"/>
          </w:tcPr>
          <w:p w14:paraId="2214C9F5" w14:textId="169A6CD7" w:rsidR="00CF449D" w:rsidRPr="00BA167E" w:rsidRDefault="00CF449D" w:rsidP="003D6D77">
            <w:pPr>
              <w:jc w:val="center"/>
              <w:rPr>
                <w:rFonts w:ascii="Times New Roman" w:hAnsi="Times New Roman" w:cs="Times New Roman"/>
                <w:sz w:val="18"/>
                <w:szCs w:val="18"/>
              </w:rPr>
            </w:pPr>
            <w:r w:rsidRPr="00BA167E">
              <w:rPr>
                <w:rFonts w:ascii="Times New Roman" w:hAnsi="Times New Roman" w:cs="Times New Roman"/>
                <w:sz w:val="18"/>
                <w:szCs w:val="18"/>
              </w:rPr>
              <w:t>(5)</w:t>
            </w:r>
          </w:p>
        </w:tc>
      </w:tr>
      <w:tr w:rsidR="00CF449D" w14:paraId="2486F958" w14:textId="77777777" w:rsidTr="00CF449D">
        <w:tc>
          <w:tcPr>
            <w:tcW w:w="4103" w:type="dxa"/>
            <w:vMerge/>
            <w:tcBorders>
              <w:bottom w:val="single" w:sz="6" w:space="0" w:color="auto"/>
            </w:tcBorders>
            <w:vAlign w:val="center"/>
          </w:tcPr>
          <w:p w14:paraId="63FB6E0D" w14:textId="77777777" w:rsidR="00CF449D" w:rsidRPr="00BA167E" w:rsidRDefault="00CF449D" w:rsidP="006D78DE">
            <w:pPr>
              <w:jc w:val="left"/>
              <w:rPr>
                <w:rFonts w:ascii="Times New Roman" w:hAnsi="Times New Roman" w:cs="Times New Roman"/>
                <w:sz w:val="18"/>
                <w:szCs w:val="18"/>
              </w:rPr>
            </w:pPr>
          </w:p>
        </w:tc>
        <w:tc>
          <w:tcPr>
            <w:tcW w:w="2126" w:type="dxa"/>
            <w:tcBorders>
              <w:bottom w:val="single" w:sz="6" w:space="0" w:color="auto"/>
            </w:tcBorders>
            <w:vAlign w:val="center"/>
          </w:tcPr>
          <w:p w14:paraId="3FB9D8F7" w14:textId="4F3B1FC6" w:rsidR="00CF449D" w:rsidRPr="00BA167E" w:rsidRDefault="00CF449D" w:rsidP="003D6D77">
            <w:pPr>
              <w:jc w:val="center"/>
              <w:rPr>
                <w:rFonts w:ascii="Times New Roman" w:hAnsi="Times New Roman" w:cs="Times New Roman"/>
                <w:sz w:val="18"/>
                <w:szCs w:val="18"/>
              </w:rPr>
            </w:pPr>
            <w:r>
              <w:rPr>
                <w:rFonts w:ascii="Times New Roman" w:hAnsi="Times New Roman" w:cs="Times New Roman"/>
                <w:sz w:val="18"/>
                <w:szCs w:val="18"/>
              </w:rPr>
              <w:t>Structural</w:t>
            </w:r>
            <w:r w:rsidRPr="00BA167E">
              <w:rPr>
                <w:rFonts w:ascii="Times New Roman" w:hAnsi="Times New Roman" w:cs="Times New Roman"/>
                <w:sz w:val="18"/>
                <w:szCs w:val="18"/>
              </w:rPr>
              <w:t xml:space="preserve"> power</w:t>
            </w:r>
          </w:p>
        </w:tc>
        <w:tc>
          <w:tcPr>
            <w:tcW w:w="1985" w:type="dxa"/>
            <w:tcBorders>
              <w:bottom w:val="single" w:sz="6" w:space="0" w:color="auto"/>
            </w:tcBorders>
            <w:vAlign w:val="center"/>
          </w:tcPr>
          <w:p w14:paraId="57C55951" w14:textId="317386AB" w:rsidR="00CF449D" w:rsidRPr="00BA167E" w:rsidRDefault="00CF449D" w:rsidP="003D6D77">
            <w:pPr>
              <w:jc w:val="center"/>
              <w:rPr>
                <w:rFonts w:ascii="Times New Roman" w:hAnsi="Times New Roman" w:cs="Times New Roman"/>
                <w:sz w:val="18"/>
                <w:szCs w:val="18"/>
              </w:rPr>
            </w:pPr>
            <w:r>
              <w:rPr>
                <w:rFonts w:ascii="Times New Roman" w:hAnsi="Times New Roman" w:cs="Times New Roman"/>
                <w:sz w:val="18"/>
                <w:szCs w:val="18"/>
              </w:rPr>
              <w:t>Expert power</w:t>
            </w:r>
          </w:p>
        </w:tc>
        <w:tc>
          <w:tcPr>
            <w:tcW w:w="1843" w:type="dxa"/>
            <w:tcBorders>
              <w:bottom w:val="single" w:sz="6" w:space="0" w:color="auto"/>
            </w:tcBorders>
            <w:vAlign w:val="center"/>
          </w:tcPr>
          <w:p w14:paraId="49004D3F" w14:textId="0B610509" w:rsidR="00CF449D" w:rsidRPr="00BA167E" w:rsidRDefault="00CF449D" w:rsidP="003D6D77">
            <w:pPr>
              <w:jc w:val="center"/>
              <w:rPr>
                <w:rFonts w:ascii="Times New Roman" w:hAnsi="Times New Roman" w:cs="Times New Roman"/>
                <w:sz w:val="18"/>
                <w:szCs w:val="18"/>
              </w:rPr>
            </w:pPr>
            <w:r>
              <w:rPr>
                <w:rFonts w:ascii="Times New Roman" w:hAnsi="Times New Roman" w:cs="Times New Roman"/>
                <w:sz w:val="18"/>
                <w:szCs w:val="18"/>
              </w:rPr>
              <w:t>Ownership power</w:t>
            </w:r>
          </w:p>
        </w:tc>
        <w:tc>
          <w:tcPr>
            <w:tcW w:w="1984" w:type="dxa"/>
            <w:tcBorders>
              <w:bottom w:val="single" w:sz="6" w:space="0" w:color="auto"/>
            </w:tcBorders>
            <w:vAlign w:val="center"/>
          </w:tcPr>
          <w:p w14:paraId="2BA0350B" w14:textId="023FD5C9" w:rsidR="00CF449D" w:rsidRPr="00BA167E" w:rsidRDefault="00CF449D" w:rsidP="003D6D77">
            <w:pPr>
              <w:jc w:val="center"/>
              <w:rPr>
                <w:rFonts w:ascii="Times New Roman" w:hAnsi="Times New Roman" w:cs="Times New Roman"/>
                <w:sz w:val="18"/>
                <w:szCs w:val="18"/>
              </w:rPr>
            </w:pPr>
            <w:r>
              <w:rPr>
                <w:rFonts w:ascii="Times New Roman" w:hAnsi="Times New Roman" w:cs="Times New Roman"/>
                <w:sz w:val="18"/>
                <w:szCs w:val="18"/>
              </w:rPr>
              <w:t>AC chair i</w:t>
            </w:r>
            <w:r w:rsidRPr="00BA167E">
              <w:rPr>
                <w:rFonts w:ascii="Times New Roman" w:hAnsi="Times New Roman" w:cs="Times New Roman"/>
                <w:sz w:val="18"/>
                <w:szCs w:val="18"/>
              </w:rPr>
              <w:t>ndependence</w:t>
            </w:r>
          </w:p>
        </w:tc>
        <w:tc>
          <w:tcPr>
            <w:tcW w:w="1901" w:type="dxa"/>
            <w:tcBorders>
              <w:bottom w:val="single" w:sz="6" w:space="0" w:color="auto"/>
            </w:tcBorders>
            <w:vAlign w:val="center"/>
          </w:tcPr>
          <w:p w14:paraId="3C1FA197" w14:textId="3D4E24BC" w:rsidR="00CF449D" w:rsidRPr="00BA167E" w:rsidRDefault="00CF449D" w:rsidP="003D6D77">
            <w:pPr>
              <w:jc w:val="center"/>
              <w:rPr>
                <w:rFonts w:ascii="Times New Roman" w:hAnsi="Times New Roman" w:cs="Times New Roman"/>
                <w:sz w:val="18"/>
                <w:szCs w:val="18"/>
              </w:rPr>
            </w:pPr>
            <w:r>
              <w:rPr>
                <w:rFonts w:ascii="Times New Roman" w:hAnsi="Times New Roman" w:cs="Times New Roman"/>
                <w:sz w:val="18"/>
                <w:szCs w:val="18"/>
              </w:rPr>
              <w:t>Firm c</w:t>
            </w:r>
            <w:r w:rsidRPr="00BA167E">
              <w:rPr>
                <w:rFonts w:ascii="Times New Roman" w:hAnsi="Times New Roman" w:cs="Times New Roman"/>
                <w:sz w:val="18"/>
                <w:szCs w:val="18"/>
              </w:rPr>
              <w:t>omplexit</w:t>
            </w:r>
            <w:r>
              <w:rPr>
                <w:rFonts w:ascii="Times New Roman" w:hAnsi="Times New Roman" w:cs="Times New Roman"/>
                <w:sz w:val="18"/>
                <w:szCs w:val="18"/>
              </w:rPr>
              <w:t>y</w:t>
            </w:r>
          </w:p>
        </w:tc>
      </w:tr>
      <w:tr w:rsidR="00CF449D" w14:paraId="1BD2841F" w14:textId="77777777" w:rsidTr="00CF449D">
        <w:tc>
          <w:tcPr>
            <w:tcW w:w="4103" w:type="dxa"/>
            <w:tcBorders>
              <w:top w:val="single" w:sz="6" w:space="0" w:color="auto"/>
            </w:tcBorders>
          </w:tcPr>
          <w:p w14:paraId="532BCFB2" w14:textId="288170F3" w:rsidR="00CF449D" w:rsidRPr="00BA167E" w:rsidRDefault="00CF449D" w:rsidP="003B7608">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w:t>
            </w:r>
          </w:p>
        </w:tc>
        <w:tc>
          <w:tcPr>
            <w:tcW w:w="2126" w:type="dxa"/>
            <w:tcBorders>
              <w:top w:val="single" w:sz="6" w:space="0" w:color="auto"/>
            </w:tcBorders>
          </w:tcPr>
          <w:p w14:paraId="52CBB994" w14:textId="6B2F25DC" w:rsidR="00CF449D" w:rsidRPr="00CB72C4"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0.775***</w:t>
            </w:r>
          </w:p>
        </w:tc>
        <w:tc>
          <w:tcPr>
            <w:tcW w:w="1985" w:type="dxa"/>
            <w:tcBorders>
              <w:top w:val="single" w:sz="6" w:space="0" w:color="auto"/>
            </w:tcBorders>
          </w:tcPr>
          <w:p w14:paraId="6C9B3B67" w14:textId="0ACC6B4D" w:rsidR="00CF449D" w:rsidRPr="00CB72C4"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0.762***</w:t>
            </w:r>
          </w:p>
        </w:tc>
        <w:tc>
          <w:tcPr>
            <w:tcW w:w="1843" w:type="dxa"/>
            <w:tcBorders>
              <w:top w:val="single" w:sz="6" w:space="0" w:color="auto"/>
            </w:tcBorders>
          </w:tcPr>
          <w:p w14:paraId="1A42DA0D" w14:textId="071A5D1B" w:rsidR="00CF449D" w:rsidRPr="00CB72C4"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0.705***</w:t>
            </w:r>
          </w:p>
        </w:tc>
        <w:tc>
          <w:tcPr>
            <w:tcW w:w="1984" w:type="dxa"/>
            <w:tcBorders>
              <w:top w:val="single" w:sz="6" w:space="0" w:color="auto"/>
            </w:tcBorders>
          </w:tcPr>
          <w:p w14:paraId="11B3F37A" w14:textId="2C3564BE" w:rsidR="00CF449D" w:rsidRPr="0050578F"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0.</w:t>
            </w:r>
            <w:r>
              <w:rPr>
                <w:rFonts w:ascii="Times New Roman" w:hAnsi="Times New Roman" w:cs="Times New Roman"/>
                <w:kern w:val="0"/>
                <w:sz w:val="18"/>
                <w:szCs w:val="18"/>
              </w:rPr>
              <w:t>754</w:t>
            </w:r>
            <w:r w:rsidRPr="0050578F">
              <w:rPr>
                <w:rFonts w:ascii="Times New Roman" w:hAnsi="Times New Roman" w:cs="Times New Roman"/>
                <w:kern w:val="0"/>
                <w:sz w:val="18"/>
                <w:szCs w:val="18"/>
              </w:rPr>
              <w:t>***</w:t>
            </w:r>
          </w:p>
        </w:tc>
        <w:tc>
          <w:tcPr>
            <w:tcW w:w="1901" w:type="dxa"/>
            <w:tcBorders>
              <w:top w:val="single" w:sz="6" w:space="0" w:color="auto"/>
            </w:tcBorders>
          </w:tcPr>
          <w:p w14:paraId="3F903F20" w14:textId="449E2886" w:rsidR="00CF449D" w:rsidRPr="0050578F"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0.681***</w:t>
            </w:r>
          </w:p>
        </w:tc>
      </w:tr>
      <w:tr w:rsidR="00CF449D" w14:paraId="69E8A1DD" w14:textId="77777777" w:rsidTr="00CF449D">
        <w:tc>
          <w:tcPr>
            <w:tcW w:w="4103" w:type="dxa"/>
          </w:tcPr>
          <w:p w14:paraId="76235666" w14:textId="77777777" w:rsidR="00CF449D" w:rsidRPr="00BA167E" w:rsidRDefault="00CF449D" w:rsidP="003B7608">
            <w:pPr>
              <w:rPr>
                <w:rFonts w:ascii="Times New Roman" w:hAnsi="Times New Roman" w:cs="Times New Roman"/>
                <w:i/>
                <w:iCs/>
                <w:color w:val="000000"/>
                <w:sz w:val="18"/>
                <w:szCs w:val="18"/>
              </w:rPr>
            </w:pPr>
          </w:p>
        </w:tc>
        <w:tc>
          <w:tcPr>
            <w:tcW w:w="2126" w:type="dxa"/>
          </w:tcPr>
          <w:p w14:paraId="44B68FA6" w14:textId="46C9B5D4" w:rsidR="00CF449D" w:rsidRPr="00CB72C4"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(19.0</w:t>
            </w:r>
            <w:r>
              <w:rPr>
                <w:rFonts w:ascii="Times New Roman" w:hAnsi="Times New Roman" w:cs="Times New Roman"/>
                <w:kern w:val="0"/>
                <w:sz w:val="18"/>
                <w:szCs w:val="18"/>
              </w:rPr>
              <w:t>6</w:t>
            </w:r>
            <w:r w:rsidRPr="00CB72C4">
              <w:rPr>
                <w:rFonts w:ascii="Times New Roman" w:hAnsi="Times New Roman" w:cs="Times New Roman"/>
                <w:kern w:val="0"/>
                <w:sz w:val="18"/>
                <w:szCs w:val="18"/>
              </w:rPr>
              <w:t>)</w:t>
            </w:r>
          </w:p>
        </w:tc>
        <w:tc>
          <w:tcPr>
            <w:tcW w:w="1985" w:type="dxa"/>
          </w:tcPr>
          <w:p w14:paraId="2AB1B23E" w14:textId="43515F1B" w:rsidR="00CF449D" w:rsidRPr="00CB72C4"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(18.03)</w:t>
            </w:r>
          </w:p>
        </w:tc>
        <w:tc>
          <w:tcPr>
            <w:tcW w:w="1843" w:type="dxa"/>
          </w:tcPr>
          <w:p w14:paraId="7E0FAD51" w14:textId="6C293ED9" w:rsidR="00CF449D" w:rsidRPr="00CB72C4"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(15.58)</w:t>
            </w:r>
          </w:p>
        </w:tc>
        <w:tc>
          <w:tcPr>
            <w:tcW w:w="1984" w:type="dxa"/>
          </w:tcPr>
          <w:p w14:paraId="3A78F07E" w14:textId="118DC462" w:rsidR="00CF449D" w:rsidRPr="0050578F"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w:t>
            </w:r>
            <w:r w:rsidRPr="009A41C3">
              <w:rPr>
                <w:rFonts w:ascii="Times New Roman" w:hAnsi="Times New Roman" w:cs="Times New Roman"/>
                <w:kern w:val="0"/>
                <w:sz w:val="18"/>
                <w:szCs w:val="18"/>
              </w:rPr>
              <w:t>12.98</w:t>
            </w:r>
            <w:r w:rsidRPr="0050578F">
              <w:rPr>
                <w:rFonts w:ascii="Times New Roman" w:hAnsi="Times New Roman" w:cs="Times New Roman"/>
                <w:kern w:val="0"/>
                <w:sz w:val="18"/>
                <w:szCs w:val="18"/>
              </w:rPr>
              <w:t>)</w:t>
            </w:r>
          </w:p>
        </w:tc>
        <w:tc>
          <w:tcPr>
            <w:tcW w:w="1901" w:type="dxa"/>
          </w:tcPr>
          <w:p w14:paraId="4CAED32F" w14:textId="534C1311" w:rsidR="00CF449D" w:rsidRPr="0050578F"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(12.35)</w:t>
            </w:r>
          </w:p>
        </w:tc>
      </w:tr>
      <w:tr w:rsidR="00CF449D" w14:paraId="4DCB4951" w14:textId="77777777" w:rsidTr="00CF449D">
        <w:tc>
          <w:tcPr>
            <w:tcW w:w="4103" w:type="dxa"/>
          </w:tcPr>
          <w:p w14:paraId="6918767D" w14:textId="77777777" w:rsidR="00CF449D" w:rsidRPr="00BA167E" w:rsidRDefault="00CF449D" w:rsidP="006D78DE">
            <w:pPr>
              <w:rPr>
                <w:rFonts w:ascii="Times New Roman" w:hAnsi="Times New Roman" w:cs="Times New Roman"/>
                <w:sz w:val="18"/>
                <w:szCs w:val="18"/>
              </w:rPr>
            </w:pPr>
            <w:r w:rsidRPr="00BA167E">
              <w:rPr>
                <w:rFonts w:ascii="Times New Roman" w:hAnsi="Times New Roman" w:cs="Times New Roman"/>
                <w:i/>
                <w:iCs/>
                <w:color w:val="000000"/>
                <w:sz w:val="18"/>
                <w:szCs w:val="18"/>
              </w:rPr>
              <w:t>EXCLUSION</w:t>
            </w:r>
          </w:p>
        </w:tc>
        <w:tc>
          <w:tcPr>
            <w:tcW w:w="2126" w:type="dxa"/>
            <w:vAlign w:val="center"/>
          </w:tcPr>
          <w:p w14:paraId="6A868B39"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-0.17</w:t>
            </w:r>
            <w:r>
              <w:rPr>
                <w:rFonts w:ascii="Times New Roman" w:hAnsi="Times New Roman" w:cs="Times New Roman"/>
                <w:kern w:val="0"/>
                <w:sz w:val="18"/>
                <w:szCs w:val="18"/>
              </w:rPr>
              <w:t>3</w:t>
            </w:r>
            <w:r w:rsidRPr="00CB72C4">
              <w:rPr>
                <w:rFonts w:ascii="Times New Roman" w:hAnsi="Times New Roman" w:cs="Times New Roman"/>
                <w:kern w:val="0"/>
                <w:sz w:val="18"/>
                <w:szCs w:val="18"/>
              </w:rPr>
              <w:t>***</w:t>
            </w:r>
          </w:p>
        </w:tc>
        <w:tc>
          <w:tcPr>
            <w:tcW w:w="1985" w:type="dxa"/>
            <w:vAlign w:val="center"/>
          </w:tcPr>
          <w:p w14:paraId="4698068A"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-0.165***</w:t>
            </w:r>
          </w:p>
        </w:tc>
        <w:tc>
          <w:tcPr>
            <w:tcW w:w="1843" w:type="dxa"/>
            <w:vAlign w:val="center"/>
          </w:tcPr>
          <w:p w14:paraId="513FA723" w14:textId="03B45100"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-0.129**</w:t>
            </w:r>
          </w:p>
        </w:tc>
        <w:tc>
          <w:tcPr>
            <w:tcW w:w="1984" w:type="dxa"/>
            <w:vAlign w:val="center"/>
          </w:tcPr>
          <w:p w14:paraId="11FBBCBD" w14:textId="447DBF6A"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-0.</w:t>
            </w:r>
            <w:r>
              <w:rPr>
                <w:rFonts w:ascii="Times New Roman" w:hAnsi="Times New Roman" w:cs="Times New Roman"/>
                <w:kern w:val="0"/>
                <w:sz w:val="18"/>
                <w:szCs w:val="18"/>
              </w:rPr>
              <w:t>121*</w:t>
            </w:r>
          </w:p>
        </w:tc>
        <w:tc>
          <w:tcPr>
            <w:tcW w:w="1901" w:type="dxa"/>
            <w:vAlign w:val="center"/>
          </w:tcPr>
          <w:p w14:paraId="01845C08" w14:textId="77777777"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-0.168**</w:t>
            </w:r>
          </w:p>
        </w:tc>
      </w:tr>
      <w:tr w:rsidR="00CF449D" w14:paraId="27BF6E70" w14:textId="77777777" w:rsidTr="00CF449D">
        <w:tc>
          <w:tcPr>
            <w:tcW w:w="4103" w:type="dxa"/>
          </w:tcPr>
          <w:p w14:paraId="0AC87AED" w14:textId="77777777" w:rsidR="00CF449D" w:rsidRPr="00BA167E" w:rsidRDefault="00CF449D" w:rsidP="006D78DE">
            <w:pPr>
              <w:rPr>
                <w:rFonts w:ascii="Times New Roman" w:hAnsi="Times New Roman" w:cs="Times New Roman"/>
                <w:sz w:val="18"/>
                <w:szCs w:val="18"/>
              </w:rPr>
            </w:pPr>
          </w:p>
        </w:tc>
        <w:tc>
          <w:tcPr>
            <w:tcW w:w="2126" w:type="dxa"/>
            <w:vAlign w:val="center"/>
          </w:tcPr>
          <w:p w14:paraId="48209483"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(-2.7</w:t>
            </w:r>
            <w:r>
              <w:rPr>
                <w:rFonts w:ascii="Times New Roman" w:hAnsi="Times New Roman" w:cs="Times New Roman"/>
                <w:kern w:val="0"/>
                <w:sz w:val="18"/>
                <w:szCs w:val="18"/>
              </w:rPr>
              <w:t>4</w:t>
            </w:r>
            <w:r w:rsidRPr="00CB72C4">
              <w:rPr>
                <w:rFonts w:ascii="Times New Roman" w:hAnsi="Times New Roman" w:cs="Times New Roman"/>
                <w:kern w:val="0"/>
                <w:sz w:val="18"/>
                <w:szCs w:val="18"/>
              </w:rPr>
              <w:t>)</w:t>
            </w:r>
          </w:p>
        </w:tc>
        <w:tc>
          <w:tcPr>
            <w:tcW w:w="1985" w:type="dxa"/>
            <w:vAlign w:val="center"/>
          </w:tcPr>
          <w:p w14:paraId="24EE4B32"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(-2.78)</w:t>
            </w:r>
          </w:p>
        </w:tc>
        <w:tc>
          <w:tcPr>
            <w:tcW w:w="1843" w:type="dxa"/>
            <w:vAlign w:val="center"/>
          </w:tcPr>
          <w:p w14:paraId="64C77C54" w14:textId="30F3B796"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(-2.39)</w:t>
            </w:r>
          </w:p>
        </w:tc>
        <w:tc>
          <w:tcPr>
            <w:tcW w:w="1984" w:type="dxa"/>
            <w:vAlign w:val="center"/>
          </w:tcPr>
          <w:p w14:paraId="53F98113" w14:textId="11A7C21E"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w:t>
            </w:r>
            <w:r w:rsidRPr="00062867">
              <w:rPr>
                <w:rFonts w:ascii="Times New Roman" w:hAnsi="Times New Roman" w:cs="Times New Roman"/>
                <w:kern w:val="0"/>
                <w:sz w:val="18"/>
                <w:szCs w:val="18"/>
              </w:rPr>
              <w:t>-1.</w:t>
            </w:r>
            <w:r>
              <w:rPr>
                <w:rFonts w:ascii="Times New Roman" w:hAnsi="Times New Roman" w:cs="Times New Roman"/>
                <w:kern w:val="0"/>
                <w:sz w:val="18"/>
                <w:szCs w:val="18"/>
              </w:rPr>
              <w:t>90</w:t>
            </w:r>
            <w:r w:rsidRPr="0050578F">
              <w:rPr>
                <w:rFonts w:ascii="Times New Roman" w:hAnsi="Times New Roman" w:cs="Times New Roman"/>
                <w:kern w:val="0"/>
                <w:sz w:val="18"/>
                <w:szCs w:val="18"/>
              </w:rPr>
              <w:t>)</w:t>
            </w:r>
          </w:p>
        </w:tc>
        <w:tc>
          <w:tcPr>
            <w:tcW w:w="1901" w:type="dxa"/>
            <w:vAlign w:val="center"/>
          </w:tcPr>
          <w:p w14:paraId="25D99896" w14:textId="77777777"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(-2.53)</w:t>
            </w:r>
          </w:p>
        </w:tc>
      </w:tr>
      <w:tr w:rsidR="00CF449D" w14:paraId="139A25BF" w14:textId="77777777" w:rsidTr="00CF449D">
        <w:tc>
          <w:tcPr>
            <w:tcW w:w="4103" w:type="dxa"/>
          </w:tcPr>
          <w:p w14:paraId="75FC7E26" w14:textId="421B1038" w:rsidR="00CF449D" w:rsidRPr="00BA167E" w:rsidRDefault="00CF449D" w:rsidP="006D78DE">
            <w:pPr>
              <w:rPr>
                <w:rFonts w:ascii="Times New Roman" w:hAnsi="Times New Roman" w:cs="Times New Roman"/>
                <w:sz w:val="18"/>
                <w:szCs w:val="18"/>
              </w:rPr>
            </w:pPr>
            <w:r>
              <w:rPr>
                <w:rFonts w:ascii="Times New Roman" w:hAnsi="Times New Roman" w:cs="Times New Roman"/>
                <w:i/>
                <w:iCs/>
                <w:color w:val="000000"/>
                <w:sz w:val="18"/>
                <w:szCs w:val="18"/>
              </w:rPr>
              <w:t>NARCIS</w:t>
            </w:r>
          </w:p>
        </w:tc>
        <w:tc>
          <w:tcPr>
            <w:tcW w:w="2126" w:type="dxa"/>
            <w:vAlign w:val="center"/>
          </w:tcPr>
          <w:p w14:paraId="7280723C"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-0.12</w:t>
            </w:r>
            <w:r>
              <w:rPr>
                <w:rFonts w:ascii="Times New Roman" w:hAnsi="Times New Roman" w:cs="Times New Roman"/>
                <w:kern w:val="0"/>
                <w:sz w:val="18"/>
                <w:szCs w:val="18"/>
              </w:rPr>
              <w:t>7</w:t>
            </w:r>
          </w:p>
        </w:tc>
        <w:tc>
          <w:tcPr>
            <w:tcW w:w="1985" w:type="dxa"/>
            <w:vAlign w:val="center"/>
          </w:tcPr>
          <w:p w14:paraId="44AB6082"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-0.219</w:t>
            </w:r>
          </w:p>
        </w:tc>
        <w:tc>
          <w:tcPr>
            <w:tcW w:w="1843" w:type="dxa"/>
            <w:vAlign w:val="center"/>
          </w:tcPr>
          <w:p w14:paraId="7DA226AD" w14:textId="0C4173A9"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-0.173</w:t>
            </w:r>
          </w:p>
        </w:tc>
        <w:tc>
          <w:tcPr>
            <w:tcW w:w="1984" w:type="dxa"/>
            <w:vAlign w:val="center"/>
          </w:tcPr>
          <w:p w14:paraId="50B2B7AD" w14:textId="4591AA42"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-0.1</w:t>
            </w:r>
            <w:r>
              <w:rPr>
                <w:rFonts w:ascii="Times New Roman" w:hAnsi="Times New Roman" w:cs="Times New Roman"/>
                <w:kern w:val="0"/>
                <w:sz w:val="18"/>
                <w:szCs w:val="18"/>
              </w:rPr>
              <w:t>04</w:t>
            </w:r>
          </w:p>
        </w:tc>
        <w:tc>
          <w:tcPr>
            <w:tcW w:w="1901" w:type="dxa"/>
            <w:vAlign w:val="center"/>
          </w:tcPr>
          <w:p w14:paraId="733D595C" w14:textId="77777777"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-0.208</w:t>
            </w:r>
          </w:p>
        </w:tc>
      </w:tr>
      <w:tr w:rsidR="00CF449D" w14:paraId="4602BC89" w14:textId="77777777" w:rsidTr="00CF449D">
        <w:tc>
          <w:tcPr>
            <w:tcW w:w="4103" w:type="dxa"/>
          </w:tcPr>
          <w:p w14:paraId="1BA6C5AA" w14:textId="77777777" w:rsidR="00CF449D" w:rsidRPr="00BA167E" w:rsidRDefault="00CF449D" w:rsidP="006D78DE">
            <w:pPr>
              <w:rPr>
                <w:rFonts w:ascii="Times New Roman" w:hAnsi="Times New Roman" w:cs="Times New Roman"/>
                <w:sz w:val="18"/>
                <w:szCs w:val="18"/>
              </w:rPr>
            </w:pPr>
          </w:p>
        </w:tc>
        <w:tc>
          <w:tcPr>
            <w:tcW w:w="2126" w:type="dxa"/>
            <w:vAlign w:val="center"/>
          </w:tcPr>
          <w:p w14:paraId="67F9C3DA"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(-0.6</w:t>
            </w:r>
            <w:r>
              <w:rPr>
                <w:rFonts w:ascii="Times New Roman" w:hAnsi="Times New Roman" w:cs="Times New Roman"/>
                <w:kern w:val="0"/>
                <w:sz w:val="18"/>
                <w:szCs w:val="18"/>
              </w:rPr>
              <w:t>1</w:t>
            </w:r>
            <w:r w:rsidRPr="00CB72C4">
              <w:rPr>
                <w:rFonts w:ascii="Times New Roman" w:hAnsi="Times New Roman" w:cs="Times New Roman"/>
                <w:kern w:val="0"/>
                <w:sz w:val="18"/>
                <w:szCs w:val="18"/>
              </w:rPr>
              <w:t>)</w:t>
            </w:r>
          </w:p>
        </w:tc>
        <w:tc>
          <w:tcPr>
            <w:tcW w:w="1985" w:type="dxa"/>
            <w:vAlign w:val="center"/>
          </w:tcPr>
          <w:p w14:paraId="73DB6BC4" w14:textId="77777777"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(-1.08)</w:t>
            </w:r>
          </w:p>
        </w:tc>
        <w:tc>
          <w:tcPr>
            <w:tcW w:w="1843" w:type="dxa"/>
            <w:vAlign w:val="center"/>
          </w:tcPr>
          <w:p w14:paraId="43C23BC8" w14:textId="1447FE74" w:rsidR="00CF449D" w:rsidRPr="00BA167E" w:rsidRDefault="00CF449D"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(-0.85)</w:t>
            </w:r>
          </w:p>
        </w:tc>
        <w:tc>
          <w:tcPr>
            <w:tcW w:w="1984" w:type="dxa"/>
            <w:vAlign w:val="center"/>
          </w:tcPr>
          <w:p w14:paraId="0D7C51FC" w14:textId="5751EE0F"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(-0.</w:t>
            </w:r>
            <w:r>
              <w:rPr>
                <w:rFonts w:ascii="Times New Roman" w:hAnsi="Times New Roman" w:cs="Times New Roman"/>
                <w:kern w:val="0"/>
                <w:sz w:val="18"/>
                <w:szCs w:val="18"/>
              </w:rPr>
              <w:t>43</w:t>
            </w:r>
            <w:r w:rsidRPr="0050578F">
              <w:rPr>
                <w:rFonts w:ascii="Times New Roman" w:hAnsi="Times New Roman" w:cs="Times New Roman"/>
                <w:kern w:val="0"/>
                <w:sz w:val="18"/>
                <w:szCs w:val="18"/>
              </w:rPr>
              <w:t>)</w:t>
            </w:r>
          </w:p>
        </w:tc>
        <w:tc>
          <w:tcPr>
            <w:tcW w:w="1901" w:type="dxa"/>
            <w:vAlign w:val="center"/>
          </w:tcPr>
          <w:p w14:paraId="7561DA5B" w14:textId="77777777" w:rsidR="00CF449D" w:rsidRPr="00BA167E" w:rsidRDefault="00CF449D"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(-1.05)</w:t>
            </w:r>
          </w:p>
        </w:tc>
      </w:tr>
      <w:tr w:rsidR="00CF449D" w14:paraId="512A577F" w14:textId="77777777" w:rsidTr="00CF449D">
        <w:tc>
          <w:tcPr>
            <w:tcW w:w="4103" w:type="dxa"/>
          </w:tcPr>
          <w:p w14:paraId="2521C813" w14:textId="5E7C41F6" w:rsidR="00CF449D" w:rsidRPr="00BA167E" w:rsidRDefault="00CF449D" w:rsidP="003B7608">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p>
        </w:tc>
        <w:tc>
          <w:tcPr>
            <w:tcW w:w="2126" w:type="dxa"/>
          </w:tcPr>
          <w:p w14:paraId="1C05356E" w14:textId="63B9B834"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0.32</w:t>
            </w:r>
            <w:r>
              <w:rPr>
                <w:rFonts w:ascii="Times New Roman" w:hAnsi="Times New Roman" w:cs="Times New Roman"/>
                <w:kern w:val="0"/>
                <w:sz w:val="18"/>
                <w:szCs w:val="18"/>
              </w:rPr>
              <w:t>7</w:t>
            </w:r>
          </w:p>
        </w:tc>
        <w:tc>
          <w:tcPr>
            <w:tcW w:w="1985" w:type="dxa"/>
          </w:tcPr>
          <w:p w14:paraId="0EDF7D1A" w14:textId="66DC85DE"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0.299</w:t>
            </w:r>
          </w:p>
        </w:tc>
        <w:tc>
          <w:tcPr>
            <w:tcW w:w="1843" w:type="dxa"/>
          </w:tcPr>
          <w:p w14:paraId="2ECF1481" w14:textId="7A3DD799"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0.345</w:t>
            </w:r>
          </w:p>
        </w:tc>
        <w:tc>
          <w:tcPr>
            <w:tcW w:w="1984" w:type="dxa"/>
          </w:tcPr>
          <w:p w14:paraId="59526C55" w14:textId="3F10E27E" w:rsidR="00CF449D" w:rsidRPr="00AF1948"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0.563</w:t>
            </w:r>
          </w:p>
        </w:tc>
        <w:tc>
          <w:tcPr>
            <w:tcW w:w="1901" w:type="dxa"/>
          </w:tcPr>
          <w:p w14:paraId="4A12E00E" w14:textId="55B26E36"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-0.0133</w:t>
            </w:r>
          </w:p>
        </w:tc>
      </w:tr>
      <w:tr w:rsidR="00CF449D" w14:paraId="603C5228" w14:textId="77777777" w:rsidTr="00CF449D">
        <w:tc>
          <w:tcPr>
            <w:tcW w:w="4103" w:type="dxa"/>
          </w:tcPr>
          <w:p w14:paraId="606B77E1" w14:textId="77777777" w:rsidR="00CF449D" w:rsidRPr="00BA167E" w:rsidRDefault="00CF449D" w:rsidP="003B7608">
            <w:pPr>
              <w:rPr>
                <w:rFonts w:ascii="Times New Roman" w:hAnsi="Times New Roman" w:cs="Times New Roman"/>
                <w:i/>
                <w:iCs/>
                <w:color w:val="000000"/>
                <w:sz w:val="18"/>
                <w:szCs w:val="18"/>
              </w:rPr>
            </w:pPr>
          </w:p>
        </w:tc>
        <w:tc>
          <w:tcPr>
            <w:tcW w:w="2126" w:type="dxa"/>
          </w:tcPr>
          <w:p w14:paraId="15E2DD4A" w14:textId="251C015C"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(1.3</w:t>
            </w:r>
            <w:r>
              <w:rPr>
                <w:rFonts w:ascii="Times New Roman" w:hAnsi="Times New Roman" w:cs="Times New Roman"/>
                <w:kern w:val="0"/>
                <w:sz w:val="18"/>
                <w:szCs w:val="18"/>
              </w:rPr>
              <w:t>7</w:t>
            </w:r>
            <w:r w:rsidRPr="00CB72C4">
              <w:rPr>
                <w:rFonts w:ascii="Times New Roman" w:hAnsi="Times New Roman" w:cs="Times New Roman"/>
                <w:kern w:val="0"/>
                <w:sz w:val="18"/>
                <w:szCs w:val="18"/>
              </w:rPr>
              <w:t>)</w:t>
            </w:r>
          </w:p>
        </w:tc>
        <w:tc>
          <w:tcPr>
            <w:tcW w:w="1985" w:type="dxa"/>
          </w:tcPr>
          <w:p w14:paraId="3B501E99" w14:textId="3E6CFBFE"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(1.19)</w:t>
            </w:r>
          </w:p>
        </w:tc>
        <w:tc>
          <w:tcPr>
            <w:tcW w:w="1843" w:type="dxa"/>
          </w:tcPr>
          <w:p w14:paraId="0BB2AEB3" w14:textId="5D0AFEF2"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(1.21)</w:t>
            </w:r>
          </w:p>
        </w:tc>
        <w:tc>
          <w:tcPr>
            <w:tcW w:w="1984" w:type="dxa"/>
          </w:tcPr>
          <w:p w14:paraId="60E4B7B5" w14:textId="4866E0F1"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w:t>
            </w:r>
            <w:r>
              <w:rPr>
                <w:rFonts w:ascii="Times New Roman" w:hAnsi="Times New Roman" w:cs="Times New Roman"/>
                <w:kern w:val="0"/>
                <w:sz w:val="18"/>
                <w:szCs w:val="18"/>
              </w:rPr>
              <w:t>1</w:t>
            </w:r>
            <w:r w:rsidRPr="00806E33">
              <w:rPr>
                <w:rFonts w:ascii="Times New Roman" w:hAnsi="Times New Roman" w:cs="Times New Roman"/>
                <w:kern w:val="0"/>
                <w:sz w:val="18"/>
                <w:szCs w:val="18"/>
              </w:rPr>
              <w:t>.</w:t>
            </w:r>
            <w:r>
              <w:rPr>
                <w:rFonts w:ascii="Times New Roman" w:hAnsi="Times New Roman" w:cs="Times New Roman"/>
                <w:kern w:val="0"/>
                <w:sz w:val="18"/>
                <w:szCs w:val="18"/>
              </w:rPr>
              <w:t>47</w:t>
            </w:r>
            <w:r w:rsidRPr="0050578F">
              <w:rPr>
                <w:rFonts w:ascii="Times New Roman" w:hAnsi="Times New Roman" w:cs="Times New Roman"/>
                <w:kern w:val="0"/>
                <w:sz w:val="18"/>
                <w:szCs w:val="18"/>
              </w:rPr>
              <w:t>)</w:t>
            </w:r>
          </w:p>
        </w:tc>
        <w:tc>
          <w:tcPr>
            <w:tcW w:w="1901" w:type="dxa"/>
          </w:tcPr>
          <w:p w14:paraId="41687AD0" w14:textId="280154CF"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(-0.04)</w:t>
            </w:r>
          </w:p>
        </w:tc>
      </w:tr>
      <w:tr w:rsidR="00CF449D" w14:paraId="10CDA8CF" w14:textId="77777777" w:rsidTr="00CF449D">
        <w:tc>
          <w:tcPr>
            <w:tcW w:w="4103" w:type="dxa"/>
          </w:tcPr>
          <w:p w14:paraId="7207A7C3" w14:textId="722EABD5" w:rsidR="00CF449D" w:rsidRPr="00BA167E" w:rsidRDefault="00CF449D" w:rsidP="006D78DE">
            <w:pPr>
              <w:rPr>
                <w:rFonts w:ascii="Times New Roman" w:hAnsi="Times New Roman" w:cs="Times New Roman"/>
                <w:sz w:val="18"/>
                <w:szCs w:val="18"/>
              </w:rPr>
            </w:pPr>
            <w:r w:rsidRPr="00BA167E">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NARCIS</w:t>
            </w:r>
          </w:p>
        </w:tc>
        <w:tc>
          <w:tcPr>
            <w:tcW w:w="2126" w:type="dxa"/>
            <w:vAlign w:val="center"/>
          </w:tcPr>
          <w:p w14:paraId="2ABBD56F" w14:textId="77777777" w:rsidR="00CF449D" w:rsidRPr="00BA167E" w:rsidRDefault="00CF449D" w:rsidP="006D78DE">
            <w:pPr>
              <w:jc w:val="center"/>
              <w:rPr>
                <w:rFonts w:ascii="Times New Roman" w:hAnsi="Times New Roman" w:cs="Times New Roman"/>
                <w:sz w:val="18"/>
                <w:szCs w:val="18"/>
              </w:rPr>
            </w:pPr>
            <w:r w:rsidRPr="00BA167E">
              <w:rPr>
                <w:rFonts w:ascii="Times New Roman" w:hAnsi="Times New Roman" w:cs="Times New Roman"/>
                <w:kern w:val="0"/>
                <w:sz w:val="18"/>
                <w:szCs w:val="18"/>
              </w:rPr>
              <w:t>-1.424***</w:t>
            </w:r>
          </w:p>
        </w:tc>
        <w:tc>
          <w:tcPr>
            <w:tcW w:w="1985" w:type="dxa"/>
            <w:vAlign w:val="center"/>
          </w:tcPr>
          <w:p w14:paraId="02F7C4E4" w14:textId="77777777" w:rsidR="00CF449D" w:rsidRPr="00BA167E" w:rsidRDefault="00CF449D" w:rsidP="006D78DE">
            <w:pPr>
              <w:jc w:val="center"/>
              <w:rPr>
                <w:rFonts w:ascii="Times New Roman" w:hAnsi="Times New Roman" w:cs="Times New Roman"/>
                <w:sz w:val="18"/>
                <w:szCs w:val="18"/>
              </w:rPr>
            </w:pPr>
            <w:r w:rsidRPr="00BA167E">
              <w:rPr>
                <w:rFonts w:ascii="Times New Roman" w:hAnsi="Times New Roman" w:cs="Times New Roman"/>
                <w:kern w:val="0"/>
                <w:sz w:val="18"/>
                <w:szCs w:val="18"/>
              </w:rPr>
              <w:t>-1.306***</w:t>
            </w:r>
          </w:p>
        </w:tc>
        <w:tc>
          <w:tcPr>
            <w:tcW w:w="1843" w:type="dxa"/>
            <w:vAlign w:val="center"/>
          </w:tcPr>
          <w:p w14:paraId="76490FD4" w14:textId="263C6D20" w:rsidR="00CF449D" w:rsidRPr="00BA167E" w:rsidRDefault="00CF449D" w:rsidP="006D78DE">
            <w:pPr>
              <w:jc w:val="center"/>
              <w:rPr>
                <w:rFonts w:ascii="Times New Roman" w:hAnsi="Times New Roman" w:cs="Times New Roman"/>
                <w:sz w:val="18"/>
                <w:szCs w:val="18"/>
              </w:rPr>
            </w:pPr>
            <w:r w:rsidRPr="00BA167E">
              <w:rPr>
                <w:rFonts w:ascii="Times New Roman" w:hAnsi="Times New Roman" w:cs="Times New Roman"/>
                <w:kern w:val="0"/>
                <w:sz w:val="18"/>
                <w:szCs w:val="18"/>
              </w:rPr>
              <w:t>-1.056***</w:t>
            </w:r>
          </w:p>
        </w:tc>
        <w:tc>
          <w:tcPr>
            <w:tcW w:w="1984" w:type="dxa"/>
            <w:vAlign w:val="center"/>
          </w:tcPr>
          <w:p w14:paraId="6BF13047" w14:textId="222ED266" w:rsidR="00CF449D" w:rsidRPr="00AF1948" w:rsidRDefault="00CF449D" w:rsidP="006D78DE">
            <w:pPr>
              <w:jc w:val="center"/>
              <w:rPr>
                <w:rFonts w:ascii="Times New Roman" w:hAnsi="Times New Roman" w:cs="Times New Roman"/>
                <w:sz w:val="18"/>
                <w:szCs w:val="18"/>
              </w:rPr>
            </w:pPr>
            <w:r w:rsidRPr="00AF1948">
              <w:rPr>
                <w:rFonts w:ascii="Times New Roman" w:hAnsi="Times New Roman" w:cs="Times New Roman"/>
                <w:kern w:val="0"/>
                <w:sz w:val="18"/>
                <w:szCs w:val="18"/>
              </w:rPr>
              <w:t>-1.739***</w:t>
            </w:r>
          </w:p>
        </w:tc>
        <w:tc>
          <w:tcPr>
            <w:tcW w:w="1901" w:type="dxa"/>
            <w:vAlign w:val="center"/>
          </w:tcPr>
          <w:p w14:paraId="1ED5F2BB" w14:textId="77777777" w:rsidR="00CF449D" w:rsidRPr="00AF1948" w:rsidRDefault="00CF449D" w:rsidP="006D78DE">
            <w:pPr>
              <w:jc w:val="center"/>
              <w:rPr>
                <w:rFonts w:ascii="Times New Roman" w:hAnsi="Times New Roman" w:cs="Times New Roman"/>
                <w:sz w:val="18"/>
                <w:szCs w:val="18"/>
              </w:rPr>
            </w:pPr>
            <w:r w:rsidRPr="00AF1948">
              <w:rPr>
                <w:rFonts w:ascii="Times New Roman" w:hAnsi="Times New Roman" w:cs="Times New Roman"/>
                <w:kern w:val="0"/>
                <w:sz w:val="18"/>
                <w:szCs w:val="18"/>
              </w:rPr>
              <w:t>-1.827***</w:t>
            </w:r>
          </w:p>
        </w:tc>
      </w:tr>
      <w:tr w:rsidR="00CF449D" w14:paraId="522A5E39" w14:textId="77777777" w:rsidTr="00CF449D">
        <w:tc>
          <w:tcPr>
            <w:tcW w:w="4103" w:type="dxa"/>
          </w:tcPr>
          <w:p w14:paraId="3CD1BB81" w14:textId="77777777" w:rsidR="00CF449D" w:rsidRPr="00BA167E" w:rsidRDefault="00CF449D" w:rsidP="006D78DE">
            <w:pPr>
              <w:rPr>
                <w:rFonts w:ascii="Times New Roman" w:hAnsi="Times New Roman" w:cs="Times New Roman"/>
                <w:sz w:val="18"/>
                <w:szCs w:val="18"/>
              </w:rPr>
            </w:pPr>
          </w:p>
        </w:tc>
        <w:tc>
          <w:tcPr>
            <w:tcW w:w="2126" w:type="dxa"/>
            <w:vAlign w:val="center"/>
          </w:tcPr>
          <w:p w14:paraId="55132771" w14:textId="77777777" w:rsidR="00CF449D" w:rsidRPr="00BA167E" w:rsidRDefault="00CF449D" w:rsidP="006D78DE">
            <w:pPr>
              <w:jc w:val="center"/>
              <w:rPr>
                <w:rFonts w:ascii="Times New Roman" w:hAnsi="Times New Roman" w:cs="Times New Roman"/>
                <w:sz w:val="18"/>
                <w:szCs w:val="18"/>
              </w:rPr>
            </w:pPr>
            <w:r w:rsidRPr="00BA167E">
              <w:rPr>
                <w:rFonts w:ascii="Times New Roman" w:hAnsi="Times New Roman" w:cs="Times New Roman"/>
                <w:kern w:val="0"/>
                <w:sz w:val="18"/>
                <w:szCs w:val="18"/>
              </w:rPr>
              <w:t>(-3.25)</w:t>
            </w:r>
          </w:p>
        </w:tc>
        <w:tc>
          <w:tcPr>
            <w:tcW w:w="1985" w:type="dxa"/>
            <w:vAlign w:val="center"/>
          </w:tcPr>
          <w:p w14:paraId="5ADD0340" w14:textId="77777777" w:rsidR="00CF449D" w:rsidRPr="00BA167E" w:rsidRDefault="00CF449D" w:rsidP="006D78DE">
            <w:pPr>
              <w:jc w:val="center"/>
              <w:rPr>
                <w:rFonts w:ascii="Times New Roman" w:hAnsi="Times New Roman" w:cs="Times New Roman"/>
                <w:sz w:val="18"/>
                <w:szCs w:val="18"/>
              </w:rPr>
            </w:pPr>
            <w:r w:rsidRPr="00BA167E">
              <w:rPr>
                <w:rFonts w:ascii="Times New Roman" w:hAnsi="Times New Roman" w:cs="Times New Roman"/>
                <w:kern w:val="0"/>
                <w:sz w:val="18"/>
                <w:szCs w:val="18"/>
              </w:rPr>
              <w:t>(-3.01)</w:t>
            </w:r>
          </w:p>
        </w:tc>
        <w:tc>
          <w:tcPr>
            <w:tcW w:w="1843" w:type="dxa"/>
            <w:vAlign w:val="center"/>
          </w:tcPr>
          <w:p w14:paraId="6BD288FC" w14:textId="60BFB2FF" w:rsidR="00CF449D" w:rsidRPr="00BA167E" w:rsidRDefault="00CF449D" w:rsidP="006D78DE">
            <w:pPr>
              <w:jc w:val="center"/>
              <w:rPr>
                <w:rFonts w:ascii="Times New Roman" w:hAnsi="Times New Roman" w:cs="Times New Roman"/>
                <w:sz w:val="18"/>
                <w:szCs w:val="18"/>
              </w:rPr>
            </w:pPr>
            <w:r w:rsidRPr="00BA167E">
              <w:rPr>
                <w:rFonts w:ascii="Times New Roman" w:hAnsi="Times New Roman" w:cs="Times New Roman"/>
                <w:kern w:val="0"/>
                <w:sz w:val="18"/>
                <w:szCs w:val="18"/>
              </w:rPr>
              <w:t>(-2.65)</w:t>
            </w:r>
          </w:p>
        </w:tc>
        <w:tc>
          <w:tcPr>
            <w:tcW w:w="1984" w:type="dxa"/>
            <w:vAlign w:val="center"/>
          </w:tcPr>
          <w:p w14:paraId="06DE2A7B" w14:textId="6B7963D7" w:rsidR="00CF449D" w:rsidRPr="00AF1948" w:rsidRDefault="00CF449D" w:rsidP="006D78DE">
            <w:pPr>
              <w:jc w:val="center"/>
              <w:rPr>
                <w:rFonts w:ascii="Times New Roman" w:hAnsi="Times New Roman" w:cs="Times New Roman"/>
                <w:sz w:val="18"/>
                <w:szCs w:val="18"/>
              </w:rPr>
            </w:pPr>
            <w:r w:rsidRPr="00AF1948">
              <w:rPr>
                <w:rFonts w:ascii="Times New Roman" w:hAnsi="Times New Roman" w:cs="Times New Roman"/>
                <w:kern w:val="0"/>
                <w:sz w:val="18"/>
                <w:szCs w:val="18"/>
              </w:rPr>
              <w:t>(-2.71)</w:t>
            </w:r>
          </w:p>
        </w:tc>
        <w:tc>
          <w:tcPr>
            <w:tcW w:w="1901" w:type="dxa"/>
            <w:vAlign w:val="center"/>
          </w:tcPr>
          <w:p w14:paraId="141058C6" w14:textId="77777777" w:rsidR="00CF449D" w:rsidRPr="00AF1948" w:rsidRDefault="00CF449D" w:rsidP="006D78DE">
            <w:pPr>
              <w:jc w:val="center"/>
              <w:rPr>
                <w:rFonts w:ascii="Times New Roman" w:hAnsi="Times New Roman" w:cs="Times New Roman"/>
                <w:sz w:val="18"/>
                <w:szCs w:val="18"/>
              </w:rPr>
            </w:pPr>
            <w:r w:rsidRPr="00AF1948">
              <w:rPr>
                <w:rFonts w:ascii="Times New Roman" w:hAnsi="Times New Roman" w:cs="Times New Roman"/>
                <w:kern w:val="0"/>
                <w:sz w:val="18"/>
                <w:szCs w:val="18"/>
              </w:rPr>
              <w:t>(-3.27)</w:t>
            </w:r>
          </w:p>
        </w:tc>
      </w:tr>
      <w:tr w:rsidR="00CF449D" w14:paraId="192565A7" w14:textId="77777777" w:rsidTr="00CF449D">
        <w:tc>
          <w:tcPr>
            <w:tcW w:w="4103" w:type="dxa"/>
          </w:tcPr>
          <w:p w14:paraId="03A6994D" w14:textId="4CB15FB8"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LOW</w:t>
            </w:r>
            <w:r w:rsidRPr="00CB72C4">
              <w:rPr>
                <w:rFonts w:ascii="Times New Roman" w:hAnsi="Times New Roman" w:cs="Times New Roman"/>
                <w:i/>
                <w:iCs/>
                <w:kern w:val="0"/>
                <w:sz w:val="18"/>
                <w:szCs w:val="18"/>
              </w:rPr>
              <w:t>S</w:t>
            </w:r>
            <w:r>
              <w:rPr>
                <w:rFonts w:ascii="Times New Roman" w:hAnsi="Times New Roman" w:cs="Times New Roman"/>
                <w:i/>
                <w:iCs/>
                <w:kern w:val="0"/>
                <w:sz w:val="18"/>
                <w:szCs w:val="18"/>
              </w:rPr>
              <w:t>TRUCTURE</w:t>
            </w:r>
          </w:p>
        </w:tc>
        <w:tc>
          <w:tcPr>
            <w:tcW w:w="2126" w:type="dxa"/>
          </w:tcPr>
          <w:p w14:paraId="2953E3FC" w14:textId="338EF40E" w:rsidR="00CF449D" w:rsidRPr="00BA167E"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0</w:t>
            </w:r>
            <w:r w:rsidRPr="00A91005">
              <w:rPr>
                <w:rFonts w:ascii="Times New Roman" w:hAnsi="Times New Roman" w:cs="Times New Roman"/>
                <w:kern w:val="0"/>
                <w:sz w:val="18"/>
                <w:szCs w:val="18"/>
              </w:rPr>
              <w:t>.00389</w:t>
            </w:r>
          </w:p>
        </w:tc>
        <w:tc>
          <w:tcPr>
            <w:tcW w:w="1985" w:type="dxa"/>
            <w:vAlign w:val="center"/>
          </w:tcPr>
          <w:p w14:paraId="125DF931"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3A2D7A95" w14:textId="4BE74D27"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7DC47F4A" w14:textId="39CEC160"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76543FED" w14:textId="77777777" w:rsidR="00CF449D" w:rsidRPr="00AF1948" w:rsidRDefault="00CF449D" w:rsidP="003B7608">
            <w:pPr>
              <w:jc w:val="center"/>
              <w:rPr>
                <w:rFonts w:ascii="Times New Roman" w:hAnsi="Times New Roman" w:cs="Times New Roman"/>
                <w:kern w:val="0"/>
                <w:sz w:val="18"/>
                <w:szCs w:val="18"/>
              </w:rPr>
            </w:pPr>
          </w:p>
        </w:tc>
      </w:tr>
      <w:tr w:rsidR="00CF449D" w14:paraId="54AE0138" w14:textId="77777777" w:rsidTr="00CF449D">
        <w:tc>
          <w:tcPr>
            <w:tcW w:w="4103" w:type="dxa"/>
          </w:tcPr>
          <w:p w14:paraId="4AB98990" w14:textId="77777777" w:rsidR="00CF449D" w:rsidRPr="00BA167E" w:rsidRDefault="00CF449D" w:rsidP="003B7608">
            <w:pPr>
              <w:rPr>
                <w:rFonts w:ascii="Times New Roman" w:hAnsi="Times New Roman" w:cs="Times New Roman"/>
                <w:sz w:val="18"/>
                <w:szCs w:val="18"/>
              </w:rPr>
            </w:pPr>
          </w:p>
        </w:tc>
        <w:tc>
          <w:tcPr>
            <w:tcW w:w="2126" w:type="dxa"/>
          </w:tcPr>
          <w:p w14:paraId="4ADF479B" w14:textId="0E3580F9"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w:t>
            </w:r>
            <w:r>
              <w:rPr>
                <w:rFonts w:ascii="Times New Roman" w:hAnsi="Times New Roman" w:cs="Times New Roman"/>
                <w:kern w:val="0"/>
                <w:sz w:val="18"/>
                <w:szCs w:val="18"/>
              </w:rPr>
              <w:t>10</w:t>
            </w:r>
            <w:r w:rsidRPr="00CB72C4">
              <w:rPr>
                <w:rFonts w:ascii="Times New Roman" w:hAnsi="Times New Roman" w:cs="Times New Roman"/>
                <w:kern w:val="0"/>
                <w:sz w:val="18"/>
                <w:szCs w:val="18"/>
              </w:rPr>
              <w:t>)</w:t>
            </w:r>
          </w:p>
        </w:tc>
        <w:tc>
          <w:tcPr>
            <w:tcW w:w="1985" w:type="dxa"/>
            <w:vAlign w:val="center"/>
          </w:tcPr>
          <w:p w14:paraId="72CAED88"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6E076DA5" w14:textId="12147073"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2E063ADE" w14:textId="2BE5709D"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400D2E17" w14:textId="77777777" w:rsidR="00CF449D" w:rsidRPr="00AF1948" w:rsidRDefault="00CF449D" w:rsidP="003B7608">
            <w:pPr>
              <w:jc w:val="center"/>
              <w:rPr>
                <w:rFonts w:ascii="Times New Roman" w:hAnsi="Times New Roman" w:cs="Times New Roman"/>
                <w:kern w:val="0"/>
                <w:sz w:val="18"/>
                <w:szCs w:val="18"/>
              </w:rPr>
            </w:pPr>
          </w:p>
        </w:tc>
      </w:tr>
      <w:tr w:rsidR="00CF449D" w14:paraId="26A7B529" w14:textId="77777777" w:rsidTr="00CF449D">
        <w:tc>
          <w:tcPr>
            <w:tcW w:w="4103" w:type="dxa"/>
          </w:tcPr>
          <w:p w14:paraId="3271AB85" w14:textId="6429C4B7"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LOW</w:t>
            </w:r>
            <w:r w:rsidRPr="00CB72C4">
              <w:rPr>
                <w:rFonts w:ascii="Times New Roman" w:hAnsi="Times New Roman" w:cs="Times New Roman"/>
                <w:i/>
                <w:iCs/>
                <w:kern w:val="0"/>
                <w:sz w:val="18"/>
                <w:szCs w:val="18"/>
              </w:rPr>
              <w:t>S</w:t>
            </w:r>
            <w:r>
              <w:rPr>
                <w:rFonts w:ascii="Times New Roman" w:hAnsi="Times New Roman" w:cs="Times New Roman"/>
                <w:i/>
                <w:iCs/>
                <w:kern w:val="0"/>
                <w:sz w:val="18"/>
                <w:szCs w:val="18"/>
              </w:rPr>
              <w:t>TRUCTURE</w:t>
            </w:r>
          </w:p>
        </w:tc>
        <w:tc>
          <w:tcPr>
            <w:tcW w:w="2126" w:type="dxa"/>
          </w:tcPr>
          <w:p w14:paraId="4DCDCF8D" w14:textId="35A199AA" w:rsidR="00CF449D" w:rsidRPr="00BA167E"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0</w:t>
            </w:r>
            <w:r w:rsidRPr="00D0307F">
              <w:rPr>
                <w:rFonts w:ascii="Times New Roman" w:hAnsi="Times New Roman" w:cs="Times New Roman"/>
                <w:kern w:val="0"/>
                <w:sz w:val="18"/>
                <w:szCs w:val="18"/>
              </w:rPr>
              <w:t>.0789</w:t>
            </w:r>
          </w:p>
        </w:tc>
        <w:tc>
          <w:tcPr>
            <w:tcW w:w="1985" w:type="dxa"/>
            <w:vAlign w:val="center"/>
          </w:tcPr>
          <w:p w14:paraId="6BA043F0"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7E5B47B8" w14:textId="0C04DC49"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0EDB4FAA" w14:textId="6A4AEC21"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0E8BDCF1" w14:textId="77777777" w:rsidR="00CF449D" w:rsidRPr="00AF1948" w:rsidRDefault="00CF449D" w:rsidP="003B7608">
            <w:pPr>
              <w:jc w:val="center"/>
              <w:rPr>
                <w:rFonts w:ascii="Times New Roman" w:hAnsi="Times New Roman" w:cs="Times New Roman"/>
                <w:kern w:val="0"/>
                <w:sz w:val="18"/>
                <w:szCs w:val="18"/>
              </w:rPr>
            </w:pPr>
          </w:p>
        </w:tc>
      </w:tr>
      <w:tr w:rsidR="00CF449D" w14:paraId="25663B42" w14:textId="77777777" w:rsidTr="00CF449D">
        <w:tc>
          <w:tcPr>
            <w:tcW w:w="4103" w:type="dxa"/>
          </w:tcPr>
          <w:p w14:paraId="0ADDB4CC" w14:textId="77777777" w:rsidR="00CF449D" w:rsidRPr="00BA167E" w:rsidRDefault="00CF449D" w:rsidP="003B7608">
            <w:pPr>
              <w:rPr>
                <w:rFonts w:ascii="Times New Roman" w:hAnsi="Times New Roman" w:cs="Times New Roman"/>
                <w:sz w:val="18"/>
                <w:szCs w:val="18"/>
              </w:rPr>
            </w:pPr>
          </w:p>
        </w:tc>
        <w:tc>
          <w:tcPr>
            <w:tcW w:w="2126" w:type="dxa"/>
          </w:tcPr>
          <w:p w14:paraId="766DB3D9" w14:textId="1390D3FF"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(1.1</w:t>
            </w:r>
            <w:r>
              <w:rPr>
                <w:rFonts w:ascii="Times New Roman" w:hAnsi="Times New Roman" w:cs="Times New Roman"/>
                <w:kern w:val="0"/>
                <w:sz w:val="18"/>
                <w:szCs w:val="18"/>
              </w:rPr>
              <w:t>5</w:t>
            </w:r>
            <w:r w:rsidRPr="00CB72C4">
              <w:rPr>
                <w:rFonts w:ascii="Times New Roman" w:hAnsi="Times New Roman" w:cs="Times New Roman"/>
                <w:kern w:val="0"/>
                <w:sz w:val="18"/>
                <w:szCs w:val="18"/>
              </w:rPr>
              <w:t>)</w:t>
            </w:r>
          </w:p>
        </w:tc>
        <w:tc>
          <w:tcPr>
            <w:tcW w:w="1985" w:type="dxa"/>
            <w:vAlign w:val="center"/>
          </w:tcPr>
          <w:p w14:paraId="69997F72"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40BB1CBE" w14:textId="5DAA7DEE"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654A872D" w14:textId="1D4033A3"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7730C799" w14:textId="77777777" w:rsidR="00CF449D" w:rsidRPr="00AF1948" w:rsidRDefault="00CF449D" w:rsidP="003B7608">
            <w:pPr>
              <w:jc w:val="center"/>
              <w:rPr>
                <w:rFonts w:ascii="Times New Roman" w:hAnsi="Times New Roman" w:cs="Times New Roman"/>
                <w:kern w:val="0"/>
                <w:sz w:val="18"/>
                <w:szCs w:val="18"/>
              </w:rPr>
            </w:pPr>
          </w:p>
        </w:tc>
      </w:tr>
      <w:tr w:rsidR="00CF449D" w14:paraId="2A664DEE" w14:textId="77777777" w:rsidTr="00CF449D">
        <w:tc>
          <w:tcPr>
            <w:tcW w:w="4103" w:type="dxa"/>
          </w:tcPr>
          <w:p w14:paraId="3961073A" w14:textId="66856241"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LOW</w:t>
            </w:r>
            <w:r w:rsidRPr="00334015">
              <w:rPr>
                <w:rFonts w:ascii="Times New Roman" w:hAnsi="Times New Roman" w:cs="Times New Roman"/>
                <w:i/>
                <w:iCs/>
                <w:kern w:val="0"/>
                <w:sz w:val="18"/>
                <w:szCs w:val="18"/>
              </w:rPr>
              <w:t>EXPERT</w:t>
            </w:r>
          </w:p>
        </w:tc>
        <w:tc>
          <w:tcPr>
            <w:tcW w:w="2126" w:type="dxa"/>
            <w:vAlign w:val="center"/>
          </w:tcPr>
          <w:p w14:paraId="5A5F1C34" w14:textId="77777777" w:rsidR="00CF449D" w:rsidRPr="00BA167E" w:rsidRDefault="00CF449D" w:rsidP="003B7608">
            <w:pPr>
              <w:jc w:val="center"/>
              <w:rPr>
                <w:rFonts w:ascii="Times New Roman" w:hAnsi="Times New Roman" w:cs="Times New Roman"/>
                <w:kern w:val="0"/>
                <w:sz w:val="18"/>
                <w:szCs w:val="18"/>
              </w:rPr>
            </w:pPr>
          </w:p>
        </w:tc>
        <w:tc>
          <w:tcPr>
            <w:tcW w:w="1985" w:type="dxa"/>
          </w:tcPr>
          <w:p w14:paraId="0DC9D275" w14:textId="59F2634F" w:rsidR="00CF449D" w:rsidRPr="00BA167E"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w:t>
            </w:r>
            <w:r w:rsidRPr="00CB72C4">
              <w:rPr>
                <w:rFonts w:ascii="Times New Roman" w:hAnsi="Times New Roman" w:cs="Times New Roman"/>
                <w:kern w:val="0"/>
                <w:sz w:val="18"/>
                <w:szCs w:val="18"/>
              </w:rPr>
              <w:t>0.114*</w:t>
            </w:r>
          </w:p>
        </w:tc>
        <w:tc>
          <w:tcPr>
            <w:tcW w:w="1843" w:type="dxa"/>
            <w:vAlign w:val="center"/>
          </w:tcPr>
          <w:p w14:paraId="129B84A2" w14:textId="75F04223"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733C022E" w14:textId="142BADB8"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602C9BEA" w14:textId="77777777" w:rsidR="00CF449D" w:rsidRPr="00AF1948" w:rsidRDefault="00CF449D" w:rsidP="003B7608">
            <w:pPr>
              <w:jc w:val="center"/>
              <w:rPr>
                <w:rFonts w:ascii="Times New Roman" w:hAnsi="Times New Roman" w:cs="Times New Roman"/>
                <w:kern w:val="0"/>
                <w:sz w:val="18"/>
                <w:szCs w:val="18"/>
              </w:rPr>
            </w:pPr>
          </w:p>
        </w:tc>
      </w:tr>
      <w:tr w:rsidR="00CF449D" w14:paraId="2215EA9A" w14:textId="77777777" w:rsidTr="00CF449D">
        <w:tc>
          <w:tcPr>
            <w:tcW w:w="4103" w:type="dxa"/>
          </w:tcPr>
          <w:p w14:paraId="31C868D9" w14:textId="77777777" w:rsidR="00CF449D" w:rsidRPr="00BA167E" w:rsidRDefault="00CF449D" w:rsidP="003B7608">
            <w:pPr>
              <w:rPr>
                <w:rFonts w:ascii="Times New Roman" w:hAnsi="Times New Roman" w:cs="Times New Roman"/>
                <w:sz w:val="18"/>
                <w:szCs w:val="18"/>
              </w:rPr>
            </w:pPr>
          </w:p>
        </w:tc>
        <w:tc>
          <w:tcPr>
            <w:tcW w:w="2126" w:type="dxa"/>
            <w:vAlign w:val="center"/>
          </w:tcPr>
          <w:p w14:paraId="706B07F3" w14:textId="77777777" w:rsidR="00CF449D" w:rsidRPr="00BA167E" w:rsidRDefault="00CF449D" w:rsidP="003B7608">
            <w:pPr>
              <w:jc w:val="center"/>
              <w:rPr>
                <w:rFonts w:ascii="Times New Roman" w:hAnsi="Times New Roman" w:cs="Times New Roman"/>
                <w:kern w:val="0"/>
                <w:sz w:val="18"/>
                <w:szCs w:val="18"/>
              </w:rPr>
            </w:pPr>
          </w:p>
        </w:tc>
        <w:tc>
          <w:tcPr>
            <w:tcW w:w="1985" w:type="dxa"/>
          </w:tcPr>
          <w:p w14:paraId="551CDB2E" w14:textId="42D8AF2E"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w:t>
            </w:r>
            <w:r>
              <w:rPr>
                <w:rFonts w:ascii="Times New Roman" w:hAnsi="Times New Roman" w:cs="Times New Roman"/>
                <w:kern w:val="0"/>
                <w:sz w:val="18"/>
                <w:szCs w:val="18"/>
              </w:rPr>
              <w:t>-</w:t>
            </w:r>
            <w:r w:rsidRPr="00CB72C4">
              <w:rPr>
                <w:rFonts w:ascii="Times New Roman" w:hAnsi="Times New Roman" w:cs="Times New Roman"/>
                <w:kern w:val="0"/>
                <w:sz w:val="18"/>
                <w:szCs w:val="18"/>
              </w:rPr>
              <w:t>1.82)</w:t>
            </w:r>
          </w:p>
        </w:tc>
        <w:tc>
          <w:tcPr>
            <w:tcW w:w="1843" w:type="dxa"/>
            <w:vAlign w:val="center"/>
          </w:tcPr>
          <w:p w14:paraId="4F114EC0" w14:textId="74AA4925"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6606E9D3" w14:textId="7BA5D825"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324527D5" w14:textId="77777777" w:rsidR="00CF449D" w:rsidRPr="00AF1948" w:rsidRDefault="00CF449D" w:rsidP="003B7608">
            <w:pPr>
              <w:jc w:val="center"/>
              <w:rPr>
                <w:rFonts w:ascii="Times New Roman" w:hAnsi="Times New Roman" w:cs="Times New Roman"/>
                <w:kern w:val="0"/>
                <w:sz w:val="18"/>
                <w:szCs w:val="18"/>
              </w:rPr>
            </w:pPr>
          </w:p>
        </w:tc>
      </w:tr>
      <w:tr w:rsidR="00CF449D" w14:paraId="014680C5" w14:textId="77777777" w:rsidTr="00CF449D">
        <w:tc>
          <w:tcPr>
            <w:tcW w:w="4103" w:type="dxa"/>
          </w:tcPr>
          <w:p w14:paraId="3DD5CFB7" w14:textId="70CC7C70"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LOW</w:t>
            </w:r>
            <w:r w:rsidRPr="00334015">
              <w:rPr>
                <w:rFonts w:ascii="Times New Roman" w:hAnsi="Times New Roman" w:cs="Times New Roman"/>
                <w:i/>
                <w:iCs/>
                <w:kern w:val="0"/>
                <w:sz w:val="18"/>
                <w:szCs w:val="18"/>
              </w:rPr>
              <w:t>EXPERT</w:t>
            </w:r>
          </w:p>
        </w:tc>
        <w:tc>
          <w:tcPr>
            <w:tcW w:w="2126" w:type="dxa"/>
            <w:vAlign w:val="center"/>
          </w:tcPr>
          <w:p w14:paraId="4E8E7B0B" w14:textId="77777777" w:rsidR="00CF449D" w:rsidRPr="00BA167E" w:rsidRDefault="00CF449D" w:rsidP="003B7608">
            <w:pPr>
              <w:jc w:val="center"/>
              <w:rPr>
                <w:rFonts w:ascii="Times New Roman" w:hAnsi="Times New Roman" w:cs="Times New Roman"/>
                <w:kern w:val="0"/>
                <w:sz w:val="18"/>
                <w:szCs w:val="18"/>
              </w:rPr>
            </w:pPr>
          </w:p>
        </w:tc>
        <w:tc>
          <w:tcPr>
            <w:tcW w:w="1985" w:type="dxa"/>
          </w:tcPr>
          <w:p w14:paraId="4B132D7C" w14:textId="0DC55D9E"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0.115</w:t>
            </w:r>
          </w:p>
        </w:tc>
        <w:tc>
          <w:tcPr>
            <w:tcW w:w="1843" w:type="dxa"/>
            <w:vAlign w:val="center"/>
          </w:tcPr>
          <w:p w14:paraId="39C4DBBE" w14:textId="64354E79"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502EDEDD" w14:textId="388319FA"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3128B222" w14:textId="77777777" w:rsidR="00CF449D" w:rsidRPr="00AF1948" w:rsidRDefault="00CF449D" w:rsidP="003B7608">
            <w:pPr>
              <w:jc w:val="center"/>
              <w:rPr>
                <w:rFonts w:ascii="Times New Roman" w:hAnsi="Times New Roman" w:cs="Times New Roman"/>
                <w:kern w:val="0"/>
                <w:sz w:val="18"/>
                <w:szCs w:val="18"/>
              </w:rPr>
            </w:pPr>
          </w:p>
        </w:tc>
      </w:tr>
      <w:tr w:rsidR="00CF449D" w14:paraId="17CFDD9D" w14:textId="77777777" w:rsidTr="00CF449D">
        <w:tc>
          <w:tcPr>
            <w:tcW w:w="4103" w:type="dxa"/>
          </w:tcPr>
          <w:p w14:paraId="08C6C4CF" w14:textId="77777777" w:rsidR="00CF449D" w:rsidRPr="00BA167E" w:rsidRDefault="00CF449D" w:rsidP="003B7608">
            <w:pPr>
              <w:rPr>
                <w:rFonts w:ascii="Times New Roman" w:hAnsi="Times New Roman" w:cs="Times New Roman"/>
                <w:sz w:val="18"/>
                <w:szCs w:val="18"/>
              </w:rPr>
            </w:pPr>
          </w:p>
        </w:tc>
        <w:tc>
          <w:tcPr>
            <w:tcW w:w="2126" w:type="dxa"/>
            <w:vAlign w:val="center"/>
          </w:tcPr>
          <w:p w14:paraId="4C78F85D" w14:textId="77777777" w:rsidR="00CF449D" w:rsidRPr="00BA167E" w:rsidRDefault="00CF449D" w:rsidP="003B7608">
            <w:pPr>
              <w:jc w:val="center"/>
              <w:rPr>
                <w:rFonts w:ascii="Times New Roman" w:hAnsi="Times New Roman" w:cs="Times New Roman"/>
                <w:kern w:val="0"/>
                <w:sz w:val="18"/>
                <w:szCs w:val="18"/>
              </w:rPr>
            </w:pPr>
          </w:p>
        </w:tc>
        <w:tc>
          <w:tcPr>
            <w:tcW w:w="1985" w:type="dxa"/>
          </w:tcPr>
          <w:p w14:paraId="57DCF1D8" w14:textId="67A52B12"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(0.96)</w:t>
            </w:r>
          </w:p>
        </w:tc>
        <w:tc>
          <w:tcPr>
            <w:tcW w:w="1843" w:type="dxa"/>
            <w:vAlign w:val="center"/>
          </w:tcPr>
          <w:p w14:paraId="5236DCC2" w14:textId="70C47523"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1DBFF0E5" w14:textId="21285B95"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678942AD" w14:textId="77777777" w:rsidR="00CF449D" w:rsidRPr="00AF1948" w:rsidRDefault="00CF449D" w:rsidP="003B7608">
            <w:pPr>
              <w:jc w:val="center"/>
              <w:rPr>
                <w:rFonts w:ascii="Times New Roman" w:hAnsi="Times New Roman" w:cs="Times New Roman"/>
                <w:kern w:val="0"/>
                <w:sz w:val="18"/>
                <w:szCs w:val="18"/>
              </w:rPr>
            </w:pPr>
          </w:p>
        </w:tc>
      </w:tr>
      <w:tr w:rsidR="00CF449D" w14:paraId="5860B224" w14:textId="77777777" w:rsidTr="00CF449D">
        <w:tc>
          <w:tcPr>
            <w:tcW w:w="4103" w:type="dxa"/>
          </w:tcPr>
          <w:p w14:paraId="2014082A" w14:textId="441F91C0"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LOW</w:t>
            </w:r>
            <w:r w:rsidRPr="00334015">
              <w:rPr>
                <w:rFonts w:ascii="Times New Roman" w:hAnsi="Times New Roman" w:cs="Times New Roman"/>
                <w:i/>
                <w:iCs/>
                <w:kern w:val="0"/>
                <w:sz w:val="18"/>
                <w:szCs w:val="18"/>
              </w:rPr>
              <w:t>OWNERSHIP</w:t>
            </w:r>
          </w:p>
        </w:tc>
        <w:tc>
          <w:tcPr>
            <w:tcW w:w="2126" w:type="dxa"/>
            <w:vAlign w:val="center"/>
          </w:tcPr>
          <w:p w14:paraId="3B89F113"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35F23A1F" w14:textId="77777777" w:rsidR="00CF449D" w:rsidRPr="00BA167E" w:rsidRDefault="00CF449D" w:rsidP="003B7608">
            <w:pPr>
              <w:jc w:val="center"/>
              <w:rPr>
                <w:rFonts w:ascii="Times New Roman" w:hAnsi="Times New Roman" w:cs="Times New Roman"/>
                <w:kern w:val="0"/>
                <w:sz w:val="18"/>
                <w:szCs w:val="18"/>
              </w:rPr>
            </w:pPr>
          </w:p>
        </w:tc>
        <w:tc>
          <w:tcPr>
            <w:tcW w:w="1843" w:type="dxa"/>
          </w:tcPr>
          <w:p w14:paraId="28AC9765" w14:textId="6F7BB5F4" w:rsidR="00CF449D" w:rsidRPr="00BA167E"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w:t>
            </w:r>
            <w:r w:rsidRPr="00CB72C4">
              <w:rPr>
                <w:rFonts w:ascii="Times New Roman" w:hAnsi="Times New Roman" w:cs="Times New Roman"/>
                <w:kern w:val="0"/>
                <w:sz w:val="18"/>
                <w:szCs w:val="18"/>
              </w:rPr>
              <w:t>0.211***</w:t>
            </w:r>
          </w:p>
        </w:tc>
        <w:tc>
          <w:tcPr>
            <w:tcW w:w="1984" w:type="dxa"/>
            <w:vAlign w:val="center"/>
          </w:tcPr>
          <w:p w14:paraId="0038D942" w14:textId="2B61823E"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1FF36B1B" w14:textId="77777777" w:rsidR="00CF449D" w:rsidRPr="00AF1948" w:rsidRDefault="00CF449D" w:rsidP="003B7608">
            <w:pPr>
              <w:jc w:val="center"/>
              <w:rPr>
                <w:rFonts w:ascii="Times New Roman" w:hAnsi="Times New Roman" w:cs="Times New Roman"/>
                <w:kern w:val="0"/>
                <w:sz w:val="18"/>
                <w:szCs w:val="18"/>
              </w:rPr>
            </w:pPr>
          </w:p>
        </w:tc>
      </w:tr>
      <w:tr w:rsidR="00CF449D" w14:paraId="42FFCEAC" w14:textId="77777777" w:rsidTr="00CF449D">
        <w:tc>
          <w:tcPr>
            <w:tcW w:w="4103" w:type="dxa"/>
          </w:tcPr>
          <w:p w14:paraId="109EF44F" w14:textId="77777777" w:rsidR="00CF449D" w:rsidRPr="00BA167E" w:rsidRDefault="00CF449D" w:rsidP="003B7608">
            <w:pPr>
              <w:rPr>
                <w:rFonts w:ascii="Times New Roman" w:hAnsi="Times New Roman" w:cs="Times New Roman"/>
                <w:sz w:val="18"/>
                <w:szCs w:val="18"/>
              </w:rPr>
            </w:pPr>
          </w:p>
        </w:tc>
        <w:tc>
          <w:tcPr>
            <w:tcW w:w="2126" w:type="dxa"/>
            <w:vAlign w:val="center"/>
          </w:tcPr>
          <w:p w14:paraId="3D0F3D63"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0CB2CBC5" w14:textId="77777777" w:rsidR="00CF449D" w:rsidRPr="00BA167E" w:rsidRDefault="00CF449D" w:rsidP="003B7608">
            <w:pPr>
              <w:jc w:val="center"/>
              <w:rPr>
                <w:rFonts w:ascii="Times New Roman" w:hAnsi="Times New Roman" w:cs="Times New Roman"/>
                <w:kern w:val="0"/>
                <w:sz w:val="18"/>
                <w:szCs w:val="18"/>
              </w:rPr>
            </w:pPr>
          </w:p>
        </w:tc>
        <w:tc>
          <w:tcPr>
            <w:tcW w:w="1843" w:type="dxa"/>
          </w:tcPr>
          <w:p w14:paraId="423FFF03" w14:textId="7E15C74C"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w:t>
            </w:r>
            <w:r>
              <w:rPr>
                <w:rFonts w:ascii="Times New Roman" w:hAnsi="Times New Roman" w:cs="Times New Roman"/>
                <w:kern w:val="0"/>
                <w:sz w:val="18"/>
                <w:szCs w:val="18"/>
              </w:rPr>
              <w:t>-</w:t>
            </w:r>
            <w:r w:rsidRPr="00CB72C4">
              <w:rPr>
                <w:rFonts w:ascii="Times New Roman" w:hAnsi="Times New Roman" w:cs="Times New Roman"/>
                <w:kern w:val="0"/>
                <w:sz w:val="18"/>
                <w:szCs w:val="18"/>
              </w:rPr>
              <w:t>3.13)</w:t>
            </w:r>
          </w:p>
        </w:tc>
        <w:tc>
          <w:tcPr>
            <w:tcW w:w="1984" w:type="dxa"/>
            <w:vAlign w:val="center"/>
          </w:tcPr>
          <w:p w14:paraId="2C26E3A4" w14:textId="78CEE716"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6AF7E457" w14:textId="77777777" w:rsidR="00CF449D" w:rsidRPr="00AF1948" w:rsidRDefault="00CF449D" w:rsidP="003B7608">
            <w:pPr>
              <w:jc w:val="center"/>
              <w:rPr>
                <w:rFonts w:ascii="Times New Roman" w:hAnsi="Times New Roman" w:cs="Times New Roman"/>
                <w:kern w:val="0"/>
                <w:sz w:val="18"/>
                <w:szCs w:val="18"/>
              </w:rPr>
            </w:pPr>
          </w:p>
        </w:tc>
      </w:tr>
      <w:tr w:rsidR="00CF449D" w14:paraId="1D968E14" w14:textId="77777777" w:rsidTr="00CF449D">
        <w:tc>
          <w:tcPr>
            <w:tcW w:w="4103" w:type="dxa"/>
          </w:tcPr>
          <w:p w14:paraId="6AA87A11" w14:textId="6A53FF42"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LOW</w:t>
            </w:r>
            <w:r w:rsidRPr="00334015">
              <w:rPr>
                <w:rFonts w:ascii="Times New Roman" w:hAnsi="Times New Roman" w:cs="Times New Roman"/>
                <w:i/>
                <w:iCs/>
                <w:kern w:val="0"/>
                <w:sz w:val="18"/>
                <w:szCs w:val="18"/>
              </w:rPr>
              <w:t>OWNERSHIP</w:t>
            </w:r>
          </w:p>
        </w:tc>
        <w:tc>
          <w:tcPr>
            <w:tcW w:w="2126" w:type="dxa"/>
            <w:vAlign w:val="center"/>
          </w:tcPr>
          <w:p w14:paraId="5C5FD95B"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64226993" w14:textId="77777777" w:rsidR="00CF449D" w:rsidRPr="00BA167E" w:rsidRDefault="00CF449D" w:rsidP="003B7608">
            <w:pPr>
              <w:jc w:val="center"/>
              <w:rPr>
                <w:rFonts w:ascii="Times New Roman" w:hAnsi="Times New Roman" w:cs="Times New Roman"/>
                <w:kern w:val="0"/>
                <w:sz w:val="18"/>
                <w:szCs w:val="18"/>
              </w:rPr>
            </w:pPr>
          </w:p>
        </w:tc>
        <w:tc>
          <w:tcPr>
            <w:tcW w:w="1843" w:type="dxa"/>
          </w:tcPr>
          <w:p w14:paraId="17390D5D" w14:textId="5721CC09"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0.117</w:t>
            </w:r>
          </w:p>
        </w:tc>
        <w:tc>
          <w:tcPr>
            <w:tcW w:w="1984" w:type="dxa"/>
            <w:vAlign w:val="center"/>
          </w:tcPr>
          <w:p w14:paraId="02C25DEA" w14:textId="72E784EE"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7599852A" w14:textId="77777777" w:rsidR="00CF449D" w:rsidRPr="00AF1948" w:rsidRDefault="00CF449D" w:rsidP="003B7608">
            <w:pPr>
              <w:jc w:val="center"/>
              <w:rPr>
                <w:rFonts w:ascii="Times New Roman" w:hAnsi="Times New Roman" w:cs="Times New Roman"/>
                <w:kern w:val="0"/>
                <w:sz w:val="18"/>
                <w:szCs w:val="18"/>
              </w:rPr>
            </w:pPr>
          </w:p>
        </w:tc>
      </w:tr>
      <w:tr w:rsidR="00CF449D" w14:paraId="30B42B45" w14:textId="77777777" w:rsidTr="00CF449D">
        <w:tc>
          <w:tcPr>
            <w:tcW w:w="4103" w:type="dxa"/>
          </w:tcPr>
          <w:p w14:paraId="33D55C60" w14:textId="77777777" w:rsidR="00CF449D" w:rsidRPr="00BA167E" w:rsidRDefault="00CF449D" w:rsidP="003B7608">
            <w:pPr>
              <w:rPr>
                <w:rFonts w:ascii="Times New Roman" w:hAnsi="Times New Roman" w:cs="Times New Roman"/>
                <w:sz w:val="18"/>
                <w:szCs w:val="18"/>
              </w:rPr>
            </w:pPr>
          </w:p>
        </w:tc>
        <w:tc>
          <w:tcPr>
            <w:tcW w:w="2126" w:type="dxa"/>
            <w:vAlign w:val="center"/>
          </w:tcPr>
          <w:p w14:paraId="1B4590D1"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56D14F68" w14:textId="77777777" w:rsidR="00CF449D" w:rsidRPr="00BA167E" w:rsidRDefault="00CF449D" w:rsidP="003B7608">
            <w:pPr>
              <w:jc w:val="center"/>
              <w:rPr>
                <w:rFonts w:ascii="Times New Roman" w:hAnsi="Times New Roman" w:cs="Times New Roman"/>
                <w:kern w:val="0"/>
                <w:sz w:val="18"/>
                <w:szCs w:val="18"/>
              </w:rPr>
            </w:pPr>
          </w:p>
        </w:tc>
        <w:tc>
          <w:tcPr>
            <w:tcW w:w="1843" w:type="dxa"/>
          </w:tcPr>
          <w:p w14:paraId="36E02C70" w14:textId="355F6801" w:rsidR="00CF449D" w:rsidRPr="00BA167E" w:rsidRDefault="00CF449D" w:rsidP="003B7608">
            <w:pPr>
              <w:jc w:val="center"/>
              <w:rPr>
                <w:rFonts w:ascii="Times New Roman" w:hAnsi="Times New Roman" w:cs="Times New Roman"/>
                <w:kern w:val="0"/>
                <w:sz w:val="18"/>
                <w:szCs w:val="18"/>
              </w:rPr>
            </w:pPr>
            <w:r w:rsidRPr="00CB72C4">
              <w:rPr>
                <w:rFonts w:ascii="Times New Roman" w:hAnsi="Times New Roman" w:cs="Times New Roman"/>
                <w:kern w:val="0"/>
                <w:sz w:val="18"/>
                <w:szCs w:val="18"/>
              </w:rPr>
              <w:t>(1.21)</w:t>
            </w:r>
          </w:p>
        </w:tc>
        <w:tc>
          <w:tcPr>
            <w:tcW w:w="1984" w:type="dxa"/>
            <w:vAlign w:val="center"/>
          </w:tcPr>
          <w:p w14:paraId="51158E7E" w14:textId="6AA158BC" w:rsidR="00CF449D" w:rsidRPr="00AF1948" w:rsidRDefault="00CF449D" w:rsidP="003B7608">
            <w:pPr>
              <w:jc w:val="center"/>
              <w:rPr>
                <w:rFonts w:ascii="Times New Roman" w:hAnsi="Times New Roman" w:cs="Times New Roman"/>
                <w:kern w:val="0"/>
                <w:sz w:val="18"/>
                <w:szCs w:val="18"/>
              </w:rPr>
            </w:pPr>
          </w:p>
        </w:tc>
        <w:tc>
          <w:tcPr>
            <w:tcW w:w="1901" w:type="dxa"/>
            <w:vAlign w:val="center"/>
          </w:tcPr>
          <w:p w14:paraId="43084E64" w14:textId="77777777" w:rsidR="00CF449D" w:rsidRPr="00AF1948" w:rsidRDefault="00CF449D" w:rsidP="003B7608">
            <w:pPr>
              <w:jc w:val="center"/>
              <w:rPr>
                <w:rFonts w:ascii="Times New Roman" w:hAnsi="Times New Roman" w:cs="Times New Roman"/>
                <w:kern w:val="0"/>
                <w:sz w:val="18"/>
                <w:szCs w:val="18"/>
              </w:rPr>
            </w:pPr>
          </w:p>
        </w:tc>
      </w:tr>
      <w:tr w:rsidR="00CF449D" w14:paraId="7151A9D3" w14:textId="77777777" w:rsidTr="00CF449D">
        <w:tc>
          <w:tcPr>
            <w:tcW w:w="4103" w:type="dxa"/>
          </w:tcPr>
          <w:p w14:paraId="661CF6DB" w14:textId="5662CD5D"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LOWINDEPENDENCE</w:t>
            </w:r>
          </w:p>
        </w:tc>
        <w:tc>
          <w:tcPr>
            <w:tcW w:w="2126" w:type="dxa"/>
            <w:vAlign w:val="center"/>
          </w:tcPr>
          <w:p w14:paraId="00370DE6"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5B1CD7F7"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7C960D66" w14:textId="31A0C977" w:rsidR="00CF449D" w:rsidRPr="00BA167E" w:rsidRDefault="00CF449D" w:rsidP="003B7608">
            <w:pPr>
              <w:jc w:val="center"/>
              <w:rPr>
                <w:rFonts w:ascii="Times New Roman" w:hAnsi="Times New Roman" w:cs="Times New Roman"/>
                <w:kern w:val="0"/>
                <w:sz w:val="18"/>
                <w:szCs w:val="18"/>
              </w:rPr>
            </w:pPr>
          </w:p>
        </w:tc>
        <w:tc>
          <w:tcPr>
            <w:tcW w:w="1984" w:type="dxa"/>
          </w:tcPr>
          <w:p w14:paraId="238CF526" w14:textId="77EC7131" w:rsidR="00CF449D" w:rsidRPr="00AF1948"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w:t>
            </w:r>
            <w:r w:rsidRPr="0050578F">
              <w:rPr>
                <w:rFonts w:ascii="Times New Roman" w:hAnsi="Times New Roman" w:cs="Times New Roman"/>
                <w:kern w:val="0"/>
                <w:sz w:val="18"/>
                <w:szCs w:val="18"/>
              </w:rPr>
              <w:t>0.0</w:t>
            </w:r>
            <w:r>
              <w:rPr>
                <w:rFonts w:ascii="Times New Roman" w:hAnsi="Times New Roman" w:cs="Times New Roman"/>
                <w:kern w:val="0"/>
                <w:sz w:val="18"/>
                <w:szCs w:val="18"/>
              </w:rPr>
              <w:t>348</w:t>
            </w:r>
          </w:p>
        </w:tc>
        <w:tc>
          <w:tcPr>
            <w:tcW w:w="1901" w:type="dxa"/>
            <w:vAlign w:val="center"/>
          </w:tcPr>
          <w:p w14:paraId="71A56647" w14:textId="77777777" w:rsidR="00CF449D" w:rsidRPr="00AF1948" w:rsidRDefault="00CF449D" w:rsidP="003B7608">
            <w:pPr>
              <w:jc w:val="center"/>
              <w:rPr>
                <w:rFonts w:ascii="Times New Roman" w:hAnsi="Times New Roman" w:cs="Times New Roman"/>
                <w:kern w:val="0"/>
                <w:sz w:val="18"/>
                <w:szCs w:val="18"/>
              </w:rPr>
            </w:pPr>
          </w:p>
        </w:tc>
      </w:tr>
      <w:tr w:rsidR="00CF449D" w14:paraId="6FD3A537" w14:textId="77777777" w:rsidTr="00CF449D">
        <w:tc>
          <w:tcPr>
            <w:tcW w:w="4103" w:type="dxa"/>
          </w:tcPr>
          <w:p w14:paraId="64ED038E" w14:textId="77777777" w:rsidR="00CF449D" w:rsidRPr="00BA167E" w:rsidRDefault="00CF449D" w:rsidP="003B7608">
            <w:pPr>
              <w:rPr>
                <w:rFonts w:ascii="Times New Roman" w:hAnsi="Times New Roman" w:cs="Times New Roman"/>
                <w:sz w:val="18"/>
                <w:szCs w:val="18"/>
              </w:rPr>
            </w:pPr>
          </w:p>
        </w:tc>
        <w:tc>
          <w:tcPr>
            <w:tcW w:w="2126" w:type="dxa"/>
            <w:vAlign w:val="center"/>
          </w:tcPr>
          <w:p w14:paraId="73AE3AD2"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7E137B21"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4C67901B" w14:textId="4BF4FC73" w:rsidR="00CF449D" w:rsidRPr="00BA167E" w:rsidRDefault="00CF449D" w:rsidP="003B7608">
            <w:pPr>
              <w:jc w:val="center"/>
              <w:rPr>
                <w:rFonts w:ascii="Times New Roman" w:hAnsi="Times New Roman" w:cs="Times New Roman"/>
                <w:kern w:val="0"/>
                <w:sz w:val="18"/>
                <w:szCs w:val="18"/>
              </w:rPr>
            </w:pPr>
          </w:p>
        </w:tc>
        <w:tc>
          <w:tcPr>
            <w:tcW w:w="1984" w:type="dxa"/>
          </w:tcPr>
          <w:p w14:paraId="3C104409" w14:textId="16BEA3B9"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w:t>
            </w:r>
            <w:r>
              <w:rPr>
                <w:rFonts w:ascii="Times New Roman" w:hAnsi="Times New Roman" w:cs="Times New Roman"/>
                <w:kern w:val="0"/>
                <w:sz w:val="18"/>
                <w:szCs w:val="18"/>
              </w:rPr>
              <w:t>-</w:t>
            </w:r>
            <w:r w:rsidRPr="0050578F">
              <w:rPr>
                <w:rFonts w:ascii="Times New Roman" w:hAnsi="Times New Roman" w:cs="Times New Roman"/>
                <w:kern w:val="0"/>
                <w:sz w:val="18"/>
                <w:szCs w:val="18"/>
              </w:rPr>
              <w:t>0.</w:t>
            </w:r>
            <w:r>
              <w:rPr>
                <w:rFonts w:ascii="Times New Roman" w:hAnsi="Times New Roman" w:cs="Times New Roman"/>
                <w:kern w:val="0"/>
                <w:sz w:val="18"/>
                <w:szCs w:val="18"/>
              </w:rPr>
              <w:t>25</w:t>
            </w:r>
            <w:r w:rsidRPr="0050578F">
              <w:rPr>
                <w:rFonts w:ascii="Times New Roman" w:hAnsi="Times New Roman" w:cs="Times New Roman"/>
                <w:kern w:val="0"/>
                <w:sz w:val="18"/>
                <w:szCs w:val="18"/>
              </w:rPr>
              <w:t>)</w:t>
            </w:r>
          </w:p>
        </w:tc>
        <w:tc>
          <w:tcPr>
            <w:tcW w:w="1901" w:type="dxa"/>
            <w:vAlign w:val="center"/>
          </w:tcPr>
          <w:p w14:paraId="570EDA25" w14:textId="77777777" w:rsidR="00CF449D" w:rsidRPr="00AF1948" w:rsidRDefault="00CF449D" w:rsidP="003B7608">
            <w:pPr>
              <w:jc w:val="center"/>
              <w:rPr>
                <w:rFonts w:ascii="Times New Roman" w:hAnsi="Times New Roman" w:cs="Times New Roman"/>
                <w:kern w:val="0"/>
                <w:sz w:val="18"/>
                <w:szCs w:val="18"/>
              </w:rPr>
            </w:pPr>
          </w:p>
        </w:tc>
      </w:tr>
      <w:tr w:rsidR="00CF449D" w14:paraId="075E7217" w14:textId="77777777" w:rsidTr="00CF449D">
        <w:tc>
          <w:tcPr>
            <w:tcW w:w="4103" w:type="dxa"/>
          </w:tcPr>
          <w:p w14:paraId="25761EC7" w14:textId="2A4FA355"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LOWINDEPENDENCE</w:t>
            </w:r>
          </w:p>
        </w:tc>
        <w:tc>
          <w:tcPr>
            <w:tcW w:w="2126" w:type="dxa"/>
            <w:vAlign w:val="center"/>
          </w:tcPr>
          <w:p w14:paraId="3F876C12"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4949B5B8"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2BCD431D" w14:textId="68697CFE" w:rsidR="00CF449D" w:rsidRPr="00BA167E" w:rsidRDefault="00CF449D" w:rsidP="003B7608">
            <w:pPr>
              <w:jc w:val="center"/>
              <w:rPr>
                <w:rFonts w:ascii="Times New Roman" w:hAnsi="Times New Roman" w:cs="Times New Roman"/>
                <w:kern w:val="0"/>
                <w:sz w:val="18"/>
                <w:szCs w:val="18"/>
              </w:rPr>
            </w:pPr>
          </w:p>
        </w:tc>
        <w:tc>
          <w:tcPr>
            <w:tcW w:w="1984" w:type="dxa"/>
          </w:tcPr>
          <w:p w14:paraId="7C947F41" w14:textId="50CD2DAC" w:rsidR="00CF449D" w:rsidRPr="00AF1948" w:rsidRDefault="00CF449D" w:rsidP="003B7608">
            <w:pPr>
              <w:jc w:val="center"/>
              <w:rPr>
                <w:rFonts w:ascii="Times New Roman" w:hAnsi="Times New Roman" w:cs="Times New Roman"/>
                <w:kern w:val="0"/>
                <w:sz w:val="18"/>
                <w:szCs w:val="18"/>
              </w:rPr>
            </w:pPr>
            <w:r>
              <w:rPr>
                <w:rFonts w:ascii="Times New Roman" w:hAnsi="Times New Roman" w:cs="Times New Roman"/>
                <w:kern w:val="0"/>
                <w:sz w:val="18"/>
                <w:szCs w:val="18"/>
              </w:rPr>
              <w:t>-</w:t>
            </w:r>
            <w:r w:rsidRPr="0050578F">
              <w:rPr>
                <w:rFonts w:ascii="Times New Roman" w:hAnsi="Times New Roman" w:cs="Times New Roman"/>
                <w:kern w:val="0"/>
                <w:sz w:val="18"/>
                <w:szCs w:val="18"/>
              </w:rPr>
              <w:t>0.</w:t>
            </w:r>
            <w:r>
              <w:rPr>
                <w:rFonts w:ascii="Times New Roman" w:hAnsi="Times New Roman" w:cs="Times New Roman"/>
                <w:kern w:val="0"/>
                <w:sz w:val="18"/>
                <w:szCs w:val="18"/>
              </w:rPr>
              <w:t>326**</w:t>
            </w:r>
          </w:p>
        </w:tc>
        <w:tc>
          <w:tcPr>
            <w:tcW w:w="1901" w:type="dxa"/>
            <w:vAlign w:val="center"/>
          </w:tcPr>
          <w:p w14:paraId="67E2EB01" w14:textId="77777777" w:rsidR="00CF449D" w:rsidRPr="00AF1948" w:rsidRDefault="00CF449D" w:rsidP="003B7608">
            <w:pPr>
              <w:jc w:val="center"/>
              <w:rPr>
                <w:rFonts w:ascii="Times New Roman" w:hAnsi="Times New Roman" w:cs="Times New Roman"/>
                <w:kern w:val="0"/>
                <w:sz w:val="18"/>
                <w:szCs w:val="18"/>
              </w:rPr>
            </w:pPr>
          </w:p>
        </w:tc>
      </w:tr>
      <w:tr w:rsidR="00CF449D" w14:paraId="657D414B" w14:textId="77777777" w:rsidTr="00CF449D">
        <w:tc>
          <w:tcPr>
            <w:tcW w:w="4103" w:type="dxa"/>
          </w:tcPr>
          <w:p w14:paraId="4D4B7EF9" w14:textId="77777777" w:rsidR="00CF449D" w:rsidRPr="00BA167E" w:rsidRDefault="00CF449D" w:rsidP="003B7608">
            <w:pPr>
              <w:rPr>
                <w:rFonts w:ascii="Times New Roman" w:hAnsi="Times New Roman" w:cs="Times New Roman"/>
                <w:sz w:val="18"/>
                <w:szCs w:val="18"/>
              </w:rPr>
            </w:pPr>
          </w:p>
        </w:tc>
        <w:tc>
          <w:tcPr>
            <w:tcW w:w="2126" w:type="dxa"/>
            <w:vAlign w:val="center"/>
          </w:tcPr>
          <w:p w14:paraId="6452ED26"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5C60AAB6"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0381F524" w14:textId="7C4A3285" w:rsidR="00CF449D" w:rsidRPr="00BA167E" w:rsidRDefault="00CF449D" w:rsidP="003B7608">
            <w:pPr>
              <w:jc w:val="center"/>
              <w:rPr>
                <w:rFonts w:ascii="Times New Roman" w:hAnsi="Times New Roman" w:cs="Times New Roman"/>
                <w:kern w:val="0"/>
                <w:sz w:val="18"/>
                <w:szCs w:val="18"/>
              </w:rPr>
            </w:pPr>
          </w:p>
        </w:tc>
        <w:tc>
          <w:tcPr>
            <w:tcW w:w="1984" w:type="dxa"/>
          </w:tcPr>
          <w:p w14:paraId="2BA62492" w14:textId="7A866F4A"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w:t>
            </w:r>
            <w:r>
              <w:rPr>
                <w:rFonts w:ascii="Times New Roman" w:hAnsi="Times New Roman" w:cs="Times New Roman"/>
                <w:kern w:val="0"/>
                <w:sz w:val="18"/>
                <w:szCs w:val="18"/>
              </w:rPr>
              <w:t>-2</w:t>
            </w:r>
            <w:r w:rsidRPr="0050578F">
              <w:rPr>
                <w:rFonts w:ascii="Times New Roman" w:hAnsi="Times New Roman" w:cs="Times New Roman"/>
                <w:kern w:val="0"/>
                <w:sz w:val="18"/>
                <w:szCs w:val="18"/>
              </w:rPr>
              <w:t>.3</w:t>
            </w:r>
            <w:r>
              <w:rPr>
                <w:rFonts w:ascii="Times New Roman" w:hAnsi="Times New Roman" w:cs="Times New Roman"/>
                <w:kern w:val="0"/>
                <w:sz w:val="18"/>
                <w:szCs w:val="18"/>
              </w:rPr>
              <w:t>5</w:t>
            </w:r>
            <w:r w:rsidRPr="0050578F">
              <w:rPr>
                <w:rFonts w:ascii="Times New Roman" w:hAnsi="Times New Roman" w:cs="Times New Roman"/>
                <w:kern w:val="0"/>
                <w:sz w:val="18"/>
                <w:szCs w:val="18"/>
              </w:rPr>
              <w:t>)</w:t>
            </w:r>
          </w:p>
        </w:tc>
        <w:tc>
          <w:tcPr>
            <w:tcW w:w="1901" w:type="dxa"/>
            <w:vAlign w:val="center"/>
          </w:tcPr>
          <w:p w14:paraId="1FD5BB40" w14:textId="77777777" w:rsidR="00CF449D" w:rsidRPr="00AF1948" w:rsidRDefault="00CF449D" w:rsidP="003B7608">
            <w:pPr>
              <w:jc w:val="center"/>
              <w:rPr>
                <w:rFonts w:ascii="Times New Roman" w:hAnsi="Times New Roman" w:cs="Times New Roman"/>
                <w:kern w:val="0"/>
                <w:sz w:val="18"/>
                <w:szCs w:val="18"/>
              </w:rPr>
            </w:pPr>
          </w:p>
        </w:tc>
      </w:tr>
      <w:tr w:rsidR="00CF449D" w14:paraId="2B261212" w14:textId="77777777" w:rsidTr="00CF449D">
        <w:tc>
          <w:tcPr>
            <w:tcW w:w="4103" w:type="dxa"/>
          </w:tcPr>
          <w:p w14:paraId="163868C5" w14:textId="3DAC9E27"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HIGHCOMPLEXITY</w:t>
            </w:r>
          </w:p>
        </w:tc>
        <w:tc>
          <w:tcPr>
            <w:tcW w:w="2126" w:type="dxa"/>
            <w:vAlign w:val="center"/>
          </w:tcPr>
          <w:p w14:paraId="0D1815E0"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700BF0B6"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151E7B1E" w14:textId="430753FF"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4D65F142" w14:textId="19666CB4" w:rsidR="00CF449D" w:rsidRPr="00AF1948" w:rsidRDefault="00CF449D" w:rsidP="003B7608">
            <w:pPr>
              <w:jc w:val="center"/>
              <w:rPr>
                <w:rFonts w:ascii="Times New Roman" w:hAnsi="Times New Roman" w:cs="Times New Roman"/>
                <w:kern w:val="0"/>
                <w:sz w:val="18"/>
                <w:szCs w:val="18"/>
              </w:rPr>
            </w:pPr>
          </w:p>
        </w:tc>
        <w:tc>
          <w:tcPr>
            <w:tcW w:w="1901" w:type="dxa"/>
          </w:tcPr>
          <w:p w14:paraId="5AE55621" w14:textId="5729B722"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0.207***</w:t>
            </w:r>
          </w:p>
        </w:tc>
      </w:tr>
      <w:tr w:rsidR="00CF449D" w14:paraId="46748CB5" w14:textId="77777777" w:rsidTr="00CF449D">
        <w:tc>
          <w:tcPr>
            <w:tcW w:w="4103" w:type="dxa"/>
          </w:tcPr>
          <w:p w14:paraId="6E900D76" w14:textId="77777777" w:rsidR="00CF449D" w:rsidRPr="00BA167E" w:rsidRDefault="00CF449D" w:rsidP="003B7608">
            <w:pPr>
              <w:rPr>
                <w:rFonts w:ascii="Times New Roman" w:hAnsi="Times New Roman" w:cs="Times New Roman"/>
                <w:sz w:val="18"/>
                <w:szCs w:val="18"/>
              </w:rPr>
            </w:pPr>
          </w:p>
        </w:tc>
        <w:tc>
          <w:tcPr>
            <w:tcW w:w="2126" w:type="dxa"/>
            <w:vAlign w:val="center"/>
          </w:tcPr>
          <w:p w14:paraId="2761484D"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5A1F831E"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05F60B3D" w14:textId="7946B65F"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4B19E7DE" w14:textId="0008B8FF" w:rsidR="00CF449D" w:rsidRPr="00AF1948" w:rsidRDefault="00CF449D" w:rsidP="003B7608">
            <w:pPr>
              <w:jc w:val="center"/>
              <w:rPr>
                <w:rFonts w:ascii="Times New Roman" w:hAnsi="Times New Roman" w:cs="Times New Roman"/>
                <w:kern w:val="0"/>
                <w:sz w:val="18"/>
                <w:szCs w:val="18"/>
              </w:rPr>
            </w:pPr>
          </w:p>
        </w:tc>
        <w:tc>
          <w:tcPr>
            <w:tcW w:w="1901" w:type="dxa"/>
          </w:tcPr>
          <w:p w14:paraId="3BE11F24" w14:textId="766385FD"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(3.09)</w:t>
            </w:r>
          </w:p>
        </w:tc>
      </w:tr>
      <w:tr w:rsidR="00CF449D" w14:paraId="60298648" w14:textId="77777777" w:rsidTr="00CF449D">
        <w:tc>
          <w:tcPr>
            <w:tcW w:w="4103" w:type="dxa"/>
          </w:tcPr>
          <w:p w14:paraId="0046D36D" w14:textId="0197B7BE" w:rsidR="00CF449D" w:rsidRPr="00BA167E" w:rsidRDefault="00CF449D" w:rsidP="003B7608">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HIGHCOMPLEXITY</w:t>
            </w:r>
          </w:p>
        </w:tc>
        <w:tc>
          <w:tcPr>
            <w:tcW w:w="2126" w:type="dxa"/>
            <w:vAlign w:val="center"/>
          </w:tcPr>
          <w:p w14:paraId="38299DA4"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2F917A64"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7B112012" w14:textId="7EB064F3"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5B085942" w14:textId="57082E66" w:rsidR="00CF449D" w:rsidRPr="00AF1948" w:rsidRDefault="00CF449D" w:rsidP="003B7608">
            <w:pPr>
              <w:jc w:val="center"/>
              <w:rPr>
                <w:rFonts w:ascii="Times New Roman" w:hAnsi="Times New Roman" w:cs="Times New Roman"/>
                <w:kern w:val="0"/>
                <w:sz w:val="18"/>
                <w:szCs w:val="18"/>
              </w:rPr>
            </w:pPr>
          </w:p>
        </w:tc>
        <w:tc>
          <w:tcPr>
            <w:tcW w:w="1901" w:type="dxa"/>
          </w:tcPr>
          <w:p w14:paraId="6A552997" w14:textId="631837AA"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0.249**</w:t>
            </w:r>
          </w:p>
        </w:tc>
      </w:tr>
      <w:tr w:rsidR="00CF449D" w14:paraId="5D65D467" w14:textId="77777777" w:rsidTr="00CF449D">
        <w:tc>
          <w:tcPr>
            <w:tcW w:w="4103" w:type="dxa"/>
          </w:tcPr>
          <w:p w14:paraId="34115EBC" w14:textId="77777777" w:rsidR="00CF449D" w:rsidRPr="00BA167E" w:rsidRDefault="00CF449D" w:rsidP="003B7608">
            <w:pPr>
              <w:rPr>
                <w:rFonts w:ascii="Times New Roman" w:hAnsi="Times New Roman" w:cs="Times New Roman"/>
                <w:sz w:val="18"/>
                <w:szCs w:val="18"/>
              </w:rPr>
            </w:pPr>
          </w:p>
        </w:tc>
        <w:tc>
          <w:tcPr>
            <w:tcW w:w="2126" w:type="dxa"/>
            <w:vAlign w:val="center"/>
          </w:tcPr>
          <w:p w14:paraId="196C1F53" w14:textId="77777777" w:rsidR="00CF449D" w:rsidRPr="00BA167E" w:rsidRDefault="00CF449D" w:rsidP="003B7608">
            <w:pPr>
              <w:jc w:val="center"/>
              <w:rPr>
                <w:rFonts w:ascii="Times New Roman" w:hAnsi="Times New Roman" w:cs="Times New Roman"/>
                <w:kern w:val="0"/>
                <w:sz w:val="18"/>
                <w:szCs w:val="18"/>
              </w:rPr>
            </w:pPr>
          </w:p>
        </w:tc>
        <w:tc>
          <w:tcPr>
            <w:tcW w:w="1985" w:type="dxa"/>
            <w:vAlign w:val="center"/>
          </w:tcPr>
          <w:p w14:paraId="63FA8280" w14:textId="77777777" w:rsidR="00CF449D" w:rsidRPr="00BA167E" w:rsidRDefault="00CF449D" w:rsidP="003B7608">
            <w:pPr>
              <w:jc w:val="center"/>
              <w:rPr>
                <w:rFonts w:ascii="Times New Roman" w:hAnsi="Times New Roman" w:cs="Times New Roman"/>
                <w:kern w:val="0"/>
                <w:sz w:val="18"/>
                <w:szCs w:val="18"/>
              </w:rPr>
            </w:pPr>
          </w:p>
        </w:tc>
        <w:tc>
          <w:tcPr>
            <w:tcW w:w="1843" w:type="dxa"/>
            <w:vAlign w:val="center"/>
          </w:tcPr>
          <w:p w14:paraId="1C6D500E" w14:textId="12D347E2" w:rsidR="00CF449D" w:rsidRPr="00BA167E" w:rsidRDefault="00CF449D" w:rsidP="003B7608">
            <w:pPr>
              <w:jc w:val="center"/>
              <w:rPr>
                <w:rFonts w:ascii="Times New Roman" w:hAnsi="Times New Roman" w:cs="Times New Roman"/>
                <w:kern w:val="0"/>
                <w:sz w:val="18"/>
                <w:szCs w:val="18"/>
              </w:rPr>
            </w:pPr>
          </w:p>
        </w:tc>
        <w:tc>
          <w:tcPr>
            <w:tcW w:w="1984" w:type="dxa"/>
            <w:vAlign w:val="center"/>
          </w:tcPr>
          <w:p w14:paraId="28A4DD9D" w14:textId="32B16853" w:rsidR="00CF449D" w:rsidRPr="00AF1948" w:rsidRDefault="00CF449D" w:rsidP="003B7608">
            <w:pPr>
              <w:jc w:val="center"/>
              <w:rPr>
                <w:rFonts w:ascii="Times New Roman" w:hAnsi="Times New Roman" w:cs="Times New Roman"/>
                <w:kern w:val="0"/>
                <w:sz w:val="18"/>
                <w:szCs w:val="18"/>
              </w:rPr>
            </w:pPr>
          </w:p>
        </w:tc>
        <w:tc>
          <w:tcPr>
            <w:tcW w:w="1901" w:type="dxa"/>
          </w:tcPr>
          <w:p w14:paraId="57D6902C" w14:textId="331C5F3B" w:rsidR="00CF449D" w:rsidRPr="00AF1948" w:rsidRDefault="00CF449D" w:rsidP="003B7608">
            <w:pPr>
              <w:jc w:val="center"/>
              <w:rPr>
                <w:rFonts w:ascii="Times New Roman" w:hAnsi="Times New Roman" w:cs="Times New Roman"/>
                <w:kern w:val="0"/>
                <w:sz w:val="18"/>
                <w:szCs w:val="18"/>
              </w:rPr>
            </w:pPr>
            <w:r w:rsidRPr="0050578F">
              <w:rPr>
                <w:rFonts w:ascii="Times New Roman" w:hAnsi="Times New Roman" w:cs="Times New Roman"/>
                <w:kern w:val="0"/>
                <w:sz w:val="18"/>
                <w:szCs w:val="18"/>
              </w:rPr>
              <w:t>(2.39)</w:t>
            </w:r>
          </w:p>
        </w:tc>
      </w:tr>
      <w:tr w:rsidR="00CF449D" w14:paraId="43C97D47" w14:textId="77777777" w:rsidTr="00CF449D">
        <w:tc>
          <w:tcPr>
            <w:tcW w:w="4103" w:type="dxa"/>
          </w:tcPr>
          <w:p w14:paraId="6FE991C3" w14:textId="19D5ACA2" w:rsidR="00CF449D" w:rsidRPr="00AF1948" w:rsidRDefault="00CF449D" w:rsidP="00D85996">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LOW</w:t>
            </w:r>
            <w:r w:rsidRPr="00CB72C4">
              <w:rPr>
                <w:rFonts w:ascii="Times New Roman" w:hAnsi="Times New Roman" w:cs="Times New Roman"/>
                <w:i/>
                <w:iCs/>
                <w:kern w:val="0"/>
                <w:sz w:val="18"/>
                <w:szCs w:val="18"/>
              </w:rPr>
              <w:t>S</w:t>
            </w:r>
            <w:r>
              <w:rPr>
                <w:rFonts w:ascii="Times New Roman" w:hAnsi="Times New Roman" w:cs="Times New Roman"/>
                <w:i/>
                <w:iCs/>
                <w:kern w:val="0"/>
                <w:sz w:val="18"/>
                <w:szCs w:val="18"/>
              </w:rPr>
              <w:t>TRUCTURE</w:t>
            </w:r>
          </w:p>
        </w:tc>
        <w:tc>
          <w:tcPr>
            <w:tcW w:w="2126" w:type="dxa"/>
          </w:tcPr>
          <w:p w14:paraId="6E89DEEC" w14:textId="66DA38B8" w:rsidR="00CF449D" w:rsidRPr="00414E0F" w:rsidRDefault="00CF449D" w:rsidP="00D85996">
            <w:pPr>
              <w:jc w:val="center"/>
              <w:rPr>
                <w:rFonts w:ascii="Times New Roman" w:hAnsi="Times New Roman" w:cs="Times New Roman"/>
                <w:b/>
                <w:bCs/>
                <w:kern w:val="0"/>
                <w:sz w:val="18"/>
                <w:szCs w:val="18"/>
              </w:rPr>
            </w:pPr>
            <w:r w:rsidRPr="006E6978">
              <w:rPr>
                <w:rFonts w:ascii="Times New Roman" w:hAnsi="Times New Roman" w:cs="Times New Roman"/>
                <w:kern w:val="0"/>
                <w:sz w:val="18"/>
                <w:szCs w:val="18"/>
              </w:rPr>
              <w:t>-</w:t>
            </w:r>
            <w:r>
              <w:rPr>
                <w:rFonts w:ascii="Times New Roman" w:hAnsi="Times New Roman" w:cs="Times New Roman"/>
                <w:kern w:val="0"/>
                <w:sz w:val="18"/>
                <w:szCs w:val="18"/>
              </w:rPr>
              <w:t>0</w:t>
            </w:r>
            <w:r w:rsidRPr="006E6978">
              <w:rPr>
                <w:rFonts w:ascii="Times New Roman" w:hAnsi="Times New Roman" w:cs="Times New Roman"/>
                <w:kern w:val="0"/>
                <w:sz w:val="18"/>
                <w:szCs w:val="18"/>
              </w:rPr>
              <w:t>.624</w:t>
            </w:r>
            <w:r w:rsidRPr="00CB72C4">
              <w:rPr>
                <w:rFonts w:ascii="Times New Roman" w:hAnsi="Times New Roman" w:cs="Times New Roman"/>
                <w:kern w:val="0"/>
                <w:sz w:val="18"/>
                <w:szCs w:val="18"/>
              </w:rPr>
              <w:t>**</w:t>
            </w:r>
          </w:p>
        </w:tc>
        <w:tc>
          <w:tcPr>
            <w:tcW w:w="1985" w:type="dxa"/>
            <w:vAlign w:val="center"/>
          </w:tcPr>
          <w:p w14:paraId="3A39F1F4" w14:textId="77777777" w:rsidR="00CF449D" w:rsidRPr="00BA167E" w:rsidRDefault="00CF449D" w:rsidP="00D85996">
            <w:pPr>
              <w:jc w:val="center"/>
              <w:rPr>
                <w:rFonts w:ascii="Times New Roman" w:hAnsi="Times New Roman" w:cs="Times New Roman"/>
                <w:sz w:val="18"/>
                <w:szCs w:val="18"/>
              </w:rPr>
            </w:pPr>
          </w:p>
        </w:tc>
        <w:tc>
          <w:tcPr>
            <w:tcW w:w="1843" w:type="dxa"/>
            <w:vAlign w:val="center"/>
          </w:tcPr>
          <w:p w14:paraId="5C03FEF9" w14:textId="35AF50D8" w:rsidR="00CF449D" w:rsidRPr="00BA167E" w:rsidRDefault="00CF449D" w:rsidP="00D85996">
            <w:pPr>
              <w:jc w:val="center"/>
              <w:rPr>
                <w:rFonts w:ascii="Times New Roman" w:hAnsi="Times New Roman" w:cs="Times New Roman"/>
                <w:sz w:val="18"/>
                <w:szCs w:val="18"/>
              </w:rPr>
            </w:pPr>
          </w:p>
        </w:tc>
        <w:tc>
          <w:tcPr>
            <w:tcW w:w="1984" w:type="dxa"/>
            <w:vAlign w:val="center"/>
          </w:tcPr>
          <w:p w14:paraId="20596E6D" w14:textId="27DBA9BE" w:rsidR="00CF449D" w:rsidRPr="00BA167E" w:rsidRDefault="00CF449D" w:rsidP="00D85996">
            <w:pPr>
              <w:jc w:val="center"/>
              <w:rPr>
                <w:rFonts w:ascii="Times New Roman" w:hAnsi="Times New Roman" w:cs="Times New Roman"/>
                <w:sz w:val="18"/>
                <w:szCs w:val="18"/>
              </w:rPr>
            </w:pPr>
          </w:p>
        </w:tc>
        <w:tc>
          <w:tcPr>
            <w:tcW w:w="1901" w:type="dxa"/>
            <w:vAlign w:val="center"/>
          </w:tcPr>
          <w:p w14:paraId="21EE0884" w14:textId="77777777" w:rsidR="00CF449D" w:rsidRPr="00BA167E" w:rsidRDefault="00CF449D" w:rsidP="00D85996">
            <w:pPr>
              <w:jc w:val="center"/>
              <w:rPr>
                <w:rFonts w:ascii="Times New Roman" w:hAnsi="Times New Roman" w:cs="Times New Roman"/>
                <w:sz w:val="18"/>
                <w:szCs w:val="18"/>
              </w:rPr>
            </w:pPr>
          </w:p>
        </w:tc>
      </w:tr>
      <w:tr w:rsidR="00CF449D" w14:paraId="0C4451E7" w14:textId="77777777" w:rsidTr="00CF449D">
        <w:tc>
          <w:tcPr>
            <w:tcW w:w="4103" w:type="dxa"/>
          </w:tcPr>
          <w:p w14:paraId="23D7F804" w14:textId="77777777" w:rsidR="00CF449D" w:rsidRPr="00AF1948" w:rsidRDefault="00CF449D" w:rsidP="00D85996">
            <w:pPr>
              <w:rPr>
                <w:rFonts w:ascii="Times New Roman" w:hAnsi="Times New Roman" w:cs="Times New Roman"/>
                <w:b/>
                <w:bCs/>
                <w:i/>
                <w:iCs/>
                <w:color w:val="000000"/>
                <w:sz w:val="18"/>
                <w:szCs w:val="18"/>
              </w:rPr>
            </w:pPr>
          </w:p>
        </w:tc>
        <w:tc>
          <w:tcPr>
            <w:tcW w:w="2126" w:type="dxa"/>
          </w:tcPr>
          <w:p w14:paraId="2F528885" w14:textId="5CBED4B7" w:rsidR="00CF449D" w:rsidRPr="00414E0F" w:rsidRDefault="00CF449D" w:rsidP="00D85996">
            <w:pPr>
              <w:jc w:val="center"/>
              <w:rPr>
                <w:rFonts w:ascii="Times New Roman" w:hAnsi="Times New Roman" w:cs="Times New Roman"/>
                <w:b/>
                <w:bCs/>
                <w:kern w:val="0"/>
                <w:sz w:val="18"/>
                <w:szCs w:val="18"/>
              </w:rPr>
            </w:pPr>
            <w:r w:rsidRPr="00CB72C4">
              <w:rPr>
                <w:rFonts w:ascii="Times New Roman" w:hAnsi="Times New Roman" w:cs="Times New Roman"/>
                <w:kern w:val="0"/>
                <w:sz w:val="18"/>
                <w:szCs w:val="18"/>
              </w:rPr>
              <w:t>(</w:t>
            </w:r>
            <w:r w:rsidRPr="00E14107">
              <w:rPr>
                <w:rFonts w:ascii="Times New Roman" w:hAnsi="Times New Roman" w:cs="Times New Roman"/>
                <w:kern w:val="0"/>
                <w:sz w:val="18"/>
                <w:szCs w:val="18"/>
              </w:rPr>
              <w:t>-2.00</w:t>
            </w:r>
            <w:r w:rsidRPr="00CB72C4">
              <w:rPr>
                <w:rFonts w:ascii="Times New Roman" w:hAnsi="Times New Roman" w:cs="Times New Roman"/>
                <w:kern w:val="0"/>
                <w:sz w:val="18"/>
                <w:szCs w:val="18"/>
              </w:rPr>
              <w:t>)</w:t>
            </w:r>
          </w:p>
        </w:tc>
        <w:tc>
          <w:tcPr>
            <w:tcW w:w="1985" w:type="dxa"/>
            <w:vAlign w:val="center"/>
          </w:tcPr>
          <w:p w14:paraId="0C4C32B5" w14:textId="77777777" w:rsidR="00CF449D" w:rsidRPr="00BA167E" w:rsidRDefault="00CF449D" w:rsidP="00D85996">
            <w:pPr>
              <w:jc w:val="center"/>
              <w:rPr>
                <w:rFonts w:ascii="Times New Roman" w:hAnsi="Times New Roman" w:cs="Times New Roman"/>
                <w:sz w:val="18"/>
                <w:szCs w:val="18"/>
              </w:rPr>
            </w:pPr>
          </w:p>
        </w:tc>
        <w:tc>
          <w:tcPr>
            <w:tcW w:w="1843" w:type="dxa"/>
            <w:vAlign w:val="center"/>
          </w:tcPr>
          <w:p w14:paraId="6241FBCE" w14:textId="53CF07CA" w:rsidR="00CF449D" w:rsidRPr="00BA167E" w:rsidRDefault="00CF449D" w:rsidP="00D85996">
            <w:pPr>
              <w:jc w:val="center"/>
              <w:rPr>
                <w:rFonts w:ascii="Times New Roman" w:hAnsi="Times New Roman" w:cs="Times New Roman"/>
                <w:sz w:val="18"/>
                <w:szCs w:val="18"/>
              </w:rPr>
            </w:pPr>
          </w:p>
        </w:tc>
        <w:tc>
          <w:tcPr>
            <w:tcW w:w="1984" w:type="dxa"/>
            <w:vAlign w:val="center"/>
          </w:tcPr>
          <w:p w14:paraId="1865F491" w14:textId="4903BB60" w:rsidR="00CF449D" w:rsidRPr="00BA167E" w:rsidRDefault="00CF449D" w:rsidP="00D85996">
            <w:pPr>
              <w:jc w:val="center"/>
              <w:rPr>
                <w:rFonts w:ascii="Times New Roman" w:hAnsi="Times New Roman" w:cs="Times New Roman"/>
                <w:sz w:val="18"/>
                <w:szCs w:val="18"/>
              </w:rPr>
            </w:pPr>
          </w:p>
        </w:tc>
        <w:tc>
          <w:tcPr>
            <w:tcW w:w="1901" w:type="dxa"/>
            <w:vAlign w:val="center"/>
          </w:tcPr>
          <w:p w14:paraId="1A641347" w14:textId="77777777" w:rsidR="00CF449D" w:rsidRPr="00BA167E" w:rsidRDefault="00CF449D" w:rsidP="00D85996">
            <w:pPr>
              <w:jc w:val="center"/>
              <w:rPr>
                <w:rFonts w:ascii="Times New Roman" w:hAnsi="Times New Roman" w:cs="Times New Roman"/>
                <w:sz w:val="18"/>
                <w:szCs w:val="18"/>
              </w:rPr>
            </w:pPr>
          </w:p>
        </w:tc>
      </w:tr>
      <w:tr w:rsidR="00CF449D" w14:paraId="32F7C8D0" w14:textId="77777777" w:rsidTr="00CF449D">
        <w:tc>
          <w:tcPr>
            <w:tcW w:w="4103" w:type="dxa"/>
          </w:tcPr>
          <w:p w14:paraId="3E6D96AF" w14:textId="195EA67E" w:rsidR="00CF449D" w:rsidRPr="00AF1948" w:rsidRDefault="00CF449D" w:rsidP="006D78DE">
            <w:pPr>
              <w:rPr>
                <w:rFonts w:ascii="Times New Roman" w:hAnsi="Times New Roman" w:cs="Times New Roman"/>
                <w:b/>
                <w:bCs/>
                <w:sz w:val="18"/>
                <w:szCs w:val="18"/>
              </w:rPr>
            </w:pPr>
            <w:r w:rsidRPr="00AF1948">
              <w:rPr>
                <w:rFonts w:ascii="Times New Roman" w:hAnsi="Times New Roman" w:cs="Times New Roman"/>
                <w:b/>
                <w:bCs/>
                <w:i/>
                <w:iCs/>
                <w:color w:val="000000"/>
                <w:sz w:val="18"/>
                <w:szCs w:val="18"/>
              </w:rPr>
              <w:t>EXCLUSION×</w:t>
            </w:r>
            <w:r>
              <w:rPr>
                <w:rFonts w:ascii="Times New Roman" w:hAnsi="Times New Roman" w:cs="Times New Roman"/>
                <w:b/>
                <w:bCs/>
                <w:i/>
                <w:iCs/>
                <w:color w:val="000000"/>
                <w:sz w:val="18"/>
                <w:szCs w:val="18"/>
              </w:rPr>
              <w:t>NARCIS</w:t>
            </w:r>
            <w:r w:rsidRPr="00AF1948">
              <w:rPr>
                <w:rFonts w:ascii="Times New Roman" w:hAnsi="Times New Roman" w:cs="Times New Roman"/>
                <w:b/>
                <w:bCs/>
                <w:i/>
                <w:iCs/>
                <w:color w:val="000000"/>
                <w:sz w:val="18"/>
                <w:szCs w:val="18"/>
              </w:rPr>
              <w:t>×LOW</w:t>
            </w:r>
            <w:r w:rsidRPr="00AF1948">
              <w:rPr>
                <w:rFonts w:ascii="Times New Roman" w:hAnsi="Times New Roman" w:cs="Times New Roman"/>
                <w:b/>
                <w:bCs/>
                <w:i/>
                <w:iCs/>
                <w:kern w:val="0"/>
                <w:sz w:val="18"/>
                <w:szCs w:val="18"/>
              </w:rPr>
              <w:t>STRUCTURE</w:t>
            </w:r>
          </w:p>
        </w:tc>
        <w:tc>
          <w:tcPr>
            <w:tcW w:w="2126" w:type="dxa"/>
            <w:vAlign w:val="center"/>
          </w:tcPr>
          <w:p w14:paraId="0D3A9995" w14:textId="77777777" w:rsidR="00CF449D" w:rsidRPr="00BA167E" w:rsidRDefault="00CF449D" w:rsidP="006D78DE">
            <w:pPr>
              <w:jc w:val="center"/>
              <w:rPr>
                <w:rFonts w:ascii="Times New Roman" w:hAnsi="Times New Roman" w:cs="Times New Roman"/>
                <w:sz w:val="18"/>
                <w:szCs w:val="18"/>
              </w:rPr>
            </w:pPr>
            <w:r w:rsidRPr="00414E0F">
              <w:rPr>
                <w:rFonts w:ascii="Times New Roman" w:hAnsi="Times New Roman" w:cs="Times New Roman"/>
                <w:b/>
                <w:bCs/>
                <w:kern w:val="0"/>
                <w:sz w:val="18"/>
                <w:szCs w:val="18"/>
              </w:rPr>
              <w:t>0.935*</w:t>
            </w:r>
          </w:p>
        </w:tc>
        <w:tc>
          <w:tcPr>
            <w:tcW w:w="1985" w:type="dxa"/>
            <w:vAlign w:val="center"/>
          </w:tcPr>
          <w:p w14:paraId="1C22B316" w14:textId="77777777" w:rsidR="00CF449D" w:rsidRPr="00BA167E" w:rsidRDefault="00CF449D" w:rsidP="006D78DE">
            <w:pPr>
              <w:jc w:val="center"/>
              <w:rPr>
                <w:rFonts w:ascii="Times New Roman" w:hAnsi="Times New Roman" w:cs="Times New Roman"/>
                <w:sz w:val="18"/>
                <w:szCs w:val="18"/>
              </w:rPr>
            </w:pPr>
          </w:p>
        </w:tc>
        <w:tc>
          <w:tcPr>
            <w:tcW w:w="1843" w:type="dxa"/>
            <w:vAlign w:val="center"/>
          </w:tcPr>
          <w:p w14:paraId="7A3D112E" w14:textId="1DAB1954" w:rsidR="00CF449D" w:rsidRPr="00BA167E" w:rsidRDefault="00CF449D" w:rsidP="006D78DE">
            <w:pPr>
              <w:jc w:val="center"/>
              <w:rPr>
                <w:rFonts w:ascii="Times New Roman" w:hAnsi="Times New Roman" w:cs="Times New Roman"/>
                <w:sz w:val="18"/>
                <w:szCs w:val="18"/>
              </w:rPr>
            </w:pPr>
          </w:p>
        </w:tc>
        <w:tc>
          <w:tcPr>
            <w:tcW w:w="1984" w:type="dxa"/>
            <w:vAlign w:val="center"/>
          </w:tcPr>
          <w:p w14:paraId="13C908C6" w14:textId="73401587" w:rsidR="00CF449D" w:rsidRPr="00BA167E" w:rsidRDefault="00CF449D" w:rsidP="006D78DE">
            <w:pPr>
              <w:jc w:val="center"/>
              <w:rPr>
                <w:rFonts w:ascii="Times New Roman" w:hAnsi="Times New Roman" w:cs="Times New Roman"/>
                <w:sz w:val="18"/>
                <w:szCs w:val="18"/>
              </w:rPr>
            </w:pPr>
          </w:p>
        </w:tc>
        <w:tc>
          <w:tcPr>
            <w:tcW w:w="1901" w:type="dxa"/>
            <w:vAlign w:val="center"/>
          </w:tcPr>
          <w:p w14:paraId="22625F89" w14:textId="77777777" w:rsidR="00CF449D" w:rsidRPr="00BA167E" w:rsidRDefault="00CF449D" w:rsidP="006D78DE">
            <w:pPr>
              <w:jc w:val="center"/>
              <w:rPr>
                <w:rFonts w:ascii="Times New Roman" w:hAnsi="Times New Roman" w:cs="Times New Roman"/>
                <w:sz w:val="18"/>
                <w:szCs w:val="18"/>
              </w:rPr>
            </w:pPr>
          </w:p>
        </w:tc>
      </w:tr>
      <w:tr w:rsidR="00CF449D" w14:paraId="0A1A77BC" w14:textId="77777777" w:rsidTr="00CF449D">
        <w:tc>
          <w:tcPr>
            <w:tcW w:w="4103" w:type="dxa"/>
          </w:tcPr>
          <w:p w14:paraId="66DF9652" w14:textId="77777777" w:rsidR="00CF449D" w:rsidRPr="00AF1948" w:rsidRDefault="00CF449D" w:rsidP="006D78DE">
            <w:pPr>
              <w:rPr>
                <w:rFonts w:ascii="Times New Roman" w:hAnsi="Times New Roman" w:cs="Times New Roman"/>
                <w:b/>
                <w:bCs/>
                <w:sz w:val="18"/>
                <w:szCs w:val="18"/>
              </w:rPr>
            </w:pPr>
          </w:p>
        </w:tc>
        <w:tc>
          <w:tcPr>
            <w:tcW w:w="2126" w:type="dxa"/>
            <w:vAlign w:val="center"/>
          </w:tcPr>
          <w:p w14:paraId="2A96C1EC" w14:textId="77777777" w:rsidR="00CF449D" w:rsidRPr="00BA167E" w:rsidRDefault="00CF449D" w:rsidP="006D78DE">
            <w:pPr>
              <w:jc w:val="center"/>
              <w:rPr>
                <w:rFonts w:ascii="Times New Roman" w:hAnsi="Times New Roman" w:cs="Times New Roman"/>
                <w:sz w:val="18"/>
                <w:szCs w:val="18"/>
              </w:rPr>
            </w:pPr>
            <w:r w:rsidRPr="00414E0F">
              <w:rPr>
                <w:rFonts w:ascii="Times New Roman" w:hAnsi="Times New Roman" w:cs="Times New Roman"/>
                <w:b/>
                <w:bCs/>
                <w:kern w:val="0"/>
                <w:sz w:val="18"/>
                <w:szCs w:val="18"/>
              </w:rPr>
              <w:t>(1.72)</w:t>
            </w:r>
          </w:p>
        </w:tc>
        <w:tc>
          <w:tcPr>
            <w:tcW w:w="1985" w:type="dxa"/>
            <w:vAlign w:val="center"/>
          </w:tcPr>
          <w:p w14:paraId="749A576B" w14:textId="77777777" w:rsidR="00CF449D" w:rsidRPr="00BA167E" w:rsidRDefault="00CF449D" w:rsidP="006D78DE">
            <w:pPr>
              <w:jc w:val="center"/>
              <w:rPr>
                <w:rFonts w:ascii="Times New Roman" w:hAnsi="Times New Roman" w:cs="Times New Roman"/>
                <w:sz w:val="18"/>
                <w:szCs w:val="18"/>
              </w:rPr>
            </w:pPr>
          </w:p>
        </w:tc>
        <w:tc>
          <w:tcPr>
            <w:tcW w:w="1843" w:type="dxa"/>
            <w:vAlign w:val="center"/>
          </w:tcPr>
          <w:p w14:paraId="60189828" w14:textId="1CFD060D" w:rsidR="00CF449D" w:rsidRPr="00BA167E" w:rsidRDefault="00CF449D" w:rsidP="006D78DE">
            <w:pPr>
              <w:jc w:val="center"/>
              <w:rPr>
                <w:rFonts w:ascii="Times New Roman" w:hAnsi="Times New Roman" w:cs="Times New Roman"/>
                <w:sz w:val="18"/>
                <w:szCs w:val="18"/>
              </w:rPr>
            </w:pPr>
          </w:p>
        </w:tc>
        <w:tc>
          <w:tcPr>
            <w:tcW w:w="1984" w:type="dxa"/>
            <w:vAlign w:val="center"/>
          </w:tcPr>
          <w:p w14:paraId="2A923323" w14:textId="094F29C4" w:rsidR="00CF449D" w:rsidRPr="00BA167E" w:rsidRDefault="00CF449D" w:rsidP="006D78DE">
            <w:pPr>
              <w:jc w:val="center"/>
              <w:rPr>
                <w:rFonts w:ascii="Times New Roman" w:hAnsi="Times New Roman" w:cs="Times New Roman"/>
                <w:sz w:val="18"/>
                <w:szCs w:val="18"/>
              </w:rPr>
            </w:pPr>
          </w:p>
        </w:tc>
        <w:tc>
          <w:tcPr>
            <w:tcW w:w="1901" w:type="dxa"/>
            <w:vAlign w:val="center"/>
          </w:tcPr>
          <w:p w14:paraId="45C0A22D" w14:textId="77777777" w:rsidR="00CF449D" w:rsidRPr="00BA167E" w:rsidRDefault="00CF449D" w:rsidP="006D78DE">
            <w:pPr>
              <w:jc w:val="center"/>
              <w:rPr>
                <w:rFonts w:ascii="Times New Roman" w:hAnsi="Times New Roman" w:cs="Times New Roman"/>
                <w:sz w:val="18"/>
                <w:szCs w:val="18"/>
              </w:rPr>
            </w:pPr>
          </w:p>
        </w:tc>
      </w:tr>
      <w:tr w:rsidR="00D85996" w14:paraId="4A4687C6" w14:textId="77777777" w:rsidTr="00CF449D">
        <w:tc>
          <w:tcPr>
            <w:tcW w:w="13942" w:type="dxa"/>
            <w:gridSpan w:val="6"/>
          </w:tcPr>
          <w:p w14:paraId="03B823EA" w14:textId="4DBE371D" w:rsidR="00D85996" w:rsidRPr="007F6189" w:rsidRDefault="00964ADC" w:rsidP="00D85996">
            <w:pPr>
              <w:jc w:val="right"/>
              <w:rPr>
                <w:rFonts w:ascii="Times New Roman" w:hAnsi="Times New Roman" w:cs="Times New Roman"/>
                <w:i/>
                <w:iCs/>
                <w:sz w:val="20"/>
                <w:szCs w:val="20"/>
              </w:rPr>
            </w:pPr>
            <w:proofErr w:type="gramStart"/>
            <w:r w:rsidRPr="007F6189">
              <w:rPr>
                <w:rFonts w:ascii="Times New Roman" w:hAnsi="Times New Roman" w:cs="Times New Roman"/>
                <w:i/>
                <w:iCs/>
                <w:sz w:val="20"/>
                <w:szCs w:val="20"/>
              </w:rPr>
              <w:t>c</w:t>
            </w:r>
            <w:r w:rsidR="00D85996" w:rsidRPr="007F6189">
              <w:rPr>
                <w:rFonts w:ascii="Times New Roman" w:hAnsi="Times New Roman" w:cs="Times New Roman"/>
                <w:i/>
                <w:iCs/>
                <w:sz w:val="20"/>
                <w:szCs w:val="20"/>
              </w:rPr>
              <w:t>ontinued on</w:t>
            </w:r>
            <w:proofErr w:type="gramEnd"/>
            <w:r w:rsidR="00D85996" w:rsidRPr="007F6189">
              <w:rPr>
                <w:rFonts w:ascii="Times New Roman" w:hAnsi="Times New Roman" w:cs="Times New Roman"/>
                <w:i/>
                <w:iCs/>
                <w:sz w:val="20"/>
                <w:szCs w:val="20"/>
              </w:rPr>
              <w:t xml:space="preserve"> next page</w:t>
            </w:r>
          </w:p>
        </w:tc>
      </w:tr>
    </w:tbl>
    <w:p w14:paraId="1E002FD5" w14:textId="77777777" w:rsidR="00D85996" w:rsidRDefault="00D85996"/>
    <w:p w14:paraId="573FB1E1" w14:textId="77777777" w:rsidR="00D85996" w:rsidRDefault="00D85996"/>
    <w:p w14:paraId="79095388" w14:textId="77777777" w:rsidR="00D85996" w:rsidRDefault="00D85996"/>
    <w:p w14:paraId="40860E64" w14:textId="77777777" w:rsidR="00D85996" w:rsidRDefault="00D859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2126"/>
        <w:gridCol w:w="1985"/>
        <w:gridCol w:w="1843"/>
        <w:gridCol w:w="1984"/>
        <w:gridCol w:w="1901"/>
      </w:tblGrid>
      <w:tr w:rsidR="00D85996" w14:paraId="2B69B617" w14:textId="77777777" w:rsidTr="007F6189">
        <w:tc>
          <w:tcPr>
            <w:tcW w:w="13942" w:type="dxa"/>
            <w:gridSpan w:val="6"/>
          </w:tcPr>
          <w:p w14:paraId="7D39BF38" w14:textId="65CBE5FB" w:rsidR="00D85996" w:rsidRPr="007F6189" w:rsidRDefault="00D85996" w:rsidP="00D85996">
            <w:pPr>
              <w:rPr>
                <w:rFonts w:ascii="Times New Roman" w:hAnsi="Times New Roman" w:cs="Times New Roman"/>
                <w:b/>
                <w:bCs/>
                <w:sz w:val="20"/>
                <w:szCs w:val="20"/>
              </w:rPr>
            </w:pPr>
            <w:r w:rsidRPr="007F6189">
              <w:rPr>
                <w:rFonts w:ascii="Times New Roman" w:hAnsi="Times New Roman" w:cs="Times New Roman"/>
                <w:b/>
                <w:bCs/>
                <w:sz w:val="20"/>
                <w:szCs w:val="20"/>
              </w:rPr>
              <w:t xml:space="preserve">Table 6 </w:t>
            </w:r>
            <w:r w:rsidR="00964ADC" w:rsidRPr="007F6189">
              <w:rPr>
                <w:rFonts w:ascii="Times New Roman" w:hAnsi="Times New Roman" w:cs="Times New Roman"/>
                <w:sz w:val="20"/>
                <w:szCs w:val="20"/>
              </w:rPr>
              <w:t>(</w:t>
            </w:r>
            <w:r w:rsidR="00964ADC" w:rsidRPr="00A97628">
              <w:rPr>
                <w:rFonts w:ascii="Times New Roman" w:hAnsi="Times New Roman" w:cs="Times New Roman"/>
                <w:i/>
                <w:iCs/>
                <w:sz w:val="20"/>
                <w:szCs w:val="20"/>
              </w:rPr>
              <w:t>c</w:t>
            </w:r>
            <w:r w:rsidRPr="00A97628">
              <w:rPr>
                <w:rFonts w:ascii="Times New Roman" w:hAnsi="Times New Roman" w:cs="Times New Roman"/>
                <w:i/>
                <w:iCs/>
                <w:sz w:val="20"/>
                <w:szCs w:val="20"/>
              </w:rPr>
              <w:t>ontinued</w:t>
            </w:r>
            <w:r w:rsidR="00964ADC" w:rsidRPr="007F6189">
              <w:rPr>
                <w:rFonts w:ascii="Times New Roman" w:hAnsi="Times New Roman" w:cs="Times New Roman"/>
                <w:sz w:val="20"/>
                <w:szCs w:val="20"/>
              </w:rPr>
              <w:t>)</w:t>
            </w:r>
          </w:p>
        </w:tc>
      </w:tr>
      <w:tr w:rsidR="00CF449D" w14:paraId="6519BCFC" w14:textId="77777777" w:rsidTr="007F6189">
        <w:tc>
          <w:tcPr>
            <w:tcW w:w="4103" w:type="dxa"/>
            <w:tcBorders>
              <w:top w:val="single" w:sz="6" w:space="0" w:color="auto"/>
              <w:bottom w:val="single" w:sz="6" w:space="0" w:color="auto"/>
            </w:tcBorders>
          </w:tcPr>
          <w:p w14:paraId="117B55D1" w14:textId="4F3E0B26" w:rsidR="00D85996" w:rsidRPr="00D85996" w:rsidRDefault="00D85996" w:rsidP="00D85996">
            <w:pPr>
              <w:rPr>
                <w:rFonts w:ascii="Times New Roman" w:hAnsi="Times New Roman" w:cs="Times New Roman"/>
                <w:color w:val="000000"/>
                <w:sz w:val="18"/>
                <w:szCs w:val="18"/>
              </w:rPr>
            </w:pPr>
            <w:r>
              <w:rPr>
                <w:rFonts w:ascii="Times New Roman" w:hAnsi="Times New Roman" w:cs="Times New Roman"/>
                <w:color w:val="000000"/>
                <w:sz w:val="18"/>
                <w:szCs w:val="18"/>
              </w:rPr>
              <w:t xml:space="preserve">Variables </w:t>
            </w:r>
          </w:p>
        </w:tc>
        <w:tc>
          <w:tcPr>
            <w:tcW w:w="2126" w:type="dxa"/>
            <w:tcBorders>
              <w:top w:val="single" w:sz="6" w:space="0" w:color="auto"/>
              <w:bottom w:val="single" w:sz="6" w:space="0" w:color="auto"/>
            </w:tcBorders>
            <w:vAlign w:val="center"/>
          </w:tcPr>
          <w:p w14:paraId="4397F503" w14:textId="5900B26D" w:rsidR="00D85996" w:rsidRPr="00BA167E" w:rsidRDefault="00D85996" w:rsidP="00D85996">
            <w:pPr>
              <w:jc w:val="center"/>
              <w:rPr>
                <w:rFonts w:ascii="Times New Roman" w:hAnsi="Times New Roman" w:cs="Times New Roman"/>
                <w:sz w:val="18"/>
                <w:szCs w:val="18"/>
              </w:rPr>
            </w:pPr>
            <w:r>
              <w:rPr>
                <w:rFonts w:ascii="Times New Roman" w:hAnsi="Times New Roman" w:cs="Times New Roman"/>
                <w:sz w:val="18"/>
                <w:szCs w:val="18"/>
              </w:rPr>
              <w:t>(1)</w:t>
            </w:r>
          </w:p>
        </w:tc>
        <w:tc>
          <w:tcPr>
            <w:tcW w:w="1985" w:type="dxa"/>
            <w:tcBorders>
              <w:top w:val="single" w:sz="6" w:space="0" w:color="auto"/>
              <w:bottom w:val="single" w:sz="6" w:space="0" w:color="auto"/>
            </w:tcBorders>
          </w:tcPr>
          <w:p w14:paraId="379F55DF" w14:textId="40109FA9" w:rsidR="00D85996" w:rsidRDefault="00D85996" w:rsidP="00D85996">
            <w:pPr>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843" w:type="dxa"/>
            <w:tcBorders>
              <w:top w:val="single" w:sz="6" w:space="0" w:color="auto"/>
              <w:bottom w:val="single" w:sz="6" w:space="0" w:color="auto"/>
            </w:tcBorders>
            <w:vAlign w:val="center"/>
          </w:tcPr>
          <w:p w14:paraId="76AE276C" w14:textId="309E4E0E" w:rsidR="00D85996" w:rsidRPr="00BA167E" w:rsidRDefault="00D85996" w:rsidP="00D85996">
            <w:pPr>
              <w:jc w:val="center"/>
              <w:rPr>
                <w:rFonts w:ascii="Times New Roman" w:hAnsi="Times New Roman" w:cs="Times New Roman"/>
                <w:sz w:val="18"/>
                <w:szCs w:val="18"/>
              </w:rPr>
            </w:pPr>
            <w:r>
              <w:rPr>
                <w:rFonts w:ascii="Times New Roman" w:hAnsi="Times New Roman" w:cs="Times New Roman"/>
                <w:sz w:val="18"/>
                <w:szCs w:val="18"/>
              </w:rPr>
              <w:t>(3)</w:t>
            </w:r>
          </w:p>
        </w:tc>
        <w:tc>
          <w:tcPr>
            <w:tcW w:w="1984" w:type="dxa"/>
            <w:tcBorders>
              <w:top w:val="single" w:sz="6" w:space="0" w:color="auto"/>
              <w:bottom w:val="single" w:sz="6" w:space="0" w:color="auto"/>
            </w:tcBorders>
            <w:vAlign w:val="center"/>
          </w:tcPr>
          <w:p w14:paraId="122B4B28" w14:textId="43064935" w:rsidR="00D85996" w:rsidRPr="00BA167E" w:rsidRDefault="00D85996" w:rsidP="00D85996">
            <w:pPr>
              <w:jc w:val="center"/>
              <w:rPr>
                <w:rFonts w:ascii="Times New Roman" w:hAnsi="Times New Roman" w:cs="Times New Roman"/>
                <w:sz w:val="18"/>
                <w:szCs w:val="18"/>
              </w:rPr>
            </w:pPr>
            <w:r>
              <w:rPr>
                <w:rFonts w:ascii="Times New Roman" w:hAnsi="Times New Roman" w:cs="Times New Roman"/>
                <w:sz w:val="18"/>
                <w:szCs w:val="18"/>
              </w:rPr>
              <w:t>(4)</w:t>
            </w:r>
          </w:p>
        </w:tc>
        <w:tc>
          <w:tcPr>
            <w:tcW w:w="1901" w:type="dxa"/>
            <w:tcBorders>
              <w:top w:val="single" w:sz="6" w:space="0" w:color="auto"/>
              <w:bottom w:val="single" w:sz="6" w:space="0" w:color="auto"/>
            </w:tcBorders>
            <w:vAlign w:val="center"/>
          </w:tcPr>
          <w:p w14:paraId="21EEE6D2" w14:textId="0C1CB102" w:rsidR="00D85996" w:rsidRPr="00BA167E" w:rsidRDefault="00D85996" w:rsidP="00D85996">
            <w:pPr>
              <w:jc w:val="center"/>
              <w:rPr>
                <w:rFonts w:ascii="Times New Roman" w:hAnsi="Times New Roman" w:cs="Times New Roman"/>
                <w:sz w:val="18"/>
                <w:szCs w:val="18"/>
              </w:rPr>
            </w:pPr>
            <w:r>
              <w:rPr>
                <w:rFonts w:ascii="Times New Roman" w:hAnsi="Times New Roman" w:cs="Times New Roman"/>
                <w:sz w:val="18"/>
                <w:szCs w:val="18"/>
              </w:rPr>
              <w:t>(5)</w:t>
            </w:r>
          </w:p>
        </w:tc>
      </w:tr>
      <w:tr w:rsidR="00CF449D" w14:paraId="739303C0" w14:textId="77777777" w:rsidTr="007F6189">
        <w:tc>
          <w:tcPr>
            <w:tcW w:w="4103" w:type="dxa"/>
            <w:tcBorders>
              <w:top w:val="single" w:sz="6" w:space="0" w:color="auto"/>
            </w:tcBorders>
          </w:tcPr>
          <w:p w14:paraId="42439DFA" w14:textId="7F7AB12E" w:rsidR="00D85996" w:rsidRPr="00AF1948" w:rsidRDefault="00D85996" w:rsidP="00D85996">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sidR="00C91D2E">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LOW</w:t>
            </w:r>
            <w:r w:rsidRPr="00334015">
              <w:rPr>
                <w:rFonts w:ascii="Times New Roman" w:hAnsi="Times New Roman" w:cs="Times New Roman"/>
                <w:i/>
                <w:iCs/>
                <w:kern w:val="0"/>
                <w:sz w:val="18"/>
                <w:szCs w:val="18"/>
              </w:rPr>
              <w:t>EXPERT</w:t>
            </w:r>
          </w:p>
        </w:tc>
        <w:tc>
          <w:tcPr>
            <w:tcW w:w="2126" w:type="dxa"/>
            <w:tcBorders>
              <w:top w:val="single" w:sz="6" w:space="0" w:color="auto"/>
            </w:tcBorders>
            <w:vAlign w:val="center"/>
          </w:tcPr>
          <w:p w14:paraId="37105E3B" w14:textId="77777777" w:rsidR="00D85996" w:rsidRPr="00BA167E" w:rsidRDefault="00D85996" w:rsidP="00D85996">
            <w:pPr>
              <w:jc w:val="center"/>
              <w:rPr>
                <w:rFonts w:ascii="Times New Roman" w:hAnsi="Times New Roman" w:cs="Times New Roman"/>
                <w:sz w:val="18"/>
                <w:szCs w:val="18"/>
              </w:rPr>
            </w:pPr>
          </w:p>
        </w:tc>
        <w:tc>
          <w:tcPr>
            <w:tcW w:w="1985" w:type="dxa"/>
            <w:tcBorders>
              <w:top w:val="single" w:sz="6" w:space="0" w:color="auto"/>
            </w:tcBorders>
          </w:tcPr>
          <w:p w14:paraId="09FBD22E" w14:textId="733CCBF0" w:rsidR="00D85996" w:rsidRPr="00414E0F" w:rsidRDefault="00D85996" w:rsidP="00D85996">
            <w:pPr>
              <w:jc w:val="center"/>
              <w:rPr>
                <w:rFonts w:ascii="Times New Roman" w:hAnsi="Times New Roman" w:cs="Times New Roman"/>
                <w:b/>
                <w:bCs/>
                <w:kern w:val="0"/>
                <w:sz w:val="18"/>
                <w:szCs w:val="18"/>
              </w:rPr>
            </w:pPr>
            <w:r>
              <w:rPr>
                <w:rFonts w:ascii="Times New Roman" w:hAnsi="Times New Roman" w:cs="Times New Roman"/>
                <w:kern w:val="0"/>
                <w:sz w:val="18"/>
                <w:szCs w:val="18"/>
              </w:rPr>
              <w:t>-</w:t>
            </w:r>
            <w:r w:rsidRPr="00CB72C4">
              <w:rPr>
                <w:rFonts w:ascii="Times New Roman" w:hAnsi="Times New Roman" w:cs="Times New Roman"/>
                <w:kern w:val="0"/>
                <w:sz w:val="18"/>
                <w:szCs w:val="18"/>
              </w:rPr>
              <w:t>0.247</w:t>
            </w:r>
          </w:p>
        </w:tc>
        <w:tc>
          <w:tcPr>
            <w:tcW w:w="1843" w:type="dxa"/>
            <w:tcBorders>
              <w:top w:val="single" w:sz="6" w:space="0" w:color="auto"/>
            </w:tcBorders>
            <w:vAlign w:val="center"/>
          </w:tcPr>
          <w:p w14:paraId="1CBAF2E6" w14:textId="77777777" w:rsidR="00D85996" w:rsidRPr="00BA167E" w:rsidRDefault="00D85996" w:rsidP="00D85996">
            <w:pPr>
              <w:jc w:val="center"/>
              <w:rPr>
                <w:rFonts w:ascii="Times New Roman" w:hAnsi="Times New Roman" w:cs="Times New Roman"/>
                <w:sz w:val="18"/>
                <w:szCs w:val="18"/>
              </w:rPr>
            </w:pPr>
          </w:p>
        </w:tc>
        <w:tc>
          <w:tcPr>
            <w:tcW w:w="1984" w:type="dxa"/>
            <w:tcBorders>
              <w:top w:val="single" w:sz="6" w:space="0" w:color="auto"/>
            </w:tcBorders>
            <w:vAlign w:val="center"/>
          </w:tcPr>
          <w:p w14:paraId="4B052045" w14:textId="77777777" w:rsidR="00D85996" w:rsidRPr="00BA167E" w:rsidRDefault="00D85996" w:rsidP="00D85996">
            <w:pPr>
              <w:jc w:val="center"/>
              <w:rPr>
                <w:rFonts w:ascii="Times New Roman" w:hAnsi="Times New Roman" w:cs="Times New Roman"/>
                <w:sz w:val="18"/>
                <w:szCs w:val="18"/>
              </w:rPr>
            </w:pPr>
          </w:p>
        </w:tc>
        <w:tc>
          <w:tcPr>
            <w:tcW w:w="1901" w:type="dxa"/>
            <w:tcBorders>
              <w:top w:val="single" w:sz="6" w:space="0" w:color="auto"/>
            </w:tcBorders>
            <w:vAlign w:val="center"/>
          </w:tcPr>
          <w:p w14:paraId="1EB3D22E" w14:textId="77777777" w:rsidR="00D85996" w:rsidRPr="00BA167E" w:rsidRDefault="00D85996" w:rsidP="00D85996">
            <w:pPr>
              <w:jc w:val="center"/>
              <w:rPr>
                <w:rFonts w:ascii="Times New Roman" w:hAnsi="Times New Roman" w:cs="Times New Roman"/>
                <w:sz w:val="18"/>
                <w:szCs w:val="18"/>
              </w:rPr>
            </w:pPr>
          </w:p>
        </w:tc>
      </w:tr>
      <w:tr w:rsidR="00D85996" w14:paraId="5D04AEB4" w14:textId="77777777" w:rsidTr="007F6189">
        <w:tc>
          <w:tcPr>
            <w:tcW w:w="4103" w:type="dxa"/>
          </w:tcPr>
          <w:p w14:paraId="6A03E32B" w14:textId="77777777" w:rsidR="00D85996" w:rsidRPr="00AF1948" w:rsidRDefault="00D85996" w:rsidP="00D85996">
            <w:pPr>
              <w:rPr>
                <w:rFonts w:ascii="Times New Roman" w:hAnsi="Times New Roman" w:cs="Times New Roman"/>
                <w:b/>
                <w:bCs/>
                <w:i/>
                <w:iCs/>
                <w:color w:val="000000"/>
                <w:sz w:val="18"/>
                <w:szCs w:val="18"/>
              </w:rPr>
            </w:pPr>
          </w:p>
        </w:tc>
        <w:tc>
          <w:tcPr>
            <w:tcW w:w="2126" w:type="dxa"/>
            <w:vAlign w:val="center"/>
          </w:tcPr>
          <w:p w14:paraId="322EE3BB" w14:textId="77777777" w:rsidR="00D85996" w:rsidRPr="00BA167E" w:rsidRDefault="00D85996" w:rsidP="00D85996">
            <w:pPr>
              <w:jc w:val="center"/>
              <w:rPr>
                <w:rFonts w:ascii="Times New Roman" w:hAnsi="Times New Roman" w:cs="Times New Roman"/>
                <w:sz w:val="18"/>
                <w:szCs w:val="18"/>
              </w:rPr>
            </w:pPr>
          </w:p>
        </w:tc>
        <w:tc>
          <w:tcPr>
            <w:tcW w:w="1985" w:type="dxa"/>
          </w:tcPr>
          <w:p w14:paraId="4BE3411E" w14:textId="7E689D23" w:rsidR="00D85996" w:rsidRPr="00414E0F" w:rsidRDefault="00D85996" w:rsidP="00D85996">
            <w:pPr>
              <w:jc w:val="center"/>
              <w:rPr>
                <w:rFonts w:ascii="Times New Roman" w:hAnsi="Times New Roman" w:cs="Times New Roman"/>
                <w:b/>
                <w:bCs/>
                <w:kern w:val="0"/>
                <w:sz w:val="18"/>
                <w:szCs w:val="18"/>
              </w:rPr>
            </w:pPr>
            <w:r w:rsidRPr="00CB72C4">
              <w:rPr>
                <w:rFonts w:ascii="Times New Roman" w:hAnsi="Times New Roman" w:cs="Times New Roman"/>
                <w:kern w:val="0"/>
                <w:sz w:val="18"/>
                <w:szCs w:val="18"/>
              </w:rPr>
              <w:t>(</w:t>
            </w:r>
            <w:r>
              <w:rPr>
                <w:rFonts w:ascii="Times New Roman" w:hAnsi="Times New Roman" w:cs="Times New Roman"/>
                <w:kern w:val="0"/>
                <w:sz w:val="18"/>
                <w:szCs w:val="18"/>
              </w:rPr>
              <w:t>-</w:t>
            </w:r>
            <w:r w:rsidRPr="00CB72C4">
              <w:rPr>
                <w:rFonts w:ascii="Times New Roman" w:hAnsi="Times New Roman" w:cs="Times New Roman"/>
                <w:kern w:val="0"/>
                <w:sz w:val="18"/>
                <w:szCs w:val="18"/>
              </w:rPr>
              <w:t>0.55)</w:t>
            </w:r>
          </w:p>
        </w:tc>
        <w:tc>
          <w:tcPr>
            <w:tcW w:w="1843" w:type="dxa"/>
            <w:vAlign w:val="center"/>
          </w:tcPr>
          <w:p w14:paraId="684600F9" w14:textId="77777777" w:rsidR="00D85996" w:rsidRPr="00BA167E" w:rsidRDefault="00D85996" w:rsidP="00D85996">
            <w:pPr>
              <w:jc w:val="center"/>
              <w:rPr>
                <w:rFonts w:ascii="Times New Roman" w:hAnsi="Times New Roman" w:cs="Times New Roman"/>
                <w:sz w:val="18"/>
                <w:szCs w:val="18"/>
              </w:rPr>
            </w:pPr>
          </w:p>
        </w:tc>
        <w:tc>
          <w:tcPr>
            <w:tcW w:w="1984" w:type="dxa"/>
            <w:vAlign w:val="center"/>
          </w:tcPr>
          <w:p w14:paraId="60A051EE" w14:textId="77777777" w:rsidR="00D85996" w:rsidRPr="00BA167E" w:rsidRDefault="00D85996" w:rsidP="00D85996">
            <w:pPr>
              <w:jc w:val="center"/>
              <w:rPr>
                <w:rFonts w:ascii="Times New Roman" w:hAnsi="Times New Roman" w:cs="Times New Roman"/>
                <w:sz w:val="18"/>
                <w:szCs w:val="18"/>
              </w:rPr>
            </w:pPr>
          </w:p>
        </w:tc>
        <w:tc>
          <w:tcPr>
            <w:tcW w:w="1901" w:type="dxa"/>
            <w:vAlign w:val="center"/>
          </w:tcPr>
          <w:p w14:paraId="017412DF" w14:textId="77777777" w:rsidR="00D85996" w:rsidRPr="00BA167E" w:rsidRDefault="00D85996" w:rsidP="00D85996">
            <w:pPr>
              <w:jc w:val="center"/>
              <w:rPr>
                <w:rFonts w:ascii="Times New Roman" w:hAnsi="Times New Roman" w:cs="Times New Roman"/>
                <w:sz w:val="18"/>
                <w:szCs w:val="18"/>
              </w:rPr>
            </w:pPr>
          </w:p>
        </w:tc>
      </w:tr>
      <w:tr w:rsidR="005F0E39" w14:paraId="51E057A7" w14:textId="77777777" w:rsidTr="007F6189">
        <w:tc>
          <w:tcPr>
            <w:tcW w:w="4103" w:type="dxa"/>
          </w:tcPr>
          <w:p w14:paraId="3470238A" w14:textId="0E6F962E" w:rsidR="005F0E39" w:rsidRPr="00AF1948" w:rsidRDefault="005F0E39" w:rsidP="006D78DE">
            <w:pPr>
              <w:rPr>
                <w:rFonts w:ascii="Times New Roman" w:hAnsi="Times New Roman" w:cs="Times New Roman"/>
                <w:b/>
                <w:bCs/>
                <w:sz w:val="18"/>
                <w:szCs w:val="18"/>
              </w:rPr>
            </w:pPr>
            <w:r w:rsidRPr="00AF1948">
              <w:rPr>
                <w:rFonts w:ascii="Times New Roman" w:hAnsi="Times New Roman" w:cs="Times New Roman"/>
                <w:b/>
                <w:bCs/>
                <w:i/>
                <w:iCs/>
                <w:color w:val="000000"/>
                <w:sz w:val="18"/>
                <w:szCs w:val="18"/>
              </w:rPr>
              <w:t>EXCLUSION×</w:t>
            </w:r>
            <w:r w:rsidR="00C91D2E">
              <w:rPr>
                <w:rFonts w:ascii="Times New Roman" w:hAnsi="Times New Roman" w:cs="Times New Roman"/>
                <w:b/>
                <w:bCs/>
                <w:i/>
                <w:iCs/>
                <w:color w:val="000000"/>
                <w:sz w:val="18"/>
                <w:szCs w:val="18"/>
              </w:rPr>
              <w:t>NARCIS</w:t>
            </w:r>
            <w:r w:rsidRPr="00AF1948">
              <w:rPr>
                <w:rFonts w:ascii="Times New Roman" w:hAnsi="Times New Roman" w:cs="Times New Roman"/>
                <w:b/>
                <w:bCs/>
                <w:i/>
                <w:iCs/>
                <w:color w:val="000000"/>
                <w:sz w:val="18"/>
                <w:szCs w:val="18"/>
              </w:rPr>
              <w:t>×LOW</w:t>
            </w:r>
            <w:r w:rsidRPr="00AF1948">
              <w:rPr>
                <w:rFonts w:ascii="Times New Roman" w:hAnsi="Times New Roman" w:cs="Times New Roman"/>
                <w:b/>
                <w:bCs/>
                <w:i/>
                <w:iCs/>
                <w:kern w:val="0"/>
                <w:sz w:val="18"/>
                <w:szCs w:val="18"/>
              </w:rPr>
              <w:t>EXPERT</w:t>
            </w:r>
          </w:p>
        </w:tc>
        <w:tc>
          <w:tcPr>
            <w:tcW w:w="2126" w:type="dxa"/>
            <w:vAlign w:val="center"/>
          </w:tcPr>
          <w:p w14:paraId="4D104078"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0386258C" w14:textId="77777777" w:rsidR="005F0E39" w:rsidRPr="00BA167E" w:rsidRDefault="005F0E39" w:rsidP="006D78DE">
            <w:pPr>
              <w:jc w:val="center"/>
              <w:rPr>
                <w:rFonts w:ascii="Times New Roman" w:hAnsi="Times New Roman" w:cs="Times New Roman"/>
                <w:sz w:val="18"/>
                <w:szCs w:val="18"/>
              </w:rPr>
            </w:pPr>
            <w:r w:rsidRPr="00414E0F">
              <w:rPr>
                <w:rFonts w:ascii="Times New Roman" w:hAnsi="Times New Roman" w:cs="Times New Roman"/>
                <w:b/>
                <w:bCs/>
                <w:kern w:val="0"/>
                <w:sz w:val="18"/>
                <w:szCs w:val="18"/>
              </w:rPr>
              <w:t>2.153**</w:t>
            </w:r>
          </w:p>
        </w:tc>
        <w:tc>
          <w:tcPr>
            <w:tcW w:w="1843" w:type="dxa"/>
            <w:vAlign w:val="center"/>
          </w:tcPr>
          <w:p w14:paraId="4C5B1931" w14:textId="77777777" w:rsidR="005F0E39" w:rsidRPr="00BA167E" w:rsidRDefault="005F0E39" w:rsidP="006D78DE">
            <w:pPr>
              <w:jc w:val="center"/>
              <w:rPr>
                <w:rFonts w:ascii="Times New Roman" w:hAnsi="Times New Roman" w:cs="Times New Roman"/>
                <w:sz w:val="18"/>
                <w:szCs w:val="18"/>
              </w:rPr>
            </w:pPr>
          </w:p>
        </w:tc>
        <w:tc>
          <w:tcPr>
            <w:tcW w:w="1984" w:type="dxa"/>
            <w:vAlign w:val="center"/>
          </w:tcPr>
          <w:p w14:paraId="5DE24284" w14:textId="77777777" w:rsidR="005F0E39" w:rsidRPr="00BA167E" w:rsidRDefault="005F0E39" w:rsidP="006D78DE">
            <w:pPr>
              <w:jc w:val="center"/>
              <w:rPr>
                <w:rFonts w:ascii="Times New Roman" w:hAnsi="Times New Roman" w:cs="Times New Roman"/>
                <w:sz w:val="18"/>
                <w:szCs w:val="18"/>
              </w:rPr>
            </w:pPr>
          </w:p>
        </w:tc>
        <w:tc>
          <w:tcPr>
            <w:tcW w:w="1901" w:type="dxa"/>
            <w:vAlign w:val="center"/>
          </w:tcPr>
          <w:p w14:paraId="4C1EBA5D" w14:textId="77777777" w:rsidR="005F0E39" w:rsidRPr="00BA167E" w:rsidRDefault="005F0E39" w:rsidP="006D78DE">
            <w:pPr>
              <w:jc w:val="center"/>
              <w:rPr>
                <w:rFonts w:ascii="Times New Roman" w:hAnsi="Times New Roman" w:cs="Times New Roman"/>
                <w:sz w:val="18"/>
                <w:szCs w:val="18"/>
              </w:rPr>
            </w:pPr>
          </w:p>
        </w:tc>
      </w:tr>
      <w:tr w:rsidR="005F0E39" w14:paraId="335F449C" w14:textId="77777777" w:rsidTr="007F6189">
        <w:tc>
          <w:tcPr>
            <w:tcW w:w="4103" w:type="dxa"/>
          </w:tcPr>
          <w:p w14:paraId="268F81A7" w14:textId="77777777" w:rsidR="005F0E39" w:rsidRPr="00AF1948" w:rsidRDefault="005F0E39" w:rsidP="006D78DE">
            <w:pPr>
              <w:rPr>
                <w:rFonts w:ascii="Times New Roman" w:hAnsi="Times New Roman" w:cs="Times New Roman"/>
                <w:b/>
                <w:bCs/>
                <w:sz w:val="18"/>
                <w:szCs w:val="18"/>
              </w:rPr>
            </w:pPr>
          </w:p>
        </w:tc>
        <w:tc>
          <w:tcPr>
            <w:tcW w:w="2126" w:type="dxa"/>
            <w:vAlign w:val="center"/>
          </w:tcPr>
          <w:p w14:paraId="6A6DB14B"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0D376AFB" w14:textId="77777777" w:rsidR="005F0E39" w:rsidRPr="00BA167E" w:rsidRDefault="005F0E39" w:rsidP="006D78DE">
            <w:pPr>
              <w:jc w:val="center"/>
              <w:rPr>
                <w:rFonts w:ascii="Times New Roman" w:hAnsi="Times New Roman" w:cs="Times New Roman"/>
                <w:sz w:val="18"/>
                <w:szCs w:val="18"/>
              </w:rPr>
            </w:pPr>
            <w:r w:rsidRPr="00414E0F">
              <w:rPr>
                <w:rFonts w:ascii="Times New Roman" w:hAnsi="Times New Roman" w:cs="Times New Roman"/>
                <w:b/>
                <w:bCs/>
                <w:kern w:val="0"/>
                <w:sz w:val="18"/>
                <w:szCs w:val="18"/>
              </w:rPr>
              <w:t>(2.09)</w:t>
            </w:r>
          </w:p>
        </w:tc>
        <w:tc>
          <w:tcPr>
            <w:tcW w:w="1843" w:type="dxa"/>
            <w:vAlign w:val="center"/>
          </w:tcPr>
          <w:p w14:paraId="220FE5C5" w14:textId="77777777" w:rsidR="005F0E39" w:rsidRPr="00BA167E" w:rsidRDefault="005F0E39" w:rsidP="006D78DE">
            <w:pPr>
              <w:jc w:val="center"/>
              <w:rPr>
                <w:rFonts w:ascii="Times New Roman" w:hAnsi="Times New Roman" w:cs="Times New Roman"/>
                <w:sz w:val="18"/>
                <w:szCs w:val="18"/>
              </w:rPr>
            </w:pPr>
          </w:p>
        </w:tc>
        <w:tc>
          <w:tcPr>
            <w:tcW w:w="1984" w:type="dxa"/>
            <w:vAlign w:val="center"/>
          </w:tcPr>
          <w:p w14:paraId="56EE6E16" w14:textId="77777777" w:rsidR="005F0E39" w:rsidRPr="00BA167E" w:rsidRDefault="005F0E39" w:rsidP="006D78DE">
            <w:pPr>
              <w:jc w:val="center"/>
              <w:rPr>
                <w:rFonts w:ascii="Times New Roman" w:hAnsi="Times New Roman" w:cs="Times New Roman"/>
                <w:sz w:val="18"/>
                <w:szCs w:val="18"/>
              </w:rPr>
            </w:pPr>
          </w:p>
        </w:tc>
        <w:tc>
          <w:tcPr>
            <w:tcW w:w="1901" w:type="dxa"/>
            <w:vAlign w:val="center"/>
          </w:tcPr>
          <w:p w14:paraId="140232B0" w14:textId="77777777" w:rsidR="005F0E39" w:rsidRPr="00BA167E" w:rsidRDefault="005F0E39" w:rsidP="006D78DE">
            <w:pPr>
              <w:jc w:val="center"/>
              <w:rPr>
                <w:rFonts w:ascii="Times New Roman" w:hAnsi="Times New Roman" w:cs="Times New Roman"/>
                <w:sz w:val="18"/>
                <w:szCs w:val="18"/>
              </w:rPr>
            </w:pPr>
          </w:p>
        </w:tc>
      </w:tr>
      <w:tr w:rsidR="00D85996" w14:paraId="1432FA13" w14:textId="77777777" w:rsidTr="007F6189">
        <w:tc>
          <w:tcPr>
            <w:tcW w:w="4103" w:type="dxa"/>
          </w:tcPr>
          <w:p w14:paraId="2DBD1FBD" w14:textId="55E204D3" w:rsidR="00D85996" w:rsidRPr="00AF1948" w:rsidRDefault="00D85996" w:rsidP="00D85996">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sidR="00C91D2E">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LOW</w:t>
            </w:r>
            <w:r w:rsidRPr="00334015">
              <w:rPr>
                <w:rFonts w:ascii="Times New Roman" w:hAnsi="Times New Roman" w:cs="Times New Roman"/>
                <w:i/>
                <w:iCs/>
                <w:kern w:val="0"/>
                <w:sz w:val="18"/>
                <w:szCs w:val="18"/>
              </w:rPr>
              <w:t>OWNERSHIP</w:t>
            </w:r>
          </w:p>
        </w:tc>
        <w:tc>
          <w:tcPr>
            <w:tcW w:w="2126" w:type="dxa"/>
            <w:vAlign w:val="center"/>
          </w:tcPr>
          <w:p w14:paraId="4B777172" w14:textId="77777777" w:rsidR="00D85996" w:rsidRPr="00BA167E" w:rsidRDefault="00D85996" w:rsidP="00D85996">
            <w:pPr>
              <w:jc w:val="center"/>
              <w:rPr>
                <w:rFonts w:ascii="Times New Roman" w:hAnsi="Times New Roman" w:cs="Times New Roman"/>
                <w:sz w:val="18"/>
                <w:szCs w:val="18"/>
              </w:rPr>
            </w:pPr>
          </w:p>
        </w:tc>
        <w:tc>
          <w:tcPr>
            <w:tcW w:w="1985" w:type="dxa"/>
            <w:vAlign w:val="center"/>
          </w:tcPr>
          <w:p w14:paraId="40480FCF" w14:textId="77777777" w:rsidR="00D85996" w:rsidRPr="00BA167E" w:rsidRDefault="00D85996" w:rsidP="00D85996">
            <w:pPr>
              <w:jc w:val="center"/>
              <w:rPr>
                <w:rFonts w:ascii="Times New Roman" w:hAnsi="Times New Roman" w:cs="Times New Roman"/>
                <w:sz w:val="18"/>
                <w:szCs w:val="18"/>
              </w:rPr>
            </w:pPr>
          </w:p>
        </w:tc>
        <w:tc>
          <w:tcPr>
            <w:tcW w:w="1843" w:type="dxa"/>
          </w:tcPr>
          <w:p w14:paraId="27935988" w14:textId="74AF1DB6" w:rsidR="00D85996" w:rsidRPr="00414E0F" w:rsidRDefault="00D85996" w:rsidP="00D85996">
            <w:pPr>
              <w:jc w:val="center"/>
              <w:rPr>
                <w:rFonts w:ascii="Times New Roman" w:hAnsi="Times New Roman" w:cs="Times New Roman"/>
                <w:b/>
                <w:bCs/>
                <w:kern w:val="0"/>
                <w:sz w:val="18"/>
                <w:szCs w:val="18"/>
              </w:rPr>
            </w:pPr>
            <w:r>
              <w:rPr>
                <w:rFonts w:ascii="Times New Roman" w:hAnsi="Times New Roman" w:cs="Times New Roman"/>
                <w:kern w:val="0"/>
                <w:sz w:val="18"/>
                <w:szCs w:val="18"/>
              </w:rPr>
              <w:t>-</w:t>
            </w:r>
            <w:r w:rsidRPr="00CB72C4">
              <w:rPr>
                <w:rFonts w:ascii="Times New Roman" w:hAnsi="Times New Roman" w:cs="Times New Roman"/>
                <w:kern w:val="0"/>
                <w:sz w:val="18"/>
                <w:szCs w:val="18"/>
              </w:rPr>
              <w:t>0.292</w:t>
            </w:r>
          </w:p>
        </w:tc>
        <w:tc>
          <w:tcPr>
            <w:tcW w:w="1984" w:type="dxa"/>
            <w:vAlign w:val="center"/>
          </w:tcPr>
          <w:p w14:paraId="5ADE8E5F" w14:textId="77777777" w:rsidR="00D85996" w:rsidRPr="00BA167E" w:rsidRDefault="00D85996" w:rsidP="00D85996">
            <w:pPr>
              <w:jc w:val="center"/>
              <w:rPr>
                <w:rFonts w:ascii="Times New Roman" w:hAnsi="Times New Roman" w:cs="Times New Roman"/>
                <w:sz w:val="18"/>
                <w:szCs w:val="18"/>
              </w:rPr>
            </w:pPr>
          </w:p>
        </w:tc>
        <w:tc>
          <w:tcPr>
            <w:tcW w:w="1901" w:type="dxa"/>
            <w:vAlign w:val="center"/>
          </w:tcPr>
          <w:p w14:paraId="2708B5CB" w14:textId="77777777" w:rsidR="00D85996" w:rsidRPr="00BA167E" w:rsidRDefault="00D85996" w:rsidP="00D85996">
            <w:pPr>
              <w:jc w:val="center"/>
              <w:rPr>
                <w:rFonts w:ascii="Times New Roman" w:hAnsi="Times New Roman" w:cs="Times New Roman"/>
                <w:sz w:val="18"/>
                <w:szCs w:val="18"/>
              </w:rPr>
            </w:pPr>
          </w:p>
        </w:tc>
      </w:tr>
      <w:tr w:rsidR="00D85996" w14:paraId="0F726D45" w14:textId="77777777" w:rsidTr="007F6189">
        <w:tc>
          <w:tcPr>
            <w:tcW w:w="4103" w:type="dxa"/>
          </w:tcPr>
          <w:p w14:paraId="02B06FC4" w14:textId="77777777" w:rsidR="00D85996" w:rsidRPr="00AF1948" w:rsidRDefault="00D85996" w:rsidP="00D85996">
            <w:pPr>
              <w:rPr>
                <w:rFonts w:ascii="Times New Roman" w:hAnsi="Times New Roman" w:cs="Times New Roman"/>
                <w:b/>
                <w:bCs/>
                <w:i/>
                <w:iCs/>
                <w:color w:val="000000"/>
                <w:sz w:val="18"/>
                <w:szCs w:val="18"/>
              </w:rPr>
            </w:pPr>
          </w:p>
        </w:tc>
        <w:tc>
          <w:tcPr>
            <w:tcW w:w="2126" w:type="dxa"/>
            <w:vAlign w:val="center"/>
          </w:tcPr>
          <w:p w14:paraId="45BC62E8" w14:textId="77777777" w:rsidR="00D85996" w:rsidRPr="00BA167E" w:rsidRDefault="00D85996" w:rsidP="00D85996">
            <w:pPr>
              <w:jc w:val="center"/>
              <w:rPr>
                <w:rFonts w:ascii="Times New Roman" w:hAnsi="Times New Roman" w:cs="Times New Roman"/>
                <w:sz w:val="18"/>
                <w:szCs w:val="18"/>
              </w:rPr>
            </w:pPr>
          </w:p>
        </w:tc>
        <w:tc>
          <w:tcPr>
            <w:tcW w:w="1985" w:type="dxa"/>
            <w:vAlign w:val="center"/>
          </w:tcPr>
          <w:p w14:paraId="672B3AAB" w14:textId="77777777" w:rsidR="00D85996" w:rsidRPr="00BA167E" w:rsidRDefault="00D85996" w:rsidP="00D85996">
            <w:pPr>
              <w:jc w:val="center"/>
              <w:rPr>
                <w:rFonts w:ascii="Times New Roman" w:hAnsi="Times New Roman" w:cs="Times New Roman"/>
                <w:sz w:val="18"/>
                <w:szCs w:val="18"/>
              </w:rPr>
            </w:pPr>
          </w:p>
        </w:tc>
        <w:tc>
          <w:tcPr>
            <w:tcW w:w="1843" w:type="dxa"/>
          </w:tcPr>
          <w:p w14:paraId="0076A18B" w14:textId="7D13C906" w:rsidR="00D85996" w:rsidRPr="00414E0F" w:rsidRDefault="00D85996" w:rsidP="00D85996">
            <w:pPr>
              <w:jc w:val="center"/>
              <w:rPr>
                <w:rFonts w:ascii="Times New Roman" w:hAnsi="Times New Roman" w:cs="Times New Roman"/>
                <w:b/>
                <w:bCs/>
                <w:kern w:val="0"/>
                <w:sz w:val="18"/>
                <w:szCs w:val="18"/>
              </w:rPr>
            </w:pPr>
            <w:r w:rsidRPr="00CB72C4">
              <w:rPr>
                <w:rFonts w:ascii="Times New Roman" w:hAnsi="Times New Roman" w:cs="Times New Roman"/>
                <w:kern w:val="0"/>
                <w:sz w:val="18"/>
                <w:szCs w:val="18"/>
              </w:rPr>
              <w:t>(</w:t>
            </w:r>
            <w:r>
              <w:rPr>
                <w:rFonts w:ascii="Times New Roman" w:hAnsi="Times New Roman" w:cs="Times New Roman"/>
                <w:kern w:val="0"/>
                <w:sz w:val="18"/>
                <w:szCs w:val="18"/>
              </w:rPr>
              <w:t>-</w:t>
            </w:r>
            <w:r w:rsidRPr="00CB72C4">
              <w:rPr>
                <w:rFonts w:ascii="Times New Roman" w:hAnsi="Times New Roman" w:cs="Times New Roman"/>
                <w:kern w:val="0"/>
                <w:sz w:val="18"/>
                <w:szCs w:val="18"/>
              </w:rPr>
              <w:t>0.58)</w:t>
            </w:r>
          </w:p>
        </w:tc>
        <w:tc>
          <w:tcPr>
            <w:tcW w:w="1984" w:type="dxa"/>
            <w:vAlign w:val="center"/>
          </w:tcPr>
          <w:p w14:paraId="622008CB" w14:textId="77777777" w:rsidR="00D85996" w:rsidRPr="00BA167E" w:rsidRDefault="00D85996" w:rsidP="00D85996">
            <w:pPr>
              <w:jc w:val="center"/>
              <w:rPr>
                <w:rFonts w:ascii="Times New Roman" w:hAnsi="Times New Roman" w:cs="Times New Roman"/>
                <w:sz w:val="18"/>
                <w:szCs w:val="18"/>
              </w:rPr>
            </w:pPr>
          </w:p>
        </w:tc>
        <w:tc>
          <w:tcPr>
            <w:tcW w:w="1901" w:type="dxa"/>
            <w:vAlign w:val="center"/>
          </w:tcPr>
          <w:p w14:paraId="01FE2F8A" w14:textId="77777777" w:rsidR="00D85996" w:rsidRPr="00BA167E" w:rsidRDefault="00D85996" w:rsidP="00D85996">
            <w:pPr>
              <w:jc w:val="center"/>
              <w:rPr>
                <w:rFonts w:ascii="Times New Roman" w:hAnsi="Times New Roman" w:cs="Times New Roman"/>
                <w:sz w:val="18"/>
                <w:szCs w:val="18"/>
              </w:rPr>
            </w:pPr>
          </w:p>
        </w:tc>
      </w:tr>
      <w:tr w:rsidR="005F0E39" w14:paraId="4994C5B8" w14:textId="77777777" w:rsidTr="007F6189">
        <w:tc>
          <w:tcPr>
            <w:tcW w:w="4103" w:type="dxa"/>
          </w:tcPr>
          <w:p w14:paraId="68D7D0C3" w14:textId="0108B684" w:rsidR="005F0E39" w:rsidRPr="00AF1948" w:rsidRDefault="005F0E39" w:rsidP="006D78DE">
            <w:pPr>
              <w:rPr>
                <w:rFonts w:ascii="Times New Roman" w:hAnsi="Times New Roman" w:cs="Times New Roman"/>
                <w:b/>
                <w:bCs/>
                <w:sz w:val="18"/>
                <w:szCs w:val="18"/>
              </w:rPr>
            </w:pPr>
            <w:r w:rsidRPr="00AF1948">
              <w:rPr>
                <w:rFonts w:ascii="Times New Roman" w:hAnsi="Times New Roman" w:cs="Times New Roman"/>
                <w:b/>
                <w:bCs/>
                <w:i/>
                <w:iCs/>
                <w:color w:val="000000"/>
                <w:sz w:val="18"/>
                <w:szCs w:val="18"/>
              </w:rPr>
              <w:t>EXCLUSION×</w:t>
            </w:r>
            <w:r w:rsidR="00C91D2E">
              <w:rPr>
                <w:rFonts w:ascii="Times New Roman" w:hAnsi="Times New Roman" w:cs="Times New Roman"/>
                <w:b/>
                <w:bCs/>
                <w:i/>
                <w:iCs/>
                <w:color w:val="000000"/>
                <w:sz w:val="18"/>
                <w:szCs w:val="18"/>
              </w:rPr>
              <w:t>NARCIS</w:t>
            </w:r>
            <w:r w:rsidRPr="00AF1948">
              <w:rPr>
                <w:rFonts w:ascii="Times New Roman" w:hAnsi="Times New Roman" w:cs="Times New Roman"/>
                <w:b/>
                <w:bCs/>
                <w:i/>
                <w:iCs/>
                <w:color w:val="000000"/>
                <w:sz w:val="18"/>
                <w:szCs w:val="18"/>
              </w:rPr>
              <w:t>×LOW</w:t>
            </w:r>
            <w:r w:rsidRPr="00AF1948">
              <w:rPr>
                <w:rFonts w:ascii="Times New Roman" w:hAnsi="Times New Roman" w:cs="Times New Roman"/>
                <w:b/>
                <w:bCs/>
                <w:i/>
                <w:iCs/>
                <w:kern w:val="0"/>
                <w:sz w:val="18"/>
                <w:szCs w:val="18"/>
              </w:rPr>
              <w:t>OWNERSHIP</w:t>
            </w:r>
          </w:p>
        </w:tc>
        <w:tc>
          <w:tcPr>
            <w:tcW w:w="2126" w:type="dxa"/>
            <w:vAlign w:val="center"/>
          </w:tcPr>
          <w:p w14:paraId="3A70BC9B"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12005224" w14:textId="77777777" w:rsidR="005F0E39" w:rsidRPr="00BA167E" w:rsidRDefault="005F0E39" w:rsidP="006D78DE">
            <w:pPr>
              <w:jc w:val="center"/>
              <w:rPr>
                <w:rFonts w:ascii="Times New Roman" w:hAnsi="Times New Roman" w:cs="Times New Roman"/>
                <w:sz w:val="18"/>
                <w:szCs w:val="18"/>
              </w:rPr>
            </w:pPr>
          </w:p>
        </w:tc>
        <w:tc>
          <w:tcPr>
            <w:tcW w:w="1843" w:type="dxa"/>
            <w:vAlign w:val="center"/>
          </w:tcPr>
          <w:p w14:paraId="315BDBA9" w14:textId="77777777" w:rsidR="005F0E39" w:rsidRPr="00BA167E" w:rsidRDefault="005F0E39" w:rsidP="006D78DE">
            <w:pPr>
              <w:jc w:val="center"/>
              <w:rPr>
                <w:rFonts w:ascii="Times New Roman" w:hAnsi="Times New Roman" w:cs="Times New Roman"/>
                <w:sz w:val="18"/>
                <w:szCs w:val="18"/>
              </w:rPr>
            </w:pPr>
            <w:r w:rsidRPr="00414E0F">
              <w:rPr>
                <w:rFonts w:ascii="Times New Roman" w:hAnsi="Times New Roman" w:cs="Times New Roman"/>
                <w:b/>
                <w:bCs/>
                <w:kern w:val="0"/>
                <w:sz w:val="18"/>
                <w:szCs w:val="18"/>
              </w:rPr>
              <w:t>1.451*</w:t>
            </w:r>
          </w:p>
        </w:tc>
        <w:tc>
          <w:tcPr>
            <w:tcW w:w="1984" w:type="dxa"/>
            <w:vAlign w:val="center"/>
          </w:tcPr>
          <w:p w14:paraId="2C06BF28" w14:textId="77777777" w:rsidR="005F0E39" w:rsidRPr="00BA167E" w:rsidRDefault="005F0E39" w:rsidP="006D78DE">
            <w:pPr>
              <w:jc w:val="center"/>
              <w:rPr>
                <w:rFonts w:ascii="Times New Roman" w:hAnsi="Times New Roman" w:cs="Times New Roman"/>
                <w:sz w:val="18"/>
                <w:szCs w:val="18"/>
              </w:rPr>
            </w:pPr>
          </w:p>
        </w:tc>
        <w:tc>
          <w:tcPr>
            <w:tcW w:w="1901" w:type="dxa"/>
            <w:vAlign w:val="center"/>
          </w:tcPr>
          <w:p w14:paraId="19E0366D" w14:textId="77777777" w:rsidR="005F0E39" w:rsidRPr="00BA167E" w:rsidRDefault="005F0E39" w:rsidP="006D78DE">
            <w:pPr>
              <w:jc w:val="center"/>
              <w:rPr>
                <w:rFonts w:ascii="Times New Roman" w:hAnsi="Times New Roman" w:cs="Times New Roman"/>
                <w:sz w:val="18"/>
                <w:szCs w:val="18"/>
              </w:rPr>
            </w:pPr>
          </w:p>
        </w:tc>
      </w:tr>
      <w:tr w:rsidR="005F0E39" w14:paraId="507DB340" w14:textId="77777777" w:rsidTr="007F6189">
        <w:tc>
          <w:tcPr>
            <w:tcW w:w="4103" w:type="dxa"/>
          </w:tcPr>
          <w:p w14:paraId="6B7200AD" w14:textId="77777777" w:rsidR="005F0E39" w:rsidRPr="00AF1948" w:rsidRDefault="005F0E39" w:rsidP="006D78DE">
            <w:pPr>
              <w:rPr>
                <w:rFonts w:ascii="Times New Roman" w:hAnsi="Times New Roman" w:cs="Times New Roman"/>
                <w:b/>
                <w:bCs/>
                <w:sz w:val="18"/>
                <w:szCs w:val="18"/>
              </w:rPr>
            </w:pPr>
          </w:p>
        </w:tc>
        <w:tc>
          <w:tcPr>
            <w:tcW w:w="2126" w:type="dxa"/>
            <w:vAlign w:val="center"/>
          </w:tcPr>
          <w:p w14:paraId="0F90EF14"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46307A0D" w14:textId="77777777" w:rsidR="005F0E39" w:rsidRPr="00BA167E" w:rsidRDefault="005F0E39" w:rsidP="006D78DE">
            <w:pPr>
              <w:jc w:val="center"/>
              <w:rPr>
                <w:rFonts w:ascii="Times New Roman" w:hAnsi="Times New Roman" w:cs="Times New Roman"/>
                <w:sz w:val="18"/>
                <w:szCs w:val="18"/>
              </w:rPr>
            </w:pPr>
          </w:p>
        </w:tc>
        <w:tc>
          <w:tcPr>
            <w:tcW w:w="1843" w:type="dxa"/>
            <w:vAlign w:val="center"/>
          </w:tcPr>
          <w:p w14:paraId="4CC72FDF" w14:textId="77777777" w:rsidR="005F0E39" w:rsidRPr="00BA167E" w:rsidRDefault="005F0E39" w:rsidP="006D78DE">
            <w:pPr>
              <w:jc w:val="center"/>
              <w:rPr>
                <w:rFonts w:ascii="Times New Roman" w:hAnsi="Times New Roman" w:cs="Times New Roman"/>
                <w:sz w:val="18"/>
                <w:szCs w:val="18"/>
              </w:rPr>
            </w:pPr>
            <w:r w:rsidRPr="00414E0F">
              <w:rPr>
                <w:rFonts w:ascii="Times New Roman" w:hAnsi="Times New Roman" w:cs="Times New Roman"/>
                <w:b/>
                <w:bCs/>
                <w:kern w:val="0"/>
                <w:sz w:val="18"/>
                <w:szCs w:val="18"/>
              </w:rPr>
              <w:t>(1.72)</w:t>
            </w:r>
          </w:p>
        </w:tc>
        <w:tc>
          <w:tcPr>
            <w:tcW w:w="1984" w:type="dxa"/>
            <w:vAlign w:val="center"/>
          </w:tcPr>
          <w:p w14:paraId="10844E1D" w14:textId="77777777" w:rsidR="005F0E39" w:rsidRPr="00BA167E" w:rsidRDefault="005F0E39" w:rsidP="006D78DE">
            <w:pPr>
              <w:jc w:val="center"/>
              <w:rPr>
                <w:rFonts w:ascii="Times New Roman" w:hAnsi="Times New Roman" w:cs="Times New Roman"/>
                <w:sz w:val="18"/>
                <w:szCs w:val="18"/>
              </w:rPr>
            </w:pPr>
          </w:p>
        </w:tc>
        <w:tc>
          <w:tcPr>
            <w:tcW w:w="1901" w:type="dxa"/>
            <w:vAlign w:val="center"/>
          </w:tcPr>
          <w:p w14:paraId="3EB568AE" w14:textId="77777777" w:rsidR="005F0E39" w:rsidRPr="00BA167E" w:rsidRDefault="005F0E39" w:rsidP="006D78DE">
            <w:pPr>
              <w:jc w:val="center"/>
              <w:rPr>
                <w:rFonts w:ascii="Times New Roman" w:hAnsi="Times New Roman" w:cs="Times New Roman"/>
                <w:sz w:val="18"/>
                <w:szCs w:val="18"/>
              </w:rPr>
            </w:pPr>
          </w:p>
        </w:tc>
      </w:tr>
      <w:tr w:rsidR="00C9609F" w14:paraId="0CC3B212" w14:textId="77777777" w:rsidTr="007F6189">
        <w:tc>
          <w:tcPr>
            <w:tcW w:w="4103" w:type="dxa"/>
          </w:tcPr>
          <w:p w14:paraId="4A039FF6" w14:textId="40350302" w:rsidR="00C9609F" w:rsidRPr="00E618D3" w:rsidRDefault="00C9609F" w:rsidP="00C9609F">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sidR="00C91D2E">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LOWINDEPENDENCE</w:t>
            </w:r>
          </w:p>
        </w:tc>
        <w:tc>
          <w:tcPr>
            <w:tcW w:w="2126" w:type="dxa"/>
            <w:vAlign w:val="center"/>
          </w:tcPr>
          <w:p w14:paraId="081C8BE5"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4A2F7668"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19DE3FB0" w14:textId="77777777" w:rsidR="00C9609F" w:rsidRPr="00BA167E" w:rsidRDefault="00C9609F" w:rsidP="00C9609F">
            <w:pPr>
              <w:jc w:val="center"/>
              <w:rPr>
                <w:rFonts w:ascii="Times New Roman" w:hAnsi="Times New Roman" w:cs="Times New Roman"/>
                <w:sz w:val="18"/>
                <w:szCs w:val="18"/>
              </w:rPr>
            </w:pPr>
          </w:p>
        </w:tc>
        <w:tc>
          <w:tcPr>
            <w:tcW w:w="1984" w:type="dxa"/>
          </w:tcPr>
          <w:p w14:paraId="7E3DF67C" w14:textId="72035585" w:rsidR="00C9609F" w:rsidRPr="00E618D3" w:rsidRDefault="00C9609F" w:rsidP="00C9609F">
            <w:pPr>
              <w:jc w:val="center"/>
              <w:rPr>
                <w:rFonts w:ascii="Times New Roman" w:hAnsi="Times New Roman" w:cs="Times New Roman"/>
                <w:b/>
                <w:bCs/>
                <w:kern w:val="0"/>
                <w:sz w:val="18"/>
                <w:szCs w:val="18"/>
              </w:rPr>
            </w:pPr>
            <w:r>
              <w:rPr>
                <w:rFonts w:ascii="Times New Roman" w:hAnsi="Times New Roman" w:cs="Times New Roman"/>
                <w:kern w:val="0"/>
                <w:sz w:val="18"/>
                <w:szCs w:val="18"/>
              </w:rPr>
              <w:t>-0</w:t>
            </w:r>
            <w:r w:rsidRPr="0050578F">
              <w:rPr>
                <w:rFonts w:ascii="Times New Roman" w:hAnsi="Times New Roman" w:cs="Times New Roman"/>
                <w:kern w:val="0"/>
                <w:sz w:val="18"/>
                <w:szCs w:val="18"/>
              </w:rPr>
              <w:t>.</w:t>
            </w:r>
            <w:r>
              <w:rPr>
                <w:rFonts w:ascii="Times New Roman" w:hAnsi="Times New Roman" w:cs="Times New Roman"/>
                <w:kern w:val="0"/>
                <w:sz w:val="18"/>
                <w:szCs w:val="18"/>
              </w:rPr>
              <w:t>463</w:t>
            </w:r>
          </w:p>
        </w:tc>
        <w:tc>
          <w:tcPr>
            <w:tcW w:w="1901" w:type="dxa"/>
            <w:vAlign w:val="center"/>
          </w:tcPr>
          <w:p w14:paraId="2A25F20D" w14:textId="77777777" w:rsidR="00C9609F" w:rsidRPr="00BA167E" w:rsidRDefault="00C9609F" w:rsidP="00C9609F">
            <w:pPr>
              <w:jc w:val="center"/>
              <w:rPr>
                <w:rFonts w:ascii="Times New Roman" w:hAnsi="Times New Roman" w:cs="Times New Roman"/>
                <w:sz w:val="18"/>
                <w:szCs w:val="18"/>
              </w:rPr>
            </w:pPr>
          </w:p>
        </w:tc>
      </w:tr>
      <w:tr w:rsidR="00C9609F" w14:paraId="79EE79B8" w14:textId="77777777" w:rsidTr="007F6189">
        <w:tc>
          <w:tcPr>
            <w:tcW w:w="4103" w:type="dxa"/>
          </w:tcPr>
          <w:p w14:paraId="4A930BBE" w14:textId="77777777" w:rsidR="00C9609F" w:rsidRPr="00E618D3" w:rsidRDefault="00C9609F" w:rsidP="00C9609F">
            <w:pPr>
              <w:rPr>
                <w:rFonts w:ascii="Times New Roman" w:hAnsi="Times New Roman" w:cs="Times New Roman"/>
                <w:b/>
                <w:bCs/>
                <w:i/>
                <w:iCs/>
                <w:color w:val="000000"/>
                <w:sz w:val="18"/>
                <w:szCs w:val="18"/>
              </w:rPr>
            </w:pPr>
          </w:p>
        </w:tc>
        <w:tc>
          <w:tcPr>
            <w:tcW w:w="2126" w:type="dxa"/>
            <w:vAlign w:val="center"/>
          </w:tcPr>
          <w:p w14:paraId="06366280"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6F6D803E"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56DDD01F" w14:textId="77777777" w:rsidR="00C9609F" w:rsidRPr="00BA167E" w:rsidRDefault="00C9609F" w:rsidP="00C9609F">
            <w:pPr>
              <w:jc w:val="center"/>
              <w:rPr>
                <w:rFonts w:ascii="Times New Roman" w:hAnsi="Times New Roman" w:cs="Times New Roman"/>
                <w:sz w:val="18"/>
                <w:szCs w:val="18"/>
              </w:rPr>
            </w:pPr>
          </w:p>
        </w:tc>
        <w:tc>
          <w:tcPr>
            <w:tcW w:w="1984" w:type="dxa"/>
          </w:tcPr>
          <w:p w14:paraId="16860A02" w14:textId="04F4C34F" w:rsidR="00C9609F" w:rsidRPr="00E618D3" w:rsidRDefault="00C9609F" w:rsidP="00C9609F">
            <w:pPr>
              <w:jc w:val="center"/>
              <w:rPr>
                <w:rFonts w:ascii="Times New Roman" w:hAnsi="Times New Roman" w:cs="Times New Roman"/>
                <w:b/>
                <w:bCs/>
                <w:kern w:val="0"/>
                <w:sz w:val="18"/>
                <w:szCs w:val="18"/>
              </w:rPr>
            </w:pPr>
            <w:r w:rsidRPr="0050578F">
              <w:rPr>
                <w:rFonts w:ascii="Times New Roman" w:hAnsi="Times New Roman" w:cs="Times New Roman"/>
                <w:kern w:val="0"/>
                <w:sz w:val="18"/>
                <w:szCs w:val="18"/>
              </w:rPr>
              <w:t>(</w:t>
            </w:r>
            <w:r>
              <w:rPr>
                <w:rFonts w:ascii="Times New Roman" w:hAnsi="Times New Roman" w:cs="Times New Roman"/>
                <w:kern w:val="0"/>
                <w:sz w:val="18"/>
                <w:szCs w:val="18"/>
              </w:rPr>
              <w:t>-0</w:t>
            </w:r>
            <w:r w:rsidRPr="0050578F">
              <w:rPr>
                <w:rFonts w:ascii="Times New Roman" w:hAnsi="Times New Roman" w:cs="Times New Roman"/>
                <w:kern w:val="0"/>
                <w:sz w:val="18"/>
                <w:szCs w:val="18"/>
              </w:rPr>
              <w:t>.</w:t>
            </w:r>
            <w:r>
              <w:rPr>
                <w:rFonts w:ascii="Times New Roman" w:hAnsi="Times New Roman" w:cs="Times New Roman"/>
                <w:kern w:val="0"/>
                <w:sz w:val="18"/>
                <w:szCs w:val="18"/>
              </w:rPr>
              <w:t>50</w:t>
            </w:r>
            <w:r w:rsidRPr="0050578F">
              <w:rPr>
                <w:rFonts w:ascii="Times New Roman" w:hAnsi="Times New Roman" w:cs="Times New Roman"/>
                <w:kern w:val="0"/>
                <w:sz w:val="18"/>
                <w:szCs w:val="18"/>
              </w:rPr>
              <w:t>)</w:t>
            </w:r>
          </w:p>
        </w:tc>
        <w:tc>
          <w:tcPr>
            <w:tcW w:w="1901" w:type="dxa"/>
            <w:vAlign w:val="center"/>
          </w:tcPr>
          <w:p w14:paraId="2F3AB2EA" w14:textId="77777777" w:rsidR="00C9609F" w:rsidRPr="00BA167E" w:rsidRDefault="00C9609F" w:rsidP="00C9609F">
            <w:pPr>
              <w:jc w:val="center"/>
              <w:rPr>
                <w:rFonts w:ascii="Times New Roman" w:hAnsi="Times New Roman" w:cs="Times New Roman"/>
                <w:sz w:val="18"/>
                <w:szCs w:val="18"/>
              </w:rPr>
            </w:pPr>
          </w:p>
        </w:tc>
      </w:tr>
      <w:tr w:rsidR="005F0E39" w14:paraId="49C2C357" w14:textId="77777777" w:rsidTr="007F6189">
        <w:tc>
          <w:tcPr>
            <w:tcW w:w="4103" w:type="dxa"/>
          </w:tcPr>
          <w:p w14:paraId="01528881" w14:textId="5B7DCF1D" w:rsidR="005F0E39" w:rsidRPr="00BA167E" w:rsidRDefault="005F0E39" w:rsidP="006D78DE">
            <w:pPr>
              <w:rPr>
                <w:rFonts w:ascii="Times New Roman" w:hAnsi="Times New Roman" w:cs="Times New Roman"/>
                <w:sz w:val="18"/>
                <w:szCs w:val="18"/>
              </w:rPr>
            </w:pPr>
            <w:r w:rsidRPr="00E618D3">
              <w:rPr>
                <w:rFonts w:ascii="Times New Roman" w:hAnsi="Times New Roman" w:cs="Times New Roman"/>
                <w:b/>
                <w:bCs/>
                <w:i/>
                <w:iCs/>
                <w:color w:val="000000"/>
                <w:sz w:val="18"/>
                <w:szCs w:val="18"/>
              </w:rPr>
              <w:t>EXCLUSION×</w:t>
            </w:r>
            <w:r w:rsidR="00C91D2E">
              <w:rPr>
                <w:rFonts w:ascii="Times New Roman" w:hAnsi="Times New Roman" w:cs="Times New Roman"/>
                <w:b/>
                <w:bCs/>
                <w:i/>
                <w:iCs/>
                <w:color w:val="000000"/>
                <w:sz w:val="18"/>
                <w:szCs w:val="18"/>
              </w:rPr>
              <w:t>NARCIS</w:t>
            </w:r>
            <w:r w:rsidRPr="00E618D3">
              <w:rPr>
                <w:rFonts w:ascii="Times New Roman" w:hAnsi="Times New Roman" w:cs="Times New Roman"/>
                <w:b/>
                <w:bCs/>
                <w:i/>
                <w:iCs/>
                <w:color w:val="000000"/>
                <w:sz w:val="18"/>
                <w:szCs w:val="18"/>
              </w:rPr>
              <w:t>×LOWINDEPENDENCE</w:t>
            </w:r>
          </w:p>
        </w:tc>
        <w:tc>
          <w:tcPr>
            <w:tcW w:w="2126" w:type="dxa"/>
            <w:vAlign w:val="center"/>
          </w:tcPr>
          <w:p w14:paraId="564B5FB4"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24A367FE" w14:textId="77777777" w:rsidR="005F0E39" w:rsidRPr="00BA167E" w:rsidRDefault="005F0E39" w:rsidP="006D78DE">
            <w:pPr>
              <w:jc w:val="center"/>
              <w:rPr>
                <w:rFonts w:ascii="Times New Roman" w:hAnsi="Times New Roman" w:cs="Times New Roman"/>
                <w:sz w:val="18"/>
                <w:szCs w:val="18"/>
              </w:rPr>
            </w:pPr>
          </w:p>
        </w:tc>
        <w:tc>
          <w:tcPr>
            <w:tcW w:w="1843" w:type="dxa"/>
            <w:vAlign w:val="center"/>
          </w:tcPr>
          <w:p w14:paraId="2BD933EC" w14:textId="77777777" w:rsidR="005F0E39" w:rsidRPr="00BA167E" w:rsidRDefault="005F0E39" w:rsidP="006D78DE">
            <w:pPr>
              <w:jc w:val="center"/>
              <w:rPr>
                <w:rFonts w:ascii="Times New Roman" w:hAnsi="Times New Roman" w:cs="Times New Roman"/>
                <w:sz w:val="18"/>
                <w:szCs w:val="18"/>
              </w:rPr>
            </w:pPr>
          </w:p>
        </w:tc>
        <w:tc>
          <w:tcPr>
            <w:tcW w:w="1984" w:type="dxa"/>
            <w:vAlign w:val="center"/>
          </w:tcPr>
          <w:p w14:paraId="46A9A480" w14:textId="77777777" w:rsidR="005F0E39" w:rsidRPr="00BA167E" w:rsidRDefault="005F0E39" w:rsidP="006D78DE">
            <w:pPr>
              <w:jc w:val="center"/>
              <w:rPr>
                <w:rFonts w:ascii="Times New Roman" w:hAnsi="Times New Roman" w:cs="Times New Roman"/>
                <w:sz w:val="18"/>
                <w:szCs w:val="18"/>
              </w:rPr>
            </w:pPr>
            <w:r w:rsidRPr="00E618D3">
              <w:rPr>
                <w:rFonts w:ascii="Times New Roman" w:hAnsi="Times New Roman" w:cs="Times New Roman"/>
                <w:b/>
                <w:bCs/>
                <w:kern w:val="0"/>
                <w:sz w:val="18"/>
                <w:szCs w:val="18"/>
              </w:rPr>
              <w:t>-0.899**</w:t>
            </w:r>
          </w:p>
        </w:tc>
        <w:tc>
          <w:tcPr>
            <w:tcW w:w="1901" w:type="dxa"/>
            <w:vAlign w:val="center"/>
          </w:tcPr>
          <w:p w14:paraId="75188C14" w14:textId="77777777" w:rsidR="005F0E39" w:rsidRPr="00BA167E" w:rsidRDefault="005F0E39" w:rsidP="006D78DE">
            <w:pPr>
              <w:jc w:val="center"/>
              <w:rPr>
                <w:rFonts w:ascii="Times New Roman" w:hAnsi="Times New Roman" w:cs="Times New Roman"/>
                <w:sz w:val="18"/>
                <w:szCs w:val="18"/>
              </w:rPr>
            </w:pPr>
          </w:p>
        </w:tc>
      </w:tr>
      <w:tr w:rsidR="005F0E39" w14:paraId="114FC55F" w14:textId="77777777" w:rsidTr="007F6189">
        <w:tc>
          <w:tcPr>
            <w:tcW w:w="4103" w:type="dxa"/>
          </w:tcPr>
          <w:p w14:paraId="4FCCC5FC" w14:textId="77777777" w:rsidR="005F0E39" w:rsidRPr="00BA167E" w:rsidRDefault="005F0E39" w:rsidP="006D78DE">
            <w:pPr>
              <w:rPr>
                <w:rFonts w:ascii="Times New Roman" w:hAnsi="Times New Roman" w:cs="Times New Roman"/>
                <w:sz w:val="18"/>
                <w:szCs w:val="18"/>
              </w:rPr>
            </w:pPr>
          </w:p>
        </w:tc>
        <w:tc>
          <w:tcPr>
            <w:tcW w:w="2126" w:type="dxa"/>
            <w:vAlign w:val="center"/>
          </w:tcPr>
          <w:p w14:paraId="7DD4252B"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4EA2CD8B" w14:textId="77777777" w:rsidR="005F0E39" w:rsidRPr="00BA167E" w:rsidRDefault="005F0E39" w:rsidP="006D78DE">
            <w:pPr>
              <w:jc w:val="center"/>
              <w:rPr>
                <w:rFonts w:ascii="Times New Roman" w:hAnsi="Times New Roman" w:cs="Times New Roman"/>
                <w:sz w:val="18"/>
                <w:szCs w:val="18"/>
              </w:rPr>
            </w:pPr>
          </w:p>
        </w:tc>
        <w:tc>
          <w:tcPr>
            <w:tcW w:w="1843" w:type="dxa"/>
            <w:vAlign w:val="center"/>
          </w:tcPr>
          <w:p w14:paraId="56B42F20" w14:textId="77777777" w:rsidR="005F0E39" w:rsidRPr="00BA167E" w:rsidRDefault="005F0E39" w:rsidP="006D78DE">
            <w:pPr>
              <w:jc w:val="center"/>
              <w:rPr>
                <w:rFonts w:ascii="Times New Roman" w:hAnsi="Times New Roman" w:cs="Times New Roman"/>
                <w:sz w:val="18"/>
                <w:szCs w:val="18"/>
              </w:rPr>
            </w:pPr>
          </w:p>
        </w:tc>
        <w:tc>
          <w:tcPr>
            <w:tcW w:w="1984" w:type="dxa"/>
            <w:vAlign w:val="center"/>
          </w:tcPr>
          <w:p w14:paraId="5980D277" w14:textId="77777777" w:rsidR="005F0E39" w:rsidRPr="00BA167E" w:rsidRDefault="005F0E39" w:rsidP="006D78DE">
            <w:pPr>
              <w:jc w:val="center"/>
              <w:rPr>
                <w:rFonts w:ascii="Times New Roman" w:hAnsi="Times New Roman" w:cs="Times New Roman"/>
                <w:sz w:val="18"/>
                <w:szCs w:val="18"/>
              </w:rPr>
            </w:pPr>
            <w:r w:rsidRPr="00E618D3">
              <w:rPr>
                <w:rFonts w:ascii="Times New Roman" w:hAnsi="Times New Roman" w:cs="Times New Roman"/>
                <w:b/>
                <w:bCs/>
                <w:kern w:val="0"/>
                <w:sz w:val="18"/>
                <w:szCs w:val="18"/>
              </w:rPr>
              <w:t>(-2.18)</w:t>
            </w:r>
          </w:p>
        </w:tc>
        <w:tc>
          <w:tcPr>
            <w:tcW w:w="1901" w:type="dxa"/>
            <w:vAlign w:val="center"/>
          </w:tcPr>
          <w:p w14:paraId="3E16F207" w14:textId="77777777" w:rsidR="005F0E39" w:rsidRPr="00BA167E" w:rsidRDefault="005F0E39" w:rsidP="006D78DE">
            <w:pPr>
              <w:jc w:val="center"/>
              <w:rPr>
                <w:rFonts w:ascii="Times New Roman" w:hAnsi="Times New Roman" w:cs="Times New Roman"/>
                <w:sz w:val="18"/>
                <w:szCs w:val="18"/>
              </w:rPr>
            </w:pPr>
          </w:p>
        </w:tc>
      </w:tr>
      <w:tr w:rsidR="00C9609F" w14:paraId="75769791" w14:textId="77777777" w:rsidTr="007F6189">
        <w:tc>
          <w:tcPr>
            <w:tcW w:w="4103" w:type="dxa"/>
          </w:tcPr>
          <w:p w14:paraId="09712367" w14:textId="0AAEE259" w:rsidR="00C9609F" w:rsidRPr="007A72E7" w:rsidRDefault="00C9609F" w:rsidP="00C9609F">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sidR="00C91D2E">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HIGHCOMPLEXITY</w:t>
            </w:r>
          </w:p>
        </w:tc>
        <w:tc>
          <w:tcPr>
            <w:tcW w:w="2126" w:type="dxa"/>
            <w:vAlign w:val="center"/>
          </w:tcPr>
          <w:p w14:paraId="5467CCA1"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2D222EC1"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13687C08"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2A6AF12F" w14:textId="77777777" w:rsidR="00C9609F" w:rsidRPr="00BA167E" w:rsidRDefault="00C9609F" w:rsidP="00C9609F">
            <w:pPr>
              <w:jc w:val="center"/>
              <w:rPr>
                <w:rFonts w:ascii="Times New Roman" w:hAnsi="Times New Roman" w:cs="Times New Roman"/>
                <w:sz w:val="18"/>
                <w:szCs w:val="18"/>
              </w:rPr>
            </w:pPr>
          </w:p>
        </w:tc>
        <w:tc>
          <w:tcPr>
            <w:tcW w:w="1901" w:type="dxa"/>
          </w:tcPr>
          <w:p w14:paraId="63B36D57" w14:textId="4D3FD8CD" w:rsidR="00C9609F" w:rsidRPr="007A72E7" w:rsidRDefault="00C9609F" w:rsidP="00C9609F">
            <w:pPr>
              <w:jc w:val="center"/>
              <w:rPr>
                <w:rFonts w:ascii="Times New Roman" w:hAnsi="Times New Roman" w:cs="Times New Roman"/>
                <w:b/>
                <w:bCs/>
                <w:kern w:val="0"/>
                <w:sz w:val="18"/>
                <w:szCs w:val="18"/>
              </w:rPr>
            </w:pPr>
            <w:r w:rsidRPr="0050578F">
              <w:rPr>
                <w:rFonts w:ascii="Times New Roman" w:hAnsi="Times New Roman" w:cs="Times New Roman"/>
                <w:kern w:val="0"/>
                <w:sz w:val="18"/>
                <w:szCs w:val="18"/>
              </w:rPr>
              <w:t>0.185</w:t>
            </w:r>
          </w:p>
        </w:tc>
      </w:tr>
      <w:tr w:rsidR="00C9609F" w14:paraId="2C3A16EC" w14:textId="77777777" w:rsidTr="007F6189">
        <w:tc>
          <w:tcPr>
            <w:tcW w:w="4103" w:type="dxa"/>
          </w:tcPr>
          <w:p w14:paraId="61A18445" w14:textId="77777777" w:rsidR="00C9609F" w:rsidRPr="007A72E7" w:rsidRDefault="00C9609F" w:rsidP="00C9609F">
            <w:pPr>
              <w:rPr>
                <w:rFonts w:ascii="Times New Roman" w:hAnsi="Times New Roman" w:cs="Times New Roman"/>
                <w:b/>
                <w:bCs/>
                <w:i/>
                <w:iCs/>
                <w:color w:val="000000"/>
                <w:sz w:val="18"/>
                <w:szCs w:val="18"/>
              </w:rPr>
            </w:pPr>
          </w:p>
        </w:tc>
        <w:tc>
          <w:tcPr>
            <w:tcW w:w="2126" w:type="dxa"/>
            <w:vAlign w:val="center"/>
          </w:tcPr>
          <w:p w14:paraId="0C5C28CE"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4696233A"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08D25159"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07877EAE" w14:textId="77777777" w:rsidR="00C9609F" w:rsidRPr="00BA167E" w:rsidRDefault="00C9609F" w:rsidP="00C9609F">
            <w:pPr>
              <w:jc w:val="center"/>
              <w:rPr>
                <w:rFonts w:ascii="Times New Roman" w:hAnsi="Times New Roman" w:cs="Times New Roman"/>
                <w:sz w:val="18"/>
                <w:szCs w:val="18"/>
              </w:rPr>
            </w:pPr>
          </w:p>
        </w:tc>
        <w:tc>
          <w:tcPr>
            <w:tcW w:w="1901" w:type="dxa"/>
          </w:tcPr>
          <w:p w14:paraId="7413874A" w14:textId="256CFC3A" w:rsidR="00C9609F" w:rsidRPr="007A72E7" w:rsidRDefault="00C9609F" w:rsidP="00C9609F">
            <w:pPr>
              <w:jc w:val="center"/>
              <w:rPr>
                <w:rFonts w:ascii="Times New Roman" w:hAnsi="Times New Roman" w:cs="Times New Roman"/>
                <w:b/>
                <w:bCs/>
                <w:kern w:val="0"/>
                <w:sz w:val="18"/>
                <w:szCs w:val="18"/>
              </w:rPr>
            </w:pPr>
            <w:r w:rsidRPr="0050578F">
              <w:rPr>
                <w:rFonts w:ascii="Times New Roman" w:hAnsi="Times New Roman" w:cs="Times New Roman"/>
                <w:kern w:val="0"/>
                <w:sz w:val="18"/>
                <w:szCs w:val="18"/>
              </w:rPr>
              <w:t>(0.36)</w:t>
            </w:r>
          </w:p>
        </w:tc>
      </w:tr>
      <w:tr w:rsidR="005F0E39" w14:paraId="215FD1CA" w14:textId="77777777" w:rsidTr="007F6189">
        <w:tc>
          <w:tcPr>
            <w:tcW w:w="4103" w:type="dxa"/>
          </w:tcPr>
          <w:p w14:paraId="3C538449" w14:textId="4790AEA9" w:rsidR="005F0E39" w:rsidRPr="00BA167E" w:rsidRDefault="005F0E39" w:rsidP="006D78DE">
            <w:pPr>
              <w:rPr>
                <w:rFonts w:ascii="Times New Roman" w:hAnsi="Times New Roman" w:cs="Times New Roman"/>
                <w:sz w:val="18"/>
                <w:szCs w:val="18"/>
              </w:rPr>
            </w:pPr>
            <w:r w:rsidRPr="007A72E7">
              <w:rPr>
                <w:rFonts w:ascii="Times New Roman" w:hAnsi="Times New Roman" w:cs="Times New Roman"/>
                <w:b/>
                <w:bCs/>
                <w:i/>
                <w:iCs/>
                <w:color w:val="000000"/>
                <w:sz w:val="18"/>
                <w:szCs w:val="18"/>
              </w:rPr>
              <w:t>EXCLUSION×</w:t>
            </w:r>
            <w:r w:rsidR="00C91D2E">
              <w:rPr>
                <w:rFonts w:ascii="Times New Roman" w:hAnsi="Times New Roman" w:cs="Times New Roman"/>
                <w:b/>
                <w:bCs/>
                <w:i/>
                <w:iCs/>
                <w:color w:val="000000"/>
                <w:sz w:val="18"/>
                <w:szCs w:val="18"/>
              </w:rPr>
              <w:t>NARCIS</w:t>
            </w:r>
            <w:r w:rsidRPr="007A72E7">
              <w:rPr>
                <w:rFonts w:ascii="Times New Roman" w:hAnsi="Times New Roman" w:cs="Times New Roman"/>
                <w:b/>
                <w:bCs/>
                <w:i/>
                <w:iCs/>
                <w:color w:val="000000"/>
                <w:sz w:val="18"/>
                <w:szCs w:val="18"/>
              </w:rPr>
              <w:t>×HIGHCOMPLEXITY</w:t>
            </w:r>
          </w:p>
        </w:tc>
        <w:tc>
          <w:tcPr>
            <w:tcW w:w="2126" w:type="dxa"/>
            <w:vAlign w:val="center"/>
          </w:tcPr>
          <w:p w14:paraId="6B06B5E4"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7B7CCFB4" w14:textId="77777777" w:rsidR="005F0E39" w:rsidRPr="00BA167E" w:rsidRDefault="005F0E39" w:rsidP="006D78DE">
            <w:pPr>
              <w:jc w:val="center"/>
              <w:rPr>
                <w:rFonts w:ascii="Times New Roman" w:hAnsi="Times New Roman" w:cs="Times New Roman"/>
                <w:sz w:val="18"/>
                <w:szCs w:val="18"/>
              </w:rPr>
            </w:pPr>
          </w:p>
        </w:tc>
        <w:tc>
          <w:tcPr>
            <w:tcW w:w="1843" w:type="dxa"/>
            <w:vAlign w:val="center"/>
          </w:tcPr>
          <w:p w14:paraId="7E393189" w14:textId="77777777" w:rsidR="005F0E39" w:rsidRPr="00BA167E" w:rsidRDefault="005F0E39" w:rsidP="006D78DE">
            <w:pPr>
              <w:jc w:val="center"/>
              <w:rPr>
                <w:rFonts w:ascii="Times New Roman" w:hAnsi="Times New Roman" w:cs="Times New Roman"/>
                <w:sz w:val="18"/>
                <w:szCs w:val="18"/>
              </w:rPr>
            </w:pPr>
          </w:p>
        </w:tc>
        <w:tc>
          <w:tcPr>
            <w:tcW w:w="1984" w:type="dxa"/>
            <w:vAlign w:val="center"/>
          </w:tcPr>
          <w:p w14:paraId="732E4C6D" w14:textId="77777777" w:rsidR="005F0E39" w:rsidRPr="00BA167E" w:rsidRDefault="005F0E39" w:rsidP="006D78DE">
            <w:pPr>
              <w:jc w:val="center"/>
              <w:rPr>
                <w:rFonts w:ascii="Times New Roman" w:hAnsi="Times New Roman" w:cs="Times New Roman"/>
                <w:sz w:val="18"/>
                <w:szCs w:val="18"/>
              </w:rPr>
            </w:pPr>
          </w:p>
        </w:tc>
        <w:tc>
          <w:tcPr>
            <w:tcW w:w="1901" w:type="dxa"/>
            <w:vAlign w:val="center"/>
          </w:tcPr>
          <w:p w14:paraId="5236F4F2" w14:textId="77777777" w:rsidR="005F0E39" w:rsidRPr="00BA167E" w:rsidRDefault="005F0E39" w:rsidP="006D78DE">
            <w:pPr>
              <w:jc w:val="center"/>
              <w:rPr>
                <w:rFonts w:ascii="Times New Roman" w:hAnsi="Times New Roman" w:cs="Times New Roman"/>
                <w:sz w:val="18"/>
                <w:szCs w:val="18"/>
              </w:rPr>
            </w:pPr>
            <w:r w:rsidRPr="007A72E7">
              <w:rPr>
                <w:rFonts w:ascii="Times New Roman" w:hAnsi="Times New Roman" w:cs="Times New Roman"/>
                <w:b/>
                <w:bCs/>
                <w:kern w:val="0"/>
                <w:sz w:val="18"/>
                <w:szCs w:val="18"/>
              </w:rPr>
              <w:t>1.500*</w:t>
            </w:r>
          </w:p>
        </w:tc>
      </w:tr>
      <w:tr w:rsidR="005F0E39" w14:paraId="32D10627" w14:textId="77777777" w:rsidTr="007F6189">
        <w:tc>
          <w:tcPr>
            <w:tcW w:w="4103" w:type="dxa"/>
          </w:tcPr>
          <w:p w14:paraId="73FFFF1B" w14:textId="77777777" w:rsidR="005F0E39" w:rsidRPr="00BA167E" w:rsidRDefault="005F0E39" w:rsidP="006D78DE">
            <w:pPr>
              <w:rPr>
                <w:rFonts w:ascii="Times New Roman" w:hAnsi="Times New Roman" w:cs="Times New Roman"/>
                <w:sz w:val="18"/>
                <w:szCs w:val="18"/>
              </w:rPr>
            </w:pPr>
          </w:p>
        </w:tc>
        <w:tc>
          <w:tcPr>
            <w:tcW w:w="2126" w:type="dxa"/>
            <w:vAlign w:val="center"/>
          </w:tcPr>
          <w:p w14:paraId="3EEAAF03" w14:textId="77777777" w:rsidR="005F0E39" w:rsidRPr="00BA167E" w:rsidRDefault="005F0E39" w:rsidP="006D78DE">
            <w:pPr>
              <w:jc w:val="center"/>
              <w:rPr>
                <w:rFonts w:ascii="Times New Roman" w:hAnsi="Times New Roman" w:cs="Times New Roman"/>
                <w:sz w:val="18"/>
                <w:szCs w:val="18"/>
              </w:rPr>
            </w:pPr>
          </w:p>
        </w:tc>
        <w:tc>
          <w:tcPr>
            <w:tcW w:w="1985" w:type="dxa"/>
            <w:vAlign w:val="center"/>
          </w:tcPr>
          <w:p w14:paraId="4C48D7D6" w14:textId="77777777" w:rsidR="005F0E39" w:rsidRPr="00BA167E" w:rsidRDefault="005F0E39" w:rsidP="006D78DE">
            <w:pPr>
              <w:jc w:val="center"/>
              <w:rPr>
                <w:rFonts w:ascii="Times New Roman" w:hAnsi="Times New Roman" w:cs="Times New Roman"/>
                <w:sz w:val="18"/>
                <w:szCs w:val="18"/>
              </w:rPr>
            </w:pPr>
          </w:p>
        </w:tc>
        <w:tc>
          <w:tcPr>
            <w:tcW w:w="1843" w:type="dxa"/>
            <w:vAlign w:val="center"/>
          </w:tcPr>
          <w:p w14:paraId="218D0D1A" w14:textId="77777777" w:rsidR="005F0E39" w:rsidRPr="00BA167E" w:rsidRDefault="005F0E39" w:rsidP="006D78DE">
            <w:pPr>
              <w:jc w:val="center"/>
              <w:rPr>
                <w:rFonts w:ascii="Times New Roman" w:hAnsi="Times New Roman" w:cs="Times New Roman"/>
                <w:sz w:val="18"/>
                <w:szCs w:val="18"/>
              </w:rPr>
            </w:pPr>
          </w:p>
        </w:tc>
        <w:tc>
          <w:tcPr>
            <w:tcW w:w="1984" w:type="dxa"/>
            <w:vAlign w:val="center"/>
          </w:tcPr>
          <w:p w14:paraId="3B3C688D" w14:textId="77777777" w:rsidR="005F0E39" w:rsidRPr="00BA167E" w:rsidRDefault="005F0E39" w:rsidP="006D78DE">
            <w:pPr>
              <w:jc w:val="center"/>
              <w:rPr>
                <w:rFonts w:ascii="Times New Roman" w:hAnsi="Times New Roman" w:cs="Times New Roman"/>
                <w:sz w:val="18"/>
                <w:szCs w:val="18"/>
              </w:rPr>
            </w:pPr>
          </w:p>
        </w:tc>
        <w:tc>
          <w:tcPr>
            <w:tcW w:w="1901" w:type="dxa"/>
            <w:vAlign w:val="center"/>
          </w:tcPr>
          <w:p w14:paraId="1783B55A" w14:textId="77777777" w:rsidR="005F0E39" w:rsidRPr="00BA167E" w:rsidRDefault="005F0E39" w:rsidP="006D78DE">
            <w:pPr>
              <w:jc w:val="center"/>
              <w:rPr>
                <w:rFonts w:ascii="Times New Roman" w:hAnsi="Times New Roman" w:cs="Times New Roman"/>
                <w:sz w:val="18"/>
                <w:szCs w:val="18"/>
              </w:rPr>
            </w:pPr>
            <w:r w:rsidRPr="007A72E7">
              <w:rPr>
                <w:rFonts w:ascii="Times New Roman" w:hAnsi="Times New Roman" w:cs="Times New Roman"/>
                <w:b/>
                <w:bCs/>
                <w:kern w:val="0"/>
                <w:sz w:val="18"/>
                <w:szCs w:val="18"/>
              </w:rPr>
              <w:t>(1.92)</w:t>
            </w:r>
          </w:p>
        </w:tc>
      </w:tr>
      <w:tr w:rsidR="00C9609F" w14:paraId="247E4515" w14:textId="77777777" w:rsidTr="007F6189">
        <w:tc>
          <w:tcPr>
            <w:tcW w:w="4103" w:type="dxa"/>
          </w:tcPr>
          <w:p w14:paraId="6C4B8DEB" w14:textId="0E4764DE" w:rsidR="00C9609F" w:rsidRPr="00BA167E" w:rsidRDefault="00C9609F" w:rsidP="00C9609F">
            <w:pPr>
              <w:rPr>
                <w:rFonts w:ascii="Times New Roman" w:hAnsi="Times New Roman" w:cs="Times New Roman"/>
                <w:sz w:val="18"/>
                <w:szCs w:val="18"/>
              </w:rPr>
            </w:pPr>
            <w:r>
              <w:rPr>
                <w:rFonts w:ascii="Times New Roman" w:hAnsi="Times New Roman" w:cs="Times New Roman"/>
                <w:i/>
                <w:iCs/>
                <w:kern w:val="0"/>
                <w:sz w:val="18"/>
                <w:szCs w:val="18"/>
              </w:rPr>
              <w:t>LOW</w:t>
            </w:r>
            <w:r w:rsidRPr="00CB72C4">
              <w:rPr>
                <w:rFonts w:ascii="Times New Roman" w:hAnsi="Times New Roman" w:cs="Times New Roman"/>
                <w:i/>
                <w:iCs/>
                <w:kern w:val="0"/>
                <w:sz w:val="18"/>
                <w:szCs w:val="18"/>
              </w:rPr>
              <w:t>S</w:t>
            </w:r>
            <w:r>
              <w:rPr>
                <w:rFonts w:ascii="Times New Roman" w:hAnsi="Times New Roman" w:cs="Times New Roman"/>
                <w:i/>
                <w:iCs/>
                <w:kern w:val="0"/>
                <w:sz w:val="18"/>
                <w:szCs w:val="18"/>
              </w:rPr>
              <w:t>TRUCTURE</w:t>
            </w:r>
          </w:p>
        </w:tc>
        <w:tc>
          <w:tcPr>
            <w:tcW w:w="2126" w:type="dxa"/>
          </w:tcPr>
          <w:p w14:paraId="299054DA" w14:textId="43E73972" w:rsidR="00C9609F" w:rsidRPr="00BA167E" w:rsidRDefault="00C9609F" w:rsidP="00C9609F">
            <w:pPr>
              <w:jc w:val="center"/>
              <w:rPr>
                <w:rFonts w:ascii="Times New Roman" w:hAnsi="Times New Roman" w:cs="Times New Roman"/>
                <w:sz w:val="18"/>
                <w:szCs w:val="18"/>
              </w:rPr>
            </w:pPr>
            <w:r w:rsidRPr="00A153D5">
              <w:rPr>
                <w:rFonts w:ascii="Times New Roman" w:hAnsi="Times New Roman" w:cs="Times New Roman"/>
                <w:kern w:val="0"/>
                <w:sz w:val="18"/>
                <w:szCs w:val="18"/>
              </w:rPr>
              <w:t>-</w:t>
            </w:r>
            <w:r>
              <w:rPr>
                <w:rFonts w:ascii="Times New Roman" w:hAnsi="Times New Roman" w:cs="Times New Roman"/>
                <w:kern w:val="0"/>
                <w:sz w:val="18"/>
                <w:szCs w:val="18"/>
              </w:rPr>
              <w:t>0</w:t>
            </w:r>
            <w:r w:rsidRPr="00A153D5">
              <w:rPr>
                <w:rFonts w:ascii="Times New Roman" w:hAnsi="Times New Roman" w:cs="Times New Roman"/>
                <w:kern w:val="0"/>
                <w:sz w:val="18"/>
                <w:szCs w:val="18"/>
              </w:rPr>
              <w:t>.012</w:t>
            </w:r>
            <w:r>
              <w:rPr>
                <w:rFonts w:ascii="Times New Roman" w:hAnsi="Times New Roman" w:cs="Times New Roman"/>
                <w:kern w:val="0"/>
                <w:sz w:val="18"/>
                <w:szCs w:val="18"/>
              </w:rPr>
              <w:t>2</w:t>
            </w:r>
          </w:p>
        </w:tc>
        <w:tc>
          <w:tcPr>
            <w:tcW w:w="1985" w:type="dxa"/>
            <w:vAlign w:val="center"/>
          </w:tcPr>
          <w:p w14:paraId="2113F900"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16444B9F"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5515C556" w14:textId="77777777" w:rsidR="00C9609F" w:rsidRPr="00BA167E" w:rsidRDefault="00C9609F" w:rsidP="00C9609F">
            <w:pPr>
              <w:jc w:val="center"/>
              <w:rPr>
                <w:rFonts w:ascii="Times New Roman" w:hAnsi="Times New Roman" w:cs="Times New Roman"/>
                <w:sz w:val="18"/>
                <w:szCs w:val="18"/>
              </w:rPr>
            </w:pPr>
          </w:p>
        </w:tc>
        <w:tc>
          <w:tcPr>
            <w:tcW w:w="1901" w:type="dxa"/>
            <w:vAlign w:val="center"/>
          </w:tcPr>
          <w:p w14:paraId="3F406562" w14:textId="77777777" w:rsidR="00C9609F" w:rsidRPr="007A72E7" w:rsidRDefault="00C9609F" w:rsidP="00C9609F">
            <w:pPr>
              <w:jc w:val="center"/>
              <w:rPr>
                <w:rFonts w:ascii="Times New Roman" w:hAnsi="Times New Roman" w:cs="Times New Roman"/>
                <w:b/>
                <w:bCs/>
                <w:kern w:val="0"/>
                <w:sz w:val="18"/>
                <w:szCs w:val="18"/>
              </w:rPr>
            </w:pPr>
          </w:p>
        </w:tc>
      </w:tr>
      <w:tr w:rsidR="00C9609F" w14:paraId="2ECC3830" w14:textId="77777777" w:rsidTr="007F6189">
        <w:tc>
          <w:tcPr>
            <w:tcW w:w="4103" w:type="dxa"/>
          </w:tcPr>
          <w:p w14:paraId="1B2D005C" w14:textId="77777777" w:rsidR="00C9609F" w:rsidRPr="00BA167E" w:rsidRDefault="00C9609F" w:rsidP="00C9609F">
            <w:pPr>
              <w:rPr>
                <w:rFonts w:ascii="Times New Roman" w:hAnsi="Times New Roman" w:cs="Times New Roman"/>
                <w:sz w:val="18"/>
                <w:szCs w:val="18"/>
              </w:rPr>
            </w:pPr>
          </w:p>
        </w:tc>
        <w:tc>
          <w:tcPr>
            <w:tcW w:w="2126" w:type="dxa"/>
          </w:tcPr>
          <w:p w14:paraId="28739913" w14:textId="18939CFD" w:rsidR="00C9609F" w:rsidRPr="00BA167E" w:rsidRDefault="00C9609F" w:rsidP="00C9609F">
            <w:pPr>
              <w:jc w:val="center"/>
              <w:rPr>
                <w:rFonts w:ascii="Times New Roman" w:hAnsi="Times New Roman" w:cs="Times New Roman"/>
                <w:sz w:val="18"/>
                <w:szCs w:val="18"/>
              </w:rPr>
            </w:pPr>
            <w:r w:rsidRPr="00CB72C4">
              <w:rPr>
                <w:rFonts w:ascii="Times New Roman" w:hAnsi="Times New Roman" w:cs="Times New Roman"/>
                <w:kern w:val="0"/>
                <w:sz w:val="18"/>
                <w:szCs w:val="18"/>
              </w:rPr>
              <w:t>(</w:t>
            </w:r>
            <w:r>
              <w:rPr>
                <w:rFonts w:ascii="Times New Roman" w:hAnsi="Times New Roman" w:cs="Times New Roman"/>
                <w:kern w:val="0"/>
                <w:sz w:val="18"/>
                <w:szCs w:val="18"/>
              </w:rPr>
              <w:t>-</w:t>
            </w:r>
            <w:r w:rsidRPr="00CB72C4">
              <w:rPr>
                <w:rFonts w:ascii="Times New Roman" w:hAnsi="Times New Roman" w:cs="Times New Roman"/>
                <w:kern w:val="0"/>
                <w:sz w:val="18"/>
                <w:szCs w:val="18"/>
              </w:rPr>
              <w:t>0.3</w:t>
            </w:r>
            <w:r>
              <w:rPr>
                <w:rFonts w:ascii="Times New Roman" w:hAnsi="Times New Roman" w:cs="Times New Roman"/>
                <w:kern w:val="0"/>
                <w:sz w:val="18"/>
                <w:szCs w:val="18"/>
              </w:rPr>
              <w:t>1</w:t>
            </w:r>
            <w:r w:rsidRPr="00CB72C4">
              <w:rPr>
                <w:rFonts w:ascii="Times New Roman" w:hAnsi="Times New Roman" w:cs="Times New Roman"/>
                <w:kern w:val="0"/>
                <w:sz w:val="18"/>
                <w:szCs w:val="18"/>
              </w:rPr>
              <w:t>)</w:t>
            </w:r>
          </w:p>
        </w:tc>
        <w:tc>
          <w:tcPr>
            <w:tcW w:w="1985" w:type="dxa"/>
            <w:vAlign w:val="center"/>
          </w:tcPr>
          <w:p w14:paraId="75C42499"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00BCF25A"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6BAA2868" w14:textId="77777777" w:rsidR="00C9609F" w:rsidRPr="00BA167E" w:rsidRDefault="00C9609F" w:rsidP="00C9609F">
            <w:pPr>
              <w:jc w:val="center"/>
              <w:rPr>
                <w:rFonts w:ascii="Times New Roman" w:hAnsi="Times New Roman" w:cs="Times New Roman"/>
                <w:sz w:val="18"/>
                <w:szCs w:val="18"/>
              </w:rPr>
            </w:pPr>
          </w:p>
        </w:tc>
        <w:tc>
          <w:tcPr>
            <w:tcW w:w="1901" w:type="dxa"/>
            <w:vAlign w:val="center"/>
          </w:tcPr>
          <w:p w14:paraId="79DD0315" w14:textId="77777777" w:rsidR="00C9609F" w:rsidRPr="007A72E7" w:rsidRDefault="00C9609F" w:rsidP="00C9609F">
            <w:pPr>
              <w:jc w:val="center"/>
              <w:rPr>
                <w:rFonts w:ascii="Times New Roman" w:hAnsi="Times New Roman" w:cs="Times New Roman"/>
                <w:b/>
                <w:bCs/>
                <w:kern w:val="0"/>
                <w:sz w:val="18"/>
                <w:szCs w:val="18"/>
              </w:rPr>
            </w:pPr>
          </w:p>
        </w:tc>
      </w:tr>
      <w:tr w:rsidR="00C9609F" w14:paraId="0F36F024" w14:textId="77777777" w:rsidTr="007F6189">
        <w:tc>
          <w:tcPr>
            <w:tcW w:w="4103" w:type="dxa"/>
          </w:tcPr>
          <w:p w14:paraId="0C3FC4CE" w14:textId="249F295D" w:rsidR="00C9609F" w:rsidRPr="00BA167E" w:rsidRDefault="00C9609F" w:rsidP="00C9609F">
            <w:pPr>
              <w:rPr>
                <w:rFonts w:ascii="Times New Roman" w:hAnsi="Times New Roman" w:cs="Times New Roman"/>
                <w:sz w:val="18"/>
                <w:szCs w:val="18"/>
              </w:rPr>
            </w:pPr>
            <w:r>
              <w:rPr>
                <w:rFonts w:ascii="Times New Roman" w:hAnsi="Times New Roman" w:cs="Times New Roman"/>
                <w:i/>
                <w:iCs/>
                <w:kern w:val="0"/>
                <w:sz w:val="18"/>
                <w:szCs w:val="18"/>
              </w:rPr>
              <w:t>LOW</w:t>
            </w:r>
            <w:r w:rsidRPr="00334015">
              <w:rPr>
                <w:rFonts w:ascii="Times New Roman" w:hAnsi="Times New Roman" w:cs="Times New Roman"/>
                <w:i/>
                <w:iCs/>
                <w:kern w:val="0"/>
                <w:sz w:val="18"/>
                <w:szCs w:val="18"/>
              </w:rPr>
              <w:t>EXPERT</w:t>
            </w:r>
          </w:p>
        </w:tc>
        <w:tc>
          <w:tcPr>
            <w:tcW w:w="2126" w:type="dxa"/>
            <w:vAlign w:val="center"/>
          </w:tcPr>
          <w:p w14:paraId="056DC3EB" w14:textId="77777777" w:rsidR="00C9609F" w:rsidRPr="00BA167E" w:rsidRDefault="00C9609F" w:rsidP="00C9609F">
            <w:pPr>
              <w:jc w:val="center"/>
              <w:rPr>
                <w:rFonts w:ascii="Times New Roman" w:hAnsi="Times New Roman" w:cs="Times New Roman"/>
                <w:sz w:val="18"/>
                <w:szCs w:val="18"/>
              </w:rPr>
            </w:pPr>
          </w:p>
        </w:tc>
        <w:tc>
          <w:tcPr>
            <w:tcW w:w="1985" w:type="dxa"/>
          </w:tcPr>
          <w:p w14:paraId="5F01C0DF" w14:textId="32FC43F9" w:rsidR="00C9609F" w:rsidRPr="00BA167E" w:rsidRDefault="00C9609F" w:rsidP="00C9609F">
            <w:pPr>
              <w:jc w:val="center"/>
              <w:rPr>
                <w:rFonts w:ascii="Times New Roman" w:hAnsi="Times New Roman" w:cs="Times New Roman"/>
                <w:sz w:val="18"/>
                <w:szCs w:val="18"/>
              </w:rPr>
            </w:pPr>
            <w:r>
              <w:rPr>
                <w:rFonts w:ascii="Times New Roman" w:hAnsi="Times New Roman" w:cs="Times New Roman"/>
                <w:kern w:val="0"/>
                <w:sz w:val="18"/>
                <w:szCs w:val="18"/>
              </w:rPr>
              <w:t>-</w:t>
            </w:r>
            <w:r w:rsidRPr="00CB72C4">
              <w:rPr>
                <w:rFonts w:ascii="Times New Roman" w:hAnsi="Times New Roman" w:cs="Times New Roman"/>
                <w:kern w:val="0"/>
                <w:sz w:val="18"/>
                <w:szCs w:val="18"/>
              </w:rPr>
              <w:t>0.0298</w:t>
            </w:r>
          </w:p>
        </w:tc>
        <w:tc>
          <w:tcPr>
            <w:tcW w:w="1843" w:type="dxa"/>
            <w:vAlign w:val="center"/>
          </w:tcPr>
          <w:p w14:paraId="6151152F"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7EA694AC" w14:textId="77777777" w:rsidR="00C9609F" w:rsidRPr="00BA167E" w:rsidRDefault="00C9609F" w:rsidP="00C9609F">
            <w:pPr>
              <w:jc w:val="center"/>
              <w:rPr>
                <w:rFonts w:ascii="Times New Roman" w:hAnsi="Times New Roman" w:cs="Times New Roman"/>
                <w:sz w:val="18"/>
                <w:szCs w:val="18"/>
              </w:rPr>
            </w:pPr>
          </w:p>
        </w:tc>
        <w:tc>
          <w:tcPr>
            <w:tcW w:w="1901" w:type="dxa"/>
            <w:vAlign w:val="center"/>
          </w:tcPr>
          <w:p w14:paraId="57A27A34" w14:textId="77777777" w:rsidR="00C9609F" w:rsidRPr="007A72E7" w:rsidRDefault="00C9609F" w:rsidP="00C9609F">
            <w:pPr>
              <w:jc w:val="center"/>
              <w:rPr>
                <w:rFonts w:ascii="Times New Roman" w:hAnsi="Times New Roman" w:cs="Times New Roman"/>
                <w:b/>
                <w:bCs/>
                <w:kern w:val="0"/>
                <w:sz w:val="18"/>
                <w:szCs w:val="18"/>
              </w:rPr>
            </w:pPr>
          </w:p>
        </w:tc>
      </w:tr>
      <w:tr w:rsidR="00C9609F" w14:paraId="12B2AE84" w14:textId="77777777" w:rsidTr="007F6189">
        <w:tc>
          <w:tcPr>
            <w:tcW w:w="4103" w:type="dxa"/>
          </w:tcPr>
          <w:p w14:paraId="49A740FC" w14:textId="77777777" w:rsidR="00C9609F" w:rsidRPr="00BA167E" w:rsidRDefault="00C9609F" w:rsidP="00C9609F">
            <w:pPr>
              <w:rPr>
                <w:rFonts w:ascii="Times New Roman" w:hAnsi="Times New Roman" w:cs="Times New Roman"/>
                <w:sz w:val="18"/>
                <w:szCs w:val="18"/>
              </w:rPr>
            </w:pPr>
          </w:p>
        </w:tc>
        <w:tc>
          <w:tcPr>
            <w:tcW w:w="2126" w:type="dxa"/>
            <w:vAlign w:val="center"/>
          </w:tcPr>
          <w:p w14:paraId="3074EE52" w14:textId="77777777" w:rsidR="00C9609F" w:rsidRPr="00BA167E" w:rsidRDefault="00C9609F" w:rsidP="00C9609F">
            <w:pPr>
              <w:jc w:val="center"/>
              <w:rPr>
                <w:rFonts w:ascii="Times New Roman" w:hAnsi="Times New Roman" w:cs="Times New Roman"/>
                <w:sz w:val="18"/>
                <w:szCs w:val="18"/>
              </w:rPr>
            </w:pPr>
          </w:p>
        </w:tc>
        <w:tc>
          <w:tcPr>
            <w:tcW w:w="1985" w:type="dxa"/>
          </w:tcPr>
          <w:p w14:paraId="10E7936A" w14:textId="12C868F3" w:rsidR="00C9609F" w:rsidRPr="00BA167E" w:rsidRDefault="00C9609F" w:rsidP="00C9609F">
            <w:pPr>
              <w:jc w:val="center"/>
              <w:rPr>
                <w:rFonts w:ascii="Times New Roman" w:hAnsi="Times New Roman" w:cs="Times New Roman"/>
                <w:sz w:val="18"/>
                <w:szCs w:val="18"/>
              </w:rPr>
            </w:pPr>
            <w:r w:rsidRPr="00CB72C4">
              <w:rPr>
                <w:rFonts w:ascii="Times New Roman" w:hAnsi="Times New Roman" w:cs="Times New Roman"/>
                <w:kern w:val="0"/>
                <w:sz w:val="18"/>
                <w:szCs w:val="18"/>
              </w:rPr>
              <w:t>(</w:t>
            </w:r>
            <w:r>
              <w:rPr>
                <w:rFonts w:ascii="Times New Roman" w:hAnsi="Times New Roman" w:cs="Times New Roman"/>
                <w:kern w:val="0"/>
                <w:sz w:val="18"/>
                <w:szCs w:val="18"/>
              </w:rPr>
              <w:t>-</w:t>
            </w:r>
            <w:r w:rsidRPr="00CB72C4">
              <w:rPr>
                <w:rFonts w:ascii="Times New Roman" w:hAnsi="Times New Roman" w:cs="Times New Roman"/>
                <w:kern w:val="0"/>
                <w:sz w:val="18"/>
                <w:szCs w:val="18"/>
              </w:rPr>
              <w:t>0.42)</w:t>
            </w:r>
          </w:p>
        </w:tc>
        <w:tc>
          <w:tcPr>
            <w:tcW w:w="1843" w:type="dxa"/>
            <w:vAlign w:val="center"/>
          </w:tcPr>
          <w:p w14:paraId="1F0EF1E6"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1B62B45D" w14:textId="77777777" w:rsidR="00C9609F" w:rsidRPr="00BA167E" w:rsidRDefault="00C9609F" w:rsidP="00C9609F">
            <w:pPr>
              <w:jc w:val="center"/>
              <w:rPr>
                <w:rFonts w:ascii="Times New Roman" w:hAnsi="Times New Roman" w:cs="Times New Roman"/>
                <w:sz w:val="18"/>
                <w:szCs w:val="18"/>
              </w:rPr>
            </w:pPr>
          </w:p>
        </w:tc>
        <w:tc>
          <w:tcPr>
            <w:tcW w:w="1901" w:type="dxa"/>
            <w:vAlign w:val="center"/>
          </w:tcPr>
          <w:p w14:paraId="34AE02EB" w14:textId="77777777" w:rsidR="00C9609F" w:rsidRPr="007A72E7" w:rsidRDefault="00C9609F" w:rsidP="00C9609F">
            <w:pPr>
              <w:jc w:val="center"/>
              <w:rPr>
                <w:rFonts w:ascii="Times New Roman" w:hAnsi="Times New Roman" w:cs="Times New Roman"/>
                <w:b/>
                <w:bCs/>
                <w:kern w:val="0"/>
                <w:sz w:val="18"/>
                <w:szCs w:val="18"/>
              </w:rPr>
            </w:pPr>
          </w:p>
        </w:tc>
      </w:tr>
      <w:tr w:rsidR="00C9609F" w14:paraId="52FBE497" w14:textId="77777777" w:rsidTr="007F6189">
        <w:tc>
          <w:tcPr>
            <w:tcW w:w="4103" w:type="dxa"/>
          </w:tcPr>
          <w:p w14:paraId="6DAE2FAD" w14:textId="0F71FA85" w:rsidR="00C9609F" w:rsidRPr="00BA167E" w:rsidRDefault="00C9609F" w:rsidP="00C9609F">
            <w:pPr>
              <w:rPr>
                <w:rFonts w:ascii="Times New Roman" w:hAnsi="Times New Roman" w:cs="Times New Roman"/>
                <w:sz w:val="18"/>
                <w:szCs w:val="18"/>
              </w:rPr>
            </w:pPr>
            <w:r>
              <w:rPr>
                <w:rFonts w:ascii="Times New Roman" w:hAnsi="Times New Roman" w:cs="Times New Roman"/>
                <w:i/>
                <w:iCs/>
                <w:kern w:val="0"/>
                <w:sz w:val="18"/>
                <w:szCs w:val="18"/>
              </w:rPr>
              <w:t>LOW</w:t>
            </w:r>
            <w:r w:rsidRPr="00334015">
              <w:rPr>
                <w:rFonts w:ascii="Times New Roman" w:hAnsi="Times New Roman" w:cs="Times New Roman"/>
                <w:i/>
                <w:iCs/>
                <w:kern w:val="0"/>
                <w:sz w:val="18"/>
                <w:szCs w:val="18"/>
              </w:rPr>
              <w:t>OWNERSHIP</w:t>
            </w:r>
          </w:p>
        </w:tc>
        <w:tc>
          <w:tcPr>
            <w:tcW w:w="2126" w:type="dxa"/>
            <w:vAlign w:val="center"/>
          </w:tcPr>
          <w:p w14:paraId="4E67E4ED"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02C6334A" w14:textId="77777777" w:rsidR="00C9609F" w:rsidRPr="00BA167E" w:rsidRDefault="00C9609F" w:rsidP="00C9609F">
            <w:pPr>
              <w:jc w:val="center"/>
              <w:rPr>
                <w:rFonts w:ascii="Times New Roman" w:hAnsi="Times New Roman" w:cs="Times New Roman"/>
                <w:sz w:val="18"/>
                <w:szCs w:val="18"/>
              </w:rPr>
            </w:pPr>
          </w:p>
        </w:tc>
        <w:tc>
          <w:tcPr>
            <w:tcW w:w="1843" w:type="dxa"/>
          </w:tcPr>
          <w:p w14:paraId="08AA5389" w14:textId="5987EB39" w:rsidR="00C9609F" w:rsidRPr="00BA167E" w:rsidRDefault="00C9609F" w:rsidP="00C9609F">
            <w:pPr>
              <w:jc w:val="center"/>
              <w:rPr>
                <w:rFonts w:ascii="Times New Roman" w:hAnsi="Times New Roman" w:cs="Times New Roman"/>
                <w:sz w:val="18"/>
                <w:szCs w:val="18"/>
              </w:rPr>
            </w:pPr>
            <w:r>
              <w:rPr>
                <w:rFonts w:ascii="Times New Roman" w:hAnsi="Times New Roman" w:cs="Times New Roman"/>
                <w:kern w:val="0"/>
                <w:sz w:val="18"/>
                <w:szCs w:val="18"/>
              </w:rPr>
              <w:t>-</w:t>
            </w:r>
            <w:r w:rsidRPr="00CB72C4">
              <w:rPr>
                <w:rFonts w:ascii="Times New Roman" w:hAnsi="Times New Roman" w:cs="Times New Roman"/>
                <w:kern w:val="0"/>
                <w:sz w:val="18"/>
                <w:szCs w:val="18"/>
              </w:rPr>
              <w:t>0.0896</w:t>
            </w:r>
          </w:p>
        </w:tc>
        <w:tc>
          <w:tcPr>
            <w:tcW w:w="1984" w:type="dxa"/>
            <w:vAlign w:val="center"/>
          </w:tcPr>
          <w:p w14:paraId="09536459" w14:textId="77777777" w:rsidR="00C9609F" w:rsidRPr="00BA167E" w:rsidRDefault="00C9609F" w:rsidP="00C9609F">
            <w:pPr>
              <w:jc w:val="center"/>
              <w:rPr>
                <w:rFonts w:ascii="Times New Roman" w:hAnsi="Times New Roman" w:cs="Times New Roman"/>
                <w:sz w:val="18"/>
                <w:szCs w:val="18"/>
              </w:rPr>
            </w:pPr>
          </w:p>
        </w:tc>
        <w:tc>
          <w:tcPr>
            <w:tcW w:w="1901" w:type="dxa"/>
            <w:vAlign w:val="center"/>
          </w:tcPr>
          <w:p w14:paraId="5F3D6FEE" w14:textId="77777777" w:rsidR="00C9609F" w:rsidRPr="007A72E7" w:rsidRDefault="00C9609F" w:rsidP="00C9609F">
            <w:pPr>
              <w:jc w:val="center"/>
              <w:rPr>
                <w:rFonts w:ascii="Times New Roman" w:hAnsi="Times New Roman" w:cs="Times New Roman"/>
                <w:b/>
                <w:bCs/>
                <w:kern w:val="0"/>
                <w:sz w:val="18"/>
                <w:szCs w:val="18"/>
              </w:rPr>
            </w:pPr>
          </w:p>
        </w:tc>
      </w:tr>
      <w:tr w:rsidR="00C9609F" w14:paraId="7CE8A20C" w14:textId="77777777" w:rsidTr="007F6189">
        <w:tc>
          <w:tcPr>
            <w:tcW w:w="4103" w:type="dxa"/>
          </w:tcPr>
          <w:p w14:paraId="247D53B7" w14:textId="77777777" w:rsidR="00C9609F" w:rsidRPr="00BA167E" w:rsidRDefault="00C9609F" w:rsidP="00C9609F">
            <w:pPr>
              <w:rPr>
                <w:rFonts w:ascii="Times New Roman" w:hAnsi="Times New Roman" w:cs="Times New Roman"/>
                <w:sz w:val="18"/>
                <w:szCs w:val="18"/>
              </w:rPr>
            </w:pPr>
          </w:p>
        </w:tc>
        <w:tc>
          <w:tcPr>
            <w:tcW w:w="2126" w:type="dxa"/>
            <w:vAlign w:val="center"/>
          </w:tcPr>
          <w:p w14:paraId="77016BAB"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0C8C774F" w14:textId="77777777" w:rsidR="00C9609F" w:rsidRPr="00BA167E" w:rsidRDefault="00C9609F" w:rsidP="00C9609F">
            <w:pPr>
              <w:jc w:val="center"/>
              <w:rPr>
                <w:rFonts w:ascii="Times New Roman" w:hAnsi="Times New Roman" w:cs="Times New Roman"/>
                <w:sz w:val="18"/>
                <w:szCs w:val="18"/>
              </w:rPr>
            </w:pPr>
          </w:p>
        </w:tc>
        <w:tc>
          <w:tcPr>
            <w:tcW w:w="1843" w:type="dxa"/>
          </w:tcPr>
          <w:p w14:paraId="03C9D2AB" w14:textId="4E57C545" w:rsidR="00C9609F" w:rsidRPr="00BA167E" w:rsidRDefault="00C9609F" w:rsidP="00C9609F">
            <w:pPr>
              <w:jc w:val="center"/>
              <w:rPr>
                <w:rFonts w:ascii="Times New Roman" w:hAnsi="Times New Roman" w:cs="Times New Roman"/>
                <w:sz w:val="18"/>
                <w:szCs w:val="18"/>
              </w:rPr>
            </w:pPr>
            <w:r w:rsidRPr="00CB72C4">
              <w:rPr>
                <w:rFonts w:ascii="Times New Roman" w:hAnsi="Times New Roman" w:cs="Times New Roman"/>
                <w:kern w:val="0"/>
                <w:sz w:val="18"/>
                <w:szCs w:val="18"/>
              </w:rPr>
              <w:t>(</w:t>
            </w:r>
            <w:r w:rsidRPr="003C3DF0">
              <w:rPr>
                <w:rFonts w:ascii="Times New Roman" w:hAnsi="Times New Roman" w:cs="Times New Roman"/>
                <w:kern w:val="0"/>
                <w:sz w:val="18"/>
                <w:szCs w:val="18"/>
              </w:rPr>
              <w:t>-1.58</w:t>
            </w:r>
            <w:r w:rsidRPr="00CB72C4">
              <w:rPr>
                <w:rFonts w:ascii="Times New Roman" w:hAnsi="Times New Roman" w:cs="Times New Roman"/>
                <w:kern w:val="0"/>
                <w:sz w:val="18"/>
                <w:szCs w:val="18"/>
              </w:rPr>
              <w:t>)</w:t>
            </w:r>
          </w:p>
        </w:tc>
        <w:tc>
          <w:tcPr>
            <w:tcW w:w="1984" w:type="dxa"/>
            <w:vAlign w:val="center"/>
          </w:tcPr>
          <w:p w14:paraId="70A389BD" w14:textId="77777777" w:rsidR="00C9609F" w:rsidRPr="00BA167E" w:rsidRDefault="00C9609F" w:rsidP="00C9609F">
            <w:pPr>
              <w:jc w:val="center"/>
              <w:rPr>
                <w:rFonts w:ascii="Times New Roman" w:hAnsi="Times New Roman" w:cs="Times New Roman"/>
                <w:sz w:val="18"/>
                <w:szCs w:val="18"/>
              </w:rPr>
            </w:pPr>
          </w:p>
        </w:tc>
        <w:tc>
          <w:tcPr>
            <w:tcW w:w="1901" w:type="dxa"/>
            <w:vAlign w:val="center"/>
          </w:tcPr>
          <w:p w14:paraId="4CE80A86" w14:textId="77777777" w:rsidR="00C9609F" w:rsidRPr="007A72E7" w:rsidRDefault="00C9609F" w:rsidP="00C9609F">
            <w:pPr>
              <w:jc w:val="center"/>
              <w:rPr>
                <w:rFonts w:ascii="Times New Roman" w:hAnsi="Times New Roman" w:cs="Times New Roman"/>
                <w:b/>
                <w:bCs/>
                <w:kern w:val="0"/>
                <w:sz w:val="18"/>
                <w:szCs w:val="18"/>
              </w:rPr>
            </w:pPr>
          </w:p>
        </w:tc>
      </w:tr>
      <w:tr w:rsidR="00C9609F" w14:paraId="4AE22904" w14:textId="77777777" w:rsidTr="007F6189">
        <w:tc>
          <w:tcPr>
            <w:tcW w:w="4103" w:type="dxa"/>
          </w:tcPr>
          <w:p w14:paraId="7575F412" w14:textId="05E14869" w:rsidR="00C9609F" w:rsidRPr="00BA167E" w:rsidRDefault="00C9609F" w:rsidP="00C9609F">
            <w:pPr>
              <w:rPr>
                <w:rFonts w:ascii="Times New Roman" w:hAnsi="Times New Roman" w:cs="Times New Roman"/>
                <w:sz w:val="18"/>
                <w:szCs w:val="18"/>
              </w:rPr>
            </w:pPr>
            <w:r>
              <w:rPr>
                <w:rFonts w:ascii="Times New Roman" w:hAnsi="Times New Roman" w:cs="Times New Roman"/>
                <w:i/>
                <w:iCs/>
                <w:kern w:val="0"/>
                <w:sz w:val="18"/>
                <w:szCs w:val="18"/>
              </w:rPr>
              <w:t>LOWINDEPENDENCE</w:t>
            </w:r>
          </w:p>
        </w:tc>
        <w:tc>
          <w:tcPr>
            <w:tcW w:w="2126" w:type="dxa"/>
            <w:vAlign w:val="center"/>
          </w:tcPr>
          <w:p w14:paraId="49213C84"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1B1B7609"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078C0832" w14:textId="77777777" w:rsidR="00C9609F" w:rsidRPr="00BA167E" w:rsidRDefault="00C9609F" w:rsidP="00C9609F">
            <w:pPr>
              <w:jc w:val="center"/>
              <w:rPr>
                <w:rFonts w:ascii="Times New Roman" w:hAnsi="Times New Roman" w:cs="Times New Roman"/>
                <w:sz w:val="18"/>
                <w:szCs w:val="18"/>
              </w:rPr>
            </w:pPr>
          </w:p>
        </w:tc>
        <w:tc>
          <w:tcPr>
            <w:tcW w:w="1984" w:type="dxa"/>
          </w:tcPr>
          <w:p w14:paraId="2223203C" w14:textId="0E6CE27E" w:rsidR="00C9609F" w:rsidRPr="00BA167E" w:rsidRDefault="00C9609F" w:rsidP="00C9609F">
            <w:pPr>
              <w:jc w:val="center"/>
              <w:rPr>
                <w:rFonts w:ascii="Times New Roman" w:hAnsi="Times New Roman" w:cs="Times New Roman"/>
                <w:sz w:val="18"/>
                <w:szCs w:val="18"/>
              </w:rPr>
            </w:pPr>
            <w:r>
              <w:rPr>
                <w:rFonts w:ascii="Times New Roman" w:hAnsi="Times New Roman" w:cs="Times New Roman"/>
                <w:kern w:val="0"/>
                <w:sz w:val="18"/>
                <w:szCs w:val="18"/>
              </w:rPr>
              <w:t>-</w:t>
            </w:r>
            <w:r w:rsidRPr="0050578F">
              <w:rPr>
                <w:rFonts w:ascii="Times New Roman" w:hAnsi="Times New Roman" w:cs="Times New Roman"/>
                <w:kern w:val="0"/>
                <w:sz w:val="18"/>
                <w:szCs w:val="18"/>
              </w:rPr>
              <w:t>0.1</w:t>
            </w:r>
            <w:r>
              <w:rPr>
                <w:rFonts w:ascii="Times New Roman" w:hAnsi="Times New Roman" w:cs="Times New Roman"/>
                <w:kern w:val="0"/>
                <w:sz w:val="18"/>
                <w:szCs w:val="18"/>
              </w:rPr>
              <w:t>51</w:t>
            </w:r>
            <w:r w:rsidRPr="0050578F">
              <w:rPr>
                <w:rFonts w:ascii="Times New Roman" w:hAnsi="Times New Roman" w:cs="Times New Roman"/>
                <w:kern w:val="0"/>
                <w:sz w:val="18"/>
                <w:szCs w:val="18"/>
              </w:rPr>
              <w:t>*</w:t>
            </w:r>
            <w:r>
              <w:rPr>
                <w:rFonts w:ascii="Times New Roman" w:hAnsi="Times New Roman" w:cs="Times New Roman"/>
                <w:kern w:val="0"/>
                <w:sz w:val="18"/>
                <w:szCs w:val="18"/>
              </w:rPr>
              <w:t>*</w:t>
            </w:r>
          </w:p>
        </w:tc>
        <w:tc>
          <w:tcPr>
            <w:tcW w:w="1901" w:type="dxa"/>
            <w:vAlign w:val="center"/>
          </w:tcPr>
          <w:p w14:paraId="38986EDF" w14:textId="77777777" w:rsidR="00C9609F" w:rsidRPr="007A72E7" w:rsidRDefault="00C9609F" w:rsidP="00C9609F">
            <w:pPr>
              <w:jc w:val="center"/>
              <w:rPr>
                <w:rFonts w:ascii="Times New Roman" w:hAnsi="Times New Roman" w:cs="Times New Roman"/>
                <w:b/>
                <w:bCs/>
                <w:kern w:val="0"/>
                <w:sz w:val="18"/>
                <w:szCs w:val="18"/>
              </w:rPr>
            </w:pPr>
          </w:p>
        </w:tc>
      </w:tr>
      <w:tr w:rsidR="00C9609F" w14:paraId="5D158397" w14:textId="77777777" w:rsidTr="007F6189">
        <w:tc>
          <w:tcPr>
            <w:tcW w:w="4103" w:type="dxa"/>
          </w:tcPr>
          <w:p w14:paraId="614C6DA5" w14:textId="77777777" w:rsidR="00C9609F" w:rsidRPr="00BA167E" w:rsidRDefault="00C9609F" w:rsidP="00C9609F">
            <w:pPr>
              <w:rPr>
                <w:rFonts w:ascii="Times New Roman" w:hAnsi="Times New Roman" w:cs="Times New Roman"/>
                <w:sz w:val="18"/>
                <w:szCs w:val="18"/>
              </w:rPr>
            </w:pPr>
          </w:p>
        </w:tc>
        <w:tc>
          <w:tcPr>
            <w:tcW w:w="2126" w:type="dxa"/>
            <w:vAlign w:val="center"/>
          </w:tcPr>
          <w:p w14:paraId="4C17420F"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334E219A"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576BD6DA" w14:textId="77777777" w:rsidR="00C9609F" w:rsidRPr="00BA167E" w:rsidRDefault="00C9609F" w:rsidP="00C9609F">
            <w:pPr>
              <w:jc w:val="center"/>
              <w:rPr>
                <w:rFonts w:ascii="Times New Roman" w:hAnsi="Times New Roman" w:cs="Times New Roman"/>
                <w:sz w:val="18"/>
                <w:szCs w:val="18"/>
              </w:rPr>
            </w:pPr>
          </w:p>
        </w:tc>
        <w:tc>
          <w:tcPr>
            <w:tcW w:w="1984" w:type="dxa"/>
          </w:tcPr>
          <w:p w14:paraId="5F1E5517" w14:textId="0239BB9E" w:rsidR="00C9609F" w:rsidRPr="00BA167E" w:rsidRDefault="00C9609F" w:rsidP="00C9609F">
            <w:pPr>
              <w:jc w:val="center"/>
              <w:rPr>
                <w:rFonts w:ascii="Times New Roman" w:hAnsi="Times New Roman" w:cs="Times New Roman"/>
                <w:sz w:val="18"/>
                <w:szCs w:val="18"/>
              </w:rPr>
            </w:pPr>
            <w:r w:rsidRPr="0050578F">
              <w:rPr>
                <w:rFonts w:ascii="Times New Roman" w:hAnsi="Times New Roman" w:cs="Times New Roman"/>
                <w:kern w:val="0"/>
                <w:sz w:val="18"/>
                <w:szCs w:val="18"/>
              </w:rPr>
              <w:t>(</w:t>
            </w:r>
            <w:r>
              <w:rPr>
                <w:rFonts w:ascii="Times New Roman" w:hAnsi="Times New Roman" w:cs="Times New Roman"/>
                <w:kern w:val="0"/>
                <w:sz w:val="18"/>
                <w:szCs w:val="18"/>
              </w:rPr>
              <w:t>-2</w:t>
            </w:r>
            <w:r w:rsidRPr="0050578F">
              <w:rPr>
                <w:rFonts w:ascii="Times New Roman" w:hAnsi="Times New Roman" w:cs="Times New Roman"/>
                <w:kern w:val="0"/>
                <w:sz w:val="18"/>
                <w:szCs w:val="18"/>
              </w:rPr>
              <w:t>.</w:t>
            </w:r>
            <w:r>
              <w:rPr>
                <w:rFonts w:ascii="Times New Roman" w:hAnsi="Times New Roman" w:cs="Times New Roman"/>
                <w:kern w:val="0"/>
                <w:sz w:val="18"/>
                <w:szCs w:val="18"/>
              </w:rPr>
              <w:t>33</w:t>
            </w:r>
            <w:r w:rsidRPr="0050578F">
              <w:rPr>
                <w:rFonts w:ascii="Times New Roman" w:hAnsi="Times New Roman" w:cs="Times New Roman"/>
                <w:kern w:val="0"/>
                <w:sz w:val="18"/>
                <w:szCs w:val="18"/>
              </w:rPr>
              <w:t>)</w:t>
            </w:r>
          </w:p>
        </w:tc>
        <w:tc>
          <w:tcPr>
            <w:tcW w:w="1901" w:type="dxa"/>
            <w:vAlign w:val="center"/>
          </w:tcPr>
          <w:p w14:paraId="29B342C7" w14:textId="77777777" w:rsidR="00C9609F" w:rsidRPr="007A72E7" w:rsidRDefault="00C9609F" w:rsidP="00C9609F">
            <w:pPr>
              <w:jc w:val="center"/>
              <w:rPr>
                <w:rFonts w:ascii="Times New Roman" w:hAnsi="Times New Roman" w:cs="Times New Roman"/>
                <w:b/>
                <w:bCs/>
                <w:kern w:val="0"/>
                <w:sz w:val="18"/>
                <w:szCs w:val="18"/>
              </w:rPr>
            </w:pPr>
          </w:p>
        </w:tc>
      </w:tr>
      <w:tr w:rsidR="00C9609F" w14:paraId="7E21E82E" w14:textId="77777777" w:rsidTr="007F6189">
        <w:tc>
          <w:tcPr>
            <w:tcW w:w="4103" w:type="dxa"/>
          </w:tcPr>
          <w:p w14:paraId="060D36DA" w14:textId="2A93AE58" w:rsidR="00C9609F" w:rsidRPr="00BA167E" w:rsidRDefault="00C9609F" w:rsidP="00C9609F">
            <w:pPr>
              <w:rPr>
                <w:rFonts w:ascii="Times New Roman" w:hAnsi="Times New Roman" w:cs="Times New Roman"/>
                <w:sz w:val="18"/>
                <w:szCs w:val="18"/>
              </w:rPr>
            </w:pPr>
            <w:r>
              <w:rPr>
                <w:rFonts w:ascii="Times New Roman" w:hAnsi="Times New Roman" w:cs="Times New Roman"/>
                <w:i/>
                <w:iCs/>
                <w:kern w:val="0"/>
                <w:sz w:val="18"/>
                <w:szCs w:val="18"/>
              </w:rPr>
              <w:t>HIGH</w:t>
            </w:r>
            <w:r w:rsidRPr="00874B14">
              <w:rPr>
                <w:rFonts w:ascii="Times New Roman" w:hAnsi="Times New Roman" w:cs="Times New Roman"/>
                <w:i/>
                <w:iCs/>
                <w:kern w:val="0"/>
                <w:sz w:val="18"/>
                <w:szCs w:val="18"/>
              </w:rPr>
              <w:t>COMP</w:t>
            </w:r>
            <w:r>
              <w:rPr>
                <w:rFonts w:ascii="Times New Roman" w:hAnsi="Times New Roman" w:cs="Times New Roman"/>
                <w:i/>
                <w:iCs/>
                <w:kern w:val="0"/>
                <w:sz w:val="18"/>
                <w:szCs w:val="18"/>
              </w:rPr>
              <w:t>LEXITY</w:t>
            </w:r>
          </w:p>
        </w:tc>
        <w:tc>
          <w:tcPr>
            <w:tcW w:w="2126" w:type="dxa"/>
            <w:vAlign w:val="center"/>
          </w:tcPr>
          <w:p w14:paraId="43FDF661"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00E1AF06"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6D042D1A"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544339ED" w14:textId="77777777" w:rsidR="00C9609F" w:rsidRPr="00BA167E" w:rsidRDefault="00C9609F" w:rsidP="00C9609F">
            <w:pPr>
              <w:jc w:val="center"/>
              <w:rPr>
                <w:rFonts w:ascii="Times New Roman" w:hAnsi="Times New Roman" w:cs="Times New Roman"/>
                <w:sz w:val="18"/>
                <w:szCs w:val="18"/>
              </w:rPr>
            </w:pPr>
          </w:p>
        </w:tc>
        <w:tc>
          <w:tcPr>
            <w:tcW w:w="1901" w:type="dxa"/>
          </w:tcPr>
          <w:p w14:paraId="32122BAA" w14:textId="52F924F5" w:rsidR="00C9609F" w:rsidRPr="007A72E7" w:rsidRDefault="00C9609F" w:rsidP="00C9609F">
            <w:pPr>
              <w:jc w:val="center"/>
              <w:rPr>
                <w:rFonts w:ascii="Times New Roman" w:hAnsi="Times New Roman" w:cs="Times New Roman"/>
                <w:b/>
                <w:bCs/>
                <w:kern w:val="0"/>
                <w:sz w:val="18"/>
                <w:szCs w:val="18"/>
              </w:rPr>
            </w:pPr>
            <w:r w:rsidRPr="0050578F">
              <w:rPr>
                <w:rFonts w:ascii="Times New Roman" w:hAnsi="Times New Roman" w:cs="Times New Roman"/>
                <w:kern w:val="0"/>
                <w:sz w:val="18"/>
                <w:szCs w:val="18"/>
              </w:rPr>
              <w:t>0.163**</w:t>
            </w:r>
          </w:p>
        </w:tc>
      </w:tr>
      <w:tr w:rsidR="00C9609F" w14:paraId="079A80ED" w14:textId="77777777" w:rsidTr="007F6189">
        <w:tc>
          <w:tcPr>
            <w:tcW w:w="4103" w:type="dxa"/>
          </w:tcPr>
          <w:p w14:paraId="75D51B3A" w14:textId="77777777" w:rsidR="00C9609F" w:rsidRPr="00BA167E" w:rsidRDefault="00C9609F" w:rsidP="00C9609F">
            <w:pPr>
              <w:rPr>
                <w:rFonts w:ascii="Times New Roman" w:hAnsi="Times New Roman" w:cs="Times New Roman"/>
                <w:sz w:val="18"/>
                <w:szCs w:val="18"/>
              </w:rPr>
            </w:pPr>
          </w:p>
        </w:tc>
        <w:tc>
          <w:tcPr>
            <w:tcW w:w="2126" w:type="dxa"/>
            <w:vAlign w:val="center"/>
          </w:tcPr>
          <w:p w14:paraId="0B827D47" w14:textId="77777777" w:rsidR="00C9609F" w:rsidRPr="00BA167E" w:rsidRDefault="00C9609F" w:rsidP="00C9609F">
            <w:pPr>
              <w:jc w:val="center"/>
              <w:rPr>
                <w:rFonts w:ascii="Times New Roman" w:hAnsi="Times New Roman" w:cs="Times New Roman"/>
                <w:sz w:val="18"/>
                <w:szCs w:val="18"/>
              </w:rPr>
            </w:pPr>
          </w:p>
        </w:tc>
        <w:tc>
          <w:tcPr>
            <w:tcW w:w="1985" w:type="dxa"/>
            <w:vAlign w:val="center"/>
          </w:tcPr>
          <w:p w14:paraId="280CD45A" w14:textId="77777777" w:rsidR="00C9609F" w:rsidRPr="00BA167E" w:rsidRDefault="00C9609F" w:rsidP="00C9609F">
            <w:pPr>
              <w:jc w:val="center"/>
              <w:rPr>
                <w:rFonts w:ascii="Times New Roman" w:hAnsi="Times New Roman" w:cs="Times New Roman"/>
                <w:sz w:val="18"/>
                <w:szCs w:val="18"/>
              </w:rPr>
            </w:pPr>
          </w:p>
        </w:tc>
        <w:tc>
          <w:tcPr>
            <w:tcW w:w="1843" w:type="dxa"/>
            <w:vAlign w:val="center"/>
          </w:tcPr>
          <w:p w14:paraId="0F3B4615" w14:textId="77777777" w:rsidR="00C9609F" w:rsidRPr="00BA167E" w:rsidRDefault="00C9609F" w:rsidP="00C9609F">
            <w:pPr>
              <w:jc w:val="center"/>
              <w:rPr>
                <w:rFonts w:ascii="Times New Roman" w:hAnsi="Times New Roman" w:cs="Times New Roman"/>
                <w:sz w:val="18"/>
                <w:szCs w:val="18"/>
              </w:rPr>
            </w:pPr>
          </w:p>
        </w:tc>
        <w:tc>
          <w:tcPr>
            <w:tcW w:w="1984" w:type="dxa"/>
            <w:vAlign w:val="center"/>
          </w:tcPr>
          <w:p w14:paraId="6FFC4EBF" w14:textId="77777777" w:rsidR="00C9609F" w:rsidRPr="00BA167E" w:rsidRDefault="00C9609F" w:rsidP="00C9609F">
            <w:pPr>
              <w:jc w:val="center"/>
              <w:rPr>
                <w:rFonts w:ascii="Times New Roman" w:hAnsi="Times New Roman" w:cs="Times New Roman"/>
                <w:sz w:val="18"/>
                <w:szCs w:val="18"/>
              </w:rPr>
            </w:pPr>
          </w:p>
        </w:tc>
        <w:tc>
          <w:tcPr>
            <w:tcW w:w="1901" w:type="dxa"/>
          </w:tcPr>
          <w:p w14:paraId="3D65DB4A" w14:textId="3B0BA0F3" w:rsidR="00C9609F" w:rsidRPr="007A72E7" w:rsidRDefault="00C9609F" w:rsidP="00C9609F">
            <w:pPr>
              <w:jc w:val="center"/>
              <w:rPr>
                <w:rFonts w:ascii="Times New Roman" w:hAnsi="Times New Roman" w:cs="Times New Roman"/>
                <w:b/>
                <w:bCs/>
                <w:kern w:val="0"/>
                <w:sz w:val="18"/>
                <w:szCs w:val="18"/>
              </w:rPr>
            </w:pPr>
            <w:r w:rsidRPr="0050578F">
              <w:rPr>
                <w:rFonts w:ascii="Times New Roman" w:hAnsi="Times New Roman" w:cs="Times New Roman"/>
                <w:kern w:val="0"/>
                <w:sz w:val="18"/>
                <w:szCs w:val="18"/>
              </w:rPr>
              <w:t>(2.05)</w:t>
            </w:r>
          </w:p>
        </w:tc>
      </w:tr>
      <w:tr w:rsidR="005F0E39" w14:paraId="3AA5AC7C" w14:textId="77777777" w:rsidTr="007F6189">
        <w:tc>
          <w:tcPr>
            <w:tcW w:w="4103" w:type="dxa"/>
          </w:tcPr>
          <w:p w14:paraId="17E5D273" w14:textId="1BCA56DE" w:rsidR="005F0E39" w:rsidRPr="00BA167E" w:rsidRDefault="005F0E39" w:rsidP="006D78DE">
            <w:pPr>
              <w:rPr>
                <w:rFonts w:ascii="Times New Roman" w:hAnsi="Times New Roman" w:cs="Times New Roman"/>
                <w:sz w:val="18"/>
                <w:szCs w:val="18"/>
              </w:rPr>
            </w:pPr>
            <w:r>
              <w:rPr>
                <w:rFonts w:ascii="Times New Roman" w:hAnsi="Times New Roman" w:cs="Times New Roman"/>
                <w:i/>
                <w:iCs/>
                <w:sz w:val="18"/>
                <w:szCs w:val="18"/>
              </w:rPr>
              <w:t xml:space="preserve">Controls </w:t>
            </w:r>
          </w:p>
        </w:tc>
        <w:tc>
          <w:tcPr>
            <w:tcW w:w="2126" w:type="dxa"/>
            <w:vAlign w:val="center"/>
          </w:tcPr>
          <w:p w14:paraId="66C735CE"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5" w:type="dxa"/>
            <w:vAlign w:val="center"/>
          </w:tcPr>
          <w:p w14:paraId="03680A3D"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843" w:type="dxa"/>
            <w:vAlign w:val="center"/>
          </w:tcPr>
          <w:p w14:paraId="495D76F0"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4" w:type="dxa"/>
            <w:vAlign w:val="center"/>
          </w:tcPr>
          <w:p w14:paraId="21A8B88B"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01" w:type="dxa"/>
            <w:vAlign w:val="center"/>
          </w:tcPr>
          <w:p w14:paraId="60BC80CA"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5F0E39" w14:paraId="619B527E" w14:textId="77777777" w:rsidTr="007F6189">
        <w:tc>
          <w:tcPr>
            <w:tcW w:w="4103" w:type="dxa"/>
          </w:tcPr>
          <w:p w14:paraId="00D6E87E" w14:textId="1B33582C" w:rsidR="005F0E39" w:rsidRPr="00BA167E" w:rsidRDefault="005F0E39" w:rsidP="006D78DE">
            <w:pPr>
              <w:rPr>
                <w:rFonts w:ascii="Times New Roman" w:hAnsi="Times New Roman" w:cs="Times New Roman"/>
                <w:sz w:val="18"/>
                <w:szCs w:val="18"/>
              </w:rPr>
            </w:pPr>
            <w:r w:rsidRPr="004775DC">
              <w:rPr>
                <w:rFonts w:ascii="Times New Roman" w:hAnsi="Times New Roman" w:cs="Times New Roman"/>
                <w:i/>
                <w:iCs/>
                <w:sz w:val="18"/>
                <w:szCs w:val="18"/>
              </w:rPr>
              <w:t>Industry fixed</w:t>
            </w:r>
            <w:r>
              <w:rPr>
                <w:rFonts w:ascii="Times New Roman" w:hAnsi="Times New Roman" w:cs="Times New Roman"/>
                <w:i/>
                <w:iCs/>
                <w:sz w:val="18"/>
                <w:szCs w:val="18"/>
              </w:rPr>
              <w:t xml:space="preserve"> </w:t>
            </w:r>
            <w:r w:rsidRPr="004775DC">
              <w:rPr>
                <w:rFonts w:ascii="Times New Roman" w:hAnsi="Times New Roman" w:cs="Times New Roman"/>
                <w:i/>
                <w:iCs/>
                <w:sz w:val="18"/>
                <w:szCs w:val="18"/>
              </w:rPr>
              <w:t>effect</w:t>
            </w:r>
          </w:p>
        </w:tc>
        <w:tc>
          <w:tcPr>
            <w:tcW w:w="2126" w:type="dxa"/>
            <w:vAlign w:val="center"/>
          </w:tcPr>
          <w:p w14:paraId="4FA1DC46"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5" w:type="dxa"/>
            <w:vAlign w:val="center"/>
          </w:tcPr>
          <w:p w14:paraId="0F8C539C"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843" w:type="dxa"/>
            <w:vAlign w:val="center"/>
          </w:tcPr>
          <w:p w14:paraId="15702F03"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4" w:type="dxa"/>
            <w:vAlign w:val="center"/>
          </w:tcPr>
          <w:p w14:paraId="0BC8476E"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01" w:type="dxa"/>
            <w:vAlign w:val="center"/>
          </w:tcPr>
          <w:p w14:paraId="1D69096D"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5F0E39" w14:paraId="29E24C6E" w14:textId="77777777" w:rsidTr="007F6189">
        <w:tc>
          <w:tcPr>
            <w:tcW w:w="4103" w:type="dxa"/>
          </w:tcPr>
          <w:p w14:paraId="1EB898F2" w14:textId="3003C1EC" w:rsidR="005F0E39" w:rsidRPr="00BA167E" w:rsidRDefault="005F0E39" w:rsidP="006D78DE">
            <w:pPr>
              <w:rPr>
                <w:rFonts w:ascii="Times New Roman" w:hAnsi="Times New Roman" w:cs="Times New Roman"/>
                <w:sz w:val="18"/>
                <w:szCs w:val="18"/>
              </w:rPr>
            </w:pPr>
            <w:r w:rsidRPr="004775DC">
              <w:rPr>
                <w:rFonts w:ascii="Times New Roman" w:hAnsi="Times New Roman" w:cs="Times New Roman"/>
                <w:i/>
                <w:iCs/>
                <w:sz w:val="18"/>
                <w:szCs w:val="18"/>
              </w:rPr>
              <w:t>Year fixed</w:t>
            </w:r>
            <w:r>
              <w:rPr>
                <w:rFonts w:ascii="Times New Roman" w:hAnsi="Times New Roman" w:cs="Times New Roman"/>
                <w:i/>
                <w:iCs/>
                <w:sz w:val="18"/>
                <w:szCs w:val="18"/>
              </w:rPr>
              <w:t xml:space="preserve"> </w:t>
            </w:r>
            <w:r w:rsidRPr="004775DC">
              <w:rPr>
                <w:rFonts w:ascii="Times New Roman" w:hAnsi="Times New Roman" w:cs="Times New Roman"/>
                <w:i/>
                <w:iCs/>
                <w:sz w:val="18"/>
                <w:szCs w:val="18"/>
              </w:rPr>
              <w:t>effect</w:t>
            </w:r>
          </w:p>
        </w:tc>
        <w:tc>
          <w:tcPr>
            <w:tcW w:w="2126" w:type="dxa"/>
            <w:vAlign w:val="center"/>
          </w:tcPr>
          <w:p w14:paraId="2AD04858"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5" w:type="dxa"/>
            <w:vAlign w:val="center"/>
          </w:tcPr>
          <w:p w14:paraId="137415F0"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843" w:type="dxa"/>
            <w:vAlign w:val="center"/>
          </w:tcPr>
          <w:p w14:paraId="677A53FA"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4" w:type="dxa"/>
            <w:vAlign w:val="center"/>
          </w:tcPr>
          <w:p w14:paraId="5AF49C13"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01" w:type="dxa"/>
            <w:vAlign w:val="center"/>
          </w:tcPr>
          <w:p w14:paraId="75146136" w14:textId="77777777" w:rsidR="005F0E39" w:rsidRPr="00BA167E" w:rsidRDefault="005F0E39"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5F0E39" w14:paraId="5433599A" w14:textId="77777777" w:rsidTr="007F6189">
        <w:tc>
          <w:tcPr>
            <w:tcW w:w="4103" w:type="dxa"/>
          </w:tcPr>
          <w:p w14:paraId="699ADC85" w14:textId="10D3FFA9" w:rsidR="005F0E39" w:rsidRPr="00BA167E" w:rsidRDefault="005F0E39" w:rsidP="006D78DE">
            <w:pPr>
              <w:rPr>
                <w:rFonts w:ascii="Times New Roman" w:hAnsi="Times New Roman" w:cs="Times New Roman"/>
                <w:sz w:val="18"/>
                <w:szCs w:val="18"/>
              </w:rPr>
            </w:pPr>
            <w:r w:rsidRPr="004775DC">
              <w:rPr>
                <w:rFonts w:ascii="Times New Roman" w:hAnsi="Times New Roman" w:cs="Times New Roman"/>
                <w:i/>
                <w:iCs/>
                <w:sz w:val="18"/>
                <w:szCs w:val="18"/>
              </w:rPr>
              <w:t>N</w:t>
            </w:r>
          </w:p>
        </w:tc>
        <w:tc>
          <w:tcPr>
            <w:tcW w:w="2126" w:type="dxa"/>
            <w:vAlign w:val="center"/>
          </w:tcPr>
          <w:p w14:paraId="750ABBDF" w14:textId="77777777" w:rsidR="005F0E39" w:rsidRPr="00BA167E" w:rsidRDefault="005F0E39"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526</w:t>
            </w:r>
          </w:p>
        </w:tc>
        <w:tc>
          <w:tcPr>
            <w:tcW w:w="1985" w:type="dxa"/>
            <w:vAlign w:val="center"/>
          </w:tcPr>
          <w:p w14:paraId="37D646E2" w14:textId="77777777" w:rsidR="005F0E39" w:rsidRPr="00BA167E" w:rsidRDefault="005F0E39"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526</w:t>
            </w:r>
          </w:p>
        </w:tc>
        <w:tc>
          <w:tcPr>
            <w:tcW w:w="1843" w:type="dxa"/>
            <w:vAlign w:val="center"/>
          </w:tcPr>
          <w:p w14:paraId="326A2318" w14:textId="77777777" w:rsidR="005F0E39" w:rsidRPr="00BA167E" w:rsidRDefault="005F0E39" w:rsidP="006D78DE">
            <w:pPr>
              <w:jc w:val="center"/>
              <w:rPr>
                <w:rFonts w:ascii="Times New Roman" w:hAnsi="Times New Roman" w:cs="Times New Roman"/>
                <w:sz w:val="18"/>
                <w:szCs w:val="18"/>
              </w:rPr>
            </w:pPr>
            <w:r w:rsidRPr="00CB72C4">
              <w:rPr>
                <w:rFonts w:ascii="Times New Roman" w:hAnsi="Times New Roman" w:cs="Times New Roman"/>
                <w:kern w:val="0"/>
                <w:sz w:val="18"/>
                <w:szCs w:val="18"/>
              </w:rPr>
              <w:t>526</w:t>
            </w:r>
          </w:p>
        </w:tc>
        <w:tc>
          <w:tcPr>
            <w:tcW w:w="1984" w:type="dxa"/>
            <w:vAlign w:val="center"/>
          </w:tcPr>
          <w:p w14:paraId="2CD12523" w14:textId="77777777" w:rsidR="005F0E39" w:rsidRPr="00BA167E" w:rsidRDefault="005F0E39"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526</w:t>
            </w:r>
          </w:p>
        </w:tc>
        <w:tc>
          <w:tcPr>
            <w:tcW w:w="1901" w:type="dxa"/>
            <w:vAlign w:val="center"/>
          </w:tcPr>
          <w:p w14:paraId="6E8A8C40" w14:textId="77777777" w:rsidR="005F0E39" w:rsidRPr="00BA167E" w:rsidRDefault="005F0E39"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526</w:t>
            </w:r>
          </w:p>
        </w:tc>
      </w:tr>
      <w:tr w:rsidR="00CF449D" w14:paraId="3ED2E7C3" w14:textId="77777777" w:rsidTr="007F6189">
        <w:tc>
          <w:tcPr>
            <w:tcW w:w="4103" w:type="dxa"/>
            <w:tcBorders>
              <w:bottom w:val="single" w:sz="6" w:space="0" w:color="auto"/>
            </w:tcBorders>
          </w:tcPr>
          <w:p w14:paraId="51014794" w14:textId="33604F6E" w:rsidR="005F0E39" w:rsidRPr="00BA167E" w:rsidRDefault="005F0E39" w:rsidP="006D78DE">
            <w:pPr>
              <w:rPr>
                <w:rFonts w:ascii="Times New Roman" w:hAnsi="Times New Roman" w:cs="Times New Roman"/>
                <w:sz w:val="18"/>
                <w:szCs w:val="18"/>
              </w:rPr>
            </w:pPr>
            <w:r w:rsidRPr="004775DC">
              <w:rPr>
                <w:rFonts w:ascii="Times New Roman" w:hAnsi="Times New Roman" w:cs="Times New Roman"/>
                <w:i/>
                <w:iCs/>
                <w:color w:val="000000"/>
                <w:sz w:val="18"/>
                <w:szCs w:val="18"/>
              </w:rPr>
              <w:t>Adjusted R</w:t>
            </w:r>
            <w:r w:rsidRPr="004775DC">
              <w:rPr>
                <w:rFonts w:ascii="Times New Roman" w:hAnsi="Times New Roman" w:cs="Times New Roman"/>
                <w:i/>
                <w:iCs/>
                <w:color w:val="000000"/>
                <w:sz w:val="18"/>
                <w:szCs w:val="18"/>
                <w:vertAlign w:val="superscript"/>
              </w:rPr>
              <w:t>2</w:t>
            </w:r>
          </w:p>
        </w:tc>
        <w:tc>
          <w:tcPr>
            <w:tcW w:w="2126" w:type="dxa"/>
            <w:tcBorders>
              <w:bottom w:val="single" w:sz="6" w:space="0" w:color="auto"/>
            </w:tcBorders>
            <w:vAlign w:val="center"/>
          </w:tcPr>
          <w:p w14:paraId="3923E26A" w14:textId="77777777" w:rsidR="005F0E39" w:rsidRPr="00BA167E" w:rsidRDefault="005F0E39" w:rsidP="006D78DE">
            <w:pPr>
              <w:jc w:val="center"/>
              <w:rPr>
                <w:rFonts w:ascii="Times New Roman" w:hAnsi="Times New Roman" w:cs="Times New Roman"/>
                <w:sz w:val="18"/>
                <w:szCs w:val="18"/>
              </w:rPr>
            </w:pPr>
            <w:r w:rsidRPr="00E67A83">
              <w:rPr>
                <w:rFonts w:ascii="Times New Roman" w:hAnsi="Times New Roman" w:cs="Times New Roman"/>
                <w:kern w:val="0"/>
                <w:sz w:val="18"/>
                <w:szCs w:val="18"/>
              </w:rPr>
              <w:t>0.674</w:t>
            </w:r>
          </w:p>
        </w:tc>
        <w:tc>
          <w:tcPr>
            <w:tcW w:w="1985" w:type="dxa"/>
            <w:tcBorders>
              <w:bottom w:val="single" w:sz="6" w:space="0" w:color="auto"/>
            </w:tcBorders>
            <w:vAlign w:val="center"/>
          </w:tcPr>
          <w:p w14:paraId="30B1DAB2" w14:textId="77777777" w:rsidR="005F0E39" w:rsidRPr="00BA167E" w:rsidRDefault="005F0E39" w:rsidP="006D78DE">
            <w:pPr>
              <w:jc w:val="center"/>
              <w:rPr>
                <w:rFonts w:ascii="Times New Roman" w:hAnsi="Times New Roman" w:cs="Times New Roman"/>
                <w:sz w:val="18"/>
                <w:szCs w:val="18"/>
              </w:rPr>
            </w:pPr>
            <w:r w:rsidRPr="00E67A83">
              <w:rPr>
                <w:rFonts w:ascii="Times New Roman" w:hAnsi="Times New Roman" w:cs="Times New Roman"/>
                <w:kern w:val="0"/>
                <w:sz w:val="18"/>
                <w:szCs w:val="18"/>
              </w:rPr>
              <w:t>0.674</w:t>
            </w:r>
          </w:p>
        </w:tc>
        <w:tc>
          <w:tcPr>
            <w:tcW w:w="1843" w:type="dxa"/>
            <w:tcBorders>
              <w:bottom w:val="single" w:sz="6" w:space="0" w:color="auto"/>
            </w:tcBorders>
            <w:vAlign w:val="center"/>
          </w:tcPr>
          <w:p w14:paraId="321F9E81" w14:textId="77777777" w:rsidR="005F0E39" w:rsidRPr="00BA167E" w:rsidRDefault="005F0E39" w:rsidP="006D78DE">
            <w:pPr>
              <w:jc w:val="center"/>
              <w:rPr>
                <w:rFonts w:ascii="Times New Roman" w:hAnsi="Times New Roman" w:cs="Times New Roman"/>
                <w:sz w:val="18"/>
                <w:szCs w:val="18"/>
              </w:rPr>
            </w:pPr>
            <w:r w:rsidRPr="00E67A83">
              <w:rPr>
                <w:rFonts w:ascii="Times New Roman" w:hAnsi="Times New Roman" w:cs="Times New Roman"/>
                <w:kern w:val="0"/>
                <w:sz w:val="18"/>
                <w:szCs w:val="18"/>
              </w:rPr>
              <w:t>0.680</w:t>
            </w:r>
          </w:p>
        </w:tc>
        <w:tc>
          <w:tcPr>
            <w:tcW w:w="1984" w:type="dxa"/>
            <w:tcBorders>
              <w:bottom w:val="single" w:sz="6" w:space="0" w:color="auto"/>
            </w:tcBorders>
            <w:vAlign w:val="center"/>
          </w:tcPr>
          <w:p w14:paraId="02108B6A" w14:textId="77777777" w:rsidR="005F0E39" w:rsidRPr="00BA167E" w:rsidRDefault="005F0E39" w:rsidP="006D78DE">
            <w:pPr>
              <w:jc w:val="center"/>
              <w:rPr>
                <w:rFonts w:ascii="Times New Roman" w:hAnsi="Times New Roman" w:cs="Times New Roman"/>
                <w:sz w:val="18"/>
                <w:szCs w:val="18"/>
              </w:rPr>
            </w:pPr>
            <w:r w:rsidRPr="00E63747">
              <w:rPr>
                <w:rFonts w:ascii="Times New Roman" w:hAnsi="Times New Roman" w:cs="Times New Roman"/>
                <w:kern w:val="0"/>
                <w:sz w:val="18"/>
                <w:szCs w:val="18"/>
              </w:rPr>
              <w:t>0.69</w:t>
            </w:r>
            <w:r>
              <w:rPr>
                <w:rFonts w:ascii="Times New Roman" w:hAnsi="Times New Roman" w:cs="Times New Roman"/>
                <w:kern w:val="0"/>
                <w:sz w:val="18"/>
                <w:szCs w:val="18"/>
              </w:rPr>
              <w:t>5</w:t>
            </w:r>
          </w:p>
        </w:tc>
        <w:tc>
          <w:tcPr>
            <w:tcW w:w="1901" w:type="dxa"/>
            <w:tcBorders>
              <w:bottom w:val="single" w:sz="6" w:space="0" w:color="auto"/>
            </w:tcBorders>
            <w:vAlign w:val="center"/>
          </w:tcPr>
          <w:p w14:paraId="4FC11F19" w14:textId="77777777" w:rsidR="005F0E39" w:rsidRPr="00BA167E" w:rsidRDefault="005F0E39" w:rsidP="006D78DE">
            <w:pPr>
              <w:jc w:val="center"/>
              <w:rPr>
                <w:rFonts w:ascii="Times New Roman" w:hAnsi="Times New Roman" w:cs="Times New Roman"/>
                <w:sz w:val="18"/>
                <w:szCs w:val="18"/>
              </w:rPr>
            </w:pPr>
            <w:r w:rsidRPr="0050578F">
              <w:rPr>
                <w:rFonts w:ascii="Times New Roman" w:hAnsi="Times New Roman" w:cs="Times New Roman"/>
                <w:kern w:val="0"/>
                <w:sz w:val="18"/>
                <w:szCs w:val="18"/>
              </w:rPr>
              <w:t>0.688</w:t>
            </w:r>
          </w:p>
        </w:tc>
      </w:tr>
      <w:tr w:rsidR="005F0E39" w14:paraId="19BC4832" w14:textId="77777777" w:rsidTr="007F6189">
        <w:tc>
          <w:tcPr>
            <w:tcW w:w="13942" w:type="dxa"/>
            <w:gridSpan w:val="6"/>
          </w:tcPr>
          <w:p w14:paraId="3C1200FA" w14:textId="61A50435" w:rsidR="005F0E39" w:rsidRPr="007F6189" w:rsidRDefault="005F0E39" w:rsidP="006D78DE">
            <w:pPr>
              <w:rPr>
                <w:rFonts w:ascii="Times New Roman" w:hAnsi="Times New Roman" w:cs="Times New Roman"/>
                <w:sz w:val="20"/>
                <w:szCs w:val="20"/>
              </w:rPr>
            </w:pPr>
            <w:r w:rsidRPr="007F6189">
              <w:rPr>
                <w:rFonts w:ascii="Times New Roman" w:hAnsi="Times New Roman" w:cs="Times New Roman"/>
                <w:color w:val="000000"/>
                <w:sz w:val="20"/>
                <w:szCs w:val="20"/>
              </w:rPr>
              <w:t xml:space="preserve">Notes: This table presents the results which test the </w:t>
            </w:r>
            <w:r w:rsidR="003D332B" w:rsidRPr="007F6189">
              <w:rPr>
                <w:rFonts w:ascii="Times New Roman" w:hAnsi="Times New Roman" w:cs="Times New Roman"/>
                <w:color w:val="000000"/>
                <w:sz w:val="20"/>
                <w:szCs w:val="20"/>
              </w:rPr>
              <w:t>role</w:t>
            </w:r>
            <w:r w:rsidRPr="007F6189">
              <w:rPr>
                <w:rFonts w:ascii="Times New Roman" w:hAnsi="Times New Roman" w:cs="Times New Roman"/>
                <w:color w:val="000000"/>
                <w:sz w:val="20"/>
                <w:szCs w:val="20"/>
              </w:rPr>
              <w:t xml:space="preserve"> of CEO power, AC chair independence and firm complexity </w:t>
            </w:r>
            <w:r w:rsidR="003D332B" w:rsidRPr="007F6189">
              <w:rPr>
                <w:rFonts w:ascii="Times New Roman" w:hAnsi="Times New Roman" w:cs="Times New Roman"/>
                <w:color w:val="000000"/>
                <w:sz w:val="20"/>
                <w:szCs w:val="20"/>
              </w:rPr>
              <w:t>in shaping</w:t>
            </w:r>
            <w:r w:rsidRPr="007F6189">
              <w:rPr>
                <w:rFonts w:ascii="Times New Roman" w:hAnsi="Times New Roman" w:cs="Times New Roman"/>
                <w:color w:val="000000"/>
                <w:sz w:val="20"/>
                <w:szCs w:val="20"/>
              </w:rPr>
              <w:t xml:space="preserve"> the association between AC chair narcissism and the quality of non-IFRS disclosure. </w:t>
            </w:r>
            <w:r w:rsidR="002F4315" w:rsidRPr="007F6189">
              <w:rPr>
                <w:rFonts w:ascii="Times New Roman" w:hAnsi="Times New Roman" w:cs="Times New Roman"/>
                <w:color w:val="000000"/>
                <w:sz w:val="20"/>
                <w:szCs w:val="20"/>
              </w:rPr>
              <w:t xml:space="preserve">The dependent variable in column (1) – (5) is </w:t>
            </w:r>
            <w:r w:rsidR="002F4315" w:rsidRPr="007F6189">
              <w:rPr>
                <w:rFonts w:ascii="Times New Roman" w:hAnsi="Times New Roman" w:cs="Times New Roman"/>
                <w:i/>
                <w:iCs/>
                <w:color w:val="000000"/>
                <w:sz w:val="20"/>
                <w:szCs w:val="20"/>
              </w:rPr>
              <w:t>IFRSEPS</w:t>
            </w:r>
            <w:r w:rsidR="002F4315" w:rsidRPr="007F6189">
              <w:rPr>
                <w:rFonts w:ascii="Times New Roman" w:hAnsi="Times New Roman" w:cs="Times New Roman"/>
                <w:i/>
                <w:iCs/>
                <w:color w:val="000000"/>
                <w:sz w:val="20"/>
                <w:szCs w:val="20"/>
                <w:vertAlign w:val="subscript"/>
              </w:rPr>
              <w:t>t+1</w:t>
            </w:r>
            <w:r w:rsidR="002F4315" w:rsidRPr="007F6189">
              <w:rPr>
                <w:rFonts w:ascii="Times New Roman" w:hAnsi="Times New Roman" w:cs="Times New Roman"/>
                <w:color w:val="000000"/>
                <w:sz w:val="20"/>
                <w:szCs w:val="20"/>
              </w:rPr>
              <w:t xml:space="preserve">. </w:t>
            </w:r>
            <w:r w:rsidRPr="007F6189">
              <w:rPr>
                <w:rFonts w:ascii="Times New Roman" w:hAnsi="Times New Roman" w:cs="Times New Roman"/>
                <w:color w:val="000000"/>
                <w:sz w:val="20"/>
                <w:szCs w:val="20"/>
              </w:rPr>
              <w:t>The coefficient</w:t>
            </w:r>
            <w:r w:rsidR="002F4315" w:rsidRPr="007F6189">
              <w:rPr>
                <w:rFonts w:ascii="Times New Roman" w:hAnsi="Times New Roman" w:cs="Times New Roman"/>
                <w:color w:val="000000"/>
                <w:sz w:val="20"/>
                <w:szCs w:val="20"/>
              </w:rPr>
              <w:t>s</w:t>
            </w:r>
            <w:r w:rsidRPr="007F6189">
              <w:rPr>
                <w:rFonts w:ascii="Times New Roman" w:hAnsi="Times New Roman" w:cs="Times New Roman"/>
                <w:color w:val="000000"/>
                <w:sz w:val="20"/>
                <w:szCs w:val="20"/>
              </w:rPr>
              <w:t xml:space="preserve"> of interest </w:t>
            </w:r>
            <w:r w:rsidR="002F4315" w:rsidRPr="007F6189">
              <w:rPr>
                <w:rFonts w:ascii="Times New Roman" w:hAnsi="Times New Roman" w:cs="Times New Roman"/>
                <w:color w:val="000000"/>
                <w:sz w:val="20"/>
                <w:szCs w:val="20"/>
              </w:rPr>
              <w:t>are</w:t>
            </w:r>
            <w:r w:rsidRPr="007F6189">
              <w:rPr>
                <w:rFonts w:ascii="Times New Roman" w:hAnsi="Times New Roman" w:cs="Times New Roman"/>
                <w:color w:val="000000"/>
                <w:sz w:val="20"/>
                <w:szCs w:val="20"/>
              </w:rPr>
              <w:t xml:space="preserve"> shown in bold. The t-statistics are reported in parentheses. Control variables</w:t>
            </w:r>
            <w:r w:rsidR="002F4315" w:rsidRPr="007F6189">
              <w:rPr>
                <w:rFonts w:ascii="Times New Roman" w:hAnsi="Times New Roman" w:cs="Times New Roman"/>
                <w:color w:val="000000"/>
                <w:sz w:val="20"/>
                <w:szCs w:val="20"/>
              </w:rPr>
              <w:t xml:space="preserve"> </w:t>
            </w:r>
            <w:r w:rsidRPr="007F6189">
              <w:rPr>
                <w:rFonts w:ascii="Times New Roman" w:hAnsi="Times New Roman" w:cs="Times New Roman"/>
                <w:color w:val="000000"/>
                <w:sz w:val="20"/>
                <w:szCs w:val="20"/>
              </w:rPr>
              <w:t xml:space="preserve">are omitted for brevity. *, **, and *** indicate statistical significance at the 10%, 5%, and 1% levels, respectively. All continuous variables are </w:t>
            </w:r>
            <w:proofErr w:type="spellStart"/>
            <w:r w:rsidRPr="007F6189">
              <w:rPr>
                <w:rFonts w:ascii="Times New Roman" w:hAnsi="Times New Roman" w:cs="Times New Roman"/>
                <w:color w:val="000000"/>
                <w:sz w:val="20"/>
                <w:szCs w:val="20"/>
              </w:rPr>
              <w:t>winsorized</w:t>
            </w:r>
            <w:proofErr w:type="spellEnd"/>
            <w:r w:rsidRPr="007F6189">
              <w:rPr>
                <w:rFonts w:ascii="Times New Roman" w:hAnsi="Times New Roman" w:cs="Times New Roman"/>
                <w:color w:val="000000"/>
                <w:sz w:val="20"/>
                <w:szCs w:val="20"/>
              </w:rPr>
              <w:t xml:space="preserve"> at 1% and 99% levels. Standard errors are clustered by firm. Variables are defined in Appendix A.</w:t>
            </w:r>
          </w:p>
        </w:tc>
      </w:tr>
    </w:tbl>
    <w:p w14:paraId="34292CFF" w14:textId="77777777" w:rsidR="005F0E39" w:rsidRDefault="005F0E39" w:rsidP="0091178F"/>
    <w:p w14:paraId="6B368CA9" w14:textId="77777777" w:rsidR="005F0E39" w:rsidRDefault="005F0E39">
      <w:pPr>
        <w:widowControl/>
        <w:spacing w:after="160" w:line="259" w:lineRule="auto"/>
        <w:jc w:val="left"/>
        <w:sectPr w:rsidR="005F0E39" w:rsidSect="005F0E39">
          <w:pgSz w:w="16838" w:h="11906" w:orient="landscape"/>
          <w:pgMar w:top="1440" w:right="1440" w:bottom="1440" w:left="1440" w:header="709" w:footer="709" w:gutter="0"/>
          <w:cols w:space="708"/>
          <w:docGrid w:linePitch="360"/>
        </w:sectPr>
      </w:pPr>
    </w:p>
    <w:p w14:paraId="18923F91" w14:textId="26BF18E5" w:rsidR="005F0E39" w:rsidRDefault="005F0E39">
      <w:pPr>
        <w:widowControl/>
        <w:spacing w:after="160" w:line="259" w:lineRule="auto"/>
        <w:jc w:val="lef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2126"/>
        <w:gridCol w:w="1843"/>
        <w:gridCol w:w="1989"/>
      </w:tblGrid>
      <w:tr w:rsidR="005F0E39" w14:paraId="589FE9C2" w14:textId="77777777" w:rsidTr="00263398">
        <w:tc>
          <w:tcPr>
            <w:tcW w:w="9214" w:type="dxa"/>
            <w:gridSpan w:val="4"/>
            <w:tcBorders>
              <w:bottom w:val="single" w:sz="6" w:space="0" w:color="auto"/>
            </w:tcBorders>
          </w:tcPr>
          <w:p w14:paraId="09F94EDC" w14:textId="77777777" w:rsidR="005F0E39" w:rsidRPr="007F6189" w:rsidRDefault="005F0E39" w:rsidP="006D78DE">
            <w:pPr>
              <w:rPr>
                <w:rFonts w:ascii="Times New Roman" w:hAnsi="Times New Roman" w:cs="Times New Roman"/>
                <w:b/>
                <w:bCs/>
                <w:sz w:val="20"/>
                <w:szCs w:val="20"/>
              </w:rPr>
            </w:pPr>
            <w:r w:rsidRPr="007F6189">
              <w:rPr>
                <w:rFonts w:ascii="Times New Roman" w:hAnsi="Times New Roman" w:cs="Times New Roman"/>
                <w:b/>
                <w:bCs/>
                <w:sz w:val="20"/>
                <w:szCs w:val="20"/>
              </w:rPr>
              <w:t>Table 7</w:t>
            </w:r>
          </w:p>
          <w:p w14:paraId="3C53097E" w14:textId="3C82705E" w:rsidR="005F0E39" w:rsidRPr="000B7CA8" w:rsidRDefault="005F0E39" w:rsidP="006D78DE">
            <w:pPr>
              <w:rPr>
                <w:rFonts w:ascii="Times New Roman" w:hAnsi="Times New Roman" w:cs="Times New Roman"/>
                <w:sz w:val="18"/>
                <w:szCs w:val="18"/>
              </w:rPr>
            </w:pPr>
            <w:r w:rsidRPr="007F6189">
              <w:rPr>
                <w:rFonts w:ascii="Times New Roman" w:hAnsi="Times New Roman" w:cs="Times New Roman"/>
                <w:sz w:val="20"/>
                <w:szCs w:val="20"/>
              </w:rPr>
              <w:t>Further analysis</w:t>
            </w:r>
            <w:r w:rsidR="00A97628">
              <w:rPr>
                <w:rFonts w:ascii="Times New Roman" w:hAnsi="Times New Roman" w:cs="Times New Roman"/>
                <w:sz w:val="20"/>
                <w:szCs w:val="20"/>
              </w:rPr>
              <w:t>.</w:t>
            </w:r>
            <w:r w:rsidRPr="007F6189">
              <w:rPr>
                <w:rFonts w:ascii="Times New Roman" w:hAnsi="Times New Roman" w:cs="Times New Roman"/>
                <w:sz w:val="20"/>
                <w:szCs w:val="20"/>
              </w:rPr>
              <w:t xml:space="preserve"> </w:t>
            </w:r>
          </w:p>
        </w:tc>
      </w:tr>
      <w:tr w:rsidR="00263398" w14:paraId="1DCAC3F9" w14:textId="77777777" w:rsidTr="00263398">
        <w:tc>
          <w:tcPr>
            <w:tcW w:w="3256" w:type="dxa"/>
            <w:vMerge w:val="restart"/>
            <w:tcBorders>
              <w:top w:val="single" w:sz="6" w:space="0" w:color="auto"/>
            </w:tcBorders>
            <w:vAlign w:val="center"/>
          </w:tcPr>
          <w:p w14:paraId="09D7A028" w14:textId="77777777" w:rsidR="00263398" w:rsidRPr="00960ABC" w:rsidRDefault="00263398" w:rsidP="006D78DE">
            <w:pPr>
              <w:jc w:val="left"/>
              <w:rPr>
                <w:rFonts w:ascii="Times New Roman" w:hAnsi="Times New Roman" w:cs="Times New Roman"/>
                <w:sz w:val="18"/>
                <w:szCs w:val="18"/>
              </w:rPr>
            </w:pPr>
            <w:r w:rsidRPr="00960ABC">
              <w:rPr>
                <w:rFonts w:ascii="Times New Roman" w:hAnsi="Times New Roman" w:cs="Times New Roman"/>
                <w:sz w:val="18"/>
                <w:szCs w:val="18"/>
              </w:rPr>
              <w:t>Variables</w:t>
            </w:r>
          </w:p>
        </w:tc>
        <w:tc>
          <w:tcPr>
            <w:tcW w:w="2126" w:type="dxa"/>
            <w:tcBorders>
              <w:top w:val="single" w:sz="6" w:space="0" w:color="auto"/>
            </w:tcBorders>
            <w:vAlign w:val="center"/>
          </w:tcPr>
          <w:p w14:paraId="0FB36255" w14:textId="746A5753"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6" w:space="0" w:color="auto"/>
            </w:tcBorders>
            <w:vAlign w:val="center"/>
          </w:tcPr>
          <w:p w14:paraId="358D12A8" w14:textId="166DFEF3" w:rsidR="00263398" w:rsidRPr="000B7CA8" w:rsidRDefault="00263398" w:rsidP="00263398">
            <w:pPr>
              <w:jc w:val="center"/>
              <w:rPr>
                <w:rFonts w:ascii="Times New Roman" w:hAnsi="Times New Roman" w:cs="Times New Roman"/>
                <w:sz w:val="18"/>
                <w:szCs w:val="18"/>
              </w:rPr>
            </w:pPr>
            <w:r>
              <w:rPr>
                <w:rFonts w:ascii="Times New Roman" w:hAnsi="Times New Roman" w:cs="Times New Roman"/>
                <w:sz w:val="18"/>
                <w:szCs w:val="18"/>
              </w:rPr>
              <w:t>(2)</w:t>
            </w:r>
          </w:p>
        </w:tc>
        <w:tc>
          <w:tcPr>
            <w:tcW w:w="1989" w:type="dxa"/>
            <w:tcBorders>
              <w:top w:val="single" w:sz="6" w:space="0" w:color="auto"/>
            </w:tcBorders>
            <w:vAlign w:val="center"/>
          </w:tcPr>
          <w:p w14:paraId="6FD01BE3" w14:textId="18E8A7AA" w:rsidR="00263398" w:rsidRPr="000B7CA8" w:rsidRDefault="00263398" w:rsidP="00263398">
            <w:pPr>
              <w:jc w:val="center"/>
              <w:rPr>
                <w:rFonts w:ascii="Times New Roman" w:hAnsi="Times New Roman" w:cs="Times New Roman"/>
                <w:sz w:val="18"/>
                <w:szCs w:val="18"/>
              </w:rPr>
            </w:pPr>
            <w:r>
              <w:rPr>
                <w:rFonts w:ascii="Times New Roman" w:hAnsi="Times New Roman" w:cs="Times New Roman"/>
                <w:sz w:val="18"/>
                <w:szCs w:val="18"/>
              </w:rPr>
              <w:t>(3)</w:t>
            </w:r>
          </w:p>
        </w:tc>
      </w:tr>
      <w:tr w:rsidR="00263398" w14:paraId="727108F7" w14:textId="77777777" w:rsidTr="00263398">
        <w:tc>
          <w:tcPr>
            <w:tcW w:w="3256" w:type="dxa"/>
            <w:vMerge/>
            <w:tcBorders>
              <w:bottom w:val="single" w:sz="6" w:space="0" w:color="auto"/>
            </w:tcBorders>
          </w:tcPr>
          <w:p w14:paraId="06CCE3EE" w14:textId="77777777" w:rsidR="00263398" w:rsidRPr="000B7CA8" w:rsidRDefault="00263398" w:rsidP="006D78DE">
            <w:pPr>
              <w:rPr>
                <w:rFonts w:ascii="Times New Roman" w:hAnsi="Times New Roman" w:cs="Times New Roman"/>
                <w:sz w:val="18"/>
                <w:szCs w:val="18"/>
              </w:rPr>
            </w:pPr>
          </w:p>
        </w:tc>
        <w:tc>
          <w:tcPr>
            <w:tcW w:w="2126" w:type="dxa"/>
            <w:tcBorders>
              <w:bottom w:val="single" w:sz="6" w:space="0" w:color="auto"/>
            </w:tcBorders>
            <w:vAlign w:val="center"/>
          </w:tcPr>
          <w:p w14:paraId="7D50C4F9" w14:textId="2EA4F135"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AC chair disclosure</w:t>
            </w:r>
          </w:p>
        </w:tc>
        <w:tc>
          <w:tcPr>
            <w:tcW w:w="1843" w:type="dxa"/>
            <w:tcBorders>
              <w:bottom w:val="single" w:sz="6" w:space="0" w:color="auto"/>
            </w:tcBorders>
            <w:vAlign w:val="center"/>
          </w:tcPr>
          <w:p w14:paraId="1EA18868" w14:textId="42140E1B" w:rsidR="00263398" w:rsidRPr="000B7CA8" w:rsidRDefault="00263398" w:rsidP="00263398">
            <w:pPr>
              <w:jc w:val="center"/>
              <w:rPr>
                <w:rFonts w:ascii="Times New Roman" w:hAnsi="Times New Roman" w:cs="Times New Roman"/>
                <w:sz w:val="18"/>
                <w:szCs w:val="18"/>
              </w:rPr>
            </w:pPr>
            <w:r>
              <w:rPr>
                <w:rFonts w:ascii="Times New Roman" w:hAnsi="Times New Roman" w:cs="Times New Roman"/>
                <w:kern w:val="0"/>
                <w:sz w:val="18"/>
                <w:szCs w:val="18"/>
              </w:rPr>
              <w:t>Analyst following</w:t>
            </w:r>
          </w:p>
        </w:tc>
        <w:tc>
          <w:tcPr>
            <w:tcW w:w="1989" w:type="dxa"/>
            <w:tcBorders>
              <w:bottom w:val="single" w:sz="6" w:space="0" w:color="auto"/>
            </w:tcBorders>
            <w:vAlign w:val="center"/>
          </w:tcPr>
          <w:p w14:paraId="35FAD2AD" w14:textId="3074F6BB" w:rsidR="00263398" w:rsidRPr="000B7CA8" w:rsidRDefault="00263398" w:rsidP="00263398">
            <w:pPr>
              <w:jc w:val="center"/>
              <w:rPr>
                <w:rFonts w:ascii="Times New Roman" w:hAnsi="Times New Roman" w:cs="Times New Roman"/>
                <w:sz w:val="18"/>
                <w:szCs w:val="18"/>
              </w:rPr>
            </w:pPr>
            <w:r>
              <w:rPr>
                <w:rFonts w:ascii="Times New Roman" w:hAnsi="Times New Roman" w:cs="Times New Roman"/>
                <w:sz w:val="18"/>
                <w:szCs w:val="18"/>
              </w:rPr>
              <w:t>Institutional ownership</w:t>
            </w:r>
          </w:p>
        </w:tc>
      </w:tr>
      <w:tr w:rsidR="00263398" w14:paraId="2436C08B" w14:textId="77777777" w:rsidTr="00263398">
        <w:tc>
          <w:tcPr>
            <w:tcW w:w="3256" w:type="dxa"/>
            <w:tcBorders>
              <w:top w:val="single" w:sz="6" w:space="0" w:color="auto"/>
            </w:tcBorders>
          </w:tcPr>
          <w:p w14:paraId="6D79F11C" w14:textId="7CFABEC2" w:rsidR="00263398" w:rsidRPr="00A73C18" w:rsidRDefault="00263398" w:rsidP="00041876">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w:t>
            </w:r>
          </w:p>
        </w:tc>
        <w:tc>
          <w:tcPr>
            <w:tcW w:w="2126" w:type="dxa"/>
            <w:tcBorders>
              <w:top w:val="single" w:sz="6" w:space="0" w:color="auto"/>
            </w:tcBorders>
          </w:tcPr>
          <w:p w14:paraId="7A23A718" w14:textId="07C6F36B" w:rsidR="00263398" w:rsidRPr="00B961D9" w:rsidRDefault="00263398" w:rsidP="00041876">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0.798***</w:t>
            </w:r>
          </w:p>
        </w:tc>
        <w:tc>
          <w:tcPr>
            <w:tcW w:w="1843" w:type="dxa"/>
            <w:tcBorders>
              <w:top w:val="single" w:sz="6" w:space="0" w:color="auto"/>
            </w:tcBorders>
          </w:tcPr>
          <w:p w14:paraId="44CE4186" w14:textId="5164B75B" w:rsidR="00263398" w:rsidRPr="00F457A5"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0.739***</w:t>
            </w:r>
          </w:p>
        </w:tc>
        <w:tc>
          <w:tcPr>
            <w:tcW w:w="1989" w:type="dxa"/>
            <w:tcBorders>
              <w:top w:val="single" w:sz="6" w:space="0" w:color="auto"/>
            </w:tcBorders>
          </w:tcPr>
          <w:p w14:paraId="37B48A9F" w14:textId="1FDB0011" w:rsidR="00263398" w:rsidRPr="00F457A5"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0.783***</w:t>
            </w:r>
          </w:p>
        </w:tc>
      </w:tr>
      <w:tr w:rsidR="00263398" w14:paraId="00F0B662" w14:textId="77777777" w:rsidTr="00263398">
        <w:tc>
          <w:tcPr>
            <w:tcW w:w="3256" w:type="dxa"/>
          </w:tcPr>
          <w:p w14:paraId="6385529C" w14:textId="77777777" w:rsidR="00263398" w:rsidRPr="00A73C18" w:rsidRDefault="00263398" w:rsidP="00041876">
            <w:pPr>
              <w:rPr>
                <w:rFonts w:ascii="Times New Roman" w:hAnsi="Times New Roman" w:cs="Times New Roman"/>
                <w:i/>
                <w:iCs/>
                <w:color w:val="000000"/>
                <w:sz w:val="18"/>
                <w:szCs w:val="18"/>
              </w:rPr>
            </w:pPr>
          </w:p>
        </w:tc>
        <w:tc>
          <w:tcPr>
            <w:tcW w:w="2126" w:type="dxa"/>
          </w:tcPr>
          <w:p w14:paraId="0CBF1AC5" w14:textId="292FAFDC" w:rsidR="00263398" w:rsidRPr="00B961D9" w:rsidRDefault="00263398" w:rsidP="00041876">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(16.28)</w:t>
            </w:r>
          </w:p>
        </w:tc>
        <w:tc>
          <w:tcPr>
            <w:tcW w:w="1843" w:type="dxa"/>
          </w:tcPr>
          <w:p w14:paraId="1A72A0DB" w14:textId="2F9E5622" w:rsidR="00263398" w:rsidRPr="00F457A5"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(10.02)</w:t>
            </w:r>
          </w:p>
        </w:tc>
        <w:tc>
          <w:tcPr>
            <w:tcW w:w="1989" w:type="dxa"/>
          </w:tcPr>
          <w:p w14:paraId="3A91A842" w14:textId="685B148A" w:rsidR="00263398" w:rsidRPr="00F457A5"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(13.01)</w:t>
            </w:r>
          </w:p>
        </w:tc>
      </w:tr>
      <w:tr w:rsidR="00263398" w14:paraId="305776AC" w14:textId="77777777" w:rsidTr="00263398">
        <w:tc>
          <w:tcPr>
            <w:tcW w:w="3256" w:type="dxa"/>
          </w:tcPr>
          <w:p w14:paraId="7571EEED" w14:textId="4E729F52" w:rsidR="00263398" w:rsidRPr="00DA10F4" w:rsidRDefault="00263398" w:rsidP="006D78DE">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EXCLUSION</w:t>
            </w:r>
          </w:p>
        </w:tc>
        <w:tc>
          <w:tcPr>
            <w:tcW w:w="2126" w:type="dxa"/>
            <w:vAlign w:val="center"/>
          </w:tcPr>
          <w:p w14:paraId="2EE7FC66" w14:textId="3176FE71" w:rsidR="00263398" w:rsidRPr="000B7CA8" w:rsidRDefault="00263398" w:rsidP="006D78DE">
            <w:pPr>
              <w:jc w:val="center"/>
              <w:rPr>
                <w:rFonts w:ascii="Times New Roman" w:hAnsi="Times New Roman" w:cs="Times New Roman"/>
                <w:sz w:val="18"/>
                <w:szCs w:val="18"/>
              </w:rPr>
            </w:pPr>
            <w:r w:rsidRPr="00B961D9">
              <w:rPr>
                <w:rFonts w:ascii="Times New Roman" w:hAnsi="Times New Roman" w:cs="Times New Roman"/>
                <w:kern w:val="0"/>
                <w:sz w:val="18"/>
                <w:szCs w:val="18"/>
              </w:rPr>
              <w:t>-0.165**</w:t>
            </w:r>
          </w:p>
        </w:tc>
        <w:tc>
          <w:tcPr>
            <w:tcW w:w="1843" w:type="dxa"/>
            <w:vAlign w:val="center"/>
          </w:tcPr>
          <w:p w14:paraId="14CAAA1A" w14:textId="77777777" w:rsidR="00263398" w:rsidRPr="005F29C9"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-0.145*</w:t>
            </w:r>
          </w:p>
        </w:tc>
        <w:tc>
          <w:tcPr>
            <w:tcW w:w="1989" w:type="dxa"/>
            <w:vAlign w:val="center"/>
          </w:tcPr>
          <w:p w14:paraId="3DEC6124" w14:textId="77777777" w:rsidR="00263398" w:rsidRPr="005F29C9"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-0.101*</w:t>
            </w:r>
          </w:p>
        </w:tc>
      </w:tr>
      <w:tr w:rsidR="00263398" w14:paraId="761DF61C" w14:textId="77777777" w:rsidTr="00263398">
        <w:tc>
          <w:tcPr>
            <w:tcW w:w="3256" w:type="dxa"/>
          </w:tcPr>
          <w:p w14:paraId="26708119" w14:textId="77777777" w:rsidR="00263398" w:rsidRPr="00DA10F4" w:rsidRDefault="00263398" w:rsidP="006D78DE">
            <w:pPr>
              <w:rPr>
                <w:rFonts w:ascii="Times New Roman" w:hAnsi="Times New Roman" w:cs="Times New Roman"/>
                <w:i/>
                <w:iCs/>
                <w:color w:val="000000"/>
                <w:sz w:val="18"/>
                <w:szCs w:val="18"/>
              </w:rPr>
            </w:pPr>
          </w:p>
        </w:tc>
        <w:tc>
          <w:tcPr>
            <w:tcW w:w="2126" w:type="dxa"/>
            <w:vAlign w:val="center"/>
          </w:tcPr>
          <w:p w14:paraId="4515630A" w14:textId="7B7F343E" w:rsidR="00263398" w:rsidRPr="000B7CA8" w:rsidRDefault="00263398" w:rsidP="006D78DE">
            <w:pPr>
              <w:jc w:val="center"/>
              <w:rPr>
                <w:rFonts w:ascii="Times New Roman" w:hAnsi="Times New Roman" w:cs="Times New Roman"/>
                <w:sz w:val="18"/>
                <w:szCs w:val="18"/>
              </w:rPr>
            </w:pPr>
            <w:r w:rsidRPr="00B961D9">
              <w:rPr>
                <w:rFonts w:ascii="Times New Roman" w:hAnsi="Times New Roman" w:cs="Times New Roman"/>
                <w:kern w:val="0"/>
                <w:sz w:val="18"/>
                <w:szCs w:val="18"/>
              </w:rPr>
              <w:t>(-2.43)</w:t>
            </w:r>
          </w:p>
        </w:tc>
        <w:tc>
          <w:tcPr>
            <w:tcW w:w="1843" w:type="dxa"/>
            <w:vAlign w:val="center"/>
          </w:tcPr>
          <w:p w14:paraId="608550FF" w14:textId="77777777" w:rsidR="00263398" w:rsidRPr="005F29C9"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(-1.87)</w:t>
            </w:r>
          </w:p>
        </w:tc>
        <w:tc>
          <w:tcPr>
            <w:tcW w:w="1989" w:type="dxa"/>
            <w:vAlign w:val="center"/>
          </w:tcPr>
          <w:p w14:paraId="758122B8" w14:textId="77777777" w:rsidR="00263398" w:rsidRPr="005F29C9"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(-1.83)</w:t>
            </w:r>
          </w:p>
        </w:tc>
      </w:tr>
      <w:tr w:rsidR="00263398" w14:paraId="053592E4" w14:textId="77777777" w:rsidTr="00263398">
        <w:tc>
          <w:tcPr>
            <w:tcW w:w="3256" w:type="dxa"/>
          </w:tcPr>
          <w:p w14:paraId="76778761" w14:textId="20A6915E" w:rsidR="00263398" w:rsidRPr="00DA10F4" w:rsidRDefault="00263398" w:rsidP="006D78DE">
            <w:pPr>
              <w:rPr>
                <w:rFonts w:ascii="Times New Roman" w:hAnsi="Times New Roman" w:cs="Times New Roman"/>
                <w:i/>
                <w:iCs/>
                <w:color w:val="000000"/>
                <w:sz w:val="18"/>
                <w:szCs w:val="18"/>
              </w:rPr>
            </w:pPr>
            <w:r>
              <w:rPr>
                <w:rFonts w:ascii="Times New Roman" w:hAnsi="Times New Roman" w:cs="Times New Roman"/>
                <w:i/>
                <w:iCs/>
                <w:color w:val="000000"/>
                <w:sz w:val="18"/>
                <w:szCs w:val="18"/>
              </w:rPr>
              <w:t>NARCIS</w:t>
            </w:r>
          </w:p>
        </w:tc>
        <w:tc>
          <w:tcPr>
            <w:tcW w:w="2126" w:type="dxa"/>
            <w:vAlign w:val="center"/>
          </w:tcPr>
          <w:p w14:paraId="62919424" w14:textId="6397865B" w:rsidR="00263398" w:rsidRPr="00B961D9" w:rsidRDefault="00263398" w:rsidP="006D78DE">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-0.241</w:t>
            </w:r>
          </w:p>
        </w:tc>
        <w:tc>
          <w:tcPr>
            <w:tcW w:w="1843" w:type="dxa"/>
            <w:vAlign w:val="center"/>
          </w:tcPr>
          <w:p w14:paraId="05ED0552" w14:textId="77777777" w:rsidR="00263398" w:rsidRPr="00F457A5"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-0.216</w:t>
            </w:r>
          </w:p>
        </w:tc>
        <w:tc>
          <w:tcPr>
            <w:tcW w:w="1989" w:type="dxa"/>
            <w:vAlign w:val="center"/>
          </w:tcPr>
          <w:p w14:paraId="70F1BEE7" w14:textId="77777777" w:rsidR="00263398" w:rsidRPr="00F457A5"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-0.215</w:t>
            </w:r>
          </w:p>
        </w:tc>
      </w:tr>
      <w:tr w:rsidR="00263398" w14:paraId="7B5E7B95" w14:textId="77777777" w:rsidTr="00263398">
        <w:tc>
          <w:tcPr>
            <w:tcW w:w="3256" w:type="dxa"/>
          </w:tcPr>
          <w:p w14:paraId="7350E8C0" w14:textId="77777777" w:rsidR="00263398" w:rsidRPr="00DA10F4" w:rsidRDefault="00263398" w:rsidP="006D78DE">
            <w:pPr>
              <w:rPr>
                <w:rFonts w:ascii="Times New Roman" w:hAnsi="Times New Roman" w:cs="Times New Roman"/>
                <w:i/>
                <w:iCs/>
                <w:color w:val="000000"/>
                <w:sz w:val="18"/>
                <w:szCs w:val="18"/>
              </w:rPr>
            </w:pPr>
          </w:p>
        </w:tc>
        <w:tc>
          <w:tcPr>
            <w:tcW w:w="2126" w:type="dxa"/>
            <w:vAlign w:val="center"/>
          </w:tcPr>
          <w:p w14:paraId="01FE093C" w14:textId="7D58B8A4" w:rsidR="00263398" w:rsidRPr="00B961D9" w:rsidRDefault="00263398" w:rsidP="006D78DE">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(-1.18)</w:t>
            </w:r>
          </w:p>
        </w:tc>
        <w:tc>
          <w:tcPr>
            <w:tcW w:w="1843" w:type="dxa"/>
            <w:vAlign w:val="center"/>
          </w:tcPr>
          <w:p w14:paraId="09B50377" w14:textId="77777777" w:rsidR="00263398" w:rsidRPr="00F457A5"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(-0.94)</w:t>
            </w:r>
          </w:p>
        </w:tc>
        <w:tc>
          <w:tcPr>
            <w:tcW w:w="1989" w:type="dxa"/>
            <w:vAlign w:val="center"/>
          </w:tcPr>
          <w:p w14:paraId="00529659" w14:textId="77777777" w:rsidR="00263398" w:rsidRPr="00F457A5" w:rsidRDefault="00263398" w:rsidP="006D78DE">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(-0.88)</w:t>
            </w:r>
          </w:p>
        </w:tc>
      </w:tr>
      <w:tr w:rsidR="00263398" w14:paraId="47642C59" w14:textId="77777777" w:rsidTr="00263398">
        <w:tc>
          <w:tcPr>
            <w:tcW w:w="3256" w:type="dxa"/>
          </w:tcPr>
          <w:p w14:paraId="50B3BD68" w14:textId="45E52B0B" w:rsidR="00263398" w:rsidRPr="00DA10F4" w:rsidRDefault="00263398" w:rsidP="00041876">
            <w:pPr>
              <w:rPr>
                <w:rFonts w:ascii="Times New Roman" w:hAnsi="Times New Roman" w:cs="Times New Roman"/>
                <w:i/>
                <w:iCs/>
                <w:color w:val="000000"/>
                <w:sz w:val="18"/>
                <w:szCs w:val="18"/>
              </w:rPr>
            </w:pPr>
            <w:r w:rsidRPr="00A73C18">
              <w:rPr>
                <w:rFonts w:ascii="Times New Roman" w:hAnsi="Times New Roman" w:cs="Times New Roman"/>
                <w:i/>
                <w:iCs/>
                <w:color w:val="000000"/>
                <w:sz w:val="18"/>
                <w:szCs w:val="18"/>
              </w:rPr>
              <w:t>NONIFRSEPS×</w:t>
            </w:r>
            <w:r>
              <w:rPr>
                <w:rFonts w:ascii="Times New Roman" w:hAnsi="Times New Roman" w:cs="Times New Roman"/>
                <w:i/>
                <w:iCs/>
                <w:color w:val="000000"/>
                <w:sz w:val="18"/>
                <w:szCs w:val="18"/>
              </w:rPr>
              <w:t>NARCIS</w:t>
            </w:r>
          </w:p>
        </w:tc>
        <w:tc>
          <w:tcPr>
            <w:tcW w:w="2126" w:type="dxa"/>
          </w:tcPr>
          <w:p w14:paraId="1A762F67" w14:textId="2CE78958" w:rsidR="00263398" w:rsidRPr="005F29C9" w:rsidRDefault="00263398" w:rsidP="00041876">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0.270</w:t>
            </w:r>
          </w:p>
        </w:tc>
        <w:tc>
          <w:tcPr>
            <w:tcW w:w="1843" w:type="dxa"/>
          </w:tcPr>
          <w:p w14:paraId="4305361E" w14:textId="276571C9"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0.456</w:t>
            </w:r>
          </w:p>
        </w:tc>
        <w:tc>
          <w:tcPr>
            <w:tcW w:w="1989" w:type="dxa"/>
          </w:tcPr>
          <w:p w14:paraId="39FA037A" w14:textId="79CAED94"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0.438</w:t>
            </w:r>
          </w:p>
        </w:tc>
      </w:tr>
      <w:tr w:rsidR="00263398" w14:paraId="75AE4AF5" w14:textId="77777777" w:rsidTr="00263398">
        <w:tc>
          <w:tcPr>
            <w:tcW w:w="3256" w:type="dxa"/>
          </w:tcPr>
          <w:p w14:paraId="690621AE" w14:textId="77777777" w:rsidR="00263398" w:rsidRPr="00DA10F4" w:rsidRDefault="00263398" w:rsidP="00041876">
            <w:pPr>
              <w:rPr>
                <w:rFonts w:ascii="Times New Roman" w:hAnsi="Times New Roman" w:cs="Times New Roman"/>
                <w:i/>
                <w:iCs/>
                <w:color w:val="000000"/>
                <w:sz w:val="18"/>
                <w:szCs w:val="18"/>
              </w:rPr>
            </w:pPr>
          </w:p>
        </w:tc>
        <w:tc>
          <w:tcPr>
            <w:tcW w:w="2126" w:type="dxa"/>
          </w:tcPr>
          <w:p w14:paraId="2B46F7C3" w14:textId="4597F213" w:rsidR="00263398" w:rsidRPr="005F29C9" w:rsidRDefault="00263398" w:rsidP="00041876">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(0.89)</w:t>
            </w:r>
          </w:p>
        </w:tc>
        <w:tc>
          <w:tcPr>
            <w:tcW w:w="1843" w:type="dxa"/>
          </w:tcPr>
          <w:p w14:paraId="5C9BCEBA" w14:textId="7909447E"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(1.24)</w:t>
            </w:r>
          </w:p>
        </w:tc>
        <w:tc>
          <w:tcPr>
            <w:tcW w:w="1989" w:type="dxa"/>
          </w:tcPr>
          <w:p w14:paraId="60569C12" w14:textId="73958E2E"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(1.39)</w:t>
            </w:r>
          </w:p>
        </w:tc>
      </w:tr>
      <w:tr w:rsidR="00263398" w14:paraId="53106C60" w14:textId="77777777" w:rsidTr="00263398">
        <w:tc>
          <w:tcPr>
            <w:tcW w:w="3256" w:type="dxa"/>
          </w:tcPr>
          <w:p w14:paraId="72B7FAF7" w14:textId="4CD7E0CA" w:rsidR="00263398" w:rsidRPr="00DA10F4" w:rsidRDefault="00263398" w:rsidP="006D78DE">
            <w:pPr>
              <w:rPr>
                <w:rFonts w:ascii="Times New Roman" w:hAnsi="Times New Roman" w:cs="Times New Roman"/>
                <w:sz w:val="18"/>
                <w:szCs w:val="18"/>
              </w:rPr>
            </w:pPr>
            <w:r w:rsidRPr="00DA10F4">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NARCIS</w:t>
            </w:r>
          </w:p>
        </w:tc>
        <w:tc>
          <w:tcPr>
            <w:tcW w:w="2126" w:type="dxa"/>
            <w:vAlign w:val="center"/>
          </w:tcPr>
          <w:p w14:paraId="1723D663" w14:textId="19FAA0F9" w:rsidR="00263398" w:rsidRPr="005F29C9" w:rsidRDefault="00263398" w:rsidP="006D78DE">
            <w:pPr>
              <w:jc w:val="center"/>
              <w:rPr>
                <w:rFonts w:ascii="Times New Roman" w:hAnsi="Times New Roman" w:cs="Times New Roman"/>
                <w:sz w:val="18"/>
                <w:szCs w:val="18"/>
              </w:rPr>
            </w:pPr>
            <w:r w:rsidRPr="005F29C9">
              <w:rPr>
                <w:rFonts w:ascii="Times New Roman" w:hAnsi="Times New Roman" w:cs="Times New Roman"/>
                <w:kern w:val="0"/>
                <w:sz w:val="18"/>
                <w:szCs w:val="18"/>
              </w:rPr>
              <w:t>-2.202***</w:t>
            </w:r>
          </w:p>
        </w:tc>
        <w:tc>
          <w:tcPr>
            <w:tcW w:w="1843" w:type="dxa"/>
            <w:vAlign w:val="center"/>
          </w:tcPr>
          <w:p w14:paraId="54E442CB" w14:textId="77777777" w:rsidR="00263398" w:rsidRPr="005F29C9" w:rsidRDefault="00263398" w:rsidP="006D78DE">
            <w:pPr>
              <w:jc w:val="center"/>
              <w:rPr>
                <w:rFonts w:ascii="Times New Roman" w:hAnsi="Times New Roman" w:cs="Times New Roman"/>
                <w:sz w:val="18"/>
                <w:szCs w:val="18"/>
              </w:rPr>
            </w:pPr>
            <w:r w:rsidRPr="005F29C9">
              <w:rPr>
                <w:rFonts w:ascii="Times New Roman" w:hAnsi="Times New Roman" w:cs="Times New Roman"/>
                <w:kern w:val="0"/>
                <w:sz w:val="18"/>
                <w:szCs w:val="18"/>
              </w:rPr>
              <w:t>-1.643***</w:t>
            </w:r>
          </w:p>
        </w:tc>
        <w:tc>
          <w:tcPr>
            <w:tcW w:w="1989" w:type="dxa"/>
            <w:vAlign w:val="center"/>
          </w:tcPr>
          <w:p w14:paraId="53E353BD" w14:textId="77777777" w:rsidR="00263398" w:rsidRPr="005F29C9" w:rsidRDefault="00263398" w:rsidP="006D78DE">
            <w:pPr>
              <w:jc w:val="center"/>
              <w:rPr>
                <w:rFonts w:ascii="Times New Roman" w:hAnsi="Times New Roman" w:cs="Times New Roman"/>
                <w:sz w:val="18"/>
                <w:szCs w:val="18"/>
              </w:rPr>
            </w:pPr>
            <w:r w:rsidRPr="005F29C9">
              <w:rPr>
                <w:rFonts w:ascii="Times New Roman" w:hAnsi="Times New Roman" w:cs="Times New Roman"/>
                <w:kern w:val="0"/>
                <w:sz w:val="18"/>
                <w:szCs w:val="18"/>
              </w:rPr>
              <w:t>-1.279*</w:t>
            </w:r>
          </w:p>
        </w:tc>
      </w:tr>
      <w:tr w:rsidR="00263398" w14:paraId="666A0771" w14:textId="77777777" w:rsidTr="00263398">
        <w:tc>
          <w:tcPr>
            <w:tcW w:w="3256" w:type="dxa"/>
          </w:tcPr>
          <w:p w14:paraId="381A7C3D" w14:textId="77777777" w:rsidR="00263398" w:rsidRPr="00DA10F4" w:rsidRDefault="00263398" w:rsidP="006D78DE">
            <w:pPr>
              <w:rPr>
                <w:rFonts w:ascii="Times New Roman" w:hAnsi="Times New Roman" w:cs="Times New Roman"/>
                <w:sz w:val="18"/>
                <w:szCs w:val="18"/>
              </w:rPr>
            </w:pPr>
          </w:p>
        </w:tc>
        <w:tc>
          <w:tcPr>
            <w:tcW w:w="2126" w:type="dxa"/>
            <w:vAlign w:val="center"/>
          </w:tcPr>
          <w:p w14:paraId="6B1CF012" w14:textId="5603EB89" w:rsidR="00263398" w:rsidRPr="005F29C9" w:rsidRDefault="00263398" w:rsidP="006D78DE">
            <w:pPr>
              <w:jc w:val="center"/>
              <w:rPr>
                <w:rFonts w:ascii="Times New Roman" w:hAnsi="Times New Roman" w:cs="Times New Roman"/>
                <w:sz w:val="18"/>
                <w:szCs w:val="18"/>
              </w:rPr>
            </w:pPr>
            <w:r w:rsidRPr="005F29C9">
              <w:rPr>
                <w:rFonts w:ascii="Times New Roman" w:hAnsi="Times New Roman" w:cs="Times New Roman"/>
                <w:kern w:val="0"/>
                <w:sz w:val="18"/>
                <w:szCs w:val="18"/>
              </w:rPr>
              <w:t>(-3.69)</w:t>
            </w:r>
          </w:p>
        </w:tc>
        <w:tc>
          <w:tcPr>
            <w:tcW w:w="1843" w:type="dxa"/>
            <w:vAlign w:val="center"/>
          </w:tcPr>
          <w:p w14:paraId="5032E06B" w14:textId="77777777" w:rsidR="00263398" w:rsidRPr="005F29C9" w:rsidRDefault="00263398" w:rsidP="006D78DE">
            <w:pPr>
              <w:jc w:val="center"/>
              <w:rPr>
                <w:rFonts w:ascii="Times New Roman" w:hAnsi="Times New Roman" w:cs="Times New Roman"/>
                <w:sz w:val="18"/>
                <w:szCs w:val="18"/>
              </w:rPr>
            </w:pPr>
            <w:r w:rsidRPr="005F29C9">
              <w:rPr>
                <w:rFonts w:ascii="Times New Roman" w:hAnsi="Times New Roman" w:cs="Times New Roman"/>
                <w:kern w:val="0"/>
                <w:sz w:val="18"/>
                <w:szCs w:val="18"/>
              </w:rPr>
              <w:t>(-3.07)</w:t>
            </w:r>
          </w:p>
        </w:tc>
        <w:tc>
          <w:tcPr>
            <w:tcW w:w="1989" w:type="dxa"/>
            <w:vAlign w:val="center"/>
          </w:tcPr>
          <w:p w14:paraId="4AD848B4" w14:textId="77777777" w:rsidR="00263398" w:rsidRPr="005F29C9" w:rsidRDefault="00263398" w:rsidP="006D78DE">
            <w:pPr>
              <w:jc w:val="center"/>
              <w:rPr>
                <w:rFonts w:ascii="Times New Roman" w:hAnsi="Times New Roman" w:cs="Times New Roman"/>
                <w:sz w:val="18"/>
                <w:szCs w:val="18"/>
              </w:rPr>
            </w:pPr>
            <w:r w:rsidRPr="005F29C9">
              <w:rPr>
                <w:rFonts w:ascii="Times New Roman" w:hAnsi="Times New Roman" w:cs="Times New Roman"/>
                <w:kern w:val="0"/>
                <w:sz w:val="18"/>
                <w:szCs w:val="18"/>
              </w:rPr>
              <w:t>(-1.77)</w:t>
            </w:r>
          </w:p>
        </w:tc>
      </w:tr>
      <w:tr w:rsidR="00263398" w14:paraId="7E101D3C" w14:textId="77777777" w:rsidTr="00263398">
        <w:tc>
          <w:tcPr>
            <w:tcW w:w="3256" w:type="dxa"/>
          </w:tcPr>
          <w:p w14:paraId="1CC3B45D" w14:textId="155DECC0" w:rsidR="00263398" w:rsidRPr="00DA10F4" w:rsidRDefault="00263398" w:rsidP="00041876">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sidRPr="00B961D9">
              <w:rPr>
                <w:rFonts w:ascii="Times New Roman" w:hAnsi="Times New Roman" w:cs="Times New Roman"/>
                <w:i/>
                <w:iCs/>
                <w:kern w:val="0"/>
                <w:sz w:val="18"/>
                <w:szCs w:val="18"/>
              </w:rPr>
              <w:t>DISCL</w:t>
            </w:r>
            <w:r>
              <w:rPr>
                <w:rFonts w:ascii="Times New Roman" w:hAnsi="Times New Roman" w:cs="Times New Roman"/>
                <w:i/>
                <w:iCs/>
                <w:kern w:val="0"/>
                <w:sz w:val="18"/>
                <w:szCs w:val="18"/>
              </w:rPr>
              <w:t>OSURE</w:t>
            </w:r>
          </w:p>
        </w:tc>
        <w:tc>
          <w:tcPr>
            <w:tcW w:w="2126" w:type="dxa"/>
          </w:tcPr>
          <w:p w14:paraId="1AEB1AF8" w14:textId="04D2DAE5" w:rsidR="00263398" w:rsidRPr="005F29C9" w:rsidRDefault="00263398" w:rsidP="00041876">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-0.00349</w:t>
            </w:r>
          </w:p>
        </w:tc>
        <w:tc>
          <w:tcPr>
            <w:tcW w:w="1843" w:type="dxa"/>
            <w:vAlign w:val="center"/>
          </w:tcPr>
          <w:p w14:paraId="48766500" w14:textId="77777777" w:rsidR="00263398" w:rsidRPr="005F29C9" w:rsidRDefault="00263398" w:rsidP="00041876">
            <w:pPr>
              <w:jc w:val="center"/>
              <w:rPr>
                <w:rFonts w:ascii="Times New Roman" w:hAnsi="Times New Roman" w:cs="Times New Roman"/>
                <w:kern w:val="0"/>
                <w:sz w:val="18"/>
                <w:szCs w:val="18"/>
              </w:rPr>
            </w:pPr>
          </w:p>
        </w:tc>
        <w:tc>
          <w:tcPr>
            <w:tcW w:w="1989" w:type="dxa"/>
            <w:vAlign w:val="center"/>
          </w:tcPr>
          <w:p w14:paraId="010D80BA" w14:textId="77777777" w:rsidR="00263398" w:rsidRPr="005F29C9" w:rsidRDefault="00263398" w:rsidP="00041876">
            <w:pPr>
              <w:jc w:val="center"/>
              <w:rPr>
                <w:rFonts w:ascii="Times New Roman" w:hAnsi="Times New Roman" w:cs="Times New Roman"/>
                <w:kern w:val="0"/>
                <w:sz w:val="18"/>
                <w:szCs w:val="18"/>
              </w:rPr>
            </w:pPr>
          </w:p>
        </w:tc>
      </w:tr>
      <w:tr w:rsidR="00263398" w14:paraId="509E319E" w14:textId="77777777" w:rsidTr="00263398">
        <w:tc>
          <w:tcPr>
            <w:tcW w:w="3256" w:type="dxa"/>
          </w:tcPr>
          <w:p w14:paraId="4B3E7372" w14:textId="77777777" w:rsidR="00263398" w:rsidRPr="00DA10F4" w:rsidRDefault="00263398" w:rsidP="00041876">
            <w:pPr>
              <w:rPr>
                <w:rFonts w:ascii="Times New Roman" w:hAnsi="Times New Roman" w:cs="Times New Roman"/>
                <w:sz w:val="18"/>
                <w:szCs w:val="18"/>
              </w:rPr>
            </w:pPr>
          </w:p>
        </w:tc>
        <w:tc>
          <w:tcPr>
            <w:tcW w:w="2126" w:type="dxa"/>
          </w:tcPr>
          <w:p w14:paraId="35DFA9F7" w14:textId="1A558E6A" w:rsidR="00263398" w:rsidRPr="005F29C9" w:rsidRDefault="00263398" w:rsidP="00041876">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(-0.05)</w:t>
            </w:r>
          </w:p>
        </w:tc>
        <w:tc>
          <w:tcPr>
            <w:tcW w:w="1843" w:type="dxa"/>
            <w:vAlign w:val="center"/>
          </w:tcPr>
          <w:p w14:paraId="6088427E" w14:textId="77777777" w:rsidR="00263398" w:rsidRPr="005F29C9" w:rsidRDefault="00263398" w:rsidP="00041876">
            <w:pPr>
              <w:jc w:val="center"/>
              <w:rPr>
                <w:rFonts w:ascii="Times New Roman" w:hAnsi="Times New Roman" w:cs="Times New Roman"/>
                <w:kern w:val="0"/>
                <w:sz w:val="18"/>
                <w:szCs w:val="18"/>
              </w:rPr>
            </w:pPr>
          </w:p>
        </w:tc>
        <w:tc>
          <w:tcPr>
            <w:tcW w:w="1989" w:type="dxa"/>
            <w:vAlign w:val="center"/>
          </w:tcPr>
          <w:p w14:paraId="666BCCD7" w14:textId="77777777" w:rsidR="00263398" w:rsidRPr="005F29C9" w:rsidRDefault="00263398" w:rsidP="00041876">
            <w:pPr>
              <w:jc w:val="center"/>
              <w:rPr>
                <w:rFonts w:ascii="Times New Roman" w:hAnsi="Times New Roman" w:cs="Times New Roman"/>
                <w:kern w:val="0"/>
                <w:sz w:val="18"/>
                <w:szCs w:val="18"/>
              </w:rPr>
            </w:pPr>
          </w:p>
        </w:tc>
      </w:tr>
      <w:tr w:rsidR="00263398" w14:paraId="7A0C765E" w14:textId="77777777" w:rsidTr="00263398">
        <w:tc>
          <w:tcPr>
            <w:tcW w:w="3256" w:type="dxa"/>
          </w:tcPr>
          <w:p w14:paraId="3D23109C" w14:textId="05BFFBFA" w:rsidR="00263398" w:rsidRPr="00DA10F4" w:rsidRDefault="00263398" w:rsidP="00B43941">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sidRPr="00B961D9">
              <w:rPr>
                <w:rFonts w:ascii="Times New Roman" w:hAnsi="Times New Roman" w:cs="Times New Roman"/>
                <w:i/>
                <w:iCs/>
                <w:kern w:val="0"/>
                <w:sz w:val="18"/>
                <w:szCs w:val="18"/>
              </w:rPr>
              <w:t>DISCL</w:t>
            </w:r>
            <w:r>
              <w:rPr>
                <w:rFonts w:ascii="Times New Roman" w:hAnsi="Times New Roman" w:cs="Times New Roman"/>
                <w:i/>
                <w:iCs/>
                <w:kern w:val="0"/>
                <w:sz w:val="18"/>
                <w:szCs w:val="18"/>
              </w:rPr>
              <w:t>OSURE</w:t>
            </w:r>
          </w:p>
        </w:tc>
        <w:tc>
          <w:tcPr>
            <w:tcW w:w="2126" w:type="dxa"/>
          </w:tcPr>
          <w:p w14:paraId="054115AE" w14:textId="035BAC8B" w:rsidR="00263398" w:rsidRPr="00B961D9" w:rsidRDefault="00263398" w:rsidP="00B43941">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-0.0258</w:t>
            </w:r>
          </w:p>
        </w:tc>
        <w:tc>
          <w:tcPr>
            <w:tcW w:w="1843" w:type="dxa"/>
            <w:vAlign w:val="center"/>
          </w:tcPr>
          <w:p w14:paraId="2CE961FE" w14:textId="77777777" w:rsidR="00263398" w:rsidRPr="005F29C9" w:rsidRDefault="00263398" w:rsidP="00B43941">
            <w:pPr>
              <w:jc w:val="center"/>
              <w:rPr>
                <w:rFonts w:ascii="Times New Roman" w:hAnsi="Times New Roman" w:cs="Times New Roman"/>
                <w:kern w:val="0"/>
                <w:sz w:val="18"/>
                <w:szCs w:val="18"/>
              </w:rPr>
            </w:pPr>
          </w:p>
        </w:tc>
        <w:tc>
          <w:tcPr>
            <w:tcW w:w="1989" w:type="dxa"/>
            <w:vAlign w:val="center"/>
          </w:tcPr>
          <w:p w14:paraId="10612671" w14:textId="77777777" w:rsidR="00263398" w:rsidRPr="005F29C9" w:rsidRDefault="00263398" w:rsidP="00B43941">
            <w:pPr>
              <w:jc w:val="center"/>
              <w:rPr>
                <w:rFonts w:ascii="Times New Roman" w:hAnsi="Times New Roman" w:cs="Times New Roman"/>
                <w:kern w:val="0"/>
                <w:sz w:val="18"/>
                <w:szCs w:val="18"/>
              </w:rPr>
            </w:pPr>
          </w:p>
        </w:tc>
      </w:tr>
      <w:tr w:rsidR="00263398" w14:paraId="4F6DA8B0" w14:textId="77777777" w:rsidTr="00263398">
        <w:tc>
          <w:tcPr>
            <w:tcW w:w="3256" w:type="dxa"/>
          </w:tcPr>
          <w:p w14:paraId="4B25F2A1" w14:textId="77777777" w:rsidR="00263398" w:rsidRPr="00DA10F4" w:rsidRDefault="00263398" w:rsidP="00B43941">
            <w:pPr>
              <w:rPr>
                <w:rFonts w:ascii="Times New Roman" w:hAnsi="Times New Roman" w:cs="Times New Roman"/>
                <w:sz w:val="18"/>
                <w:szCs w:val="18"/>
              </w:rPr>
            </w:pPr>
          </w:p>
        </w:tc>
        <w:tc>
          <w:tcPr>
            <w:tcW w:w="2126" w:type="dxa"/>
          </w:tcPr>
          <w:p w14:paraId="09D9D558" w14:textId="040855F4" w:rsidR="00263398" w:rsidRPr="00B961D9" w:rsidRDefault="00263398" w:rsidP="00B43941">
            <w:pPr>
              <w:jc w:val="center"/>
              <w:rPr>
                <w:rFonts w:ascii="Times New Roman" w:hAnsi="Times New Roman" w:cs="Times New Roman"/>
                <w:kern w:val="0"/>
                <w:sz w:val="18"/>
                <w:szCs w:val="18"/>
              </w:rPr>
            </w:pPr>
            <w:r w:rsidRPr="00B961D9">
              <w:rPr>
                <w:rFonts w:ascii="Times New Roman" w:hAnsi="Times New Roman" w:cs="Times New Roman"/>
                <w:kern w:val="0"/>
                <w:sz w:val="18"/>
                <w:szCs w:val="18"/>
              </w:rPr>
              <w:t>(-0.22)</w:t>
            </w:r>
          </w:p>
        </w:tc>
        <w:tc>
          <w:tcPr>
            <w:tcW w:w="1843" w:type="dxa"/>
            <w:vAlign w:val="center"/>
          </w:tcPr>
          <w:p w14:paraId="04DA560E" w14:textId="77777777" w:rsidR="00263398" w:rsidRPr="005F29C9" w:rsidRDefault="00263398" w:rsidP="00B43941">
            <w:pPr>
              <w:jc w:val="center"/>
              <w:rPr>
                <w:rFonts w:ascii="Times New Roman" w:hAnsi="Times New Roman" w:cs="Times New Roman"/>
                <w:kern w:val="0"/>
                <w:sz w:val="18"/>
                <w:szCs w:val="18"/>
              </w:rPr>
            </w:pPr>
          </w:p>
        </w:tc>
        <w:tc>
          <w:tcPr>
            <w:tcW w:w="1989" w:type="dxa"/>
            <w:vAlign w:val="center"/>
          </w:tcPr>
          <w:p w14:paraId="47241CB2" w14:textId="77777777" w:rsidR="00263398" w:rsidRPr="005F29C9" w:rsidRDefault="00263398" w:rsidP="00B43941">
            <w:pPr>
              <w:jc w:val="center"/>
              <w:rPr>
                <w:rFonts w:ascii="Times New Roman" w:hAnsi="Times New Roman" w:cs="Times New Roman"/>
                <w:kern w:val="0"/>
                <w:sz w:val="18"/>
                <w:szCs w:val="18"/>
              </w:rPr>
            </w:pPr>
          </w:p>
        </w:tc>
      </w:tr>
      <w:tr w:rsidR="00263398" w14:paraId="31990476" w14:textId="77777777" w:rsidTr="00263398">
        <w:tc>
          <w:tcPr>
            <w:tcW w:w="3256" w:type="dxa"/>
          </w:tcPr>
          <w:p w14:paraId="5FE2483F" w14:textId="22A29E03" w:rsidR="00263398" w:rsidRPr="00DA10F4" w:rsidRDefault="00263398" w:rsidP="00041876">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ANALYSTS</w:t>
            </w:r>
          </w:p>
        </w:tc>
        <w:tc>
          <w:tcPr>
            <w:tcW w:w="2126" w:type="dxa"/>
            <w:vAlign w:val="center"/>
          </w:tcPr>
          <w:p w14:paraId="06FA8E87" w14:textId="311598CD" w:rsidR="00263398" w:rsidRPr="005F29C9" w:rsidRDefault="00263398" w:rsidP="00041876">
            <w:pPr>
              <w:jc w:val="center"/>
              <w:rPr>
                <w:rFonts w:ascii="Times New Roman" w:hAnsi="Times New Roman" w:cs="Times New Roman"/>
                <w:kern w:val="0"/>
                <w:sz w:val="18"/>
                <w:szCs w:val="18"/>
              </w:rPr>
            </w:pPr>
          </w:p>
        </w:tc>
        <w:tc>
          <w:tcPr>
            <w:tcW w:w="1843" w:type="dxa"/>
          </w:tcPr>
          <w:p w14:paraId="553A8B43" w14:textId="7E0ACB66"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0.00493</w:t>
            </w:r>
          </w:p>
        </w:tc>
        <w:tc>
          <w:tcPr>
            <w:tcW w:w="1989" w:type="dxa"/>
            <w:vAlign w:val="center"/>
          </w:tcPr>
          <w:p w14:paraId="41FD6859" w14:textId="77777777" w:rsidR="00263398" w:rsidRPr="005F29C9" w:rsidRDefault="00263398" w:rsidP="00041876">
            <w:pPr>
              <w:jc w:val="center"/>
              <w:rPr>
                <w:rFonts w:ascii="Times New Roman" w:hAnsi="Times New Roman" w:cs="Times New Roman"/>
                <w:kern w:val="0"/>
                <w:sz w:val="18"/>
                <w:szCs w:val="18"/>
              </w:rPr>
            </w:pPr>
          </w:p>
        </w:tc>
      </w:tr>
      <w:tr w:rsidR="00263398" w14:paraId="59A4E265" w14:textId="77777777" w:rsidTr="00263398">
        <w:tc>
          <w:tcPr>
            <w:tcW w:w="3256" w:type="dxa"/>
          </w:tcPr>
          <w:p w14:paraId="564CEC72" w14:textId="77777777" w:rsidR="00263398" w:rsidRPr="00DA10F4" w:rsidRDefault="00263398" w:rsidP="00041876">
            <w:pPr>
              <w:rPr>
                <w:rFonts w:ascii="Times New Roman" w:hAnsi="Times New Roman" w:cs="Times New Roman"/>
                <w:sz w:val="18"/>
                <w:szCs w:val="18"/>
              </w:rPr>
            </w:pPr>
          </w:p>
        </w:tc>
        <w:tc>
          <w:tcPr>
            <w:tcW w:w="2126" w:type="dxa"/>
            <w:vAlign w:val="center"/>
          </w:tcPr>
          <w:p w14:paraId="6017B97D" w14:textId="0B92156C" w:rsidR="00263398" w:rsidRPr="005F29C9" w:rsidRDefault="00263398" w:rsidP="00041876">
            <w:pPr>
              <w:jc w:val="center"/>
              <w:rPr>
                <w:rFonts w:ascii="Times New Roman" w:hAnsi="Times New Roman" w:cs="Times New Roman"/>
                <w:kern w:val="0"/>
                <w:sz w:val="18"/>
                <w:szCs w:val="18"/>
              </w:rPr>
            </w:pPr>
          </w:p>
        </w:tc>
        <w:tc>
          <w:tcPr>
            <w:tcW w:w="1843" w:type="dxa"/>
          </w:tcPr>
          <w:p w14:paraId="0933D5B8" w14:textId="7F29FA3E"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(1.18)</w:t>
            </w:r>
          </w:p>
        </w:tc>
        <w:tc>
          <w:tcPr>
            <w:tcW w:w="1989" w:type="dxa"/>
            <w:vAlign w:val="center"/>
          </w:tcPr>
          <w:p w14:paraId="249A9723" w14:textId="77777777" w:rsidR="00263398" w:rsidRPr="005F29C9" w:rsidRDefault="00263398" w:rsidP="00041876">
            <w:pPr>
              <w:jc w:val="center"/>
              <w:rPr>
                <w:rFonts w:ascii="Times New Roman" w:hAnsi="Times New Roman" w:cs="Times New Roman"/>
                <w:kern w:val="0"/>
                <w:sz w:val="18"/>
                <w:szCs w:val="18"/>
              </w:rPr>
            </w:pPr>
          </w:p>
        </w:tc>
      </w:tr>
      <w:tr w:rsidR="00263398" w14:paraId="1041A84C" w14:textId="77777777" w:rsidTr="00263398">
        <w:tc>
          <w:tcPr>
            <w:tcW w:w="3256" w:type="dxa"/>
          </w:tcPr>
          <w:p w14:paraId="52F7DDE4" w14:textId="679E8FE5" w:rsidR="00263398" w:rsidRPr="00DA10F4" w:rsidRDefault="00263398" w:rsidP="00041876">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ANALYSTS</w:t>
            </w:r>
          </w:p>
        </w:tc>
        <w:tc>
          <w:tcPr>
            <w:tcW w:w="2126" w:type="dxa"/>
            <w:vAlign w:val="center"/>
          </w:tcPr>
          <w:p w14:paraId="0A084DBF" w14:textId="7ADC854A" w:rsidR="00263398" w:rsidRPr="005F29C9" w:rsidRDefault="00263398" w:rsidP="00041876">
            <w:pPr>
              <w:jc w:val="center"/>
              <w:rPr>
                <w:rFonts w:ascii="Times New Roman" w:hAnsi="Times New Roman" w:cs="Times New Roman"/>
                <w:kern w:val="0"/>
                <w:sz w:val="18"/>
                <w:szCs w:val="18"/>
              </w:rPr>
            </w:pPr>
          </w:p>
        </w:tc>
        <w:tc>
          <w:tcPr>
            <w:tcW w:w="1843" w:type="dxa"/>
          </w:tcPr>
          <w:p w14:paraId="7B9B4AA9" w14:textId="087215D6"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-0.00183</w:t>
            </w:r>
          </w:p>
        </w:tc>
        <w:tc>
          <w:tcPr>
            <w:tcW w:w="1989" w:type="dxa"/>
            <w:vAlign w:val="center"/>
          </w:tcPr>
          <w:p w14:paraId="0F8C3108" w14:textId="77777777" w:rsidR="00263398" w:rsidRPr="005F29C9" w:rsidRDefault="00263398" w:rsidP="00041876">
            <w:pPr>
              <w:jc w:val="center"/>
              <w:rPr>
                <w:rFonts w:ascii="Times New Roman" w:hAnsi="Times New Roman" w:cs="Times New Roman"/>
                <w:kern w:val="0"/>
                <w:sz w:val="18"/>
                <w:szCs w:val="18"/>
              </w:rPr>
            </w:pPr>
          </w:p>
        </w:tc>
      </w:tr>
      <w:tr w:rsidR="00263398" w14:paraId="1D685095" w14:textId="77777777" w:rsidTr="00263398">
        <w:tc>
          <w:tcPr>
            <w:tcW w:w="3256" w:type="dxa"/>
          </w:tcPr>
          <w:p w14:paraId="41E21B6A" w14:textId="77777777" w:rsidR="00263398" w:rsidRPr="00DA10F4" w:rsidRDefault="00263398" w:rsidP="00041876">
            <w:pPr>
              <w:rPr>
                <w:rFonts w:ascii="Times New Roman" w:hAnsi="Times New Roman" w:cs="Times New Roman"/>
                <w:sz w:val="18"/>
                <w:szCs w:val="18"/>
              </w:rPr>
            </w:pPr>
          </w:p>
        </w:tc>
        <w:tc>
          <w:tcPr>
            <w:tcW w:w="2126" w:type="dxa"/>
            <w:vAlign w:val="center"/>
          </w:tcPr>
          <w:p w14:paraId="1A428701" w14:textId="1E25FB31" w:rsidR="00263398" w:rsidRPr="005F29C9" w:rsidRDefault="00263398" w:rsidP="00041876">
            <w:pPr>
              <w:jc w:val="center"/>
              <w:rPr>
                <w:rFonts w:ascii="Times New Roman" w:hAnsi="Times New Roman" w:cs="Times New Roman"/>
                <w:kern w:val="0"/>
                <w:sz w:val="18"/>
                <w:szCs w:val="18"/>
              </w:rPr>
            </w:pPr>
          </w:p>
        </w:tc>
        <w:tc>
          <w:tcPr>
            <w:tcW w:w="1843" w:type="dxa"/>
          </w:tcPr>
          <w:p w14:paraId="0541EE82" w14:textId="1BBC6938"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(-0.37)</w:t>
            </w:r>
          </w:p>
        </w:tc>
        <w:tc>
          <w:tcPr>
            <w:tcW w:w="1989" w:type="dxa"/>
            <w:vAlign w:val="center"/>
          </w:tcPr>
          <w:p w14:paraId="4D67AD18" w14:textId="77777777" w:rsidR="00263398" w:rsidRPr="005F29C9" w:rsidRDefault="00263398" w:rsidP="00041876">
            <w:pPr>
              <w:jc w:val="center"/>
              <w:rPr>
                <w:rFonts w:ascii="Times New Roman" w:hAnsi="Times New Roman" w:cs="Times New Roman"/>
                <w:kern w:val="0"/>
                <w:sz w:val="18"/>
                <w:szCs w:val="18"/>
              </w:rPr>
            </w:pPr>
          </w:p>
        </w:tc>
      </w:tr>
      <w:tr w:rsidR="00263398" w14:paraId="4B5F4EFE" w14:textId="77777777" w:rsidTr="00263398">
        <w:tc>
          <w:tcPr>
            <w:tcW w:w="3256" w:type="dxa"/>
          </w:tcPr>
          <w:p w14:paraId="45E815F5" w14:textId="5730C0BE" w:rsidR="00263398" w:rsidRPr="00DA10F4" w:rsidRDefault="00263398" w:rsidP="00041876">
            <w:pPr>
              <w:rPr>
                <w:rFonts w:ascii="Times New Roman" w:hAnsi="Times New Roman" w:cs="Times New Roman"/>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INSTOWNER</w:t>
            </w:r>
          </w:p>
        </w:tc>
        <w:tc>
          <w:tcPr>
            <w:tcW w:w="2126" w:type="dxa"/>
            <w:vAlign w:val="center"/>
          </w:tcPr>
          <w:p w14:paraId="739F29D3" w14:textId="4E1C51AC" w:rsidR="00263398" w:rsidRPr="005F29C9" w:rsidRDefault="00263398" w:rsidP="00041876">
            <w:pPr>
              <w:jc w:val="center"/>
              <w:rPr>
                <w:rFonts w:ascii="Times New Roman" w:hAnsi="Times New Roman" w:cs="Times New Roman"/>
                <w:kern w:val="0"/>
                <w:sz w:val="18"/>
                <w:szCs w:val="18"/>
              </w:rPr>
            </w:pPr>
          </w:p>
        </w:tc>
        <w:tc>
          <w:tcPr>
            <w:tcW w:w="1843" w:type="dxa"/>
            <w:vAlign w:val="center"/>
          </w:tcPr>
          <w:p w14:paraId="3C146AFB" w14:textId="77777777" w:rsidR="00263398" w:rsidRPr="005F29C9" w:rsidRDefault="00263398" w:rsidP="00041876">
            <w:pPr>
              <w:jc w:val="center"/>
              <w:rPr>
                <w:rFonts w:ascii="Times New Roman" w:hAnsi="Times New Roman" w:cs="Times New Roman"/>
                <w:kern w:val="0"/>
                <w:sz w:val="18"/>
                <w:szCs w:val="18"/>
              </w:rPr>
            </w:pPr>
          </w:p>
        </w:tc>
        <w:tc>
          <w:tcPr>
            <w:tcW w:w="1989" w:type="dxa"/>
          </w:tcPr>
          <w:p w14:paraId="7658E53D" w14:textId="075BE9CA"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-0.0270</w:t>
            </w:r>
          </w:p>
        </w:tc>
      </w:tr>
      <w:tr w:rsidR="00263398" w14:paraId="4CD1BFCB" w14:textId="77777777" w:rsidTr="00263398">
        <w:tc>
          <w:tcPr>
            <w:tcW w:w="3256" w:type="dxa"/>
          </w:tcPr>
          <w:p w14:paraId="22664D9A" w14:textId="77777777" w:rsidR="00263398" w:rsidRPr="00DA10F4" w:rsidRDefault="00263398" w:rsidP="00041876">
            <w:pPr>
              <w:rPr>
                <w:rFonts w:ascii="Times New Roman" w:hAnsi="Times New Roman" w:cs="Times New Roman"/>
                <w:sz w:val="18"/>
                <w:szCs w:val="18"/>
              </w:rPr>
            </w:pPr>
          </w:p>
        </w:tc>
        <w:tc>
          <w:tcPr>
            <w:tcW w:w="2126" w:type="dxa"/>
            <w:vAlign w:val="center"/>
          </w:tcPr>
          <w:p w14:paraId="49BBD2EE" w14:textId="36B9603B" w:rsidR="00263398" w:rsidRPr="005F29C9" w:rsidRDefault="00263398" w:rsidP="00041876">
            <w:pPr>
              <w:jc w:val="center"/>
              <w:rPr>
                <w:rFonts w:ascii="Times New Roman" w:hAnsi="Times New Roman" w:cs="Times New Roman"/>
                <w:kern w:val="0"/>
                <w:sz w:val="18"/>
                <w:szCs w:val="18"/>
              </w:rPr>
            </w:pPr>
          </w:p>
        </w:tc>
        <w:tc>
          <w:tcPr>
            <w:tcW w:w="1843" w:type="dxa"/>
            <w:vAlign w:val="center"/>
          </w:tcPr>
          <w:p w14:paraId="4597C0F6" w14:textId="77777777" w:rsidR="00263398" w:rsidRPr="005F29C9" w:rsidRDefault="00263398" w:rsidP="00041876">
            <w:pPr>
              <w:jc w:val="center"/>
              <w:rPr>
                <w:rFonts w:ascii="Times New Roman" w:hAnsi="Times New Roman" w:cs="Times New Roman"/>
                <w:kern w:val="0"/>
                <w:sz w:val="18"/>
                <w:szCs w:val="18"/>
              </w:rPr>
            </w:pPr>
          </w:p>
        </w:tc>
        <w:tc>
          <w:tcPr>
            <w:tcW w:w="1989" w:type="dxa"/>
          </w:tcPr>
          <w:p w14:paraId="69D288AA" w14:textId="6C24A340"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(-0.22)</w:t>
            </w:r>
          </w:p>
        </w:tc>
      </w:tr>
      <w:tr w:rsidR="00263398" w14:paraId="3D2E4868" w14:textId="77777777" w:rsidTr="00263398">
        <w:tc>
          <w:tcPr>
            <w:tcW w:w="3256" w:type="dxa"/>
          </w:tcPr>
          <w:p w14:paraId="67E22B2E" w14:textId="12452F19" w:rsidR="00263398" w:rsidRPr="00DA10F4" w:rsidRDefault="00263398" w:rsidP="00041876">
            <w:pPr>
              <w:rPr>
                <w:rFonts w:ascii="Times New Roman" w:hAnsi="Times New Roman" w:cs="Times New Roman"/>
                <w:sz w:val="18"/>
                <w:szCs w:val="18"/>
              </w:rPr>
            </w:pPr>
            <w:r w:rsidRPr="00A73C18">
              <w:rPr>
                <w:rFonts w:ascii="Times New Roman" w:hAnsi="Times New Roman" w:cs="Times New Roman"/>
                <w:i/>
                <w:iCs/>
                <w:color w:val="000000"/>
                <w:sz w:val="18"/>
                <w:szCs w:val="18"/>
              </w:rPr>
              <w:t>EXCLUSION×</w:t>
            </w:r>
            <w:r>
              <w:rPr>
                <w:rFonts w:ascii="Times New Roman" w:hAnsi="Times New Roman" w:cs="Times New Roman"/>
                <w:i/>
                <w:iCs/>
                <w:color w:val="000000"/>
                <w:sz w:val="18"/>
                <w:szCs w:val="18"/>
              </w:rPr>
              <w:t>INSTOWNER</w:t>
            </w:r>
          </w:p>
        </w:tc>
        <w:tc>
          <w:tcPr>
            <w:tcW w:w="2126" w:type="dxa"/>
            <w:vAlign w:val="center"/>
          </w:tcPr>
          <w:p w14:paraId="6A9F69C3" w14:textId="155DC976" w:rsidR="00263398" w:rsidRPr="005F29C9" w:rsidRDefault="00263398" w:rsidP="00041876">
            <w:pPr>
              <w:jc w:val="center"/>
              <w:rPr>
                <w:rFonts w:ascii="Times New Roman" w:hAnsi="Times New Roman" w:cs="Times New Roman"/>
                <w:kern w:val="0"/>
                <w:sz w:val="18"/>
                <w:szCs w:val="18"/>
              </w:rPr>
            </w:pPr>
          </w:p>
        </w:tc>
        <w:tc>
          <w:tcPr>
            <w:tcW w:w="1843" w:type="dxa"/>
            <w:vAlign w:val="center"/>
          </w:tcPr>
          <w:p w14:paraId="00A946D2" w14:textId="77777777" w:rsidR="00263398" w:rsidRPr="005F29C9" w:rsidRDefault="00263398" w:rsidP="00041876">
            <w:pPr>
              <w:jc w:val="center"/>
              <w:rPr>
                <w:rFonts w:ascii="Times New Roman" w:hAnsi="Times New Roman" w:cs="Times New Roman"/>
                <w:kern w:val="0"/>
                <w:sz w:val="18"/>
                <w:szCs w:val="18"/>
              </w:rPr>
            </w:pPr>
          </w:p>
        </w:tc>
        <w:tc>
          <w:tcPr>
            <w:tcW w:w="1989" w:type="dxa"/>
          </w:tcPr>
          <w:p w14:paraId="790E85C1" w14:textId="5497C948"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-0.258</w:t>
            </w:r>
          </w:p>
        </w:tc>
      </w:tr>
      <w:tr w:rsidR="00263398" w14:paraId="12C14958" w14:textId="77777777" w:rsidTr="00263398">
        <w:tc>
          <w:tcPr>
            <w:tcW w:w="3256" w:type="dxa"/>
          </w:tcPr>
          <w:p w14:paraId="339C9693" w14:textId="77777777" w:rsidR="00263398" w:rsidRPr="00DA10F4" w:rsidRDefault="00263398" w:rsidP="00041876">
            <w:pPr>
              <w:rPr>
                <w:rFonts w:ascii="Times New Roman" w:hAnsi="Times New Roman" w:cs="Times New Roman"/>
                <w:sz w:val="18"/>
                <w:szCs w:val="18"/>
              </w:rPr>
            </w:pPr>
          </w:p>
        </w:tc>
        <w:tc>
          <w:tcPr>
            <w:tcW w:w="2126" w:type="dxa"/>
            <w:vAlign w:val="center"/>
          </w:tcPr>
          <w:p w14:paraId="1949423F" w14:textId="5A28C79C" w:rsidR="00263398" w:rsidRPr="005F29C9" w:rsidRDefault="00263398" w:rsidP="00041876">
            <w:pPr>
              <w:jc w:val="center"/>
              <w:rPr>
                <w:rFonts w:ascii="Times New Roman" w:hAnsi="Times New Roman" w:cs="Times New Roman"/>
                <w:kern w:val="0"/>
                <w:sz w:val="18"/>
                <w:szCs w:val="18"/>
              </w:rPr>
            </w:pPr>
          </w:p>
        </w:tc>
        <w:tc>
          <w:tcPr>
            <w:tcW w:w="1843" w:type="dxa"/>
            <w:vAlign w:val="center"/>
          </w:tcPr>
          <w:p w14:paraId="2A7F313F" w14:textId="77777777" w:rsidR="00263398" w:rsidRPr="005F29C9" w:rsidRDefault="00263398" w:rsidP="00041876">
            <w:pPr>
              <w:jc w:val="center"/>
              <w:rPr>
                <w:rFonts w:ascii="Times New Roman" w:hAnsi="Times New Roman" w:cs="Times New Roman"/>
                <w:kern w:val="0"/>
                <w:sz w:val="18"/>
                <w:szCs w:val="18"/>
              </w:rPr>
            </w:pPr>
          </w:p>
        </w:tc>
        <w:tc>
          <w:tcPr>
            <w:tcW w:w="1989" w:type="dxa"/>
          </w:tcPr>
          <w:p w14:paraId="6C9106DD" w14:textId="5E11B2E2" w:rsidR="00263398" w:rsidRPr="005F29C9" w:rsidRDefault="00263398" w:rsidP="00041876">
            <w:pPr>
              <w:jc w:val="center"/>
              <w:rPr>
                <w:rFonts w:ascii="Times New Roman" w:hAnsi="Times New Roman" w:cs="Times New Roman"/>
                <w:kern w:val="0"/>
                <w:sz w:val="18"/>
                <w:szCs w:val="18"/>
              </w:rPr>
            </w:pPr>
            <w:r w:rsidRPr="00F457A5">
              <w:rPr>
                <w:rFonts w:ascii="Times New Roman" w:hAnsi="Times New Roman" w:cs="Times New Roman"/>
                <w:kern w:val="0"/>
                <w:sz w:val="18"/>
                <w:szCs w:val="18"/>
              </w:rPr>
              <w:t>(-1.00)</w:t>
            </w:r>
          </w:p>
        </w:tc>
      </w:tr>
      <w:tr w:rsidR="00263398" w14:paraId="355B382E" w14:textId="77777777" w:rsidTr="00263398">
        <w:tc>
          <w:tcPr>
            <w:tcW w:w="3256" w:type="dxa"/>
          </w:tcPr>
          <w:p w14:paraId="1140411C" w14:textId="5643B5B9" w:rsidR="00263398" w:rsidRPr="00960ABC" w:rsidRDefault="00263398" w:rsidP="00041876">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sidRPr="00B961D9">
              <w:rPr>
                <w:rFonts w:ascii="Times New Roman" w:hAnsi="Times New Roman" w:cs="Times New Roman"/>
                <w:i/>
                <w:iCs/>
                <w:kern w:val="0"/>
                <w:sz w:val="18"/>
                <w:szCs w:val="18"/>
              </w:rPr>
              <w:t>DISCL</w:t>
            </w:r>
            <w:r>
              <w:rPr>
                <w:rFonts w:ascii="Times New Roman" w:hAnsi="Times New Roman" w:cs="Times New Roman"/>
                <w:i/>
                <w:iCs/>
                <w:kern w:val="0"/>
                <w:sz w:val="18"/>
                <w:szCs w:val="18"/>
              </w:rPr>
              <w:t>OSURE</w:t>
            </w:r>
          </w:p>
        </w:tc>
        <w:tc>
          <w:tcPr>
            <w:tcW w:w="2126" w:type="dxa"/>
          </w:tcPr>
          <w:p w14:paraId="690E9A06" w14:textId="0A0768D0" w:rsidR="00263398" w:rsidRPr="00960ABC" w:rsidRDefault="00263398" w:rsidP="00041876">
            <w:pPr>
              <w:jc w:val="center"/>
              <w:rPr>
                <w:rFonts w:ascii="Times New Roman" w:hAnsi="Times New Roman" w:cs="Times New Roman"/>
                <w:b/>
                <w:bCs/>
                <w:kern w:val="0"/>
                <w:sz w:val="18"/>
                <w:szCs w:val="18"/>
              </w:rPr>
            </w:pPr>
            <w:r w:rsidRPr="00B961D9">
              <w:rPr>
                <w:rFonts w:ascii="Times New Roman" w:hAnsi="Times New Roman" w:cs="Times New Roman"/>
                <w:kern w:val="0"/>
                <w:sz w:val="18"/>
                <w:szCs w:val="18"/>
              </w:rPr>
              <w:t>-0.144</w:t>
            </w:r>
          </w:p>
        </w:tc>
        <w:tc>
          <w:tcPr>
            <w:tcW w:w="1843" w:type="dxa"/>
            <w:vAlign w:val="center"/>
          </w:tcPr>
          <w:p w14:paraId="7037C3A0" w14:textId="77777777" w:rsidR="00263398" w:rsidRPr="00960ABC" w:rsidRDefault="00263398" w:rsidP="00041876">
            <w:pPr>
              <w:jc w:val="center"/>
              <w:rPr>
                <w:rFonts w:ascii="Times New Roman" w:hAnsi="Times New Roman" w:cs="Times New Roman"/>
                <w:b/>
                <w:bCs/>
                <w:sz w:val="18"/>
                <w:szCs w:val="18"/>
              </w:rPr>
            </w:pPr>
          </w:p>
        </w:tc>
        <w:tc>
          <w:tcPr>
            <w:tcW w:w="1989" w:type="dxa"/>
            <w:vAlign w:val="center"/>
          </w:tcPr>
          <w:p w14:paraId="2658BD19" w14:textId="77777777" w:rsidR="00263398" w:rsidRPr="00960ABC" w:rsidRDefault="00263398" w:rsidP="00041876">
            <w:pPr>
              <w:jc w:val="center"/>
              <w:rPr>
                <w:rFonts w:ascii="Times New Roman" w:hAnsi="Times New Roman" w:cs="Times New Roman"/>
                <w:b/>
                <w:bCs/>
                <w:sz w:val="18"/>
                <w:szCs w:val="18"/>
              </w:rPr>
            </w:pPr>
          </w:p>
        </w:tc>
      </w:tr>
      <w:tr w:rsidR="00263398" w14:paraId="3DBB52A7" w14:textId="77777777" w:rsidTr="00263398">
        <w:tc>
          <w:tcPr>
            <w:tcW w:w="3256" w:type="dxa"/>
          </w:tcPr>
          <w:p w14:paraId="07871D39" w14:textId="77777777" w:rsidR="00263398" w:rsidRPr="00960ABC" w:rsidRDefault="00263398" w:rsidP="00041876">
            <w:pPr>
              <w:rPr>
                <w:rFonts w:ascii="Times New Roman" w:hAnsi="Times New Roman" w:cs="Times New Roman"/>
                <w:b/>
                <w:bCs/>
                <w:i/>
                <w:iCs/>
                <w:color w:val="000000"/>
                <w:sz w:val="18"/>
                <w:szCs w:val="18"/>
              </w:rPr>
            </w:pPr>
          </w:p>
        </w:tc>
        <w:tc>
          <w:tcPr>
            <w:tcW w:w="2126" w:type="dxa"/>
          </w:tcPr>
          <w:p w14:paraId="6578C562" w14:textId="3CE0D1DA" w:rsidR="00263398" w:rsidRPr="00960ABC" w:rsidRDefault="00263398" w:rsidP="00041876">
            <w:pPr>
              <w:jc w:val="center"/>
              <w:rPr>
                <w:rFonts w:ascii="Times New Roman" w:hAnsi="Times New Roman" w:cs="Times New Roman"/>
                <w:b/>
                <w:bCs/>
                <w:kern w:val="0"/>
                <w:sz w:val="18"/>
                <w:szCs w:val="18"/>
              </w:rPr>
            </w:pPr>
            <w:r w:rsidRPr="00B961D9">
              <w:rPr>
                <w:rFonts w:ascii="Times New Roman" w:hAnsi="Times New Roman" w:cs="Times New Roman"/>
                <w:kern w:val="0"/>
                <w:sz w:val="18"/>
                <w:szCs w:val="18"/>
              </w:rPr>
              <w:t>(-0.30)</w:t>
            </w:r>
          </w:p>
        </w:tc>
        <w:tc>
          <w:tcPr>
            <w:tcW w:w="1843" w:type="dxa"/>
            <w:vAlign w:val="center"/>
          </w:tcPr>
          <w:p w14:paraId="65392AD9" w14:textId="77777777" w:rsidR="00263398" w:rsidRPr="00960ABC" w:rsidRDefault="00263398" w:rsidP="00041876">
            <w:pPr>
              <w:jc w:val="center"/>
              <w:rPr>
                <w:rFonts w:ascii="Times New Roman" w:hAnsi="Times New Roman" w:cs="Times New Roman"/>
                <w:b/>
                <w:bCs/>
                <w:sz w:val="18"/>
                <w:szCs w:val="18"/>
              </w:rPr>
            </w:pPr>
          </w:p>
        </w:tc>
        <w:tc>
          <w:tcPr>
            <w:tcW w:w="1989" w:type="dxa"/>
            <w:vAlign w:val="center"/>
          </w:tcPr>
          <w:p w14:paraId="5D2DB666" w14:textId="77777777" w:rsidR="00263398" w:rsidRPr="00960ABC" w:rsidRDefault="00263398" w:rsidP="00041876">
            <w:pPr>
              <w:jc w:val="center"/>
              <w:rPr>
                <w:rFonts w:ascii="Times New Roman" w:hAnsi="Times New Roman" w:cs="Times New Roman"/>
                <w:b/>
                <w:bCs/>
                <w:sz w:val="18"/>
                <w:szCs w:val="18"/>
              </w:rPr>
            </w:pPr>
          </w:p>
        </w:tc>
      </w:tr>
      <w:tr w:rsidR="00263398" w14:paraId="582F7860" w14:textId="77777777" w:rsidTr="00263398">
        <w:tc>
          <w:tcPr>
            <w:tcW w:w="3256" w:type="dxa"/>
          </w:tcPr>
          <w:p w14:paraId="0CAC6307" w14:textId="6C9BB6D9" w:rsidR="00263398" w:rsidRPr="00960ABC" w:rsidRDefault="00263398" w:rsidP="006D78DE">
            <w:pPr>
              <w:rPr>
                <w:rFonts w:ascii="Times New Roman" w:hAnsi="Times New Roman" w:cs="Times New Roman"/>
                <w:b/>
                <w:bCs/>
                <w:sz w:val="18"/>
                <w:szCs w:val="18"/>
              </w:rPr>
            </w:pPr>
            <w:r w:rsidRPr="00960ABC">
              <w:rPr>
                <w:rFonts w:ascii="Times New Roman" w:hAnsi="Times New Roman" w:cs="Times New Roman"/>
                <w:b/>
                <w:bCs/>
                <w:i/>
                <w:iCs/>
                <w:color w:val="000000"/>
                <w:sz w:val="18"/>
                <w:szCs w:val="18"/>
              </w:rPr>
              <w:t>EXCLUSION×</w:t>
            </w:r>
            <w:r>
              <w:rPr>
                <w:rFonts w:ascii="Times New Roman" w:hAnsi="Times New Roman" w:cs="Times New Roman"/>
                <w:b/>
                <w:bCs/>
                <w:i/>
                <w:iCs/>
                <w:color w:val="000000"/>
                <w:sz w:val="18"/>
                <w:szCs w:val="18"/>
              </w:rPr>
              <w:t>NARCIS</w:t>
            </w:r>
            <w:r w:rsidRPr="00960ABC">
              <w:rPr>
                <w:rFonts w:ascii="Times New Roman" w:hAnsi="Times New Roman" w:cs="Times New Roman"/>
                <w:b/>
                <w:bCs/>
                <w:i/>
                <w:iCs/>
                <w:color w:val="000000"/>
                <w:sz w:val="18"/>
                <w:szCs w:val="18"/>
              </w:rPr>
              <w:t>×</w:t>
            </w:r>
            <w:r w:rsidRPr="00960ABC">
              <w:rPr>
                <w:rFonts w:ascii="Times New Roman" w:hAnsi="Times New Roman" w:cs="Times New Roman"/>
                <w:b/>
                <w:bCs/>
                <w:i/>
                <w:iCs/>
                <w:kern w:val="0"/>
                <w:sz w:val="18"/>
                <w:szCs w:val="18"/>
              </w:rPr>
              <w:t>DISCL</w:t>
            </w:r>
            <w:r>
              <w:rPr>
                <w:rFonts w:ascii="Times New Roman" w:hAnsi="Times New Roman" w:cs="Times New Roman"/>
                <w:b/>
                <w:bCs/>
                <w:i/>
                <w:iCs/>
                <w:kern w:val="0"/>
                <w:sz w:val="18"/>
                <w:szCs w:val="18"/>
              </w:rPr>
              <w:t>OSURE</w:t>
            </w:r>
          </w:p>
        </w:tc>
        <w:tc>
          <w:tcPr>
            <w:tcW w:w="2126" w:type="dxa"/>
            <w:vAlign w:val="center"/>
          </w:tcPr>
          <w:p w14:paraId="4C5FC960" w14:textId="407F998E" w:rsidR="00263398" w:rsidRPr="00960ABC" w:rsidRDefault="00263398" w:rsidP="006D78DE">
            <w:pPr>
              <w:jc w:val="center"/>
              <w:rPr>
                <w:rFonts w:ascii="Times New Roman" w:hAnsi="Times New Roman" w:cs="Times New Roman"/>
                <w:b/>
                <w:bCs/>
                <w:sz w:val="18"/>
                <w:szCs w:val="18"/>
              </w:rPr>
            </w:pPr>
            <w:r w:rsidRPr="00960ABC">
              <w:rPr>
                <w:rFonts w:ascii="Times New Roman" w:hAnsi="Times New Roman" w:cs="Times New Roman"/>
                <w:b/>
                <w:bCs/>
                <w:kern w:val="0"/>
                <w:sz w:val="18"/>
                <w:szCs w:val="18"/>
              </w:rPr>
              <w:t>2.293**</w:t>
            </w:r>
          </w:p>
        </w:tc>
        <w:tc>
          <w:tcPr>
            <w:tcW w:w="1843" w:type="dxa"/>
            <w:vAlign w:val="center"/>
          </w:tcPr>
          <w:p w14:paraId="11BD4CCE" w14:textId="77777777" w:rsidR="00263398" w:rsidRPr="00960ABC" w:rsidRDefault="00263398" w:rsidP="006D78DE">
            <w:pPr>
              <w:jc w:val="center"/>
              <w:rPr>
                <w:rFonts w:ascii="Times New Roman" w:hAnsi="Times New Roman" w:cs="Times New Roman"/>
                <w:b/>
                <w:bCs/>
                <w:sz w:val="18"/>
                <w:szCs w:val="18"/>
              </w:rPr>
            </w:pPr>
          </w:p>
        </w:tc>
        <w:tc>
          <w:tcPr>
            <w:tcW w:w="1989" w:type="dxa"/>
            <w:vAlign w:val="center"/>
          </w:tcPr>
          <w:p w14:paraId="26384804" w14:textId="77777777" w:rsidR="00263398" w:rsidRPr="00960ABC" w:rsidRDefault="00263398" w:rsidP="006D78DE">
            <w:pPr>
              <w:jc w:val="center"/>
              <w:rPr>
                <w:rFonts w:ascii="Times New Roman" w:hAnsi="Times New Roman" w:cs="Times New Roman"/>
                <w:b/>
                <w:bCs/>
                <w:sz w:val="18"/>
                <w:szCs w:val="18"/>
              </w:rPr>
            </w:pPr>
          </w:p>
        </w:tc>
      </w:tr>
      <w:tr w:rsidR="00263398" w14:paraId="454E0309" w14:textId="77777777" w:rsidTr="00263398">
        <w:tc>
          <w:tcPr>
            <w:tcW w:w="3256" w:type="dxa"/>
          </w:tcPr>
          <w:p w14:paraId="3029DA2F" w14:textId="77777777" w:rsidR="00263398" w:rsidRPr="00960ABC" w:rsidRDefault="00263398" w:rsidP="006D78DE">
            <w:pPr>
              <w:rPr>
                <w:rFonts w:ascii="Times New Roman" w:hAnsi="Times New Roman" w:cs="Times New Roman"/>
                <w:b/>
                <w:bCs/>
                <w:sz w:val="18"/>
                <w:szCs w:val="18"/>
              </w:rPr>
            </w:pPr>
            <w:r>
              <w:rPr>
                <w:rFonts w:ascii="Times New Roman" w:hAnsi="Times New Roman" w:cs="Times New Roman"/>
                <w:b/>
                <w:bCs/>
                <w:sz w:val="18"/>
                <w:szCs w:val="18"/>
              </w:rPr>
              <w:t xml:space="preserve"> </w:t>
            </w:r>
          </w:p>
        </w:tc>
        <w:tc>
          <w:tcPr>
            <w:tcW w:w="2126" w:type="dxa"/>
            <w:vAlign w:val="center"/>
          </w:tcPr>
          <w:p w14:paraId="50A418B6" w14:textId="3C00093D" w:rsidR="00263398" w:rsidRPr="00960ABC" w:rsidRDefault="00263398" w:rsidP="006D78DE">
            <w:pPr>
              <w:jc w:val="center"/>
              <w:rPr>
                <w:rFonts w:ascii="Times New Roman" w:hAnsi="Times New Roman" w:cs="Times New Roman"/>
                <w:b/>
                <w:bCs/>
                <w:sz w:val="18"/>
                <w:szCs w:val="18"/>
              </w:rPr>
            </w:pPr>
            <w:r w:rsidRPr="00960ABC">
              <w:rPr>
                <w:rFonts w:ascii="Times New Roman" w:hAnsi="Times New Roman" w:cs="Times New Roman"/>
                <w:b/>
                <w:bCs/>
                <w:kern w:val="0"/>
                <w:sz w:val="18"/>
                <w:szCs w:val="18"/>
              </w:rPr>
              <w:t>(2.45)</w:t>
            </w:r>
          </w:p>
        </w:tc>
        <w:tc>
          <w:tcPr>
            <w:tcW w:w="1843" w:type="dxa"/>
            <w:vAlign w:val="center"/>
          </w:tcPr>
          <w:p w14:paraId="4254DD93" w14:textId="77777777" w:rsidR="00263398" w:rsidRPr="00960ABC" w:rsidRDefault="00263398" w:rsidP="006D78DE">
            <w:pPr>
              <w:jc w:val="center"/>
              <w:rPr>
                <w:rFonts w:ascii="Times New Roman" w:hAnsi="Times New Roman" w:cs="Times New Roman"/>
                <w:b/>
                <w:bCs/>
                <w:sz w:val="18"/>
                <w:szCs w:val="18"/>
              </w:rPr>
            </w:pPr>
          </w:p>
        </w:tc>
        <w:tc>
          <w:tcPr>
            <w:tcW w:w="1989" w:type="dxa"/>
            <w:vAlign w:val="center"/>
          </w:tcPr>
          <w:p w14:paraId="4CC539FA" w14:textId="77777777" w:rsidR="00263398" w:rsidRPr="00960ABC" w:rsidRDefault="00263398" w:rsidP="006D78DE">
            <w:pPr>
              <w:jc w:val="center"/>
              <w:rPr>
                <w:rFonts w:ascii="Times New Roman" w:hAnsi="Times New Roman" w:cs="Times New Roman"/>
                <w:b/>
                <w:bCs/>
                <w:sz w:val="18"/>
                <w:szCs w:val="18"/>
              </w:rPr>
            </w:pPr>
          </w:p>
        </w:tc>
      </w:tr>
      <w:tr w:rsidR="00263398" w14:paraId="262B2909" w14:textId="77777777" w:rsidTr="00263398">
        <w:tc>
          <w:tcPr>
            <w:tcW w:w="3256" w:type="dxa"/>
          </w:tcPr>
          <w:p w14:paraId="4EB125D6" w14:textId="2DAED2B8" w:rsidR="00263398" w:rsidRPr="00960ABC" w:rsidRDefault="00263398" w:rsidP="00041876">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ANALYSTS</w:t>
            </w:r>
          </w:p>
        </w:tc>
        <w:tc>
          <w:tcPr>
            <w:tcW w:w="2126" w:type="dxa"/>
            <w:vAlign w:val="center"/>
          </w:tcPr>
          <w:p w14:paraId="7D055336" w14:textId="5AC1C9C5" w:rsidR="00263398" w:rsidRPr="00960ABC" w:rsidRDefault="00263398" w:rsidP="00041876">
            <w:pPr>
              <w:jc w:val="center"/>
              <w:rPr>
                <w:rFonts w:ascii="Times New Roman" w:hAnsi="Times New Roman" w:cs="Times New Roman"/>
                <w:b/>
                <w:bCs/>
                <w:sz w:val="18"/>
                <w:szCs w:val="18"/>
              </w:rPr>
            </w:pPr>
          </w:p>
        </w:tc>
        <w:tc>
          <w:tcPr>
            <w:tcW w:w="1843" w:type="dxa"/>
          </w:tcPr>
          <w:p w14:paraId="505641F7" w14:textId="3922695F" w:rsidR="00263398" w:rsidRPr="00960ABC" w:rsidRDefault="00263398" w:rsidP="00041876">
            <w:pPr>
              <w:jc w:val="center"/>
              <w:rPr>
                <w:rFonts w:ascii="Times New Roman" w:hAnsi="Times New Roman" w:cs="Times New Roman"/>
                <w:b/>
                <w:bCs/>
                <w:kern w:val="0"/>
                <w:sz w:val="18"/>
                <w:szCs w:val="18"/>
              </w:rPr>
            </w:pPr>
            <w:r w:rsidRPr="00F457A5">
              <w:rPr>
                <w:rFonts w:ascii="Times New Roman" w:hAnsi="Times New Roman" w:cs="Times New Roman"/>
                <w:kern w:val="0"/>
                <w:sz w:val="18"/>
                <w:szCs w:val="18"/>
              </w:rPr>
              <w:t>-0.0246</w:t>
            </w:r>
          </w:p>
        </w:tc>
        <w:tc>
          <w:tcPr>
            <w:tcW w:w="1989" w:type="dxa"/>
            <w:vAlign w:val="center"/>
          </w:tcPr>
          <w:p w14:paraId="182D8A9B" w14:textId="77777777" w:rsidR="00263398" w:rsidRPr="00960ABC" w:rsidRDefault="00263398" w:rsidP="00041876">
            <w:pPr>
              <w:jc w:val="center"/>
              <w:rPr>
                <w:rFonts w:ascii="Times New Roman" w:hAnsi="Times New Roman" w:cs="Times New Roman"/>
                <w:b/>
                <w:bCs/>
                <w:sz w:val="18"/>
                <w:szCs w:val="18"/>
              </w:rPr>
            </w:pPr>
          </w:p>
        </w:tc>
      </w:tr>
      <w:tr w:rsidR="00263398" w14:paraId="65102180" w14:textId="77777777" w:rsidTr="00263398">
        <w:tc>
          <w:tcPr>
            <w:tcW w:w="3256" w:type="dxa"/>
          </w:tcPr>
          <w:p w14:paraId="60D2181B" w14:textId="77777777" w:rsidR="00263398" w:rsidRPr="00960ABC" w:rsidRDefault="00263398" w:rsidP="00041876">
            <w:pPr>
              <w:rPr>
                <w:rFonts w:ascii="Times New Roman" w:hAnsi="Times New Roman" w:cs="Times New Roman"/>
                <w:b/>
                <w:bCs/>
                <w:i/>
                <w:iCs/>
                <w:color w:val="000000"/>
                <w:sz w:val="18"/>
                <w:szCs w:val="18"/>
              </w:rPr>
            </w:pPr>
          </w:p>
        </w:tc>
        <w:tc>
          <w:tcPr>
            <w:tcW w:w="2126" w:type="dxa"/>
            <w:vAlign w:val="center"/>
          </w:tcPr>
          <w:p w14:paraId="76F3BBD7" w14:textId="5CF616DB" w:rsidR="00263398" w:rsidRPr="00960ABC" w:rsidRDefault="00263398" w:rsidP="00041876">
            <w:pPr>
              <w:jc w:val="center"/>
              <w:rPr>
                <w:rFonts w:ascii="Times New Roman" w:hAnsi="Times New Roman" w:cs="Times New Roman"/>
                <w:b/>
                <w:bCs/>
                <w:sz w:val="18"/>
                <w:szCs w:val="18"/>
              </w:rPr>
            </w:pPr>
          </w:p>
        </w:tc>
        <w:tc>
          <w:tcPr>
            <w:tcW w:w="1843" w:type="dxa"/>
          </w:tcPr>
          <w:p w14:paraId="7F7A26DB" w14:textId="78313D72" w:rsidR="00263398" w:rsidRPr="00960ABC" w:rsidRDefault="00263398" w:rsidP="00041876">
            <w:pPr>
              <w:jc w:val="center"/>
              <w:rPr>
                <w:rFonts w:ascii="Times New Roman" w:hAnsi="Times New Roman" w:cs="Times New Roman"/>
                <w:b/>
                <w:bCs/>
                <w:kern w:val="0"/>
                <w:sz w:val="18"/>
                <w:szCs w:val="18"/>
              </w:rPr>
            </w:pPr>
            <w:r w:rsidRPr="00F457A5">
              <w:rPr>
                <w:rFonts w:ascii="Times New Roman" w:hAnsi="Times New Roman" w:cs="Times New Roman"/>
                <w:kern w:val="0"/>
                <w:sz w:val="18"/>
                <w:szCs w:val="18"/>
              </w:rPr>
              <w:t>(-0.94)</w:t>
            </w:r>
          </w:p>
        </w:tc>
        <w:tc>
          <w:tcPr>
            <w:tcW w:w="1989" w:type="dxa"/>
            <w:vAlign w:val="center"/>
          </w:tcPr>
          <w:p w14:paraId="0C31943A" w14:textId="77777777" w:rsidR="00263398" w:rsidRPr="00960ABC" w:rsidRDefault="00263398" w:rsidP="00041876">
            <w:pPr>
              <w:jc w:val="center"/>
              <w:rPr>
                <w:rFonts w:ascii="Times New Roman" w:hAnsi="Times New Roman" w:cs="Times New Roman"/>
                <w:b/>
                <w:bCs/>
                <w:sz w:val="18"/>
                <w:szCs w:val="18"/>
              </w:rPr>
            </w:pPr>
          </w:p>
        </w:tc>
      </w:tr>
      <w:tr w:rsidR="00263398" w14:paraId="2EA228BD" w14:textId="77777777" w:rsidTr="00263398">
        <w:tc>
          <w:tcPr>
            <w:tcW w:w="3256" w:type="dxa"/>
          </w:tcPr>
          <w:p w14:paraId="5CD75A97" w14:textId="4FC9156A" w:rsidR="00263398" w:rsidRPr="00960ABC" w:rsidRDefault="00263398" w:rsidP="006D78DE">
            <w:pPr>
              <w:rPr>
                <w:rFonts w:ascii="Times New Roman" w:hAnsi="Times New Roman" w:cs="Times New Roman"/>
                <w:b/>
                <w:bCs/>
                <w:sz w:val="18"/>
                <w:szCs w:val="18"/>
              </w:rPr>
            </w:pPr>
            <w:r w:rsidRPr="00960ABC">
              <w:rPr>
                <w:rFonts w:ascii="Times New Roman" w:hAnsi="Times New Roman" w:cs="Times New Roman"/>
                <w:b/>
                <w:bCs/>
                <w:i/>
                <w:iCs/>
                <w:color w:val="000000"/>
                <w:sz w:val="18"/>
                <w:szCs w:val="18"/>
              </w:rPr>
              <w:t>EXCLUSION×</w:t>
            </w:r>
            <w:r>
              <w:rPr>
                <w:rFonts w:ascii="Times New Roman" w:hAnsi="Times New Roman" w:cs="Times New Roman"/>
                <w:b/>
                <w:bCs/>
                <w:i/>
                <w:iCs/>
                <w:color w:val="000000"/>
                <w:sz w:val="18"/>
                <w:szCs w:val="18"/>
              </w:rPr>
              <w:t>NARCIS</w:t>
            </w:r>
            <w:r w:rsidRPr="00960ABC">
              <w:rPr>
                <w:rFonts w:ascii="Times New Roman" w:hAnsi="Times New Roman" w:cs="Times New Roman"/>
                <w:b/>
                <w:bCs/>
                <w:i/>
                <w:iCs/>
                <w:color w:val="000000"/>
                <w:sz w:val="18"/>
                <w:szCs w:val="18"/>
              </w:rPr>
              <w:t>×ANALYSTS</w:t>
            </w:r>
          </w:p>
        </w:tc>
        <w:tc>
          <w:tcPr>
            <w:tcW w:w="2126" w:type="dxa"/>
            <w:vAlign w:val="center"/>
          </w:tcPr>
          <w:p w14:paraId="4CBB4964" w14:textId="206807C6" w:rsidR="00263398" w:rsidRPr="00960ABC" w:rsidRDefault="00263398" w:rsidP="006D78DE">
            <w:pPr>
              <w:jc w:val="center"/>
              <w:rPr>
                <w:rFonts w:ascii="Times New Roman" w:hAnsi="Times New Roman" w:cs="Times New Roman"/>
                <w:b/>
                <w:bCs/>
                <w:sz w:val="18"/>
                <w:szCs w:val="18"/>
              </w:rPr>
            </w:pPr>
          </w:p>
        </w:tc>
        <w:tc>
          <w:tcPr>
            <w:tcW w:w="1843" w:type="dxa"/>
            <w:vAlign w:val="center"/>
          </w:tcPr>
          <w:p w14:paraId="47FB68CE" w14:textId="77777777" w:rsidR="00263398" w:rsidRPr="00960ABC" w:rsidRDefault="00263398" w:rsidP="006D78DE">
            <w:pPr>
              <w:jc w:val="center"/>
              <w:rPr>
                <w:rFonts w:ascii="Times New Roman" w:hAnsi="Times New Roman" w:cs="Times New Roman"/>
                <w:b/>
                <w:bCs/>
                <w:sz w:val="18"/>
                <w:szCs w:val="18"/>
              </w:rPr>
            </w:pPr>
            <w:r w:rsidRPr="00960ABC">
              <w:rPr>
                <w:rFonts w:ascii="Times New Roman" w:hAnsi="Times New Roman" w:cs="Times New Roman"/>
                <w:b/>
                <w:bCs/>
                <w:kern w:val="0"/>
                <w:sz w:val="18"/>
                <w:szCs w:val="18"/>
              </w:rPr>
              <w:t>0.0787**</w:t>
            </w:r>
          </w:p>
        </w:tc>
        <w:tc>
          <w:tcPr>
            <w:tcW w:w="1989" w:type="dxa"/>
            <w:vAlign w:val="center"/>
          </w:tcPr>
          <w:p w14:paraId="12F07AC2" w14:textId="77777777" w:rsidR="00263398" w:rsidRPr="00960ABC" w:rsidRDefault="00263398" w:rsidP="006D78DE">
            <w:pPr>
              <w:jc w:val="center"/>
              <w:rPr>
                <w:rFonts w:ascii="Times New Roman" w:hAnsi="Times New Roman" w:cs="Times New Roman"/>
                <w:b/>
                <w:bCs/>
                <w:sz w:val="18"/>
                <w:szCs w:val="18"/>
              </w:rPr>
            </w:pPr>
          </w:p>
        </w:tc>
      </w:tr>
      <w:tr w:rsidR="00263398" w14:paraId="2855DD04" w14:textId="77777777" w:rsidTr="00263398">
        <w:tc>
          <w:tcPr>
            <w:tcW w:w="3256" w:type="dxa"/>
          </w:tcPr>
          <w:p w14:paraId="1E01A059" w14:textId="77777777" w:rsidR="00263398" w:rsidRPr="00960ABC" w:rsidRDefault="00263398" w:rsidP="006D78DE">
            <w:pPr>
              <w:rPr>
                <w:rFonts w:ascii="Times New Roman" w:hAnsi="Times New Roman" w:cs="Times New Roman"/>
                <w:b/>
                <w:bCs/>
                <w:sz w:val="18"/>
                <w:szCs w:val="18"/>
              </w:rPr>
            </w:pPr>
          </w:p>
        </w:tc>
        <w:tc>
          <w:tcPr>
            <w:tcW w:w="2126" w:type="dxa"/>
            <w:vAlign w:val="center"/>
          </w:tcPr>
          <w:p w14:paraId="3F7126F6" w14:textId="7FCABC13" w:rsidR="00263398" w:rsidRPr="00960ABC" w:rsidRDefault="00263398" w:rsidP="006D78DE">
            <w:pPr>
              <w:jc w:val="center"/>
              <w:rPr>
                <w:rFonts w:ascii="Times New Roman" w:hAnsi="Times New Roman" w:cs="Times New Roman"/>
                <w:b/>
                <w:bCs/>
                <w:sz w:val="18"/>
                <w:szCs w:val="18"/>
              </w:rPr>
            </w:pPr>
          </w:p>
        </w:tc>
        <w:tc>
          <w:tcPr>
            <w:tcW w:w="1843" w:type="dxa"/>
            <w:vAlign w:val="center"/>
          </w:tcPr>
          <w:p w14:paraId="72F080C8" w14:textId="77777777" w:rsidR="00263398" w:rsidRPr="00960ABC" w:rsidRDefault="00263398" w:rsidP="006D78DE">
            <w:pPr>
              <w:jc w:val="center"/>
              <w:rPr>
                <w:rFonts w:ascii="Times New Roman" w:hAnsi="Times New Roman" w:cs="Times New Roman"/>
                <w:b/>
                <w:bCs/>
                <w:sz w:val="18"/>
                <w:szCs w:val="18"/>
              </w:rPr>
            </w:pPr>
            <w:r w:rsidRPr="00960ABC">
              <w:rPr>
                <w:rFonts w:ascii="Times New Roman" w:hAnsi="Times New Roman" w:cs="Times New Roman"/>
                <w:b/>
                <w:bCs/>
                <w:kern w:val="0"/>
                <w:sz w:val="18"/>
                <w:szCs w:val="18"/>
              </w:rPr>
              <w:t>(2.19)</w:t>
            </w:r>
          </w:p>
        </w:tc>
        <w:tc>
          <w:tcPr>
            <w:tcW w:w="1989" w:type="dxa"/>
            <w:vAlign w:val="center"/>
          </w:tcPr>
          <w:p w14:paraId="0F897B8F" w14:textId="77777777" w:rsidR="00263398" w:rsidRPr="00960ABC" w:rsidRDefault="00263398" w:rsidP="006D78DE">
            <w:pPr>
              <w:jc w:val="center"/>
              <w:rPr>
                <w:rFonts w:ascii="Times New Roman" w:hAnsi="Times New Roman" w:cs="Times New Roman"/>
                <w:b/>
                <w:bCs/>
                <w:sz w:val="18"/>
                <w:szCs w:val="18"/>
              </w:rPr>
            </w:pPr>
          </w:p>
        </w:tc>
      </w:tr>
      <w:tr w:rsidR="00263398" w14:paraId="3CBB2AFB" w14:textId="77777777" w:rsidTr="00263398">
        <w:tc>
          <w:tcPr>
            <w:tcW w:w="3256" w:type="dxa"/>
          </w:tcPr>
          <w:p w14:paraId="6C51B658" w14:textId="41878BE0" w:rsidR="00263398" w:rsidRPr="00960ABC" w:rsidRDefault="00263398" w:rsidP="002F4315">
            <w:pPr>
              <w:rPr>
                <w:rFonts w:ascii="Times New Roman" w:hAnsi="Times New Roman" w:cs="Times New Roman"/>
                <w:b/>
                <w:bCs/>
                <w:i/>
                <w:iCs/>
                <w:color w:val="000000"/>
                <w:sz w:val="18"/>
                <w:szCs w:val="18"/>
              </w:rPr>
            </w:pPr>
            <w:r w:rsidRPr="00A73C18">
              <w:rPr>
                <w:rFonts w:ascii="Times New Roman" w:hAnsi="Times New Roman" w:cs="Times New Roman"/>
                <w:i/>
                <w:iCs/>
                <w:color w:val="000000"/>
                <w:sz w:val="18"/>
                <w:szCs w:val="18"/>
              </w:rPr>
              <w:t>NONIFRS×</w:t>
            </w:r>
            <w:r>
              <w:rPr>
                <w:rFonts w:ascii="Times New Roman" w:hAnsi="Times New Roman" w:cs="Times New Roman"/>
                <w:i/>
                <w:iCs/>
                <w:color w:val="000000"/>
                <w:sz w:val="18"/>
                <w:szCs w:val="18"/>
              </w:rPr>
              <w:t>NARCIS</w:t>
            </w:r>
            <w:r w:rsidRPr="00A73C18">
              <w:rPr>
                <w:rFonts w:ascii="Times New Roman" w:hAnsi="Times New Roman" w:cs="Times New Roman"/>
                <w:i/>
                <w:iCs/>
                <w:color w:val="000000"/>
                <w:sz w:val="18"/>
                <w:szCs w:val="18"/>
              </w:rPr>
              <w:t>×</w:t>
            </w:r>
            <w:r>
              <w:rPr>
                <w:rFonts w:ascii="Times New Roman" w:hAnsi="Times New Roman" w:cs="Times New Roman"/>
                <w:i/>
                <w:iCs/>
                <w:color w:val="000000"/>
                <w:sz w:val="18"/>
                <w:szCs w:val="18"/>
              </w:rPr>
              <w:t>INSTOWNER</w:t>
            </w:r>
          </w:p>
        </w:tc>
        <w:tc>
          <w:tcPr>
            <w:tcW w:w="2126" w:type="dxa"/>
            <w:vAlign w:val="center"/>
          </w:tcPr>
          <w:p w14:paraId="15CD3838" w14:textId="2A1BAAF7" w:rsidR="00263398" w:rsidRPr="00960ABC" w:rsidRDefault="00263398" w:rsidP="002F4315">
            <w:pPr>
              <w:jc w:val="center"/>
              <w:rPr>
                <w:rFonts w:ascii="Times New Roman" w:hAnsi="Times New Roman" w:cs="Times New Roman"/>
                <w:b/>
                <w:bCs/>
                <w:sz w:val="18"/>
                <w:szCs w:val="18"/>
              </w:rPr>
            </w:pPr>
          </w:p>
        </w:tc>
        <w:tc>
          <w:tcPr>
            <w:tcW w:w="1843" w:type="dxa"/>
            <w:vAlign w:val="center"/>
          </w:tcPr>
          <w:p w14:paraId="7CF285B2" w14:textId="77777777" w:rsidR="00263398" w:rsidRPr="00960ABC" w:rsidRDefault="00263398" w:rsidP="002F4315">
            <w:pPr>
              <w:jc w:val="center"/>
              <w:rPr>
                <w:rFonts w:ascii="Times New Roman" w:hAnsi="Times New Roman" w:cs="Times New Roman"/>
                <w:b/>
                <w:bCs/>
                <w:sz w:val="18"/>
                <w:szCs w:val="18"/>
              </w:rPr>
            </w:pPr>
          </w:p>
        </w:tc>
        <w:tc>
          <w:tcPr>
            <w:tcW w:w="1989" w:type="dxa"/>
          </w:tcPr>
          <w:p w14:paraId="7EFFF732" w14:textId="12B0973F" w:rsidR="00263398" w:rsidRPr="00960ABC" w:rsidRDefault="00263398" w:rsidP="002F4315">
            <w:pPr>
              <w:jc w:val="center"/>
              <w:rPr>
                <w:rFonts w:ascii="Times New Roman" w:hAnsi="Times New Roman" w:cs="Times New Roman"/>
                <w:b/>
                <w:bCs/>
                <w:kern w:val="0"/>
                <w:sz w:val="18"/>
                <w:szCs w:val="18"/>
              </w:rPr>
            </w:pPr>
            <w:r w:rsidRPr="00F457A5">
              <w:rPr>
                <w:rFonts w:ascii="Times New Roman" w:hAnsi="Times New Roman" w:cs="Times New Roman"/>
                <w:kern w:val="0"/>
                <w:sz w:val="18"/>
                <w:szCs w:val="18"/>
              </w:rPr>
              <w:t>-2.010**</w:t>
            </w:r>
          </w:p>
        </w:tc>
      </w:tr>
      <w:tr w:rsidR="00263398" w14:paraId="0730964C" w14:textId="77777777" w:rsidTr="00263398">
        <w:tc>
          <w:tcPr>
            <w:tcW w:w="3256" w:type="dxa"/>
          </w:tcPr>
          <w:p w14:paraId="736CB5B9" w14:textId="77777777" w:rsidR="00263398" w:rsidRPr="00960ABC" w:rsidRDefault="00263398" w:rsidP="002F4315">
            <w:pPr>
              <w:rPr>
                <w:rFonts w:ascii="Times New Roman" w:hAnsi="Times New Roman" w:cs="Times New Roman"/>
                <w:b/>
                <w:bCs/>
                <w:i/>
                <w:iCs/>
                <w:color w:val="000000"/>
                <w:sz w:val="18"/>
                <w:szCs w:val="18"/>
              </w:rPr>
            </w:pPr>
          </w:p>
        </w:tc>
        <w:tc>
          <w:tcPr>
            <w:tcW w:w="2126" w:type="dxa"/>
            <w:vAlign w:val="center"/>
          </w:tcPr>
          <w:p w14:paraId="2C84728B" w14:textId="3D525AB6" w:rsidR="00263398" w:rsidRPr="00960ABC" w:rsidRDefault="00263398" w:rsidP="002F4315">
            <w:pPr>
              <w:jc w:val="center"/>
              <w:rPr>
                <w:rFonts w:ascii="Times New Roman" w:hAnsi="Times New Roman" w:cs="Times New Roman"/>
                <w:b/>
                <w:bCs/>
                <w:sz w:val="18"/>
                <w:szCs w:val="18"/>
              </w:rPr>
            </w:pPr>
          </w:p>
        </w:tc>
        <w:tc>
          <w:tcPr>
            <w:tcW w:w="1843" w:type="dxa"/>
            <w:vAlign w:val="center"/>
          </w:tcPr>
          <w:p w14:paraId="702B0D8B" w14:textId="77777777" w:rsidR="00263398" w:rsidRPr="00960ABC" w:rsidRDefault="00263398" w:rsidP="002F4315">
            <w:pPr>
              <w:jc w:val="center"/>
              <w:rPr>
                <w:rFonts w:ascii="Times New Roman" w:hAnsi="Times New Roman" w:cs="Times New Roman"/>
                <w:b/>
                <w:bCs/>
                <w:sz w:val="18"/>
                <w:szCs w:val="18"/>
              </w:rPr>
            </w:pPr>
          </w:p>
        </w:tc>
        <w:tc>
          <w:tcPr>
            <w:tcW w:w="1989" w:type="dxa"/>
          </w:tcPr>
          <w:p w14:paraId="3EB37F8A" w14:textId="1BA717A4" w:rsidR="00263398" w:rsidRPr="00960ABC" w:rsidRDefault="00263398" w:rsidP="002F4315">
            <w:pPr>
              <w:jc w:val="center"/>
              <w:rPr>
                <w:rFonts w:ascii="Times New Roman" w:hAnsi="Times New Roman" w:cs="Times New Roman"/>
                <w:b/>
                <w:bCs/>
                <w:kern w:val="0"/>
                <w:sz w:val="18"/>
                <w:szCs w:val="18"/>
              </w:rPr>
            </w:pPr>
            <w:r w:rsidRPr="00F457A5">
              <w:rPr>
                <w:rFonts w:ascii="Times New Roman" w:hAnsi="Times New Roman" w:cs="Times New Roman"/>
                <w:kern w:val="0"/>
                <w:sz w:val="18"/>
                <w:szCs w:val="18"/>
              </w:rPr>
              <w:t>(-2.04)</w:t>
            </w:r>
          </w:p>
        </w:tc>
      </w:tr>
      <w:tr w:rsidR="00263398" w14:paraId="15C7AA6A" w14:textId="77777777" w:rsidTr="00263398">
        <w:tc>
          <w:tcPr>
            <w:tcW w:w="3256" w:type="dxa"/>
          </w:tcPr>
          <w:p w14:paraId="010CA18C" w14:textId="59848EF7" w:rsidR="00263398" w:rsidRPr="00960ABC" w:rsidRDefault="00263398" w:rsidP="006D78DE">
            <w:pPr>
              <w:rPr>
                <w:rFonts w:ascii="Times New Roman" w:hAnsi="Times New Roman" w:cs="Times New Roman"/>
                <w:b/>
                <w:bCs/>
                <w:sz w:val="18"/>
                <w:szCs w:val="18"/>
              </w:rPr>
            </w:pPr>
            <w:r w:rsidRPr="00960ABC">
              <w:rPr>
                <w:rFonts w:ascii="Times New Roman" w:hAnsi="Times New Roman" w:cs="Times New Roman"/>
                <w:b/>
                <w:bCs/>
                <w:i/>
                <w:iCs/>
                <w:color w:val="000000"/>
                <w:sz w:val="18"/>
                <w:szCs w:val="18"/>
              </w:rPr>
              <w:t>EXCLUSION×</w:t>
            </w:r>
            <w:r>
              <w:rPr>
                <w:rFonts w:ascii="Times New Roman" w:hAnsi="Times New Roman" w:cs="Times New Roman"/>
                <w:b/>
                <w:bCs/>
                <w:i/>
                <w:iCs/>
                <w:color w:val="000000"/>
                <w:sz w:val="18"/>
                <w:szCs w:val="18"/>
              </w:rPr>
              <w:t>NARCIS</w:t>
            </w:r>
            <w:r w:rsidRPr="00960ABC">
              <w:rPr>
                <w:rFonts w:ascii="Times New Roman" w:hAnsi="Times New Roman" w:cs="Times New Roman"/>
                <w:b/>
                <w:bCs/>
                <w:i/>
                <w:iCs/>
                <w:color w:val="000000"/>
                <w:sz w:val="18"/>
                <w:szCs w:val="18"/>
              </w:rPr>
              <w:t>×INSTOWNER</w:t>
            </w:r>
          </w:p>
        </w:tc>
        <w:tc>
          <w:tcPr>
            <w:tcW w:w="2126" w:type="dxa"/>
            <w:vAlign w:val="center"/>
          </w:tcPr>
          <w:p w14:paraId="5C9E2916" w14:textId="254976FC" w:rsidR="00263398" w:rsidRPr="00960ABC" w:rsidRDefault="00263398" w:rsidP="006D78DE">
            <w:pPr>
              <w:jc w:val="center"/>
              <w:rPr>
                <w:rFonts w:ascii="Times New Roman" w:hAnsi="Times New Roman" w:cs="Times New Roman"/>
                <w:b/>
                <w:bCs/>
                <w:sz w:val="18"/>
                <w:szCs w:val="18"/>
              </w:rPr>
            </w:pPr>
          </w:p>
        </w:tc>
        <w:tc>
          <w:tcPr>
            <w:tcW w:w="1843" w:type="dxa"/>
            <w:vAlign w:val="center"/>
          </w:tcPr>
          <w:p w14:paraId="3A9B17CC" w14:textId="77777777" w:rsidR="00263398" w:rsidRPr="00960ABC" w:rsidRDefault="00263398" w:rsidP="006D78DE">
            <w:pPr>
              <w:jc w:val="center"/>
              <w:rPr>
                <w:rFonts w:ascii="Times New Roman" w:hAnsi="Times New Roman" w:cs="Times New Roman"/>
                <w:b/>
                <w:bCs/>
                <w:sz w:val="18"/>
                <w:szCs w:val="18"/>
              </w:rPr>
            </w:pPr>
          </w:p>
        </w:tc>
        <w:tc>
          <w:tcPr>
            <w:tcW w:w="1989" w:type="dxa"/>
            <w:vAlign w:val="center"/>
          </w:tcPr>
          <w:p w14:paraId="6AECB424" w14:textId="77777777" w:rsidR="00263398" w:rsidRPr="00960ABC" w:rsidRDefault="00263398" w:rsidP="006D78DE">
            <w:pPr>
              <w:jc w:val="center"/>
              <w:rPr>
                <w:rFonts w:ascii="Times New Roman" w:hAnsi="Times New Roman" w:cs="Times New Roman"/>
                <w:b/>
                <w:bCs/>
                <w:sz w:val="18"/>
                <w:szCs w:val="18"/>
              </w:rPr>
            </w:pPr>
            <w:r w:rsidRPr="00960ABC">
              <w:rPr>
                <w:rFonts w:ascii="Times New Roman" w:hAnsi="Times New Roman" w:cs="Times New Roman"/>
                <w:b/>
                <w:bCs/>
                <w:kern w:val="0"/>
                <w:sz w:val="18"/>
                <w:szCs w:val="18"/>
              </w:rPr>
              <w:t>2.314*</w:t>
            </w:r>
          </w:p>
        </w:tc>
      </w:tr>
      <w:tr w:rsidR="00263398" w14:paraId="581F5693" w14:textId="77777777" w:rsidTr="00263398">
        <w:tc>
          <w:tcPr>
            <w:tcW w:w="3256" w:type="dxa"/>
          </w:tcPr>
          <w:p w14:paraId="27E15630" w14:textId="77777777" w:rsidR="00263398" w:rsidRPr="00960ABC" w:rsidRDefault="00263398" w:rsidP="006D78DE">
            <w:pPr>
              <w:rPr>
                <w:rFonts w:ascii="Times New Roman" w:hAnsi="Times New Roman" w:cs="Times New Roman"/>
                <w:b/>
                <w:bCs/>
                <w:sz w:val="18"/>
                <w:szCs w:val="18"/>
              </w:rPr>
            </w:pPr>
          </w:p>
        </w:tc>
        <w:tc>
          <w:tcPr>
            <w:tcW w:w="2126" w:type="dxa"/>
            <w:vAlign w:val="center"/>
          </w:tcPr>
          <w:p w14:paraId="0AB43353" w14:textId="6FB6622C" w:rsidR="00263398" w:rsidRPr="00960ABC" w:rsidRDefault="00263398" w:rsidP="006D78DE">
            <w:pPr>
              <w:jc w:val="center"/>
              <w:rPr>
                <w:rFonts w:ascii="Times New Roman" w:hAnsi="Times New Roman" w:cs="Times New Roman"/>
                <w:b/>
                <w:bCs/>
                <w:sz w:val="18"/>
                <w:szCs w:val="18"/>
              </w:rPr>
            </w:pPr>
          </w:p>
        </w:tc>
        <w:tc>
          <w:tcPr>
            <w:tcW w:w="1843" w:type="dxa"/>
            <w:vAlign w:val="center"/>
          </w:tcPr>
          <w:p w14:paraId="3E21C05C" w14:textId="77777777" w:rsidR="00263398" w:rsidRPr="00960ABC" w:rsidRDefault="00263398" w:rsidP="006D78DE">
            <w:pPr>
              <w:jc w:val="center"/>
              <w:rPr>
                <w:rFonts w:ascii="Times New Roman" w:hAnsi="Times New Roman" w:cs="Times New Roman"/>
                <w:b/>
                <w:bCs/>
                <w:sz w:val="18"/>
                <w:szCs w:val="18"/>
              </w:rPr>
            </w:pPr>
          </w:p>
        </w:tc>
        <w:tc>
          <w:tcPr>
            <w:tcW w:w="1989" w:type="dxa"/>
            <w:vAlign w:val="center"/>
          </w:tcPr>
          <w:p w14:paraId="2FDD4EA8" w14:textId="77777777" w:rsidR="00263398" w:rsidRPr="00960ABC" w:rsidRDefault="00263398" w:rsidP="006D78DE">
            <w:pPr>
              <w:jc w:val="center"/>
              <w:rPr>
                <w:rFonts w:ascii="Times New Roman" w:hAnsi="Times New Roman" w:cs="Times New Roman"/>
                <w:b/>
                <w:bCs/>
                <w:sz w:val="18"/>
                <w:szCs w:val="18"/>
              </w:rPr>
            </w:pPr>
            <w:r w:rsidRPr="00960ABC">
              <w:rPr>
                <w:rFonts w:ascii="Times New Roman" w:hAnsi="Times New Roman" w:cs="Times New Roman"/>
                <w:b/>
                <w:bCs/>
                <w:kern w:val="0"/>
                <w:sz w:val="18"/>
                <w:szCs w:val="18"/>
              </w:rPr>
              <w:t>(1.74)</w:t>
            </w:r>
          </w:p>
        </w:tc>
      </w:tr>
      <w:tr w:rsidR="00263398" w14:paraId="67C57F02" w14:textId="77777777" w:rsidTr="00263398">
        <w:tc>
          <w:tcPr>
            <w:tcW w:w="3256" w:type="dxa"/>
          </w:tcPr>
          <w:p w14:paraId="6DA458B7" w14:textId="4B862B05" w:rsidR="00263398" w:rsidRPr="00960ABC" w:rsidRDefault="00263398" w:rsidP="002F4315">
            <w:pPr>
              <w:rPr>
                <w:rFonts w:ascii="Times New Roman" w:hAnsi="Times New Roman" w:cs="Times New Roman"/>
                <w:b/>
                <w:bCs/>
                <w:sz w:val="18"/>
                <w:szCs w:val="18"/>
              </w:rPr>
            </w:pPr>
            <w:r w:rsidRPr="00B961D9">
              <w:rPr>
                <w:rFonts w:ascii="Times New Roman" w:hAnsi="Times New Roman" w:cs="Times New Roman"/>
                <w:i/>
                <w:iCs/>
                <w:kern w:val="0"/>
                <w:sz w:val="18"/>
                <w:szCs w:val="18"/>
              </w:rPr>
              <w:t>DISCL</w:t>
            </w:r>
            <w:r w:rsidR="007F6189">
              <w:rPr>
                <w:rFonts w:ascii="Times New Roman" w:hAnsi="Times New Roman" w:cs="Times New Roman"/>
                <w:i/>
                <w:iCs/>
                <w:kern w:val="0"/>
                <w:sz w:val="18"/>
                <w:szCs w:val="18"/>
              </w:rPr>
              <w:t>OSURE</w:t>
            </w:r>
          </w:p>
        </w:tc>
        <w:tc>
          <w:tcPr>
            <w:tcW w:w="2126" w:type="dxa"/>
          </w:tcPr>
          <w:p w14:paraId="54EC5C97" w14:textId="531D079D" w:rsidR="00263398" w:rsidRPr="00960ABC" w:rsidRDefault="00263398" w:rsidP="002F4315">
            <w:pPr>
              <w:jc w:val="center"/>
              <w:rPr>
                <w:rFonts w:ascii="Times New Roman" w:hAnsi="Times New Roman" w:cs="Times New Roman"/>
                <w:b/>
                <w:bCs/>
                <w:sz w:val="18"/>
                <w:szCs w:val="18"/>
              </w:rPr>
            </w:pPr>
            <w:r w:rsidRPr="00B961D9">
              <w:rPr>
                <w:rFonts w:ascii="Times New Roman" w:hAnsi="Times New Roman" w:cs="Times New Roman"/>
                <w:kern w:val="0"/>
                <w:sz w:val="18"/>
                <w:szCs w:val="18"/>
              </w:rPr>
              <w:t>-0.00571</w:t>
            </w:r>
          </w:p>
        </w:tc>
        <w:tc>
          <w:tcPr>
            <w:tcW w:w="1843" w:type="dxa"/>
            <w:vAlign w:val="center"/>
          </w:tcPr>
          <w:p w14:paraId="0AA8ED4B" w14:textId="77777777" w:rsidR="00263398" w:rsidRPr="00960ABC" w:rsidRDefault="00263398" w:rsidP="002F4315">
            <w:pPr>
              <w:jc w:val="center"/>
              <w:rPr>
                <w:rFonts w:ascii="Times New Roman" w:hAnsi="Times New Roman" w:cs="Times New Roman"/>
                <w:b/>
                <w:bCs/>
                <w:sz w:val="18"/>
                <w:szCs w:val="18"/>
              </w:rPr>
            </w:pPr>
          </w:p>
        </w:tc>
        <w:tc>
          <w:tcPr>
            <w:tcW w:w="1989" w:type="dxa"/>
            <w:vAlign w:val="center"/>
          </w:tcPr>
          <w:p w14:paraId="0DA400F5" w14:textId="77777777" w:rsidR="00263398" w:rsidRPr="00960ABC" w:rsidRDefault="00263398" w:rsidP="002F4315">
            <w:pPr>
              <w:jc w:val="center"/>
              <w:rPr>
                <w:rFonts w:ascii="Times New Roman" w:hAnsi="Times New Roman" w:cs="Times New Roman"/>
                <w:b/>
                <w:bCs/>
                <w:kern w:val="0"/>
                <w:sz w:val="18"/>
                <w:szCs w:val="18"/>
              </w:rPr>
            </w:pPr>
          </w:p>
        </w:tc>
      </w:tr>
      <w:tr w:rsidR="00263398" w14:paraId="016538FC" w14:textId="77777777" w:rsidTr="00263398">
        <w:tc>
          <w:tcPr>
            <w:tcW w:w="3256" w:type="dxa"/>
          </w:tcPr>
          <w:p w14:paraId="1EA65EEC" w14:textId="77777777" w:rsidR="00263398" w:rsidRPr="00960ABC" w:rsidRDefault="00263398" w:rsidP="002F4315">
            <w:pPr>
              <w:rPr>
                <w:rFonts w:ascii="Times New Roman" w:hAnsi="Times New Roman" w:cs="Times New Roman"/>
                <w:b/>
                <w:bCs/>
                <w:sz w:val="18"/>
                <w:szCs w:val="18"/>
              </w:rPr>
            </w:pPr>
          </w:p>
        </w:tc>
        <w:tc>
          <w:tcPr>
            <w:tcW w:w="2126" w:type="dxa"/>
          </w:tcPr>
          <w:p w14:paraId="6F944C7D" w14:textId="5FE49329" w:rsidR="00263398" w:rsidRPr="00960ABC" w:rsidRDefault="00263398" w:rsidP="002F4315">
            <w:pPr>
              <w:jc w:val="center"/>
              <w:rPr>
                <w:rFonts w:ascii="Times New Roman" w:hAnsi="Times New Roman" w:cs="Times New Roman"/>
                <w:b/>
                <w:bCs/>
                <w:sz w:val="18"/>
                <w:szCs w:val="18"/>
              </w:rPr>
            </w:pPr>
            <w:r w:rsidRPr="00B961D9">
              <w:rPr>
                <w:rFonts w:ascii="Times New Roman" w:hAnsi="Times New Roman" w:cs="Times New Roman"/>
                <w:kern w:val="0"/>
                <w:sz w:val="18"/>
                <w:szCs w:val="18"/>
              </w:rPr>
              <w:t>(-0.08)</w:t>
            </w:r>
          </w:p>
        </w:tc>
        <w:tc>
          <w:tcPr>
            <w:tcW w:w="1843" w:type="dxa"/>
            <w:vAlign w:val="center"/>
          </w:tcPr>
          <w:p w14:paraId="27473F90" w14:textId="77777777" w:rsidR="00263398" w:rsidRPr="00960ABC" w:rsidRDefault="00263398" w:rsidP="002F4315">
            <w:pPr>
              <w:jc w:val="center"/>
              <w:rPr>
                <w:rFonts w:ascii="Times New Roman" w:hAnsi="Times New Roman" w:cs="Times New Roman"/>
                <w:b/>
                <w:bCs/>
                <w:sz w:val="18"/>
                <w:szCs w:val="18"/>
              </w:rPr>
            </w:pPr>
          </w:p>
        </w:tc>
        <w:tc>
          <w:tcPr>
            <w:tcW w:w="1989" w:type="dxa"/>
            <w:vAlign w:val="center"/>
          </w:tcPr>
          <w:p w14:paraId="735E3D5E" w14:textId="77777777" w:rsidR="00263398" w:rsidRPr="00960ABC" w:rsidRDefault="00263398" w:rsidP="002F4315">
            <w:pPr>
              <w:jc w:val="center"/>
              <w:rPr>
                <w:rFonts w:ascii="Times New Roman" w:hAnsi="Times New Roman" w:cs="Times New Roman"/>
                <w:b/>
                <w:bCs/>
                <w:kern w:val="0"/>
                <w:sz w:val="18"/>
                <w:szCs w:val="18"/>
              </w:rPr>
            </w:pPr>
          </w:p>
        </w:tc>
      </w:tr>
      <w:tr w:rsidR="00263398" w14:paraId="17DFFA9F" w14:textId="77777777" w:rsidTr="00263398">
        <w:tc>
          <w:tcPr>
            <w:tcW w:w="3256" w:type="dxa"/>
          </w:tcPr>
          <w:p w14:paraId="0E4FA93C" w14:textId="08DEE8CB" w:rsidR="00263398" w:rsidRPr="00960ABC" w:rsidRDefault="00263398" w:rsidP="002F4315">
            <w:pPr>
              <w:rPr>
                <w:rFonts w:ascii="Times New Roman" w:hAnsi="Times New Roman" w:cs="Times New Roman"/>
                <w:b/>
                <w:bCs/>
                <w:sz w:val="18"/>
                <w:szCs w:val="18"/>
              </w:rPr>
            </w:pPr>
            <w:r w:rsidRPr="003959DD">
              <w:rPr>
                <w:rFonts w:ascii="Times New Roman" w:hAnsi="Times New Roman" w:cs="Times New Roman"/>
                <w:i/>
                <w:iCs/>
                <w:kern w:val="0"/>
                <w:sz w:val="18"/>
                <w:szCs w:val="18"/>
              </w:rPr>
              <w:t>ANALYSTS</w:t>
            </w:r>
          </w:p>
        </w:tc>
        <w:tc>
          <w:tcPr>
            <w:tcW w:w="2126" w:type="dxa"/>
            <w:vAlign w:val="center"/>
          </w:tcPr>
          <w:p w14:paraId="211C27E2" w14:textId="4E764502" w:rsidR="00263398" w:rsidRPr="00960ABC" w:rsidRDefault="00263398" w:rsidP="002F4315">
            <w:pPr>
              <w:jc w:val="center"/>
              <w:rPr>
                <w:rFonts w:ascii="Times New Roman" w:hAnsi="Times New Roman" w:cs="Times New Roman"/>
                <w:b/>
                <w:bCs/>
                <w:sz w:val="18"/>
                <w:szCs w:val="18"/>
              </w:rPr>
            </w:pPr>
          </w:p>
        </w:tc>
        <w:tc>
          <w:tcPr>
            <w:tcW w:w="1843" w:type="dxa"/>
          </w:tcPr>
          <w:p w14:paraId="5032CEB6" w14:textId="2C81768E" w:rsidR="00263398" w:rsidRPr="00960ABC" w:rsidRDefault="00263398" w:rsidP="002F4315">
            <w:pPr>
              <w:jc w:val="center"/>
              <w:rPr>
                <w:rFonts w:ascii="Times New Roman" w:hAnsi="Times New Roman" w:cs="Times New Roman"/>
                <w:b/>
                <w:bCs/>
                <w:sz w:val="18"/>
                <w:szCs w:val="18"/>
              </w:rPr>
            </w:pPr>
            <w:r w:rsidRPr="00F457A5">
              <w:rPr>
                <w:rFonts w:ascii="Times New Roman" w:hAnsi="Times New Roman" w:cs="Times New Roman"/>
                <w:kern w:val="0"/>
                <w:sz w:val="18"/>
                <w:szCs w:val="18"/>
              </w:rPr>
              <w:t>-0.0102</w:t>
            </w:r>
          </w:p>
        </w:tc>
        <w:tc>
          <w:tcPr>
            <w:tcW w:w="1989" w:type="dxa"/>
            <w:vAlign w:val="center"/>
          </w:tcPr>
          <w:p w14:paraId="4830EC24" w14:textId="77777777" w:rsidR="00263398" w:rsidRPr="00960ABC" w:rsidRDefault="00263398" w:rsidP="002F4315">
            <w:pPr>
              <w:jc w:val="center"/>
              <w:rPr>
                <w:rFonts w:ascii="Times New Roman" w:hAnsi="Times New Roman" w:cs="Times New Roman"/>
                <w:b/>
                <w:bCs/>
                <w:kern w:val="0"/>
                <w:sz w:val="18"/>
                <w:szCs w:val="18"/>
              </w:rPr>
            </w:pPr>
          </w:p>
        </w:tc>
      </w:tr>
      <w:tr w:rsidR="00263398" w14:paraId="091CC8F1" w14:textId="77777777" w:rsidTr="00263398">
        <w:tc>
          <w:tcPr>
            <w:tcW w:w="3256" w:type="dxa"/>
          </w:tcPr>
          <w:p w14:paraId="069E5B90" w14:textId="77777777" w:rsidR="00263398" w:rsidRPr="00960ABC" w:rsidRDefault="00263398" w:rsidP="002F4315">
            <w:pPr>
              <w:rPr>
                <w:rFonts w:ascii="Times New Roman" w:hAnsi="Times New Roman" w:cs="Times New Roman"/>
                <w:b/>
                <w:bCs/>
                <w:sz w:val="18"/>
                <w:szCs w:val="18"/>
              </w:rPr>
            </w:pPr>
          </w:p>
        </w:tc>
        <w:tc>
          <w:tcPr>
            <w:tcW w:w="2126" w:type="dxa"/>
            <w:vAlign w:val="center"/>
          </w:tcPr>
          <w:p w14:paraId="042B66D4" w14:textId="0885A831" w:rsidR="00263398" w:rsidRPr="00960ABC" w:rsidRDefault="00263398" w:rsidP="002F4315">
            <w:pPr>
              <w:jc w:val="center"/>
              <w:rPr>
                <w:rFonts w:ascii="Times New Roman" w:hAnsi="Times New Roman" w:cs="Times New Roman"/>
                <w:b/>
                <w:bCs/>
                <w:sz w:val="18"/>
                <w:szCs w:val="18"/>
              </w:rPr>
            </w:pPr>
          </w:p>
        </w:tc>
        <w:tc>
          <w:tcPr>
            <w:tcW w:w="1843" w:type="dxa"/>
          </w:tcPr>
          <w:p w14:paraId="10147962" w14:textId="7DADE965" w:rsidR="00263398" w:rsidRPr="00960ABC" w:rsidRDefault="00263398" w:rsidP="002F4315">
            <w:pPr>
              <w:jc w:val="center"/>
              <w:rPr>
                <w:rFonts w:ascii="Times New Roman" w:hAnsi="Times New Roman" w:cs="Times New Roman"/>
                <w:b/>
                <w:bCs/>
                <w:sz w:val="18"/>
                <w:szCs w:val="18"/>
              </w:rPr>
            </w:pPr>
            <w:r w:rsidRPr="00F457A5">
              <w:rPr>
                <w:rFonts w:ascii="Times New Roman" w:hAnsi="Times New Roman" w:cs="Times New Roman"/>
                <w:kern w:val="0"/>
                <w:sz w:val="18"/>
                <w:szCs w:val="18"/>
              </w:rPr>
              <w:t>(-1.37)</w:t>
            </w:r>
          </w:p>
        </w:tc>
        <w:tc>
          <w:tcPr>
            <w:tcW w:w="1989" w:type="dxa"/>
            <w:vAlign w:val="center"/>
          </w:tcPr>
          <w:p w14:paraId="7C815813" w14:textId="77777777" w:rsidR="00263398" w:rsidRPr="00960ABC" w:rsidRDefault="00263398" w:rsidP="002F4315">
            <w:pPr>
              <w:jc w:val="center"/>
              <w:rPr>
                <w:rFonts w:ascii="Times New Roman" w:hAnsi="Times New Roman" w:cs="Times New Roman"/>
                <w:b/>
                <w:bCs/>
                <w:kern w:val="0"/>
                <w:sz w:val="18"/>
                <w:szCs w:val="18"/>
              </w:rPr>
            </w:pPr>
          </w:p>
        </w:tc>
      </w:tr>
      <w:tr w:rsidR="00263398" w14:paraId="7CE532A2" w14:textId="77777777" w:rsidTr="00263398">
        <w:tc>
          <w:tcPr>
            <w:tcW w:w="3256" w:type="dxa"/>
          </w:tcPr>
          <w:p w14:paraId="2BAA90F0" w14:textId="14F421E8" w:rsidR="00263398" w:rsidRPr="00960ABC" w:rsidRDefault="00263398" w:rsidP="002F4315">
            <w:pPr>
              <w:rPr>
                <w:rFonts w:ascii="Times New Roman" w:hAnsi="Times New Roman" w:cs="Times New Roman"/>
                <w:b/>
                <w:bCs/>
                <w:sz w:val="18"/>
                <w:szCs w:val="18"/>
              </w:rPr>
            </w:pPr>
            <w:r w:rsidRPr="003959DD">
              <w:rPr>
                <w:rFonts w:ascii="Times New Roman" w:hAnsi="Times New Roman" w:cs="Times New Roman"/>
                <w:i/>
                <w:iCs/>
                <w:kern w:val="0"/>
                <w:sz w:val="18"/>
                <w:szCs w:val="18"/>
              </w:rPr>
              <w:t>INSTOWNER</w:t>
            </w:r>
          </w:p>
        </w:tc>
        <w:tc>
          <w:tcPr>
            <w:tcW w:w="2126" w:type="dxa"/>
            <w:vAlign w:val="center"/>
          </w:tcPr>
          <w:p w14:paraId="498718DC" w14:textId="48F30DB1" w:rsidR="00263398" w:rsidRPr="00960ABC" w:rsidRDefault="00263398" w:rsidP="002F4315">
            <w:pPr>
              <w:jc w:val="center"/>
              <w:rPr>
                <w:rFonts w:ascii="Times New Roman" w:hAnsi="Times New Roman" w:cs="Times New Roman"/>
                <w:b/>
                <w:bCs/>
                <w:sz w:val="18"/>
                <w:szCs w:val="18"/>
              </w:rPr>
            </w:pPr>
          </w:p>
        </w:tc>
        <w:tc>
          <w:tcPr>
            <w:tcW w:w="1843" w:type="dxa"/>
            <w:vAlign w:val="center"/>
          </w:tcPr>
          <w:p w14:paraId="5ED1894F" w14:textId="77777777" w:rsidR="00263398" w:rsidRPr="00960ABC" w:rsidRDefault="00263398" w:rsidP="002F4315">
            <w:pPr>
              <w:jc w:val="center"/>
              <w:rPr>
                <w:rFonts w:ascii="Times New Roman" w:hAnsi="Times New Roman" w:cs="Times New Roman"/>
                <w:b/>
                <w:bCs/>
                <w:sz w:val="18"/>
                <w:szCs w:val="18"/>
              </w:rPr>
            </w:pPr>
          </w:p>
        </w:tc>
        <w:tc>
          <w:tcPr>
            <w:tcW w:w="1989" w:type="dxa"/>
          </w:tcPr>
          <w:p w14:paraId="278D904A" w14:textId="44405392" w:rsidR="00263398" w:rsidRPr="00960ABC" w:rsidRDefault="00263398" w:rsidP="002F4315">
            <w:pPr>
              <w:jc w:val="center"/>
              <w:rPr>
                <w:rFonts w:ascii="Times New Roman" w:hAnsi="Times New Roman" w:cs="Times New Roman"/>
                <w:b/>
                <w:bCs/>
                <w:kern w:val="0"/>
                <w:sz w:val="18"/>
                <w:szCs w:val="18"/>
              </w:rPr>
            </w:pPr>
            <w:r w:rsidRPr="00F457A5">
              <w:rPr>
                <w:rFonts w:ascii="Times New Roman" w:hAnsi="Times New Roman" w:cs="Times New Roman"/>
                <w:kern w:val="0"/>
                <w:sz w:val="18"/>
                <w:szCs w:val="18"/>
              </w:rPr>
              <w:t>-0.0504</w:t>
            </w:r>
          </w:p>
        </w:tc>
      </w:tr>
      <w:tr w:rsidR="00263398" w14:paraId="19A4A450" w14:textId="77777777" w:rsidTr="00263398">
        <w:tc>
          <w:tcPr>
            <w:tcW w:w="3256" w:type="dxa"/>
          </w:tcPr>
          <w:p w14:paraId="7FD46330" w14:textId="77777777" w:rsidR="00263398" w:rsidRPr="00960ABC" w:rsidRDefault="00263398" w:rsidP="002F4315">
            <w:pPr>
              <w:rPr>
                <w:rFonts w:ascii="Times New Roman" w:hAnsi="Times New Roman" w:cs="Times New Roman"/>
                <w:b/>
                <w:bCs/>
                <w:sz w:val="18"/>
                <w:szCs w:val="18"/>
              </w:rPr>
            </w:pPr>
          </w:p>
        </w:tc>
        <w:tc>
          <w:tcPr>
            <w:tcW w:w="2126" w:type="dxa"/>
            <w:vAlign w:val="center"/>
          </w:tcPr>
          <w:p w14:paraId="11EE2FD6" w14:textId="7A0CE76F" w:rsidR="00263398" w:rsidRPr="00960ABC" w:rsidRDefault="00263398" w:rsidP="002F4315">
            <w:pPr>
              <w:jc w:val="center"/>
              <w:rPr>
                <w:rFonts w:ascii="Times New Roman" w:hAnsi="Times New Roman" w:cs="Times New Roman"/>
                <w:b/>
                <w:bCs/>
                <w:sz w:val="18"/>
                <w:szCs w:val="18"/>
              </w:rPr>
            </w:pPr>
          </w:p>
        </w:tc>
        <w:tc>
          <w:tcPr>
            <w:tcW w:w="1843" w:type="dxa"/>
            <w:vAlign w:val="center"/>
          </w:tcPr>
          <w:p w14:paraId="79ADE0E8" w14:textId="77777777" w:rsidR="00263398" w:rsidRPr="00960ABC" w:rsidRDefault="00263398" w:rsidP="002F4315">
            <w:pPr>
              <w:jc w:val="center"/>
              <w:rPr>
                <w:rFonts w:ascii="Times New Roman" w:hAnsi="Times New Roman" w:cs="Times New Roman"/>
                <w:b/>
                <w:bCs/>
                <w:sz w:val="18"/>
                <w:szCs w:val="18"/>
              </w:rPr>
            </w:pPr>
          </w:p>
        </w:tc>
        <w:tc>
          <w:tcPr>
            <w:tcW w:w="1989" w:type="dxa"/>
          </w:tcPr>
          <w:p w14:paraId="1E9A1F04" w14:textId="72D2F01D" w:rsidR="00263398" w:rsidRPr="00960ABC" w:rsidRDefault="00263398" w:rsidP="002F4315">
            <w:pPr>
              <w:jc w:val="center"/>
              <w:rPr>
                <w:rFonts w:ascii="Times New Roman" w:hAnsi="Times New Roman" w:cs="Times New Roman"/>
                <w:b/>
                <w:bCs/>
                <w:kern w:val="0"/>
                <w:sz w:val="18"/>
                <w:szCs w:val="18"/>
              </w:rPr>
            </w:pPr>
            <w:r w:rsidRPr="00F457A5">
              <w:rPr>
                <w:rFonts w:ascii="Times New Roman" w:hAnsi="Times New Roman" w:cs="Times New Roman"/>
                <w:kern w:val="0"/>
                <w:sz w:val="18"/>
                <w:szCs w:val="18"/>
              </w:rPr>
              <w:t>(-0.60)</w:t>
            </w:r>
          </w:p>
        </w:tc>
      </w:tr>
      <w:tr w:rsidR="00263398" w14:paraId="779CBF62" w14:textId="77777777" w:rsidTr="00263398">
        <w:tc>
          <w:tcPr>
            <w:tcW w:w="3256" w:type="dxa"/>
          </w:tcPr>
          <w:p w14:paraId="4549338C" w14:textId="539FCF20" w:rsidR="00263398" w:rsidRPr="000B7CA8" w:rsidRDefault="00263398" w:rsidP="006D78DE">
            <w:pPr>
              <w:rPr>
                <w:rFonts w:ascii="Times New Roman" w:hAnsi="Times New Roman" w:cs="Times New Roman"/>
                <w:sz w:val="18"/>
                <w:szCs w:val="18"/>
              </w:rPr>
            </w:pPr>
            <w:r>
              <w:rPr>
                <w:rFonts w:ascii="Times New Roman" w:hAnsi="Times New Roman" w:cs="Times New Roman"/>
                <w:i/>
                <w:iCs/>
                <w:sz w:val="18"/>
                <w:szCs w:val="18"/>
              </w:rPr>
              <w:t xml:space="preserve">Controls </w:t>
            </w:r>
          </w:p>
        </w:tc>
        <w:tc>
          <w:tcPr>
            <w:tcW w:w="2126" w:type="dxa"/>
            <w:vAlign w:val="center"/>
          </w:tcPr>
          <w:p w14:paraId="244B5C26" w14:textId="629F2B54"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843" w:type="dxa"/>
            <w:vAlign w:val="center"/>
          </w:tcPr>
          <w:p w14:paraId="7A1AF2EC" w14:textId="77777777"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9" w:type="dxa"/>
            <w:vAlign w:val="center"/>
          </w:tcPr>
          <w:p w14:paraId="76E62EC2" w14:textId="77777777"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263398" w14:paraId="498A4543" w14:textId="77777777" w:rsidTr="00263398">
        <w:tc>
          <w:tcPr>
            <w:tcW w:w="3256" w:type="dxa"/>
          </w:tcPr>
          <w:p w14:paraId="53671CFE" w14:textId="34D9D10C" w:rsidR="00263398" w:rsidRPr="000B7CA8" w:rsidRDefault="00263398" w:rsidP="006D78DE">
            <w:pPr>
              <w:rPr>
                <w:rFonts w:ascii="Times New Roman" w:hAnsi="Times New Roman" w:cs="Times New Roman"/>
                <w:sz w:val="18"/>
                <w:szCs w:val="18"/>
              </w:rPr>
            </w:pPr>
            <w:r w:rsidRPr="004775DC">
              <w:rPr>
                <w:rFonts w:ascii="Times New Roman" w:hAnsi="Times New Roman" w:cs="Times New Roman"/>
                <w:i/>
                <w:iCs/>
                <w:sz w:val="18"/>
                <w:szCs w:val="18"/>
              </w:rPr>
              <w:t>Industry fixed</w:t>
            </w:r>
            <w:r>
              <w:rPr>
                <w:rFonts w:ascii="Times New Roman" w:hAnsi="Times New Roman" w:cs="Times New Roman"/>
                <w:i/>
                <w:iCs/>
                <w:sz w:val="18"/>
                <w:szCs w:val="18"/>
              </w:rPr>
              <w:t xml:space="preserve"> </w:t>
            </w:r>
            <w:r w:rsidRPr="004775DC">
              <w:rPr>
                <w:rFonts w:ascii="Times New Roman" w:hAnsi="Times New Roman" w:cs="Times New Roman"/>
                <w:i/>
                <w:iCs/>
                <w:sz w:val="18"/>
                <w:szCs w:val="18"/>
              </w:rPr>
              <w:t>effect</w:t>
            </w:r>
          </w:p>
        </w:tc>
        <w:tc>
          <w:tcPr>
            <w:tcW w:w="2126" w:type="dxa"/>
            <w:vAlign w:val="center"/>
          </w:tcPr>
          <w:p w14:paraId="35D028FF" w14:textId="0A45F150"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843" w:type="dxa"/>
            <w:vAlign w:val="center"/>
          </w:tcPr>
          <w:p w14:paraId="0DC1879F" w14:textId="77777777"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9" w:type="dxa"/>
            <w:vAlign w:val="center"/>
          </w:tcPr>
          <w:p w14:paraId="547C8F17" w14:textId="77777777"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263398" w14:paraId="071859B8" w14:textId="77777777" w:rsidTr="00263398">
        <w:tc>
          <w:tcPr>
            <w:tcW w:w="3256" w:type="dxa"/>
          </w:tcPr>
          <w:p w14:paraId="5890085C" w14:textId="23358BB5" w:rsidR="00263398" w:rsidRPr="000B7CA8" w:rsidRDefault="00263398" w:rsidP="006D78DE">
            <w:pPr>
              <w:rPr>
                <w:rFonts w:ascii="Times New Roman" w:hAnsi="Times New Roman" w:cs="Times New Roman"/>
                <w:sz w:val="18"/>
                <w:szCs w:val="18"/>
              </w:rPr>
            </w:pPr>
            <w:r w:rsidRPr="004775DC">
              <w:rPr>
                <w:rFonts w:ascii="Times New Roman" w:hAnsi="Times New Roman" w:cs="Times New Roman"/>
                <w:i/>
                <w:iCs/>
                <w:sz w:val="18"/>
                <w:szCs w:val="18"/>
              </w:rPr>
              <w:t>Year fixed</w:t>
            </w:r>
            <w:r>
              <w:rPr>
                <w:rFonts w:ascii="Times New Roman" w:hAnsi="Times New Roman" w:cs="Times New Roman"/>
                <w:i/>
                <w:iCs/>
                <w:sz w:val="18"/>
                <w:szCs w:val="18"/>
              </w:rPr>
              <w:t xml:space="preserve"> </w:t>
            </w:r>
            <w:r w:rsidRPr="004775DC">
              <w:rPr>
                <w:rFonts w:ascii="Times New Roman" w:hAnsi="Times New Roman" w:cs="Times New Roman"/>
                <w:i/>
                <w:iCs/>
                <w:sz w:val="18"/>
                <w:szCs w:val="18"/>
              </w:rPr>
              <w:t>effect</w:t>
            </w:r>
          </w:p>
        </w:tc>
        <w:tc>
          <w:tcPr>
            <w:tcW w:w="2126" w:type="dxa"/>
            <w:vAlign w:val="center"/>
          </w:tcPr>
          <w:p w14:paraId="289D9647" w14:textId="1C2F90A6"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843" w:type="dxa"/>
            <w:vAlign w:val="center"/>
          </w:tcPr>
          <w:p w14:paraId="409AE800" w14:textId="77777777"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c>
          <w:tcPr>
            <w:tcW w:w="1989" w:type="dxa"/>
            <w:vAlign w:val="center"/>
          </w:tcPr>
          <w:p w14:paraId="11C32969" w14:textId="77777777" w:rsidR="00263398" w:rsidRPr="000B7CA8" w:rsidRDefault="00263398"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263398" w14:paraId="6B42D5D7" w14:textId="77777777" w:rsidTr="00263398">
        <w:tc>
          <w:tcPr>
            <w:tcW w:w="3256" w:type="dxa"/>
          </w:tcPr>
          <w:p w14:paraId="4C36A0A4" w14:textId="583D6A21" w:rsidR="00263398" w:rsidRPr="000B7CA8" w:rsidRDefault="00263398" w:rsidP="006D78DE">
            <w:pPr>
              <w:rPr>
                <w:rFonts w:ascii="Times New Roman" w:hAnsi="Times New Roman" w:cs="Times New Roman"/>
                <w:sz w:val="18"/>
                <w:szCs w:val="18"/>
              </w:rPr>
            </w:pPr>
            <w:r w:rsidRPr="004775DC">
              <w:rPr>
                <w:rFonts w:ascii="Times New Roman" w:hAnsi="Times New Roman" w:cs="Times New Roman"/>
                <w:i/>
                <w:iCs/>
                <w:sz w:val="18"/>
                <w:szCs w:val="18"/>
              </w:rPr>
              <w:t>N</w:t>
            </w:r>
          </w:p>
        </w:tc>
        <w:tc>
          <w:tcPr>
            <w:tcW w:w="2126" w:type="dxa"/>
            <w:vAlign w:val="center"/>
          </w:tcPr>
          <w:p w14:paraId="66BD8147" w14:textId="47ED2885" w:rsidR="00263398" w:rsidRPr="000B7CA8" w:rsidRDefault="00263398" w:rsidP="006D78DE">
            <w:pPr>
              <w:jc w:val="center"/>
              <w:rPr>
                <w:rFonts w:ascii="Times New Roman" w:hAnsi="Times New Roman" w:cs="Times New Roman"/>
                <w:sz w:val="18"/>
                <w:szCs w:val="18"/>
              </w:rPr>
            </w:pPr>
            <w:r w:rsidRPr="00B961D9">
              <w:rPr>
                <w:rFonts w:ascii="Times New Roman" w:hAnsi="Times New Roman" w:cs="Times New Roman"/>
                <w:kern w:val="0"/>
                <w:sz w:val="18"/>
                <w:szCs w:val="18"/>
              </w:rPr>
              <w:t>526</w:t>
            </w:r>
          </w:p>
        </w:tc>
        <w:tc>
          <w:tcPr>
            <w:tcW w:w="1843" w:type="dxa"/>
            <w:vAlign w:val="center"/>
          </w:tcPr>
          <w:p w14:paraId="0F15687F" w14:textId="77777777" w:rsidR="00263398" w:rsidRPr="000B7CA8" w:rsidRDefault="00263398" w:rsidP="006D78DE">
            <w:pPr>
              <w:jc w:val="center"/>
              <w:rPr>
                <w:rFonts w:ascii="Times New Roman" w:hAnsi="Times New Roman" w:cs="Times New Roman"/>
                <w:sz w:val="18"/>
                <w:szCs w:val="18"/>
              </w:rPr>
            </w:pPr>
            <w:r w:rsidRPr="00F457A5">
              <w:rPr>
                <w:rFonts w:ascii="Times New Roman" w:hAnsi="Times New Roman" w:cs="Times New Roman"/>
                <w:kern w:val="0"/>
                <w:sz w:val="18"/>
                <w:szCs w:val="18"/>
              </w:rPr>
              <w:t>526</w:t>
            </w:r>
          </w:p>
        </w:tc>
        <w:tc>
          <w:tcPr>
            <w:tcW w:w="1989" w:type="dxa"/>
            <w:vAlign w:val="center"/>
          </w:tcPr>
          <w:p w14:paraId="43569299" w14:textId="77777777" w:rsidR="00263398" w:rsidRPr="000B7CA8" w:rsidRDefault="00263398" w:rsidP="006D78DE">
            <w:pPr>
              <w:jc w:val="center"/>
              <w:rPr>
                <w:rFonts w:ascii="Times New Roman" w:hAnsi="Times New Roman" w:cs="Times New Roman"/>
                <w:sz w:val="18"/>
                <w:szCs w:val="18"/>
              </w:rPr>
            </w:pPr>
            <w:r w:rsidRPr="00F457A5">
              <w:rPr>
                <w:rFonts w:ascii="Times New Roman" w:hAnsi="Times New Roman" w:cs="Times New Roman"/>
                <w:kern w:val="0"/>
                <w:sz w:val="18"/>
                <w:szCs w:val="18"/>
              </w:rPr>
              <w:t>526</w:t>
            </w:r>
          </w:p>
        </w:tc>
      </w:tr>
      <w:tr w:rsidR="00263398" w14:paraId="208F4B91" w14:textId="77777777" w:rsidTr="00263398">
        <w:tc>
          <w:tcPr>
            <w:tcW w:w="3256" w:type="dxa"/>
            <w:tcBorders>
              <w:bottom w:val="single" w:sz="6" w:space="0" w:color="auto"/>
            </w:tcBorders>
          </w:tcPr>
          <w:p w14:paraId="7E128646" w14:textId="471D69DA" w:rsidR="00263398" w:rsidRPr="000B7CA8" w:rsidRDefault="00263398" w:rsidP="006D78DE">
            <w:pPr>
              <w:rPr>
                <w:rFonts w:ascii="Times New Roman" w:hAnsi="Times New Roman" w:cs="Times New Roman"/>
                <w:sz w:val="18"/>
                <w:szCs w:val="18"/>
              </w:rPr>
            </w:pPr>
            <w:r w:rsidRPr="004775DC">
              <w:rPr>
                <w:rFonts w:ascii="Times New Roman" w:hAnsi="Times New Roman" w:cs="Times New Roman"/>
                <w:i/>
                <w:iCs/>
                <w:color w:val="000000"/>
                <w:sz w:val="18"/>
                <w:szCs w:val="18"/>
              </w:rPr>
              <w:t>Adjusted R</w:t>
            </w:r>
            <w:r w:rsidRPr="004775DC">
              <w:rPr>
                <w:rFonts w:ascii="Times New Roman" w:hAnsi="Times New Roman" w:cs="Times New Roman"/>
                <w:i/>
                <w:iCs/>
                <w:color w:val="000000"/>
                <w:sz w:val="18"/>
                <w:szCs w:val="18"/>
                <w:vertAlign w:val="superscript"/>
              </w:rPr>
              <w:t>2</w:t>
            </w:r>
          </w:p>
        </w:tc>
        <w:tc>
          <w:tcPr>
            <w:tcW w:w="2126" w:type="dxa"/>
            <w:tcBorders>
              <w:bottom w:val="single" w:sz="6" w:space="0" w:color="auto"/>
            </w:tcBorders>
            <w:vAlign w:val="center"/>
          </w:tcPr>
          <w:p w14:paraId="27B61E4C" w14:textId="5A048492" w:rsidR="00263398" w:rsidRPr="000B7CA8" w:rsidRDefault="00263398" w:rsidP="006D78DE">
            <w:pPr>
              <w:jc w:val="center"/>
              <w:rPr>
                <w:rFonts w:ascii="Times New Roman" w:hAnsi="Times New Roman" w:cs="Times New Roman"/>
                <w:sz w:val="18"/>
                <w:szCs w:val="18"/>
              </w:rPr>
            </w:pPr>
            <w:r w:rsidRPr="00B4539E">
              <w:rPr>
                <w:rFonts w:ascii="Times New Roman" w:hAnsi="Times New Roman" w:cs="Times New Roman"/>
                <w:kern w:val="0"/>
                <w:sz w:val="18"/>
                <w:szCs w:val="18"/>
              </w:rPr>
              <w:t>0.67</w:t>
            </w:r>
            <w:r>
              <w:rPr>
                <w:rFonts w:ascii="Times New Roman" w:hAnsi="Times New Roman" w:cs="Times New Roman"/>
                <w:kern w:val="0"/>
                <w:sz w:val="18"/>
                <w:szCs w:val="18"/>
              </w:rPr>
              <w:t>4</w:t>
            </w:r>
          </w:p>
        </w:tc>
        <w:tc>
          <w:tcPr>
            <w:tcW w:w="1843" w:type="dxa"/>
            <w:tcBorders>
              <w:bottom w:val="single" w:sz="6" w:space="0" w:color="auto"/>
            </w:tcBorders>
            <w:vAlign w:val="center"/>
          </w:tcPr>
          <w:p w14:paraId="10B50E9F" w14:textId="77777777" w:rsidR="00263398" w:rsidRPr="000B7CA8" w:rsidRDefault="00263398" w:rsidP="006D78DE">
            <w:pPr>
              <w:jc w:val="center"/>
              <w:rPr>
                <w:rFonts w:ascii="Times New Roman" w:hAnsi="Times New Roman" w:cs="Times New Roman"/>
                <w:sz w:val="18"/>
                <w:szCs w:val="18"/>
              </w:rPr>
            </w:pPr>
            <w:r w:rsidRPr="00F457A5">
              <w:rPr>
                <w:rFonts w:ascii="Times New Roman" w:hAnsi="Times New Roman" w:cs="Times New Roman"/>
                <w:kern w:val="0"/>
                <w:sz w:val="18"/>
                <w:szCs w:val="18"/>
              </w:rPr>
              <w:t>0.675</w:t>
            </w:r>
          </w:p>
        </w:tc>
        <w:tc>
          <w:tcPr>
            <w:tcW w:w="1989" w:type="dxa"/>
            <w:tcBorders>
              <w:bottom w:val="single" w:sz="6" w:space="0" w:color="auto"/>
            </w:tcBorders>
            <w:vAlign w:val="center"/>
          </w:tcPr>
          <w:p w14:paraId="0CFEA868" w14:textId="77777777" w:rsidR="00263398" w:rsidRPr="000B7CA8" w:rsidRDefault="00263398" w:rsidP="006D78DE">
            <w:pPr>
              <w:jc w:val="center"/>
              <w:rPr>
                <w:rFonts w:ascii="Times New Roman" w:hAnsi="Times New Roman" w:cs="Times New Roman"/>
                <w:sz w:val="18"/>
                <w:szCs w:val="18"/>
              </w:rPr>
            </w:pPr>
            <w:r w:rsidRPr="00F457A5">
              <w:rPr>
                <w:rFonts w:ascii="Times New Roman" w:hAnsi="Times New Roman" w:cs="Times New Roman"/>
                <w:kern w:val="0"/>
                <w:sz w:val="18"/>
                <w:szCs w:val="18"/>
              </w:rPr>
              <w:t>0.673</w:t>
            </w:r>
          </w:p>
        </w:tc>
      </w:tr>
      <w:tr w:rsidR="005F0E39" w14:paraId="62AFA400" w14:textId="77777777" w:rsidTr="00263398">
        <w:tc>
          <w:tcPr>
            <w:tcW w:w="9214" w:type="dxa"/>
            <w:gridSpan w:val="4"/>
          </w:tcPr>
          <w:p w14:paraId="3452AC7A" w14:textId="7032BAC1" w:rsidR="005F0E39" w:rsidRPr="000B7CA8" w:rsidRDefault="005F0E39" w:rsidP="006D78DE">
            <w:pPr>
              <w:rPr>
                <w:rFonts w:ascii="Times New Roman" w:hAnsi="Times New Roman" w:cs="Times New Roman"/>
                <w:sz w:val="18"/>
                <w:szCs w:val="18"/>
              </w:rPr>
            </w:pPr>
            <w:r w:rsidRPr="007F6189">
              <w:rPr>
                <w:rFonts w:ascii="Times New Roman" w:hAnsi="Times New Roman" w:cs="Times New Roman"/>
                <w:color w:val="000000"/>
                <w:sz w:val="20"/>
                <w:szCs w:val="20"/>
              </w:rPr>
              <w:t>Notes: This table presents the results which test the role of AC chair disclosure and external monitoring mechanisms in shaping the association between AC chair narcissism and the quality of non-IFRS disclosure.</w:t>
            </w:r>
            <w:r w:rsidR="002F4315" w:rsidRPr="007F6189">
              <w:rPr>
                <w:rFonts w:ascii="Times New Roman" w:hAnsi="Times New Roman" w:cs="Times New Roman"/>
                <w:color w:val="000000"/>
                <w:sz w:val="20"/>
                <w:szCs w:val="20"/>
              </w:rPr>
              <w:t xml:space="preserve"> The dependent variable in column (1) – (3) is </w:t>
            </w:r>
            <w:r w:rsidR="002F4315" w:rsidRPr="007F6189">
              <w:rPr>
                <w:rFonts w:ascii="Times New Roman" w:hAnsi="Times New Roman" w:cs="Times New Roman"/>
                <w:i/>
                <w:iCs/>
                <w:color w:val="000000"/>
                <w:sz w:val="20"/>
                <w:szCs w:val="20"/>
              </w:rPr>
              <w:t>IFRSEPS</w:t>
            </w:r>
            <w:r w:rsidR="002F4315" w:rsidRPr="007F6189">
              <w:rPr>
                <w:rFonts w:ascii="Times New Roman" w:hAnsi="Times New Roman" w:cs="Times New Roman"/>
                <w:i/>
                <w:iCs/>
                <w:color w:val="000000"/>
                <w:sz w:val="20"/>
                <w:szCs w:val="20"/>
                <w:vertAlign w:val="subscript"/>
              </w:rPr>
              <w:t>t+1</w:t>
            </w:r>
            <w:r w:rsidR="002F4315" w:rsidRPr="007F6189">
              <w:rPr>
                <w:rFonts w:ascii="Times New Roman" w:hAnsi="Times New Roman" w:cs="Times New Roman"/>
                <w:color w:val="000000"/>
                <w:sz w:val="20"/>
                <w:szCs w:val="20"/>
              </w:rPr>
              <w:t xml:space="preserve">. </w:t>
            </w:r>
            <w:r w:rsidRPr="007F6189">
              <w:rPr>
                <w:rFonts w:ascii="Times New Roman" w:hAnsi="Times New Roman" w:cs="Times New Roman"/>
                <w:color w:val="000000"/>
                <w:sz w:val="20"/>
                <w:szCs w:val="20"/>
              </w:rPr>
              <w:t>The coefficient</w:t>
            </w:r>
            <w:r w:rsidR="002F4315" w:rsidRPr="007F6189">
              <w:rPr>
                <w:rFonts w:ascii="Times New Roman" w:hAnsi="Times New Roman" w:cs="Times New Roman"/>
                <w:color w:val="000000"/>
                <w:sz w:val="20"/>
                <w:szCs w:val="20"/>
              </w:rPr>
              <w:t>s</w:t>
            </w:r>
            <w:r w:rsidRPr="007F6189">
              <w:rPr>
                <w:rFonts w:ascii="Times New Roman" w:hAnsi="Times New Roman" w:cs="Times New Roman"/>
                <w:color w:val="000000"/>
                <w:sz w:val="20"/>
                <w:szCs w:val="20"/>
              </w:rPr>
              <w:t xml:space="preserve"> of interest </w:t>
            </w:r>
            <w:r w:rsidR="002F4315" w:rsidRPr="007F6189">
              <w:rPr>
                <w:rFonts w:ascii="Times New Roman" w:hAnsi="Times New Roman" w:cs="Times New Roman"/>
                <w:color w:val="000000"/>
                <w:sz w:val="20"/>
                <w:szCs w:val="20"/>
              </w:rPr>
              <w:t xml:space="preserve">are </w:t>
            </w:r>
            <w:r w:rsidRPr="007F6189">
              <w:rPr>
                <w:rFonts w:ascii="Times New Roman" w:hAnsi="Times New Roman" w:cs="Times New Roman"/>
                <w:color w:val="000000"/>
                <w:sz w:val="20"/>
                <w:szCs w:val="20"/>
              </w:rPr>
              <w:t xml:space="preserve">shown in bold. The </w:t>
            </w:r>
            <w:r w:rsidRPr="007F6189">
              <w:rPr>
                <w:rFonts w:ascii="Times New Roman" w:hAnsi="Times New Roman" w:cs="Times New Roman"/>
                <w:color w:val="000000"/>
                <w:sz w:val="20"/>
              </w:rPr>
              <w:t xml:space="preserve">t-statistics are reported in parentheses. </w:t>
            </w:r>
            <w:r w:rsidRPr="007F6189">
              <w:rPr>
                <w:rFonts w:ascii="Times New Roman" w:hAnsi="Times New Roman" w:cs="Times New Roman"/>
                <w:color w:val="000000"/>
                <w:sz w:val="20"/>
                <w:szCs w:val="20"/>
              </w:rPr>
              <w:t xml:space="preserve">Control variables are omitted for brevity. *, **, and *** indicate statistical significance at the 10%, 5%, and 1% levels, respectively. All continuous variables are </w:t>
            </w:r>
            <w:proofErr w:type="spellStart"/>
            <w:r w:rsidRPr="007F6189">
              <w:rPr>
                <w:rFonts w:ascii="Times New Roman" w:hAnsi="Times New Roman" w:cs="Times New Roman"/>
                <w:color w:val="000000"/>
                <w:sz w:val="20"/>
                <w:szCs w:val="20"/>
              </w:rPr>
              <w:t>winsorized</w:t>
            </w:r>
            <w:proofErr w:type="spellEnd"/>
            <w:r w:rsidRPr="007F6189">
              <w:rPr>
                <w:rFonts w:ascii="Times New Roman" w:hAnsi="Times New Roman" w:cs="Times New Roman"/>
                <w:color w:val="000000"/>
                <w:sz w:val="20"/>
                <w:szCs w:val="20"/>
              </w:rPr>
              <w:t xml:space="preserve"> at 1% and 99% levels. Standard errors are clustered by firm. Variables are defined in Appendix A.</w:t>
            </w:r>
          </w:p>
        </w:tc>
      </w:tr>
    </w:tbl>
    <w:p w14:paraId="72774A1A" w14:textId="77777777" w:rsidR="005F0E39" w:rsidRDefault="005F0E39" w:rsidP="0091178F"/>
    <w:p w14:paraId="5A16561E" w14:textId="2404E06B" w:rsidR="005F0E39" w:rsidRDefault="005F0E39" w:rsidP="0091178F"/>
    <w:p w14:paraId="6A22404F" w14:textId="77777777" w:rsidR="005F0E39" w:rsidRDefault="005F0E39">
      <w:pPr>
        <w:widowControl/>
        <w:spacing w:after="160" w:line="259" w:lineRule="auto"/>
        <w:jc w:val="left"/>
      </w:pPr>
      <w:r>
        <w:br w:type="page"/>
      </w:r>
    </w:p>
    <w:p w14:paraId="0ABD8786" w14:textId="77777777" w:rsidR="005F0E39" w:rsidRDefault="005F0E39" w:rsidP="009117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35"/>
        <w:gridCol w:w="567"/>
        <w:gridCol w:w="2636"/>
      </w:tblGrid>
      <w:tr w:rsidR="005F0E39" w14:paraId="68B6A58C" w14:textId="77777777" w:rsidTr="00437634">
        <w:tc>
          <w:tcPr>
            <w:tcW w:w="9010" w:type="dxa"/>
            <w:gridSpan w:val="4"/>
            <w:tcBorders>
              <w:bottom w:val="single" w:sz="6" w:space="0" w:color="auto"/>
            </w:tcBorders>
          </w:tcPr>
          <w:p w14:paraId="6520A4A5" w14:textId="77777777" w:rsidR="005F0E39" w:rsidRPr="007F6189" w:rsidRDefault="005F0E39" w:rsidP="006D78DE">
            <w:pPr>
              <w:rPr>
                <w:rFonts w:ascii="Times New Roman" w:hAnsi="Times New Roman" w:cs="Times New Roman"/>
                <w:b/>
                <w:bCs/>
                <w:sz w:val="20"/>
                <w:szCs w:val="20"/>
              </w:rPr>
            </w:pPr>
            <w:r w:rsidRPr="007F6189">
              <w:rPr>
                <w:rFonts w:ascii="Times New Roman" w:hAnsi="Times New Roman" w:cs="Times New Roman"/>
                <w:b/>
                <w:bCs/>
                <w:sz w:val="20"/>
                <w:szCs w:val="20"/>
              </w:rPr>
              <w:t>Table 8</w:t>
            </w:r>
          </w:p>
          <w:p w14:paraId="305930EC" w14:textId="731D8CA7" w:rsidR="005F0E39" w:rsidRPr="009D62BB" w:rsidRDefault="005F0E39" w:rsidP="006D78DE">
            <w:pPr>
              <w:rPr>
                <w:rFonts w:ascii="Times New Roman" w:hAnsi="Times New Roman" w:cs="Times New Roman"/>
                <w:sz w:val="18"/>
                <w:szCs w:val="18"/>
              </w:rPr>
            </w:pPr>
            <w:r w:rsidRPr="007F6189">
              <w:rPr>
                <w:rFonts w:ascii="Times New Roman" w:hAnsi="Times New Roman" w:cs="Times New Roman"/>
                <w:sz w:val="20"/>
                <w:szCs w:val="20"/>
              </w:rPr>
              <w:t>Endogeneity tests</w:t>
            </w:r>
            <w:r w:rsidR="00A97628">
              <w:rPr>
                <w:rFonts w:ascii="Times New Roman" w:hAnsi="Times New Roman" w:cs="Times New Roman"/>
                <w:sz w:val="20"/>
                <w:szCs w:val="20"/>
              </w:rPr>
              <w:t>.</w:t>
            </w:r>
          </w:p>
        </w:tc>
      </w:tr>
      <w:tr w:rsidR="003B0BB2" w14:paraId="51E35D39" w14:textId="77777777" w:rsidTr="00437634">
        <w:trPr>
          <w:trHeight w:val="50"/>
        </w:trPr>
        <w:tc>
          <w:tcPr>
            <w:tcW w:w="2972" w:type="dxa"/>
            <w:vMerge w:val="restart"/>
            <w:tcBorders>
              <w:top w:val="single" w:sz="6" w:space="0" w:color="auto"/>
            </w:tcBorders>
            <w:vAlign w:val="center"/>
          </w:tcPr>
          <w:p w14:paraId="41F9E791" w14:textId="77777777" w:rsidR="003B0BB2" w:rsidRPr="009D62BB" w:rsidRDefault="003B0BB2" w:rsidP="006D78DE">
            <w:pPr>
              <w:jc w:val="left"/>
              <w:rPr>
                <w:rFonts w:ascii="Times New Roman" w:hAnsi="Times New Roman" w:cs="Times New Roman"/>
                <w:sz w:val="18"/>
                <w:szCs w:val="18"/>
              </w:rPr>
            </w:pPr>
            <w:r w:rsidRPr="009D62BB">
              <w:rPr>
                <w:rFonts w:ascii="Times New Roman" w:hAnsi="Times New Roman" w:cs="Times New Roman"/>
                <w:sz w:val="18"/>
                <w:szCs w:val="18"/>
              </w:rPr>
              <w:t xml:space="preserve">Variables </w:t>
            </w:r>
          </w:p>
        </w:tc>
        <w:tc>
          <w:tcPr>
            <w:tcW w:w="2835" w:type="dxa"/>
            <w:tcBorders>
              <w:top w:val="single" w:sz="6" w:space="0" w:color="auto"/>
            </w:tcBorders>
            <w:vAlign w:val="center"/>
          </w:tcPr>
          <w:p w14:paraId="276B05C7" w14:textId="1745B895" w:rsidR="003B0BB2" w:rsidRPr="009D62BB" w:rsidRDefault="00263398" w:rsidP="006D78DE">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6" w:space="0" w:color="auto"/>
            </w:tcBorders>
            <w:vAlign w:val="center"/>
          </w:tcPr>
          <w:p w14:paraId="6BC88BBF" w14:textId="30898974" w:rsidR="003B0BB2" w:rsidRPr="009D62BB" w:rsidRDefault="003B0BB2" w:rsidP="006D78DE">
            <w:pPr>
              <w:jc w:val="center"/>
              <w:rPr>
                <w:rFonts w:ascii="Times New Roman" w:hAnsi="Times New Roman" w:cs="Times New Roman"/>
                <w:sz w:val="18"/>
                <w:szCs w:val="18"/>
              </w:rPr>
            </w:pPr>
          </w:p>
        </w:tc>
        <w:tc>
          <w:tcPr>
            <w:tcW w:w="2636" w:type="dxa"/>
            <w:tcBorders>
              <w:top w:val="single" w:sz="6" w:space="0" w:color="auto"/>
            </w:tcBorders>
            <w:vAlign w:val="center"/>
          </w:tcPr>
          <w:p w14:paraId="387DEC69" w14:textId="2250E434" w:rsidR="003B0BB2" w:rsidRPr="009D62BB" w:rsidRDefault="00263398" w:rsidP="006D78DE">
            <w:pPr>
              <w:jc w:val="center"/>
              <w:rPr>
                <w:rFonts w:ascii="Times New Roman" w:hAnsi="Times New Roman" w:cs="Times New Roman"/>
                <w:sz w:val="18"/>
                <w:szCs w:val="18"/>
              </w:rPr>
            </w:pPr>
            <w:r>
              <w:rPr>
                <w:rFonts w:ascii="Times New Roman" w:hAnsi="Times New Roman" w:cs="Times New Roman"/>
                <w:sz w:val="18"/>
                <w:szCs w:val="18"/>
              </w:rPr>
              <w:t>(2)</w:t>
            </w:r>
          </w:p>
        </w:tc>
      </w:tr>
      <w:tr w:rsidR="003B0BB2" w14:paraId="30A4D2C8" w14:textId="77777777" w:rsidTr="00437634">
        <w:trPr>
          <w:trHeight w:val="50"/>
        </w:trPr>
        <w:tc>
          <w:tcPr>
            <w:tcW w:w="2972" w:type="dxa"/>
            <w:vMerge/>
            <w:tcBorders>
              <w:bottom w:val="single" w:sz="6" w:space="0" w:color="auto"/>
            </w:tcBorders>
          </w:tcPr>
          <w:p w14:paraId="1A7C2ED3" w14:textId="77777777" w:rsidR="003B0BB2" w:rsidRPr="009D62BB" w:rsidRDefault="003B0BB2" w:rsidP="006D78DE">
            <w:pPr>
              <w:rPr>
                <w:rFonts w:ascii="Times New Roman" w:hAnsi="Times New Roman" w:cs="Times New Roman"/>
                <w:sz w:val="18"/>
                <w:szCs w:val="18"/>
              </w:rPr>
            </w:pPr>
          </w:p>
        </w:tc>
        <w:tc>
          <w:tcPr>
            <w:tcW w:w="2835" w:type="dxa"/>
            <w:tcBorders>
              <w:bottom w:val="single" w:sz="6" w:space="0" w:color="auto"/>
            </w:tcBorders>
            <w:vAlign w:val="center"/>
          </w:tcPr>
          <w:p w14:paraId="2A1E14D6" w14:textId="68C6F9AD" w:rsidR="003B0BB2" w:rsidRDefault="00263398" w:rsidP="006D78DE">
            <w:pPr>
              <w:jc w:val="center"/>
              <w:rPr>
                <w:rFonts w:ascii="Times New Roman" w:hAnsi="Times New Roman" w:cs="Times New Roman"/>
                <w:sz w:val="18"/>
                <w:szCs w:val="18"/>
              </w:rPr>
            </w:pPr>
            <w:r>
              <w:rPr>
                <w:rFonts w:ascii="Times New Roman" w:hAnsi="Times New Roman" w:cs="Times New Roman"/>
                <w:sz w:val="18"/>
                <w:szCs w:val="18"/>
              </w:rPr>
              <w:t>PSM</w:t>
            </w:r>
          </w:p>
        </w:tc>
        <w:tc>
          <w:tcPr>
            <w:tcW w:w="567" w:type="dxa"/>
            <w:tcBorders>
              <w:bottom w:val="single" w:sz="6" w:space="0" w:color="auto"/>
            </w:tcBorders>
            <w:vAlign w:val="center"/>
          </w:tcPr>
          <w:p w14:paraId="291D0356" w14:textId="1FD42F0F" w:rsidR="003B0BB2" w:rsidRDefault="003B0BB2" w:rsidP="006D78DE">
            <w:pPr>
              <w:jc w:val="center"/>
              <w:rPr>
                <w:rFonts w:ascii="Times New Roman" w:hAnsi="Times New Roman" w:cs="Times New Roman"/>
                <w:sz w:val="18"/>
                <w:szCs w:val="18"/>
              </w:rPr>
            </w:pPr>
          </w:p>
        </w:tc>
        <w:tc>
          <w:tcPr>
            <w:tcW w:w="2636" w:type="dxa"/>
            <w:tcBorders>
              <w:bottom w:val="single" w:sz="6" w:space="0" w:color="auto"/>
            </w:tcBorders>
            <w:vAlign w:val="center"/>
          </w:tcPr>
          <w:p w14:paraId="5915B3F0" w14:textId="144F6E05" w:rsidR="003B0BB2" w:rsidRDefault="00263398" w:rsidP="006D78DE">
            <w:pPr>
              <w:jc w:val="center"/>
              <w:rPr>
                <w:rFonts w:ascii="Times New Roman" w:hAnsi="Times New Roman" w:cs="Times New Roman"/>
                <w:sz w:val="18"/>
                <w:szCs w:val="18"/>
              </w:rPr>
            </w:pPr>
            <w:r>
              <w:rPr>
                <w:rFonts w:ascii="Times New Roman" w:hAnsi="Times New Roman" w:cs="Times New Roman"/>
                <w:sz w:val="18"/>
                <w:szCs w:val="18"/>
              </w:rPr>
              <w:t>GMM</w:t>
            </w:r>
          </w:p>
        </w:tc>
      </w:tr>
      <w:tr w:rsidR="003B0BB2" w14:paraId="06389996" w14:textId="77777777" w:rsidTr="00437634">
        <w:tc>
          <w:tcPr>
            <w:tcW w:w="2972" w:type="dxa"/>
            <w:tcBorders>
              <w:top w:val="single" w:sz="6" w:space="0" w:color="auto"/>
            </w:tcBorders>
          </w:tcPr>
          <w:p w14:paraId="3E371F45" w14:textId="00829EEA" w:rsidR="003B0BB2" w:rsidRPr="009D62BB" w:rsidRDefault="003B0BB2" w:rsidP="006D78DE">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NONIFRS</w:t>
            </w:r>
          </w:p>
        </w:tc>
        <w:tc>
          <w:tcPr>
            <w:tcW w:w="2835" w:type="dxa"/>
            <w:tcBorders>
              <w:top w:val="single" w:sz="6" w:space="0" w:color="auto"/>
            </w:tcBorders>
            <w:vAlign w:val="center"/>
          </w:tcPr>
          <w:p w14:paraId="0BFDF3B1" w14:textId="77777777" w:rsidR="003B0BB2" w:rsidRPr="009D62BB" w:rsidRDefault="003B0BB2" w:rsidP="006D78DE">
            <w:pPr>
              <w:jc w:val="center"/>
              <w:rPr>
                <w:rFonts w:ascii="Times New Roman" w:hAnsi="Times New Roman" w:cs="Times New Roman"/>
                <w:sz w:val="18"/>
                <w:szCs w:val="18"/>
              </w:rPr>
            </w:pPr>
            <w:r w:rsidRPr="006F5E48">
              <w:rPr>
                <w:rFonts w:ascii="Times New Roman" w:hAnsi="Times New Roman" w:cs="Times New Roman"/>
                <w:sz w:val="18"/>
                <w:szCs w:val="18"/>
              </w:rPr>
              <w:t>0.916***</w:t>
            </w:r>
          </w:p>
        </w:tc>
        <w:tc>
          <w:tcPr>
            <w:tcW w:w="567" w:type="dxa"/>
            <w:tcBorders>
              <w:top w:val="single" w:sz="6" w:space="0" w:color="auto"/>
            </w:tcBorders>
            <w:vAlign w:val="center"/>
          </w:tcPr>
          <w:p w14:paraId="63B76106" w14:textId="0FF02D13" w:rsidR="003B0BB2" w:rsidRPr="009D62BB" w:rsidRDefault="003B0BB2" w:rsidP="006D78DE">
            <w:pPr>
              <w:jc w:val="center"/>
              <w:rPr>
                <w:rFonts w:ascii="Times New Roman" w:hAnsi="Times New Roman" w:cs="Times New Roman"/>
                <w:sz w:val="18"/>
                <w:szCs w:val="18"/>
              </w:rPr>
            </w:pPr>
          </w:p>
        </w:tc>
        <w:tc>
          <w:tcPr>
            <w:tcW w:w="2636" w:type="dxa"/>
            <w:tcBorders>
              <w:top w:val="single" w:sz="6" w:space="0" w:color="auto"/>
            </w:tcBorders>
            <w:vAlign w:val="center"/>
          </w:tcPr>
          <w:p w14:paraId="0D11FD8C" w14:textId="77777777" w:rsidR="003B0BB2" w:rsidRPr="009D62BB" w:rsidRDefault="003B0BB2" w:rsidP="006D78DE">
            <w:pPr>
              <w:jc w:val="center"/>
              <w:rPr>
                <w:rFonts w:ascii="Times New Roman" w:hAnsi="Times New Roman" w:cs="Times New Roman"/>
                <w:sz w:val="18"/>
                <w:szCs w:val="18"/>
              </w:rPr>
            </w:pPr>
            <w:r w:rsidRPr="00A8060A">
              <w:rPr>
                <w:rFonts w:ascii="Times New Roman" w:hAnsi="Times New Roman" w:cs="Times New Roman"/>
                <w:sz w:val="18"/>
                <w:szCs w:val="18"/>
              </w:rPr>
              <w:t>0.471*</w:t>
            </w:r>
          </w:p>
        </w:tc>
      </w:tr>
      <w:tr w:rsidR="003B0BB2" w14:paraId="6604B2FA" w14:textId="77777777" w:rsidTr="00437634">
        <w:tc>
          <w:tcPr>
            <w:tcW w:w="2972" w:type="dxa"/>
          </w:tcPr>
          <w:p w14:paraId="4468CC09" w14:textId="77777777" w:rsidR="003B0BB2" w:rsidRPr="009D62BB" w:rsidRDefault="003B0BB2" w:rsidP="006D78DE">
            <w:pPr>
              <w:rPr>
                <w:rFonts w:ascii="Times New Roman" w:hAnsi="Times New Roman" w:cs="Times New Roman"/>
                <w:sz w:val="18"/>
                <w:szCs w:val="18"/>
              </w:rPr>
            </w:pPr>
          </w:p>
        </w:tc>
        <w:tc>
          <w:tcPr>
            <w:tcW w:w="2835" w:type="dxa"/>
            <w:vAlign w:val="center"/>
          </w:tcPr>
          <w:p w14:paraId="6EA6B5FF" w14:textId="77777777" w:rsidR="003B0BB2" w:rsidRPr="009D62BB" w:rsidRDefault="003B0BB2" w:rsidP="006D78DE">
            <w:pPr>
              <w:jc w:val="center"/>
              <w:rPr>
                <w:rFonts w:ascii="Times New Roman" w:hAnsi="Times New Roman" w:cs="Times New Roman"/>
                <w:sz w:val="18"/>
                <w:szCs w:val="18"/>
              </w:rPr>
            </w:pPr>
            <w:r w:rsidRPr="006F5E48">
              <w:rPr>
                <w:rFonts w:ascii="Times New Roman" w:hAnsi="Times New Roman" w:cs="Times New Roman"/>
                <w:sz w:val="18"/>
                <w:szCs w:val="18"/>
              </w:rPr>
              <w:t>(10.72)</w:t>
            </w:r>
          </w:p>
        </w:tc>
        <w:tc>
          <w:tcPr>
            <w:tcW w:w="567" w:type="dxa"/>
            <w:vAlign w:val="center"/>
          </w:tcPr>
          <w:p w14:paraId="0368461F" w14:textId="3708FB8A" w:rsidR="003B0BB2" w:rsidRPr="009D62BB" w:rsidRDefault="003B0BB2" w:rsidP="006D78DE">
            <w:pPr>
              <w:jc w:val="center"/>
              <w:rPr>
                <w:rFonts w:ascii="Times New Roman" w:hAnsi="Times New Roman" w:cs="Times New Roman"/>
                <w:sz w:val="18"/>
                <w:szCs w:val="18"/>
              </w:rPr>
            </w:pPr>
          </w:p>
        </w:tc>
        <w:tc>
          <w:tcPr>
            <w:tcW w:w="2636" w:type="dxa"/>
            <w:vAlign w:val="center"/>
          </w:tcPr>
          <w:p w14:paraId="5256C65D" w14:textId="77777777" w:rsidR="003B0BB2" w:rsidRPr="009D62BB" w:rsidRDefault="003B0BB2" w:rsidP="006D78DE">
            <w:pPr>
              <w:jc w:val="center"/>
              <w:rPr>
                <w:rFonts w:ascii="Times New Roman" w:hAnsi="Times New Roman" w:cs="Times New Roman"/>
                <w:sz w:val="18"/>
                <w:szCs w:val="18"/>
              </w:rPr>
            </w:pPr>
            <w:r w:rsidRPr="00A8060A">
              <w:rPr>
                <w:rFonts w:ascii="Times New Roman" w:hAnsi="Times New Roman" w:cs="Times New Roman"/>
                <w:sz w:val="18"/>
                <w:szCs w:val="18"/>
              </w:rPr>
              <w:t>(1.84)</w:t>
            </w:r>
          </w:p>
        </w:tc>
      </w:tr>
      <w:tr w:rsidR="003B0BB2" w14:paraId="791B6F71" w14:textId="77777777" w:rsidTr="00437634">
        <w:tc>
          <w:tcPr>
            <w:tcW w:w="2972" w:type="dxa"/>
          </w:tcPr>
          <w:p w14:paraId="5D530ED0" w14:textId="2FB49148" w:rsidR="003B0BB2" w:rsidRPr="009D62BB" w:rsidRDefault="003B0BB2" w:rsidP="006D78DE">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EXCLUSION</w:t>
            </w:r>
          </w:p>
        </w:tc>
        <w:tc>
          <w:tcPr>
            <w:tcW w:w="2835" w:type="dxa"/>
            <w:vAlign w:val="center"/>
          </w:tcPr>
          <w:p w14:paraId="0A54A273" w14:textId="77777777" w:rsidR="003B0BB2" w:rsidRPr="009D62BB" w:rsidRDefault="003B0BB2" w:rsidP="006D78DE">
            <w:pPr>
              <w:jc w:val="center"/>
              <w:rPr>
                <w:rFonts w:ascii="Times New Roman" w:hAnsi="Times New Roman" w:cs="Times New Roman"/>
                <w:sz w:val="18"/>
                <w:szCs w:val="18"/>
              </w:rPr>
            </w:pPr>
            <w:r w:rsidRPr="006F5E48">
              <w:rPr>
                <w:rFonts w:ascii="Times New Roman" w:hAnsi="Times New Roman" w:cs="Times New Roman"/>
                <w:sz w:val="18"/>
                <w:szCs w:val="18"/>
              </w:rPr>
              <w:t>-0.246**</w:t>
            </w:r>
          </w:p>
        </w:tc>
        <w:tc>
          <w:tcPr>
            <w:tcW w:w="567" w:type="dxa"/>
            <w:vAlign w:val="center"/>
          </w:tcPr>
          <w:p w14:paraId="566C3447" w14:textId="41558ED0" w:rsidR="003B0BB2" w:rsidRPr="009D62BB" w:rsidRDefault="003B0BB2" w:rsidP="006D78DE">
            <w:pPr>
              <w:jc w:val="center"/>
              <w:rPr>
                <w:rFonts w:ascii="Times New Roman" w:hAnsi="Times New Roman" w:cs="Times New Roman"/>
                <w:sz w:val="18"/>
                <w:szCs w:val="18"/>
              </w:rPr>
            </w:pPr>
          </w:p>
        </w:tc>
        <w:tc>
          <w:tcPr>
            <w:tcW w:w="2636" w:type="dxa"/>
            <w:vAlign w:val="center"/>
          </w:tcPr>
          <w:p w14:paraId="101E6528" w14:textId="77777777" w:rsidR="003B0BB2" w:rsidRPr="009D62BB" w:rsidRDefault="003B0BB2" w:rsidP="006D78DE">
            <w:pPr>
              <w:jc w:val="center"/>
              <w:rPr>
                <w:rFonts w:ascii="Times New Roman" w:hAnsi="Times New Roman" w:cs="Times New Roman"/>
                <w:sz w:val="18"/>
                <w:szCs w:val="18"/>
              </w:rPr>
            </w:pPr>
            <w:r w:rsidRPr="00A8060A">
              <w:rPr>
                <w:rFonts w:ascii="Times New Roman" w:hAnsi="Times New Roman" w:cs="Times New Roman"/>
                <w:sz w:val="18"/>
                <w:szCs w:val="18"/>
              </w:rPr>
              <w:t>-0.456*</w:t>
            </w:r>
          </w:p>
        </w:tc>
      </w:tr>
      <w:tr w:rsidR="003B0BB2" w14:paraId="62119895" w14:textId="77777777" w:rsidTr="00437634">
        <w:tc>
          <w:tcPr>
            <w:tcW w:w="2972" w:type="dxa"/>
          </w:tcPr>
          <w:p w14:paraId="2C8F3FEF" w14:textId="77777777" w:rsidR="003B0BB2" w:rsidRPr="009D62BB" w:rsidRDefault="003B0BB2" w:rsidP="006D78DE">
            <w:pPr>
              <w:rPr>
                <w:rFonts w:ascii="Times New Roman" w:hAnsi="Times New Roman" w:cs="Times New Roman"/>
                <w:sz w:val="18"/>
                <w:szCs w:val="18"/>
              </w:rPr>
            </w:pPr>
          </w:p>
        </w:tc>
        <w:tc>
          <w:tcPr>
            <w:tcW w:w="2835" w:type="dxa"/>
            <w:vAlign w:val="center"/>
          </w:tcPr>
          <w:p w14:paraId="1378B66B" w14:textId="77777777" w:rsidR="003B0BB2" w:rsidRPr="009D62BB" w:rsidRDefault="003B0BB2" w:rsidP="006D78DE">
            <w:pPr>
              <w:jc w:val="center"/>
              <w:rPr>
                <w:rFonts w:ascii="Times New Roman" w:hAnsi="Times New Roman" w:cs="Times New Roman"/>
                <w:sz w:val="18"/>
                <w:szCs w:val="18"/>
              </w:rPr>
            </w:pPr>
            <w:r w:rsidRPr="006F5E48">
              <w:rPr>
                <w:rFonts w:ascii="Times New Roman" w:hAnsi="Times New Roman" w:cs="Times New Roman"/>
                <w:sz w:val="18"/>
                <w:szCs w:val="18"/>
              </w:rPr>
              <w:t>(-2.15)</w:t>
            </w:r>
          </w:p>
        </w:tc>
        <w:tc>
          <w:tcPr>
            <w:tcW w:w="567" w:type="dxa"/>
            <w:vAlign w:val="center"/>
          </w:tcPr>
          <w:p w14:paraId="0E946D4C" w14:textId="06FF8407" w:rsidR="003B0BB2" w:rsidRPr="009D62BB" w:rsidRDefault="003B0BB2" w:rsidP="006D78DE">
            <w:pPr>
              <w:jc w:val="center"/>
              <w:rPr>
                <w:rFonts w:ascii="Times New Roman" w:hAnsi="Times New Roman" w:cs="Times New Roman"/>
                <w:sz w:val="18"/>
                <w:szCs w:val="18"/>
              </w:rPr>
            </w:pPr>
          </w:p>
        </w:tc>
        <w:tc>
          <w:tcPr>
            <w:tcW w:w="2636" w:type="dxa"/>
            <w:vAlign w:val="center"/>
          </w:tcPr>
          <w:p w14:paraId="6F31BC4C" w14:textId="77777777" w:rsidR="003B0BB2" w:rsidRPr="009D62BB" w:rsidRDefault="003B0BB2" w:rsidP="006D78DE">
            <w:pPr>
              <w:jc w:val="center"/>
              <w:rPr>
                <w:rFonts w:ascii="Times New Roman" w:hAnsi="Times New Roman" w:cs="Times New Roman"/>
                <w:sz w:val="18"/>
                <w:szCs w:val="18"/>
              </w:rPr>
            </w:pPr>
            <w:r w:rsidRPr="00A8060A">
              <w:rPr>
                <w:rFonts w:ascii="Times New Roman" w:hAnsi="Times New Roman" w:cs="Times New Roman"/>
                <w:sz w:val="18"/>
                <w:szCs w:val="18"/>
              </w:rPr>
              <w:t>(-1.67)</w:t>
            </w:r>
          </w:p>
        </w:tc>
      </w:tr>
      <w:tr w:rsidR="003B0BB2" w14:paraId="2D090B53" w14:textId="77777777" w:rsidTr="00437634">
        <w:tc>
          <w:tcPr>
            <w:tcW w:w="2972" w:type="dxa"/>
          </w:tcPr>
          <w:p w14:paraId="58177866" w14:textId="4C5713E9" w:rsidR="003B0BB2" w:rsidRPr="009D62BB" w:rsidRDefault="003B0BB2" w:rsidP="006D78DE">
            <w:pPr>
              <w:rPr>
                <w:rFonts w:ascii="Times New Roman" w:hAnsi="Times New Roman" w:cs="Times New Roman"/>
                <w:sz w:val="18"/>
                <w:szCs w:val="18"/>
              </w:rPr>
            </w:pPr>
            <w:r>
              <w:rPr>
                <w:rFonts w:asciiTheme="majorBidi" w:hAnsiTheme="majorBidi" w:cstheme="majorBidi"/>
                <w:i/>
                <w:iCs/>
                <w:color w:val="000000" w:themeColor="text1"/>
                <w:sz w:val="18"/>
                <w:szCs w:val="18"/>
              </w:rPr>
              <w:t>NARCIS</w:t>
            </w:r>
          </w:p>
        </w:tc>
        <w:tc>
          <w:tcPr>
            <w:tcW w:w="2835" w:type="dxa"/>
            <w:vAlign w:val="center"/>
          </w:tcPr>
          <w:p w14:paraId="1306031C" w14:textId="77777777" w:rsidR="003B0BB2" w:rsidRPr="009D62BB" w:rsidRDefault="003B0BB2" w:rsidP="006D78DE">
            <w:pPr>
              <w:jc w:val="center"/>
              <w:rPr>
                <w:rFonts w:ascii="Times New Roman" w:hAnsi="Times New Roman" w:cs="Times New Roman"/>
                <w:sz w:val="18"/>
                <w:szCs w:val="18"/>
              </w:rPr>
            </w:pPr>
            <w:r w:rsidRPr="006F5E48">
              <w:rPr>
                <w:rFonts w:ascii="Times New Roman" w:hAnsi="Times New Roman" w:cs="Times New Roman"/>
                <w:sz w:val="18"/>
                <w:szCs w:val="18"/>
              </w:rPr>
              <w:t>-0.403</w:t>
            </w:r>
          </w:p>
        </w:tc>
        <w:tc>
          <w:tcPr>
            <w:tcW w:w="567" w:type="dxa"/>
            <w:vAlign w:val="center"/>
          </w:tcPr>
          <w:p w14:paraId="1772CCF4" w14:textId="0B067D6A" w:rsidR="003B0BB2" w:rsidRPr="009D62BB" w:rsidRDefault="003B0BB2" w:rsidP="006D78DE">
            <w:pPr>
              <w:jc w:val="center"/>
              <w:rPr>
                <w:rFonts w:ascii="Times New Roman" w:hAnsi="Times New Roman" w:cs="Times New Roman"/>
                <w:sz w:val="18"/>
                <w:szCs w:val="18"/>
              </w:rPr>
            </w:pPr>
          </w:p>
        </w:tc>
        <w:tc>
          <w:tcPr>
            <w:tcW w:w="2636" w:type="dxa"/>
            <w:vAlign w:val="center"/>
          </w:tcPr>
          <w:p w14:paraId="2A2D75B3" w14:textId="77777777" w:rsidR="003B0BB2" w:rsidRPr="009D62BB" w:rsidRDefault="003B0BB2" w:rsidP="006D78DE">
            <w:pPr>
              <w:jc w:val="center"/>
              <w:rPr>
                <w:rFonts w:ascii="Times New Roman" w:hAnsi="Times New Roman" w:cs="Times New Roman"/>
                <w:sz w:val="18"/>
                <w:szCs w:val="18"/>
              </w:rPr>
            </w:pPr>
            <w:r w:rsidRPr="00A8060A">
              <w:rPr>
                <w:rFonts w:ascii="Times New Roman" w:hAnsi="Times New Roman" w:cs="Times New Roman"/>
                <w:sz w:val="18"/>
                <w:szCs w:val="18"/>
              </w:rPr>
              <w:t>-0.811</w:t>
            </w:r>
          </w:p>
        </w:tc>
      </w:tr>
      <w:tr w:rsidR="008D2700" w14:paraId="21633DE9" w14:textId="77777777" w:rsidTr="00437634">
        <w:tc>
          <w:tcPr>
            <w:tcW w:w="2972" w:type="dxa"/>
          </w:tcPr>
          <w:p w14:paraId="4F044AF0" w14:textId="77777777" w:rsidR="008D2700" w:rsidRPr="009D62BB" w:rsidRDefault="008D2700" w:rsidP="006D78DE">
            <w:pPr>
              <w:rPr>
                <w:rFonts w:ascii="Times New Roman" w:hAnsi="Times New Roman" w:cs="Times New Roman"/>
                <w:sz w:val="18"/>
                <w:szCs w:val="18"/>
              </w:rPr>
            </w:pPr>
          </w:p>
        </w:tc>
        <w:tc>
          <w:tcPr>
            <w:tcW w:w="2835" w:type="dxa"/>
            <w:vAlign w:val="center"/>
          </w:tcPr>
          <w:p w14:paraId="7F6A104C" w14:textId="77777777" w:rsidR="008D2700" w:rsidRPr="009D62BB" w:rsidRDefault="008D2700" w:rsidP="006D78DE">
            <w:pPr>
              <w:jc w:val="center"/>
              <w:rPr>
                <w:rFonts w:ascii="Times New Roman" w:hAnsi="Times New Roman" w:cs="Times New Roman"/>
                <w:sz w:val="18"/>
                <w:szCs w:val="18"/>
              </w:rPr>
            </w:pPr>
            <w:r w:rsidRPr="006F5E48">
              <w:rPr>
                <w:rFonts w:ascii="Times New Roman" w:hAnsi="Times New Roman" w:cs="Times New Roman"/>
                <w:sz w:val="18"/>
                <w:szCs w:val="18"/>
              </w:rPr>
              <w:t>(-1.17)</w:t>
            </w:r>
          </w:p>
        </w:tc>
        <w:tc>
          <w:tcPr>
            <w:tcW w:w="567" w:type="dxa"/>
            <w:vAlign w:val="center"/>
          </w:tcPr>
          <w:p w14:paraId="72BBC694" w14:textId="298C1E10" w:rsidR="008D2700" w:rsidRPr="009D62BB" w:rsidRDefault="008D2700" w:rsidP="006D78DE">
            <w:pPr>
              <w:jc w:val="center"/>
              <w:rPr>
                <w:rFonts w:ascii="Times New Roman" w:hAnsi="Times New Roman" w:cs="Times New Roman"/>
                <w:sz w:val="18"/>
                <w:szCs w:val="18"/>
              </w:rPr>
            </w:pPr>
          </w:p>
        </w:tc>
        <w:tc>
          <w:tcPr>
            <w:tcW w:w="2636" w:type="dxa"/>
            <w:vAlign w:val="center"/>
          </w:tcPr>
          <w:p w14:paraId="28BE2376" w14:textId="77777777" w:rsidR="008D2700" w:rsidRPr="009D62BB" w:rsidRDefault="008D2700" w:rsidP="006D78DE">
            <w:pPr>
              <w:jc w:val="center"/>
              <w:rPr>
                <w:rFonts w:ascii="Times New Roman" w:hAnsi="Times New Roman" w:cs="Times New Roman"/>
                <w:sz w:val="18"/>
                <w:szCs w:val="18"/>
              </w:rPr>
            </w:pPr>
            <w:r w:rsidRPr="00A8060A">
              <w:rPr>
                <w:rFonts w:ascii="Times New Roman" w:hAnsi="Times New Roman" w:cs="Times New Roman"/>
                <w:sz w:val="18"/>
                <w:szCs w:val="18"/>
              </w:rPr>
              <w:t>(-0.88)</w:t>
            </w:r>
          </w:p>
        </w:tc>
      </w:tr>
      <w:tr w:rsidR="008D2700" w14:paraId="7B0BD37B" w14:textId="77777777" w:rsidTr="00437634">
        <w:tc>
          <w:tcPr>
            <w:tcW w:w="2972" w:type="dxa"/>
          </w:tcPr>
          <w:p w14:paraId="774AD787" w14:textId="2C175334" w:rsidR="008D2700" w:rsidRPr="009D62BB" w:rsidRDefault="008D2700" w:rsidP="006D78DE">
            <w:pPr>
              <w:rPr>
                <w:rFonts w:ascii="Times New Roman" w:hAnsi="Times New Roman" w:cs="Times New Roman"/>
                <w:sz w:val="18"/>
                <w:szCs w:val="18"/>
              </w:rPr>
            </w:pPr>
            <w:r w:rsidRPr="00BC7D29">
              <w:rPr>
                <w:rFonts w:asciiTheme="majorBidi" w:hAnsiTheme="majorBidi" w:cstheme="majorBidi"/>
                <w:i/>
                <w:iCs/>
                <w:color w:val="000000" w:themeColor="text1"/>
                <w:sz w:val="18"/>
                <w:szCs w:val="18"/>
              </w:rPr>
              <w:t>NONIFR</w:t>
            </w:r>
            <w:r w:rsidR="004C2B81">
              <w:rPr>
                <w:rFonts w:asciiTheme="majorBidi" w:hAnsiTheme="majorBidi" w:cstheme="majorBidi"/>
                <w:i/>
                <w:iCs/>
                <w:color w:val="000000" w:themeColor="text1"/>
                <w:sz w:val="18"/>
                <w:szCs w:val="18"/>
              </w:rPr>
              <w:t>S</w:t>
            </w:r>
            <w:r w:rsidRPr="00BC7D29">
              <w:rPr>
                <w:rFonts w:asciiTheme="majorBidi" w:hAnsiTheme="majorBidi" w:cstheme="majorBidi"/>
                <w:i/>
                <w:iCs/>
                <w:color w:val="000000" w:themeColor="text1"/>
                <w:sz w:val="18"/>
                <w:szCs w:val="18"/>
              </w:rPr>
              <w:t>×</w:t>
            </w:r>
            <w:r>
              <w:rPr>
                <w:rFonts w:asciiTheme="majorBidi" w:hAnsiTheme="majorBidi" w:cstheme="majorBidi"/>
                <w:i/>
                <w:iCs/>
                <w:color w:val="000000" w:themeColor="text1"/>
                <w:sz w:val="18"/>
                <w:szCs w:val="18"/>
              </w:rPr>
              <w:t>NARCIS</w:t>
            </w:r>
          </w:p>
        </w:tc>
        <w:tc>
          <w:tcPr>
            <w:tcW w:w="2835" w:type="dxa"/>
            <w:vAlign w:val="center"/>
          </w:tcPr>
          <w:p w14:paraId="4ED554ED" w14:textId="77777777" w:rsidR="008D2700" w:rsidRPr="009D62BB" w:rsidRDefault="008D2700" w:rsidP="006D78DE">
            <w:pPr>
              <w:jc w:val="center"/>
              <w:rPr>
                <w:rFonts w:ascii="Times New Roman" w:hAnsi="Times New Roman" w:cs="Times New Roman"/>
                <w:sz w:val="18"/>
                <w:szCs w:val="18"/>
              </w:rPr>
            </w:pPr>
            <w:r w:rsidRPr="006F5E48">
              <w:rPr>
                <w:rFonts w:ascii="Times New Roman" w:hAnsi="Times New Roman" w:cs="Times New Roman"/>
                <w:sz w:val="18"/>
                <w:szCs w:val="18"/>
              </w:rPr>
              <w:t>0.438</w:t>
            </w:r>
          </w:p>
        </w:tc>
        <w:tc>
          <w:tcPr>
            <w:tcW w:w="567" w:type="dxa"/>
            <w:vAlign w:val="center"/>
          </w:tcPr>
          <w:p w14:paraId="0D3B459D" w14:textId="161215A7" w:rsidR="008D2700" w:rsidRPr="009D62BB" w:rsidRDefault="008D2700" w:rsidP="006D78DE">
            <w:pPr>
              <w:jc w:val="center"/>
              <w:rPr>
                <w:rFonts w:ascii="Times New Roman" w:hAnsi="Times New Roman" w:cs="Times New Roman"/>
                <w:sz w:val="18"/>
                <w:szCs w:val="18"/>
              </w:rPr>
            </w:pPr>
          </w:p>
        </w:tc>
        <w:tc>
          <w:tcPr>
            <w:tcW w:w="2636" w:type="dxa"/>
            <w:vAlign w:val="center"/>
          </w:tcPr>
          <w:p w14:paraId="35EA5D58" w14:textId="77777777" w:rsidR="008D2700" w:rsidRPr="009D62BB" w:rsidRDefault="008D2700" w:rsidP="006D78DE">
            <w:pPr>
              <w:jc w:val="center"/>
              <w:rPr>
                <w:rFonts w:ascii="Times New Roman" w:hAnsi="Times New Roman" w:cs="Times New Roman"/>
                <w:sz w:val="18"/>
                <w:szCs w:val="18"/>
              </w:rPr>
            </w:pPr>
            <w:r w:rsidRPr="00A8060A">
              <w:rPr>
                <w:rFonts w:ascii="Times New Roman" w:hAnsi="Times New Roman" w:cs="Times New Roman"/>
                <w:sz w:val="18"/>
                <w:szCs w:val="18"/>
              </w:rPr>
              <w:t>-0.0751</w:t>
            </w:r>
          </w:p>
        </w:tc>
      </w:tr>
      <w:tr w:rsidR="008D2700" w14:paraId="2A1AAEE8" w14:textId="77777777" w:rsidTr="00437634">
        <w:tc>
          <w:tcPr>
            <w:tcW w:w="2972" w:type="dxa"/>
          </w:tcPr>
          <w:p w14:paraId="0FBCFFB6" w14:textId="77777777" w:rsidR="008D2700" w:rsidRPr="009D62BB" w:rsidRDefault="008D2700" w:rsidP="006D78DE">
            <w:pPr>
              <w:rPr>
                <w:rFonts w:ascii="Times New Roman" w:hAnsi="Times New Roman" w:cs="Times New Roman"/>
                <w:sz w:val="18"/>
                <w:szCs w:val="18"/>
              </w:rPr>
            </w:pPr>
          </w:p>
        </w:tc>
        <w:tc>
          <w:tcPr>
            <w:tcW w:w="2835" w:type="dxa"/>
            <w:vAlign w:val="center"/>
          </w:tcPr>
          <w:p w14:paraId="1BE9226E" w14:textId="77777777" w:rsidR="008D2700" w:rsidRPr="009D62BB" w:rsidRDefault="008D2700" w:rsidP="006D78DE">
            <w:pPr>
              <w:jc w:val="center"/>
              <w:rPr>
                <w:rFonts w:ascii="Times New Roman" w:hAnsi="Times New Roman" w:cs="Times New Roman"/>
                <w:sz w:val="18"/>
                <w:szCs w:val="18"/>
              </w:rPr>
            </w:pPr>
            <w:r w:rsidRPr="006F5E48">
              <w:rPr>
                <w:rFonts w:ascii="Times New Roman" w:hAnsi="Times New Roman" w:cs="Times New Roman"/>
                <w:sz w:val="18"/>
                <w:szCs w:val="18"/>
              </w:rPr>
              <w:t>(0.80)</w:t>
            </w:r>
          </w:p>
        </w:tc>
        <w:tc>
          <w:tcPr>
            <w:tcW w:w="567" w:type="dxa"/>
            <w:vAlign w:val="center"/>
          </w:tcPr>
          <w:p w14:paraId="60AA9D7E" w14:textId="10D37982" w:rsidR="008D2700" w:rsidRPr="009D62BB" w:rsidRDefault="008D2700" w:rsidP="006D78DE">
            <w:pPr>
              <w:jc w:val="center"/>
              <w:rPr>
                <w:rFonts w:ascii="Times New Roman" w:hAnsi="Times New Roman" w:cs="Times New Roman"/>
                <w:sz w:val="18"/>
                <w:szCs w:val="18"/>
              </w:rPr>
            </w:pPr>
          </w:p>
        </w:tc>
        <w:tc>
          <w:tcPr>
            <w:tcW w:w="2636" w:type="dxa"/>
            <w:vAlign w:val="center"/>
          </w:tcPr>
          <w:p w14:paraId="0C68C358" w14:textId="77777777" w:rsidR="008D2700" w:rsidRPr="009D62BB" w:rsidRDefault="008D2700" w:rsidP="006D78DE">
            <w:pPr>
              <w:jc w:val="center"/>
              <w:rPr>
                <w:rFonts w:ascii="Times New Roman" w:hAnsi="Times New Roman" w:cs="Times New Roman"/>
                <w:sz w:val="18"/>
                <w:szCs w:val="18"/>
              </w:rPr>
            </w:pPr>
            <w:r w:rsidRPr="00A8060A">
              <w:rPr>
                <w:rFonts w:ascii="Times New Roman" w:hAnsi="Times New Roman" w:cs="Times New Roman"/>
                <w:sz w:val="18"/>
                <w:szCs w:val="18"/>
              </w:rPr>
              <w:t>(-0.11)</w:t>
            </w:r>
          </w:p>
        </w:tc>
      </w:tr>
      <w:tr w:rsidR="008D2700" w14:paraId="7BA8D4F1" w14:textId="77777777" w:rsidTr="00437634">
        <w:tc>
          <w:tcPr>
            <w:tcW w:w="2972" w:type="dxa"/>
          </w:tcPr>
          <w:p w14:paraId="5CB4CD00" w14:textId="56F3E7AE" w:rsidR="008D2700" w:rsidRPr="00E70EC6" w:rsidRDefault="008D2700" w:rsidP="006D78DE">
            <w:pPr>
              <w:rPr>
                <w:rFonts w:ascii="Times New Roman" w:hAnsi="Times New Roman" w:cs="Times New Roman"/>
                <w:b/>
                <w:bCs/>
                <w:sz w:val="18"/>
                <w:szCs w:val="18"/>
              </w:rPr>
            </w:pPr>
            <w:r w:rsidRPr="00E70EC6">
              <w:rPr>
                <w:rFonts w:asciiTheme="majorBidi" w:hAnsiTheme="majorBidi" w:cstheme="majorBidi"/>
                <w:b/>
                <w:bCs/>
                <w:i/>
                <w:iCs/>
                <w:color w:val="000000" w:themeColor="text1"/>
                <w:sz w:val="18"/>
                <w:szCs w:val="18"/>
              </w:rPr>
              <w:t>EXCLUSION×</w:t>
            </w:r>
            <w:r>
              <w:rPr>
                <w:rFonts w:asciiTheme="majorBidi" w:hAnsiTheme="majorBidi" w:cstheme="majorBidi"/>
                <w:b/>
                <w:bCs/>
                <w:i/>
                <w:iCs/>
                <w:color w:val="000000" w:themeColor="text1"/>
                <w:sz w:val="18"/>
                <w:szCs w:val="18"/>
              </w:rPr>
              <w:t>NARCIS</w:t>
            </w:r>
          </w:p>
        </w:tc>
        <w:tc>
          <w:tcPr>
            <w:tcW w:w="2835" w:type="dxa"/>
            <w:vAlign w:val="center"/>
          </w:tcPr>
          <w:p w14:paraId="13281427" w14:textId="77777777" w:rsidR="008D2700" w:rsidRPr="00E70EC6" w:rsidRDefault="008D2700" w:rsidP="006D78DE">
            <w:pPr>
              <w:jc w:val="center"/>
              <w:rPr>
                <w:rFonts w:ascii="Times New Roman" w:hAnsi="Times New Roman" w:cs="Times New Roman"/>
                <w:b/>
                <w:bCs/>
                <w:sz w:val="18"/>
                <w:szCs w:val="18"/>
              </w:rPr>
            </w:pPr>
            <w:r w:rsidRPr="00E70EC6">
              <w:rPr>
                <w:rFonts w:ascii="Times New Roman" w:hAnsi="Times New Roman" w:cs="Times New Roman"/>
                <w:b/>
                <w:bCs/>
                <w:sz w:val="18"/>
                <w:szCs w:val="18"/>
              </w:rPr>
              <w:t>-2.689***</w:t>
            </w:r>
          </w:p>
        </w:tc>
        <w:tc>
          <w:tcPr>
            <w:tcW w:w="567" w:type="dxa"/>
            <w:vAlign w:val="center"/>
          </w:tcPr>
          <w:p w14:paraId="1F296739" w14:textId="01180FF0" w:rsidR="008D2700" w:rsidRPr="00E70EC6" w:rsidRDefault="008D2700" w:rsidP="006D78DE">
            <w:pPr>
              <w:jc w:val="center"/>
              <w:rPr>
                <w:rFonts w:ascii="Times New Roman" w:hAnsi="Times New Roman" w:cs="Times New Roman"/>
                <w:b/>
                <w:bCs/>
                <w:sz w:val="18"/>
                <w:szCs w:val="18"/>
              </w:rPr>
            </w:pPr>
          </w:p>
        </w:tc>
        <w:tc>
          <w:tcPr>
            <w:tcW w:w="2636" w:type="dxa"/>
            <w:vAlign w:val="center"/>
          </w:tcPr>
          <w:p w14:paraId="1269B09B" w14:textId="77777777" w:rsidR="008D2700" w:rsidRPr="00E70EC6" w:rsidRDefault="008D2700" w:rsidP="006D78DE">
            <w:pPr>
              <w:jc w:val="center"/>
              <w:rPr>
                <w:rFonts w:ascii="Times New Roman" w:hAnsi="Times New Roman" w:cs="Times New Roman"/>
                <w:b/>
                <w:bCs/>
                <w:sz w:val="18"/>
                <w:szCs w:val="18"/>
              </w:rPr>
            </w:pPr>
            <w:r w:rsidRPr="00E70EC6">
              <w:rPr>
                <w:rFonts w:ascii="Times New Roman" w:hAnsi="Times New Roman" w:cs="Times New Roman"/>
                <w:b/>
                <w:bCs/>
                <w:sz w:val="18"/>
                <w:szCs w:val="18"/>
              </w:rPr>
              <w:t>-2.704***</w:t>
            </w:r>
          </w:p>
        </w:tc>
      </w:tr>
      <w:tr w:rsidR="008D2700" w14:paraId="6DE9F940" w14:textId="77777777" w:rsidTr="00437634">
        <w:tc>
          <w:tcPr>
            <w:tcW w:w="2972" w:type="dxa"/>
          </w:tcPr>
          <w:p w14:paraId="16FE08F4" w14:textId="77777777" w:rsidR="008D2700" w:rsidRPr="00E70EC6" w:rsidRDefault="008D2700" w:rsidP="006D78DE">
            <w:pPr>
              <w:rPr>
                <w:rFonts w:ascii="Times New Roman" w:hAnsi="Times New Roman" w:cs="Times New Roman"/>
                <w:b/>
                <w:bCs/>
                <w:sz w:val="18"/>
                <w:szCs w:val="18"/>
              </w:rPr>
            </w:pPr>
          </w:p>
        </w:tc>
        <w:tc>
          <w:tcPr>
            <w:tcW w:w="2835" w:type="dxa"/>
            <w:vAlign w:val="center"/>
          </w:tcPr>
          <w:p w14:paraId="470D9F28" w14:textId="77777777" w:rsidR="008D2700" w:rsidRPr="00E70EC6" w:rsidRDefault="008D2700" w:rsidP="006D78DE">
            <w:pPr>
              <w:jc w:val="center"/>
              <w:rPr>
                <w:rFonts w:ascii="Times New Roman" w:hAnsi="Times New Roman" w:cs="Times New Roman"/>
                <w:b/>
                <w:bCs/>
                <w:sz w:val="18"/>
                <w:szCs w:val="18"/>
              </w:rPr>
            </w:pPr>
            <w:r w:rsidRPr="00E70EC6">
              <w:rPr>
                <w:rFonts w:ascii="Times New Roman" w:hAnsi="Times New Roman" w:cs="Times New Roman"/>
                <w:b/>
                <w:bCs/>
                <w:sz w:val="18"/>
                <w:szCs w:val="18"/>
              </w:rPr>
              <w:t>(-3.09)</w:t>
            </w:r>
          </w:p>
        </w:tc>
        <w:tc>
          <w:tcPr>
            <w:tcW w:w="567" w:type="dxa"/>
            <w:vAlign w:val="center"/>
          </w:tcPr>
          <w:p w14:paraId="2AAA4598" w14:textId="17E4FEBF" w:rsidR="008D2700" w:rsidRPr="00E70EC6" w:rsidRDefault="008D2700" w:rsidP="006D78DE">
            <w:pPr>
              <w:jc w:val="center"/>
              <w:rPr>
                <w:rFonts w:ascii="Times New Roman" w:hAnsi="Times New Roman" w:cs="Times New Roman"/>
                <w:b/>
                <w:bCs/>
                <w:sz w:val="18"/>
                <w:szCs w:val="18"/>
              </w:rPr>
            </w:pPr>
          </w:p>
        </w:tc>
        <w:tc>
          <w:tcPr>
            <w:tcW w:w="2636" w:type="dxa"/>
            <w:vAlign w:val="center"/>
          </w:tcPr>
          <w:p w14:paraId="613CA099" w14:textId="77777777" w:rsidR="008D2700" w:rsidRPr="00E70EC6" w:rsidRDefault="008D2700" w:rsidP="006D78DE">
            <w:pPr>
              <w:jc w:val="center"/>
              <w:rPr>
                <w:rFonts w:ascii="Times New Roman" w:hAnsi="Times New Roman" w:cs="Times New Roman"/>
                <w:b/>
                <w:bCs/>
                <w:sz w:val="18"/>
                <w:szCs w:val="18"/>
              </w:rPr>
            </w:pPr>
            <w:r w:rsidRPr="00E70EC6">
              <w:rPr>
                <w:rFonts w:ascii="Times New Roman" w:hAnsi="Times New Roman" w:cs="Times New Roman"/>
                <w:b/>
                <w:bCs/>
                <w:sz w:val="18"/>
                <w:szCs w:val="18"/>
              </w:rPr>
              <w:t>(-3.62)</w:t>
            </w:r>
          </w:p>
        </w:tc>
      </w:tr>
      <w:tr w:rsidR="008D2700" w14:paraId="656EEBB0" w14:textId="77777777" w:rsidTr="00437634">
        <w:tc>
          <w:tcPr>
            <w:tcW w:w="2972" w:type="dxa"/>
          </w:tcPr>
          <w:p w14:paraId="440C0D20" w14:textId="5044DA6F" w:rsidR="008D2700" w:rsidRPr="000B7CA8" w:rsidRDefault="008D2700" w:rsidP="006D78DE">
            <w:pPr>
              <w:rPr>
                <w:rFonts w:ascii="Times New Roman" w:hAnsi="Times New Roman" w:cs="Times New Roman"/>
                <w:i/>
                <w:iCs/>
                <w:sz w:val="18"/>
                <w:szCs w:val="18"/>
              </w:rPr>
            </w:pPr>
            <w:r w:rsidRPr="000B7CA8">
              <w:rPr>
                <w:rFonts w:asciiTheme="majorBidi" w:hAnsiTheme="majorBidi" w:cstheme="majorBidi"/>
                <w:i/>
                <w:iCs/>
                <w:color w:val="000000" w:themeColor="text1"/>
                <w:sz w:val="18"/>
                <w:szCs w:val="18"/>
              </w:rPr>
              <w:t xml:space="preserve">Controls </w:t>
            </w:r>
          </w:p>
        </w:tc>
        <w:tc>
          <w:tcPr>
            <w:tcW w:w="2835" w:type="dxa"/>
            <w:vAlign w:val="center"/>
          </w:tcPr>
          <w:p w14:paraId="1425D27E" w14:textId="77777777" w:rsidR="008D2700" w:rsidRPr="009D62BB" w:rsidRDefault="008D2700" w:rsidP="006D78DE">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567" w:type="dxa"/>
            <w:vAlign w:val="center"/>
          </w:tcPr>
          <w:p w14:paraId="1D606EA7" w14:textId="43F7CAA4" w:rsidR="008D2700" w:rsidRPr="009D62BB" w:rsidRDefault="008D2700" w:rsidP="006D78DE">
            <w:pPr>
              <w:jc w:val="center"/>
              <w:rPr>
                <w:rFonts w:ascii="Times New Roman" w:hAnsi="Times New Roman" w:cs="Times New Roman"/>
                <w:sz w:val="18"/>
                <w:szCs w:val="18"/>
              </w:rPr>
            </w:pPr>
          </w:p>
        </w:tc>
        <w:tc>
          <w:tcPr>
            <w:tcW w:w="2636" w:type="dxa"/>
            <w:vAlign w:val="center"/>
          </w:tcPr>
          <w:p w14:paraId="1781B0F9" w14:textId="77777777" w:rsidR="008D2700" w:rsidRPr="009D62BB" w:rsidRDefault="008D2700"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8D2700" w14:paraId="1854F31A" w14:textId="77777777" w:rsidTr="00437634">
        <w:tc>
          <w:tcPr>
            <w:tcW w:w="2972" w:type="dxa"/>
          </w:tcPr>
          <w:p w14:paraId="6B54B7B8" w14:textId="2259209D" w:rsidR="008D2700" w:rsidRPr="000B7CA8" w:rsidRDefault="008D2700" w:rsidP="006D78DE">
            <w:pPr>
              <w:rPr>
                <w:rFonts w:ascii="Times New Roman" w:hAnsi="Times New Roman" w:cs="Times New Roman"/>
                <w:i/>
                <w:iCs/>
                <w:sz w:val="18"/>
                <w:szCs w:val="18"/>
              </w:rPr>
            </w:pPr>
            <w:r w:rsidRPr="000B7CA8">
              <w:rPr>
                <w:rFonts w:asciiTheme="majorBidi" w:hAnsiTheme="majorBidi" w:cstheme="majorBidi"/>
                <w:i/>
                <w:iCs/>
                <w:color w:val="000000" w:themeColor="text1"/>
                <w:sz w:val="18"/>
                <w:szCs w:val="18"/>
              </w:rPr>
              <w:t xml:space="preserve">Industry </w:t>
            </w:r>
            <w:r>
              <w:rPr>
                <w:rFonts w:asciiTheme="majorBidi" w:hAnsiTheme="majorBidi" w:cstheme="majorBidi"/>
                <w:i/>
                <w:iCs/>
                <w:color w:val="000000" w:themeColor="text1"/>
                <w:sz w:val="18"/>
                <w:szCs w:val="18"/>
              </w:rPr>
              <w:t>fixed effect</w:t>
            </w:r>
          </w:p>
        </w:tc>
        <w:tc>
          <w:tcPr>
            <w:tcW w:w="2835" w:type="dxa"/>
            <w:vAlign w:val="center"/>
          </w:tcPr>
          <w:p w14:paraId="60B002CD" w14:textId="77777777" w:rsidR="008D2700" w:rsidRPr="009D62BB" w:rsidRDefault="008D2700" w:rsidP="006D78DE">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567" w:type="dxa"/>
            <w:vAlign w:val="center"/>
          </w:tcPr>
          <w:p w14:paraId="2C19068E" w14:textId="67812687" w:rsidR="008D2700" w:rsidRPr="009D62BB" w:rsidRDefault="008D2700" w:rsidP="006D78DE">
            <w:pPr>
              <w:jc w:val="center"/>
              <w:rPr>
                <w:rFonts w:ascii="Times New Roman" w:hAnsi="Times New Roman" w:cs="Times New Roman"/>
                <w:sz w:val="18"/>
                <w:szCs w:val="18"/>
              </w:rPr>
            </w:pPr>
          </w:p>
        </w:tc>
        <w:tc>
          <w:tcPr>
            <w:tcW w:w="2636" w:type="dxa"/>
            <w:vAlign w:val="center"/>
          </w:tcPr>
          <w:p w14:paraId="571D410A" w14:textId="77777777" w:rsidR="008D2700" w:rsidRPr="009D62BB" w:rsidRDefault="008D2700"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8D2700" w14:paraId="66365AE0" w14:textId="77777777" w:rsidTr="00437634">
        <w:tc>
          <w:tcPr>
            <w:tcW w:w="2972" w:type="dxa"/>
          </w:tcPr>
          <w:p w14:paraId="0DFEF774" w14:textId="3CEE705B" w:rsidR="008D2700" w:rsidRPr="000B7CA8" w:rsidRDefault="008D2700" w:rsidP="006D78DE">
            <w:pPr>
              <w:rPr>
                <w:rFonts w:ascii="Times New Roman" w:hAnsi="Times New Roman" w:cs="Times New Roman"/>
                <w:i/>
                <w:iCs/>
                <w:sz w:val="18"/>
                <w:szCs w:val="18"/>
              </w:rPr>
            </w:pPr>
            <w:r w:rsidRPr="000B7CA8">
              <w:rPr>
                <w:rFonts w:asciiTheme="majorBidi" w:hAnsiTheme="majorBidi" w:cstheme="majorBidi"/>
                <w:i/>
                <w:iCs/>
                <w:color w:val="000000" w:themeColor="text1"/>
                <w:sz w:val="18"/>
                <w:szCs w:val="18"/>
              </w:rPr>
              <w:t>Year</w:t>
            </w:r>
            <w:r>
              <w:rPr>
                <w:rFonts w:asciiTheme="majorBidi" w:hAnsiTheme="majorBidi" w:cstheme="majorBidi"/>
                <w:i/>
                <w:iCs/>
                <w:color w:val="000000" w:themeColor="text1"/>
                <w:sz w:val="18"/>
                <w:szCs w:val="18"/>
              </w:rPr>
              <w:t xml:space="preserve"> fixed effect</w:t>
            </w:r>
          </w:p>
        </w:tc>
        <w:tc>
          <w:tcPr>
            <w:tcW w:w="2835" w:type="dxa"/>
            <w:vAlign w:val="center"/>
          </w:tcPr>
          <w:p w14:paraId="0ABA4827" w14:textId="77777777" w:rsidR="008D2700" w:rsidRPr="009D62BB" w:rsidRDefault="008D2700" w:rsidP="006D78DE">
            <w:pPr>
              <w:jc w:val="center"/>
              <w:rPr>
                <w:rFonts w:ascii="Times New Roman" w:hAnsi="Times New Roman" w:cs="Times New Roman"/>
                <w:sz w:val="18"/>
                <w:szCs w:val="18"/>
              </w:rPr>
            </w:pPr>
            <w:r w:rsidRPr="00BC7D29">
              <w:rPr>
                <w:rFonts w:asciiTheme="majorBidi" w:hAnsiTheme="majorBidi" w:cstheme="majorBidi"/>
                <w:color w:val="000000" w:themeColor="text1"/>
                <w:sz w:val="18"/>
                <w:szCs w:val="18"/>
              </w:rPr>
              <w:t>Yes</w:t>
            </w:r>
          </w:p>
        </w:tc>
        <w:tc>
          <w:tcPr>
            <w:tcW w:w="567" w:type="dxa"/>
            <w:vAlign w:val="center"/>
          </w:tcPr>
          <w:p w14:paraId="0967C9CD" w14:textId="6E5695B6" w:rsidR="008D2700" w:rsidRPr="009D62BB" w:rsidRDefault="008D2700" w:rsidP="006D78DE">
            <w:pPr>
              <w:jc w:val="center"/>
              <w:rPr>
                <w:rFonts w:ascii="Times New Roman" w:hAnsi="Times New Roman" w:cs="Times New Roman"/>
                <w:sz w:val="18"/>
                <w:szCs w:val="18"/>
              </w:rPr>
            </w:pPr>
          </w:p>
        </w:tc>
        <w:tc>
          <w:tcPr>
            <w:tcW w:w="2636" w:type="dxa"/>
            <w:vAlign w:val="center"/>
          </w:tcPr>
          <w:p w14:paraId="6DB57AD6" w14:textId="77777777" w:rsidR="008D2700" w:rsidRPr="009D62BB" w:rsidRDefault="008D2700" w:rsidP="006D78DE">
            <w:pPr>
              <w:jc w:val="center"/>
              <w:rPr>
                <w:rFonts w:ascii="Times New Roman" w:hAnsi="Times New Roman" w:cs="Times New Roman"/>
                <w:sz w:val="18"/>
                <w:szCs w:val="18"/>
              </w:rPr>
            </w:pPr>
            <w:r>
              <w:rPr>
                <w:rFonts w:ascii="Times New Roman" w:hAnsi="Times New Roman" w:cs="Times New Roman"/>
                <w:sz w:val="18"/>
                <w:szCs w:val="18"/>
              </w:rPr>
              <w:t>Yes</w:t>
            </w:r>
          </w:p>
        </w:tc>
      </w:tr>
      <w:tr w:rsidR="008D2700" w14:paraId="00C51A08" w14:textId="77777777" w:rsidTr="00437634">
        <w:tc>
          <w:tcPr>
            <w:tcW w:w="2972" w:type="dxa"/>
          </w:tcPr>
          <w:p w14:paraId="4E493C62" w14:textId="6D825B1E" w:rsidR="008D2700" w:rsidRPr="000B7CA8" w:rsidRDefault="008D2700" w:rsidP="006D78DE">
            <w:pPr>
              <w:rPr>
                <w:rFonts w:asciiTheme="majorBidi" w:hAnsiTheme="majorBidi" w:cstheme="majorBidi"/>
                <w:i/>
                <w:iCs/>
                <w:color w:val="000000" w:themeColor="text1"/>
                <w:sz w:val="18"/>
                <w:szCs w:val="20"/>
              </w:rPr>
            </w:pPr>
            <w:r w:rsidRPr="000B7CA8">
              <w:rPr>
                <w:rFonts w:asciiTheme="majorBidi" w:hAnsiTheme="majorBidi" w:cstheme="majorBidi"/>
                <w:i/>
                <w:iCs/>
                <w:color w:val="000000" w:themeColor="text1"/>
                <w:sz w:val="18"/>
                <w:szCs w:val="20"/>
              </w:rPr>
              <w:t>Arellano-Bond (AR-1)</w:t>
            </w:r>
          </w:p>
        </w:tc>
        <w:tc>
          <w:tcPr>
            <w:tcW w:w="2835" w:type="dxa"/>
            <w:vAlign w:val="center"/>
          </w:tcPr>
          <w:p w14:paraId="1FE6CEE8" w14:textId="77777777" w:rsidR="008D2700" w:rsidRPr="00BC7D29" w:rsidRDefault="008D2700" w:rsidP="006D78DE">
            <w:pPr>
              <w:jc w:val="center"/>
              <w:rPr>
                <w:rFonts w:asciiTheme="majorBidi" w:hAnsiTheme="majorBidi" w:cstheme="majorBidi"/>
                <w:color w:val="000000" w:themeColor="text1"/>
                <w:sz w:val="18"/>
                <w:szCs w:val="18"/>
              </w:rPr>
            </w:pPr>
          </w:p>
        </w:tc>
        <w:tc>
          <w:tcPr>
            <w:tcW w:w="567" w:type="dxa"/>
            <w:vAlign w:val="center"/>
          </w:tcPr>
          <w:p w14:paraId="6A9E62DA" w14:textId="2EAC37D6" w:rsidR="008D2700" w:rsidRPr="00BC7D29" w:rsidRDefault="008D2700" w:rsidP="006D78DE">
            <w:pPr>
              <w:jc w:val="center"/>
              <w:rPr>
                <w:rFonts w:asciiTheme="majorBidi" w:hAnsiTheme="majorBidi" w:cstheme="majorBidi"/>
                <w:color w:val="000000" w:themeColor="text1"/>
                <w:sz w:val="18"/>
                <w:szCs w:val="18"/>
              </w:rPr>
            </w:pPr>
          </w:p>
        </w:tc>
        <w:tc>
          <w:tcPr>
            <w:tcW w:w="2636" w:type="dxa"/>
            <w:vAlign w:val="center"/>
          </w:tcPr>
          <w:p w14:paraId="59432A92" w14:textId="77777777" w:rsidR="008D2700" w:rsidRDefault="008D2700" w:rsidP="006D78DE">
            <w:pPr>
              <w:jc w:val="center"/>
              <w:rPr>
                <w:rFonts w:ascii="Times New Roman" w:hAnsi="Times New Roman" w:cs="Times New Roman"/>
                <w:sz w:val="18"/>
                <w:szCs w:val="18"/>
              </w:rPr>
            </w:pPr>
            <w:r w:rsidRPr="00AC11D9">
              <w:rPr>
                <w:rFonts w:ascii="Times New Roman" w:hAnsi="Times New Roman" w:cs="Times New Roman"/>
                <w:sz w:val="18"/>
                <w:szCs w:val="18"/>
              </w:rPr>
              <w:t>0.219</w:t>
            </w:r>
          </w:p>
        </w:tc>
      </w:tr>
      <w:tr w:rsidR="008D2700" w14:paraId="3BA5C814" w14:textId="77777777" w:rsidTr="00437634">
        <w:tc>
          <w:tcPr>
            <w:tcW w:w="2972" w:type="dxa"/>
          </w:tcPr>
          <w:p w14:paraId="2484431B" w14:textId="4428D50E" w:rsidR="008D2700" w:rsidRPr="000B7CA8" w:rsidRDefault="008D2700" w:rsidP="006D78DE">
            <w:pPr>
              <w:rPr>
                <w:rFonts w:asciiTheme="majorBidi" w:hAnsiTheme="majorBidi" w:cstheme="majorBidi"/>
                <w:i/>
                <w:iCs/>
                <w:color w:val="000000" w:themeColor="text1"/>
                <w:sz w:val="18"/>
                <w:szCs w:val="18"/>
              </w:rPr>
            </w:pPr>
            <w:r w:rsidRPr="000B7CA8">
              <w:rPr>
                <w:rFonts w:asciiTheme="majorBidi" w:hAnsiTheme="majorBidi" w:cstheme="majorBidi"/>
                <w:i/>
                <w:iCs/>
                <w:color w:val="000000" w:themeColor="text1"/>
                <w:sz w:val="18"/>
                <w:szCs w:val="20"/>
              </w:rPr>
              <w:t xml:space="preserve">Arellano-Bond (AR-2) </w:t>
            </w:r>
          </w:p>
        </w:tc>
        <w:tc>
          <w:tcPr>
            <w:tcW w:w="2835" w:type="dxa"/>
            <w:vAlign w:val="center"/>
          </w:tcPr>
          <w:p w14:paraId="26889DB5" w14:textId="77777777" w:rsidR="008D2700" w:rsidRPr="00BC7D29" w:rsidRDefault="008D2700" w:rsidP="006D78DE">
            <w:pPr>
              <w:jc w:val="center"/>
              <w:rPr>
                <w:rFonts w:asciiTheme="majorBidi" w:hAnsiTheme="majorBidi" w:cstheme="majorBidi"/>
                <w:color w:val="000000" w:themeColor="text1"/>
                <w:sz w:val="18"/>
                <w:szCs w:val="18"/>
              </w:rPr>
            </w:pPr>
          </w:p>
        </w:tc>
        <w:tc>
          <w:tcPr>
            <w:tcW w:w="567" w:type="dxa"/>
            <w:vAlign w:val="center"/>
          </w:tcPr>
          <w:p w14:paraId="010F1E02" w14:textId="3EF70BB3" w:rsidR="008D2700" w:rsidRPr="00BC7D29" w:rsidRDefault="008D2700" w:rsidP="006D78DE">
            <w:pPr>
              <w:jc w:val="center"/>
              <w:rPr>
                <w:rFonts w:asciiTheme="majorBidi" w:hAnsiTheme="majorBidi" w:cstheme="majorBidi"/>
                <w:color w:val="000000" w:themeColor="text1"/>
                <w:sz w:val="18"/>
                <w:szCs w:val="18"/>
              </w:rPr>
            </w:pPr>
          </w:p>
        </w:tc>
        <w:tc>
          <w:tcPr>
            <w:tcW w:w="2636" w:type="dxa"/>
            <w:vAlign w:val="center"/>
          </w:tcPr>
          <w:p w14:paraId="3BFEDE5F" w14:textId="77777777" w:rsidR="008D2700" w:rsidRPr="009D62BB" w:rsidRDefault="008D2700" w:rsidP="006D78DE">
            <w:pPr>
              <w:jc w:val="center"/>
              <w:rPr>
                <w:rFonts w:ascii="Times New Roman" w:hAnsi="Times New Roman" w:cs="Times New Roman"/>
                <w:sz w:val="18"/>
                <w:szCs w:val="18"/>
              </w:rPr>
            </w:pPr>
            <w:r>
              <w:rPr>
                <w:rFonts w:ascii="Times New Roman" w:hAnsi="Times New Roman" w:cs="Times New Roman"/>
                <w:sz w:val="18"/>
                <w:szCs w:val="18"/>
              </w:rPr>
              <w:t>0.348</w:t>
            </w:r>
          </w:p>
        </w:tc>
      </w:tr>
      <w:tr w:rsidR="008D2700" w14:paraId="71410A8B" w14:textId="77777777" w:rsidTr="00437634">
        <w:tc>
          <w:tcPr>
            <w:tcW w:w="2972" w:type="dxa"/>
          </w:tcPr>
          <w:p w14:paraId="61F981A1" w14:textId="4892D602" w:rsidR="008D2700" w:rsidRPr="000B7CA8" w:rsidRDefault="008D2700" w:rsidP="006D78DE">
            <w:pPr>
              <w:rPr>
                <w:rFonts w:asciiTheme="majorBidi" w:hAnsiTheme="majorBidi" w:cstheme="majorBidi"/>
                <w:i/>
                <w:iCs/>
                <w:color w:val="000000" w:themeColor="text1"/>
                <w:sz w:val="18"/>
                <w:szCs w:val="18"/>
              </w:rPr>
            </w:pPr>
            <w:r w:rsidRPr="000B7CA8">
              <w:rPr>
                <w:rFonts w:asciiTheme="majorBidi" w:hAnsiTheme="majorBidi" w:cstheme="majorBidi"/>
                <w:i/>
                <w:iCs/>
                <w:color w:val="000000" w:themeColor="text1"/>
                <w:sz w:val="18"/>
                <w:szCs w:val="20"/>
              </w:rPr>
              <w:t xml:space="preserve">Hansen </w:t>
            </w:r>
            <w:r>
              <w:rPr>
                <w:rFonts w:asciiTheme="majorBidi" w:hAnsiTheme="majorBidi" w:cstheme="majorBidi"/>
                <w:i/>
                <w:iCs/>
                <w:color w:val="000000" w:themeColor="text1"/>
                <w:sz w:val="18"/>
                <w:szCs w:val="20"/>
              </w:rPr>
              <w:t>t</w:t>
            </w:r>
            <w:r w:rsidRPr="000B7CA8">
              <w:rPr>
                <w:rFonts w:asciiTheme="majorBidi" w:hAnsiTheme="majorBidi" w:cstheme="majorBidi"/>
                <w:i/>
                <w:iCs/>
                <w:color w:val="000000" w:themeColor="text1"/>
                <w:sz w:val="18"/>
                <w:szCs w:val="20"/>
              </w:rPr>
              <w:t>est (p-value)</w:t>
            </w:r>
          </w:p>
        </w:tc>
        <w:tc>
          <w:tcPr>
            <w:tcW w:w="2835" w:type="dxa"/>
            <w:vAlign w:val="center"/>
          </w:tcPr>
          <w:p w14:paraId="46A47D7D" w14:textId="77777777" w:rsidR="008D2700" w:rsidRPr="00BC7D29" w:rsidRDefault="008D2700" w:rsidP="006D78DE">
            <w:pPr>
              <w:jc w:val="center"/>
              <w:rPr>
                <w:rFonts w:asciiTheme="majorBidi" w:hAnsiTheme="majorBidi" w:cstheme="majorBidi"/>
                <w:color w:val="000000" w:themeColor="text1"/>
                <w:sz w:val="18"/>
                <w:szCs w:val="18"/>
              </w:rPr>
            </w:pPr>
          </w:p>
        </w:tc>
        <w:tc>
          <w:tcPr>
            <w:tcW w:w="567" w:type="dxa"/>
            <w:vAlign w:val="center"/>
          </w:tcPr>
          <w:p w14:paraId="3BEED993" w14:textId="096018CF" w:rsidR="008D2700" w:rsidRPr="00BC7D29" w:rsidRDefault="008D2700" w:rsidP="006D78DE">
            <w:pPr>
              <w:jc w:val="center"/>
              <w:rPr>
                <w:rFonts w:asciiTheme="majorBidi" w:hAnsiTheme="majorBidi" w:cstheme="majorBidi"/>
                <w:color w:val="000000" w:themeColor="text1"/>
                <w:sz w:val="18"/>
                <w:szCs w:val="18"/>
              </w:rPr>
            </w:pPr>
          </w:p>
        </w:tc>
        <w:tc>
          <w:tcPr>
            <w:tcW w:w="2636" w:type="dxa"/>
            <w:vAlign w:val="center"/>
          </w:tcPr>
          <w:p w14:paraId="551DBF4F" w14:textId="77777777" w:rsidR="008D2700" w:rsidRPr="009D62BB" w:rsidRDefault="008D2700" w:rsidP="006D78DE">
            <w:pPr>
              <w:jc w:val="center"/>
              <w:rPr>
                <w:rFonts w:ascii="Times New Roman" w:hAnsi="Times New Roman" w:cs="Times New Roman"/>
                <w:sz w:val="18"/>
                <w:szCs w:val="18"/>
              </w:rPr>
            </w:pPr>
            <w:r>
              <w:rPr>
                <w:rFonts w:ascii="Times New Roman" w:hAnsi="Times New Roman" w:cs="Times New Roman"/>
                <w:sz w:val="18"/>
                <w:szCs w:val="18"/>
              </w:rPr>
              <w:t>0.200</w:t>
            </w:r>
          </w:p>
        </w:tc>
      </w:tr>
      <w:tr w:rsidR="008D2700" w14:paraId="2CB9A7DD" w14:textId="77777777" w:rsidTr="00437634">
        <w:tc>
          <w:tcPr>
            <w:tcW w:w="2972" w:type="dxa"/>
          </w:tcPr>
          <w:p w14:paraId="673E7652" w14:textId="58A838AB" w:rsidR="008D2700" w:rsidRDefault="008D2700" w:rsidP="006D78DE">
            <w:pPr>
              <w:rPr>
                <w:rFonts w:asciiTheme="majorBidi" w:hAnsiTheme="majorBidi" w:cstheme="majorBidi"/>
                <w:i/>
                <w:iCs/>
                <w:color w:val="000000" w:themeColor="text1"/>
                <w:sz w:val="18"/>
                <w:szCs w:val="20"/>
              </w:rPr>
            </w:pPr>
            <w:r w:rsidRPr="000B7CA8">
              <w:rPr>
                <w:rFonts w:ascii="Times New Roman" w:hAnsi="Times New Roman" w:cs="Times New Roman"/>
                <w:i/>
                <w:iCs/>
                <w:color w:val="000000"/>
                <w:sz w:val="18"/>
                <w:szCs w:val="20"/>
              </w:rPr>
              <w:t xml:space="preserve">Wald </w:t>
            </w:r>
            <w:r>
              <w:rPr>
                <w:rFonts w:ascii="Times New Roman" w:hAnsi="Times New Roman" w:cs="Times New Roman"/>
                <w:i/>
                <w:iCs/>
                <w:color w:val="000000"/>
                <w:sz w:val="18"/>
                <w:szCs w:val="20"/>
              </w:rPr>
              <w:t>c</w:t>
            </w:r>
            <w:r w:rsidRPr="000B7CA8">
              <w:rPr>
                <w:rFonts w:ascii="Times New Roman" w:hAnsi="Times New Roman" w:cs="Times New Roman"/>
                <w:i/>
                <w:iCs/>
                <w:color w:val="000000"/>
                <w:sz w:val="18"/>
                <w:szCs w:val="20"/>
              </w:rPr>
              <w:t>hi</w:t>
            </w:r>
            <w:r w:rsidRPr="000B7CA8">
              <w:rPr>
                <w:rFonts w:ascii="Times New Roman" w:hAnsi="Times New Roman" w:cs="Times New Roman"/>
                <w:i/>
                <w:iCs/>
                <w:color w:val="000000"/>
                <w:sz w:val="18"/>
                <w:szCs w:val="20"/>
                <w:vertAlign w:val="superscript"/>
              </w:rPr>
              <w:t>2</w:t>
            </w:r>
            <w:r w:rsidRPr="000B7CA8">
              <w:rPr>
                <w:rFonts w:ascii="Times New Roman" w:hAnsi="Times New Roman" w:cs="Times New Roman"/>
                <w:i/>
                <w:iCs/>
                <w:color w:val="000000"/>
                <w:sz w:val="18"/>
                <w:szCs w:val="20"/>
              </w:rPr>
              <w:t xml:space="preserve"> </w:t>
            </w:r>
          </w:p>
        </w:tc>
        <w:tc>
          <w:tcPr>
            <w:tcW w:w="2835" w:type="dxa"/>
            <w:vAlign w:val="center"/>
          </w:tcPr>
          <w:p w14:paraId="038CFF16" w14:textId="77777777" w:rsidR="008D2700" w:rsidRPr="00BC7D29" w:rsidRDefault="008D2700" w:rsidP="006D78DE">
            <w:pPr>
              <w:jc w:val="center"/>
              <w:rPr>
                <w:rFonts w:asciiTheme="majorBidi" w:hAnsiTheme="majorBidi" w:cstheme="majorBidi"/>
                <w:color w:val="000000" w:themeColor="text1"/>
                <w:sz w:val="18"/>
                <w:szCs w:val="18"/>
              </w:rPr>
            </w:pPr>
          </w:p>
        </w:tc>
        <w:tc>
          <w:tcPr>
            <w:tcW w:w="567" w:type="dxa"/>
            <w:vAlign w:val="center"/>
          </w:tcPr>
          <w:p w14:paraId="624E237E" w14:textId="1CE475EE" w:rsidR="008D2700" w:rsidRPr="00BC7D29" w:rsidRDefault="008D2700" w:rsidP="006D78DE">
            <w:pPr>
              <w:jc w:val="center"/>
              <w:rPr>
                <w:rFonts w:asciiTheme="majorBidi" w:hAnsiTheme="majorBidi" w:cstheme="majorBidi"/>
                <w:color w:val="000000" w:themeColor="text1"/>
                <w:sz w:val="18"/>
                <w:szCs w:val="18"/>
              </w:rPr>
            </w:pPr>
          </w:p>
        </w:tc>
        <w:tc>
          <w:tcPr>
            <w:tcW w:w="2636" w:type="dxa"/>
            <w:vAlign w:val="center"/>
          </w:tcPr>
          <w:p w14:paraId="6AB494B4" w14:textId="77777777" w:rsidR="008D2700" w:rsidRDefault="008D2700" w:rsidP="006D78DE">
            <w:pPr>
              <w:jc w:val="center"/>
              <w:rPr>
                <w:rFonts w:ascii="Times New Roman" w:hAnsi="Times New Roman" w:cs="Times New Roman"/>
                <w:sz w:val="18"/>
                <w:szCs w:val="18"/>
              </w:rPr>
            </w:pPr>
            <w:r w:rsidRPr="00A8060A">
              <w:rPr>
                <w:rFonts w:ascii="Times New Roman" w:hAnsi="Times New Roman" w:cs="Times New Roman"/>
                <w:sz w:val="18"/>
                <w:szCs w:val="18"/>
              </w:rPr>
              <w:t>351.90</w:t>
            </w:r>
            <w:r>
              <w:rPr>
                <w:rFonts w:ascii="Times New Roman" w:hAnsi="Times New Roman" w:cs="Times New Roman"/>
                <w:sz w:val="18"/>
                <w:szCs w:val="18"/>
              </w:rPr>
              <w:t>***</w:t>
            </w:r>
          </w:p>
        </w:tc>
      </w:tr>
      <w:tr w:rsidR="008D2700" w14:paraId="1C0C46C9" w14:textId="77777777" w:rsidTr="00437634">
        <w:tc>
          <w:tcPr>
            <w:tcW w:w="2972" w:type="dxa"/>
            <w:tcBorders>
              <w:bottom w:val="single" w:sz="6" w:space="0" w:color="auto"/>
            </w:tcBorders>
          </w:tcPr>
          <w:p w14:paraId="6969A765" w14:textId="0E972D0E" w:rsidR="008D2700" w:rsidRPr="000B7CA8" w:rsidRDefault="008D2700" w:rsidP="006D78DE">
            <w:pPr>
              <w:rPr>
                <w:rFonts w:ascii="Times New Roman" w:hAnsi="Times New Roman" w:cs="Times New Roman"/>
                <w:i/>
                <w:iCs/>
                <w:sz w:val="18"/>
                <w:szCs w:val="18"/>
              </w:rPr>
            </w:pPr>
            <w:r w:rsidRPr="000B7CA8">
              <w:rPr>
                <w:rFonts w:asciiTheme="majorBidi" w:hAnsiTheme="majorBidi" w:cstheme="majorBidi"/>
                <w:i/>
                <w:iCs/>
                <w:color w:val="000000" w:themeColor="text1"/>
                <w:sz w:val="18"/>
                <w:szCs w:val="18"/>
              </w:rPr>
              <w:t>N</w:t>
            </w:r>
          </w:p>
        </w:tc>
        <w:tc>
          <w:tcPr>
            <w:tcW w:w="2835" w:type="dxa"/>
            <w:tcBorders>
              <w:bottom w:val="single" w:sz="6" w:space="0" w:color="auto"/>
            </w:tcBorders>
            <w:vAlign w:val="center"/>
          </w:tcPr>
          <w:p w14:paraId="364FC955" w14:textId="77777777" w:rsidR="008D2700" w:rsidRPr="009D62BB" w:rsidRDefault="008D2700" w:rsidP="006D78DE">
            <w:pPr>
              <w:jc w:val="center"/>
              <w:rPr>
                <w:rFonts w:ascii="Times New Roman" w:hAnsi="Times New Roman" w:cs="Times New Roman"/>
                <w:sz w:val="18"/>
                <w:szCs w:val="18"/>
              </w:rPr>
            </w:pPr>
            <w:r w:rsidRPr="006F5E48">
              <w:rPr>
                <w:rFonts w:ascii="Times New Roman" w:hAnsi="Times New Roman" w:cs="Times New Roman"/>
                <w:sz w:val="18"/>
                <w:szCs w:val="18"/>
              </w:rPr>
              <w:t>115</w:t>
            </w:r>
          </w:p>
        </w:tc>
        <w:tc>
          <w:tcPr>
            <w:tcW w:w="567" w:type="dxa"/>
            <w:tcBorders>
              <w:bottom w:val="single" w:sz="6" w:space="0" w:color="auto"/>
            </w:tcBorders>
            <w:vAlign w:val="center"/>
          </w:tcPr>
          <w:p w14:paraId="1547ACEE" w14:textId="19E66224" w:rsidR="008D2700" w:rsidRPr="009D62BB" w:rsidRDefault="008D2700" w:rsidP="006D78DE">
            <w:pPr>
              <w:jc w:val="center"/>
              <w:rPr>
                <w:rFonts w:ascii="Times New Roman" w:hAnsi="Times New Roman" w:cs="Times New Roman"/>
                <w:sz w:val="18"/>
                <w:szCs w:val="18"/>
              </w:rPr>
            </w:pPr>
          </w:p>
        </w:tc>
        <w:tc>
          <w:tcPr>
            <w:tcW w:w="2636" w:type="dxa"/>
            <w:tcBorders>
              <w:bottom w:val="single" w:sz="6" w:space="0" w:color="auto"/>
            </w:tcBorders>
            <w:vAlign w:val="center"/>
          </w:tcPr>
          <w:p w14:paraId="79C1D4C3" w14:textId="77777777" w:rsidR="008D2700" w:rsidRPr="009D62BB" w:rsidRDefault="008D2700" w:rsidP="006D78DE">
            <w:pPr>
              <w:jc w:val="center"/>
              <w:rPr>
                <w:rFonts w:ascii="Times New Roman" w:hAnsi="Times New Roman" w:cs="Times New Roman"/>
                <w:sz w:val="18"/>
                <w:szCs w:val="18"/>
              </w:rPr>
            </w:pPr>
            <w:r w:rsidRPr="00A8060A">
              <w:rPr>
                <w:rFonts w:ascii="Times New Roman" w:hAnsi="Times New Roman" w:cs="Times New Roman"/>
                <w:sz w:val="18"/>
                <w:szCs w:val="18"/>
              </w:rPr>
              <w:t>52</w:t>
            </w:r>
            <w:r>
              <w:rPr>
                <w:rFonts w:ascii="Times New Roman" w:hAnsi="Times New Roman" w:cs="Times New Roman"/>
                <w:sz w:val="18"/>
                <w:szCs w:val="18"/>
              </w:rPr>
              <w:t>6</w:t>
            </w:r>
          </w:p>
        </w:tc>
      </w:tr>
      <w:tr w:rsidR="005F0E39" w14:paraId="1E44C54F" w14:textId="77777777" w:rsidTr="007F6189">
        <w:trPr>
          <w:trHeight w:val="352"/>
        </w:trPr>
        <w:tc>
          <w:tcPr>
            <w:tcW w:w="9010" w:type="dxa"/>
            <w:gridSpan w:val="4"/>
          </w:tcPr>
          <w:p w14:paraId="648D5D65" w14:textId="214FD47B" w:rsidR="005F0E39" w:rsidRPr="00A8060A" w:rsidRDefault="005F0E39" w:rsidP="006D78DE">
            <w:pPr>
              <w:rPr>
                <w:rFonts w:ascii="Times New Roman" w:hAnsi="Times New Roman" w:cs="Times New Roman"/>
                <w:sz w:val="18"/>
                <w:szCs w:val="18"/>
              </w:rPr>
            </w:pPr>
            <w:r w:rsidRPr="007F6189">
              <w:rPr>
                <w:rFonts w:ascii="Times New Roman" w:hAnsi="Times New Roman" w:cs="Times New Roman"/>
                <w:color w:val="000000"/>
                <w:sz w:val="20"/>
                <w:szCs w:val="20"/>
              </w:rPr>
              <w:t>Notes: This table presents the results of Propensity Score Matching (PSM</w:t>
            </w:r>
            <w:proofErr w:type="gramStart"/>
            <w:r w:rsidRPr="007F6189">
              <w:rPr>
                <w:rFonts w:ascii="Times New Roman" w:hAnsi="Times New Roman" w:cs="Times New Roman"/>
                <w:color w:val="000000"/>
                <w:sz w:val="20"/>
                <w:szCs w:val="20"/>
              </w:rPr>
              <w:t>)</w:t>
            </w:r>
            <w:proofErr w:type="gramEnd"/>
            <w:r w:rsidRPr="007F6189">
              <w:rPr>
                <w:rFonts w:ascii="Times New Roman" w:hAnsi="Times New Roman" w:cs="Times New Roman"/>
                <w:color w:val="000000"/>
                <w:sz w:val="20"/>
                <w:szCs w:val="20"/>
              </w:rPr>
              <w:t xml:space="preserve"> and</w:t>
            </w:r>
            <w:r w:rsidRPr="007F6189">
              <w:rPr>
                <w:rFonts w:ascii="Times New Roman" w:hAnsi="Times New Roman" w:cs="Times New Roman"/>
                <w:color w:val="000000"/>
                <w:sz w:val="20"/>
              </w:rPr>
              <w:t xml:space="preserve"> system generalized method of moments (GMM) regressions for the effect of AC chair narcissism on the quality of non-IFRS disclosure.</w:t>
            </w:r>
            <w:r w:rsidR="00E17D63" w:rsidRPr="007F6189">
              <w:rPr>
                <w:rFonts w:ascii="Times New Roman" w:hAnsi="Times New Roman" w:cs="Times New Roman"/>
                <w:color w:val="000000"/>
                <w:sz w:val="20"/>
              </w:rPr>
              <w:t xml:space="preserve"> </w:t>
            </w:r>
            <w:r w:rsidR="00E17D63" w:rsidRPr="007F6189">
              <w:rPr>
                <w:rFonts w:ascii="Times New Roman" w:hAnsi="Times New Roman" w:cs="Times New Roman"/>
                <w:color w:val="000000"/>
                <w:sz w:val="20"/>
                <w:szCs w:val="20"/>
              </w:rPr>
              <w:t xml:space="preserve">The dependent variable in column (1) and (2) is </w:t>
            </w:r>
            <w:r w:rsidR="00E17D63" w:rsidRPr="007F6189">
              <w:rPr>
                <w:rFonts w:ascii="Times New Roman" w:hAnsi="Times New Roman" w:cs="Times New Roman"/>
                <w:i/>
                <w:iCs/>
                <w:color w:val="000000"/>
                <w:sz w:val="20"/>
                <w:szCs w:val="20"/>
              </w:rPr>
              <w:t>IFRSEPS</w:t>
            </w:r>
            <w:r w:rsidR="00E17D63" w:rsidRPr="007F6189">
              <w:rPr>
                <w:rFonts w:ascii="Times New Roman" w:hAnsi="Times New Roman" w:cs="Times New Roman"/>
                <w:i/>
                <w:iCs/>
                <w:color w:val="000000"/>
                <w:sz w:val="20"/>
                <w:szCs w:val="20"/>
                <w:vertAlign w:val="subscript"/>
              </w:rPr>
              <w:t>t+1</w:t>
            </w:r>
            <w:r w:rsidR="00E17D63" w:rsidRPr="007F6189">
              <w:rPr>
                <w:rFonts w:ascii="Times New Roman" w:hAnsi="Times New Roman" w:cs="Times New Roman"/>
                <w:color w:val="000000"/>
                <w:sz w:val="20"/>
                <w:szCs w:val="20"/>
              </w:rPr>
              <w:t>.</w:t>
            </w:r>
            <w:r w:rsidRPr="007F6189">
              <w:rPr>
                <w:rFonts w:ascii="Times New Roman" w:hAnsi="Times New Roman" w:cs="Times New Roman"/>
                <w:color w:val="000000"/>
                <w:sz w:val="20"/>
              </w:rPr>
              <w:t xml:space="preserve"> </w:t>
            </w:r>
            <w:r w:rsidRPr="007F6189">
              <w:rPr>
                <w:rFonts w:ascii="Times New Roman" w:hAnsi="Times New Roman" w:cs="Times New Roman"/>
                <w:color w:val="000000"/>
                <w:sz w:val="20"/>
                <w:szCs w:val="20"/>
              </w:rPr>
              <w:t>The coefficient</w:t>
            </w:r>
            <w:r w:rsidR="00E17D63" w:rsidRPr="007F6189">
              <w:rPr>
                <w:rFonts w:ascii="Times New Roman" w:hAnsi="Times New Roman" w:cs="Times New Roman"/>
                <w:color w:val="000000"/>
                <w:sz w:val="20"/>
                <w:szCs w:val="20"/>
              </w:rPr>
              <w:t>s</w:t>
            </w:r>
            <w:r w:rsidRPr="007F6189">
              <w:rPr>
                <w:rFonts w:ascii="Times New Roman" w:hAnsi="Times New Roman" w:cs="Times New Roman"/>
                <w:color w:val="000000"/>
                <w:sz w:val="20"/>
                <w:szCs w:val="20"/>
              </w:rPr>
              <w:t xml:space="preserve"> of interest </w:t>
            </w:r>
            <w:r w:rsidR="00E17D63" w:rsidRPr="007F6189">
              <w:rPr>
                <w:rFonts w:ascii="Times New Roman" w:hAnsi="Times New Roman" w:cs="Times New Roman"/>
                <w:color w:val="000000"/>
                <w:sz w:val="20"/>
                <w:szCs w:val="20"/>
              </w:rPr>
              <w:t>are</w:t>
            </w:r>
            <w:r w:rsidRPr="007F6189">
              <w:rPr>
                <w:rFonts w:ascii="Times New Roman" w:hAnsi="Times New Roman" w:cs="Times New Roman"/>
                <w:color w:val="000000"/>
                <w:sz w:val="20"/>
                <w:szCs w:val="20"/>
              </w:rPr>
              <w:t xml:space="preserve"> shown in bold. </w:t>
            </w:r>
            <w:r w:rsidRPr="007F6189">
              <w:rPr>
                <w:rFonts w:ascii="Times New Roman" w:hAnsi="Times New Roman" w:cs="Times New Roman"/>
                <w:color w:val="000000"/>
                <w:sz w:val="20"/>
              </w:rPr>
              <w:t xml:space="preserve"> t-statistics for PSM and z-statistics for GMM are reported in parentheses. </w:t>
            </w:r>
            <w:r w:rsidRPr="007F6189">
              <w:rPr>
                <w:rFonts w:ascii="Times New Roman" w:hAnsi="Times New Roman" w:cs="Times New Roman"/>
                <w:color w:val="000000"/>
                <w:sz w:val="20"/>
                <w:szCs w:val="20"/>
              </w:rPr>
              <w:t xml:space="preserve">Control variables are omitted for brevity. *, **, and *** indicate statistical significance </w:t>
            </w:r>
            <w:r w:rsidR="00E17D63" w:rsidRPr="007F6189">
              <w:rPr>
                <w:rFonts w:ascii="Times New Roman" w:hAnsi="Times New Roman" w:cs="Times New Roman"/>
                <w:color w:val="000000"/>
                <w:sz w:val="20"/>
                <w:szCs w:val="20"/>
              </w:rPr>
              <w:t xml:space="preserve">at the 10%, 5%, and 1% levels, respectively. </w:t>
            </w:r>
            <w:r w:rsidRPr="007F6189">
              <w:rPr>
                <w:rFonts w:ascii="Times New Roman" w:hAnsi="Times New Roman" w:cs="Times New Roman"/>
                <w:color w:val="000000"/>
                <w:sz w:val="20"/>
                <w:szCs w:val="20"/>
              </w:rPr>
              <w:t xml:space="preserve">All continuous variables are </w:t>
            </w:r>
            <w:proofErr w:type="spellStart"/>
            <w:r w:rsidRPr="007F6189">
              <w:rPr>
                <w:rFonts w:ascii="Times New Roman" w:hAnsi="Times New Roman" w:cs="Times New Roman"/>
                <w:color w:val="000000"/>
                <w:sz w:val="20"/>
                <w:szCs w:val="20"/>
              </w:rPr>
              <w:t>winsorized</w:t>
            </w:r>
            <w:proofErr w:type="spellEnd"/>
            <w:r w:rsidRPr="007F6189">
              <w:rPr>
                <w:rFonts w:ascii="Times New Roman" w:hAnsi="Times New Roman" w:cs="Times New Roman"/>
                <w:color w:val="000000"/>
                <w:sz w:val="20"/>
                <w:szCs w:val="20"/>
              </w:rPr>
              <w:t xml:space="preserve"> at 1% and 99% levels. Variables are defined in Appendix A.</w:t>
            </w:r>
          </w:p>
        </w:tc>
      </w:tr>
    </w:tbl>
    <w:p w14:paraId="00F80F46" w14:textId="77777777" w:rsidR="005F0E39" w:rsidRDefault="005F0E39" w:rsidP="0091178F"/>
    <w:p w14:paraId="09EAD5DF" w14:textId="32878521" w:rsidR="005F0E39" w:rsidRDefault="005F0E39" w:rsidP="0091178F"/>
    <w:p w14:paraId="140B10D7" w14:textId="77777777" w:rsidR="005F0E39" w:rsidRDefault="005F0E39">
      <w:pPr>
        <w:widowControl/>
        <w:spacing w:after="160" w:line="259" w:lineRule="auto"/>
        <w:jc w:val="left"/>
      </w:pPr>
      <w:r>
        <w:br w:type="page"/>
      </w:r>
    </w:p>
    <w:p w14:paraId="4909DF3F" w14:textId="77777777" w:rsidR="005F0E39" w:rsidRPr="005E73C2" w:rsidRDefault="005F0E39" w:rsidP="005F0E39">
      <w:pPr>
        <w:widowControl/>
        <w:jc w:val="center"/>
        <w:rPr>
          <w:rFonts w:asciiTheme="majorBidi" w:hAnsiTheme="majorBidi" w:cstheme="majorBidi"/>
          <w:color w:val="000000" w:themeColor="text1"/>
          <w:sz w:val="24"/>
          <w:szCs w:val="28"/>
        </w:rPr>
      </w:pPr>
      <w:r w:rsidRPr="005E73C2">
        <w:rPr>
          <w:rFonts w:asciiTheme="majorBidi" w:hAnsiTheme="majorBidi" w:cstheme="majorBidi"/>
          <w:b/>
          <w:bCs/>
          <w:color w:val="000000" w:themeColor="text1"/>
          <w:sz w:val="24"/>
          <w:szCs w:val="28"/>
        </w:rPr>
        <w:lastRenderedPageBreak/>
        <w:t>APPENDIX</w:t>
      </w:r>
    </w:p>
    <w:p w14:paraId="1AC661BC" w14:textId="77777777" w:rsidR="005F0E39" w:rsidRPr="007F6189" w:rsidRDefault="005F0E39" w:rsidP="005F0E39">
      <w:pPr>
        <w:rPr>
          <w:rFonts w:asciiTheme="majorBidi" w:hAnsiTheme="majorBidi" w:cstheme="majorBidi"/>
          <w:b/>
          <w:bCs/>
          <w:color w:val="000000" w:themeColor="text1"/>
          <w:sz w:val="20"/>
        </w:rPr>
      </w:pPr>
      <w:r w:rsidRPr="007F6189">
        <w:rPr>
          <w:rFonts w:asciiTheme="majorBidi" w:hAnsiTheme="majorBidi" w:cstheme="majorBidi"/>
          <w:b/>
          <w:bCs/>
          <w:color w:val="000000" w:themeColor="text1"/>
          <w:sz w:val="20"/>
        </w:rPr>
        <w:t>Appendix A</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6275"/>
      </w:tblGrid>
      <w:tr w:rsidR="005F0E39" w:rsidRPr="005E73C2" w14:paraId="662056B8" w14:textId="77777777" w:rsidTr="006D78DE">
        <w:tc>
          <w:tcPr>
            <w:tcW w:w="8359" w:type="dxa"/>
            <w:gridSpan w:val="2"/>
            <w:tcBorders>
              <w:top w:val="single" w:sz="6" w:space="0" w:color="auto"/>
            </w:tcBorders>
          </w:tcPr>
          <w:p w14:paraId="47A027B6" w14:textId="77777777" w:rsidR="005F0E39" w:rsidRPr="005E73C2" w:rsidRDefault="005F0E39" w:rsidP="006D78DE">
            <w:pPr>
              <w:rPr>
                <w:rFonts w:asciiTheme="majorBidi" w:hAnsiTheme="majorBidi" w:cstheme="majorBidi"/>
                <w:b/>
                <w:bCs/>
                <w:color w:val="000000" w:themeColor="text1"/>
                <w:sz w:val="18"/>
                <w:szCs w:val="18"/>
              </w:rPr>
            </w:pPr>
            <w:r w:rsidRPr="005E73C2">
              <w:rPr>
                <w:rFonts w:asciiTheme="majorBidi" w:hAnsiTheme="majorBidi" w:cstheme="majorBidi"/>
                <w:b/>
                <w:bCs/>
                <w:color w:val="000000" w:themeColor="text1"/>
                <w:sz w:val="18"/>
                <w:szCs w:val="18"/>
              </w:rPr>
              <w:t>Definitions of variables</w:t>
            </w:r>
          </w:p>
        </w:tc>
      </w:tr>
      <w:tr w:rsidR="005F0E39" w:rsidRPr="005E73C2" w14:paraId="591A4A39" w14:textId="77777777" w:rsidTr="006D78DE">
        <w:tc>
          <w:tcPr>
            <w:tcW w:w="2084" w:type="dxa"/>
          </w:tcPr>
          <w:p w14:paraId="01ABB660" w14:textId="77777777" w:rsidR="005F0E39" w:rsidRPr="005E73C2" w:rsidRDefault="005F0E39" w:rsidP="006D78DE">
            <w:pPr>
              <w:rPr>
                <w:rFonts w:asciiTheme="majorBidi" w:hAnsiTheme="majorBidi" w:cstheme="majorBidi"/>
                <w:b/>
                <w:bCs/>
                <w:color w:val="000000" w:themeColor="text1"/>
                <w:sz w:val="18"/>
                <w:szCs w:val="18"/>
              </w:rPr>
            </w:pPr>
            <w:r w:rsidRPr="005E73C2">
              <w:rPr>
                <w:rFonts w:asciiTheme="majorBidi" w:hAnsiTheme="majorBidi" w:cstheme="majorBidi"/>
                <w:b/>
                <w:bCs/>
                <w:noProof/>
                <w:color w:val="000000" w:themeColor="text1"/>
                <w:sz w:val="18"/>
                <w:szCs w:val="18"/>
                <w:lang w:val="en-GB" w:eastAsia="en-GB"/>
              </w:rPr>
              <mc:AlternateContent>
                <mc:Choice Requires="wps">
                  <w:drawing>
                    <wp:anchor distT="0" distB="0" distL="114300" distR="114300" simplePos="0" relativeHeight="251659264" behindDoc="0" locked="0" layoutInCell="1" allowOverlap="1" wp14:anchorId="003ED89A" wp14:editId="0608305D">
                      <wp:simplePos x="0" y="0"/>
                      <wp:positionH relativeFrom="column">
                        <wp:posOffset>-59055</wp:posOffset>
                      </wp:positionH>
                      <wp:positionV relativeFrom="paragraph">
                        <wp:posOffset>132715</wp:posOffset>
                      </wp:positionV>
                      <wp:extent cx="9188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1884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4DC4E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0.45pt" to="6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" strokecolor="windowText">
                      <v:stroke joinstyle="miter"/>
                    </v:line>
                  </w:pict>
                </mc:Fallback>
              </mc:AlternateContent>
            </w:r>
            <w:r w:rsidRPr="005E73C2">
              <w:rPr>
                <w:rFonts w:asciiTheme="majorBidi" w:hAnsiTheme="majorBidi" w:cstheme="majorBidi"/>
                <w:b/>
                <w:bCs/>
                <w:color w:val="000000" w:themeColor="text1"/>
                <w:sz w:val="18"/>
                <w:szCs w:val="18"/>
              </w:rPr>
              <w:t>Variable name</w:t>
            </w:r>
          </w:p>
        </w:tc>
        <w:tc>
          <w:tcPr>
            <w:tcW w:w="6275" w:type="dxa"/>
          </w:tcPr>
          <w:p w14:paraId="33803913" w14:textId="77777777" w:rsidR="005F0E39" w:rsidRPr="005E73C2" w:rsidRDefault="005F0E39" w:rsidP="006D78DE">
            <w:pPr>
              <w:rPr>
                <w:rFonts w:asciiTheme="majorBidi" w:hAnsiTheme="majorBidi" w:cstheme="majorBidi"/>
                <w:b/>
                <w:bCs/>
                <w:color w:val="000000" w:themeColor="text1"/>
                <w:sz w:val="18"/>
                <w:szCs w:val="18"/>
              </w:rPr>
            </w:pPr>
            <w:r w:rsidRPr="005E73C2">
              <w:rPr>
                <w:rFonts w:asciiTheme="majorBidi" w:hAnsiTheme="majorBidi" w:cstheme="majorBidi"/>
                <w:b/>
                <w:bCs/>
                <w:noProof/>
                <w:color w:val="000000" w:themeColor="text1"/>
                <w:sz w:val="18"/>
                <w:szCs w:val="18"/>
                <w:lang w:val="en-GB" w:eastAsia="en-GB"/>
              </w:rPr>
              <mc:AlternateContent>
                <mc:Choice Requires="wps">
                  <w:drawing>
                    <wp:anchor distT="0" distB="0" distL="114300" distR="114300" simplePos="0" relativeHeight="251660288" behindDoc="0" locked="0" layoutInCell="1" allowOverlap="1" wp14:anchorId="03341DE8" wp14:editId="016BFF06">
                      <wp:simplePos x="0" y="0"/>
                      <wp:positionH relativeFrom="column">
                        <wp:posOffset>-1905</wp:posOffset>
                      </wp:positionH>
                      <wp:positionV relativeFrom="paragraph">
                        <wp:posOffset>133985</wp:posOffset>
                      </wp:positionV>
                      <wp:extent cx="3844290" cy="9525"/>
                      <wp:effectExtent l="0" t="0" r="22860" b="28575"/>
                      <wp:wrapNone/>
                      <wp:docPr id="8" name="Straight Connector 8"/>
                      <wp:cNvGraphicFramePr/>
                      <a:graphic xmlns:a="http://schemas.openxmlformats.org/drawingml/2006/main">
                        <a:graphicData uri="http://schemas.microsoft.com/office/word/2010/wordprocessingShape">
                          <wps:wsp>
                            <wps:cNvCnPr/>
                            <wps:spPr>
                              <a:xfrm>
                                <a:off x="0" y="0"/>
                                <a:ext cx="3844290" cy="952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550B3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55pt" to="302.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" strokecolor="windowText">
                      <v:stroke joinstyle="miter"/>
                    </v:line>
                  </w:pict>
                </mc:Fallback>
              </mc:AlternateContent>
            </w:r>
            <w:r w:rsidRPr="005E73C2">
              <w:rPr>
                <w:rFonts w:asciiTheme="majorBidi" w:hAnsiTheme="majorBidi" w:cstheme="majorBidi"/>
                <w:b/>
                <w:bCs/>
                <w:color w:val="000000" w:themeColor="text1"/>
                <w:sz w:val="18"/>
                <w:szCs w:val="18"/>
              </w:rPr>
              <w:t>Definition</w:t>
            </w:r>
          </w:p>
        </w:tc>
      </w:tr>
      <w:tr w:rsidR="005F0E39" w:rsidRPr="005E73C2" w14:paraId="49553EDB" w14:textId="77777777" w:rsidTr="006D78DE">
        <w:tc>
          <w:tcPr>
            <w:tcW w:w="2084" w:type="dxa"/>
          </w:tcPr>
          <w:p w14:paraId="609E3FA7" w14:textId="30E7E7F0" w:rsidR="005F0E39" w:rsidRPr="005E73C2" w:rsidRDefault="00C91D2E"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NARCIS</w:t>
            </w:r>
          </w:p>
        </w:tc>
        <w:tc>
          <w:tcPr>
            <w:tcW w:w="6275" w:type="dxa"/>
          </w:tcPr>
          <w:p w14:paraId="31FCC66E"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area-per-letter signature size of the audit committee chair.</w:t>
            </w:r>
          </w:p>
        </w:tc>
      </w:tr>
      <w:tr w:rsidR="005F0E39" w:rsidRPr="005E73C2" w14:paraId="061A093A" w14:textId="77777777" w:rsidTr="006D78DE">
        <w:tc>
          <w:tcPr>
            <w:tcW w:w="2084" w:type="dxa"/>
          </w:tcPr>
          <w:p w14:paraId="665929AE" w14:textId="43703684"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NONIFRS</w:t>
            </w:r>
          </w:p>
        </w:tc>
        <w:tc>
          <w:tcPr>
            <w:tcW w:w="6275" w:type="dxa"/>
            <w:shd w:val="clear" w:color="auto" w:fill="FFFFFF" w:themeFill="background1"/>
          </w:tcPr>
          <w:p w14:paraId="05A0D50D"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 xml:space="preserve">Non-IFRS EPS, defined as </w:t>
            </w:r>
            <w:r>
              <w:rPr>
                <w:rFonts w:asciiTheme="majorBidi" w:hAnsiTheme="majorBidi" w:cstheme="majorBidi"/>
                <w:color w:val="000000" w:themeColor="text1"/>
                <w:sz w:val="18"/>
                <w:szCs w:val="18"/>
              </w:rPr>
              <w:t>u</w:t>
            </w:r>
            <w:r w:rsidRPr="005E73C2">
              <w:rPr>
                <w:rFonts w:asciiTheme="majorBidi" w:hAnsiTheme="majorBidi" w:cstheme="majorBidi"/>
                <w:color w:val="000000" w:themeColor="text1"/>
                <w:sz w:val="18"/>
                <w:szCs w:val="18"/>
              </w:rPr>
              <w:t>nderlying, adjusted, headline, core, or earnings per share before exceptional items.</w:t>
            </w:r>
          </w:p>
        </w:tc>
      </w:tr>
      <w:tr w:rsidR="005F0E39" w:rsidRPr="005E73C2" w14:paraId="7664AD11" w14:textId="77777777" w:rsidTr="006D78DE">
        <w:tc>
          <w:tcPr>
            <w:tcW w:w="2084" w:type="dxa"/>
          </w:tcPr>
          <w:p w14:paraId="2FE09DB5"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EXCLUSION</w:t>
            </w:r>
          </w:p>
        </w:tc>
        <w:tc>
          <w:tcPr>
            <w:tcW w:w="6275" w:type="dxa"/>
          </w:tcPr>
          <w:p w14:paraId="570F05F7"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difference between No-IFRS EPS and IFRS EPS, wherein IFRS EPS is the reported earnings per share from continuing operations.</w:t>
            </w:r>
          </w:p>
        </w:tc>
      </w:tr>
      <w:tr w:rsidR="005F0E39" w:rsidRPr="005E73C2" w14:paraId="46EC3023" w14:textId="77777777" w:rsidTr="006D78DE">
        <w:tc>
          <w:tcPr>
            <w:tcW w:w="2084" w:type="dxa"/>
          </w:tcPr>
          <w:p w14:paraId="0F506B4D"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IFRSEPS</w:t>
            </w:r>
          </w:p>
        </w:tc>
        <w:tc>
          <w:tcPr>
            <w:tcW w:w="6275" w:type="dxa"/>
          </w:tcPr>
          <w:p w14:paraId="1B3121D9"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Reported earnings per share from continuing operations in year t+1.</w:t>
            </w:r>
          </w:p>
        </w:tc>
      </w:tr>
      <w:tr w:rsidR="005F0E39" w:rsidRPr="005E73C2" w14:paraId="02FB6028" w14:textId="77777777" w:rsidTr="006D78DE">
        <w:tc>
          <w:tcPr>
            <w:tcW w:w="2084" w:type="dxa"/>
          </w:tcPr>
          <w:p w14:paraId="6DFF924B"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LOSS</w:t>
            </w:r>
          </w:p>
        </w:tc>
        <w:tc>
          <w:tcPr>
            <w:tcW w:w="6275" w:type="dxa"/>
          </w:tcPr>
          <w:p w14:paraId="009C3073"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An indicator variable which equals 1 if the IFRS EPS is negative, and 0 otherwise.</w:t>
            </w:r>
          </w:p>
        </w:tc>
      </w:tr>
      <w:tr w:rsidR="005F0E39" w:rsidRPr="005E73C2" w14:paraId="7F60C774" w14:textId="77777777" w:rsidTr="006D78DE">
        <w:tc>
          <w:tcPr>
            <w:tcW w:w="2084" w:type="dxa"/>
          </w:tcPr>
          <w:p w14:paraId="00A490BD" w14:textId="1D5A3230" w:rsidR="005F0E39" w:rsidRPr="005E73C2" w:rsidRDefault="009E605C"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SG</w:t>
            </w:r>
          </w:p>
        </w:tc>
        <w:tc>
          <w:tcPr>
            <w:tcW w:w="6275" w:type="dxa"/>
          </w:tcPr>
          <w:p w14:paraId="44515619"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percentage increase in revenue in comparison to the previous year.</w:t>
            </w:r>
          </w:p>
        </w:tc>
      </w:tr>
      <w:tr w:rsidR="005F0E39" w:rsidRPr="005E73C2" w14:paraId="20FA8FDC" w14:textId="77777777" w:rsidTr="006D78DE">
        <w:tc>
          <w:tcPr>
            <w:tcW w:w="2084" w:type="dxa"/>
          </w:tcPr>
          <w:p w14:paraId="3ED0A89F" w14:textId="7E04B79D"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AGE</w:t>
            </w:r>
          </w:p>
        </w:tc>
        <w:tc>
          <w:tcPr>
            <w:tcW w:w="6275" w:type="dxa"/>
          </w:tcPr>
          <w:p w14:paraId="65E1C2C9"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natural logarithm of the number of years since the company was founded.</w:t>
            </w:r>
          </w:p>
        </w:tc>
      </w:tr>
      <w:tr w:rsidR="005F0E39" w:rsidRPr="005E73C2" w14:paraId="1C7E985F" w14:textId="77777777" w:rsidTr="006D78DE">
        <w:tc>
          <w:tcPr>
            <w:tcW w:w="2084" w:type="dxa"/>
          </w:tcPr>
          <w:p w14:paraId="476DA18B" w14:textId="45A13349" w:rsidR="005F0E39" w:rsidRPr="005E73C2" w:rsidRDefault="00786085"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SIZE</w:t>
            </w:r>
          </w:p>
        </w:tc>
        <w:tc>
          <w:tcPr>
            <w:tcW w:w="6275" w:type="dxa"/>
          </w:tcPr>
          <w:p w14:paraId="53DB3B4B"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natural logarithm of the market value of equity at the fiscal year end.</w:t>
            </w:r>
          </w:p>
        </w:tc>
      </w:tr>
      <w:tr w:rsidR="005F0E39" w:rsidRPr="005E73C2" w14:paraId="6E457B81" w14:textId="77777777" w:rsidTr="006D78DE">
        <w:tc>
          <w:tcPr>
            <w:tcW w:w="2084" w:type="dxa"/>
          </w:tcPr>
          <w:p w14:paraId="3FA82C1C" w14:textId="54395EB2"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ACCRUAL</w:t>
            </w:r>
          </w:p>
        </w:tc>
        <w:tc>
          <w:tcPr>
            <w:tcW w:w="6275" w:type="dxa"/>
          </w:tcPr>
          <w:p w14:paraId="31B0FF78"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IFRS earnings minus cash flows from operations, scaled by sales revenue.</w:t>
            </w:r>
          </w:p>
        </w:tc>
      </w:tr>
      <w:tr w:rsidR="005F0E39" w:rsidRPr="005E73C2" w14:paraId="42580607" w14:textId="77777777" w:rsidTr="006D78DE">
        <w:tc>
          <w:tcPr>
            <w:tcW w:w="2084" w:type="dxa"/>
          </w:tcPr>
          <w:p w14:paraId="7A9FE6B1" w14:textId="30E4160E"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DU</w:t>
            </w:r>
            <w:r w:rsidR="00786085">
              <w:rPr>
                <w:rFonts w:asciiTheme="majorBidi" w:hAnsiTheme="majorBidi" w:cstheme="majorBidi"/>
                <w:i/>
                <w:iCs/>
                <w:color w:val="000000" w:themeColor="text1"/>
                <w:sz w:val="18"/>
                <w:szCs w:val="18"/>
              </w:rPr>
              <w:t>AL</w:t>
            </w:r>
          </w:p>
        </w:tc>
        <w:tc>
          <w:tcPr>
            <w:tcW w:w="6275" w:type="dxa"/>
          </w:tcPr>
          <w:p w14:paraId="6362049E"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A dummy variable coded 1 if the company CEO is the board chair, and 0 otherwise.</w:t>
            </w:r>
          </w:p>
        </w:tc>
      </w:tr>
      <w:tr w:rsidR="005F0E39" w:rsidRPr="005E73C2" w14:paraId="2860E8FE" w14:textId="77777777" w:rsidTr="006D78DE">
        <w:tc>
          <w:tcPr>
            <w:tcW w:w="2084" w:type="dxa"/>
          </w:tcPr>
          <w:p w14:paraId="45EC1236" w14:textId="4463DA73"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TENU</w:t>
            </w:r>
            <w:r w:rsidR="00786085">
              <w:rPr>
                <w:rFonts w:asciiTheme="majorBidi" w:hAnsiTheme="majorBidi" w:cstheme="majorBidi"/>
                <w:i/>
                <w:iCs/>
                <w:color w:val="000000" w:themeColor="text1"/>
                <w:sz w:val="18"/>
                <w:szCs w:val="18"/>
              </w:rPr>
              <w:t>RE</w:t>
            </w:r>
          </w:p>
        </w:tc>
        <w:tc>
          <w:tcPr>
            <w:tcW w:w="6275" w:type="dxa"/>
          </w:tcPr>
          <w:p w14:paraId="0C836907"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CEO’s length of service in the company.</w:t>
            </w:r>
          </w:p>
        </w:tc>
      </w:tr>
      <w:tr w:rsidR="005F0E39" w:rsidRPr="005E73C2" w14:paraId="00E93773" w14:textId="77777777" w:rsidTr="006D78DE">
        <w:tc>
          <w:tcPr>
            <w:tcW w:w="2084" w:type="dxa"/>
          </w:tcPr>
          <w:p w14:paraId="28D71BA3" w14:textId="2CF9721E"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LEV</w:t>
            </w:r>
          </w:p>
        </w:tc>
        <w:tc>
          <w:tcPr>
            <w:tcW w:w="6275" w:type="dxa"/>
          </w:tcPr>
          <w:p w14:paraId="5F4BFB01"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ratio between total liabilities and total assets.</w:t>
            </w:r>
          </w:p>
        </w:tc>
      </w:tr>
      <w:tr w:rsidR="005F0E39" w:rsidRPr="005E73C2" w14:paraId="4A42496C" w14:textId="77777777" w:rsidTr="006D78DE">
        <w:tc>
          <w:tcPr>
            <w:tcW w:w="2084" w:type="dxa"/>
          </w:tcPr>
          <w:p w14:paraId="0E00E157"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ROA</w:t>
            </w:r>
          </w:p>
        </w:tc>
        <w:tc>
          <w:tcPr>
            <w:tcW w:w="6275" w:type="dxa"/>
          </w:tcPr>
          <w:p w14:paraId="52D180AD"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Earnings before taxation, divided by total assets.</w:t>
            </w:r>
          </w:p>
        </w:tc>
      </w:tr>
      <w:tr w:rsidR="005F0E39" w:rsidRPr="005E73C2" w14:paraId="15005792" w14:textId="77777777" w:rsidTr="006D78DE">
        <w:tc>
          <w:tcPr>
            <w:tcW w:w="2084" w:type="dxa"/>
          </w:tcPr>
          <w:p w14:paraId="6C078AD9" w14:textId="2A05247F"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B</w:t>
            </w:r>
            <w:r w:rsidR="00786085">
              <w:rPr>
                <w:rFonts w:asciiTheme="majorBidi" w:hAnsiTheme="majorBidi" w:cstheme="majorBidi"/>
                <w:i/>
                <w:iCs/>
                <w:color w:val="000000" w:themeColor="text1"/>
                <w:sz w:val="18"/>
                <w:szCs w:val="18"/>
              </w:rPr>
              <w:t>D</w:t>
            </w:r>
            <w:r w:rsidRPr="005E73C2">
              <w:rPr>
                <w:rFonts w:asciiTheme="majorBidi" w:hAnsiTheme="majorBidi" w:cstheme="majorBidi"/>
                <w:i/>
                <w:iCs/>
                <w:color w:val="000000" w:themeColor="text1"/>
                <w:sz w:val="18"/>
                <w:szCs w:val="18"/>
              </w:rPr>
              <w:t>SIZE</w:t>
            </w:r>
          </w:p>
        </w:tc>
        <w:tc>
          <w:tcPr>
            <w:tcW w:w="6275" w:type="dxa"/>
          </w:tcPr>
          <w:p w14:paraId="7866A622"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total number of directors on the company’s board during the year.</w:t>
            </w:r>
          </w:p>
        </w:tc>
      </w:tr>
      <w:tr w:rsidR="005F0E39" w:rsidRPr="005E73C2" w14:paraId="18FFEDB7" w14:textId="77777777" w:rsidTr="006D78DE">
        <w:tc>
          <w:tcPr>
            <w:tcW w:w="2084" w:type="dxa"/>
          </w:tcPr>
          <w:p w14:paraId="492C4133" w14:textId="480DE87F"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IND</w:t>
            </w:r>
            <w:r w:rsidR="00786085">
              <w:rPr>
                <w:rFonts w:asciiTheme="majorBidi" w:hAnsiTheme="majorBidi" w:cstheme="majorBidi"/>
                <w:i/>
                <w:iCs/>
                <w:color w:val="000000" w:themeColor="text1"/>
                <w:sz w:val="18"/>
                <w:szCs w:val="18"/>
              </w:rPr>
              <w:t>EP</w:t>
            </w:r>
          </w:p>
        </w:tc>
        <w:tc>
          <w:tcPr>
            <w:tcW w:w="6275" w:type="dxa"/>
          </w:tcPr>
          <w:p w14:paraId="41CE0E1B"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percentage of independent directors on the board.</w:t>
            </w:r>
          </w:p>
        </w:tc>
      </w:tr>
      <w:tr w:rsidR="005F0E39" w:rsidRPr="005E73C2" w14:paraId="1C269021" w14:textId="77777777" w:rsidTr="006D78DE">
        <w:tc>
          <w:tcPr>
            <w:tcW w:w="2084" w:type="dxa"/>
          </w:tcPr>
          <w:p w14:paraId="2D4F3908"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ACSIZE</w:t>
            </w:r>
          </w:p>
        </w:tc>
        <w:tc>
          <w:tcPr>
            <w:tcW w:w="6275" w:type="dxa"/>
          </w:tcPr>
          <w:p w14:paraId="534BC08C"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proportion of AC members to the total number of directors on the board.</w:t>
            </w:r>
          </w:p>
        </w:tc>
      </w:tr>
      <w:tr w:rsidR="005F0E39" w:rsidRPr="005E73C2" w14:paraId="3173DEBB" w14:textId="77777777" w:rsidTr="006D78DE">
        <w:tc>
          <w:tcPr>
            <w:tcW w:w="2084" w:type="dxa"/>
          </w:tcPr>
          <w:p w14:paraId="0E741097" w14:textId="462DAC14"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FEMALE</w:t>
            </w:r>
          </w:p>
        </w:tc>
        <w:tc>
          <w:tcPr>
            <w:tcW w:w="6275" w:type="dxa"/>
          </w:tcPr>
          <w:p w14:paraId="15AD3917"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percentage of females on the audit committee.</w:t>
            </w:r>
          </w:p>
        </w:tc>
      </w:tr>
      <w:tr w:rsidR="005F0E39" w:rsidRPr="005E73C2" w14:paraId="5576344E" w14:textId="77777777" w:rsidTr="006D78DE">
        <w:tc>
          <w:tcPr>
            <w:tcW w:w="2084" w:type="dxa"/>
          </w:tcPr>
          <w:p w14:paraId="45346853" w14:textId="7A2DCBB4"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ACCEXP</w:t>
            </w:r>
          </w:p>
        </w:tc>
        <w:tc>
          <w:tcPr>
            <w:tcW w:w="6275" w:type="dxa"/>
          </w:tcPr>
          <w:p w14:paraId="0693216E"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percentage of AC members who have accounting expertise.</w:t>
            </w:r>
          </w:p>
        </w:tc>
      </w:tr>
      <w:tr w:rsidR="005F0E39" w:rsidRPr="005E73C2" w14:paraId="0ED07F15" w14:textId="77777777" w:rsidTr="006D78DE">
        <w:tc>
          <w:tcPr>
            <w:tcW w:w="2084" w:type="dxa"/>
          </w:tcPr>
          <w:p w14:paraId="32C168C8" w14:textId="5CEB6146" w:rsidR="005F0E39" w:rsidRPr="005E73C2" w:rsidRDefault="005F0E39" w:rsidP="006D78DE">
            <w:pPr>
              <w:rPr>
                <w:rFonts w:asciiTheme="majorBidi" w:hAnsiTheme="majorBidi" w:cstheme="majorBidi"/>
                <w:i/>
                <w:iCs/>
                <w:color w:val="000000" w:themeColor="text1"/>
                <w:sz w:val="18"/>
                <w:szCs w:val="18"/>
              </w:rPr>
            </w:pPr>
            <w:r w:rsidRPr="00BC7D29">
              <w:rPr>
                <w:rFonts w:ascii="Times New Roman" w:hAnsi="Times New Roman" w:cs="Times New Roman"/>
                <w:i/>
                <w:iCs/>
                <w:sz w:val="18"/>
                <w:szCs w:val="18"/>
              </w:rPr>
              <w:t>COMPEN</w:t>
            </w:r>
            <w:r w:rsidR="00786085">
              <w:rPr>
                <w:rFonts w:ascii="Times New Roman" w:hAnsi="Times New Roman" w:cs="Times New Roman"/>
                <w:i/>
                <w:iCs/>
                <w:sz w:val="18"/>
                <w:szCs w:val="18"/>
              </w:rPr>
              <w:t>SATION</w:t>
            </w:r>
          </w:p>
        </w:tc>
        <w:tc>
          <w:tcPr>
            <w:tcW w:w="6275" w:type="dxa"/>
          </w:tcPr>
          <w:p w14:paraId="40DD8F55" w14:textId="77777777" w:rsidR="005F0E39" w:rsidRPr="005E73C2" w:rsidRDefault="005F0E39" w:rsidP="006D78DE">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The natural logarithm of the AC chair’s annual salary.</w:t>
            </w:r>
          </w:p>
        </w:tc>
      </w:tr>
      <w:tr w:rsidR="005F0E39" w:rsidRPr="005E73C2" w14:paraId="5A2B2F7A" w14:textId="77777777" w:rsidTr="006D78DE">
        <w:tc>
          <w:tcPr>
            <w:tcW w:w="2084" w:type="dxa"/>
          </w:tcPr>
          <w:p w14:paraId="6FA7FBE1" w14:textId="77777777" w:rsidR="005F0E39" w:rsidRPr="005E73C2" w:rsidRDefault="005F0E39"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HIGH</w:t>
            </w:r>
          </w:p>
        </w:tc>
        <w:tc>
          <w:tcPr>
            <w:tcW w:w="6275" w:type="dxa"/>
          </w:tcPr>
          <w:p w14:paraId="1A76C9DF"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 xml:space="preserve">A dummy variable </w:t>
            </w:r>
            <w:r>
              <w:rPr>
                <w:rFonts w:asciiTheme="majorBidi" w:hAnsiTheme="majorBidi" w:cstheme="majorBidi"/>
                <w:color w:val="000000" w:themeColor="text1"/>
                <w:sz w:val="18"/>
                <w:szCs w:val="18"/>
              </w:rPr>
              <w:t>taking</w:t>
            </w:r>
            <w:r w:rsidRPr="005E73C2">
              <w:rPr>
                <w:rFonts w:asciiTheme="majorBidi" w:hAnsiTheme="majorBidi" w:cstheme="majorBidi"/>
                <w:color w:val="000000" w:themeColor="text1"/>
                <w:sz w:val="18"/>
                <w:szCs w:val="18"/>
              </w:rPr>
              <w:t xml:space="preserve"> the value of 1 if No-IFRS EPS is higher than IFRS EPS.</w:t>
            </w:r>
          </w:p>
        </w:tc>
      </w:tr>
      <w:tr w:rsidR="005F0E39" w:rsidRPr="005E73C2" w14:paraId="7FCB0808" w14:textId="77777777" w:rsidTr="006D78DE">
        <w:tc>
          <w:tcPr>
            <w:tcW w:w="2084" w:type="dxa"/>
          </w:tcPr>
          <w:p w14:paraId="237A2DCA" w14:textId="29C57690" w:rsidR="005F0E39" w:rsidRPr="005E73C2" w:rsidRDefault="00351114"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ACC_EXP</w:t>
            </w:r>
          </w:p>
        </w:tc>
        <w:tc>
          <w:tcPr>
            <w:tcW w:w="6275" w:type="dxa"/>
          </w:tcPr>
          <w:p w14:paraId="213B6CD6"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An indicator variable which equals 1 if the AC chair has professional accounting expertise, and 0 otherwise.</w:t>
            </w:r>
          </w:p>
        </w:tc>
      </w:tr>
      <w:tr w:rsidR="005F0E39" w:rsidRPr="005E73C2" w14:paraId="3B636404" w14:textId="77777777" w:rsidTr="006D78DE">
        <w:tc>
          <w:tcPr>
            <w:tcW w:w="2084" w:type="dxa"/>
          </w:tcPr>
          <w:p w14:paraId="2B002740" w14:textId="0184D0C1" w:rsidR="005F0E39" w:rsidRPr="005E73C2" w:rsidRDefault="00351114"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FIRM_EXP</w:t>
            </w:r>
          </w:p>
        </w:tc>
        <w:tc>
          <w:tcPr>
            <w:tcW w:w="6275" w:type="dxa"/>
          </w:tcPr>
          <w:p w14:paraId="3FEE7DF8"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tenure of the AC chair, measured as the number of years served in the company as AC chair.</w:t>
            </w:r>
          </w:p>
        </w:tc>
      </w:tr>
      <w:tr w:rsidR="005F0E39" w:rsidRPr="005E73C2" w14:paraId="20BCCC4A" w14:textId="77777777" w:rsidTr="006D78DE">
        <w:tc>
          <w:tcPr>
            <w:tcW w:w="2084" w:type="dxa"/>
          </w:tcPr>
          <w:p w14:paraId="6F00CDE2" w14:textId="0CB1033B" w:rsidR="005F0E39" w:rsidRPr="005E73C2" w:rsidRDefault="00351114" w:rsidP="006D78DE">
            <w:pPr>
              <w:rPr>
                <w:rFonts w:asciiTheme="majorBidi" w:hAnsiTheme="majorBidi" w:cstheme="majorBidi"/>
                <w:i/>
                <w:iCs/>
                <w:color w:val="000000" w:themeColor="text1"/>
                <w:sz w:val="18"/>
                <w:szCs w:val="18"/>
              </w:rPr>
            </w:pPr>
            <w:r>
              <w:rPr>
                <w:rFonts w:asciiTheme="majorBidi" w:hAnsiTheme="majorBidi" w:cstheme="majorBidi"/>
                <w:i/>
                <w:iCs/>
                <w:color w:val="000000" w:themeColor="text1"/>
                <w:sz w:val="18"/>
                <w:szCs w:val="18"/>
              </w:rPr>
              <w:t>GOV_EXP</w:t>
            </w:r>
          </w:p>
        </w:tc>
        <w:tc>
          <w:tcPr>
            <w:tcW w:w="6275" w:type="dxa"/>
          </w:tcPr>
          <w:p w14:paraId="0CE74E8A"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The number of outside directorships held by the AC chair.</w:t>
            </w:r>
          </w:p>
        </w:tc>
      </w:tr>
      <w:tr w:rsidR="001F08C5" w:rsidRPr="005E73C2" w14:paraId="1D29299D" w14:textId="77777777" w:rsidTr="006D78DE">
        <w:tc>
          <w:tcPr>
            <w:tcW w:w="2084" w:type="dxa"/>
          </w:tcPr>
          <w:p w14:paraId="05F609A7" w14:textId="27131722" w:rsidR="001F08C5" w:rsidRPr="005E73C2" w:rsidRDefault="001F08C5" w:rsidP="001F08C5">
            <w:pPr>
              <w:rPr>
                <w:rFonts w:asciiTheme="majorBidi" w:hAnsiTheme="majorBidi" w:cstheme="majorBidi"/>
                <w:i/>
                <w:iCs/>
                <w:color w:val="000000" w:themeColor="text1"/>
                <w:sz w:val="18"/>
                <w:szCs w:val="18"/>
              </w:rPr>
            </w:pPr>
            <w:r>
              <w:rPr>
                <w:rFonts w:ascii="Times New Roman" w:hAnsi="Times New Roman" w:cs="Times New Roman"/>
                <w:i/>
                <w:iCs/>
                <w:color w:val="000000"/>
                <w:sz w:val="18"/>
                <w:szCs w:val="18"/>
              </w:rPr>
              <w:t>LOWINDEPENDENCE</w:t>
            </w:r>
          </w:p>
        </w:tc>
        <w:tc>
          <w:tcPr>
            <w:tcW w:w="6275" w:type="dxa"/>
          </w:tcPr>
          <w:p w14:paraId="4ADD0C2E" w14:textId="226B43AD" w:rsidR="001F08C5" w:rsidRPr="005E73C2" w:rsidRDefault="001F08C5" w:rsidP="001F08C5">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An indicator variable which </w:t>
            </w:r>
            <w:r w:rsidRPr="00E4592B">
              <w:rPr>
                <w:rFonts w:asciiTheme="majorBidi" w:hAnsiTheme="majorBidi" w:cstheme="majorBidi"/>
                <w:color w:val="000000" w:themeColor="text1"/>
                <w:sz w:val="18"/>
                <w:szCs w:val="18"/>
              </w:rPr>
              <w:t>equals 1 if the AC chair has other current or past board ties with a CEO at other firms, and 0 otherwise.</w:t>
            </w:r>
          </w:p>
        </w:tc>
      </w:tr>
      <w:tr w:rsidR="001F08C5" w:rsidRPr="005E73C2" w14:paraId="19DAE11D" w14:textId="77777777" w:rsidTr="006D78DE">
        <w:tc>
          <w:tcPr>
            <w:tcW w:w="2084" w:type="dxa"/>
          </w:tcPr>
          <w:p w14:paraId="4F2E2AE6" w14:textId="747B4881" w:rsidR="001F08C5" w:rsidRDefault="001F08C5" w:rsidP="001F08C5">
            <w:pPr>
              <w:rPr>
                <w:rFonts w:ascii="Times New Roman" w:hAnsi="Times New Roman" w:cs="Times New Roman"/>
                <w:i/>
                <w:iCs/>
                <w:color w:val="000000"/>
                <w:sz w:val="18"/>
                <w:szCs w:val="18"/>
              </w:rPr>
            </w:pPr>
            <w:r>
              <w:rPr>
                <w:rFonts w:ascii="Times New Roman" w:hAnsi="Times New Roman" w:cs="Times New Roman"/>
                <w:i/>
                <w:iCs/>
                <w:color w:val="000000"/>
                <w:sz w:val="18"/>
                <w:szCs w:val="18"/>
              </w:rPr>
              <w:t>HIGHCOMPLEXITY</w:t>
            </w:r>
          </w:p>
        </w:tc>
        <w:tc>
          <w:tcPr>
            <w:tcW w:w="6275" w:type="dxa"/>
          </w:tcPr>
          <w:p w14:paraId="3930A29B" w14:textId="38997041" w:rsidR="001F08C5" w:rsidRDefault="001F08C5" w:rsidP="001F08C5">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An indicator variable </w:t>
            </w:r>
            <w:r w:rsidRPr="00E4592B">
              <w:rPr>
                <w:rFonts w:asciiTheme="majorBidi" w:hAnsiTheme="majorBidi" w:cstheme="majorBidi"/>
                <w:color w:val="000000" w:themeColor="text1"/>
                <w:sz w:val="18"/>
                <w:szCs w:val="18"/>
              </w:rPr>
              <w:t>which equals 1 if the number of business segments is in the top quartile, and 0 otherwise.</w:t>
            </w:r>
          </w:p>
        </w:tc>
      </w:tr>
      <w:tr w:rsidR="005F0E39" w:rsidRPr="005E73C2" w14:paraId="34F50F23" w14:textId="77777777" w:rsidTr="006D78DE">
        <w:tc>
          <w:tcPr>
            <w:tcW w:w="2084" w:type="dxa"/>
          </w:tcPr>
          <w:p w14:paraId="7CFACFFA" w14:textId="77777777" w:rsidR="005F0E39" w:rsidRPr="00B961D9" w:rsidRDefault="005F0E39" w:rsidP="006D78DE">
            <w:pPr>
              <w:rPr>
                <w:rFonts w:ascii="Times New Roman" w:hAnsi="Times New Roman" w:cs="Times New Roman"/>
                <w:i/>
                <w:iCs/>
                <w:kern w:val="0"/>
                <w:sz w:val="18"/>
                <w:szCs w:val="18"/>
              </w:rPr>
            </w:pPr>
            <w:r>
              <w:rPr>
                <w:rFonts w:ascii="Times New Roman" w:hAnsi="Times New Roman" w:cs="Times New Roman"/>
                <w:i/>
                <w:iCs/>
                <w:kern w:val="0"/>
                <w:sz w:val="18"/>
                <w:szCs w:val="18"/>
              </w:rPr>
              <w:t>LOW</w:t>
            </w:r>
            <w:r w:rsidRPr="00424850">
              <w:rPr>
                <w:rFonts w:ascii="Times New Roman" w:hAnsi="Times New Roman" w:cs="Times New Roman"/>
                <w:i/>
                <w:iCs/>
                <w:kern w:val="0"/>
                <w:sz w:val="18"/>
                <w:szCs w:val="18"/>
              </w:rPr>
              <w:t>STRUCTURE</w:t>
            </w:r>
          </w:p>
        </w:tc>
        <w:tc>
          <w:tcPr>
            <w:tcW w:w="6275" w:type="dxa"/>
          </w:tcPr>
          <w:p w14:paraId="3D099DBC" w14:textId="77777777" w:rsidR="005F0E39" w:rsidRDefault="005F0E39" w:rsidP="006D78DE">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A combination of </w:t>
            </w:r>
            <w:r w:rsidRPr="00424850">
              <w:rPr>
                <w:rFonts w:asciiTheme="majorBidi" w:hAnsiTheme="majorBidi" w:cstheme="majorBidi"/>
                <w:color w:val="000000" w:themeColor="text1"/>
                <w:sz w:val="18"/>
                <w:szCs w:val="18"/>
              </w:rPr>
              <w:t>four indicator variables, duality (set to 1 if the two positions of CEO and board chair are separate, and 0 otherwise), committee memberships (set to 1 if the CEO does not have a role in other board committees, and 0 otherwise), board power (set to 1 if the percentage of independent non-executive directors is higher than the industry median, and 0 otherwise), and co-opted directors (set to 1 if the percentage of directors appointed during the CEO’s tenure is less than 50%, and 0 otherwise).</w:t>
            </w:r>
          </w:p>
        </w:tc>
      </w:tr>
      <w:tr w:rsidR="005F0E39" w:rsidRPr="005E73C2" w14:paraId="70A2DF48" w14:textId="77777777" w:rsidTr="006D78DE">
        <w:tc>
          <w:tcPr>
            <w:tcW w:w="2084" w:type="dxa"/>
          </w:tcPr>
          <w:p w14:paraId="38528363" w14:textId="77777777" w:rsidR="005F0E39" w:rsidRPr="00B961D9" w:rsidRDefault="005F0E39" w:rsidP="006D78DE">
            <w:pPr>
              <w:rPr>
                <w:rFonts w:ascii="Times New Roman" w:hAnsi="Times New Roman" w:cs="Times New Roman"/>
                <w:i/>
                <w:iCs/>
                <w:kern w:val="0"/>
                <w:sz w:val="18"/>
                <w:szCs w:val="18"/>
              </w:rPr>
            </w:pPr>
            <w:r>
              <w:rPr>
                <w:rFonts w:ascii="Times New Roman" w:hAnsi="Times New Roman" w:cs="Times New Roman"/>
                <w:i/>
                <w:iCs/>
                <w:kern w:val="0"/>
                <w:sz w:val="18"/>
                <w:szCs w:val="18"/>
              </w:rPr>
              <w:t>LOWEXPERT</w:t>
            </w:r>
          </w:p>
        </w:tc>
        <w:tc>
          <w:tcPr>
            <w:tcW w:w="6275" w:type="dxa"/>
          </w:tcPr>
          <w:p w14:paraId="5087465B" w14:textId="77777777" w:rsidR="005F0E39" w:rsidRDefault="005F0E39" w:rsidP="006D78DE">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A</w:t>
            </w:r>
            <w:r w:rsidRPr="007825F2">
              <w:rPr>
                <w:rFonts w:asciiTheme="majorBidi" w:hAnsiTheme="majorBidi" w:cstheme="majorBidi"/>
                <w:color w:val="000000" w:themeColor="text1"/>
                <w:sz w:val="18"/>
                <w:szCs w:val="18"/>
              </w:rPr>
              <w:t>n indicator variable equal to 1 if the CEO’s tenure is below the industry median, and 0 otherwise</w:t>
            </w:r>
            <w:r>
              <w:rPr>
                <w:rFonts w:asciiTheme="majorBidi" w:hAnsiTheme="majorBidi" w:cstheme="majorBidi"/>
                <w:color w:val="000000" w:themeColor="text1"/>
                <w:sz w:val="18"/>
                <w:szCs w:val="18"/>
              </w:rPr>
              <w:t>.</w:t>
            </w:r>
          </w:p>
        </w:tc>
      </w:tr>
      <w:tr w:rsidR="005F0E39" w:rsidRPr="005E73C2" w14:paraId="353FD289" w14:textId="77777777" w:rsidTr="006D78DE">
        <w:tc>
          <w:tcPr>
            <w:tcW w:w="2084" w:type="dxa"/>
          </w:tcPr>
          <w:p w14:paraId="335CBF46" w14:textId="77777777" w:rsidR="005F0E39" w:rsidRPr="00B961D9" w:rsidRDefault="005F0E39" w:rsidP="006D78DE">
            <w:pPr>
              <w:rPr>
                <w:rFonts w:ascii="Times New Roman" w:hAnsi="Times New Roman" w:cs="Times New Roman"/>
                <w:i/>
                <w:iCs/>
                <w:kern w:val="0"/>
                <w:sz w:val="18"/>
                <w:szCs w:val="18"/>
              </w:rPr>
            </w:pPr>
            <w:r>
              <w:rPr>
                <w:rFonts w:ascii="Times New Roman" w:hAnsi="Times New Roman" w:cs="Times New Roman"/>
                <w:i/>
                <w:iCs/>
                <w:kern w:val="0"/>
                <w:sz w:val="18"/>
                <w:szCs w:val="18"/>
              </w:rPr>
              <w:t>LOW</w:t>
            </w:r>
            <w:r w:rsidRPr="00334015">
              <w:rPr>
                <w:rFonts w:ascii="Times New Roman" w:hAnsi="Times New Roman" w:cs="Times New Roman"/>
                <w:i/>
                <w:iCs/>
                <w:kern w:val="0"/>
                <w:sz w:val="18"/>
                <w:szCs w:val="18"/>
              </w:rPr>
              <w:t>OWNERSHIP</w:t>
            </w:r>
          </w:p>
        </w:tc>
        <w:tc>
          <w:tcPr>
            <w:tcW w:w="6275" w:type="dxa"/>
          </w:tcPr>
          <w:p w14:paraId="0822AC7C" w14:textId="77777777" w:rsidR="005F0E39" w:rsidRDefault="005F0E39" w:rsidP="006D78DE">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A</w:t>
            </w:r>
            <w:r w:rsidRPr="007825F2">
              <w:rPr>
                <w:rFonts w:asciiTheme="majorBidi" w:hAnsiTheme="majorBidi" w:cstheme="majorBidi"/>
                <w:color w:val="000000" w:themeColor="text1"/>
                <w:sz w:val="18"/>
                <w:szCs w:val="18"/>
              </w:rPr>
              <w:t>n indicator variable equal to 1 if the percentage of the CEO’s stock ownership is lower than the industry median, and 0 otherwise</w:t>
            </w:r>
            <w:r>
              <w:rPr>
                <w:rFonts w:asciiTheme="majorBidi" w:hAnsiTheme="majorBidi" w:cstheme="majorBidi"/>
                <w:color w:val="000000" w:themeColor="text1"/>
                <w:sz w:val="18"/>
                <w:szCs w:val="18"/>
              </w:rPr>
              <w:t>.</w:t>
            </w:r>
          </w:p>
        </w:tc>
      </w:tr>
      <w:tr w:rsidR="001F08C5" w:rsidRPr="005E73C2" w14:paraId="49938767" w14:textId="77777777" w:rsidTr="006D78DE">
        <w:tc>
          <w:tcPr>
            <w:tcW w:w="2084" w:type="dxa"/>
          </w:tcPr>
          <w:p w14:paraId="6AE18F50" w14:textId="4F95691B" w:rsidR="001F08C5" w:rsidRDefault="001F08C5" w:rsidP="001F08C5">
            <w:pPr>
              <w:rPr>
                <w:rFonts w:ascii="Times New Roman" w:hAnsi="Times New Roman" w:cs="Times New Roman"/>
                <w:i/>
                <w:iCs/>
                <w:color w:val="000000"/>
                <w:sz w:val="18"/>
                <w:szCs w:val="18"/>
              </w:rPr>
            </w:pPr>
            <w:r w:rsidRPr="00B961D9">
              <w:rPr>
                <w:rFonts w:ascii="Times New Roman" w:hAnsi="Times New Roman" w:cs="Times New Roman"/>
                <w:i/>
                <w:iCs/>
                <w:kern w:val="0"/>
                <w:sz w:val="18"/>
                <w:szCs w:val="18"/>
              </w:rPr>
              <w:t>DISCL</w:t>
            </w:r>
            <w:r w:rsidR="00786085">
              <w:rPr>
                <w:rFonts w:ascii="Times New Roman" w:hAnsi="Times New Roman" w:cs="Times New Roman"/>
                <w:i/>
                <w:iCs/>
                <w:kern w:val="0"/>
                <w:sz w:val="18"/>
                <w:szCs w:val="18"/>
              </w:rPr>
              <w:t>OSURE</w:t>
            </w:r>
          </w:p>
        </w:tc>
        <w:tc>
          <w:tcPr>
            <w:tcW w:w="6275" w:type="dxa"/>
          </w:tcPr>
          <w:p w14:paraId="6A43E420" w14:textId="4D527668" w:rsidR="001F08C5" w:rsidRPr="007825F2" w:rsidRDefault="001F08C5" w:rsidP="001F08C5">
            <w:pP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A dummy variable </w:t>
            </w:r>
            <w:r w:rsidRPr="00424850">
              <w:rPr>
                <w:rFonts w:asciiTheme="majorBidi" w:hAnsiTheme="majorBidi" w:cstheme="majorBidi"/>
                <w:color w:val="000000" w:themeColor="text1"/>
                <w:sz w:val="18"/>
                <w:szCs w:val="18"/>
              </w:rPr>
              <w:t xml:space="preserve">set to 1 if the AC report includes confirmation of </w:t>
            </w:r>
            <w:r>
              <w:rPr>
                <w:rFonts w:asciiTheme="majorBidi" w:hAnsiTheme="majorBidi" w:cstheme="majorBidi"/>
                <w:color w:val="000000" w:themeColor="text1"/>
                <w:sz w:val="18"/>
                <w:szCs w:val="18"/>
              </w:rPr>
              <w:t>AC chair</w:t>
            </w:r>
            <w:r w:rsidRPr="00424850">
              <w:rPr>
                <w:rFonts w:asciiTheme="majorBidi" w:hAnsiTheme="majorBidi" w:cstheme="majorBidi"/>
                <w:color w:val="000000" w:themeColor="text1"/>
                <w:sz w:val="18"/>
                <w:szCs w:val="18"/>
              </w:rPr>
              <w:t xml:space="preserve"> review of non-IFRS adjustments, and 0 otherwise.</w:t>
            </w:r>
          </w:p>
        </w:tc>
      </w:tr>
      <w:tr w:rsidR="005F0E39" w:rsidRPr="005E73C2" w14:paraId="5D255822" w14:textId="77777777" w:rsidTr="006D78DE">
        <w:tc>
          <w:tcPr>
            <w:tcW w:w="2084" w:type="dxa"/>
          </w:tcPr>
          <w:p w14:paraId="6C7CA22A" w14:textId="77777777" w:rsidR="005F0E39" w:rsidRPr="00334015" w:rsidRDefault="005F0E39" w:rsidP="006D78DE">
            <w:pPr>
              <w:rPr>
                <w:rFonts w:ascii="Times New Roman" w:hAnsi="Times New Roman" w:cs="Times New Roman"/>
                <w:i/>
                <w:iCs/>
                <w:kern w:val="0"/>
                <w:sz w:val="18"/>
                <w:szCs w:val="18"/>
              </w:rPr>
            </w:pPr>
            <w:r>
              <w:rPr>
                <w:rFonts w:ascii="Times New Roman" w:hAnsi="Times New Roman" w:cs="Times New Roman"/>
                <w:i/>
                <w:iCs/>
                <w:color w:val="000000"/>
                <w:sz w:val="18"/>
                <w:szCs w:val="18"/>
              </w:rPr>
              <w:t>ANALYSTS</w:t>
            </w:r>
          </w:p>
        </w:tc>
        <w:tc>
          <w:tcPr>
            <w:tcW w:w="6275" w:type="dxa"/>
          </w:tcPr>
          <w:p w14:paraId="046621A5" w14:textId="77777777" w:rsidR="005F0E39" w:rsidRDefault="005F0E39" w:rsidP="006D78DE">
            <w:pPr>
              <w:rPr>
                <w:rFonts w:asciiTheme="majorBidi" w:hAnsiTheme="majorBidi" w:cstheme="majorBidi"/>
                <w:color w:val="000000" w:themeColor="text1"/>
                <w:sz w:val="18"/>
                <w:szCs w:val="18"/>
              </w:rPr>
            </w:pPr>
            <w:r w:rsidRPr="007825F2">
              <w:rPr>
                <w:rFonts w:asciiTheme="majorBidi" w:hAnsiTheme="majorBidi" w:cstheme="majorBidi"/>
                <w:color w:val="000000" w:themeColor="text1"/>
                <w:sz w:val="18"/>
                <w:szCs w:val="18"/>
              </w:rPr>
              <w:t>An indicator variable equal to 1 if the number of analysts following a firm is in the top quartile, and 0 otherwise.</w:t>
            </w:r>
          </w:p>
        </w:tc>
      </w:tr>
      <w:tr w:rsidR="005F0E39" w:rsidRPr="005E73C2" w14:paraId="78807649" w14:textId="77777777" w:rsidTr="006D78DE">
        <w:tc>
          <w:tcPr>
            <w:tcW w:w="2084" w:type="dxa"/>
          </w:tcPr>
          <w:p w14:paraId="7CB2FC18" w14:textId="77777777" w:rsidR="005F0E39" w:rsidRPr="00334015" w:rsidRDefault="005F0E39" w:rsidP="006D78DE">
            <w:pPr>
              <w:rPr>
                <w:rFonts w:ascii="Times New Roman" w:hAnsi="Times New Roman" w:cs="Times New Roman"/>
                <w:i/>
                <w:iCs/>
                <w:kern w:val="0"/>
                <w:sz w:val="18"/>
                <w:szCs w:val="18"/>
              </w:rPr>
            </w:pPr>
            <w:r>
              <w:rPr>
                <w:rFonts w:ascii="Times New Roman" w:hAnsi="Times New Roman" w:cs="Times New Roman"/>
                <w:i/>
                <w:iCs/>
                <w:color w:val="000000"/>
                <w:sz w:val="18"/>
                <w:szCs w:val="18"/>
              </w:rPr>
              <w:t>INSTOWNER</w:t>
            </w:r>
          </w:p>
        </w:tc>
        <w:tc>
          <w:tcPr>
            <w:tcW w:w="6275" w:type="dxa"/>
          </w:tcPr>
          <w:p w14:paraId="797E2C90" w14:textId="77777777" w:rsidR="005F0E39" w:rsidRDefault="005F0E39" w:rsidP="006D78DE">
            <w:pPr>
              <w:rPr>
                <w:rFonts w:asciiTheme="majorBidi" w:hAnsiTheme="majorBidi" w:cstheme="majorBidi"/>
                <w:color w:val="000000" w:themeColor="text1"/>
                <w:sz w:val="18"/>
                <w:szCs w:val="18"/>
              </w:rPr>
            </w:pPr>
            <w:r w:rsidRPr="007825F2">
              <w:rPr>
                <w:rFonts w:asciiTheme="majorBidi" w:hAnsiTheme="majorBidi" w:cstheme="majorBidi"/>
                <w:color w:val="000000" w:themeColor="text1"/>
                <w:sz w:val="18"/>
                <w:szCs w:val="18"/>
              </w:rPr>
              <w:t>An indicator variable equal to 1 if the percentage of shares held by institutional investors is in the top quartile, and 0 otherwise.</w:t>
            </w:r>
          </w:p>
        </w:tc>
      </w:tr>
      <w:tr w:rsidR="005F0E39" w:rsidRPr="005E73C2" w14:paraId="77C54C97" w14:textId="77777777" w:rsidTr="006D78DE">
        <w:tc>
          <w:tcPr>
            <w:tcW w:w="2084" w:type="dxa"/>
          </w:tcPr>
          <w:p w14:paraId="7D0E83C7"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Industry</w:t>
            </w:r>
          </w:p>
        </w:tc>
        <w:tc>
          <w:tcPr>
            <w:tcW w:w="6275" w:type="dxa"/>
          </w:tcPr>
          <w:p w14:paraId="30E2618E"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Industry indicators based on the two-digit UK SIC (2007) codes.</w:t>
            </w:r>
          </w:p>
        </w:tc>
      </w:tr>
      <w:tr w:rsidR="005F0E39" w:rsidRPr="005E73C2" w14:paraId="3DB1AB79" w14:textId="77777777" w:rsidTr="006D78DE">
        <w:tc>
          <w:tcPr>
            <w:tcW w:w="2084" w:type="dxa"/>
            <w:tcBorders>
              <w:bottom w:val="single" w:sz="6" w:space="0" w:color="auto"/>
            </w:tcBorders>
          </w:tcPr>
          <w:p w14:paraId="67182C0C" w14:textId="77777777" w:rsidR="005F0E39" w:rsidRPr="005E73C2" w:rsidRDefault="005F0E39" w:rsidP="006D78DE">
            <w:pPr>
              <w:rPr>
                <w:rFonts w:asciiTheme="majorBidi" w:hAnsiTheme="majorBidi" w:cstheme="majorBidi"/>
                <w:i/>
                <w:iCs/>
                <w:color w:val="000000" w:themeColor="text1"/>
                <w:sz w:val="18"/>
                <w:szCs w:val="18"/>
              </w:rPr>
            </w:pPr>
            <w:r w:rsidRPr="005E73C2">
              <w:rPr>
                <w:rFonts w:asciiTheme="majorBidi" w:hAnsiTheme="majorBidi" w:cstheme="majorBidi"/>
                <w:i/>
                <w:iCs/>
                <w:color w:val="000000" w:themeColor="text1"/>
                <w:sz w:val="18"/>
                <w:szCs w:val="18"/>
              </w:rPr>
              <w:t>Year</w:t>
            </w:r>
          </w:p>
        </w:tc>
        <w:tc>
          <w:tcPr>
            <w:tcW w:w="6275" w:type="dxa"/>
            <w:tcBorders>
              <w:bottom w:val="single" w:sz="6" w:space="0" w:color="auto"/>
            </w:tcBorders>
          </w:tcPr>
          <w:p w14:paraId="255EB77B" w14:textId="77777777" w:rsidR="005F0E39" w:rsidRPr="005E73C2" w:rsidRDefault="005F0E39" w:rsidP="006D78DE">
            <w:pPr>
              <w:rPr>
                <w:rFonts w:asciiTheme="majorBidi" w:hAnsiTheme="majorBidi" w:cstheme="majorBidi"/>
                <w:color w:val="000000" w:themeColor="text1"/>
                <w:sz w:val="18"/>
                <w:szCs w:val="18"/>
              </w:rPr>
            </w:pPr>
            <w:r w:rsidRPr="005E73C2">
              <w:rPr>
                <w:rFonts w:asciiTheme="majorBidi" w:hAnsiTheme="majorBidi" w:cstheme="majorBidi"/>
                <w:color w:val="000000" w:themeColor="text1"/>
                <w:sz w:val="18"/>
                <w:szCs w:val="18"/>
              </w:rPr>
              <w:t>Year indicators representing the corresponding fiscal year.</w:t>
            </w:r>
          </w:p>
        </w:tc>
      </w:tr>
    </w:tbl>
    <w:p w14:paraId="640C06DD" w14:textId="77777777" w:rsidR="005F0E39" w:rsidRPr="005E73C2" w:rsidRDefault="005F0E39" w:rsidP="005F0E39">
      <w:pPr>
        <w:rPr>
          <w:rFonts w:asciiTheme="majorBidi" w:hAnsiTheme="majorBidi" w:cstheme="majorBidi"/>
          <w:color w:val="000000" w:themeColor="text1"/>
          <w:sz w:val="24"/>
          <w:szCs w:val="28"/>
        </w:rPr>
      </w:pPr>
    </w:p>
    <w:p w14:paraId="3C70382F" w14:textId="77777777" w:rsidR="005F0E39" w:rsidRPr="005E73C2" w:rsidRDefault="005F0E39" w:rsidP="005F0E39">
      <w:pPr>
        <w:widowControl/>
        <w:jc w:val="left"/>
        <w:rPr>
          <w:rFonts w:asciiTheme="majorBidi" w:hAnsiTheme="majorBidi" w:cstheme="majorBidi"/>
          <w:color w:val="000000" w:themeColor="text1"/>
          <w:sz w:val="24"/>
          <w:szCs w:val="28"/>
        </w:rPr>
      </w:pPr>
      <w:r w:rsidRPr="005E73C2">
        <w:rPr>
          <w:rFonts w:asciiTheme="majorBidi" w:hAnsiTheme="majorBidi" w:cstheme="majorBidi"/>
          <w:color w:val="000000" w:themeColor="text1"/>
          <w:sz w:val="24"/>
          <w:szCs w:val="28"/>
        </w:rPr>
        <w:br w:type="page"/>
      </w:r>
    </w:p>
    <w:p w14:paraId="38282C21" w14:textId="77777777" w:rsidR="005F0E39" w:rsidRPr="007F6189" w:rsidRDefault="005F0E39" w:rsidP="005F0E39">
      <w:pPr>
        <w:rPr>
          <w:rFonts w:asciiTheme="majorBidi" w:hAnsiTheme="majorBidi" w:cstheme="majorBidi"/>
          <w:b/>
          <w:bCs/>
          <w:color w:val="000000" w:themeColor="text1"/>
          <w:sz w:val="20"/>
        </w:rPr>
      </w:pPr>
      <w:r w:rsidRPr="007F6189">
        <w:rPr>
          <w:rFonts w:asciiTheme="majorBidi" w:hAnsiTheme="majorBidi" w:cstheme="majorBidi"/>
          <w:b/>
          <w:bCs/>
          <w:color w:val="000000" w:themeColor="text1"/>
          <w:sz w:val="20"/>
        </w:rPr>
        <w:lastRenderedPageBreak/>
        <w:t>Appendix B</w:t>
      </w:r>
    </w:p>
    <w:tbl>
      <w:tblPr>
        <w:tblStyle w:val="TableGrid"/>
        <w:tblW w:w="0" w:type="auto"/>
        <w:tblLook w:val="04A0" w:firstRow="1" w:lastRow="0" w:firstColumn="1" w:lastColumn="0" w:noHBand="0" w:noVBand="1"/>
      </w:tblPr>
      <w:tblGrid>
        <w:gridCol w:w="4116"/>
        <w:gridCol w:w="4330"/>
      </w:tblGrid>
      <w:tr w:rsidR="005F0E39" w:rsidRPr="005E73C2" w14:paraId="28A50ED4" w14:textId="77777777" w:rsidTr="006D78DE">
        <w:tc>
          <w:tcPr>
            <w:tcW w:w="4048" w:type="dxa"/>
            <w:tcBorders>
              <w:top w:val="single" w:sz="4" w:space="0" w:color="auto"/>
              <w:left w:val="nil"/>
              <w:bottom w:val="nil"/>
              <w:right w:val="nil"/>
            </w:tcBorders>
          </w:tcPr>
          <w:p w14:paraId="7831CBA5" w14:textId="77777777" w:rsidR="005F0E39" w:rsidRPr="005E73C2" w:rsidRDefault="005F0E39" w:rsidP="006D78DE">
            <w:pPr>
              <w:rPr>
                <w:rFonts w:asciiTheme="majorBidi" w:hAnsiTheme="majorBidi" w:cstheme="majorBidi"/>
                <w:color w:val="000000" w:themeColor="text1"/>
                <w:sz w:val="24"/>
                <w:szCs w:val="28"/>
                <w:u w:val="single"/>
              </w:rPr>
            </w:pPr>
            <w:r w:rsidRPr="005E73C2">
              <w:rPr>
                <w:rFonts w:asciiTheme="majorBidi" w:hAnsiTheme="majorBidi" w:cstheme="majorBidi"/>
                <w:color w:val="000000" w:themeColor="text1"/>
                <w:sz w:val="18"/>
                <w:szCs w:val="20"/>
                <w:u w:val="single"/>
              </w:rPr>
              <w:t xml:space="preserve">Small </w:t>
            </w:r>
            <w:r>
              <w:rPr>
                <w:rFonts w:asciiTheme="majorBidi" w:hAnsiTheme="majorBidi" w:cstheme="majorBidi"/>
                <w:color w:val="000000" w:themeColor="text1"/>
                <w:sz w:val="18"/>
                <w:szCs w:val="20"/>
                <w:u w:val="single"/>
              </w:rPr>
              <w:t>s</w:t>
            </w:r>
            <w:r w:rsidRPr="005E73C2">
              <w:rPr>
                <w:rFonts w:asciiTheme="majorBidi" w:hAnsiTheme="majorBidi" w:cstheme="majorBidi"/>
                <w:color w:val="000000" w:themeColor="text1"/>
                <w:sz w:val="18"/>
                <w:szCs w:val="20"/>
                <w:u w:val="single"/>
              </w:rPr>
              <w:t xml:space="preserve">ignature </w:t>
            </w:r>
            <w:r>
              <w:rPr>
                <w:rFonts w:asciiTheme="majorBidi" w:hAnsiTheme="majorBidi" w:cstheme="majorBidi"/>
                <w:color w:val="000000" w:themeColor="text1"/>
                <w:sz w:val="18"/>
                <w:szCs w:val="20"/>
                <w:u w:val="single"/>
              </w:rPr>
              <w:t>e</w:t>
            </w:r>
            <w:r w:rsidRPr="005E73C2">
              <w:rPr>
                <w:rFonts w:asciiTheme="majorBidi" w:hAnsiTheme="majorBidi" w:cstheme="majorBidi"/>
                <w:color w:val="000000" w:themeColor="text1"/>
                <w:sz w:val="18"/>
                <w:szCs w:val="20"/>
                <w:u w:val="single"/>
              </w:rPr>
              <w:t>xample</w:t>
            </w:r>
          </w:p>
        </w:tc>
        <w:tc>
          <w:tcPr>
            <w:tcW w:w="4258" w:type="dxa"/>
            <w:tcBorders>
              <w:top w:val="single" w:sz="4" w:space="0" w:color="auto"/>
              <w:left w:val="nil"/>
              <w:bottom w:val="nil"/>
              <w:right w:val="nil"/>
            </w:tcBorders>
          </w:tcPr>
          <w:p w14:paraId="295E7B18" w14:textId="77777777" w:rsidR="005F0E39" w:rsidRPr="005E73C2" w:rsidRDefault="005F0E39" w:rsidP="006D78DE">
            <w:pPr>
              <w:rPr>
                <w:rFonts w:asciiTheme="majorBidi" w:hAnsiTheme="majorBidi" w:cstheme="majorBidi"/>
                <w:color w:val="000000" w:themeColor="text1"/>
                <w:sz w:val="18"/>
                <w:szCs w:val="20"/>
                <w:u w:val="single"/>
              </w:rPr>
            </w:pPr>
            <w:r w:rsidRPr="005E73C2">
              <w:rPr>
                <w:rFonts w:asciiTheme="majorBidi" w:hAnsiTheme="majorBidi" w:cstheme="majorBidi"/>
                <w:color w:val="000000" w:themeColor="text1"/>
                <w:sz w:val="18"/>
                <w:szCs w:val="20"/>
                <w:u w:val="single"/>
              </w:rPr>
              <w:t xml:space="preserve">Large </w:t>
            </w:r>
            <w:r>
              <w:rPr>
                <w:rFonts w:asciiTheme="majorBidi" w:hAnsiTheme="majorBidi" w:cstheme="majorBidi"/>
                <w:color w:val="000000" w:themeColor="text1"/>
                <w:sz w:val="18"/>
                <w:szCs w:val="20"/>
                <w:u w:val="single"/>
              </w:rPr>
              <w:t>s</w:t>
            </w:r>
            <w:r w:rsidRPr="005E73C2">
              <w:rPr>
                <w:rFonts w:asciiTheme="majorBidi" w:hAnsiTheme="majorBidi" w:cstheme="majorBidi"/>
                <w:color w:val="000000" w:themeColor="text1"/>
                <w:sz w:val="18"/>
                <w:szCs w:val="20"/>
                <w:u w:val="single"/>
              </w:rPr>
              <w:t xml:space="preserve">ignature </w:t>
            </w:r>
            <w:r>
              <w:rPr>
                <w:rFonts w:asciiTheme="majorBidi" w:hAnsiTheme="majorBidi" w:cstheme="majorBidi"/>
                <w:color w:val="000000" w:themeColor="text1"/>
                <w:sz w:val="18"/>
                <w:szCs w:val="20"/>
                <w:u w:val="single"/>
              </w:rPr>
              <w:t>e</w:t>
            </w:r>
            <w:r w:rsidRPr="005E73C2">
              <w:rPr>
                <w:rFonts w:asciiTheme="majorBidi" w:hAnsiTheme="majorBidi" w:cstheme="majorBidi"/>
                <w:color w:val="000000" w:themeColor="text1"/>
                <w:sz w:val="18"/>
                <w:szCs w:val="20"/>
                <w:u w:val="single"/>
              </w:rPr>
              <w:t>xample</w:t>
            </w:r>
          </w:p>
        </w:tc>
      </w:tr>
      <w:tr w:rsidR="005F0E39" w:rsidRPr="005E73C2" w14:paraId="47F548B4" w14:textId="77777777" w:rsidTr="006D78DE">
        <w:trPr>
          <w:trHeight w:val="2643"/>
        </w:trPr>
        <w:tc>
          <w:tcPr>
            <w:tcW w:w="4048" w:type="dxa"/>
            <w:tcBorders>
              <w:top w:val="nil"/>
              <w:left w:val="nil"/>
              <w:right w:val="nil"/>
            </w:tcBorders>
          </w:tcPr>
          <w:p w14:paraId="5F369CF3" w14:textId="770FBC14" w:rsidR="005F0E39" w:rsidRPr="005E73C2" w:rsidRDefault="005F0E39" w:rsidP="006D78DE">
            <w:pPr>
              <w:rPr>
                <w:rFonts w:asciiTheme="majorBidi" w:hAnsiTheme="majorBidi" w:cstheme="majorBidi"/>
                <w:color w:val="000000" w:themeColor="text1"/>
                <w:sz w:val="24"/>
                <w:szCs w:val="28"/>
              </w:rPr>
            </w:pPr>
            <w:r w:rsidRPr="005E73C2">
              <w:rPr>
                <w:rFonts w:asciiTheme="majorBidi" w:hAnsiTheme="majorBidi" w:cstheme="majorBidi"/>
                <w:noProof/>
                <w:color w:val="000000" w:themeColor="text1"/>
                <w:sz w:val="24"/>
                <w:szCs w:val="28"/>
                <w:lang w:val="en-GB" w:eastAsia="en-GB"/>
              </w:rPr>
              <w:drawing>
                <wp:inline distT="0" distB="0" distL="0" distR="0" wp14:anchorId="27233D27" wp14:editId="0DEDBEDB">
                  <wp:extent cx="2469515" cy="2720975"/>
                  <wp:effectExtent l="0" t="0" r="6985" b="3175"/>
                  <wp:docPr id="11" name="Picture 1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描述已自动生成"/>
                          <pic:cNvPicPr/>
                        </pic:nvPicPr>
                        <pic:blipFill>
                          <a:blip r:embed="rId12">
                            <a:extLst>
                              <a:ext uri="{28A0092B-C50C-407E-A947-70E740481C1C}">
                                <a14:useLocalDpi xmlns:a14="http://schemas.microsoft.com/office/drawing/2010/main" val="0"/>
                              </a:ext>
                            </a:extLst>
                          </a:blip>
                          <a:stretch>
                            <a:fillRect/>
                          </a:stretch>
                        </pic:blipFill>
                        <pic:spPr>
                          <a:xfrm>
                            <a:off x="0" y="0"/>
                            <a:ext cx="2488005" cy="2741348"/>
                          </a:xfrm>
                          <a:prstGeom prst="rect">
                            <a:avLst/>
                          </a:prstGeom>
                        </pic:spPr>
                      </pic:pic>
                    </a:graphicData>
                  </a:graphic>
                </wp:inline>
              </w:drawing>
            </w:r>
          </w:p>
        </w:tc>
        <w:tc>
          <w:tcPr>
            <w:tcW w:w="4258" w:type="dxa"/>
            <w:tcBorders>
              <w:top w:val="nil"/>
              <w:left w:val="nil"/>
              <w:right w:val="nil"/>
            </w:tcBorders>
          </w:tcPr>
          <w:p w14:paraId="4D30107C" w14:textId="7CCA9668" w:rsidR="005F0E39" w:rsidRPr="005E73C2" w:rsidRDefault="005F0E39" w:rsidP="006D78DE">
            <w:pPr>
              <w:rPr>
                <w:rFonts w:asciiTheme="majorBidi" w:hAnsiTheme="majorBidi" w:cstheme="majorBidi"/>
                <w:color w:val="000000" w:themeColor="text1"/>
                <w:sz w:val="24"/>
                <w:szCs w:val="28"/>
              </w:rPr>
            </w:pPr>
            <w:r w:rsidRPr="005E73C2">
              <w:rPr>
                <w:rFonts w:asciiTheme="majorBidi" w:hAnsiTheme="majorBidi" w:cstheme="majorBidi"/>
                <w:noProof/>
                <w:color w:val="000000" w:themeColor="text1"/>
                <w:sz w:val="24"/>
                <w:szCs w:val="28"/>
                <w:lang w:val="en-GB" w:eastAsia="en-GB"/>
              </w:rPr>
              <w:drawing>
                <wp:inline distT="0" distB="0" distL="0" distR="0" wp14:anchorId="74BF8A82" wp14:editId="73318AD8">
                  <wp:extent cx="2612390" cy="2912936"/>
                  <wp:effectExtent l="0" t="0" r="0" b="1905"/>
                  <wp:docPr id="12" name="Picture 12" descr="图形用户界面, 文本, 应用程序, Word&#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文本, 应用程序, Word&#10;&#10;描述已自动生成"/>
                          <pic:cNvPicPr/>
                        </pic:nvPicPr>
                        <pic:blipFill>
                          <a:blip r:embed="rId13">
                            <a:extLst>
                              <a:ext uri="{28A0092B-C50C-407E-A947-70E740481C1C}">
                                <a14:useLocalDpi xmlns:a14="http://schemas.microsoft.com/office/drawing/2010/main" val="0"/>
                              </a:ext>
                            </a:extLst>
                          </a:blip>
                          <a:stretch>
                            <a:fillRect/>
                          </a:stretch>
                        </pic:blipFill>
                        <pic:spPr>
                          <a:xfrm>
                            <a:off x="0" y="0"/>
                            <a:ext cx="2626838" cy="2929046"/>
                          </a:xfrm>
                          <a:prstGeom prst="rect">
                            <a:avLst/>
                          </a:prstGeom>
                        </pic:spPr>
                      </pic:pic>
                    </a:graphicData>
                  </a:graphic>
                </wp:inline>
              </w:drawing>
            </w:r>
          </w:p>
        </w:tc>
      </w:tr>
    </w:tbl>
    <w:p w14:paraId="27F2EB32" w14:textId="77777777" w:rsidR="005F0E39" w:rsidRPr="005E73C2" w:rsidRDefault="005F0E39" w:rsidP="005F0E39">
      <w:pPr>
        <w:rPr>
          <w:rFonts w:asciiTheme="majorBidi" w:hAnsiTheme="majorBidi" w:cstheme="majorBidi"/>
          <w:b/>
          <w:bCs/>
          <w:color w:val="000000" w:themeColor="text1"/>
          <w:sz w:val="24"/>
          <w:szCs w:val="28"/>
        </w:rPr>
      </w:pPr>
    </w:p>
    <w:p w14:paraId="2D35B3C8" w14:textId="77777777" w:rsidR="005F0E39" w:rsidRDefault="005F0E39" w:rsidP="005F0E39"/>
    <w:p w14:paraId="66F3D036" w14:textId="77777777" w:rsidR="005F0E39" w:rsidRPr="0091178F" w:rsidRDefault="005F0E39" w:rsidP="0091178F"/>
    <w:sectPr w:rsidR="005F0E39" w:rsidRPr="0091178F" w:rsidSect="000F0E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1FCC" w14:textId="77777777" w:rsidR="005A37D0" w:rsidRDefault="005A37D0" w:rsidP="004E0DDE">
      <w:r>
        <w:separator/>
      </w:r>
    </w:p>
  </w:endnote>
  <w:endnote w:type="continuationSeparator" w:id="0">
    <w:p w14:paraId="23899944" w14:textId="77777777" w:rsidR="005A37D0" w:rsidRDefault="005A37D0" w:rsidP="004E0DDE">
      <w:r>
        <w:continuationSeparator/>
      </w:r>
    </w:p>
  </w:endnote>
  <w:endnote w:type="continuationNotice" w:id="1">
    <w:p w14:paraId="7FEF40B4" w14:textId="77777777" w:rsidR="005A37D0" w:rsidRDefault="005A3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41526"/>
      <w:docPartObj>
        <w:docPartGallery w:val="Page Numbers (Bottom of Page)"/>
        <w:docPartUnique/>
      </w:docPartObj>
    </w:sdtPr>
    <w:sdtEndPr>
      <w:rPr>
        <w:rFonts w:ascii="Times New Roman" w:hAnsi="Times New Roman" w:cs="Times New Roman"/>
      </w:rPr>
    </w:sdtEndPr>
    <w:sdtContent>
      <w:p w14:paraId="7F7DD6F8" w14:textId="6292FE1B" w:rsidR="00261AA0" w:rsidRPr="00E14EAA" w:rsidRDefault="00261AA0">
        <w:pPr>
          <w:pStyle w:val="Footer"/>
          <w:jc w:val="center"/>
          <w:rPr>
            <w:rFonts w:ascii="Times New Roman" w:hAnsi="Times New Roman" w:cs="Times New Roman"/>
          </w:rPr>
        </w:pPr>
        <w:r w:rsidRPr="00E14EAA">
          <w:rPr>
            <w:rFonts w:ascii="Times New Roman" w:hAnsi="Times New Roman" w:cs="Times New Roman"/>
          </w:rPr>
          <w:fldChar w:fldCharType="begin"/>
        </w:r>
        <w:r w:rsidRPr="00E14EAA">
          <w:rPr>
            <w:rFonts w:ascii="Times New Roman" w:hAnsi="Times New Roman" w:cs="Times New Roman"/>
          </w:rPr>
          <w:instrText>PAGE   \* MERGEFORMAT</w:instrText>
        </w:r>
        <w:r w:rsidRPr="00E14EAA">
          <w:rPr>
            <w:rFonts w:ascii="Times New Roman" w:hAnsi="Times New Roman" w:cs="Times New Roman"/>
          </w:rPr>
          <w:fldChar w:fldCharType="separate"/>
        </w:r>
        <w:r w:rsidR="00D21261" w:rsidRPr="00D21261">
          <w:rPr>
            <w:rFonts w:ascii="Times New Roman" w:hAnsi="Times New Roman" w:cs="Times New Roman"/>
            <w:noProof/>
            <w:lang w:val="zh-CN"/>
          </w:rPr>
          <w:t>0</w:t>
        </w:r>
        <w:r w:rsidRPr="00E14EAA">
          <w:rPr>
            <w:rFonts w:ascii="Times New Roman" w:hAnsi="Times New Roman" w:cs="Times New Roman"/>
          </w:rPr>
          <w:fldChar w:fldCharType="end"/>
        </w:r>
      </w:p>
    </w:sdtContent>
  </w:sdt>
  <w:p w14:paraId="19ACE201" w14:textId="77777777" w:rsidR="00261AA0" w:rsidRDefault="0026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9FCC" w14:textId="77777777" w:rsidR="005A37D0" w:rsidRDefault="005A37D0" w:rsidP="004E0DDE">
      <w:r>
        <w:separator/>
      </w:r>
    </w:p>
  </w:footnote>
  <w:footnote w:type="continuationSeparator" w:id="0">
    <w:p w14:paraId="3D91A96A" w14:textId="77777777" w:rsidR="005A37D0" w:rsidRDefault="005A37D0" w:rsidP="004E0DDE">
      <w:r>
        <w:continuationSeparator/>
      </w:r>
    </w:p>
  </w:footnote>
  <w:footnote w:type="continuationNotice" w:id="1">
    <w:p w14:paraId="2FFFABBB" w14:textId="77777777" w:rsidR="005A37D0" w:rsidRDefault="005A37D0"/>
  </w:footnote>
  <w:footnote w:id="2">
    <w:p w14:paraId="03F60898" w14:textId="77777777" w:rsidR="00671A72" w:rsidRPr="00261AA0" w:rsidRDefault="00671A72" w:rsidP="00671A72">
      <w:pPr>
        <w:pStyle w:val="FootnoteText"/>
        <w:rPr>
          <w:lang w:val="en-GB"/>
        </w:rPr>
      </w:pPr>
      <w:r>
        <w:rPr>
          <w:rStyle w:val="FootnoteReference"/>
        </w:rPr>
        <w:footnoteRef/>
      </w:r>
      <w:r>
        <w:t xml:space="preserve"> </w:t>
      </w:r>
      <w:r w:rsidRPr="00D16142">
        <w:rPr>
          <w:rFonts w:asciiTheme="majorBidi" w:hAnsiTheme="majorBidi" w:cstheme="majorBidi"/>
        </w:rPr>
        <w:t xml:space="preserve">Non-IFRS earnings are also referred to as pro-forma earnings, non-GAAP </w:t>
      </w:r>
      <w:r w:rsidRPr="00A22E2C">
        <w:rPr>
          <w:rFonts w:asciiTheme="majorBidi" w:hAnsiTheme="majorBidi" w:cstheme="majorBidi"/>
        </w:rPr>
        <w:t>earnings</w:t>
      </w:r>
      <w:r>
        <w:rPr>
          <w:rFonts w:asciiTheme="majorBidi" w:hAnsiTheme="majorBidi" w:cstheme="majorBidi"/>
        </w:rPr>
        <w:t>,</w:t>
      </w:r>
      <w:r w:rsidRPr="00A22E2C">
        <w:rPr>
          <w:rFonts w:asciiTheme="majorBidi" w:hAnsiTheme="majorBidi" w:cstheme="majorBidi"/>
        </w:rPr>
        <w:t xml:space="preserve"> and</w:t>
      </w:r>
      <w:r w:rsidRPr="00D16142">
        <w:rPr>
          <w:rFonts w:asciiTheme="majorBidi" w:hAnsiTheme="majorBidi" w:cstheme="majorBidi"/>
        </w:rPr>
        <w:t xml:space="preserve"> street earnings; these terms </w:t>
      </w:r>
      <w:r>
        <w:rPr>
          <w:rFonts w:asciiTheme="majorBidi" w:hAnsiTheme="majorBidi" w:cstheme="majorBidi"/>
        </w:rPr>
        <w:t>are</w:t>
      </w:r>
      <w:r w:rsidRPr="00D16142">
        <w:rPr>
          <w:rFonts w:asciiTheme="majorBidi" w:hAnsiTheme="majorBidi" w:cstheme="majorBidi"/>
        </w:rPr>
        <w:t xml:space="preserve"> used interchangeably in this paper to represent earnings before non-recurring items.</w:t>
      </w:r>
    </w:p>
  </w:footnote>
  <w:footnote w:id="3">
    <w:p w14:paraId="1000F308" w14:textId="7AB06BB6" w:rsidR="00261AA0" w:rsidRPr="00871D50" w:rsidRDefault="00261AA0">
      <w:pPr>
        <w:pStyle w:val="FootnoteText"/>
      </w:pPr>
      <w:r w:rsidRPr="00871D50">
        <w:rPr>
          <w:rStyle w:val="FootnoteReference"/>
          <w:rFonts w:ascii="Times New Roman" w:hAnsi="Times New Roman" w:cs="Times New Roman"/>
        </w:rPr>
        <w:footnoteRef/>
      </w:r>
      <w:r w:rsidRPr="00871D50">
        <w:rPr>
          <w:rFonts w:ascii="Times New Roman" w:hAnsi="Times New Roman" w:cs="Times New Roman"/>
        </w:rPr>
        <w:t xml:space="preserve"> </w:t>
      </w:r>
      <w:r w:rsidRPr="000A282C">
        <w:rPr>
          <w:rFonts w:ascii="Times New Roman" w:hAnsi="Times New Roman" w:cs="Times New Roman"/>
        </w:rPr>
        <w:t>In an unreported analysis, we also examine monthly stock returns from Yahoo Finance and find that returns are, on average, significant in the year a narcissistic AC chair is appointed.</w:t>
      </w:r>
      <w:r w:rsidRPr="00BE3A84">
        <w:rPr>
          <w:rFonts w:ascii="Times New Roman" w:hAnsi="Times New Roman" w:cs="Times New Roman"/>
        </w:rPr>
        <w:t xml:space="preserve"> This finding indicates that AC chair signatures provide investors with important information</w:t>
      </w:r>
      <w:r>
        <w:rPr>
          <w:rFonts w:ascii="Times New Roman" w:hAnsi="Times New Roman" w:cs="Times New Roman"/>
        </w:rPr>
        <w:t>. We thank the anonymous reviewer for suggesting this test.</w:t>
      </w:r>
    </w:p>
  </w:footnote>
  <w:footnote w:id="4">
    <w:p w14:paraId="4C507502" w14:textId="58FE0579" w:rsidR="00261AA0" w:rsidRPr="00871D50" w:rsidRDefault="00261AA0">
      <w:pPr>
        <w:pStyle w:val="FootnoteText"/>
      </w:pPr>
      <w:r w:rsidRPr="00871D50">
        <w:rPr>
          <w:rStyle w:val="FootnoteReference"/>
          <w:rFonts w:ascii="Times New Roman" w:hAnsi="Times New Roman" w:cs="Times New Roman"/>
        </w:rPr>
        <w:footnoteRef/>
      </w:r>
      <w:r>
        <w:t xml:space="preserve"> </w:t>
      </w:r>
      <w:r w:rsidRPr="00E23BD2">
        <w:rPr>
          <w:rFonts w:asciiTheme="majorBidi" w:hAnsiTheme="majorBidi" w:cstheme="majorBidi"/>
        </w:rPr>
        <w:t>As an illustration of the issue, in its 2019 annual report, Dixons Carphone plc transferred its 26.8p loss per share to 20.4p earnings per share (EPS) before non-recurring items (also known as non-IFRS earnings). Similarly, J Sainsbury plc reported a 19.8p non-IFRS EPS against 5.8p IFRS EPS in its 2020 annual report.</w:t>
      </w:r>
    </w:p>
  </w:footnote>
  <w:footnote w:id="5">
    <w:p w14:paraId="1BCA96E6" w14:textId="4ED6184E" w:rsidR="00261AA0" w:rsidRPr="00871D50" w:rsidRDefault="00261AA0">
      <w:pPr>
        <w:pStyle w:val="FootnoteText"/>
      </w:pPr>
      <w:r w:rsidRPr="00871D50">
        <w:rPr>
          <w:rStyle w:val="FootnoteReference"/>
          <w:rFonts w:ascii="Times New Roman" w:hAnsi="Times New Roman" w:cs="Times New Roman"/>
        </w:rPr>
        <w:footnoteRef/>
      </w:r>
      <w:r w:rsidRPr="00871D50">
        <w:rPr>
          <w:rFonts w:ascii="Times New Roman" w:hAnsi="Times New Roman" w:cs="Times New Roman"/>
        </w:rPr>
        <w:t xml:space="preserve"> </w:t>
      </w:r>
      <w:r w:rsidRPr="006D79C0">
        <w:rPr>
          <w:rFonts w:asciiTheme="majorBidi" w:hAnsiTheme="majorBidi" w:cstheme="majorBidi"/>
        </w:rPr>
        <w:t xml:space="preserve">While </w:t>
      </w:r>
      <w:proofErr w:type="gramStart"/>
      <w:r>
        <w:rPr>
          <w:rFonts w:asciiTheme="majorBidi" w:hAnsiTheme="majorBidi" w:cstheme="majorBidi"/>
        </w:rPr>
        <w:t xml:space="preserve">the </w:t>
      </w:r>
      <w:r w:rsidRPr="006D79C0">
        <w:rPr>
          <w:rFonts w:asciiTheme="majorBidi" w:hAnsiTheme="majorBidi" w:cstheme="majorBidi"/>
        </w:rPr>
        <w:t>majority of</w:t>
      </w:r>
      <w:proofErr w:type="gramEnd"/>
      <w:r w:rsidRPr="006D79C0">
        <w:rPr>
          <w:rFonts w:asciiTheme="majorBidi" w:hAnsiTheme="majorBidi" w:cstheme="majorBidi"/>
        </w:rPr>
        <w:t xml:space="preserve"> prior studies focused on US firms where non-GAAP information is not a part of their annual accounts, IAS 33 allows companies to disclose non-IFRS earnings as part of </w:t>
      </w:r>
      <w:r>
        <w:rPr>
          <w:rFonts w:asciiTheme="majorBidi" w:hAnsiTheme="majorBidi" w:cstheme="majorBidi"/>
        </w:rPr>
        <w:t xml:space="preserve">the </w:t>
      </w:r>
      <w:r w:rsidRPr="006D79C0">
        <w:rPr>
          <w:rFonts w:asciiTheme="majorBidi" w:hAnsiTheme="majorBidi" w:cstheme="majorBidi"/>
        </w:rPr>
        <w:t>annual report instead</w:t>
      </w:r>
      <w:r>
        <w:rPr>
          <w:rFonts w:asciiTheme="majorBidi" w:hAnsiTheme="majorBidi" w:cstheme="majorBidi"/>
        </w:rPr>
        <w:t xml:space="preserve">; </w:t>
      </w:r>
      <w:r w:rsidRPr="006D79C0">
        <w:rPr>
          <w:rFonts w:asciiTheme="majorBidi" w:hAnsiTheme="majorBidi" w:cstheme="majorBidi"/>
        </w:rPr>
        <w:t xml:space="preserve">indeed almost 90% of UK firms </w:t>
      </w:r>
      <w:r>
        <w:rPr>
          <w:rFonts w:asciiTheme="majorBidi" w:hAnsiTheme="majorBidi" w:cstheme="majorBidi"/>
        </w:rPr>
        <w:t>do so</w:t>
      </w:r>
      <w:r w:rsidRPr="006D79C0">
        <w:rPr>
          <w:rFonts w:asciiTheme="majorBidi" w:hAnsiTheme="majorBidi" w:cstheme="majorBidi"/>
        </w:rPr>
        <w:t xml:space="preserve"> in their annual accounts (Young, 2014). This provide</w:t>
      </w:r>
      <w:r>
        <w:rPr>
          <w:rFonts w:asciiTheme="majorBidi" w:hAnsiTheme="majorBidi" w:cstheme="majorBidi"/>
        </w:rPr>
        <w:t>s</w:t>
      </w:r>
      <w:r w:rsidRPr="006D79C0">
        <w:rPr>
          <w:rFonts w:asciiTheme="majorBidi" w:hAnsiTheme="majorBidi" w:cstheme="majorBidi"/>
        </w:rPr>
        <w:t xml:space="preserve"> us with a unique setting to investigate our research questions.</w:t>
      </w:r>
    </w:p>
  </w:footnote>
  <w:footnote w:id="6">
    <w:p w14:paraId="09B8C211" w14:textId="6D56E6B0" w:rsidR="0072215C" w:rsidRPr="0072215C" w:rsidRDefault="0072215C">
      <w:pPr>
        <w:pStyle w:val="FootnoteText"/>
      </w:pPr>
      <w:r>
        <w:rPr>
          <w:rStyle w:val="FootnoteReference"/>
        </w:rPr>
        <w:footnoteRef/>
      </w:r>
      <w:r>
        <w:t xml:space="preserve"> </w:t>
      </w:r>
      <w:r>
        <w:rPr>
          <w:rFonts w:ascii="Times New Roman" w:hAnsi="Times New Roman" w:cs="Times New Roman"/>
        </w:rPr>
        <w:t>The</w:t>
      </w:r>
      <w:r w:rsidRPr="005A0B85">
        <w:rPr>
          <w:rFonts w:ascii="Times New Roman" w:hAnsi="Times New Roman" w:cs="Times New Roman"/>
        </w:rPr>
        <w:t xml:space="preserve"> FTSE All-Share index </w:t>
      </w:r>
      <w:r>
        <w:rPr>
          <w:rFonts w:ascii="Times New Roman" w:hAnsi="Times New Roman" w:cs="Times New Roman"/>
        </w:rPr>
        <w:t>should be</w:t>
      </w:r>
      <w:r w:rsidRPr="005A0B85">
        <w:rPr>
          <w:rFonts w:ascii="Times New Roman" w:hAnsi="Times New Roman" w:cs="Times New Roman"/>
        </w:rPr>
        <w:t xml:space="preserve"> a</w:t>
      </w:r>
      <w:r>
        <w:rPr>
          <w:rFonts w:ascii="Times New Roman" w:hAnsi="Times New Roman" w:cs="Times New Roman"/>
        </w:rPr>
        <w:t>n optimal</w:t>
      </w:r>
      <w:r w:rsidRPr="005A0B85">
        <w:rPr>
          <w:rFonts w:ascii="Times New Roman" w:hAnsi="Times New Roman" w:cs="Times New Roman"/>
        </w:rPr>
        <w:t xml:space="preserve"> reflection of the financial reporting practices </w:t>
      </w:r>
      <w:r>
        <w:rPr>
          <w:rFonts w:ascii="Times New Roman" w:hAnsi="Times New Roman" w:cs="Times New Roman"/>
        </w:rPr>
        <w:t>of</w:t>
      </w:r>
      <w:r w:rsidRPr="005A0B85">
        <w:rPr>
          <w:rFonts w:ascii="Times New Roman" w:hAnsi="Times New Roman" w:cs="Times New Roman"/>
        </w:rPr>
        <w:t xml:space="preserve"> UK corporations, as it covers all companies listed on the FTSE 100, FTSE </w:t>
      </w:r>
      <w:r w:rsidRPr="00A22E2C">
        <w:rPr>
          <w:rFonts w:ascii="Times New Roman" w:hAnsi="Times New Roman" w:cs="Times New Roman"/>
        </w:rPr>
        <w:t>250</w:t>
      </w:r>
      <w:r>
        <w:rPr>
          <w:rFonts w:ascii="Times New Roman" w:hAnsi="Times New Roman" w:cs="Times New Roman"/>
        </w:rPr>
        <w:t>,</w:t>
      </w:r>
      <w:r w:rsidRPr="005A0B85">
        <w:rPr>
          <w:rFonts w:ascii="Times New Roman" w:hAnsi="Times New Roman" w:cs="Times New Roman"/>
        </w:rPr>
        <w:t xml:space="preserve"> and FTSE SmallCap indices.</w:t>
      </w:r>
    </w:p>
  </w:footnote>
  <w:footnote w:id="7">
    <w:p w14:paraId="75D249F7" w14:textId="5558A31C" w:rsidR="00B5645B" w:rsidRPr="00B5645B" w:rsidRDefault="00B5645B">
      <w:pPr>
        <w:pStyle w:val="FootnoteText"/>
      </w:pPr>
      <w:r>
        <w:rPr>
          <w:rStyle w:val="FootnoteReference"/>
        </w:rPr>
        <w:footnoteRef/>
      </w:r>
      <w:r>
        <w:t xml:space="preserve"> </w:t>
      </w:r>
      <w:r w:rsidRPr="005A0B85">
        <w:rPr>
          <w:rFonts w:ascii="Times New Roman" w:hAnsi="Times New Roman" w:cs="Times New Roman"/>
        </w:rPr>
        <w:t>The new code released in 2012 ensures the data availability of our proxy measure of narcissism.</w:t>
      </w:r>
    </w:p>
  </w:footnote>
  <w:footnote w:id="8">
    <w:p w14:paraId="6C7BE0E9" w14:textId="077A5F2E" w:rsidR="00B5645B" w:rsidRPr="00B5645B" w:rsidRDefault="00B5645B" w:rsidP="007A4A97">
      <w:pPr>
        <w:pStyle w:val="FootnoteText"/>
      </w:pPr>
      <w:r>
        <w:rPr>
          <w:rStyle w:val="FootnoteReference"/>
        </w:rPr>
        <w:footnoteRef/>
      </w:r>
      <w:r>
        <w:t xml:space="preserve"> </w:t>
      </w:r>
      <w:r w:rsidRPr="005A0B85">
        <w:rPr>
          <w:rFonts w:ascii="Times New Roman" w:hAnsi="Times New Roman" w:cs="Times New Roman"/>
        </w:rPr>
        <w:t xml:space="preserve">We define accounting experts as AC members who hold relevant accounting certificates, have auditing </w:t>
      </w:r>
      <w:r w:rsidRPr="00A22E2C">
        <w:rPr>
          <w:rFonts w:ascii="Times New Roman" w:hAnsi="Times New Roman" w:cs="Times New Roman"/>
        </w:rPr>
        <w:t>experience, or</w:t>
      </w:r>
      <w:r w:rsidRPr="005A0B85">
        <w:rPr>
          <w:rFonts w:ascii="Times New Roman" w:hAnsi="Times New Roman" w:cs="Times New Roman"/>
        </w:rPr>
        <w:t xml:space="preserve"> previously served as a CFO in </w:t>
      </w:r>
      <w:r>
        <w:rPr>
          <w:rFonts w:ascii="Times New Roman" w:hAnsi="Times New Roman" w:cs="Times New Roman"/>
        </w:rPr>
        <w:t xml:space="preserve">a </w:t>
      </w:r>
      <w:r w:rsidRPr="005A0B85">
        <w:rPr>
          <w:rFonts w:ascii="Times New Roman" w:hAnsi="Times New Roman" w:cs="Times New Roman"/>
        </w:rPr>
        <w:t>listed compan</w:t>
      </w:r>
      <w:r>
        <w:rPr>
          <w:rFonts w:ascii="Times New Roman" w:hAnsi="Times New Roman" w:cs="Times New Roman"/>
        </w:rPr>
        <w:t>y</w:t>
      </w:r>
      <w:r w:rsidRPr="005A0B85">
        <w:rPr>
          <w:rFonts w:ascii="Times New Roman" w:hAnsi="Times New Roman" w:cs="Times New Roman"/>
        </w:rPr>
        <w:t>.</w:t>
      </w:r>
      <w:r w:rsidR="007A4A97">
        <w:rPr>
          <w:rFonts w:ascii="Times New Roman" w:hAnsi="Times New Roman" w:cs="Times New Roman"/>
        </w:rPr>
        <w:t xml:space="preserve"> Other variables are defined in </w:t>
      </w:r>
      <w:r w:rsidR="007A4A97" w:rsidRPr="007A4A97">
        <w:rPr>
          <w:rFonts w:ascii="Times New Roman" w:hAnsi="Times New Roman" w:cs="Times New Roman"/>
        </w:rPr>
        <w:t>Appendix A</w:t>
      </w:r>
      <w:r w:rsidR="007A4A97">
        <w:rPr>
          <w:rFonts w:ascii="Times New Roman" w:hAnsi="Times New Roman" w:cs="Times New Roman"/>
        </w:rPr>
        <w:t>.</w:t>
      </w:r>
    </w:p>
  </w:footnote>
  <w:footnote w:id="9">
    <w:p w14:paraId="1399CBDC" w14:textId="576AD1E7" w:rsidR="0072215C" w:rsidRPr="0072215C" w:rsidRDefault="0072215C">
      <w:pPr>
        <w:pStyle w:val="FootnoteText"/>
      </w:pPr>
      <w:r>
        <w:rPr>
          <w:rStyle w:val="FootnoteReference"/>
        </w:rPr>
        <w:footnoteRef/>
      </w:r>
      <w:r>
        <w:t xml:space="preserve"> </w:t>
      </w:r>
      <w:r w:rsidRPr="005A0B85">
        <w:rPr>
          <w:rFonts w:ascii="Times New Roman" w:hAnsi="Times New Roman" w:cs="Times New Roman"/>
        </w:rPr>
        <w:t xml:space="preserve">To </w:t>
      </w:r>
      <w:r>
        <w:rPr>
          <w:rFonts w:ascii="Times New Roman" w:hAnsi="Times New Roman" w:cs="Times New Roman"/>
        </w:rPr>
        <w:t xml:space="preserve">further examine the extent of the effects of narcissistic AC chairs on companies’ future IFRS earnings, we standardize all independent variables to have zero mean and unit variance before the interaction terms are generated and then re-estimate </w:t>
      </w:r>
      <w:r w:rsidRPr="00570453">
        <w:rPr>
          <w:rFonts w:ascii="Times New Roman" w:hAnsi="Times New Roman" w:cs="Times New Roman"/>
        </w:rPr>
        <w:t>Equation</w:t>
      </w:r>
      <w:r>
        <w:rPr>
          <w:rFonts w:ascii="Times New Roman" w:hAnsi="Times New Roman" w:cs="Times New Roman"/>
        </w:rPr>
        <w:t xml:space="preserve"> (1). The results (un-tabulated) suggest that, for a company whose AC is chaired by a narcissistic individual one standard deviation above the AC chair narcissism mean, a one standard deviation increase in non-IFRS exclusions by management in the current reporting year predicts a 0.16% decrease in next year’s IFRS earnings per share.</w:t>
      </w:r>
    </w:p>
  </w:footnote>
  <w:footnote w:id="10">
    <w:p w14:paraId="3F6F864E" w14:textId="7075F3C6" w:rsidR="00261AA0" w:rsidRPr="00F05816" w:rsidRDefault="00261AA0">
      <w:pPr>
        <w:pStyle w:val="FootnoteText"/>
      </w:pPr>
      <w:r w:rsidRPr="00F05816">
        <w:rPr>
          <w:rStyle w:val="FootnoteReference"/>
          <w:rFonts w:ascii="Times New Roman" w:hAnsi="Times New Roman" w:cs="Times New Roman"/>
        </w:rPr>
        <w:footnoteRef/>
      </w:r>
      <w:r w:rsidRPr="00F05816">
        <w:rPr>
          <w:rFonts w:ascii="Times New Roman" w:hAnsi="Times New Roman" w:cs="Times New Roman"/>
        </w:rPr>
        <w:t xml:space="preserve"> </w:t>
      </w:r>
      <w:r w:rsidRPr="00AC4F1E">
        <w:rPr>
          <w:rFonts w:ascii="Times New Roman" w:hAnsi="Times New Roman" w:cs="Times New Roman"/>
        </w:rPr>
        <w:t xml:space="preserve">While our study primarily focuses on non-IFRS disclosure, we also examined alternative proxies for earnings quality, such as discretionary accruals. Our findings are largely consistent with those reported in Table </w:t>
      </w:r>
      <w:r>
        <w:rPr>
          <w:rFonts w:ascii="Times New Roman" w:hAnsi="Times New Roman" w:cs="Times New Roman"/>
        </w:rPr>
        <w:t>4</w:t>
      </w:r>
      <w:r w:rsidRPr="00AC4F1E">
        <w:rPr>
          <w:rFonts w:ascii="Times New Roman" w:hAnsi="Times New Roman" w:cs="Times New Roman"/>
        </w:rPr>
        <w:t>.</w:t>
      </w:r>
    </w:p>
  </w:footnote>
  <w:footnote w:id="11">
    <w:p w14:paraId="107E0F9B" w14:textId="76F49BD3" w:rsidR="00261AA0" w:rsidRPr="00F05816" w:rsidRDefault="00261AA0">
      <w:pPr>
        <w:pStyle w:val="FootnoteText"/>
      </w:pPr>
      <w:r w:rsidRPr="00F05816">
        <w:rPr>
          <w:rStyle w:val="FootnoteReference"/>
          <w:rFonts w:ascii="Times New Roman" w:hAnsi="Times New Roman" w:cs="Times New Roman"/>
        </w:rPr>
        <w:footnoteRef/>
      </w:r>
      <w:r w:rsidRPr="00F05816">
        <w:rPr>
          <w:rFonts w:ascii="Times New Roman" w:hAnsi="Times New Roman" w:cs="Times New Roman"/>
        </w:rPr>
        <w:t xml:space="preserve"> </w:t>
      </w:r>
      <w:r w:rsidRPr="00DC587B">
        <w:rPr>
          <w:rFonts w:ascii="Times New Roman" w:hAnsi="Times New Roman" w:cs="Times New Roman"/>
        </w:rPr>
        <w:t>We would like to express our gratitude to the anonymous reviewers for their valuable and insightful comments.</w:t>
      </w:r>
    </w:p>
  </w:footnote>
  <w:footnote w:id="12">
    <w:p w14:paraId="41B2FF59" w14:textId="4B8C6463" w:rsidR="00261AA0" w:rsidRPr="00F05816" w:rsidRDefault="00261AA0">
      <w:pPr>
        <w:pStyle w:val="FootnoteText"/>
      </w:pPr>
      <w:r w:rsidRPr="00F05816">
        <w:rPr>
          <w:rStyle w:val="FootnoteReference"/>
          <w:rFonts w:ascii="Times New Roman" w:hAnsi="Times New Roman" w:cs="Times New Roman"/>
        </w:rPr>
        <w:footnoteRef/>
      </w:r>
      <w:r w:rsidRPr="00F05816">
        <w:rPr>
          <w:rFonts w:ascii="Times New Roman" w:hAnsi="Times New Roman" w:cs="Times New Roman"/>
        </w:rPr>
        <w:t xml:space="preserve"> </w:t>
      </w:r>
      <w:r w:rsidRPr="00366EE2">
        <w:rPr>
          <w:rFonts w:ascii="Times New Roman" w:hAnsi="Times New Roman" w:cs="Times New Roman"/>
        </w:rPr>
        <w:t xml:space="preserve">It is important to acknowledge that our study does not encompass all possible mechanisms that could affect the </w:t>
      </w:r>
      <w:r>
        <w:rPr>
          <w:rFonts w:ascii="Times New Roman" w:hAnsi="Times New Roman" w:cs="Times New Roman"/>
        </w:rPr>
        <w:t xml:space="preserve">quality of </w:t>
      </w:r>
      <w:r w:rsidRPr="00366EE2">
        <w:rPr>
          <w:rFonts w:ascii="Times New Roman" w:hAnsi="Times New Roman" w:cs="Times New Roman"/>
        </w:rPr>
        <w:t>AC chairs</w:t>
      </w:r>
      <w:r>
        <w:rPr>
          <w:rFonts w:ascii="Times New Roman" w:hAnsi="Times New Roman" w:cs="Times New Roman"/>
        </w:rPr>
        <w:t xml:space="preserve"> monitoring</w:t>
      </w:r>
      <w:r w:rsidRPr="00366EE2">
        <w:rPr>
          <w:rFonts w:ascii="Times New Roman" w:hAnsi="Times New Roman" w:cs="Times New Roman"/>
        </w:rPr>
        <w:t xml:space="preserve">. We have deliberately concentrated on specific mechanisms, consequently excluding other factors that might also influence the </w:t>
      </w:r>
      <w:r>
        <w:rPr>
          <w:rFonts w:ascii="Times New Roman" w:hAnsi="Times New Roman" w:cs="Times New Roman"/>
        </w:rPr>
        <w:t>quality of non-IFRS disclosure</w:t>
      </w:r>
      <w:r w:rsidRPr="00366EE2">
        <w:rPr>
          <w:rFonts w:ascii="Times New Roman" w:hAnsi="Times New Roman" w:cs="Times New Roman"/>
        </w:rPr>
        <w:t xml:space="preserve"> in a similar direction. While this focused approach allows for a more detailed examination of the mechanisms under consideration, it also recognizes the limitations inherent in not accounting for other potentially relevant mechanisms.</w:t>
      </w:r>
    </w:p>
  </w:footnote>
  <w:footnote w:id="13">
    <w:p w14:paraId="1BCF09A9" w14:textId="139278C4" w:rsidR="00B42509" w:rsidRPr="00B42509" w:rsidRDefault="00B42509">
      <w:pPr>
        <w:pStyle w:val="FootnoteText"/>
      </w:pPr>
      <w:r>
        <w:rPr>
          <w:rStyle w:val="FootnoteReference"/>
        </w:rPr>
        <w:footnoteRef/>
      </w:r>
      <w:r>
        <w:t xml:space="preserve"> </w:t>
      </w:r>
      <w:r w:rsidRPr="005E73C2">
        <w:rPr>
          <w:rFonts w:asciiTheme="majorBidi" w:hAnsiTheme="majorBidi" w:cstheme="majorBidi"/>
          <w:color w:val="000000" w:themeColor="text1"/>
        </w:rPr>
        <w:t xml:space="preserve">We consider an AC chair as having professional accounting expertise if he or she is a chartered accountant. In un-tabulated tests, we also investigate two other </w:t>
      </w:r>
      <w:r>
        <w:rPr>
          <w:rFonts w:asciiTheme="majorBidi" w:hAnsiTheme="majorBidi" w:cstheme="majorBidi"/>
          <w:color w:val="000000" w:themeColor="text1"/>
        </w:rPr>
        <w:t>sources</w:t>
      </w:r>
      <w:r w:rsidRPr="005E73C2">
        <w:rPr>
          <w:rFonts w:asciiTheme="majorBidi" w:hAnsiTheme="majorBidi" w:cstheme="majorBidi"/>
          <w:color w:val="000000" w:themeColor="text1"/>
        </w:rPr>
        <w:t xml:space="preserve"> of accounting expertise</w:t>
      </w:r>
      <w:r>
        <w:rPr>
          <w:rFonts w:asciiTheme="majorBidi" w:hAnsiTheme="majorBidi" w:cstheme="majorBidi"/>
          <w:color w:val="000000" w:themeColor="text1"/>
        </w:rPr>
        <w:t xml:space="preserve">, namely being a </w:t>
      </w:r>
      <w:r w:rsidRPr="005E73C2">
        <w:rPr>
          <w:rFonts w:asciiTheme="majorBidi" w:hAnsiTheme="majorBidi" w:cstheme="majorBidi"/>
          <w:color w:val="000000" w:themeColor="text1"/>
        </w:rPr>
        <w:t xml:space="preserve">CFO and </w:t>
      </w:r>
      <w:r>
        <w:rPr>
          <w:rFonts w:asciiTheme="majorBidi" w:hAnsiTheme="majorBidi" w:cstheme="majorBidi"/>
          <w:color w:val="000000" w:themeColor="text1"/>
        </w:rPr>
        <w:t xml:space="preserve">having </w:t>
      </w:r>
      <w:r w:rsidRPr="005E73C2">
        <w:rPr>
          <w:rFonts w:asciiTheme="majorBidi" w:hAnsiTheme="majorBidi" w:cstheme="majorBidi"/>
          <w:color w:val="000000" w:themeColor="text1"/>
        </w:rPr>
        <w:t xml:space="preserve">auditing experience. </w:t>
      </w:r>
      <w:r>
        <w:rPr>
          <w:rFonts w:asciiTheme="majorBidi" w:hAnsiTheme="majorBidi" w:cstheme="majorBidi"/>
          <w:color w:val="000000" w:themeColor="text1"/>
        </w:rPr>
        <w:t>Yet</w:t>
      </w:r>
      <w:r w:rsidRPr="005E73C2">
        <w:rPr>
          <w:rFonts w:asciiTheme="majorBidi" w:hAnsiTheme="majorBidi" w:cstheme="majorBidi"/>
          <w:color w:val="000000" w:themeColor="text1"/>
        </w:rPr>
        <w:t xml:space="preserve">, we find these </w:t>
      </w:r>
      <w:r>
        <w:rPr>
          <w:rFonts w:asciiTheme="majorBidi" w:hAnsiTheme="majorBidi" w:cstheme="majorBidi"/>
          <w:color w:val="000000" w:themeColor="text1"/>
        </w:rPr>
        <w:t xml:space="preserve">sets of </w:t>
      </w:r>
      <w:r w:rsidRPr="005E73C2">
        <w:rPr>
          <w:rFonts w:asciiTheme="majorBidi" w:hAnsiTheme="majorBidi" w:cstheme="majorBidi"/>
          <w:color w:val="000000" w:themeColor="text1"/>
        </w:rPr>
        <w:t xml:space="preserve">experience </w:t>
      </w:r>
      <w:r>
        <w:rPr>
          <w:rFonts w:asciiTheme="majorBidi" w:hAnsiTheme="majorBidi" w:cstheme="majorBidi"/>
          <w:color w:val="000000" w:themeColor="text1"/>
        </w:rPr>
        <w:t xml:space="preserve">to </w:t>
      </w:r>
      <w:r w:rsidRPr="005E73C2">
        <w:rPr>
          <w:rFonts w:asciiTheme="majorBidi" w:hAnsiTheme="majorBidi" w:cstheme="majorBidi"/>
          <w:color w:val="000000" w:themeColor="text1"/>
        </w:rPr>
        <w:t xml:space="preserve">have little effect on the monitoring quality exerted by the AC chair in the context of our study. Our definition of accounting expertise </w:t>
      </w:r>
      <w:r>
        <w:rPr>
          <w:rFonts w:asciiTheme="majorBidi" w:hAnsiTheme="majorBidi" w:cstheme="majorBidi"/>
          <w:color w:val="000000" w:themeColor="text1"/>
        </w:rPr>
        <w:t xml:space="preserve">derives from </w:t>
      </w:r>
      <w:r w:rsidRPr="005E73C2">
        <w:rPr>
          <w:rFonts w:asciiTheme="majorBidi" w:hAnsiTheme="majorBidi" w:cstheme="majorBidi"/>
          <w:color w:val="000000" w:themeColor="text1"/>
        </w:rPr>
        <w:t xml:space="preserve">the </w:t>
      </w:r>
      <w:proofErr w:type="spellStart"/>
      <w:r w:rsidRPr="005E73C2">
        <w:rPr>
          <w:rFonts w:asciiTheme="majorBidi" w:hAnsiTheme="majorBidi" w:cstheme="majorBidi"/>
          <w:color w:val="000000" w:themeColor="text1"/>
        </w:rPr>
        <w:t>BoardEx</w:t>
      </w:r>
      <w:proofErr w:type="spellEnd"/>
      <w:r w:rsidRPr="005E73C2">
        <w:rPr>
          <w:rFonts w:asciiTheme="majorBidi" w:hAnsiTheme="majorBidi" w:cstheme="majorBidi"/>
          <w:color w:val="000000" w:themeColor="text1"/>
        </w:rPr>
        <w:t xml:space="preserve"> database.</w:t>
      </w:r>
    </w:p>
  </w:footnote>
  <w:footnote w:id="14">
    <w:p w14:paraId="0AE87F71" w14:textId="4978BEA3" w:rsidR="00B42509" w:rsidRPr="00B42509" w:rsidRDefault="00B42509">
      <w:pPr>
        <w:pStyle w:val="FootnoteText"/>
      </w:pPr>
      <w:r>
        <w:rPr>
          <w:rStyle w:val="FootnoteReference"/>
        </w:rPr>
        <w:footnoteRef/>
      </w:r>
      <w:r>
        <w:t xml:space="preserve"> </w:t>
      </w:r>
      <w:r w:rsidRPr="00BE3A84">
        <w:rPr>
          <w:rFonts w:ascii="Times New Roman" w:hAnsi="Times New Roman" w:cs="Times New Roman"/>
        </w:rPr>
        <w:t xml:space="preserve">We </w:t>
      </w:r>
      <w:r>
        <w:rPr>
          <w:rFonts w:ascii="Times New Roman" w:hAnsi="Times New Roman" w:cs="Times New Roman"/>
        </w:rPr>
        <w:t xml:space="preserve">further interact between </w:t>
      </w:r>
      <w:r w:rsidRPr="00BE3A84">
        <w:rPr>
          <w:rFonts w:ascii="Times New Roman" w:hAnsi="Times New Roman" w:cs="Times New Roman"/>
          <w:i/>
          <w:iCs/>
        </w:rPr>
        <w:t>EXCLUSION</w:t>
      </w:r>
      <w:r>
        <w:rPr>
          <w:rFonts w:ascii="Times New Roman" w:hAnsi="Times New Roman" w:cs="Times New Roman"/>
        </w:rPr>
        <w:t xml:space="preserve">, </w:t>
      </w:r>
      <w:r>
        <w:rPr>
          <w:rFonts w:ascii="Times New Roman" w:hAnsi="Times New Roman" w:cs="Times New Roman"/>
          <w:i/>
          <w:iCs/>
        </w:rPr>
        <w:t>NARCIS</w:t>
      </w:r>
      <w:r>
        <w:rPr>
          <w:rFonts w:ascii="Times New Roman" w:hAnsi="Times New Roman" w:cs="Times New Roman"/>
        </w:rPr>
        <w:t xml:space="preserve"> and auditor </w:t>
      </w:r>
      <w:r w:rsidRPr="00BE3A84">
        <w:rPr>
          <w:rFonts w:ascii="Times New Roman" w:hAnsi="Times New Roman" w:cs="Times New Roman"/>
        </w:rPr>
        <w:t>narcissism</w:t>
      </w:r>
      <w:r>
        <w:rPr>
          <w:rFonts w:ascii="Times New Roman" w:hAnsi="Times New Roman" w:cs="Times New Roman"/>
        </w:rPr>
        <w:t>. C</w:t>
      </w:r>
      <w:r w:rsidRPr="00BE3A84">
        <w:rPr>
          <w:rFonts w:ascii="Times New Roman" w:hAnsi="Times New Roman" w:cs="Times New Roman"/>
        </w:rPr>
        <w:t xml:space="preserve">onsistent with our expectation, unreported results </w:t>
      </w:r>
      <w:r>
        <w:rPr>
          <w:rFonts w:ascii="Times New Roman" w:hAnsi="Times New Roman" w:cs="Times New Roman"/>
        </w:rPr>
        <w:t>show</w:t>
      </w:r>
      <w:r w:rsidRPr="00BE3A84">
        <w:rPr>
          <w:rFonts w:ascii="Times New Roman" w:hAnsi="Times New Roman" w:cs="Times New Roman"/>
        </w:rPr>
        <w:t xml:space="preserve"> that </w:t>
      </w:r>
      <w:r>
        <w:rPr>
          <w:rFonts w:ascii="Times New Roman" w:hAnsi="Times New Roman" w:cs="Times New Roman"/>
        </w:rPr>
        <w:t>the coefficient on this interaction</w:t>
      </w:r>
      <w:r w:rsidRPr="00BE3A84">
        <w:rPr>
          <w:rFonts w:ascii="Times New Roman" w:hAnsi="Times New Roman" w:cs="Times New Roman"/>
        </w:rPr>
        <w:t xml:space="preserve"> is significantly negative </w:t>
      </w:r>
      <w:r>
        <w:rPr>
          <w:rFonts w:ascii="Times New Roman" w:hAnsi="Times New Roman" w:cs="Times New Roman"/>
        </w:rPr>
        <w:t>suggesting</w:t>
      </w:r>
      <w:r w:rsidRPr="00BE3A84">
        <w:rPr>
          <w:rFonts w:ascii="Times New Roman" w:hAnsi="Times New Roman" w:cs="Times New Roman"/>
        </w:rPr>
        <w:t xml:space="preserve"> that in a situation where</w:t>
      </w:r>
      <w:r w:rsidRPr="006757FC">
        <w:rPr>
          <w:rFonts w:ascii="Times New Roman" w:hAnsi="Times New Roman" w:cs="Times New Roman"/>
        </w:rPr>
        <w:t xml:space="preserve"> </w:t>
      </w:r>
      <w:r w:rsidRPr="00BE3A84">
        <w:rPr>
          <w:rFonts w:ascii="Times New Roman" w:hAnsi="Times New Roman" w:cs="Times New Roman"/>
        </w:rPr>
        <w:t>both the external auditor and AC chair exhibit narcissistic traits, there may be a greater likelihood of decisions being made hastily or without sufficient deliberation, increasing the risk of error or poor judgment.</w:t>
      </w:r>
    </w:p>
  </w:footnote>
  <w:footnote w:id="15">
    <w:p w14:paraId="4EDEF99F" w14:textId="6B57F82F" w:rsidR="00261AA0" w:rsidRPr="003B0BB2" w:rsidRDefault="00261AA0">
      <w:pPr>
        <w:pStyle w:val="FootnoteText"/>
        <w:rPr>
          <w:lang w:val="en-GB"/>
        </w:rPr>
      </w:pPr>
      <w:r w:rsidRPr="003B0BB2">
        <w:rPr>
          <w:rStyle w:val="FootnoteReference"/>
          <w:rFonts w:ascii="Times New Roman" w:hAnsi="Times New Roman" w:cs="Times New Roman"/>
        </w:rPr>
        <w:footnoteRef/>
      </w:r>
      <w:r w:rsidRPr="003B0BB2">
        <w:rPr>
          <w:rFonts w:ascii="Times New Roman" w:hAnsi="Times New Roman" w:cs="Times New Roman"/>
        </w:rPr>
        <w:t xml:space="preserve"> </w:t>
      </w:r>
      <w:r w:rsidRPr="00D41E9B">
        <w:rPr>
          <w:rFonts w:ascii="Times New Roman" w:hAnsi="Times New Roman" w:cs="Times New Roman"/>
        </w:rPr>
        <w:t xml:space="preserve">To examine the validity of our matching </w:t>
      </w:r>
      <w:r w:rsidRPr="0035733D">
        <w:rPr>
          <w:rFonts w:ascii="Times New Roman" w:hAnsi="Times New Roman" w:cs="Times New Roman"/>
        </w:rPr>
        <w:t>process</w:t>
      </w:r>
      <w:r>
        <w:rPr>
          <w:rFonts w:ascii="Times New Roman" w:hAnsi="Times New Roman" w:cs="Times New Roman"/>
        </w:rPr>
        <w:t>,</w:t>
      </w:r>
      <w:r w:rsidRPr="0035733D">
        <w:rPr>
          <w:rFonts w:ascii="Times New Roman" w:hAnsi="Times New Roman" w:cs="Times New Roman"/>
        </w:rPr>
        <w:t xml:space="preserve"> </w:t>
      </w:r>
      <w:r w:rsidRPr="00D41E9B">
        <w:rPr>
          <w:rFonts w:ascii="Times New Roman" w:hAnsi="Times New Roman" w:cs="Times New Roman"/>
        </w:rPr>
        <w:t xml:space="preserve">we conduct a covariate balance test and find </w:t>
      </w:r>
      <w:r>
        <w:rPr>
          <w:rFonts w:ascii="Times New Roman" w:hAnsi="Times New Roman" w:cs="Times New Roman"/>
        </w:rPr>
        <w:t xml:space="preserve">that there is </w:t>
      </w:r>
      <w:r w:rsidRPr="00D41E9B">
        <w:rPr>
          <w:rFonts w:ascii="Times New Roman" w:hAnsi="Times New Roman" w:cs="Times New Roman"/>
        </w:rPr>
        <w:t xml:space="preserve">no significant difference between the treatment and control </w:t>
      </w:r>
      <w:r>
        <w:rPr>
          <w:rFonts w:ascii="Times New Roman" w:hAnsi="Times New Roman" w:cs="Times New Roman"/>
        </w:rPr>
        <w:t>group</w:t>
      </w:r>
      <w:r w:rsidRPr="00D41E9B">
        <w:rPr>
          <w:rFonts w:ascii="Times New Roman" w:hAnsi="Times New Roman" w:cs="Times New Roman"/>
        </w:rPr>
        <w:t xml:space="preserve"> in most of the observable firm characteristics.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1CCC"/>
    <w:multiLevelType w:val="hybridMultilevel"/>
    <w:tmpl w:val="B8226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FA57FA"/>
    <w:multiLevelType w:val="hybridMultilevel"/>
    <w:tmpl w:val="5D3057C4"/>
    <w:lvl w:ilvl="0" w:tplc="4B2A2262">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572568">
    <w:abstractNumId w:val="0"/>
  </w:num>
  <w:num w:numId="2" w16cid:durableId="89597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E0DDE"/>
    <w:rsid w:val="000001CC"/>
    <w:rsid w:val="0000066E"/>
    <w:rsid w:val="00001F37"/>
    <w:rsid w:val="0000208B"/>
    <w:rsid w:val="000024DF"/>
    <w:rsid w:val="00002DBF"/>
    <w:rsid w:val="00005C08"/>
    <w:rsid w:val="00006F24"/>
    <w:rsid w:val="00010977"/>
    <w:rsid w:val="00010F37"/>
    <w:rsid w:val="00011D97"/>
    <w:rsid w:val="00012581"/>
    <w:rsid w:val="000129B9"/>
    <w:rsid w:val="00013135"/>
    <w:rsid w:val="000141F8"/>
    <w:rsid w:val="00020EC2"/>
    <w:rsid w:val="000212D4"/>
    <w:rsid w:val="000214EF"/>
    <w:rsid w:val="000224C3"/>
    <w:rsid w:val="000233B7"/>
    <w:rsid w:val="00024A8E"/>
    <w:rsid w:val="000257C7"/>
    <w:rsid w:val="0002658B"/>
    <w:rsid w:val="00026D93"/>
    <w:rsid w:val="00027B9F"/>
    <w:rsid w:val="00030AA5"/>
    <w:rsid w:val="00030EA9"/>
    <w:rsid w:val="00031368"/>
    <w:rsid w:val="00032BA0"/>
    <w:rsid w:val="00033655"/>
    <w:rsid w:val="00033AA4"/>
    <w:rsid w:val="00033B22"/>
    <w:rsid w:val="00034A25"/>
    <w:rsid w:val="00035835"/>
    <w:rsid w:val="00035E94"/>
    <w:rsid w:val="00036794"/>
    <w:rsid w:val="00037E63"/>
    <w:rsid w:val="000404AE"/>
    <w:rsid w:val="00040A1D"/>
    <w:rsid w:val="00041876"/>
    <w:rsid w:val="000425BD"/>
    <w:rsid w:val="000458B0"/>
    <w:rsid w:val="00045C93"/>
    <w:rsid w:val="00045F21"/>
    <w:rsid w:val="000460CF"/>
    <w:rsid w:val="00050073"/>
    <w:rsid w:val="000510AA"/>
    <w:rsid w:val="00052E26"/>
    <w:rsid w:val="00053AC5"/>
    <w:rsid w:val="00054083"/>
    <w:rsid w:val="000540AD"/>
    <w:rsid w:val="0005496F"/>
    <w:rsid w:val="00054E3F"/>
    <w:rsid w:val="00055E6E"/>
    <w:rsid w:val="000566DE"/>
    <w:rsid w:val="00056C18"/>
    <w:rsid w:val="000573D2"/>
    <w:rsid w:val="0005761B"/>
    <w:rsid w:val="00057A48"/>
    <w:rsid w:val="00057ADD"/>
    <w:rsid w:val="00062E54"/>
    <w:rsid w:val="00064088"/>
    <w:rsid w:val="000644E2"/>
    <w:rsid w:val="000647F6"/>
    <w:rsid w:val="000658A3"/>
    <w:rsid w:val="00065DE6"/>
    <w:rsid w:val="00066F86"/>
    <w:rsid w:val="00072025"/>
    <w:rsid w:val="000736DB"/>
    <w:rsid w:val="00074662"/>
    <w:rsid w:val="0007681C"/>
    <w:rsid w:val="000802AA"/>
    <w:rsid w:val="000831DC"/>
    <w:rsid w:val="00084278"/>
    <w:rsid w:val="00084656"/>
    <w:rsid w:val="000850EF"/>
    <w:rsid w:val="000861AE"/>
    <w:rsid w:val="0008621D"/>
    <w:rsid w:val="00091292"/>
    <w:rsid w:val="00091BB2"/>
    <w:rsid w:val="00092BEC"/>
    <w:rsid w:val="00092D74"/>
    <w:rsid w:val="00092FF2"/>
    <w:rsid w:val="000933A1"/>
    <w:rsid w:val="000933C1"/>
    <w:rsid w:val="000937EB"/>
    <w:rsid w:val="000940D8"/>
    <w:rsid w:val="0009494D"/>
    <w:rsid w:val="00094AD3"/>
    <w:rsid w:val="00095964"/>
    <w:rsid w:val="00095CDE"/>
    <w:rsid w:val="00095E64"/>
    <w:rsid w:val="00096C5C"/>
    <w:rsid w:val="00096D2A"/>
    <w:rsid w:val="000A0254"/>
    <w:rsid w:val="000A194F"/>
    <w:rsid w:val="000A282C"/>
    <w:rsid w:val="000A30C7"/>
    <w:rsid w:val="000A3DDC"/>
    <w:rsid w:val="000A4E1E"/>
    <w:rsid w:val="000A53CD"/>
    <w:rsid w:val="000A5BEA"/>
    <w:rsid w:val="000A5E7B"/>
    <w:rsid w:val="000A5EA5"/>
    <w:rsid w:val="000A67BC"/>
    <w:rsid w:val="000A704A"/>
    <w:rsid w:val="000B11D5"/>
    <w:rsid w:val="000B2A81"/>
    <w:rsid w:val="000B6278"/>
    <w:rsid w:val="000B7665"/>
    <w:rsid w:val="000B779E"/>
    <w:rsid w:val="000B7896"/>
    <w:rsid w:val="000C0433"/>
    <w:rsid w:val="000C076B"/>
    <w:rsid w:val="000C258E"/>
    <w:rsid w:val="000C3501"/>
    <w:rsid w:val="000C3D23"/>
    <w:rsid w:val="000C436F"/>
    <w:rsid w:val="000C4A0B"/>
    <w:rsid w:val="000C4E12"/>
    <w:rsid w:val="000C5B5B"/>
    <w:rsid w:val="000C5EBE"/>
    <w:rsid w:val="000C6489"/>
    <w:rsid w:val="000C6751"/>
    <w:rsid w:val="000C690E"/>
    <w:rsid w:val="000C74E1"/>
    <w:rsid w:val="000D2662"/>
    <w:rsid w:val="000D26F0"/>
    <w:rsid w:val="000D2A16"/>
    <w:rsid w:val="000D7BB4"/>
    <w:rsid w:val="000E0779"/>
    <w:rsid w:val="000E2A94"/>
    <w:rsid w:val="000E2FFC"/>
    <w:rsid w:val="000E44C2"/>
    <w:rsid w:val="000E55B7"/>
    <w:rsid w:val="000E6E4F"/>
    <w:rsid w:val="000E6EB7"/>
    <w:rsid w:val="000E7619"/>
    <w:rsid w:val="000F0E74"/>
    <w:rsid w:val="000F1734"/>
    <w:rsid w:val="000F1DCD"/>
    <w:rsid w:val="000F2FCE"/>
    <w:rsid w:val="000F4047"/>
    <w:rsid w:val="000F56B2"/>
    <w:rsid w:val="000F5A26"/>
    <w:rsid w:val="000F5A99"/>
    <w:rsid w:val="000F5E23"/>
    <w:rsid w:val="000F608B"/>
    <w:rsid w:val="000F6414"/>
    <w:rsid w:val="000F69B8"/>
    <w:rsid w:val="000F73B7"/>
    <w:rsid w:val="000F7537"/>
    <w:rsid w:val="000F7FA6"/>
    <w:rsid w:val="00100768"/>
    <w:rsid w:val="00100E71"/>
    <w:rsid w:val="001012F2"/>
    <w:rsid w:val="00101A0A"/>
    <w:rsid w:val="00102EA7"/>
    <w:rsid w:val="001036A0"/>
    <w:rsid w:val="001041C8"/>
    <w:rsid w:val="001047A5"/>
    <w:rsid w:val="00106566"/>
    <w:rsid w:val="00106B7B"/>
    <w:rsid w:val="001077ED"/>
    <w:rsid w:val="00107FB3"/>
    <w:rsid w:val="00110BCE"/>
    <w:rsid w:val="00111D92"/>
    <w:rsid w:val="00113322"/>
    <w:rsid w:val="00113900"/>
    <w:rsid w:val="00113F6E"/>
    <w:rsid w:val="00114488"/>
    <w:rsid w:val="00114A0B"/>
    <w:rsid w:val="001160C7"/>
    <w:rsid w:val="00116304"/>
    <w:rsid w:val="00116674"/>
    <w:rsid w:val="00116AD9"/>
    <w:rsid w:val="00116F31"/>
    <w:rsid w:val="001171C9"/>
    <w:rsid w:val="0011741D"/>
    <w:rsid w:val="001179BC"/>
    <w:rsid w:val="0012035A"/>
    <w:rsid w:val="00121504"/>
    <w:rsid w:val="00121E52"/>
    <w:rsid w:val="00122346"/>
    <w:rsid w:val="00122CF4"/>
    <w:rsid w:val="001237A9"/>
    <w:rsid w:val="00123F4F"/>
    <w:rsid w:val="001240FD"/>
    <w:rsid w:val="00124A59"/>
    <w:rsid w:val="001261FF"/>
    <w:rsid w:val="00127E95"/>
    <w:rsid w:val="001304F7"/>
    <w:rsid w:val="001332ED"/>
    <w:rsid w:val="00133F33"/>
    <w:rsid w:val="00133F3F"/>
    <w:rsid w:val="00136254"/>
    <w:rsid w:val="001367AF"/>
    <w:rsid w:val="00136A88"/>
    <w:rsid w:val="00136A9D"/>
    <w:rsid w:val="00136BB9"/>
    <w:rsid w:val="00136DC9"/>
    <w:rsid w:val="0014133A"/>
    <w:rsid w:val="001417FE"/>
    <w:rsid w:val="001425C0"/>
    <w:rsid w:val="00142C08"/>
    <w:rsid w:val="001435EE"/>
    <w:rsid w:val="0014474F"/>
    <w:rsid w:val="00146ABD"/>
    <w:rsid w:val="00146F67"/>
    <w:rsid w:val="00147070"/>
    <w:rsid w:val="00147381"/>
    <w:rsid w:val="001479FA"/>
    <w:rsid w:val="001529EF"/>
    <w:rsid w:val="00153370"/>
    <w:rsid w:val="001542C5"/>
    <w:rsid w:val="00154D31"/>
    <w:rsid w:val="00154FB2"/>
    <w:rsid w:val="00155698"/>
    <w:rsid w:val="00155D69"/>
    <w:rsid w:val="0015606E"/>
    <w:rsid w:val="0015674F"/>
    <w:rsid w:val="00156805"/>
    <w:rsid w:val="0015762D"/>
    <w:rsid w:val="00162CE5"/>
    <w:rsid w:val="0016360E"/>
    <w:rsid w:val="00163657"/>
    <w:rsid w:val="00164260"/>
    <w:rsid w:val="001648D3"/>
    <w:rsid w:val="00164E23"/>
    <w:rsid w:val="00166313"/>
    <w:rsid w:val="001679A8"/>
    <w:rsid w:val="00170DF5"/>
    <w:rsid w:val="001711A6"/>
    <w:rsid w:val="00171A9F"/>
    <w:rsid w:val="00175BEF"/>
    <w:rsid w:val="00182207"/>
    <w:rsid w:val="00182308"/>
    <w:rsid w:val="001829C4"/>
    <w:rsid w:val="00183893"/>
    <w:rsid w:val="001857F5"/>
    <w:rsid w:val="001911E1"/>
    <w:rsid w:val="001911ED"/>
    <w:rsid w:val="00192CC8"/>
    <w:rsid w:val="0019430A"/>
    <w:rsid w:val="00195160"/>
    <w:rsid w:val="001958E7"/>
    <w:rsid w:val="00196BE1"/>
    <w:rsid w:val="00196F9C"/>
    <w:rsid w:val="00197965"/>
    <w:rsid w:val="001A085D"/>
    <w:rsid w:val="001A0B1B"/>
    <w:rsid w:val="001A135C"/>
    <w:rsid w:val="001A2488"/>
    <w:rsid w:val="001A2BCB"/>
    <w:rsid w:val="001A3723"/>
    <w:rsid w:val="001A52B1"/>
    <w:rsid w:val="001A579E"/>
    <w:rsid w:val="001A591E"/>
    <w:rsid w:val="001A612D"/>
    <w:rsid w:val="001A747E"/>
    <w:rsid w:val="001A7925"/>
    <w:rsid w:val="001B26E9"/>
    <w:rsid w:val="001B2D19"/>
    <w:rsid w:val="001B5B5E"/>
    <w:rsid w:val="001B6763"/>
    <w:rsid w:val="001B6F67"/>
    <w:rsid w:val="001B709D"/>
    <w:rsid w:val="001B7120"/>
    <w:rsid w:val="001C25AC"/>
    <w:rsid w:val="001C33F3"/>
    <w:rsid w:val="001C3A16"/>
    <w:rsid w:val="001C3AA1"/>
    <w:rsid w:val="001C416B"/>
    <w:rsid w:val="001C4D1F"/>
    <w:rsid w:val="001C542F"/>
    <w:rsid w:val="001C578A"/>
    <w:rsid w:val="001C6293"/>
    <w:rsid w:val="001C6398"/>
    <w:rsid w:val="001D0819"/>
    <w:rsid w:val="001D0FCE"/>
    <w:rsid w:val="001D1486"/>
    <w:rsid w:val="001D1DD2"/>
    <w:rsid w:val="001D40EC"/>
    <w:rsid w:val="001D4174"/>
    <w:rsid w:val="001D42E7"/>
    <w:rsid w:val="001D466B"/>
    <w:rsid w:val="001D4953"/>
    <w:rsid w:val="001D5080"/>
    <w:rsid w:val="001D5637"/>
    <w:rsid w:val="001D5926"/>
    <w:rsid w:val="001D68E5"/>
    <w:rsid w:val="001D6A6B"/>
    <w:rsid w:val="001E00AF"/>
    <w:rsid w:val="001E0161"/>
    <w:rsid w:val="001E2E7C"/>
    <w:rsid w:val="001E34BF"/>
    <w:rsid w:val="001E4552"/>
    <w:rsid w:val="001E4AB6"/>
    <w:rsid w:val="001E4D1A"/>
    <w:rsid w:val="001E57BE"/>
    <w:rsid w:val="001E6371"/>
    <w:rsid w:val="001E7205"/>
    <w:rsid w:val="001E7319"/>
    <w:rsid w:val="001E7515"/>
    <w:rsid w:val="001E7547"/>
    <w:rsid w:val="001E76AF"/>
    <w:rsid w:val="001E7AAA"/>
    <w:rsid w:val="001E7E13"/>
    <w:rsid w:val="001F056B"/>
    <w:rsid w:val="001F08C5"/>
    <w:rsid w:val="001F13CA"/>
    <w:rsid w:val="001F229F"/>
    <w:rsid w:val="001F2A44"/>
    <w:rsid w:val="001F2FB9"/>
    <w:rsid w:val="001F3484"/>
    <w:rsid w:val="001F4236"/>
    <w:rsid w:val="001F5FC4"/>
    <w:rsid w:val="00201540"/>
    <w:rsid w:val="0020155E"/>
    <w:rsid w:val="00205236"/>
    <w:rsid w:val="002057DD"/>
    <w:rsid w:val="00206366"/>
    <w:rsid w:val="00207091"/>
    <w:rsid w:val="002103C9"/>
    <w:rsid w:val="002110AA"/>
    <w:rsid w:val="00211D32"/>
    <w:rsid w:val="00211F48"/>
    <w:rsid w:val="00213CD1"/>
    <w:rsid w:val="00213D00"/>
    <w:rsid w:val="00215656"/>
    <w:rsid w:val="002163FF"/>
    <w:rsid w:val="00216AEC"/>
    <w:rsid w:val="00216E55"/>
    <w:rsid w:val="002225F5"/>
    <w:rsid w:val="00222786"/>
    <w:rsid w:val="00222A60"/>
    <w:rsid w:val="00223D1E"/>
    <w:rsid w:val="00227E70"/>
    <w:rsid w:val="0023039D"/>
    <w:rsid w:val="00231082"/>
    <w:rsid w:val="0023144C"/>
    <w:rsid w:val="00232829"/>
    <w:rsid w:val="00232B30"/>
    <w:rsid w:val="00233B3A"/>
    <w:rsid w:val="0023485F"/>
    <w:rsid w:val="00235B58"/>
    <w:rsid w:val="00235DCF"/>
    <w:rsid w:val="0023600B"/>
    <w:rsid w:val="002362B1"/>
    <w:rsid w:val="00237448"/>
    <w:rsid w:val="002379C7"/>
    <w:rsid w:val="00237FD1"/>
    <w:rsid w:val="002405CE"/>
    <w:rsid w:val="00244C74"/>
    <w:rsid w:val="002452E5"/>
    <w:rsid w:val="00246B2F"/>
    <w:rsid w:val="00247461"/>
    <w:rsid w:val="00247581"/>
    <w:rsid w:val="0024776A"/>
    <w:rsid w:val="00251419"/>
    <w:rsid w:val="00251B20"/>
    <w:rsid w:val="002525A0"/>
    <w:rsid w:val="002528C1"/>
    <w:rsid w:val="002528F2"/>
    <w:rsid w:val="0025320C"/>
    <w:rsid w:val="0025344B"/>
    <w:rsid w:val="0025391A"/>
    <w:rsid w:val="00255571"/>
    <w:rsid w:val="0025634F"/>
    <w:rsid w:val="002600DD"/>
    <w:rsid w:val="0026049E"/>
    <w:rsid w:val="002606D6"/>
    <w:rsid w:val="0026092C"/>
    <w:rsid w:val="00260DDD"/>
    <w:rsid w:val="00260F1F"/>
    <w:rsid w:val="00261AA0"/>
    <w:rsid w:val="00263398"/>
    <w:rsid w:val="0026439F"/>
    <w:rsid w:val="0026514C"/>
    <w:rsid w:val="00266256"/>
    <w:rsid w:val="0026627B"/>
    <w:rsid w:val="002662DA"/>
    <w:rsid w:val="002677C2"/>
    <w:rsid w:val="00267BEB"/>
    <w:rsid w:val="00267F7D"/>
    <w:rsid w:val="002707E3"/>
    <w:rsid w:val="00270931"/>
    <w:rsid w:val="002718DC"/>
    <w:rsid w:val="0027205C"/>
    <w:rsid w:val="00272686"/>
    <w:rsid w:val="00273D00"/>
    <w:rsid w:val="00273DA7"/>
    <w:rsid w:val="0027444F"/>
    <w:rsid w:val="00274F7D"/>
    <w:rsid w:val="00275677"/>
    <w:rsid w:val="00277050"/>
    <w:rsid w:val="00277C5F"/>
    <w:rsid w:val="00282244"/>
    <w:rsid w:val="0028279A"/>
    <w:rsid w:val="00282F48"/>
    <w:rsid w:val="002845BA"/>
    <w:rsid w:val="00285256"/>
    <w:rsid w:val="00285CBB"/>
    <w:rsid w:val="002864A2"/>
    <w:rsid w:val="00287384"/>
    <w:rsid w:val="002873CA"/>
    <w:rsid w:val="00290898"/>
    <w:rsid w:val="002915B9"/>
    <w:rsid w:val="00291FD5"/>
    <w:rsid w:val="00292ABB"/>
    <w:rsid w:val="002934C7"/>
    <w:rsid w:val="00293536"/>
    <w:rsid w:val="00293584"/>
    <w:rsid w:val="00294678"/>
    <w:rsid w:val="0029575E"/>
    <w:rsid w:val="00296459"/>
    <w:rsid w:val="00297096"/>
    <w:rsid w:val="002A02C5"/>
    <w:rsid w:val="002A04D1"/>
    <w:rsid w:val="002A0C16"/>
    <w:rsid w:val="002A0C6F"/>
    <w:rsid w:val="002A1938"/>
    <w:rsid w:val="002A2454"/>
    <w:rsid w:val="002A2BA1"/>
    <w:rsid w:val="002A3492"/>
    <w:rsid w:val="002A4743"/>
    <w:rsid w:val="002A49B3"/>
    <w:rsid w:val="002A57F2"/>
    <w:rsid w:val="002A64B3"/>
    <w:rsid w:val="002A72C6"/>
    <w:rsid w:val="002B1B9F"/>
    <w:rsid w:val="002B4346"/>
    <w:rsid w:val="002B59A3"/>
    <w:rsid w:val="002B7705"/>
    <w:rsid w:val="002B7C7D"/>
    <w:rsid w:val="002C1FAA"/>
    <w:rsid w:val="002C2E1B"/>
    <w:rsid w:val="002C35F0"/>
    <w:rsid w:val="002C39C3"/>
    <w:rsid w:val="002C4A28"/>
    <w:rsid w:val="002C4D23"/>
    <w:rsid w:val="002C50D4"/>
    <w:rsid w:val="002C6111"/>
    <w:rsid w:val="002C6816"/>
    <w:rsid w:val="002C6E1F"/>
    <w:rsid w:val="002C75EA"/>
    <w:rsid w:val="002C7634"/>
    <w:rsid w:val="002D16FF"/>
    <w:rsid w:val="002D2CAA"/>
    <w:rsid w:val="002D2DB9"/>
    <w:rsid w:val="002D3040"/>
    <w:rsid w:val="002D428E"/>
    <w:rsid w:val="002D4E57"/>
    <w:rsid w:val="002D5F17"/>
    <w:rsid w:val="002D6019"/>
    <w:rsid w:val="002D6C75"/>
    <w:rsid w:val="002D6E3E"/>
    <w:rsid w:val="002D70D7"/>
    <w:rsid w:val="002D7449"/>
    <w:rsid w:val="002D7680"/>
    <w:rsid w:val="002D7BC3"/>
    <w:rsid w:val="002E1366"/>
    <w:rsid w:val="002E1857"/>
    <w:rsid w:val="002E19B2"/>
    <w:rsid w:val="002E3CFB"/>
    <w:rsid w:val="002E4E68"/>
    <w:rsid w:val="002E7A89"/>
    <w:rsid w:val="002E7B9F"/>
    <w:rsid w:val="002F0755"/>
    <w:rsid w:val="002F1CE0"/>
    <w:rsid w:val="002F2A2F"/>
    <w:rsid w:val="002F3353"/>
    <w:rsid w:val="002F3AB6"/>
    <w:rsid w:val="002F4315"/>
    <w:rsid w:val="002F43CD"/>
    <w:rsid w:val="002F46D7"/>
    <w:rsid w:val="002F49BC"/>
    <w:rsid w:val="002F5936"/>
    <w:rsid w:val="002F5FB6"/>
    <w:rsid w:val="002F6F22"/>
    <w:rsid w:val="002F72BF"/>
    <w:rsid w:val="002F741A"/>
    <w:rsid w:val="002F79E9"/>
    <w:rsid w:val="002F7CD8"/>
    <w:rsid w:val="00300815"/>
    <w:rsid w:val="003009F4"/>
    <w:rsid w:val="00301D33"/>
    <w:rsid w:val="00301EE9"/>
    <w:rsid w:val="00302556"/>
    <w:rsid w:val="00302962"/>
    <w:rsid w:val="00302FE1"/>
    <w:rsid w:val="00303F71"/>
    <w:rsid w:val="003041E4"/>
    <w:rsid w:val="003062B3"/>
    <w:rsid w:val="00306657"/>
    <w:rsid w:val="00307C1D"/>
    <w:rsid w:val="00307CFB"/>
    <w:rsid w:val="00310CED"/>
    <w:rsid w:val="0031144B"/>
    <w:rsid w:val="003116EF"/>
    <w:rsid w:val="00311747"/>
    <w:rsid w:val="00311D2F"/>
    <w:rsid w:val="0031208A"/>
    <w:rsid w:val="003130CA"/>
    <w:rsid w:val="0031336C"/>
    <w:rsid w:val="00313604"/>
    <w:rsid w:val="003139C4"/>
    <w:rsid w:val="0031409E"/>
    <w:rsid w:val="00314B36"/>
    <w:rsid w:val="00315354"/>
    <w:rsid w:val="003162FF"/>
    <w:rsid w:val="00316302"/>
    <w:rsid w:val="00316B3E"/>
    <w:rsid w:val="00316EB6"/>
    <w:rsid w:val="00316FA4"/>
    <w:rsid w:val="00323EA3"/>
    <w:rsid w:val="00324D51"/>
    <w:rsid w:val="00327A57"/>
    <w:rsid w:val="00330E69"/>
    <w:rsid w:val="00331119"/>
    <w:rsid w:val="003311F7"/>
    <w:rsid w:val="00331AE5"/>
    <w:rsid w:val="00332B83"/>
    <w:rsid w:val="00332CC7"/>
    <w:rsid w:val="003330F0"/>
    <w:rsid w:val="003335CF"/>
    <w:rsid w:val="00333B1A"/>
    <w:rsid w:val="003345B7"/>
    <w:rsid w:val="0033525A"/>
    <w:rsid w:val="003368AB"/>
    <w:rsid w:val="003402D6"/>
    <w:rsid w:val="00341411"/>
    <w:rsid w:val="00341C80"/>
    <w:rsid w:val="00341D07"/>
    <w:rsid w:val="00342685"/>
    <w:rsid w:val="00342C46"/>
    <w:rsid w:val="00342C52"/>
    <w:rsid w:val="003438B5"/>
    <w:rsid w:val="00343D1C"/>
    <w:rsid w:val="00343D67"/>
    <w:rsid w:val="00343ECD"/>
    <w:rsid w:val="00346209"/>
    <w:rsid w:val="0034668B"/>
    <w:rsid w:val="00350790"/>
    <w:rsid w:val="00351114"/>
    <w:rsid w:val="003527CC"/>
    <w:rsid w:val="0035306B"/>
    <w:rsid w:val="0035478F"/>
    <w:rsid w:val="00354F46"/>
    <w:rsid w:val="003566CD"/>
    <w:rsid w:val="0035733D"/>
    <w:rsid w:val="00357F57"/>
    <w:rsid w:val="00360079"/>
    <w:rsid w:val="00360360"/>
    <w:rsid w:val="00361131"/>
    <w:rsid w:val="00361E3F"/>
    <w:rsid w:val="00361FD4"/>
    <w:rsid w:val="0036293E"/>
    <w:rsid w:val="003646E8"/>
    <w:rsid w:val="00364B78"/>
    <w:rsid w:val="00364E7F"/>
    <w:rsid w:val="0036514F"/>
    <w:rsid w:val="00366B9C"/>
    <w:rsid w:val="00366EE2"/>
    <w:rsid w:val="00370678"/>
    <w:rsid w:val="0037100F"/>
    <w:rsid w:val="00372A8E"/>
    <w:rsid w:val="00372ED1"/>
    <w:rsid w:val="00374166"/>
    <w:rsid w:val="003741F4"/>
    <w:rsid w:val="0037677B"/>
    <w:rsid w:val="00380EB3"/>
    <w:rsid w:val="00381074"/>
    <w:rsid w:val="003810AD"/>
    <w:rsid w:val="00384774"/>
    <w:rsid w:val="00385869"/>
    <w:rsid w:val="0038632F"/>
    <w:rsid w:val="00386559"/>
    <w:rsid w:val="00386611"/>
    <w:rsid w:val="003908D1"/>
    <w:rsid w:val="003910AC"/>
    <w:rsid w:val="00391D9B"/>
    <w:rsid w:val="00393449"/>
    <w:rsid w:val="003945ED"/>
    <w:rsid w:val="003951D1"/>
    <w:rsid w:val="00396211"/>
    <w:rsid w:val="0039699A"/>
    <w:rsid w:val="00396B16"/>
    <w:rsid w:val="00396EF9"/>
    <w:rsid w:val="00397B59"/>
    <w:rsid w:val="003A0B09"/>
    <w:rsid w:val="003A390F"/>
    <w:rsid w:val="003A40B4"/>
    <w:rsid w:val="003A44BC"/>
    <w:rsid w:val="003A5C36"/>
    <w:rsid w:val="003A6660"/>
    <w:rsid w:val="003B0B9C"/>
    <w:rsid w:val="003B0BB2"/>
    <w:rsid w:val="003B343E"/>
    <w:rsid w:val="003B4CF1"/>
    <w:rsid w:val="003B50EF"/>
    <w:rsid w:val="003B7608"/>
    <w:rsid w:val="003C05B8"/>
    <w:rsid w:val="003C1013"/>
    <w:rsid w:val="003C105C"/>
    <w:rsid w:val="003C1DF1"/>
    <w:rsid w:val="003C25AD"/>
    <w:rsid w:val="003C32F3"/>
    <w:rsid w:val="003C3457"/>
    <w:rsid w:val="003C48A8"/>
    <w:rsid w:val="003C5940"/>
    <w:rsid w:val="003C5AC8"/>
    <w:rsid w:val="003C621D"/>
    <w:rsid w:val="003C6BB6"/>
    <w:rsid w:val="003C756F"/>
    <w:rsid w:val="003C7FEA"/>
    <w:rsid w:val="003D0765"/>
    <w:rsid w:val="003D15A3"/>
    <w:rsid w:val="003D2378"/>
    <w:rsid w:val="003D332B"/>
    <w:rsid w:val="003D376F"/>
    <w:rsid w:val="003D3AAD"/>
    <w:rsid w:val="003D4DBD"/>
    <w:rsid w:val="003D6D77"/>
    <w:rsid w:val="003E03B1"/>
    <w:rsid w:val="003E0908"/>
    <w:rsid w:val="003E1D3F"/>
    <w:rsid w:val="003E30F8"/>
    <w:rsid w:val="003E43DE"/>
    <w:rsid w:val="003E506A"/>
    <w:rsid w:val="003E62FB"/>
    <w:rsid w:val="003E7278"/>
    <w:rsid w:val="003F0141"/>
    <w:rsid w:val="003F0326"/>
    <w:rsid w:val="003F1F00"/>
    <w:rsid w:val="003F2244"/>
    <w:rsid w:val="003F2B35"/>
    <w:rsid w:val="003F35F3"/>
    <w:rsid w:val="003F3E28"/>
    <w:rsid w:val="003F5899"/>
    <w:rsid w:val="003F5F10"/>
    <w:rsid w:val="00400CD9"/>
    <w:rsid w:val="00401C87"/>
    <w:rsid w:val="0040259E"/>
    <w:rsid w:val="00403A71"/>
    <w:rsid w:val="00404205"/>
    <w:rsid w:val="00404B65"/>
    <w:rsid w:val="00406504"/>
    <w:rsid w:val="00406D9A"/>
    <w:rsid w:val="00410FD8"/>
    <w:rsid w:val="004112B2"/>
    <w:rsid w:val="0041152F"/>
    <w:rsid w:val="00411B39"/>
    <w:rsid w:val="004139DC"/>
    <w:rsid w:val="004141AA"/>
    <w:rsid w:val="00415218"/>
    <w:rsid w:val="00415F0E"/>
    <w:rsid w:val="0041678C"/>
    <w:rsid w:val="004241C5"/>
    <w:rsid w:val="00424850"/>
    <w:rsid w:val="00425C98"/>
    <w:rsid w:val="00426659"/>
    <w:rsid w:val="0042684B"/>
    <w:rsid w:val="00427D5E"/>
    <w:rsid w:val="00430538"/>
    <w:rsid w:val="004309F4"/>
    <w:rsid w:val="00430F30"/>
    <w:rsid w:val="00431489"/>
    <w:rsid w:val="004319D5"/>
    <w:rsid w:val="004322F3"/>
    <w:rsid w:val="00434735"/>
    <w:rsid w:val="00435304"/>
    <w:rsid w:val="004359BE"/>
    <w:rsid w:val="00437634"/>
    <w:rsid w:val="00437ABB"/>
    <w:rsid w:val="0044054E"/>
    <w:rsid w:val="0044250F"/>
    <w:rsid w:val="00442C2E"/>
    <w:rsid w:val="00444414"/>
    <w:rsid w:val="00450F81"/>
    <w:rsid w:val="004512F1"/>
    <w:rsid w:val="00451B91"/>
    <w:rsid w:val="00451E28"/>
    <w:rsid w:val="00453E4F"/>
    <w:rsid w:val="00455251"/>
    <w:rsid w:val="004564E7"/>
    <w:rsid w:val="004608A4"/>
    <w:rsid w:val="00460A19"/>
    <w:rsid w:val="00460A3B"/>
    <w:rsid w:val="0046188A"/>
    <w:rsid w:val="004644CE"/>
    <w:rsid w:val="004644EF"/>
    <w:rsid w:val="004648AF"/>
    <w:rsid w:val="0046505A"/>
    <w:rsid w:val="004656CD"/>
    <w:rsid w:val="0046587C"/>
    <w:rsid w:val="00465D20"/>
    <w:rsid w:val="00465E9D"/>
    <w:rsid w:val="00466B98"/>
    <w:rsid w:val="00467910"/>
    <w:rsid w:val="00470BC6"/>
    <w:rsid w:val="004724DD"/>
    <w:rsid w:val="00473323"/>
    <w:rsid w:val="00473E84"/>
    <w:rsid w:val="004744AA"/>
    <w:rsid w:val="00474A18"/>
    <w:rsid w:val="00474EA1"/>
    <w:rsid w:val="0047711E"/>
    <w:rsid w:val="00480434"/>
    <w:rsid w:val="00481A71"/>
    <w:rsid w:val="00481B03"/>
    <w:rsid w:val="004830AC"/>
    <w:rsid w:val="00483AD6"/>
    <w:rsid w:val="0048413D"/>
    <w:rsid w:val="00484261"/>
    <w:rsid w:val="004844C1"/>
    <w:rsid w:val="0048503F"/>
    <w:rsid w:val="00485335"/>
    <w:rsid w:val="00486298"/>
    <w:rsid w:val="0048735E"/>
    <w:rsid w:val="00487FC4"/>
    <w:rsid w:val="004913D6"/>
    <w:rsid w:val="0049156F"/>
    <w:rsid w:val="004915BC"/>
    <w:rsid w:val="004916AC"/>
    <w:rsid w:val="004917A3"/>
    <w:rsid w:val="00491F7B"/>
    <w:rsid w:val="00493B2D"/>
    <w:rsid w:val="00493C78"/>
    <w:rsid w:val="00493ED1"/>
    <w:rsid w:val="004941BF"/>
    <w:rsid w:val="00494B2C"/>
    <w:rsid w:val="00495EAB"/>
    <w:rsid w:val="0049610F"/>
    <w:rsid w:val="004A02E9"/>
    <w:rsid w:val="004A13F0"/>
    <w:rsid w:val="004A1969"/>
    <w:rsid w:val="004A265B"/>
    <w:rsid w:val="004A29DD"/>
    <w:rsid w:val="004A3EE0"/>
    <w:rsid w:val="004A405D"/>
    <w:rsid w:val="004A4494"/>
    <w:rsid w:val="004A54F7"/>
    <w:rsid w:val="004A5C53"/>
    <w:rsid w:val="004A690B"/>
    <w:rsid w:val="004A6984"/>
    <w:rsid w:val="004A71E1"/>
    <w:rsid w:val="004B0398"/>
    <w:rsid w:val="004B0CEC"/>
    <w:rsid w:val="004B2345"/>
    <w:rsid w:val="004B27FC"/>
    <w:rsid w:val="004B3D78"/>
    <w:rsid w:val="004B5629"/>
    <w:rsid w:val="004B7057"/>
    <w:rsid w:val="004B7C82"/>
    <w:rsid w:val="004C15C2"/>
    <w:rsid w:val="004C22D4"/>
    <w:rsid w:val="004C2B81"/>
    <w:rsid w:val="004C2CCF"/>
    <w:rsid w:val="004C3EEA"/>
    <w:rsid w:val="004C3FCE"/>
    <w:rsid w:val="004C4242"/>
    <w:rsid w:val="004C5CB2"/>
    <w:rsid w:val="004C6415"/>
    <w:rsid w:val="004C6C4C"/>
    <w:rsid w:val="004C701A"/>
    <w:rsid w:val="004C71C1"/>
    <w:rsid w:val="004C7E19"/>
    <w:rsid w:val="004C7F14"/>
    <w:rsid w:val="004D06B5"/>
    <w:rsid w:val="004D1C45"/>
    <w:rsid w:val="004D24D2"/>
    <w:rsid w:val="004D3DB0"/>
    <w:rsid w:val="004D4AA5"/>
    <w:rsid w:val="004D66BE"/>
    <w:rsid w:val="004D7A48"/>
    <w:rsid w:val="004E0DDE"/>
    <w:rsid w:val="004E1D23"/>
    <w:rsid w:val="004E25E3"/>
    <w:rsid w:val="004E39F0"/>
    <w:rsid w:val="004E3CC0"/>
    <w:rsid w:val="004E49E3"/>
    <w:rsid w:val="004E5981"/>
    <w:rsid w:val="004E61A8"/>
    <w:rsid w:val="004E6727"/>
    <w:rsid w:val="004E781C"/>
    <w:rsid w:val="004E7D00"/>
    <w:rsid w:val="004F023C"/>
    <w:rsid w:val="004F0259"/>
    <w:rsid w:val="004F1195"/>
    <w:rsid w:val="004F3D04"/>
    <w:rsid w:val="004F40D5"/>
    <w:rsid w:val="004F4754"/>
    <w:rsid w:val="004F4D78"/>
    <w:rsid w:val="004F4F22"/>
    <w:rsid w:val="004F70C1"/>
    <w:rsid w:val="004F7297"/>
    <w:rsid w:val="004F7535"/>
    <w:rsid w:val="004F7AB3"/>
    <w:rsid w:val="004F7F2D"/>
    <w:rsid w:val="0050080D"/>
    <w:rsid w:val="0050202C"/>
    <w:rsid w:val="005028A9"/>
    <w:rsid w:val="00502972"/>
    <w:rsid w:val="00502FAD"/>
    <w:rsid w:val="00504A07"/>
    <w:rsid w:val="00504B0C"/>
    <w:rsid w:val="00505C72"/>
    <w:rsid w:val="0051255A"/>
    <w:rsid w:val="00513632"/>
    <w:rsid w:val="0051688B"/>
    <w:rsid w:val="0051699E"/>
    <w:rsid w:val="00517BC7"/>
    <w:rsid w:val="00517BE7"/>
    <w:rsid w:val="0052015C"/>
    <w:rsid w:val="005208E5"/>
    <w:rsid w:val="005209AF"/>
    <w:rsid w:val="00520B49"/>
    <w:rsid w:val="00521890"/>
    <w:rsid w:val="005232A7"/>
    <w:rsid w:val="00524EA1"/>
    <w:rsid w:val="00526799"/>
    <w:rsid w:val="005279D8"/>
    <w:rsid w:val="005301FA"/>
    <w:rsid w:val="00530529"/>
    <w:rsid w:val="00530FA4"/>
    <w:rsid w:val="005322DD"/>
    <w:rsid w:val="0053335E"/>
    <w:rsid w:val="00533854"/>
    <w:rsid w:val="00534C48"/>
    <w:rsid w:val="00535A8B"/>
    <w:rsid w:val="005371EF"/>
    <w:rsid w:val="00537BF9"/>
    <w:rsid w:val="00537F71"/>
    <w:rsid w:val="00540273"/>
    <w:rsid w:val="00540825"/>
    <w:rsid w:val="005414BC"/>
    <w:rsid w:val="00541C0D"/>
    <w:rsid w:val="0054309D"/>
    <w:rsid w:val="00543426"/>
    <w:rsid w:val="00543B0D"/>
    <w:rsid w:val="005450C1"/>
    <w:rsid w:val="00545AB2"/>
    <w:rsid w:val="00545EDB"/>
    <w:rsid w:val="005477EC"/>
    <w:rsid w:val="00550553"/>
    <w:rsid w:val="00551C98"/>
    <w:rsid w:val="0055375C"/>
    <w:rsid w:val="005539B0"/>
    <w:rsid w:val="00553DB9"/>
    <w:rsid w:val="00555BB1"/>
    <w:rsid w:val="005562C5"/>
    <w:rsid w:val="00557516"/>
    <w:rsid w:val="00560F78"/>
    <w:rsid w:val="005634BB"/>
    <w:rsid w:val="0056491B"/>
    <w:rsid w:val="00565F1C"/>
    <w:rsid w:val="00566094"/>
    <w:rsid w:val="005710EC"/>
    <w:rsid w:val="00572030"/>
    <w:rsid w:val="005724B4"/>
    <w:rsid w:val="005755F3"/>
    <w:rsid w:val="00580E27"/>
    <w:rsid w:val="00582193"/>
    <w:rsid w:val="00582397"/>
    <w:rsid w:val="00582B50"/>
    <w:rsid w:val="00583C0A"/>
    <w:rsid w:val="00585C0C"/>
    <w:rsid w:val="0059098F"/>
    <w:rsid w:val="00590A22"/>
    <w:rsid w:val="00590B6A"/>
    <w:rsid w:val="00591FC2"/>
    <w:rsid w:val="00592324"/>
    <w:rsid w:val="00593112"/>
    <w:rsid w:val="00593FED"/>
    <w:rsid w:val="00596AF7"/>
    <w:rsid w:val="00597AB8"/>
    <w:rsid w:val="00597F70"/>
    <w:rsid w:val="005A0CBE"/>
    <w:rsid w:val="005A2EBC"/>
    <w:rsid w:val="005A37D0"/>
    <w:rsid w:val="005A4556"/>
    <w:rsid w:val="005A49A3"/>
    <w:rsid w:val="005A4C9E"/>
    <w:rsid w:val="005A4FB2"/>
    <w:rsid w:val="005A53D7"/>
    <w:rsid w:val="005A54EC"/>
    <w:rsid w:val="005A58E3"/>
    <w:rsid w:val="005A5A2E"/>
    <w:rsid w:val="005A5D2A"/>
    <w:rsid w:val="005A6E8C"/>
    <w:rsid w:val="005A723B"/>
    <w:rsid w:val="005A7E1B"/>
    <w:rsid w:val="005B05E7"/>
    <w:rsid w:val="005B1DC7"/>
    <w:rsid w:val="005B32B0"/>
    <w:rsid w:val="005B3EE4"/>
    <w:rsid w:val="005B433C"/>
    <w:rsid w:val="005C02C3"/>
    <w:rsid w:val="005C2AD8"/>
    <w:rsid w:val="005C2E88"/>
    <w:rsid w:val="005C3B3A"/>
    <w:rsid w:val="005C43F2"/>
    <w:rsid w:val="005C4ED9"/>
    <w:rsid w:val="005C57E8"/>
    <w:rsid w:val="005C5A8D"/>
    <w:rsid w:val="005D0049"/>
    <w:rsid w:val="005D166A"/>
    <w:rsid w:val="005D26C2"/>
    <w:rsid w:val="005D29D0"/>
    <w:rsid w:val="005D5406"/>
    <w:rsid w:val="005D5AFB"/>
    <w:rsid w:val="005D5E6C"/>
    <w:rsid w:val="005E0A1E"/>
    <w:rsid w:val="005E0C97"/>
    <w:rsid w:val="005E0D70"/>
    <w:rsid w:val="005E1BDB"/>
    <w:rsid w:val="005E1D99"/>
    <w:rsid w:val="005E23BA"/>
    <w:rsid w:val="005E497F"/>
    <w:rsid w:val="005E5492"/>
    <w:rsid w:val="005E605B"/>
    <w:rsid w:val="005F0E39"/>
    <w:rsid w:val="005F1393"/>
    <w:rsid w:val="005F1AB2"/>
    <w:rsid w:val="005F38A0"/>
    <w:rsid w:val="005F3B0C"/>
    <w:rsid w:val="005F470B"/>
    <w:rsid w:val="005F4D64"/>
    <w:rsid w:val="005F4F78"/>
    <w:rsid w:val="005F5B2D"/>
    <w:rsid w:val="005F65E9"/>
    <w:rsid w:val="005F782B"/>
    <w:rsid w:val="00600ACE"/>
    <w:rsid w:val="006015BF"/>
    <w:rsid w:val="00601B4D"/>
    <w:rsid w:val="006020A1"/>
    <w:rsid w:val="00602EAC"/>
    <w:rsid w:val="0060350B"/>
    <w:rsid w:val="00603B72"/>
    <w:rsid w:val="006042A3"/>
    <w:rsid w:val="0060459A"/>
    <w:rsid w:val="00605E1F"/>
    <w:rsid w:val="0060705A"/>
    <w:rsid w:val="0061030D"/>
    <w:rsid w:val="00610CF8"/>
    <w:rsid w:val="00611B0D"/>
    <w:rsid w:val="00612DB4"/>
    <w:rsid w:val="00613693"/>
    <w:rsid w:val="00613D0C"/>
    <w:rsid w:val="006150F7"/>
    <w:rsid w:val="00615D63"/>
    <w:rsid w:val="0061762C"/>
    <w:rsid w:val="00617F9F"/>
    <w:rsid w:val="00620219"/>
    <w:rsid w:val="0062036C"/>
    <w:rsid w:val="00621240"/>
    <w:rsid w:val="006220CD"/>
    <w:rsid w:val="006224B3"/>
    <w:rsid w:val="00623677"/>
    <w:rsid w:val="00623CAD"/>
    <w:rsid w:val="006240B4"/>
    <w:rsid w:val="00624A46"/>
    <w:rsid w:val="00625AC4"/>
    <w:rsid w:val="00625D87"/>
    <w:rsid w:val="00626337"/>
    <w:rsid w:val="00631CA8"/>
    <w:rsid w:val="00632345"/>
    <w:rsid w:val="0063247B"/>
    <w:rsid w:val="006325A6"/>
    <w:rsid w:val="006330F0"/>
    <w:rsid w:val="00635B27"/>
    <w:rsid w:val="006360C5"/>
    <w:rsid w:val="00637A49"/>
    <w:rsid w:val="00640940"/>
    <w:rsid w:val="00643AC4"/>
    <w:rsid w:val="0064406A"/>
    <w:rsid w:val="00644110"/>
    <w:rsid w:val="00644B40"/>
    <w:rsid w:val="00644D13"/>
    <w:rsid w:val="00646360"/>
    <w:rsid w:val="006465BE"/>
    <w:rsid w:val="00646D37"/>
    <w:rsid w:val="00650310"/>
    <w:rsid w:val="0065154B"/>
    <w:rsid w:val="00651F94"/>
    <w:rsid w:val="006520AD"/>
    <w:rsid w:val="0065239A"/>
    <w:rsid w:val="00652C44"/>
    <w:rsid w:val="00652D31"/>
    <w:rsid w:val="00656EEA"/>
    <w:rsid w:val="006574C6"/>
    <w:rsid w:val="00657E31"/>
    <w:rsid w:val="0066236F"/>
    <w:rsid w:val="00663F81"/>
    <w:rsid w:val="0066504E"/>
    <w:rsid w:val="0066519D"/>
    <w:rsid w:val="0066618A"/>
    <w:rsid w:val="00667853"/>
    <w:rsid w:val="0067123E"/>
    <w:rsid w:val="00671A72"/>
    <w:rsid w:val="0067223E"/>
    <w:rsid w:val="006757FC"/>
    <w:rsid w:val="006778D1"/>
    <w:rsid w:val="00677B51"/>
    <w:rsid w:val="00683011"/>
    <w:rsid w:val="00684AC3"/>
    <w:rsid w:val="006854F6"/>
    <w:rsid w:val="00686027"/>
    <w:rsid w:val="00686E67"/>
    <w:rsid w:val="006929A1"/>
    <w:rsid w:val="00693C26"/>
    <w:rsid w:val="00694ED1"/>
    <w:rsid w:val="00695AD2"/>
    <w:rsid w:val="006968E7"/>
    <w:rsid w:val="00696C79"/>
    <w:rsid w:val="006A0E51"/>
    <w:rsid w:val="006A10F0"/>
    <w:rsid w:val="006A1A2E"/>
    <w:rsid w:val="006A35F6"/>
    <w:rsid w:val="006A457B"/>
    <w:rsid w:val="006A5E6D"/>
    <w:rsid w:val="006A5F49"/>
    <w:rsid w:val="006A7621"/>
    <w:rsid w:val="006A7CCE"/>
    <w:rsid w:val="006B08BB"/>
    <w:rsid w:val="006B29BD"/>
    <w:rsid w:val="006B3E12"/>
    <w:rsid w:val="006B6226"/>
    <w:rsid w:val="006B68C7"/>
    <w:rsid w:val="006C17C0"/>
    <w:rsid w:val="006C1905"/>
    <w:rsid w:val="006C1AF4"/>
    <w:rsid w:val="006C1C7F"/>
    <w:rsid w:val="006C2349"/>
    <w:rsid w:val="006C2FFD"/>
    <w:rsid w:val="006C44D8"/>
    <w:rsid w:val="006C62CF"/>
    <w:rsid w:val="006C6CBE"/>
    <w:rsid w:val="006D0193"/>
    <w:rsid w:val="006D0CE8"/>
    <w:rsid w:val="006D2CC0"/>
    <w:rsid w:val="006D3448"/>
    <w:rsid w:val="006D374E"/>
    <w:rsid w:val="006D4CB4"/>
    <w:rsid w:val="006D5612"/>
    <w:rsid w:val="006D5BE3"/>
    <w:rsid w:val="006D78DE"/>
    <w:rsid w:val="006D79C0"/>
    <w:rsid w:val="006D7C3B"/>
    <w:rsid w:val="006E03DB"/>
    <w:rsid w:val="006E0881"/>
    <w:rsid w:val="006E089F"/>
    <w:rsid w:val="006E0FA1"/>
    <w:rsid w:val="006E155A"/>
    <w:rsid w:val="006E16F5"/>
    <w:rsid w:val="006E2FF0"/>
    <w:rsid w:val="006E3A84"/>
    <w:rsid w:val="006E3B21"/>
    <w:rsid w:val="006E3B6F"/>
    <w:rsid w:val="006E4384"/>
    <w:rsid w:val="006E483C"/>
    <w:rsid w:val="006E653F"/>
    <w:rsid w:val="006E700F"/>
    <w:rsid w:val="006E733A"/>
    <w:rsid w:val="006F2820"/>
    <w:rsid w:val="006F3528"/>
    <w:rsid w:val="006F449E"/>
    <w:rsid w:val="006F4C2C"/>
    <w:rsid w:val="006F51A8"/>
    <w:rsid w:val="006F5A7F"/>
    <w:rsid w:val="006F6536"/>
    <w:rsid w:val="006F7421"/>
    <w:rsid w:val="006F7A02"/>
    <w:rsid w:val="00700E3D"/>
    <w:rsid w:val="007033F0"/>
    <w:rsid w:val="007035AB"/>
    <w:rsid w:val="007052A9"/>
    <w:rsid w:val="00706A39"/>
    <w:rsid w:val="00711E4D"/>
    <w:rsid w:val="00713CB5"/>
    <w:rsid w:val="0071458F"/>
    <w:rsid w:val="007151C2"/>
    <w:rsid w:val="0071550F"/>
    <w:rsid w:val="007202E7"/>
    <w:rsid w:val="00721059"/>
    <w:rsid w:val="00721317"/>
    <w:rsid w:val="0072215C"/>
    <w:rsid w:val="00722D0B"/>
    <w:rsid w:val="00723833"/>
    <w:rsid w:val="007238F2"/>
    <w:rsid w:val="00723A86"/>
    <w:rsid w:val="007244C9"/>
    <w:rsid w:val="007252B0"/>
    <w:rsid w:val="007259DF"/>
    <w:rsid w:val="007300EC"/>
    <w:rsid w:val="007309AA"/>
    <w:rsid w:val="00733513"/>
    <w:rsid w:val="007363E4"/>
    <w:rsid w:val="007370AD"/>
    <w:rsid w:val="007377B6"/>
    <w:rsid w:val="007426DC"/>
    <w:rsid w:val="00742CB3"/>
    <w:rsid w:val="00742F09"/>
    <w:rsid w:val="007437FD"/>
    <w:rsid w:val="00745CD5"/>
    <w:rsid w:val="00745F5A"/>
    <w:rsid w:val="007466AB"/>
    <w:rsid w:val="007476CF"/>
    <w:rsid w:val="007504AD"/>
    <w:rsid w:val="00750C78"/>
    <w:rsid w:val="0075105B"/>
    <w:rsid w:val="0075124E"/>
    <w:rsid w:val="00752141"/>
    <w:rsid w:val="00752EBE"/>
    <w:rsid w:val="007552E2"/>
    <w:rsid w:val="007555F8"/>
    <w:rsid w:val="007557C3"/>
    <w:rsid w:val="00755BCC"/>
    <w:rsid w:val="00755E4C"/>
    <w:rsid w:val="00756219"/>
    <w:rsid w:val="00756B0A"/>
    <w:rsid w:val="00756D11"/>
    <w:rsid w:val="00757739"/>
    <w:rsid w:val="00757C73"/>
    <w:rsid w:val="00757D66"/>
    <w:rsid w:val="00760DE2"/>
    <w:rsid w:val="00761808"/>
    <w:rsid w:val="00762EAC"/>
    <w:rsid w:val="0076309D"/>
    <w:rsid w:val="007631E2"/>
    <w:rsid w:val="00764740"/>
    <w:rsid w:val="00764820"/>
    <w:rsid w:val="007649C0"/>
    <w:rsid w:val="00764BAF"/>
    <w:rsid w:val="007653A6"/>
    <w:rsid w:val="00766465"/>
    <w:rsid w:val="00770B45"/>
    <w:rsid w:val="00770C2E"/>
    <w:rsid w:val="00770F59"/>
    <w:rsid w:val="0077110D"/>
    <w:rsid w:val="00774B9A"/>
    <w:rsid w:val="00775178"/>
    <w:rsid w:val="00775EC8"/>
    <w:rsid w:val="00777549"/>
    <w:rsid w:val="0077782A"/>
    <w:rsid w:val="00777D41"/>
    <w:rsid w:val="00780E45"/>
    <w:rsid w:val="00781987"/>
    <w:rsid w:val="007825F2"/>
    <w:rsid w:val="00783552"/>
    <w:rsid w:val="00783734"/>
    <w:rsid w:val="007837C8"/>
    <w:rsid w:val="00783DEC"/>
    <w:rsid w:val="00784783"/>
    <w:rsid w:val="00784952"/>
    <w:rsid w:val="00784D40"/>
    <w:rsid w:val="00785268"/>
    <w:rsid w:val="00786085"/>
    <w:rsid w:val="007936C2"/>
    <w:rsid w:val="007944CC"/>
    <w:rsid w:val="00794B52"/>
    <w:rsid w:val="00795806"/>
    <w:rsid w:val="00795936"/>
    <w:rsid w:val="007978D8"/>
    <w:rsid w:val="00797AC5"/>
    <w:rsid w:val="007A0821"/>
    <w:rsid w:val="007A1425"/>
    <w:rsid w:val="007A14CB"/>
    <w:rsid w:val="007A1CDD"/>
    <w:rsid w:val="007A2021"/>
    <w:rsid w:val="007A4644"/>
    <w:rsid w:val="007A485E"/>
    <w:rsid w:val="007A4A97"/>
    <w:rsid w:val="007A4FC2"/>
    <w:rsid w:val="007A576E"/>
    <w:rsid w:val="007A6650"/>
    <w:rsid w:val="007A7654"/>
    <w:rsid w:val="007B1568"/>
    <w:rsid w:val="007B16BD"/>
    <w:rsid w:val="007B1A00"/>
    <w:rsid w:val="007B4DBD"/>
    <w:rsid w:val="007B662A"/>
    <w:rsid w:val="007B7308"/>
    <w:rsid w:val="007B758D"/>
    <w:rsid w:val="007C019C"/>
    <w:rsid w:val="007C0425"/>
    <w:rsid w:val="007C09AA"/>
    <w:rsid w:val="007C1CB7"/>
    <w:rsid w:val="007C3A4C"/>
    <w:rsid w:val="007C54BD"/>
    <w:rsid w:val="007C5883"/>
    <w:rsid w:val="007D0E2F"/>
    <w:rsid w:val="007D19D8"/>
    <w:rsid w:val="007D33D9"/>
    <w:rsid w:val="007D4016"/>
    <w:rsid w:val="007D5C91"/>
    <w:rsid w:val="007D68E0"/>
    <w:rsid w:val="007E0375"/>
    <w:rsid w:val="007E1005"/>
    <w:rsid w:val="007E2110"/>
    <w:rsid w:val="007E2599"/>
    <w:rsid w:val="007E4412"/>
    <w:rsid w:val="007E4CC3"/>
    <w:rsid w:val="007E513E"/>
    <w:rsid w:val="007E5F16"/>
    <w:rsid w:val="007E6306"/>
    <w:rsid w:val="007E6A57"/>
    <w:rsid w:val="007E6D62"/>
    <w:rsid w:val="007E71F2"/>
    <w:rsid w:val="007F0851"/>
    <w:rsid w:val="007F11BE"/>
    <w:rsid w:val="007F1385"/>
    <w:rsid w:val="007F148E"/>
    <w:rsid w:val="007F1892"/>
    <w:rsid w:val="007F19AA"/>
    <w:rsid w:val="007F338A"/>
    <w:rsid w:val="007F5322"/>
    <w:rsid w:val="007F5587"/>
    <w:rsid w:val="007F56C7"/>
    <w:rsid w:val="007F5A76"/>
    <w:rsid w:val="007F5D24"/>
    <w:rsid w:val="007F6189"/>
    <w:rsid w:val="007F62AB"/>
    <w:rsid w:val="007F6784"/>
    <w:rsid w:val="007F6E99"/>
    <w:rsid w:val="007F76CD"/>
    <w:rsid w:val="007F7F05"/>
    <w:rsid w:val="008007F5"/>
    <w:rsid w:val="00801025"/>
    <w:rsid w:val="008015FE"/>
    <w:rsid w:val="008017FE"/>
    <w:rsid w:val="0080249C"/>
    <w:rsid w:val="00804555"/>
    <w:rsid w:val="0080462C"/>
    <w:rsid w:val="00804F57"/>
    <w:rsid w:val="008050CC"/>
    <w:rsid w:val="0080525B"/>
    <w:rsid w:val="008069B5"/>
    <w:rsid w:val="008076B6"/>
    <w:rsid w:val="00807905"/>
    <w:rsid w:val="00811300"/>
    <w:rsid w:val="00812602"/>
    <w:rsid w:val="00813BAC"/>
    <w:rsid w:val="00813FCF"/>
    <w:rsid w:val="008150DE"/>
    <w:rsid w:val="00821C3F"/>
    <w:rsid w:val="0082362D"/>
    <w:rsid w:val="00824491"/>
    <w:rsid w:val="00825F79"/>
    <w:rsid w:val="00826497"/>
    <w:rsid w:val="00831464"/>
    <w:rsid w:val="00833B49"/>
    <w:rsid w:val="00833E34"/>
    <w:rsid w:val="00833F56"/>
    <w:rsid w:val="0083515B"/>
    <w:rsid w:val="008354DF"/>
    <w:rsid w:val="008357F2"/>
    <w:rsid w:val="008364E7"/>
    <w:rsid w:val="008371E5"/>
    <w:rsid w:val="008401D2"/>
    <w:rsid w:val="00840C6A"/>
    <w:rsid w:val="00841A51"/>
    <w:rsid w:val="00842D48"/>
    <w:rsid w:val="00845B92"/>
    <w:rsid w:val="00845ECC"/>
    <w:rsid w:val="008463A1"/>
    <w:rsid w:val="008471CE"/>
    <w:rsid w:val="00852FC5"/>
    <w:rsid w:val="00853144"/>
    <w:rsid w:val="00853568"/>
    <w:rsid w:val="008538D2"/>
    <w:rsid w:val="008542AA"/>
    <w:rsid w:val="008543FD"/>
    <w:rsid w:val="00855ABA"/>
    <w:rsid w:val="0085736B"/>
    <w:rsid w:val="00857D46"/>
    <w:rsid w:val="0086102B"/>
    <w:rsid w:val="00861F59"/>
    <w:rsid w:val="00862352"/>
    <w:rsid w:val="00862364"/>
    <w:rsid w:val="00864432"/>
    <w:rsid w:val="00864B0F"/>
    <w:rsid w:val="00864BD2"/>
    <w:rsid w:val="00865965"/>
    <w:rsid w:val="00865DF8"/>
    <w:rsid w:val="0086615E"/>
    <w:rsid w:val="00866AA1"/>
    <w:rsid w:val="0086716A"/>
    <w:rsid w:val="008671F2"/>
    <w:rsid w:val="008715D7"/>
    <w:rsid w:val="008715F3"/>
    <w:rsid w:val="00871D50"/>
    <w:rsid w:val="0087365D"/>
    <w:rsid w:val="00873F23"/>
    <w:rsid w:val="00875A5E"/>
    <w:rsid w:val="00876B43"/>
    <w:rsid w:val="00877723"/>
    <w:rsid w:val="0088155A"/>
    <w:rsid w:val="008820AC"/>
    <w:rsid w:val="00882D3D"/>
    <w:rsid w:val="008831E5"/>
    <w:rsid w:val="0088329A"/>
    <w:rsid w:val="00886054"/>
    <w:rsid w:val="00887213"/>
    <w:rsid w:val="00890983"/>
    <w:rsid w:val="0089160E"/>
    <w:rsid w:val="0089164B"/>
    <w:rsid w:val="008918DA"/>
    <w:rsid w:val="00891DF6"/>
    <w:rsid w:val="0089399D"/>
    <w:rsid w:val="00894F3A"/>
    <w:rsid w:val="00894F61"/>
    <w:rsid w:val="00896823"/>
    <w:rsid w:val="008970B3"/>
    <w:rsid w:val="00897A44"/>
    <w:rsid w:val="008A0976"/>
    <w:rsid w:val="008A1993"/>
    <w:rsid w:val="008A19AE"/>
    <w:rsid w:val="008A19F5"/>
    <w:rsid w:val="008A1AD8"/>
    <w:rsid w:val="008A291A"/>
    <w:rsid w:val="008A29E1"/>
    <w:rsid w:val="008A35D4"/>
    <w:rsid w:val="008A384D"/>
    <w:rsid w:val="008A3D82"/>
    <w:rsid w:val="008A4795"/>
    <w:rsid w:val="008A4D44"/>
    <w:rsid w:val="008A50F7"/>
    <w:rsid w:val="008A5AE4"/>
    <w:rsid w:val="008A5C3D"/>
    <w:rsid w:val="008A6C89"/>
    <w:rsid w:val="008B04A7"/>
    <w:rsid w:val="008B07DA"/>
    <w:rsid w:val="008B248C"/>
    <w:rsid w:val="008B2EC3"/>
    <w:rsid w:val="008B42AA"/>
    <w:rsid w:val="008B4DBC"/>
    <w:rsid w:val="008B5519"/>
    <w:rsid w:val="008B74BA"/>
    <w:rsid w:val="008C0B28"/>
    <w:rsid w:val="008C0E4F"/>
    <w:rsid w:val="008C4882"/>
    <w:rsid w:val="008C57D6"/>
    <w:rsid w:val="008C7988"/>
    <w:rsid w:val="008C7C4B"/>
    <w:rsid w:val="008C7EDB"/>
    <w:rsid w:val="008D0195"/>
    <w:rsid w:val="008D01C3"/>
    <w:rsid w:val="008D0351"/>
    <w:rsid w:val="008D071B"/>
    <w:rsid w:val="008D1B29"/>
    <w:rsid w:val="008D21E2"/>
    <w:rsid w:val="008D2700"/>
    <w:rsid w:val="008D2E30"/>
    <w:rsid w:val="008D3BAB"/>
    <w:rsid w:val="008D4AFE"/>
    <w:rsid w:val="008D4DF6"/>
    <w:rsid w:val="008D5ABF"/>
    <w:rsid w:val="008D7939"/>
    <w:rsid w:val="008E2341"/>
    <w:rsid w:val="008E2AB5"/>
    <w:rsid w:val="008E31CB"/>
    <w:rsid w:val="008E3497"/>
    <w:rsid w:val="008E6447"/>
    <w:rsid w:val="008E64A4"/>
    <w:rsid w:val="008E7CCE"/>
    <w:rsid w:val="008F01CE"/>
    <w:rsid w:val="008F1C89"/>
    <w:rsid w:val="008F2166"/>
    <w:rsid w:val="008F28B4"/>
    <w:rsid w:val="008F2EAB"/>
    <w:rsid w:val="008F3198"/>
    <w:rsid w:val="008F4530"/>
    <w:rsid w:val="008F568B"/>
    <w:rsid w:val="008F5A19"/>
    <w:rsid w:val="008F5FD4"/>
    <w:rsid w:val="008F6777"/>
    <w:rsid w:val="008F747B"/>
    <w:rsid w:val="008F7A0D"/>
    <w:rsid w:val="008F7D69"/>
    <w:rsid w:val="008F7FED"/>
    <w:rsid w:val="009017B0"/>
    <w:rsid w:val="00901DDF"/>
    <w:rsid w:val="00901F41"/>
    <w:rsid w:val="009040E1"/>
    <w:rsid w:val="00905838"/>
    <w:rsid w:val="00905F8F"/>
    <w:rsid w:val="0090746B"/>
    <w:rsid w:val="00907E05"/>
    <w:rsid w:val="009101CB"/>
    <w:rsid w:val="00911306"/>
    <w:rsid w:val="0091178F"/>
    <w:rsid w:val="009137B4"/>
    <w:rsid w:val="00914E4D"/>
    <w:rsid w:val="0091792E"/>
    <w:rsid w:val="00917AF3"/>
    <w:rsid w:val="00921E4C"/>
    <w:rsid w:val="0092215E"/>
    <w:rsid w:val="00924DB8"/>
    <w:rsid w:val="009260ED"/>
    <w:rsid w:val="0093071C"/>
    <w:rsid w:val="00930BD6"/>
    <w:rsid w:val="00931CAE"/>
    <w:rsid w:val="00931FA8"/>
    <w:rsid w:val="0093446B"/>
    <w:rsid w:val="00936188"/>
    <w:rsid w:val="009361B7"/>
    <w:rsid w:val="009403B4"/>
    <w:rsid w:val="0094056E"/>
    <w:rsid w:val="00940A7C"/>
    <w:rsid w:val="0094275B"/>
    <w:rsid w:val="0094707F"/>
    <w:rsid w:val="009470EE"/>
    <w:rsid w:val="00947B91"/>
    <w:rsid w:val="00947D57"/>
    <w:rsid w:val="00947E9A"/>
    <w:rsid w:val="0095007A"/>
    <w:rsid w:val="009504AE"/>
    <w:rsid w:val="00950A20"/>
    <w:rsid w:val="0095131F"/>
    <w:rsid w:val="00951898"/>
    <w:rsid w:val="00953A64"/>
    <w:rsid w:val="00953B6F"/>
    <w:rsid w:val="009544AE"/>
    <w:rsid w:val="0095471C"/>
    <w:rsid w:val="00954F8F"/>
    <w:rsid w:val="00955210"/>
    <w:rsid w:val="00957340"/>
    <w:rsid w:val="009576CF"/>
    <w:rsid w:val="00960B72"/>
    <w:rsid w:val="00961FE3"/>
    <w:rsid w:val="009622D0"/>
    <w:rsid w:val="00963FED"/>
    <w:rsid w:val="009641E6"/>
    <w:rsid w:val="00964254"/>
    <w:rsid w:val="00964758"/>
    <w:rsid w:val="00964ADC"/>
    <w:rsid w:val="009651F6"/>
    <w:rsid w:val="00965455"/>
    <w:rsid w:val="00965C55"/>
    <w:rsid w:val="00967710"/>
    <w:rsid w:val="00972465"/>
    <w:rsid w:val="009728BE"/>
    <w:rsid w:val="009728DC"/>
    <w:rsid w:val="00973AA3"/>
    <w:rsid w:val="009746CE"/>
    <w:rsid w:val="00974779"/>
    <w:rsid w:val="00974E80"/>
    <w:rsid w:val="00977C0B"/>
    <w:rsid w:val="00980229"/>
    <w:rsid w:val="009806F6"/>
    <w:rsid w:val="00980B95"/>
    <w:rsid w:val="00980D05"/>
    <w:rsid w:val="00982576"/>
    <w:rsid w:val="009835A6"/>
    <w:rsid w:val="00983617"/>
    <w:rsid w:val="00983933"/>
    <w:rsid w:val="009861F7"/>
    <w:rsid w:val="00991909"/>
    <w:rsid w:val="00992FEF"/>
    <w:rsid w:val="009934B7"/>
    <w:rsid w:val="009935F5"/>
    <w:rsid w:val="0099405A"/>
    <w:rsid w:val="00995059"/>
    <w:rsid w:val="00995353"/>
    <w:rsid w:val="00995623"/>
    <w:rsid w:val="00996771"/>
    <w:rsid w:val="009A111B"/>
    <w:rsid w:val="009A402E"/>
    <w:rsid w:val="009A46A4"/>
    <w:rsid w:val="009A507B"/>
    <w:rsid w:val="009A5111"/>
    <w:rsid w:val="009A58C5"/>
    <w:rsid w:val="009A6496"/>
    <w:rsid w:val="009A7121"/>
    <w:rsid w:val="009A7919"/>
    <w:rsid w:val="009B0831"/>
    <w:rsid w:val="009B4053"/>
    <w:rsid w:val="009B4070"/>
    <w:rsid w:val="009B437E"/>
    <w:rsid w:val="009B4C02"/>
    <w:rsid w:val="009B5D79"/>
    <w:rsid w:val="009B5EAB"/>
    <w:rsid w:val="009C053A"/>
    <w:rsid w:val="009C08EB"/>
    <w:rsid w:val="009C1625"/>
    <w:rsid w:val="009C2237"/>
    <w:rsid w:val="009C3041"/>
    <w:rsid w:val="009C35BF"/>
    <w:rsid w:val="009C46C1"/>
    <w:rsid w:val="009C4D35"/>
    <w:rsid w:val="009C4F70"/>
    <w:rsid w:val="009C5451"/>
    <w:rsid w:val="009C593C"/>
    <w:rsid w:val="009C6C18"/>
    <w:rsid w:val="009C725B"/>
    <w:rsid w:val="009D192D"/>
    <w:rsid w:val="009D391B"/>
    <w:rsid w:val="009D3B3B"/>
    <w:rsid w:val="009D42A6"/>
    <w:rsid w:val="009D49AC"/>
    <w:rsid w:val="009D53F9"/>
    <w:rsid w:val="009D5D73"/>
    <w:rsid w:val="009D5F61"/>
    <w:rsid w:val="009D7C7C"/>
    <w:rsid w:val="009E142C"/>
    <w:rsid w:val="009E1696"/>
    <w:rsid w:val="009E23D9"/>
    <w:rsid w:val="009E3F3F"/>
    <w:rsid w:val="009E4238"/>
    <w:rsid w:val="009E5366"/>
    <w:rsid w:val="009E605C"/>
    <w:rsid w:val="009E6170"/>
    <w:rsid w:val="009E6277"/>
    <w:rsid w:val="009E6E91"/>
    <w:rsid w:val="009F064E"/>
    <w:rsid w:val="009F15FF"/>
    <w:rsid w:val="009F1B35"/>
    <w:rsid w:val="009F20B8"/>
    <w:rsid w:val="009F20FA"/>
    <w:rsid w:val="009F3374"/>
    <w:rsid w:val="009F53F5"/>
    <w:rsid w:val="009F566C"/>
    <w:rsid w:val="009F7CE5"/>
    <w:rsid w:val="009F7DFD"/>
    <w:rsid w:val="009F7EF7"/>
    <w:rsid w:val="00A00473"/>
    <w:rsid w:val="00A012EB"/>
    <w:rsid w:val="00A01C00"/>
    <w:rsid w:val="00A02807"/>
    <w:rsid w:val="00A04498"/>
    <w:rsid w:val="00A04720"/>
    <w:rsid w:val="00A0641A"/>
    <w:rsid w:val="00A06C2C"/>
    <w:rsid w:val="00A07E3E"/>
    <w:rsid w:val="00A103AC"/>
    <w:rsid w:val="00A1105F"/>
    <w:rsid w:val="00A1109E"/>
    <w:rsid w:val="00A119B8"/>
    <w:rsid w:val="00A121E7"/>
    <w:rsid w:val="00A12A71"/>
    <w:rsid w:val="00A13542"/>
    <w:rsid w:val="00A14A6B"/>
    <w:rsid w:val="00A150ED"/>
    <w:rsid w:val="00A1555B"/>
    <w:rsid w:val="00A15B70"/>
    <w:rsid w:val="00A15EF1"/>
    <w:rsid w:val="00A15F17"/>
    <w:rsid w:val="00A172E9"/>
    <w:rsid w:val="00A17D5A"/>
    <w:rsid w:val="00A204F6"/>
    <w:rsid w:val="00A2068D"/>
    <w:rsid w:val="00A20BCC"/>
    <w:rsid w:val="00A218E7"/>
    <w:rsid w:val="00A22493"/>
    <w:rsid w:val="00A2280F"/>
    <w:rsid w:val="00A22E2C"/>
    <w:rsid w:val="00A25CF9"/>
    <w:rsid w:val="00A26510"/>
    <w:rsid w:val="00A26FB6"/>
    <w:rsid w:val="00A2722E"/>
    <w:rsid w:val="00A27E39"/>
    <w:rsid w:val="00A31B32"/>
    <w:rsid w:val="00A33661"/>
    <w:rsid w:val="00A33BC0"/>
    <w:rsid w:val="00A35686"/>
    <w:rsid w:val="00A35972"/>
    <w:rsid w:val="00A4066B"/>
    <w:rsid w:val="00A412A9"/>
    <w:rsid w:val="00A41335"/>
    <w:rsid w:val="00A41AA5"/>
    <w:rsid w:val="00A42A2B"/>
    <w:rsid w:val="00A43EDE"/>
    <w:rsid w:val="00A44726"/>
    <w:rsid w:val="00A44FFF"/>
    <w:rsid w:val="00A5016A"/>
    <w:rsid w:val="00A51BA2"/>
    <w:rsid w:val="00A52373"/>
    <w:rsid w:val="00A52C50"/>
    <w:rsid w:val="00A52DBF"/>
    <w:rsid w:val="00A544CC"/>
    <w:rsid w:val="00A55E63"/>
    <w:rsid w:val="00A56A25"/>
    <w:rsid w:val="00A56A93"/>
    <w:rsid w:val="00A57CE6"/>
    <w:rsid w:val="00A61B89"/>
    <w:rsid w:val="00A623D7"/>
    <w:rsid w:val="00A6452C"/>
    <w:rsid w:val="00A65668"/>
    <w:rsid w:val="00A65A40"/>
    <w:rsid w:val="00A663F3"/>
    <w:rsid w:val="00A67FA2"/>
    <w:rsid w:val="00A71AAF"/>
    <w:rsid w:val="00A72813"/>
    <w:rsid w:val="00A73CEF"/>
    <w:rsid w:val="00A75F43"/>
    <w:rsid w:val="00A76294"/>
    <w:rsid w:val="00A76C95"/>
    <w:rsid w:val="00A77E5F"/>
    <w:rsid w:val="00A824B1"/>
    <w:rsid w:val="00A82BD3"/>
    <w:rsid w:val="00A82C6C"/>
    <w:rsid w:val="00A83550"/>
    <w:rsid w:val="00A8363D"/>
    <w:rsid w:val="00A862DA"/>
    <w:rsid w:val="00A90D7D"/>
    <w:rsid w:val="00A9144F"/>
    <w:rsid w:val="00A9247E"/>
    <w:rsid w:val="00A93254"/>
    <w:rsid w:val="00A94939"/>
    <w:rsid w:val="00A949FD"/>
    <w:rsid w:val="00A96170"/>
    <w:rsid w:val="00A96D88"/>
    <w:rsid w:val="00A9708A"/>
    <w:rsid w:val="00A972CA"/>
    <w:rsid w:val="00A97628"/>
    <w:rsid w:val="00A97F48"/>
    <w:rsid w:val="00AA167C"/>
    <w:rsid w:val="00AA2657"/>
    <w:rsid w:val="00AA285B"/>
    <w:rsid w:val="00AA38EB"/>
    <w:rsid w:val="00AA3EE9"/>
    <w:rsid w:val="00AA47D6"/>
    <w:rsid w:val="00AA4A52"/>
    <w:rsid w:val="00AA4F7F"/>
    <w:rsid w:val="00AA613E"/>
    <w:rsid w:val="00AA7AE8"/>
    <w:rsid w:val="00AB017D"/>
    <w:rsid w:val="00AB0980"/>
    <w:rsid w:val="00AB0A01"/>
    <w:rsid w:val="00AB0AA7"/>
    <w:rsid w:val="00AB1AF7"/>
    <w:rsid w:val="00AB27D2"/>
    <w:rsid w:val="00AB398A"/>
    <w:rsid w:val="00AB645C"/>
    <w:rsid w:val="00AB7E1C"/>
    <w:rsid w:val="00AC069B"/>
    <w:rsid w:val="00AC2A8A"/>
    <w:rsid w:val="00AC39E6"/>
    <w:rsid w:val="00AC3DC1"/>
    <w:rsid w:val="00AC46DE"/>
    <w:rsid w:val="00AC4F1E"/>
    <w:rsid w:val="00AC5521"/>
    <w:rsid w:val="00AC6C58"/>
    <w:rsid w:val="00AC75ED"/>
    <w:rsid w:val="00AD0524"/>
    <w:rsid w:val="00AD0582"/>
    <w:rsid w:val="00AD117A"/>
    <w:rsid w:val="00AD123D"/>
    <w:rsid w:val="00AD1E4B"/>
    <w:rsid w:val="00AD2442"/>
    <w:rsid w:val="00AD2BB2"/>
    <w:rsid w:val="00AD33E3"/>
    <w:rsid w:val="00AD3A72"/>
    <w:rsid w:val="00AD5AF9"/>
    <w:rsid w:val="00AD6D17"/>
    <w:rsid w:val="00AE1F23"/>
    <w:rsid w:val="00AE27F0"/>
    <w:rsid w:val="00AE292A"/>
    <w:rsid w:val="00AE2B97"/>
    <w:rsid w:val="00AE43E9"/>
    <w:rsid w:val="00AE4BC0"/>
    <w:rsid w:val="00AE5702"/>
    <w:rsid w:val="00AE5AE8"/>
    <w:rsid w:val="00AE6404"/>
    <w:rsid w:val="00AE72CC"/>
    <w:rsid w:val="00AE7C6B"/>
    <w:rsid w:val="00AF0F74"/>
    <w:rsid w:val="00AF0FD8"/>
    <w:rsid w:val="00AF200F"/>
    <w:rsid w:val="00AF2150"/>
    <w:rsid w:val="00AF4991"/>
    <w:rsid w:val="00AF5371"/>
    <w:rsid w:val="00AF5665"/>
    <w:rsid w:val="00B007E6"/>
    <w:rsid w:val="00B0120C"/>
    <w:rsid w:val="00B0150A"/>
    <w:rsid w:val="00B016D1"/>
    <w:rsid w:val="00B018D5"/>
    <w:rsid w:val="00B01B4E"/>
    <w:rsid w:val="00B02C5B"/>
    <w:rsid w:val="00B0598A"/>
    <w:rsid w:val="00B05CE6"/>
    <w:rsid w:val="00B0663F"/>
    <w:rsid w:val="00B06D5C"/>
    <w:rsid w:val="00B06EFA"/>
    <w:rsid w:val="00B07B37"/>
    <w:rsid w:val="00B10CEF"/>
    <w:rsid w:val="00B10E7D"/>
    <w:rsid w:val="00B11045"/>
    <w:rsid w:val="00B113ED"/>
    <w:rsid w:val="00B12004"/>
    <w:rsid w:val="00B12925"/>
    <w:rsid w:val="00B13945"/>
    <w:rsid w:val="00B13A4D"/>
    <w:rsid w:val="00B13F95"/>
    <w:rsid w:val="00B147AE"/>
    <w:rsid w:val="00B1524E"/>
    <w:rsid w:val="00B16240"/>
    <w:rsid w:val="00B170E0"/>
    <w:rsid w:val="00B179C2"/>
    <w:rsid w:val="00B2133B"/>
    <w:rsid w:val="00B21936"/>
    <w:rsid w:val="00B221C0"/>
    <w:rsid w:val="00B22841"/>
    <w:rsid w:val="00B237F9"/>
    <w:rsid w:val="00B2479B"/>
    <w:rsid w:val="00B24A4A"/>
    <w:rsid w:val="00B24BAB"/>
    <w:rsid w:val="00B25134"/>
    <w:rsid w:val="00B25CBF"/>
    <w:rsid w:val="00B26F53"/>
    <w:rsid w:val="00B27823"/>
    <w:rsid w:val="00B3196C"/>
    <w:rsid w:val="00B32749"/>
    <w:rsid w:val="00B32A4E"/>
    <w:rsid w:val="00B32D25"/>
    <w:rsid w:val="00B3370C"/>
    <w:rsid w:val="00B33B8D"/>
    <w:rsid w:val="00B34F92"/>
    <w:rsid w:val="00B354B7"/>
    <w:rsid w:val="00B360CA"/>
    <w:rsid w:val="00B409B4"/>
    <w:rsid w:val="00B40D84"/>
    <w:rsid w:val="00B42509"/>
    <w:rsid w:val="00B42DA4"/>
    <w:rsid w:val="00B436B6"/>
    <w:rsid w:val="00B43941"/>
    <w:rsid w:val="00B44A7F"/>
    <w:rsid w:val="00B454AA"/>
    <w:rsid w:val="00B4570D"/>
    <w:rsid w:val="00B45792"/>
    <w:rsid w:val="00B463D7"/>
    <w:rsid w:val="00B46672"/>
    <w:rsid w:val="00B46898"/>
    <w:rsid w:val="00B4768C"/>
    <w:rsid w:val="00B50840"/>
    <w:rsid w:val="00B50E85"/>
    <w:rsid w:val="00B538F4"/>
    <w:rsid w:val="00B543A4"/>
    <w:rsid w:val="00B54F5B"/>
    <w:rsid w:val="00B5638E"/>
    <w:rsid w:val="00B5645B"/>
    <w:rsid w:val="00B60C42"/>
    <w:rsid w:val="00B6195B"/>
    <w:rsid w:val="00B61B68"/>
    <w:rsid w:val="00B61C63"/>
    <w:rsid w:val="00B6499A"/>
    <w:rsid w:val="00B65832"/>
    <w:rsid w:val="00B65ADD"/>
    <w:rsid w:val="00B67B04"/>
    <w:rsid w:val="00B67DBA"/>
    <w:rsid w:val="00B72CED"/>
    <w:rsid w:val="00B7352F"/>
    <w:rsid w:val="00B737C7"/>
    <w:rsid w:val="00B75618"/>
    <w:rsid w:val="00B758EE"/>
    <w:rsid w:val="00B75D72"/>
    <w:rsid w:val="00B76A98"/>
    <w:rsid w:val="00B77F06"/>
    <w:rsid w:val="00B80C8D"/>
    <w:rsid w:val="00B8112A"/>
    <w:rsid w:val="00B816CB"/>
    <w:rsid w:val="00B827F1"/>
    <w:rsid w:val="00B831DC"/>
    <w:rsid w:val="00B84618"/>
    <w:rsid w:val="00B8677F"/>
    <w:rsid w:val="00B86F60"/>
    <w:rsid w:val="00B906B0"/>
    <w:rsid w:val="00B935DA"/>
    <w:rsid w:val="00B93CD1"/>
    <w:rsid w:val="00B9428F"/>
    <w:rsid w:val="00B94A7D"/>
    <w:rsid w:val="00B95A5B"/>
    <w:rsid w:val="00B95C6C"/>
    <w:rsid w:val="00BA0151"/>
    <w:rsid w:val="00BA0EB2"/>
    <w:rsid w:val="00BA1119"/>
    <w:rsid w:val="00BA1E9E"/>
    <w:rsid w:val="00BA1F27"/>
    <w:rsid w:val="00BA319F"/>
    <w:rsid w:val="00BA3D62"/>
    <w:rsid w:val="00BA4767"/>
    <w:rsid w:val="00BA4CC3"/>
    <w:rsid w:val="00BA51E0"/>
    <w:rsid w:val="00BA5665"/>
    <w:rsid w:val="00BA5D0E"/>
    <w:rsid w:val="00BA714E"/>
    <w:rsid w:val="00BA7943"/>
    <w:rsid w:val="00BB02FF"/>
    <w:rsid w:val="00BB03A8"/>
    <w:rsid w:val="00BB0BE4"/>
    <w:rsid w:val="00BB0D1D"/>
    <w:rsid w:val="00BB3B80"/>
    <w:rsid w:val="00BB3EC5"/>
    <w:rsid w:val="00BC08EB"/>
    <w:rsid w:val="00BC11B0"/>
    <w:rsid w:val="00BC1DE4"/>
    <w:rsid w:val="00BC2CC6"/>
    <w:rsid w:val="00BC30FC"/>
    <w:rsid w:val="00BC343E"/>
    <w:rsid w:val="00BC4CCA"/>
    <w:rsid w:val="00BC6F7E"/>
    <w:rsid w:val="00BD1565"/>
    <w:rsid w:val="00BD2C6C"/>
    <w:rsid w:val="00BD2DFD"/>
    <w:rsid w:val="00BD44D0"/>
    <w:rsid w:val="00BD505B"/>
    <w:rsid w:val="00BD5516"/>
    <w:rsid w:val="00BD6763"/>
    <w:rsid w:val="00BD6927"/>
    <w:rsid w:val="00BD7B7F"/>
    <w:rsid w:val="00BE000F"/>
    <w:rsid w:val="00BE0DB3"/>
    <w:rsid w:val="00BE102B"/>
    <w:rsid w:val="00BE245E"/>
    <w:rsid w:val="00BE30F4"/>
    <w:rsid w:val="00BE376A"/>
    <w:rsid w:val="00BE3A84"/>
    <w:rsid w:val="00BE4FA1"/>
    <w:rsid w:val="00BE65CE"/>
    <w:rsid w:val="00BE6935"/>
    <w:rsid w:val="00BF141A"/>
    <w:rsid w:val="00BF16D9"/>
    <w:rsid w:val="00BF1AFA"/>
    <w:rsid w:val="00BF1C90"/>
    <w:rsid w:val="00BF3367"/>
    <w:rsid w:val="00BF48DF"/>
    <w:rsid w:val="00BF4A9E"/>
    <w:rsid w:val="00BF4BEB"/>
    <w:rsid w:val="00BF5529"/>
    <w:rsid w:val="00BF6159"/>
    <w:rsid w:val="00C000A5"/>
    <w:rsid w:val="00C02CE4"/>
    <w:rsid w:val="00C03560"/>
    <w:rsid w:val="00C039B0"/>
    <w:rsid w:val="00C04096"/>
    <w:rsid w:val="00C043A3"/>
    <w:rsid w:val="00C05ABD"/>
    <w:rsid w:val="00C06DDF"/>
    <w:rsid w:val="00C07A1C"/>
    <w:rsid w:val="00C07C3A"/>
    <w:rsid w:val="00C07DA4"/>
    <w:rsid w:val="00C1076D"/>
    <w:rsid w:val="00C10B7A"/>
    <w:rsid w:val="00C11959"/>
    <w:rsid w:val="00C12481"/>
    <w:rsid w:val="00C15EE8"/>
    <w:rsid w:val="00C16162"/>
    <w:rsid w:val="00C161D5"/>
    <w:rsid w:val="00C16CE2"/>
    <w:rsid w:val="00C172CB"/>
    <w:rsid w:val="00C207F3"/>
    <w:rsid w:val="00C214F8"/>
    <w:rsid w:val="00C2269B"/>
    <w:rsid w:val="00C24186"/>
    <w:rsid w:val="00C248C5"/>
    <w:rsid w:val="00C24DCC"/>
    <w:rsid w:val="00C27A29"/>
    <w:rsid w:val="00C30692"/>
    <w:rsid w:val="00C30D71"/>
    <w:rsid w:val="00C31DF7"/>
    <w:rsid w:val="00C325D8"/>
    <w:rsid w:val="00C35360"/>
    <w:rsid w:val="00C35456"/>
    <w:rsid w:val="00C378B6"/>
    <w:rsid w:val="00C37B8F"/>
    <w:rsid w:val="00C405CC"/>
    <w:rsid w:val="00C406E9"/>
    <w:rsid w:val="00C40901"/>
    <w:rsid w:val="00C42393"/>
    <w:rsid w:val="00C438B9"/>
    <w:rsid w:val="00C43EC1"/>
    <w:rsid w:val="00C440F0"/>
    <w:rsid w:val="00C44F4D"/>
    <w:rsid w:val="00C461E4"/>
    <w:rsid w:val="00C46BF7"/>
    <w:rsid w:val="00C473F8"/>
    <w:rsid w:val="00C52964"/>
    <w:rsid w:val="00C53EE2"/>
    <w:rsid w:val="00C54E0B"/>
    <w:rsid w:val="00C55DA7"/>
    <w:rsid w:val="00C5635D"/>
    <w:rsid w:val="00C56561"/>
    <w:rsid w:val="00C57F17"/>
    <w:rsid w:val="00C6261A"/>
    <w:rsid w:val="00C63FDD"/>
    <w:rsid w:val="00C64896"/>
    <w:rsid w:val="00C6564C"/>
    <w:rsid w:val="00C65829"/>
    <w:rsid w:val="00C6639B"/>
    <w:rsid w:val="00C664FD"/>
    <w:rsid w:val="00C6712E"/>
    <w:rsid w:val="00C67BD7"/>
    <w:rsid w:val="00C67CF0"/>
    <w:rsid w:val="00C7137D"/>
    <w:rsid w:val="00C717E8"/>
    <w:rsid w:val="00C71B3A"/>
    <w:rsid w:val="00C7260E"/>
    <w:rsid w:val="00C72997"/>
    <w:rsid w:val="00C72E7A"/>
    <w:rsid w:val="00C7340C"/>
    <w:rsid w:val="00C74A5B"/>
    <w:rsid w:val="00C76BEE"/>
    <w:rsid w:val="00C7771D"/>
    <w:rsid w:val="00C77E0A"/>
    <w:rsid w:val="00C80F08"/>
    <w:rsid w:val="00C8584D"/>
    <w:rsid w:val="00C85D9E"/>
    <w:rsid w:val="00C8660B"/>
    <w:rsid w:val="00C87F08"/>
    <w:rsid w:val="00C91CB0"/>
    <w:rsid w:val="00C91D2E"/>
    <w:rsid w:val="00C9228E"/>
    <w:rsid w:val="00C92931"/>
    <w:rsid w:val="00C9300F"/>
    <w:rsid w:val="00C9432E"/>
    <w:rsid w:val="00C95232"/>
    <w:rsid w:val="00C9609F"/>
    <w:rsid w:val="00C96476"/>
    <w:rsid w:val="00C969B6"/>
    <w:rsid w:val="00C974C3"/>
    <w:rsid w:val="00CA0932"/>
    <w:rsid w:val="00CA1E9E"/>
    <w:rsid w:val="00CA41D1"/>
    <w:rsid w:val="00CA4CA2"/>
    <w:rsid w:val="00CA4F7D"/>
    <w:rsid w:val="00CA6733"/>
    <w:rsid w:val="00CA7438"/>
    <w:rsid w:val="00CA7D01"/>
    <w:rsid w:val="00CB0659"/>
    <w:rsid w:val="00CB1093"/>
    <w:rsid w:val="00CB18A5"/>
    <w:rsid w:val="00CB1B33"/>
    <w:rsid w:val="00CB1BB8"/>
    <w:rsid w:val="00CB1F15"/>
    <w:rsid w:val="00CB2909"/>
    <w:rsid w:val="00CB33E1"/>
    <w:rsid w:val="00CB4526"/>
    <w:rsid w:val="00CB6131"/>
    <w:rsid w:val="00CB63E2"/>
    <w:rsid w:val="00CB641F"/>
    <w:rsid w:val="00CB7B75"/>
    <w:rsid w:val="00CC0D09"/>
    <w:rsid w:val="00CC1910"/>
    <w:rsid w:val="00CC1A01"/>
    <w:rsid w:val="00CC25F7"/>
    <w:rsid w:val="00CC2987"/>
    <w:rsid w:val="00CC3903"/>
    <w:rsid w:val="00CC4FDA"/>
    <w:rsid w:val="00CC54FD"/>
    <w:rsid w:val="00CC5C4F"/>
    <w:rsid w:val="00CC68A5"/>
    <w:rsid w:val="00CC68BD"/>
    <w:rsid w:val="00CC6E8E"/>
    <w:rsid w:val="00CC703E"/>
    <w:rsid w:val="00CC729F"/>
    <w:rsid w:val="00CC7476"/>
    <w:rsid w:val="00CC7E64"/>
    <w:rsid w:val="00CD3F97"/>
    <w:rsid w:val="00CD422F"/>
    <w:rsid w:val="00CD445B"/>
    <w:rsid w:val="00CD576B"/>
    <w:rsid w:val="00CD5EB8"/>
    <w:rsid w:val="00CD6191"/>
    <w:rsid w:val="00CE16F5"/>
    <w:rsid w:val="00CE1B72"/>
    <w:rsid w:val="00CE1C85"/>
    <w:rsid w:val="00CE3CEE"/>
    <w:rsid w:val="00CE45CC"/>
    <w:rsid w:val="00CE4D50"/>
    <w:rsid w:val="00CE5718"/>
    <w:rsid w:val="00CE6631"/>
    <w:rsid w:val="00CE73BB"/>
    <w:rsid w:val="00CE7E8C"/>
    <w:rsid w:val="00CF2FE1"/>
    <w:rsid w:val="00CF449D"/>
    <w:rsid w:val="00CF4D13"/>
    <w:rsid w:val="00CF62E6"/>
    <w:rsid w:val="00CF645E"/>
    <w:rsid w:val="00CF720D"/>
    <w:rsid w:val="00CF7BAA"/>
    <w:rsid w:val="00D004AF"/>
    <w:rsid w:val="00D017C9"/>
    <w:rsid w:val="00D03EB7"/>
    <w:rsid w:val="00D0435A"/>
    <w:rsid w:val="00D06177"/>
    <w:rsid w:val="00D06AA6"/>
    <w:rsid w:val="00D10597"/>
    <w:rsid w:val="00D11182"/>
    <w:rsid w:val="00D13AD0"/>
    <w:rsid w:val="00D14D69"/>
    <w:rsid w:val="00D1518D"/>
    <w:rsid w:val="00D15443"/>
    <w:rsid w:val="00D17E2F"/>
    <w:rsid w:val="00D20210"/>
    <w:rsid w:val="00D20B6D"/>
    <w:rsid w:val="00D21261"/>
    <w:rsid w:val="00D21AFD"/>
    <w:rsid w:val="00D21B54"/>
    <w:rsid w:val="00D222F0"/>
    <w:rsid w:val="00D24F72"/>
    <w:rsid w:val="00D25444"/>
    <w:rsid w:val="00D26C76"/>
    <w:rsid w:val="00D2796A"/>
    <w:rsid w:val="00D31715"/>
    <w:rsid w:val="00D3234B"/>
    <w:rsid w:val="00D32E77"/>
    <w:rsid w:val="00D32F7E"/>
    <w:rsid w:val="00D35030"/>
    <w:rsid w:val="00D40076"/>
    <w:rsid w:val="00D4066C"/>
    <w:rsid w:val="00D40DCD"/>
    <w:rsid w:val="00D4160A"/>
    <w:rsid w:val="00D41B28"/>
    <w:rsid w:val="00D41B70"/>
    <w:rsid w:val="00D41E9B"/>
    <w:rsid w:val="00D42CA8"/>
    <w:rsid w:val="00D449A6"/>
    <w:rsid w:val="00D46A17"/>
    <w:rsid w:val="00D46BAD"/>
    <w:rsid w:val="00D51110"/>
    <w:rsid w:val="00D516F3"/>
    <w:rsid w:val="00D51ABB"/>
    <w:rsid w:val="00D51C28"/>
    <w:rsid w:val="00D520D6"/>
    <w:rsid w:val="00D531C8"/>
    <w:rsid w:val="00D532C8"/>
    <w:rsid w:val="00D5466A"/>
    <w:rsid w:val="00D548A9"/>
    <w:rsid w:val="00D55041"/>
    <w:rsid w:val="00D563C8"/>
    <w:rsid w:val="00D56FA4"/>
    <w:rsid w:val="00D56FAF"/>
    <w:rsid w:val="00D578FA"/>
    <w:rsid w:val="00D57CE1"/>
    <w:rsid w:val="00D57FD8"/>
    <w:rsid w:val="00D60228"/>
    <w:rsid w:val="00D60E88"/>
    <w:rsid w:val="00D611CF"/>
    <w:rsid w:val="00D612F7"/>
    <w:rsid w:val="00D61AFB"/>
    <w:rsid w:val="00D6705A"/>
    <w:rsid w:val="00D67D1A"/>
    <w:rsid w:val="00D7184E"/>
    <w:rsid w:val="00D71D01"/>
    <w:rsid w:val="00D71E99"/>
    <w:rsid w:val="00D739CD"/>
    <w:rsid w:val="00D74526"/>
    <w:rsid w:val="00D750E4"/>
    <w:rsid w:val="00D75D11"/>
    <w:rsid w:val="00D75E34"/>
    <w:rsid w:val="00D76337"/>
    <w:rsid w:val="00D7684A"/>
    <w:rsid w:val="00D76B59"/>
    <w:rsid w:val="00D77B70"/>
    <w:rsid w:val="00D806E3"/>
    <w:rsid w:val="00D85996"/>
    <w:rsid w:val="00D85C36"/>
    <w:rsid w:val="00D85FF2"/>
    <w:rsid w:val="00D8749C"/>
    <w:rsid w:val="00D91A82"/>
    <w:rsid w:val="00D92141"/>
    <w:rsid w:val="00D925FC"/>
    <w:rsid w:val="00D92938"/>
    <w:rsid w:val="00D92C95"/>
    <w:rsid w:val="00D92CC0"/>
    <w:rsid w:val="00D93710"/>
    <w:rsid w:val="00D9379B"/>
    <w:rsid w:val="00D95693"/>
    <w:rsid w:val="00D96560"/>
    <w:rsid w:val="00D96856"/>
    <w:rsid w:val="00D97CE7"/>
    <w:rsid w:val="00D97E67"/>
    <w:rsid w:val="00DA09A6"/>
    <w:rsid w:val="00DA0A21"/>
    <w:rsid w:val="00DA1A04"/>
    <w:rsid w:val="00DA2095"/>
    <w:rsid w:val="00DA3B52"/>
    <w:rsid w:val="00DA7C4D"/>
    <w:rsid w:val="00DA7DB1"/>
    <w:rsid w:val="00DB0576"/>
    <w:rsid w:val="00DB1D19"/>
    <w:rsid w:val="00DB1F87"/>
    <w:rsid w:val="00DB20BE"/>
    <w:rsid w:val="00DB2200"/>
    <w:rsid w:val="00DB24AB"/>
    <w:rsid w:val="00DB3B64"/>
    <w:rsid w:val="00DB6A2F"/>
    <w:rsid w:val="00DC1926"/>
    <w:rsid w:val="00DC1BC9"/>
    <w:rsid w:val="00DC3E78"/>
    <w:rsid w:val="00DC3F8C"/>
    <w:rsid w:val="00DC55D1"/>
    <w:rsid w:val="00DC587B"/>
    <w:rsid w:val="00DC632D"/>
    <w:rsid w:val="00DC6EE9"/>
    <w:rsid w:val="00DC77F6"/>
    <w:rsid w:val="00DC7809"/>
    <w:rsid w:val="00DC781D"/>
    <w:rsid w:val="00DD13A4"/>
    <w:rsid w:val="00DD328B"/>
    <w:rsid w:val="00DD47A6"/>
    <w:rsid w:val="00DD605D"/>
    <w:rsid w:val="00DD6369"/>
    <w:rsid w:val="00DD69F9"/>
    <w:rsid w:val="00DD722A"/>
    <w:rsid w:val="00DD7665"/>
    <w:rsid w:val="00DD7A1E"/>
    <w:rsid w:val="00DE4FC6"/>
    <w:rsid w:val="00DE5A26"/>
    <w:rsid w:val="00DE6C98"/>
    <w:rsid w:val="00DE6DCE"/>
    <w:rsid w:val="00DE6FE5"/>
    <w:rsid w:val="00DF107A"/>
    <w:rsid w:val="00DF17A2"/>
    <w:rsid w:val="00DF29E7"/>
    <w:rsid w:val="00DF2B11"/>
    <w:rsid w:val="00DF320E"/>
    <w:rsid w:val="00DF7D6A"/>
    <w:rsid w:val="00E002F4"/>
    <w:rsid w:val="00E014D5"/>
    <w:rsid w:val="00E01C5D"/>
    <w:rsid w:val="00E03F2E"/>
    <w:rsid w:val="00E045E5"/>
    <w:rsid w:val="00E06074"/>
    <w:rsid w:val="00E07A62"/>
    <w:rsid w:val="00E10638"/>
    <w:rsid w:val="00E12114"/>
    <w:rsid w:val="00E12463"/>
    <w:rsid w:val="00E13C94"/>
    <w:rsid w:val="00E142FA"/>
    <w:rsid w:val="00E171F2"/>
    <w:rsid w:val="00E17D63"/>
    <w:rsid w:val="00E207D8"/>
    <w:rsid w:val="00E208DC"/>
    <w:rsid w:val="00E210C7"/>
    <w:rsid w:val="00E21873"/>
    <w:rsid w:val="00E21901"/>
    <w:rsid w:val="00E228A3"/>
    <w:rsid w:val="00E24CF1"/>
    <w:rsid w:val="00E259A4"/>
    <w:rsid w:val="00E25B5F"/>
    <w:rsid w:val="00E25DC2"/>
    <w:rsid w:val="00E2644D"/>
    <w:rsid w:val="00E30A80"/>
    <w:rsid w:val="00E320A2"/>
    <w:rsid w:val="00E335C5"/>
    <w:rsid w:val="00E33E8B"/>
    <w:rsid w:val="00E34ADF"/>
    <w:rsid w:val="00E34ECD"/>
    <w:rsid w:val="00E355C1"/>
    <w:rsid w:val="00E35B6E"/>
    <w:rsid w:val="00E3798E"/>
    <w:rsid w:val="00E404E7"/>
    <w:rsid w:val="00E432C3"/>
    <w:rsid w:val="00E44A7A"/>
    <w:rsid w:val="00E44D4B"/>
    <w:rsid w:val="00E44E4C"/>
    <w:rsid w:val="00E4592B"/>
    <w:rsid w:val="00E45A0D"/>
    <w:rsid w:val="00E46B9C"/>
    <w:rsid w:val="00E46D16"/>
    <w:rsid w:val="00E4743D"/>
    <w:rsid w:val="00E47E89"/>
    <w:rsid w:val="00E50C21"/>
    <w:rsid w:val="00E50EBF"/>
    <w:rsid w:val="00E5298D"/>
    <w:rsid w:val="00E52994"/>
    <w:rsid w:val="00E52A94"/>
    <w:rsid w:val="00E530EF"/>
    <w:rsid w:val="00E561E9"/>
    <w:rsid w:val="00E5638D"/>
    <w:rsid w:val="00E5695C"/>
    <w:rsid w:val="00E572A5"/>
    <w:rsid w:val="00E62EC5"/>
    <w:rsid w:val="00E6384F"/>
    <w:rsid w:val="00E63CD0"/>
    <w:rsid w:val="00E64060"/>
    <w:rsid w:val="00E651B3"/>
    <w:rsid w:val="00E72A4E"/>
    <w:rsid w:val="00E730B0"/>
    <w:rsid w:val="00E73895"/>
    <w:rsid w:val="00E74F32"/>
    <w:rsid w:val="00E75198"/>
    <w:rsid w:val="00E75A09"/>
    <w:rsid w:val="00E764AA"/>
    <w:rsid w:val="00E772DF"/>
    <w:rsid w:val="00E80EE4"/>
    <w:rsid w:val="00E812D9"/>
    <w:rsid w:val="00E83236"/>
    <w:rsid w:val="00E83E49"/>
    <w:rsid w:val="00E848A1"/>
    <w:rsid w:val="00E84F5D"/>
    <w:rsid w:val="00E86043"/>
    <w:rsid w:val="00E86164"/>
    <w:rsid w:val="00E864AA"/>
    <w:rsid w:val="00E870B5"/>
    <w:rsid w:val="00E8780C"/>
    <w:rsid w:val="00E91230"/>
    <w:rsid w:val="00E91321"/>
    <w:rsid w:val="00E915C3"/>
    <w:rsid w:val="00E91FF6"/>
    <w:rsid w:val="00E9241B"/>
    <w:rsid w:val="00E92D5F"/>
    <w:rsid w:val="00E947E1"/>
    <w:rsid w:val="00E94D8F"/>
    <w:rsid w:val="00E95D61"/>
    <w:rsid w:val="00E97739"/>
    <w:rsid w:val="00EA1B65"/>
    <w:rsid w:val="00EA35A1"/>
    <w:rsid w:val="00EA3816"/>
    <w:rsid w:val="00EA4520"/>
    <w:rsid w:val="00EA5986"/>
    <w:rsid w:val="00EA59D4"/>
    <w:rsid w:val="00EA714E"/>
    <w:rsid w:val="00EA78EF"/>
    <w:rsid w:val="00EA7E59"/>
    <w:rsid w:val="00EA7EB6"/>
    <w:rsid w:val="00EB16DD"/>
    <w:rsid w:val="00EB1C7C"/>
    <w:rsid w:val="00EB2981"/>
    <w:rsid w:val="00EB34EA"/>
    <w:rsid w:val="00EB3694"/>
    <w:rsid w:val="00EB4A68"/>
    <w:rsid w:val="00EB4C0D"/>
    <w:rsid w:val="00EB507B"/>
    <w:rsid w:val="00EB63DE"/>
    <w:rsid w:val="00EC326C"/>
    <w:rsid w:val="00EC3C6C"/>
    <w:rsid w:val="00EC4F63"/>
    <w:rsid w:val="00EC53A7"/>
    <w:rsid w:val="00EC5AD9"/>
    <w:rsid w:val="00EC796B"/>
    <w:rsid w:val="00ED00F4"/>
    <w:rsid w:val="00ED0BE3"/>
    <w:rsid w:val="00ED1B36"/>
    <w:rsid w:val="00ED2CB6"/>
    <w:rsid w:val="00ED2EAB"/>
    <w:rsid w:val="00ED4D3D"/>
    <w:rsid w:val="00ED5269"/>
    <w:rsid w:val="00ED5C46"/>
    <w:rsid w:val="00ED7880"/>
    <w:rsid w:val="00EE022B"/>
    <w:rsid w:val="00EE08F2"/>
    <w:rsid w:val="00EE151C"/>
    <w:rsid w:val="00EE2C2C"/>
    <w:rsid w:val="00EE30D5"/>
    <w:rsid w:val="00EE3A19"/>
    <w:rsid w:val="00EE3D3C"/>
    <w:rsid w:val="00EE3E88"/>
    <w:rsid w:val="00EE3F14"/>
    <w:rsid w:val="00EE553E"/>
    <w:rsid w:val="00EE6035"/>
    <w:rsid w:val="00EE6156"/>
    <w:rsid w:val="00EE6BDD"/>
    <w:rsid w:val="00EE71A7"/>
    <w:rsid w:val="00EE722A"/>
    <w:rsid w:val="00EE7FED"/>
    <w:rsid w:val="00EF2580"/>
    <w:rsid w:val="00EF314F"/>
    <w:rsid w:val="00EF3414"/>
    <w:rsid w:val="00EF36EF"/>
    <w:rsid w:val="00EF4D00"/>
    <w:rsid w:val="00EF5866"/>
    <w:rsid w:val="00EF5A06"/>
    <w:rsid w:val="00EF69B0"/>
    <w:rsid w:val="00F00146"/>
    <w:rsid w:val="00F0037E"/>
    <w:rsid w:val="00F00652"/>
    <w:rsid w:val="00F0091F"/>
    <w:rsid w:val="00F00D69"/>
    <w:rsid w:val="00F010BA"/>
    <w:rsid w:val="00F01C8E"/>
    <w:rsid w:val="00F043B1"/>
    <w:rsid w:val="00F05816"/>
    <w:rsid w:val="00F06D4A"/>
    <w:rsid w:val="00F10BA0"/>
    <w:rsid w:val="00F12695"/>
    <w:rsid w:val="00F13A15"/>
    <w:rsid w:val="00F1474F"/>
    <w:rsid w:val="00F1485B"/>
    <w:rsid w:val="00F17A40"/>
    <w:rsid w:val="00F212E0"/>
    <w:rsid w:val="00F22DFB"/>
    <w:rsid w:val="00F2449F"/>
    <w:rsid w:val="00F255CE"/>
    <w:rsid w:val="00F25A79"/>
    <w:rsid w:val="00F2660C"/>
    <w:rsid w:val="00F27A36"/>
    <w:rsid w:val="00F27F19"/>
    <w:rsid w:val="00F3072A"/>
    <w:rsid w:val="00F308DE"/>
    <w:rsid w:val="00F323E1"/>
    <w:rsid w:val="00F3240F"/>
    <w:rsid w:val="00F32E5B"/>
    <w:rsid w:val="00F33DBD"/>
    <w:rsid w:val="00F35999"/>
    <w:rsid w:val="00F3640E"/>
    <w:rsid w:val="00F36431"/>
    <w:rsid w:val="00F40D1F"/>
    <w:rsid w:val="00F43045"/>
    <w:rsid w:val="00F4327E"/>
    <w:rsid w:val="00F453BF"/>
    <w:rsid w:val="00F45537"/>
    <w:rsid w:val="00F4722E"/>
    <w:rsid w:val="00F50459"/>
    <w:rsid w:val="00F515D5"/>
    <w:rsid w:val="00F52DEA"/>
    <w:rsid w:val="00F53E8B"/>
    <w:rsid w:val="00F548A6"/>
    <w:rsid w:val="00F54C0C"/>
    <w:rsid w:val="00F62069"/>
    <w:rsid w:val="00F62309"/>
    <w:rsid w:val="00F62C11"/>
    <w:rsid w:val="00F63103"/>
    <w:rsid w:val="00F66CEB"/>
    <w:rsid w:val="00F7038F"/>
    <w:rsid w:val="00F718DB"/>
    <w:rsid w:val="00F71A5D"/>
    <w:rsid w:val="00F71C75"/>
    <w:rsid w:val="00F731AE"/>
    <w:rsid w:val="00F73A3C"/>
    <w:rsid w:val="00F74174"/>
    <w:rsid w:val="00F74613"/>
    <w:rsid w:val="00F74C34"/>
    <w:rsid w:val="00F75CCE"/>
    <w:rsid w:val="00F7651C"/>
    <w:rsid w:val="00F76993"/>
    <w:rsid w:val="00F76E55"/>
    <w:rsid w:val="00F8005F"/>
    <w:rsid w:val="00F82F08"/>
    <w:rsid w:val="00F8326D"/>
    <w:rsid w:val="00F847E7"/>
    <w:rsid w:val="00F856EC"/>
    <w:rsid w:val="00F867BB"/>
    <w:rsid w:val="00F878D7"/>
    <w:rsid w:val="00F90A59"/>
    <w:rsid w:val="00F921FC"/>
    <w:rsid w:val="00F92CD6"/>
    <w:rsid w:val="00F9384F"/>
    <w:rsid w:val="00F94114"/>
    <w:rsid w:val="00F94F9F"/>
    <w:rsid w:val="00F9601A"/>
    <w:rsid w:val="00F96053"/>
    <w:rsid w:val="00F9746A"/>
    <w:rsid w:val="00F97A4F"/>
    <w:rsid w:val="00FA1531"/>
    <w:rsid w:val="00FA1D3A"/>
    <w:rsid w:val="00FA22F3"/>
    <w:rsid w:val="00FA460C"/>
    <w:rsid w:val="00FA68AB"/>
    <w:rsid w:val="00FA6A42"/>
    <w:rsid w:val="00FB040E"/>
    <w:rsid w:val="00FB0D33"/>
    <w:rsid w:val="00FB2092"/>
    <w:rsid w:val="00FB33D0"/>
    <w:rsid w:val="00FB4618"/>
    <w:rsid w:val="00FB4CC1"/>
    <w:rsid w:val="00FB5530"/>
    <w:rsid w:val="00FC1B3A"/>
    <w:rsid w:val="00FC25A6"/>
    <w:rsid w:val="00FC31F8"/>
    <w:rsid w:val="00FC35FB"/>
    <w:rsid w:val="00FC3F83"/>
    <w:rsid w:val="00FC4178"/>
    <w:rsid w:val="00FC4AAA"/>
    <w:rsid w:val="00FC551E"/>
    <w:rsid w:val="00FC641B"/>
    <w:rsid w:val="00FC6FA6"/>
    <w:rsid w:val="00FC72BC"/>
    <w:rsid w:val="00FC7581"/>
    <w:rsid w:val="00FD0304"/>
    <w:rsid w:val="00FD03F3"/>
    <w:rsid w:val="00FD0855"/>
    <w:rsid w:val="00FD08F1"/>
    <w:rsid w:val="00FD0B25"/>
    <w:rsid w:val="00FD37BF"/>
    <w:rsid w:val="00FD4293"/>
    <w:rsid w:val="00FD43E7"/>
    <w:rsid w:val="00FD4542"/>
    <w:rsid w:val="00FD5370"/>
    <w:rsid w:val="00FD5611"/>
    <w:rsid w:val="00FD5629"/>
    <w:rsid w:val="00FD5978"/>
    <w:rsid w:val="00FD5FA1"/>
    <w:rsid w:val="00FD6808"/>
    <w:rsid w:val="00FD773F"/>
    <w:rsid w:val="00FD7A30"/>
    <w:rsid w:val="00FD7B1D"/>
    <w:rsid w:val="00FD7BE3"/>
    <w:rsid w:val="00FE081B"/>
    <w:rsid w:val="00FE0F70"/>
    <w:rsid w:val="00FE0FC9"/>
    <w:rsid w:val="00FE1094"/>
    <w:rsid w:val="00FE1375"/>
    <w:rsid w:val="00FE312B"/>
    <w:rsid w:val="00FE35CA"/>
    <w:rsid w:val="00FE4CC6"/>
    <w:rsid w:val="00FE5122"/>
    <w:rsid w:val="00FE66A9"/>
    <w:rsid w:val="00FE7647"/>
    <w:rsid w:val="00FE78EB"/>
    <w:rsid w:val="00FE7B57"/>
    <w:rsid w:val="00FF21EE"/>
    <w:rsid w:val="00FF2949"/>
    <w:rsid w:val="00FF2A9C"/>
    <w:rsid w:val="00FF375B"/>
    <w:rsid w:val="00FF42EF"/>
    <w:rsid w:val="00FF4925"/>
    <w:rsid w:val="00FF638A"/>
    <w:rsid w:val="00FF656E"/>
    <w:rsid w:val="00FF65E4"/>
    <w:rsid w:val="00FF6A6A"/>
    <w:rsid w:val="00FF72A3"/>
    <w:rsid w:val="00FF73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788B"/>
  <w15:chartTrackingRefBased/>
  <w15:docId w15:val="{97103C39-7374-4C8E-8AE2-4034107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DE"/>
    <w:pPr>
      <w:widowControl w:val="0"/>
      <w:spacing w:after="0" w:line="240" w:lineRule="auto"/>
      <w:jc w:val="both"/>
    </w:pPr>
    <w:rPr>
      <w:rFonts w:eastAsiaTheme="minorEastAsia"/>
      <w:kern w:val="2"/>
      <w:sz w:val="21"/>
      <w:lang w:val="en-US" w:eastAsia="zh-CN"/>
    </w:rPr>
  </w:style>
  <w:style w:type="paragraph" w:styleId="Heading1">
    <w:name w:val="heading 1"/>
    <w:basedOn w:val="Normal"/>
    <w:next w:val="Normal"/>
    <w:link w:val="Heading1Char"/>
    <w:uiPriority w:val="9"/>
    <w:qFormat/>
    <w:rsid w:val="004E0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0D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0D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DE"/>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basedOn w:val="DefaultParagraphFont"/>
    <w:link w:val="Heading2"/>
    <w:uiPriority w:val="9"/>
    <w:rsid w:val="004E0DDE"/>
    <w:rPr>
      <w:rFonts w:asciiTheme="majorHAnsi" w:eastAsiaTheme="majorEastAsia" w:hAnsiTheme="majorHAnsi" w:cstheme="majorBidi"/>
      <w:color w:val="2F5496" w:themeColor="accent1" w:themeShade="BF"/>
      <w:kern w:val="2"/>
      <w:sz w:val="26"/>
      <w:szCs w:val="26"/>
      <w:lang w:eastAsia="zh-CN"/>
    </w:rPr>
  </w:style>
  <w:style w:type="character" w:customStyle="1" w:styleId="Heading3Char">
    <w:name w:val="Heading 3 Char"/>
    <w:basedOn w:val="DefaultParagraphFont"/>
    <w:link w:val="Heading3"/>
    <w:uiPriority w:val="9"/>
    <w:rsid w:val="004E0DDE"/>
    <w:rPr>
      <w:rFonts w:asciiTheme="majorHAnsi" w:eastAsiaTheme="majorEastAsia" w:hAnsiTheme="majorHAnsi" w:cstheme="majorBidi"/>
      <w:color w:val="1F3763" w:themeColor="accent1" w:themeShade="7F"/>
      <w:kern w:val="2"/>
      <w:sz w:val="24"/>
      <w:szCs w:val="24"/>
      <w:lang w:eastAsia="zh-CN"/>
    </w:rPr>
  </w:style>
  <w:style w:type="paragraph" w:customStyle="1" w:styleId="EndNoteBibliographyTitle">
    <w:name w:val="EndNote Bibliography Title"/>
    <w:basedOn w:val="Normal"/>
    <w:link w:val="EndNoteBibliographyTitle0"/>
    <w:rsid w:val="004E0DDE"/>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4E0DDE"/>
    <w:rPr>
      <w:rFonts w:ascii="DengXian" w:eastAsia="DengXian" w:hAnsi="DengXian"/>
      <w:noProof/>
      <w:kern w:val="2"/>
      <w:sz w:val="20"/>
      <w:lang w:eastAsia="zh-CN"/>
    </w:rPr>
  </w:style>
  <w:style w:type="paragraph" w:customStyle="1" w:styleId="EndNoteBibliography">
    <w:name w:val="EndNote Bibliography"/>
    <w:basedOn w:val="Normal"/>
    <w:link w:val="EndNoteBibliography0"/>
    <w:rsid w:val="004E0DDE"/>
    <w:rPr>
      <w:rFonts w:ascii="DengXian" w:eastAsia="DengXian" w:hAnsi="DengXian"/>
      <w:noProof/>
      <w:sz w:val="20"/>
    </w:rPr>
  </w:style>
  <w:style w:type="character" w:customStyle="1" w:styleId="EndNoteBibliography0">
    <w:name w:val="EndNote Bibliography 字符"/>
    <w:basedOn w:val="DefaultParagraphFont"/>
    <w:link w:val="EndNoteBibliography"/>
    <w:rsid w:val="004E0DDE"/>
    <w:rPr>
      <w:rFonts w:ascii="DengXian" w:eastAsia="DengXian" w:hAnsi="DengXian"/>
      <w:noProof/>
      <w:kern w:val="2"/>
      <w:sz w:val="20"/>
      <w:lang w:eastAsia="zh-CN"/>
    </w:rPr>
  </w:style>
  <w:style w:type="character" w:styleId="Hyperlink">
    <w:name w:val="Hyperlink"/>
    <w:basedOn w:val="DefaultParagraphFont"/>
    <w:uiPriority w:val="99"/>
    <w:unhideWhenUsed/>
    <w:rsid w:val="004E0DDE"/>
    <w:rPr>
      <w:color w:val="0563C1" w:themeColor="hyperlink"/>
      <w:u w:val="single"/>
    </w:rPr>
  </w:style>
  <w:style w:type="character" w:customStyle="1" w:styleId="UnresolvedMention1">
    <w:name w:val="Unresolved Mention1"/>
    <w:basedOn w:val="DefaultParagraphFont"/>
    <w:uiPriority w:val="99"/>
    <w:semiHidden/>
    <w:unhideWhenUsed/>
    <w:rsid w:val="004E0DDE"/>
    <w:rPr>
      <w:color w:val="605E5C"/>
      <w:shd w:val="clear" w:color="auto" w:fill="E1DFDD"/>
    </w:rPr>
  </w:style>
  <w:style w:type="table" w:styleId="TableGrid">
    <w:name w:val="Table Grid"/>
    <w:basedOn w:val="TableNormal"/>
    <w:uiPriority w:val="39"/>
    <w:rsid w:val="004E0DDE"/>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0DDE"/>
    <w:rPr>
      <w:color w:val="808080"/>
    </w:rPr>
  </w:style>
  <w:style w:type="paragraph" w:styleId="Header">
    <w:name w:val="header"/>
    <w:basedOn w:val="Normal"/>
    <w:link w:val="HeaderChar"/>
    <w:uiPriority w:val="99"/>
    <w:unhideWhenUsed/>
    <w:rsid w:val="004E0D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E0DDE"/>
    <w:rPr>
      <w:rFonts w:eastAsiaTheme="minorEastAsia"/>
      <w:kern w:val="2"/>
      <w:sz w:val="18"/>
      <w:szCs w:val="18"/>
      <w:lang w:eastAsia="zh-CN"/>
    </w:rPr>
  </w:style>
  <w:style w:type="paragraph" w:styleId="Footer">
    <w:name w:val="footer"/>
    <w:basedOn w:val="Normal"/>
    <w:link w:val="FooterChar"/>
    <w:uiPriority w:val="99"/>
    <w:unhideWhenUsed/>
    <w:rsid w:val="004E0D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E0DDE"/>
    <w:rPr>
      <w:rFonts w:eastAsiaTheme="minorEastAsia"/>
      <w:kern w:val="2"/>
      <w:sz w:val="18"/>
      <w:szCs w:val="18"/>
      <w:lang w:eastAsia="zh-CN"/>
    </w:rPr>
  </w:style>
  <w:style w:type="paragraph" w:styleId="ListParagraph">
    <w:name w:val="List Paragraph"/>
    <w:basedOn w:val="Normal"/>
    <w:uiPriority w:val="34"/>
    <w:qFormat/>
    <w:rsid w:val="004E0DDE"/>
    <w:pPr>
      <w:ind w:firstLineChars="200" w:firstLine="420"/>
    </w:pPr>
  </w:style>
  <w:style w:type="paragraph" w:styleId="NoSpacing">
    <w:name w:val="No Spacing"/>
    <w:link w:val="NoSpacingChar"/>
    <w:uiPriority w:val="1"/>
    <w:qFormat/>
    <w:rsid w:val="004E0DD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4E0DDE"/>
    <w:rPr>
      <w:rFonts w:eastAsiaTheme="minorEastAsia"/>
      <w:lang w:val="en-US" w:eastAsia="zh-CN"/>
    </w:rPr>
  </w:style>
  <w:style w:type="paragraph" w:styleId="Caption">
    <w:name w:val="caption"/>
    <w:basedOn w:val="Normal"/>
    <w:next w:val="Normal"/>
    <w:uiPriority w:val="35"/>
    <w:unhideWhenUsed/>
    <w:qFormat/>
    <w:rsid w:val="004E0DDE"/>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4E0DDE"/>
    <w:rPr>
      <w:sz w:val="20"/>
      <w:szCs w:val="20"/>
    </w:rPr>
  </w:style>
  <w:style w:type="character" w:customStyle="1" w:styleId="FootnoteTextChar">
    <w:name w:val="Footnote Text Char"/>
    <w:basedOn w:val="DefaultParagraphFont"/>
    <w:link w:val="FootnoteText"/>
    <w:uiPriority w:val="99"/>
    <w:semiHidden/>
    <w:rsid w:val="004E0DDE"/>
    <w:rPr>
      <w:rFonts w:eastAsiaTheme="minorEastAsia"/>
      <w:kern w:val="2"/>
      <w:sz w:val="20"/>
      <w:szCs w:val="20"/>
      <w:lang w:eastAsia="zh-CN"/>
    </w:rPr>
  </w:style>
  <w:style w:type="character" w:styleId="FootnoteReference">
    <w:name w:val="footnote reference"/>
    <w:basedOn w:val="DefaultParagraphFont"/>
    <w:uiPriority w:val="99"/>
    <w:semiHidden/>
    <w:unhideWhenUsed/>
    <w:rsid w:val="004E0DDE"/>
    <w:rPr>
      <w:vertAlign w:val="superscript"/>
    </w:rPr>
  </w:style>
  <w:style w:type="table" w:styleId="TableGridLight">
    <w:name w:val="Grid Table Light"/>
    <w:basedOn w:val="TableNormal"/>
    <w:uiPriority w:val="40"/>
    <w:rsid w:val="004E0DDE"/>
    <w:pPr>
      <w:spacing w:after="0" w:line="240" w:lineRule="auto"/>
    </w:pPr>
    <w:rPr>
      <w:rFonts w:eastAsiaTheme="minorEastAsia"/>
      <w:kern w:val="2"/>
      <w:sz w:val="21"/>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E0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DDE"/>
    <w:rPr>
      <w:rFonts w:ascii="Segoe UI" w:eastAsiaTheme="minorEastAsia" w:hAnsi="Segoe UI" w:cs="Segoe UI"/>
      <w:kern w:val="2"/>
      <w:sz w:val="18"/>
      <w:szCs w:val="18"/>
      <w:lang w:eastAsia="zh-CN"/>
    </w:rPr>
  </w:style>
  <w:style w:type="paragraph" w:styleId="Revision">
    <w:name w:val="Revision"/>
    <w:hidden/>
    <w:uiPriority w:val="99"/>
    <w:semiHidden/>
    <w:rsid w:val="004E0DDE"/>
    <w:pPr>
      <w:spacing w:after="0" w:line="240" w:lineRule="auto"/>
    </w:pPr>
    <w:rPr>
      <w:rFonts w:eastAsiaTheme="minorEastAsia"/>
      <w:kern w:val="2"/>
      <w:sz w:val="21"/>
      <w:lang w:eastAsia="zh-CN"/>
    </w:rPr>
  </w:style>
  <w:style w:type="character" w:styleId="CommentReference">
    <w:name w:val="annotation reference"/>
    <w:basedOn w:val="DefaultParagraphFont"/>
    <w:uiPriority w:val="99"/>
    <w:semiHidden/>
    <w:unhideWhenUsed/>
    <w:rsid w:val="004E0DDE"/>
    <w:rPr>
      <w:sz w:val="16"/>
      <w:szCs w:val="16"/>
    </w:rPr>
  </w:style>
  <w:style w:type="paragraph" w:styleId="CommentText">
    <w:name w:val="annotation text"/>
    <w:basedOn w:val="Normal"/>
    <w:link w:val="CommentTextChar"/>
    <w:uiPriority w:val="99"/>
    <w:unhideWhenUsed/>
    <w:rsid w:val="004E0DDE"/>
    <w:rPr>
      <w:sz w:val="20"/>
      <w:szCs w:val="20"/>
    </w:rPr>
  </w:style>
  <w:style w:type="character" w:customStyle="1" w:styleId="CommentTextChar">
    <w:name w:val="Comment Text Char"/>
    <w:basedOn w:val="DefaultParagraphFont"/>
    <w:link w:val="CommentText"/>
    <w:uiPriority w:val="99"/>
    <w:rsid w:val="004E0DDE"/>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4E0DDE"/>
    <w:rPr>
      <w:b/>
      <w:bCs/>
    </w:rPr>
  </w:style>
  <w:style w:type="character" w:customStyle="1" w:styleId="CommentSubjectChar">
    <w:name w:val="Comment Subject Char"/>
    <w:basedOn w:val="CommentTextChar"/>
    <w:link w:val="CommentSubject"/>
    <w:uiPriority w:val="99"/>
    <w:semiHidden/>
    <w:rsid w:val="004E0DDE"/>
    <w:rPr>
      <w:rFonts w:eastAsiaTheme="minorEastAsia"/>
      <w:b/>
      <w:bCs/>
      <w:kern w:val="2"/>
      <w:sz w:val="20"/>
      <w:szCs w:val="20"/>
      <w:lang w:eastAsia="zh-CN"/>
    </w:rPr>
  </w:style>
  <w:style w:type="paragraph" w:styleId="NormalWeb">
    <w:name w:val="Normal (Web)"/>
    <w:basedOn w:val="Normal"/>
    <w:uiPriority w:val="99"/>
    <w:unhideWhenUsed/>
    <w:rsid w:val="004E0DD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F6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0368">
      <w:bodyDiv w:val="1"/>
      <w:marLeft w:val="0"/>
      <w:marRight w:val="0"/>
      <w:marTop w:val="0"/>
      <w:marBottom w:val="0"/>
      <w:divBdr>
        <w:top w:val="none" w:sz="0" w:space="0" w:color="auto"/>
        <w:left w:val="none" w:sz="0" w:space="0" w:color="auto"/>
        <w:bottom w:val="none" w:sz="0" w:space="0" w:color="auto"/>
        <w:right w:val="none" w:sz="0" w:space="0" w:color="auto"/>
      </w:divBdr>
    </w:div>
    <w:div w:id="286788482">
      <w:bodyDiv w:val="1"/>
      <w:marLeft w:val="0"/>
      <w:marRight w:val="0"/>
      <w:marTop w:val="0"/>
      <w:marBottom w:val="0"/>
      <w:divBdr>
        <w:top w:val="none" w:sz="0" w:space="0" w:color="auto"/>
        <w:left w:val="none" w:sz="0" w:space="0" w:color="auto"/>
        <w:bottom w:val="none" w:sz="0" w:space="0" w:color="auto"/>
        <w:right w:val="none" w:sz="0" w:space="0" w:color="auto"/>
      </w:divBdr>
    </w:div>
    <w:div w:id="460029861">
      <w:bodyDiv w:val="1"/>
      <w:marLeft w:val="0"/>
      <w:marRight w:val="0"/>
      <w:marTop w:val="0"/>
      <w:marBottom w:val="0"/>
      <w:divBdr>
        <w:top w:val="none" w:sz="0" w:space="0" w:color="auto"/>
        <w:left w:val="none" w:sz="0" w:space="0" w:color="auto"/>
        <w:bottom w:val="none" w:sz="0" w:space="0" w:color="auto"/>
        <w:right w:val="none" w:sz="0" w:space="0" w:color="auto"/>
      </w:divBdr>
      <w:divsChild>
        <w:div w:id="789668578">
          <w:marLeft w:val="0"/>
          <w:marRight w:val="0"/>
          <w:marTop w:val="0"/>
          <w:marBottom w:val="0"/>
          <w:divBdr>
            <w:top w:val="none" w:sz="0" w:space="0" w:color="auto"/>
            <w:left w:val="none" w:sz="0" w:space="0" w:color="auto"/>
            <w:bottom w:val="none" w:sz="0" w:space="0" w:color="auto"/>
            <w:right w:val="none" w:sz="0" w:space="0" w:color="auto"/>
          </w:divBdr>
          <w:divsChild>
            <w:div w:id="616563813">
              <w:marLeft w:val="0"/>
              <w:marRight w:val="0"/>
              <w:marTop w:val="0"/>
              <w:marBottom w:val="0"/>
              <w:divBdr>
                <w:top w:val="none" w:sz="0" w:space="0" w:color="auto"/>
                <w:left w:val="none" w:sz="0" w:space="0" w:color="auto"/>
                <w:bottom w:val="none" w:sz="0" w:space="0" w:color="auto"/>
                <w:right w:val="none" w:sz="0" w:space="0" w:color="auto"/>
              </w:divBdr>
              <w:divsChild>
                <w:div w:id="7796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8565">
      <w:bodyDiv w:val="1"/>
      <w:marLeft w:val="0"/>
      <w:marRight w:val="0"/>
      <w:marTop w:val="0"/>
      <w:marBottom w:val="0"/>
      <w:divBdr>
        <w:top w:val="none" w:sz="0" w:space="0" w:color="auto"/>
        <w:left w:val="none" w:sz="0" w:space="0" w:color="auto"/>
        <w:bottom w:val="none" w:sz="0" w:space="0" w:color="auto"/>
        <w:right w:val="none" w:sz="0" w:space="0" w:color="auto"/>
      </w:divBdr>
    </w:div>
    <w:div w:id="1087001257">
      <w:bodyDiv w:val="1"/>
      <w:marLeft w:val="0"/>
      <w:marRight w:val="0"/>
      <w:marTop w:val="0"/>
      <w:marBottom w:val="0"/>
      <w:divBdr>
        <w:top w:val="none" w:sz="0" w:space="0" w:color="auto"/>
        <w:left w:val="none" w:sz="0" w:space="0" w:color="auto"/>
        <w:bottom w:val="none" w:sz="0" w:space="0" w:color="auto"/>
        <w:right w:val="none" w:sz="0" w:space="0" w:color="auto"/>
      </w:divBdr>
      <w:divsChild>
        <w:div w:id="1144201510">
          <w:marLeft w:val="0"/>
          <w:marRight w:val="0"/>
          <w:marTop w:val="0"/>
          <w:marBottom w:val="0"/>
          <w:divBdr>
            <w:top w:val="none" w:sz="0" w:space="0" w:color="auto"/>
            <w:left w:val="none" w:sz="0" w:space="0" w:color="auto"/>
            <w:bottom w:val="none" w:sz="0" w:space="0" w:color="auto"/>
            <w:right w:val="none" w:sz="0" w:space="0" w:color="auto"/>
          </w:divBdr>
          <w:divsChild>
            <w:div w:id="1151554884">
              <w:marLeft w:val="0"/>
              <w:marRight w:val="0"/>
              <w:marTop w:val="0"/>
              <w:marBottom w:val="0"/>
              <w:divBdr>
                <w:top w:val="none" w:sz="0" w:space="0" w:color="auto"/>
                <w:left w:val="none" w:sz="0" w:space="0" w:color="auto"/>
                <w:bottom w:val="none" w:sz="0" w:space="0" w:color="auto"/>
                <w:right w:val="none" w:sz="0" w:space="0" w:color="auto"/>
              </w:divBdr>
              <w:divsChild>
                <w:div w:id="7783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69369">
      <w:bodyDiv w:val="1"/>
      <w:marLeft w:val="0"/>
      <w:marRight w:val="0"/>
      <w:marTop w:val="0"/>
      <w:marBottom w:val="0"/>
      <w:divBdr>
        <w:top w:val="none" w:sz="0" w:space="0" w:color="auto"/>
        <w:left w:val="none" w:sz="0" w:space="0" w:color="auto"/>
        <w:bottom w:val="none" w:sz="0" w:space="0" w:color="auto"/>
        <w:right w:val="none" w:sz="0" w:space="0" w:color="auto"/>
      </w:divBdr>
      <w:divsChild>
        <w:div w:id="1499419816">
          <w:marLeft w:val="0"/>
          <w:marRight w:val="0"/>
          <w:marTop w:val="0"/>
          <w:marBottom w:val="0"/>
          <w:divBdr>
            <w:top w:val="none" w:sz="0" w:space="0" w:color="auto"/>
            <w:left w:val="none" w:sz="0" w:space="0" w:color="auto"/>
            <w:bottom w:val="none" w:sz="0" w:space="0" w:color="auto"/>
            <w:right w:val="none" w:sz="0" w:space="0" w:color="auto"/>
          </w:divBdr>
          <w:divsChild>
            <w:div w:id="327175199">
              <w:marLeft w:val="0"/>
              <w:marRight w:val="0"/>
              <w:marTop w:val="0"/>
              <w:marBottom w:val="0"/>
              <w:divBdr>
                <w:top w:val="none" w:sz="0" w:space="0" w:color="auto"/>
                <w:left w:val="none" w:sz="0" w:space="0" w:color="auto"/>
                <w:bottom w:val="none" w:sz="0" w:space="0" w:color="auto"/>
                <w:right w:val="none" w:sz="0" w:space="0" w:color="auto"/>
              </w:divBdr>
              <w:divsChild>
                <w:div w:id="1526096606">
                  <w:marLeft w:val="0"/>
                  <w:marRight w:val="0"/>
                  <w:marTop w:val="0"/>
                  <w:marBottom w:val="0"/>
                  <w:divBdr>
                    <w:top w:val="none" w:sz="0" w:space="0" w:color="auto"/>
                    <w:left w:val="none" w:sz="0" w:space="0" w:color="auto"/>
                    <w:bottom w:val="none" w:sz="0" w:space="0" w:color="auto"/>
                    <w:right w:val="none" w:sz="0" w:space="0" w:color="auto"/>
                  </w:divBdr>
                  <w:divsChild>
                    <w:div w:id="19719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4560">
      <w:bodyDiv w:val="1"/>
      <w:marLeft w:val="0"/>
      <w:marRight w:val="0"/>
      <w:marTop w:val="0"/>
      <w:marBottom w:val="0"/>
      <w:divBdr>
        <w:top w:val="none" w:sz="0" w:space="0" w:color="auto"/>
        <w:left w:val="none" w:sz="0" w:space="0" w:color="auto"/>
        <w:bottom w:val="none" w:sz="0" w:space="0" w:color="auto"/>
        <w:right w:val="none" w:sz="0" w:space="0" w:color="auto"/>
      </w:divBdr>
      <w:divsChild>
        <w:div w:id="68122117">
          <w:marLeft w:val="0"/>
          <w:marRight w:val="0"/>
          <w:marTop w:val="0"/>
          <w:marBottom w:val="0"/>
          <w:divBdr>
            <w:top w:val="none" w:sz="0" w:space="0" w:color="auto"/>
            <w:left w:val="none" w:sz="0" w:space="0" w:color="auto"/>
            <w:bottom w:val="none" w:sz="0" w:space="0" w:color="auto"/>
            <w:right w:val="none" w:sz="0" w:space="0" w:color="auto"/>
          </w:divBdr>
          <w:divsChild>
            <w:div w:id="608438549">
              <w:marLeft w:val="0"/>
              <w:marRight w:val="0"/>
              <w:marTop w:val="0"/>
              <w:marBottom w:val="0"/>
              <w:divBdr>
                <w:top w:val="none" w:sz="0" w:space="0" w:color="auto"/>
                <w:left w:val="none" w:sz="0" w:space="0" w:color="auto"/>
                <w:bottom w:val="none" w:sz="0" w:space="0" w:color="auto"/>
                <w:right w:val="none" w:sz="0" w:space="0" w:color="auto"/>
              </w:divBdr>
              <w:divsChild>
                <w:div w:id="2235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8803">
      <w:bodyDiv w:val="1"/>
      <w:marLeft w:val="0"/>
      <w:marRight w:val="0"/>
      <w:marTop w:val="0"/>
      <w:marBottom w:val="0"/>
      <w:divBdr>
        <w:top w:val="none" w:sz="0" w:space="0" w:color="auto"/>
        <w:left w:val="none" w:sz="0" w:space="0" w:color="auto"/>
        <w:bottom w:val="none" w:sz="0" w:space="0" w:color="auto"/>
        <w:right w:val="none" w:sz="0" w:space="0" w:color="auto"/>
      </w:divBdr>
    </w:div>
    <w:div w:id="1518077854">
      <w:bodyDiv w:val="1"/>
      <w:marLeft w:val="0"/>
      <w:marRight w:val="0"/>
      <w:marTop w:val="0"/>
      <w:marBottom w:val="0"/>
      <w:divBdr>
        <w:top w:val="none" w:sz="0" w:space="0" w:color="auto"/>
        <w:left w:val="none" w:sz="0" w:space="0" w:color="auto"/>
        <w:bottom w:val="none" w:sz="0" w:space="0" w:color="auto"/>
        <w:right w:val="none" w:sz="0" w:space="0" w:color="auto"/>
      </w:divBdr>
    </w:div>
    <w:div w:id="1553925295">
      <w:bodyDiv w:val="1"/>
      <w:marLeft w:val="0"/>
      <w:marRight w:val="0"/>
      <w:marTop w:val="0"/>
      <w:marBottom w:val="0"/>
      <w:divBdr>
        <w:top w:val="none" w:sz="0" w:space="0" w:color="auto"/>
        <w:left w:val="none" w:sz="0" w:space="0" w:color="auto"/>
        <w:bottom w:val="none" w:sz="0" w:space="0" w:color="auto"/>
        <w:right w:val="none" w:sz="0" w:space="0" w:color="auto"/>
      </w:divBdr>
    </w:div>
    <w:div w:id="1689797776">
      <w:bodyDiv w:val="1"/>
      <w:marLeft w:val="0"/>
      <w:marRight w:val="0"/>
      <w:marTop w:val="0"/>
      <w:marBottom w:val="0"/>
      <w:divBdr>
        <w:top w:val="none" w:sz="0" w:space="0" w:color="auto"/>
        <w:left w:val="none" w:sz="0" w:space="0" w:color="auto"/>
        <w:bottom w:val="none" w:sz="0" w:space="0" w:color="auto"/>
        <w:right w:val="none" w:sz="0" w:space="0" w:color="auto"/>
      </w:divBdr>
    </w:div>
    <w:div w:id="1794664599">
      <w:bodyDiv w:val="1"/>
      <w:marLeft w:val="0"/>
      <w:marRight w:val="0"/>
      <w:marTop w:val="0"/>
      <w:marBottom w:val="0"/>
      <w:divBdr>
        <w:top w:val="none" w:sz="0" w:space="0" w:color="auto"/>
        <w:left w:val="none" w:sz="0" w:space="0" w:color="auto"/>
        <w:bottom w:val="none" w:sz="0" w:space="0" w:color="auto"/>
        <w:right w:val="none" w:sz="0" w:space="0" w:color="auto"/>
      </w:divBdr>
    </w:div>
    <w:div w:id="2077245235">
      <w:bodyDiv w:val="1"/>
      <w:marLeft w:val="0"/>
      <w:marRight w:val="0"/>
      <w:marTop w:val="0"/>
      <w:marBottom w:val="0"/>
      <w:divBdr>
        <w:top w:val="none" w:sz="0" w:space="0" w:color="auto"/>
        <w:left w:val="none" w:sz="0" w:space="0" w:color="auto"/>
        <w:bottom w:val="none" w:sz="0" w:space="0" w:color="auto"/>
        <w:right w:val="none" w:sz="0" w:space="0" w:color="auto"/>
      </w:divBdr>
      <w:divsChild>
        <w:div w:id="1073089263">
          <w:marLeft w:val="0"/>
          <w:marRight w:val="0"/>
          <w:marTop w:val="0"/>
          <w:marBottom w:val="0"/>
          <w:divBdr>
            <w:top w:val="none" w:sz="0" w:space="0" w:color="auto"/>
            <w:left w:val="none" w:sz="0" w:space="0" w:color="auto"/>
            <w:bottom w:val="none" w:sz="0" w:space="0" w:color="auto"/>
            <w:right w:val="none" w:sz="0" w:space="0" w:color="auto"/>
          </w:divBdr>
          <w:divsChild>
            <w:div w:id="1580166253">
              <w:marLeft w:val="0"/>
              <w:marRight w:val="0"/>
              <w:marTop w:val="0"/>
              <w:marBottom w:val="0"/>
              <w:divBdr>
                <w:top w:val="none" w:sz="0" w:space="0" w:color="auto"/>
                <w:left w:val="none" w:sz="0" w:space="0" w:color="auto"/>
                <w:bottom w:val="none" w:sz="0" w:space="0" w:color="auto"/>
                <w:right w:val="none" w:sz="0" w:space="0" w:color="auto"/>
              </w:divBdr>
              <w:divsChild>
                <w:div w:id="12645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CC3572B5D054D90DB6100F8D928B1" ma:contentTypeVersion="17" ma:contentTypeDescription="Create a new document." ma:contentTypeScope="" ma:versionID="d0b52c036411d03729fb4afa9523c0da">
  <xsd:schema xmlns:xsd="http://www.w3.org/2001/XMLSchema" xmlns:xs="http://www.w3.org/2001/XMLSchema" xmlns:p="http://schemas.microsoft.com/office/2006/metadata/properties" xmlns:ns3="63a14f80-5754-4d9c-92b4-10a4e5bed1e0" xmlns:ns4="4a50cc54-e4b2-4ec4-8468-bab2a2b75503" targetNamespace="http://schemas.microsoft.com/office/2006/metadata/properties" ma:root="true" ma:fieldsID="7ee7ff6a264db8b3f69a9c6162ea5dfa" ns3:_="" ns4:_="">
    <xsd:import namespace="63a14f80-5754-4d9c-92b4-10a4e5bed1e0"/>
    <xsd:import namespace="4a50cc54-e4b2-4ec4-8468-bab2a2b755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14f80-5754-4d9c-92b4-10a4e5bed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0cc54-e4b2-4ec4-8468-bab2a2b755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3a14f80-5754-4d9c-92b4-10a4e5bed1e0" xsi:nil="true"/>
  </documentManagement>
</p:properties>
</file>

<file path=customXml/itemProps1.xml><?xml version="1.0" encoding="utf-8"?>
<ds:datastoreItem xmlns:ds="http://schemas.openxmlformats.org/officeDocument/2006/customXml" ds:itemID="{4EDC50B6-59F8-44F7-8E0B-BA0BCA856CF4}">
  <ds:schemaRefs>
    <ds:schemaRef ds:uri="http://schemas.microsoft.com/sharepoint/v3/contenttype/forms"/>
  </ds:schemaRefs>
</ds:datastoreItem>
</file>

<file path=customXml/itemProps2.xml><?xml version="1.0" encoding="utf-8"?>
<ds:datastoreItem xmlns:ds="http://schemas.openxmlformats.org/officeDocument/2006/customXml" ds:itemID="{EC37712A-EE68-492B-879A-EBDF6963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14f80-5754-4d9c-92b4-10a4e5bed1e0"/>
    <ds:schemaRef ds:uri="4a50cc54-e4b2-4ec4-8468-bab2a2b7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578A3-C7A4-48D3-B6DB-68C17021AD65}">
  <ds:schemaRefs>
    <ds:schemaRef ds:uri="http://schemas.openxmlformats.org/officeDocument/2006/bibliography"/>
  </ds:schemaRefs>
</ds:datastoreItem>
</file>

<file path=customXml/itemProps4.xml><?xml version="1.0" encoding="utf-8"?>
<ds:datastoreItem xmlns:ds="http://schemas.openxmlformats.org/officeDocument/2006/customXml" ds:itemID="{865AA218-CE7C-4CD4-87EE-52267F727639}">
  <ds:schemaRefs>
    <ds:schemaRef ds:uri="http://schemas.microsoft.com/office/2006/metadata/properties"/>
    <ds:schemaRef ds:uri="http://schemas.microsoft.com/office/infopath/2007/PartnerControls"/>
    <ds:schemaRef ds:uri="63a14f80-5754-4d9c-92b4-10a4e5bed1e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15681</Words>
  <Characters>89384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Jinghan Guan</dc:creator>
  <cp:keywords/>
  <dc:description/>
  <cp:lastModifiedBy>Alaa Zalata</cp:lastModifiedBy>
  <cp:revision>4</cp:revision>
  <cp:lastPrinted>2024-09-07T08:44:00Z</cp:lastPrinted>
  <dcterms:created xsi:type="dcterms:W3CDTF">2025-04-02T18:02:00Z</dcterms:created>
  <dcterms:modified xsi:type="dcterms:W3CDTF">2025-04-02T18:05:00Z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0x010100A17CC3572B5D054D90DB6100F8D928B1</vt:lpwstr>
  </property>
</Properties>
</file>