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60E90" w14:textId="28828015" w:rsidR="00B62C54" w:rsidRDefault="00B62C54">
      <w:pPr>
        <w:rPr>
          <w:rFonts w:ascii="Arial" w:hAnsi="Arial" w:cs="Arial"/>
          <w:sz w:val="24"/>
          <w:szCs w:val="24"/>
        </w:rPr>
      </w:pPr>
      <w:r w:rsidRPr="00446CB6">
        <w:rPr>
          <w:rFonts w:ascii="Arial" w:hAnsi="Arial" w:cs="Arial"/>
          <w:b/>
          <w:bCs/>
          <w:sz w:val="24"/>
          <w:szCs w:val="24"/>
        </w:rPr>
        <w:t>Title:</w:t>
      </w:r>
      <w:r w:rsidRPr="00F831D4">
        <w:rPr>
          <w:rFonts w:ascii="Arial" w:hAnsi="Arial" w:cs="Arial"/>
          <w:sz w:val="24"/>
          <w:szCs w:val="24"/>
        </w:rPr>
        <w:t xml:space="preserve"> </w:t>
      </w:r>
      <w:r w:rsidR="00514ABE" w:rsidRPr="00F831D4">
        <w:rPr>
          <w:rFonts w:ascii="Arial" w:hAnsi="Arial" w:cs="Arial"/>
          <w:sz w:val="24"/>
          <w:szCs w:val="24"/>
        </w:rPr>
        <w:t>“We need carrots and sticks”: How to enhance student engagement with career learning in Higher Education</w:t>
      </w:r>
    </w:p>
    <w:p w14:paraId="04D7CE75" w14:textId="245A6224" w:rsidR="00750971" w:rsidRDefault="00542D04">
      <w:pPr>
        <w:rPr>
          <w:rFonts w:ascii="Arial" w:hAnsi="Arial" w:cs="Arial"/>
          <w:sz w:val="24"/>
          <w:szCs w:val="24"/>
        </w:rPr>
      </w:pPr>
      <w:r w:rsidRPr="7B91D289">
        <w:rPr>
          <w:rFonts w:ascii="Arial" w:hAnsi="Arial" w:cs="Arial"/>
          <w:b/>
          <w:bCs/>
          <w:sz w:val="24"/>
          <w:szCs w:val="24"/>
        </w:rPr>
        <w:t>Authors:</w:t>
      </w:r>
      <w:r w:rsidRPr="7B91D289">
        <w:rPr>
          <w:rFonts w:ascii="Arial" w:hAnsi="Arial" w:cs="Arial"/>
          <w:sz w:val="24"/>
          <w:szCs w:val="24"/>
        </w:rPr>
        <w:t xml:space="preserve"> Andy Port and Brian </w:t>
      </w:r>
      <w:r w:rsidR="00655161" w:rsidRPr="7B91D289">
        <w:rPr>
          <w:rFonts w:ascii="Arial" w:hAnsi="Arial" w:cs="Arial"/>
          <w:sz w:val="24"/>
          <w:szCs w:val="24"/>
        </w:rPr>
        <w:t xml:space="preserve">J. </w:t>
      </w:r>
      <w:r w:rsidRPr="7B91D289">
        <w:rPr>
          <w:rFonts w:ascii="Arial" w:hAnsi="Arial" w:cs="Arial"/>
          <w:sz w:val="24"/>
          <w:szCs w:val="24"/>
        </w:rPr>
        <w:t>Hracs, University of Southampton</w:t>
      </w:r>
    </w:p>
    <w:p w14:paraId="3D506B24" w14:textId="22D5F610" w:rsidR="7B91D289" w:rsidRDefault="00E71576" w:rsidP="7B91D2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Corresponding author: Andy Port</w:t>
      </w:r>
      <w:r w:rsidR="006B35F3">
        <w:rPr>
          <w:rFonts w:ascii="Arial" w:hAnsi="Arial" w:cs="Arial"/>
          <w:sz w:val="24"/>
          <w:szCs w:val="24"/>
        </w:rPr>
        <w:t xml:space="preserve"> – a.r.port@soton.ac.uk</w:t>
      </w:r>
    </w:p>
    <w:p w14:paraId="7FA4E0D8" w14:textId="165D8F50" w:rsidR="00655161" w:rsidRDefault="000D778C">
      <w:pPr>
        <w:rPr>
          <w:rFonts w:ascii="Arial" w:hAnsi="Arial" w:cs="Arial"/>
          <w:b/>
          <w:sz w:val="24"/>
          <w:szCs w:val="24"/>
        </w:rPr>
      </w:pPr>
      <w:bookmarkStart w:id="0" w:name="Row_2_Abstract"/>
      <w:r w:rsidRPr="00446CB6">
        <w:rPr>
          <w:rFonts w:ascii="Arial" w:hAnsi="Arial" w:cs="Arial"/>
          <w:b/>
          <w:sz w:val="24"/>
          <w:szCs w:val="24"/>
        </w:rPr>
        <w:t>Abstract</w:t>
      </w:r>
      <w:bookmarkEnd w:id="0"/>
      <w:r w:rsidR="003A20C9">
        <w:rPr>
          <w:rFonts w:ascii="Arial" w:hAnsi="Arial" w:cs="Arial"/>
          <w:b/>
          <w:sz w:val="24"/>
          <w:szCs w:val="24"/>
        </w:rPr>
        <w:t xml:space="preserve"> (max 100 words)</w:t>
      </w:r>
    </w:p>
    <w:p w14:paraId="2571B079" w14:textId="57233A41" w:rsidR="00655161" w:rsidRPr="005913AF" w:rsidRDefault="00655161" w:rsidP="6408D7D1">
      <w:pPr>
        <w:spacing w:line="360" w:lineRule="auto"/>
        <w:outlineLvl w:val="1"/>
        <w:rPr>
          <w:rFonts w:ascii="Arial" w:hAnsi="Arial" w:cs="Arial"/>
          <w:sz w:val="24"/>
          <w:szCs w:val="24"/>
        </w:rPr>
      </w:pPr>
      <w:r w:rsidRPr="6408D7D1">
        <w:rPr>
          <w:rFonts w:ascii="Arial" w:hAnsi="Arial" w:cs="Arial"/>
          <w:sz w:val="24"/>
          <w:szCs w:val="24"/>
        </w:rPr>
        <w:t>Although students</w:t>
      </w:r>
      <w:r w:rsidR="00A92889">
        <w:rPr>
          <w:rFonts w:ascii="Arial" w:hAnsi="Arial" w:cs="Arial"/>
          <w:sz w:val="24"/>
          <w:szCs w:val="24"/>
        </w:rPr>
        <w:t xml:space="preserve"> </w:t>
      </w:r>
      <w:r w:rsidRPr="6408D7D1">
        <w:rPr>
          <w:rFonts w:ascii="Arial" w:hAnsi="Arial" w:cs="Arial"/>
          <w:sz w:val="24"/>
          <w:szCs w:val="24"/>
        </w:rPr>
        <w:t xml:space="preserve">and universities are increasingly concerned about employability, student engagement </w:t>
      </w:r>
      <w:r w:rsidR="00097619" w:rsidRPr="6408D7D1">
        <w:rPr>
          <w:rFonts w:ascii="Arial" w:hAnsi="Arial" w:cs="Arial"/>
          <w:sz w:val="24"/>
          <w:szCs w:val="24"/>
        </w:rPr>
        <w:t xml:space="preserve">often </w:t>
      </w:r>
      <w:r w:rsidRPr="6408D7D1">
        <w:rPr>
          <w:rFonts w:ascii="Arial" w:hAnsi="Arial" w:cs="Arial"/>
          <w:sz w:val="24"/>
          <w:szCs w:val="24"/>
        </w:rPr>
        <w:t xml:space="preserve">remains low. </w:t>
      </w:r>
      <w:r w:rsidR="009B21CC" w:rsidRPr="6408D7D1">
        <w:rPr>
          <w:rFonts w:ascii="Arial" w:hAnsi="Arial" w:cs="Arial"/>
          <w:sz w:val="24"/>
          <w:szCs w:val="24"/>
        </w:rPr>
        <w:t>The question is</w:t>
      </w:r>
      <w:r w:rsidR="00AC3D66" w:rsidRPr="6408D7D1">
        <w:rPr>
          <w:rFonts w:ascii="Arial" w:hAnsi="Arial" w:cs="Arial"/>
          <w:sz w:val="24"/>
          <w:szCs w:val="24"/>
        </w:rPr>
        <w:t xml:space="preserve"> why</w:t>
      </w:r>
      <w:r w:rsidR="6912A767" w:rsidRPr="6408D7D1">
        <w:rPr>
          <w:rFonts w:ascii="Arial" w:hAnsi="Arial" w:cs="Arial"/>
          <w:sz w:val="24"/>
          <w:szCs w:val="24"/>
        </w:rPr>
        <w:t>,</w:t>
      </w:r>
      <w:r w:rsidR="00AC3D66" w:rsidRPr="6408D7D1">
        <w:rPr>
          <w:rFonts w:ascii="Arial" w:hAnsi="Arial" w:cs="Arial"/>
          <w:sz w:val="24"/>
          <w:szCs w:val="24"/>
        </w:rPr>
        <w:t xml:space="preserve"> and what can be done? This reflective paper addresses these questions by sharing recent experience of designing and delivering a credit bearing </w:t>
      </w:r>
      <w:r w:rsidR="009B21CC" w:rsidRPr="6408D7D1">
        <w:rPr>
          <w:rFonts w:ascii="Arial" w:hAnsi="Arial" w:cs="Arial"/>
          <w:sz w:val="24"/>
          <w:szCs w:val="24"/>
        </w:rPr>
        <w:t xml:space="preserve">employability </w:t>
      </w:r>
      <w:r w:rsidR="00AC3D66" w:rsidRPr="6408D7D1">
        <w:rPr>
          <w:rFonts w:ascii="Arial" w:hAnsi="Arial" w:cs="Arial"/>
          <w:sz w:val="24"/>
          <w:szCs w:val="24"/>
        </w:rPr>
        <w:t xml:space="preserve">module. </w:t>
      </w:r>
      <w:r w:rsidR="009B21CC" w:rsidRPr="6408D7D1">
        <w:rPr>
          <w:rFonts w:ascii="Arial" w:hAnsi="Arial" w:cs="Arial"/>
          <w:sz w:val="24"/>
          <w:szCs w:val="24"/>
        </w:rPr>
        <w:t xml:space="preserve">It demonstrates </w:t>
      </w:r>
      <w:r w:rsidR="00AE4BD6">
        <w:rPr>
          <w:rFonts w:ascii="Arial" w:hAnsi="Arial" w:cs="Arial"/>
          <w:sz w:val="24"/>
          <w:szCs w:val="24"/>
        </w:rPr>
        <w:t xml:space="preserve">that </w:t>
      </w:r>
      <w:r w:rsidR="00333994">
        <w:rPr>
          <w:rFonts w:ascii="Arial" w:hAnsi="Arial" w:cs="Arial"/>
          <w:sz w:val="24"/>
          <w:szCs w:val="24"/>
        </w:rPr>
        <w:t>combined</w:t>
      </w:r>
      <w:r w:rsidR="009B21CC" w:rsidRPr="6408D7D1">
        <w:rPr>
          <w:rFonts w:ascii="Arial" w:hAnsi="Arial" w:cs="Arial"/>
          <w:sz w:val="24"/>
          <w:szCs w:val="24"/>
        </w:rPr>
        <w:t xml:space="preserve"> rewards and punishments (carrots and sticks) can successfully enhance student </w:t>
      </w:r>
      <w:r w:rsidR="00333994" w:rsidRPr="6408D7D1">
        <w:rPr>
          <w:rFonts w:ascii="Arial" w:hAnsi="Arial" w:cs="Arial"/>
          <w:sz w:val="24"/>
          <w:szCs w:val="24"/>
        </w:rPr>
        <w:t>engagement</w:t>
      </w:r>
      <w:r w:rsidR="00AE4BD6">
        <w:rPr>
          <w:rFonts w:ascii="Arial" w:hAnsi="Arial" w:cs="Arial"/>
          <w:sz w:val="24"/>
          <w:szCs w:val="24"/>
        </w:rPr>
        <w:t xml:space="preserve">. </w:t>
      </w:r>
      <w:r w:rsidR="00AE4BD6" w:rsidRPr="00C26CFE">
        <w:rPr>
          <w:rFonts w:ascii="Arial" w:hAnsi="Arial" w:cs="Arial"/>
          <w:sz w:val="24"/>
          <w:szCs w:val="24"/>
        </w:rPr>
        <w:t>We achieved</w:t>
      </w:r>
      <w:r w:rsidR="00DE0902" w:rsidRPr="00C26CFE">
        <w:rPr>
          <w:rFonts w:ascii="Arial" w:hAnsi="Arial" w:cs="Arial"/>
          <w:sz w:val="24"/>
          <w:szCs w:val="24"/>
        </w:rPr>
        <w:t xml:space="preserve"> </w:t>
      </w:r>
      <w:r w:rsidR="00C26CFE" w:rsidRPr="00C26CFE">
        <w:rPr>
          <w:rFonts w:ascii="Arial" w:hAnsi="Arial" w:cs="Arial"/>
          <w:sz w:val="24"/>
          <w:szCs w:val="24"/>
        </w:rPr>
        <w:t>98%</w:t>
      </w:r>
      <w:r w:rsidR="00393101" w:rsidRPr="005913AF">
        <w:rPr>
          <w:rFonts w:ascii="Arial" w:hAnsi="Arial" w:cs="Arial"/>
          <w:sz w:val="24"/>
          <w:szCs w:val="24"/>
        </w:rPr>
        <w:t xml:space="preserve"> attendance </w:t>
      </w:r>
      <w:r w:rsidR="00C26CFE" w:rsidRPr="005913AF">
        <w:rPr>
          <w:rFonts w:ascii="Arial" w:hAnsi="Arial" w:cs="Arial"/>
          <w:sz w:val="24"/>
          <w:szCs w:val="24"/>
        </w:rPr>
        <w:t xml:space="preserve">across all </w:t>
      </w:r>
      <w:r w:rsidR="00393101" w:rsidRPr="005913AF">
        <w:rPr>
          <w:rFonts w:ascii="Arial" w:hAnsi="Arial" w:cs="Arial"/>
          <w:sz w:val="24"/>
          <w:szCs w:val="24"/>
        </w:rPr>
        <w:t xml:space="preserve">sessions </w:t>
      </w:r>
      <w:r w:rsidR="00A517ED" w:rsidRPr="005913AF">
        <w:rPr>
          <w:rFonts w:ascii="Arial" w:hAnsi="Arial" w:cs="Arial"/>
          <w:sz w:val="24"/>
          <w:szCs w:val="24"/>
        </w:rPr>
        <w:t>and</w:t>
      </w:r>
      <w:r w:rsidR="009E3C72" w:rsidRPr="005913AF">
        <w:rPr>
          <w:rFonts w:ascii="Arial" w:hAnsi="Arial" w:cs="Arial"/>
          <w:sz w:val="24"/>
          <w:szCs w:val="24"/>
        </w:rPr>
        <w:t xml:space="preserve"> </w:t>
      </w:r>
      <w:r w:rsidR="00C26CFE" w:rsidRPr="005913AF">
        <w:rPr>
          <w:rFonts w:ascii="Arial" w:hAnsi="Arial" w:cs="Arial"/>
          <w:sz w:val="24"/>
          <w:szCs w:val="24"/>
        </w:rPr>
        <w:t xml:space="preserve">an </w:t>
      </w:r>
      <w:r w:rsidR="009E3C72" w:rsidRPr="005913AF">
        <w:rPr>
          <w:rFonts w:ascii="Arial" w:hAnsi="Arial" w:cs="Arial"/>
          <w:sz w:val="24"/>
          <w:szCs w:val="24"/>
        </w:rPr>
        <w:t xml:space="preserve">overall </w:t>
      </w:r>
      <w:r w:rsidR="00A517ED" w:rsidRPr="005913AF">
        <w:rPr>
          <w:rFonts w:ascii="Arial" w:hAnsi="Arial" w:cs="Arial"/>
          <w:sz w:val="24"/>
          <w:szCs w:val="24"/>
        </w:rPr>
        <w:t>module satisfaction score of 90%</w:t>
      </w:r>
      <w:r w:rsidR="009B21CC" w:rsidRPr="005913AF">
        <w:rPr>
          <w:rFonts w:ascii="Arial" w:hAnsi="Arial" w:cs="Arial"/>
          <w:sz w:val="24"/>
          <w:szCs w:val="24"/>
        </w:rPr>
        <w:t>.</w:t>
      </w:r>
      <w:r w:rsidR="009B21CC" w:rsidRPr="00C26CFE">
        <w:rPr>
          <w:rFonts w:ascii="Arial" w:hAnsi="Arial" w:cs="Arial"/>
          <w:sz w:val="24"/>
          <w:szCs w:val="24"/>
        </w:rPr>
        <w:t xml:space="preserve"> </w:t>
      </w:r>
      <w:r w:rsidR="00445CD6" w:rsidRPr="00C26CFE">
        <w:rPr>
          <w:rFonts w:ascii="Arial" w:hAnsi="Arial" w:cs="Arial"/>
          <w:sz w:val="24"/>
          <w:szCs w:val="24"/>
        </w:rPr>
        <w:t>Our</w:t>
      </w:r>
      <w:r w:rsidR="00445CD6">
        <w:rPr>
          <w:rFonts w:ascii="Arial" w:hAnsi="Arial" w:cs="Arial"/>
          <w:sz w:val="24"/>
          <w:szCs w:val="24"/>
        </w:rPr>
        <w:t xml:space="preserve"> paper</w:t>
      </w:r>
      <w:r w:rsidR="009B21CC" w:rsidRPr="6408D7D1">
        <w:rPr>
          <w:rFonts w:ascii="Arial" w:hAnsi="Arial" w:cs="Arial"/>
          <w:sz w:val="24"/>
          <w:szCs w:val="24"/>
        </w:rPr>
        <w:t xml:space="preserve"> benefits academics, career practitioners and higher education institutions</w:t>
      </w:r>
      <w:r w:rsidR="008B582C">
        <w:rPr>
          <w:rFonts w:ascii="Arial" w:hAnsi="Arial" w:cs="Arial"/>
          <w:sz w:val="24"/>
          <w:szCs w:val="24"/>
        </w:rPr>
        <w:t xml:space="preserve"> (HEI</w:t>
      </w:r>
      <w:r w:rsidR="0011425B">
        <w:rPr>
          <w:rFonts w:ascii="Arial" w:hAnsi="Arial" w:cs="Arial"/>
          <w:sz w:val="24"/>
          <w:szCs w:val="24"/>
        </w:rPr>
        <w:t>s)</w:t>
      </w:r>
      <w:r w:rsidR="009B21CC" w:rsidRPr="6408D7D1">
        <w:rPr>
          <w:rFonts w:ascii="Arial" w:hAnsi="Arial" w:cs="Arial"/>
          <w:sz w:val="24"/>
          <w:szCs w:val="24"/>
        </w:rPr>
        <w:t xml:space="preserve"> by offering practical solutions </w:t>
      </w:r>
      <w:r w:rsidR="00A517ED">
        <w:rPr>
          <w:rFonts w:ascii="Arial" w:hAnsi="Arial" w:cs="Arial"/>
          <w:sz w:val="24"/>
          <w:szCs w:val="24"/>
        </w:rPr>
        <w:t>which</w:t>
      </w:r>
      <w:r w:rsidR="009B21CC" w:rsidRPr="6408D7D1">
        <w:rPr>
          <w:rFonts w:ascii="Arial" w:hAnsi="Arial" w:cs="Arial"/>
          <w:sz w:val="24"/>
          <w:szCs w:val="24"/>
        </w:rPr>
        <w:t xml:space="preserve"> can be scaled and transferred across disciplines, institutions and learning contexts. </w:t>
      </w:r>
    </w:p>
    <w:p w14:paraId="232C2377" w14:textId="6E01C949" w:rsidR="001C6FEC" w:rsidRPr="003A20C9" w:rsidRDefault="003A20C9">
      <w:pPr>
        <w:rPr>
          <w:rFonts w:ascii="Arial" w:hAnsi="Arial" w:cs="Arial"/>
          <w:bCs/>
          <w:sz w:val="24"/>
          <w:szCs w:val="24"/>
        </w:rPr>
      </w:pPr>
      <w:r w:rsidRPr="003A20C9">
        <w:rPr>
          <w:rFonts w:ascii="Arial" w:hAnsi="Arial" w:cs="Arial"/>
          <w:bCs/>
          <w:sz w:val="24"/>
          <w:szCs w:val="24"/>
        </w:rPr>
        <w:t xml:space="preserve">Keywords: career learning; student engagement; employability; </w:t>
      </w:r>
      <w:r w:rsidR="00B94896">
        <w:rPr>
          <w:rFonts w:ascii="Arial" w:hAnsi="Arial" w:cs="Arial"/>
          <w:bCs/>
          <w:sz w:val="24"/>
          <w:szCs w:val="24"/>
        </w:rPr>
        <w:t xml:space="preserve">module design; </w:t>
      </w:r>
      <w:r w:rsidRPr="003A20C9">
        <w:rPr>
          <w:rFonts w:ascii="Arial" w:hAnsi="Arial" w:cs="Arial"/>
          <w:bCs/>
          <w:sz w:val="24"/>
          <w:szCs w:val="24"/>
        </w:rPr>
        <w:t>assessment.</w:t>
      </w:r>
    </w:p>
    <w:p w14:paraId="7B9B5B54" w14:textId="3129EFF1" w:rsidR="00C26CFE" w:rsidRDefault="001C6FEC" w:rsidP="522673A2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  <w:bookmarkStart w:id="1" w:name="Row_3_Introduction"/>
      <w:r w:rsidRPr="003A20C9">
        <w:rPr>
          <w:rFonts w:ascii="Arial" w:hAnsi="Arial" w:cs="Arial"/>
          <w:b/>
          <w:sz w:val="24"/>
          <w:szCs w:val="24"/>
        </w:rPr>
        <w:t>Introduction</w:t>
      </w:r>
      <w:bookmarkEnd w:id="1"/>
      <w:r w:rsidRPr="003A20C9">
        <w:rPr>
          <w:rFonts w:ascii="Arial" w:hAnsi="Arial" w:cs="Arial"/>
          <w:b/>
          <w:sz w:val="24"/>
          <w:szCs w:val="24"/>
        </w:rPr>
        <w:t xml:space="preserve"> </w:t>
      </w:r>
    </w:p>
    <w:p w14:paraId="045CEE06" w14:textId="6C1DF077" w:rsidR="006D6CC9" w:rsidRDefault="00C26CFE" w:rsidP="522673A2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While working at </w:t>
      </w:r>
      <w:r w:rsidR="005F2D83">
        <w:rPr>
          <w:rFonts w:ascii="Arial" w:hAnsi="Arial" w:cs="Arial"/>
          <w:sz w:val="24"/>
          <w:szCs w:val="24"/>
        </w:rPr>
        <w:t>university</w:t>
      </w:r>
      <w:r>
        <w:rPr>
          <w:rFonts w:ascii="Arial" w:hAnsi="Arial" w:cs="Arial"/>
          <w:sz w:val="24"/>
          <w:szCs w:val="24"/>
        </w:rPr>
        <w:t xml:space="preserve"> recruitment events, we have found that students and their parents are i</w:t>
      </w:r>
      <w:r w:rsidRPr="6408D7D1">
        <w:rPr>
          <w:rFonts w:ascii="Arial" w:hAnsi="Arial" w:cs="Arial"/>
          <w:sz w:val="24"/>
          <w:szCs w:val="24"/>
        </w:rPr>
        <w:t>ncreasingly concerned about securing graduate level wor</w:t>
      </w:r>
      <w:r>
        <w:rPr>
          <w:rFonts w:ascii="Arial" w:hAnsi="Arial" w:cs="Arial"/>
          <w:sz w:val="24"/>
          <w:szCs w:val="24"/>
        </w:rPr>
        <w:t>k after graduation</w:t>
      </w:r>
      <w:r w:rsidR="00D10895">
        <w:rPr>
          <w:rFonts w:ascii="Arial" w:hAnsi="Arial" w:cs="Arial"/>
          <w:sz w:val="24"/>
          <w:szCs w:val="24"/>
        </w:rPr>
        <w:t xml:space="preserve"> and how universities support this</w:t>
      </w:r>
      <w:r w:rsidR="00401278">
        <w:rPr>
          <w:rFonts w:ascii="Arial" w:hAnsi="Arial" w:cs="Arial"/>
          <w:sz w:val="24"/>
          <w:szCs w:val="24"/>
        </w:rPr>
        <w:t xml:space="preserve"> goal</w:t>
      </w:r>
      <w:r w:rsidR="00D1089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This trend has also been recognised </w:t>
      </w:r>
      <w:r w:rsidR="008B188E">
        <w:rPr>
          <w:rFonts w:ascii="Arial" w:hAnsi="Arial" w:cs="Arial"/>
          <w:sz w:val="24"/>
          <w:szCs w:val="24"/>
        </w:rPr>
        <w:t>within</w:t>
      </w:r>
      <w:r>
        <w:rPr>
          <w:rFonts w:ascii="Arial" w:hAnsi="Arial" w:cs="Arial"/>
          <w:sz w:val="24"/>
          <w:szCs w:val="24"/>
        </w:rPr>
        <w:t xml:space="preserve"> </w:t>
      </w:r>
      <w:r w:rsidR="000715CA">
        <w:rPr>
          <w:rFonts w:ascii="Arial" w:hAnsi="Arial" w:cs="Arial"/>
          <w:sz w:val="24"/>
          <w:szCs w:val="24"/>
        </w:rPr>
        <w:t>our</w:t>
      </w:r>
      <w:r>
        <w:rPr>
          <w:rFonts w:ascii="Arial" w:hAnsi="Arial" w:cs="Arial"/>
          <w:sz w:val="24"/>
          <w:szCs w:val="24"/>
        </w:rPr>
        <w:t xml:space="preserve"> wider university community. </w:t>
      </w:r>
      <w:r w:rsidR="00D10895">
        <w:rPr>
          <w:rFonts w:ascii="Arial" w:hAnsi="Arial" w:cs="Arial"/>
          <w:sz w:val="24"/>
          <w:szCs w:val="24"/>
        </w:rPr>
        <w:t xml:space="preserve">Moreover, alongside key factors such as </w:t>
      </w:r>
      <w:r w:rsidR="00D10895" w:rsidRPr="6408D7D1">
        <w:rPr>
          <w:rFonts w:ascii="Arial" w:hAnsi="Arial" w:cs="Arial"/>
          <w:sz w:val="24"/>
          <w:szCs w:val="24"/>
        </w:rPr>
        <w:t>published league tables</w:t>
      </w:r>
      <w:r w:rsidR="00D10895">
        <w:rPr>
          <w:rFonts w:ascii="Arial" w:hAnsi="Arial" w:cs="Arial"/>
          <w:sz w:val="24"/>
          <w:szCs w:val="24"/>
        </w:rPr>
        <w:t>, geographical proximity and cost, the selection of u</w:t>
      </w:r>
      <w:r w:rsidR="00D10895" w:rsidRPr="6408D7D1">
        <w:rPr>
          <w:rFonts w:ascii="Arial" w:hAnsi="Arial" w:cs="Arial"/>
          <w:sz w:val="24"/>
          <w:szCs w:val="24"/>
        </w:rPr>
        <w:t>niversities, courses and modules is often informed</w:t>
      </w:r>
      <w:r w:rsidR="00D10895">
        <w:rPr>
          <w:rFonts w:ascii="Arial" w:hAnsi="Arial" w:cs="Arial"/>
          <w:sz w:val="24"/>
          <w:szCs w:val="24"/>
        </w:rPr>
        <w:t xml:space="preserve"> by </w:t>
      </w:r>
      <w:r w:rsidR="00D10895" w:rsidRPr="6408D7D1">
        <w:rPr>
          <w:rFonts w:ascii="Arial" w:hAnsi="Arial" w:cs="Arial"/>
          <w:sz w:val="24"/>
          <w:szCs w:val="24"/>
        </w:rPr>
        <w:t>employability rankings</w:t>
      </w:r>
      <w:r w:rsidR="00D10895">
        <w:rPr>
          <w:rFonts w:ascii="Arial" w:hAnsi="Arial" w:cs="Arial"/>
          <w:sz w:val="24"/>
          <w:szCs w:val="24"/>
        </w:rPr>
        <w:t xml:space="preserve"> (Times Higher Education, 2017). </w:t>
      </w:r>
      <w:r w:rsidR="00B94896" w:rsidRPr="522673A2">
        <w:rPr>
          <w:rFonts w:ascii="Arial" w:hAnsi="Arial" w:cs="Arial"/>
          <w:sz w:val="24"/>
          <w:szCs w:val="24"/>
        </w:rPr>
        <w:t xml:space="preserve">As a result, </w:t>
      </w:r>
      <w:r w:rsidR="002B11C5">
        <w:rPr>
          <w:rFonts w:ascii="Arial" w:hAnsi="Arial" w:cs="Arial"/>
          <w:sz w:val="24"/>
          <w:szCs w:val="24"/>
        </w:rPr>
        <w:t>there is increased pressure upon universities</w:t>
      </w:r>
      <w:r w:rsidR="00B94896" w:rsidRPr="522673A2">
        <w:rPr>
          <w:rFonts w:ascii="Arial" w:hAnsi="Arial" w:cs="Arial"/>
          <w:sz w:val="24"/>
          <w:szCs w:val="24"/>
        </w:rPr>
        <w:t xml:space="preserve"> to </w:t>
      </w:r>
      <w:r w:rsidR="00B165AB">
        <w:rPr>
          <w:rFonts w:ascii="Arial" w:hAnsi="Arial" w:cs="Arial"/>
          <w:sz w:val="24"/>
          <w:szCs w:val="24"/>
        </w:rPr>
        <w:t>deliver</w:t>
      </w:r>
      <w:r w:rsidR="00B94896" w:rsidRPr="522673A2">
        <w:rPr>
          <w:rFonts w:ascii="Arial" w:hAnsi="Arial" w:cs="Arial"/>
          <w:sz w:val="24"/>
          <w:szCs w:val="24"/>
        </w:rPr>
        <w:t xml:space="preserve"> </w:t>
      </w:r>
      <w:r w:rsidR="00B13823" w:rsidRPr="522673A2">
        <w:rPr>
          <w:rFonts w:ascii="Arial" w:hAnsi="Arial" w:cs="Arial"/>
          <w:sz w:val="24"/>
          <w:szCs w:val="24"/>
        </w:rPr>
        <w:t xml:space="preserve">a comprehensive </w:t>
      </w:r>
      <w:r w:rsidR="00B94896" w:rsidRPr="522673A2">
        <w:rPr>
          <w:rFonts w:ascii="Arial" w:hAnsi="Arial" w:cs="Arial"/>
          <w:sz w:val="24"/>
          <w:szCs w:val="24"/>
        </w:rPr>
        <w:t xml:space="preserve">and effective </w:t>
      </w:r>
      <w:r w:rsidR="00B13823" w:rsidRPr="522673A2">
        <w:rPr>
          <w:rFonts w:ascii="Arial" w:hAnsi="Arial" w:cs="Arial"/>
          <w:sz w:val="24"/>
          <w:szCs w:val="24"/>
        </w:rPr>
        <w:t xml:space="preserve">offer </w:t>
      </w:r>
      <w:r w:rsidR="000C0A84">
        <w:rPr>
          <w:rFonts w:ascii="Arial" w:hAnsi="Arial" w:cs="Arial"/>
          <w:sz w:val="24"/>
          <w:szCs w:val="24"/>
        </w:rPr>
        <w:t>assisting</w:t>
      </w:r>
      <w:r w:rsidR="005B5177">
        <w:rPr>
          <w:rFonts w:ascii="Arial" w:hAnsi="Arial" w:cs="Arial"/>
          <w:sz w:val="24"/>
          <w:szCs w:val="24"/>
        </w:rPr>
        <w:t xml:space="preserve"> </w:t>
      </w:r>
      <w:r w:rsidR="00B13823" w:rsidRPr="522673A2">
        <w:rPr>
          <w:rFonts w:ascii="Arial" w:hAnsi="Arial" w:cs="Arial"/>
          <w:sz w:val="24"/>
          <w:szCs w:val="24"/>
        </w:rPr>
        <w:t xml:space="preserve">students </w:t>
      </w:r>
      <w:r w:rsidR="000C0A84">
        <w:rPr>
          <w:rFonts w:ascii="Arial" w:hAnsi="Arial" w:cs="Arial"/>
          <w:sz w:val="24"/>
          <w:szCs w:val="24"/>
        </w:rPr>
        <w:t xml:space="preserve">to </w:t>
      </w:r>
      <w:r w:rsidR="00601BB5" w:rsidRPr="522673A2">
        <w:rPr>
          <w:rFonts w:ascii="Arial" w:hAnsi="Arial" w:cs="Arial"/>
          <w:sz w:val="24"/>
          <w:szCs w:val="24"/>
        </w:rPr>
        <w:t xml:space="preserve">develop skills, gain </w:t>
      </w:r>
      <w:r w:rsidR="000C0A84">
        <w:rPr>
          <w:rFonts w:ascii="Arial" w:hAnsi="Arial" w:cs="Arial"/>
          <w:sz w:val="24"/>
          <w:szCs w:val="24"/>
        </w:rPr>
        <w:t xml:space="preserve">work-related </w:t>
      </w:r>
      <w:r w:rsidR="00D75B07" w:rsidRPr="522673A2">
        <w:rPr>
          <w:rFonts w:ascii="Arial" w:hAnsi="Arial" w:cs="Arial"/>
          <w:sz w:val="24"/>
          <w:szCs w:val="24"/>
        </w:rPr>
        <w:t>experience,</w:t>
      </w:r>
      <w:r w:rsidR="00601BB5" w:rsidRPr="522673A2">
        <w:rPr>
          <w:rFonts w:ascii="Arial" w:hAnsi="Arial" w:cs="Arial"/>
          <w:sz w:val="24"/>
          <w:szCs w:val="24"/>
        </w:rPr>
        <w:t xml:space="preserve"> and </w:t>
      </w:r>
      <w:r w:rsidR="00FC74A6" w:rsidRPr="522673A2">
        <w:rPr>
          <w:rFonts w:ascii="Arial" w:hAnsi="Arial" w:cs="Arial"/>
          <w:sz w:val="24"/>
          <w:szCs w:val="24"/>
        </w:rPr>
        <w:t xml:space="preserve">secure </w:t>
      </w:r>
      <w:r w:rsidR="00601BB5" w:rsidRPr="522673A2">
        <w:rPr>
          <w:rFonts w:ascii="Arial" w:hAnsi="Arial" w:cs="Arial"/>
          <w:sz w:val="24"/>
          <w:szCs w:val="24"/>
        </w:rPr>
        <w:t xml:space="preserve">desirable jobs. </w:t>
      </w:r>
      <w:r w:rsidR="00E21B94">
        <w:rPr>
          <w:rFonts w:ascii="Arial" w:hAnsi="Arial" w:cs="Arial"/>
          <w:sz w:val="24"/>
          <w:szCs w:val="24"/>
        </w:rPr>
        <w:t>U</w:t>
      </w:r>
      <w:r w:rsidR="001B34AD">
        <w:rPr>
          <w:rFonts w:ascii="Arial" w:hAnsi="Arial" w:cs="Arial"/>
          <w:sz w:val="24"/>
          <w:szCs w:val="24"/>
        </w:rPr>
        <w:t>niversities</w:t>
      </w:r>
      <w:r w:rsidR="007810A8">
        <w:rPr>
          <w:rFonts w:ascii="Arial" w:hAnsi="Arial" w:cs="Arial"/>
          <w:sz w:val="24"/>
          <w:szCs w:val="24"/>
        </w:rPr>
        <w:t xml:space="preserve"> </w:t>
      </w:r>
      <w:r w:rsidR="000C0A84">
        <w:rPr>
          <w:rFonts w:ascii="Arial" w:hAnsi="Arial" w:cs="Arial"/>
          <w:sz w:val="24"/>
          <w:szCs w:val="24"/>
        </w:rPr>
        <w:t xml:space="preserve">also </w:t>
      </w:r>
      <w:r w:rsidR="00625B50">
        <w:rPr>
          <w:rFonts w:ascii="Arial" w:hAnsi="Arial" w:cs="Arial"/>
          <w:sz w:val="24"/>
          <w:szCs w:val="24"/>
        </w:rPr>
        <w:t xml:space="preserve">increasingly </w:t>
      </w:r>
      <w:r w:rsidR="000C0A84">
        <w:rPr>
          <w:rFonts w:ascii="Arial" w:hAnsi="Arial" w:cs="Arial"/>
          <w:sz w:val="24"/>
          <w:szCs w:val="24"/>
        </w:rPr>
        <w:t>target</w:t>
      </w:r>
      <w:r w:rsidR="00E02B4C">
        <w:rPr>
          <w:rFonts w:ascii="Arial" w:hAnsi="Arial" w:cs="Arial"/>
          <w:sz w:val="24"/>
          <w:szCs w:val="24"/>
        </w:rPr>
        <w:t xml:space="preserve"> embedding</w:t>
      </w:r>
      <w:r w:rsidR="002C0ECC" w:rsidRPr="522673A2">
        <w:rPr>
          <w:rFonts w:ascii="Arial" w:hAnsi="Arial" w:cs="Arial"/>
          <w:sz w:val="24"/>
          <w:szCs w:val="24"/>
        </w:rPr>
        <w:t xml:space="preserve"> careers and employability into university teaching and learning </w:t>
      </w:r>
      <w:r w:rsidR="00222BDA">
        <w:rPr>
          <w:rFonts w:ascii="Arial" w:hAnsi="Arial" w:cs="Arial"/>
          <w:sz w:val="24"/>
          <w:szCs w:val="24"/>
        </w:rPr>
        <w:t>curricula,</w:t>
      </w:r>
      <w:r w:rsidR="00013E91">
        <w:rPr>
          <w:rFonts w:ascii="Arial" w:hAnsi="Arial" w:cs="Arial"/>
          <w:sz w:val="24"/>
          <w:szCs w:val="24"/>
        </w:rPr>
        <w:t xml:space="preserve"> with </w:t>
      </w:r>
      <w:r w:rsidR="000C0A84">
        <w:rPr>
          <w:rFonts w:ascii="Arial" w:hAnsi="Arial" w:cs="Arial"/>
          <w:sz w:val="24"/>
          <w:szCs w:val="24"/>
        </w:rPr>
        <w:t>the</w:t>
      </w:r>
      <w:r w:rsidR="00013E91">
        <w:rPr>
          <w:rFonts w:ascii="Arial" w:hAnsi="Arial" w:cs="Arial"/>
          <w:sz w:val="24"/>
          <w:szCs w:val="24"/>
        </w:rPr>
        <w:t xml:space="preserve"> </w:t>
      </w:r>
      <w:r w:rsidR="00222BDA">
        <w:rPr>
          <w:rFonts w:ascii="Arial" w:hAnsi="Arial" w:cs="Arial"/>
          <w:sz w:val="24"/>
          <w:szCs w:val="24"/>
        </w:rPr>
        <w:t>aim</w:t>
      </w:r>
      <w:r w:rsidR="00013E91">
        <w:rPr>
          <w:rFonts w:ascii="Arial" w:hAnsi="Arial" w:cs="Arial"/>
          <w:sz w:val="24"/>
          <w:szCs w:val="24"/>
        </w:rPr>
        <w:t xml:space="preserve"> </w:t>
      </w:r>
      <w:r w:rsidR="00222BDA">
        <w:rPr>
          <w:rFonts w:ascii="Arial" w:hAnsi="Arial" w:cs="Arial"/>
          <w:sz w:val="24"/>
          <w:szCs w:val="24"/>
        </w:rPr>
        <w:t>of</w:t>
      </w:r>
      <w:r w:rsidR="00013E91">
        <w:rPr>
          <w:rFonts w:ascii="Arial" w:hAnsi="Arial" w:cs="Arial"/>
          <w:sz w:val="24"/>
          <w:szCs w:val="24"/>
        </w:rPr>
        <w:t xml:space="preserve"> imp</w:t>
      </w:r>
      <w:r w:rsidR="007810A8">
        <w:rPr>
          <w:rFonts w:ascii="Arial" w:hAnsi="Arial" w:cs="Arial"/>
          <w:sz w:val="24"/>
          <w:szCs w:val="24"/>
        </w:rPr>
        <w:t>rov</w:t>
      </w:r>
      <w:r w:rsidR="00222BDA">
        <w:rPr>
          <w:rFonts w:ascii="Arial" w:hAnsi="Arial" w:cs="Arial"/>
          <w:sz w:val="24"/>
          <w:szCs w:val="24"/>
        </w:rPr>
        <w:t>ing</w:t>
      </w:r>
      <w:r w:rsidR="002C0ECC" w:rsidRPr="522673A2">
        <w:rPr>
          <w:rFonts w:ascii="Arial" w:hAnsi="Arial" w:cs="Arial"/>
          <w:sz w:val="24"/>
          <w:szCs w:val="24"/>
        </w:rPr>
        <w:t xml:space="preserve"> overall graduate outcomes</w:t>
      </w:r>
      <w:r w:rsidR="00D00A19">
        <w:rPr>
          <w:rFonts w:ascii="Arial" w:hAnsi="Arial" w:cs="Arial"/>
          <w:sz w:val="24"/>
          <w:szCs w:val="24"/>
        </w:rPr>
        <w:t xml:space="preserve"> </w:t>
      </w:r>
      <w:r w:rsidR="002C0ECC" w:rsidRPr="522673A2">
        <w:rPr>
          <w:rFonts w:ascii="Arial" w:hAnsi="Arial" w:cs="Arial"/>
          <w:sz w:val="24"/>
          <w:szCs w:val="24"/>
        </w:rPr>
        <w:t>(</w:t>
      </w:r>
      <w:r w:rsidR="00013B8F">
        <w:rPr>
          <w:rFonts w:ascii="Arial" w:hAnsi="Arial" w:cs="Arial"/>
          <w:sz w:val="24"/>
          <w:szCs w:val="24"/>
        </w:rPr>
        <w:t xml:space="preserve">Bradley et. </w:t>
      </w:r>
      <w:r w:rsidR="0064733A">
        <w:rPr>
          <w:rFonts w:ascii="Arial" w:hAnsi="Arial" w:cs="Arial"/>
          <w:sz w:val="24"/>
          <w:szCs w:val="24"/>
        </w:rPr>
        <w:t>a</w:t>
      </w:r>
      <w:r w:rsidR="00013B8F">
        <w:rPr>
          <w:rFonts w:ascii="Arial" w:hAnsi="Arial" w:cs="Arial"/>
          <w:sz w:val="24"/>
          <w:szCs w:val="24"/>
        </w:rPr>
        <w:t>l.</w:t>
      </w:r>
      <w:r w:rsidR="005F2D83">
        <w:rPr>
          <w:rFonts w:ascii="Arial" w:hAnsi="Arial" w:cs="Arial"/>
          <w:sz w:val="24"/>
          <w:szCs w:val="24"/>
        </w:rPr>
        <w:t xml:space="preserve"> </w:t>
      </w:r>
      <w:r w:rsidR="0064733A">
        <w:rPr>
          <w:rFonts w:ascii="Arial" w:hAnsi="Arial" w:cs="Arial"/>
          <w:sz w:val="24"/>
          <w:szCs w:val="24"/>
        </w:rPr>
        <w:t>2021</w:t>
      </w:r>
      <w:r w:rsidR="002C0ECC" w:rsidRPr="522673A2">
        <w:rPr>
          <w:rFonts w:ascii="Arial" w:hAnsi="Arial" w:cs="Arial"/>
          <w:sz w:val="24"/>
          <w:szCs w:val="24"/>
        </w:rPr>
        <w:t xml:space="preserve">), </w:t>
      </w:r>
      <w:r w:rsidR="00A91E34" w:rsidRPr="522673A2">
        <w:rPr>
          <w:rFonts w:ascii="Arial" w:hAnsi="Arial" w:cs="Arial"/>
          <w:sz w:val="24"/>
          <w:szCs w:val="24"/>
        </w:rPr>
        <w:t xml:space="preserve">together </w:t>
      </w:r>
      <w:r w:rsidR="002C0ECC" w:rsidRPr="522673A2">
        <w:rPr>
          <w:rFonts w:ascii="Arial" w:hAnsi="Arial" w:cs="Arial"/>
          <w:sz w:val="24"/>
          <w:szCs w:val="24"/>
        </w:rPr>
        <w:t xml:space="preserve">with an associated increase in performance measures, indicators and metrics </w:t>
      </w:r>
      <w:r w:rsidR="00101DB7" w:rsidRPr="522673A2">
        <w:rPr>
          <w:rFonts w:ascii="Arial" w:hAnsi="Arial" w:cs="Arial"/>
          <w:sz w:val="24"/>
          <w:szCs w:val="24"/>
        </w:rPr>
        <w:t>related</w:t>
      </w:r>
      <w:r w:rsidR="002C0ECC" w:rsidRPr="522673A2">
        <w:rPr>
          <w:rFonts w:ascii="Arial" w:hAnsi="Arial" w:cs="Arial"/>
          <w:sz w:val="24"/>
          <w:szCs w:val="24"/>
        </w:rPr>
        <w:t xml:space="preserve"> to careers and employability</w:t>
      </w:r>
      <w:r w:rsidR="002453A2">
        <w:rPr>
          <w:rFonts w:ascii="Arial" w:hAnsi="Arial" w:cs="Arial"/>
          <w:sz w:val="24"/>
          <w:szCs w:val="24"/>
        </w:rPr>
        <w:t>. These</w:t>
      </w:r>
      <w:r w:rsidR="00EA1CF7">
        <w:rPr>
          <w:rFonts w:ascii="Arial" w:hAnsi="Arial" w:cs="Arial"/>
          <w:sz w:val="24"/>
          <w:szCs w:val="24"/>
        </w:rPr>
        <w:t xml:space="preserve"> measures</w:t>
      </w:r>
      <w:r w:rsidR="002453A2">
        <w:rPr>
          <w:rFonts w:ascii="Arial" w:hAnsi="Arial" w:cs="Arial"/>
          <w:sz w:val="24"/>
          <w:szCs w:val="24"/>
        </w:rPr>
        <w:t xml:space="preserve"> include </w:t>
      </w:r>
      <w:r w:rsidR="00493C9C">
        <w:rPr>
          <w:rFonts w:ascii="Arial" w:hAnsi="Arial" w:cs="Arial"/>
          <w:sz w:val="24"/>
          <w:szCs w:val="24"/>
        </w:rPr>
        <w:t xml:space="preserve">the development of the Teaching Excellence Framework, the Graduate Outcomes </w:t>
      </w:r>
      <w:r w:rsidR="00493C9C">
        <w:rPr>
          <w:rFonts w:ascii="Arial" w:hAnsi="Arial" w:cs="Arial"/>
          <w:sz w:val="24"/>
          <w:szCs w:val="24"/>
        </w:rPr>
        <w:lastRenderedPageBreak/>
        <w:t xml:space="preserve">survey and the tracking of graduate salaries through the Longitudinal </w:t>
      </w:r>
      <w:r w:rsidR="002453A2">
        <w:rPr>
          <w:rFonts w:ascii="Arial" w:hAnsi="Arial" w:cs="Arial"/>
          <w:sz w:val="24"/>
          <w:szCs w:val="24"/>
        </w:rPr>
        <w:t>Educational Outcomes dataset (HEPI</w:t>
      </w:r>
      <w:r w:rsidR="00B26159">
        <w:rPr>
          <w:rFonts w:ascii="Arial" w:hAnsi="Arial" w:cs="Arial"/>
          <w:sz w:val="24"/>
          <w:szCs w:val="24"/>
        </w:rPr>
        <w:t xml:space="preserve"> 2020)</w:t>
      </w:r>
      <w:r w:rsidR="002453A2">
        <w:rPr>
          <w:rFonts w:ascii="Arial" w:hAnsi="Arial" w:cs="Arial"/>
          <w:sz w:val="24"/>
          <w:szCs w:val="24"/>
        </w:rPr>
        <w:t>.</w:t>
      </w:r>
      <w:r w:rsidR="003A1E62" w:rsidRPr="522673A2">
        <w:rPr>
          <w:rFonts w:ascii="Arial" w:hAnsi="Arial" w:cs="Arial"/>
          <w:sz w:val="24"/>
          <w:szCs w:val="24"/>
        </w:rPr>
        <w:t xml:space="preserve"> </w:t>
      </w:r>
    </w:p>
    <w:p w14:paraId="170C07AF" w14:textId="2AAEEA4D" w:rsidR="00B32955" w:rsidRDefault="009A4700" w:rsidP="001F681F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8E715F" w:rsidRPr="6408D7D1">
        <w:rPr>
          <w:rFonts w:ascii="Arial" w:hAnsi="Arial" w:cs="Arial"/>
          <w:sz w:val="24"/>
          <w:szCs w:val="24"/>
        </w:rPr>
        <w:t xml:space="preserve">espite </w:t>
      </w:r>
      <w:r w:rsidR="0007277D">
        <w:rPr>
          <w:rFonts w:ascii="Arial" w:hAnsi="Arial" w:cs="Arial"/>
          <w:sz w:val="24"/>
          <w:szCs w:val="24"/>
        </w:rPr>
        <w:t xml:space="preserve">the stated importance of </w:t>
      </w:r>
      <w:r w:rsidR="009B622B">
        <w:rPr>
          <w:rFonts w:ascii="Arial" w:hAnsi="Arial" w:cs="Arial"/>
          <w:sz w:val="24"/>
          <w:szCs w:val="24"/>
        </w:rPr>
        <w:t>employability</w:t>
      </w:r>
      <w:r w:rsidR="0007277D">
        <w:rPr>
          <w:rFonts w:ascii="Arial" w:hAnsi="Arial" w:cs="Arial"/>
          <w:sz w:val="24"/>
          <w:szCs w:val="24"/>
        </w:rPr>
        <w:t xml:space="preserve"> </w:t>
      </w:r>
      <w:r w:rsidR="008E715F" w:rsidRPr="6408D7D1">
        <w:rPr>
          <w:rFonts w:ascii="Arial" w:hAnsi="Arial" w:cs="Arial"/>
          <w:sz w:val="24"/>
          <w:szCs w:val="24"/>
        </w:rPr>
        <w:t xml:space="preserve">by students </w:t>
      </w:r>
      <w:r w:rsidR="009F6214">
        <w:rPr>
          <w:rFonts w:ascii="Arial" w:hAnsi="Arial" w:cs="Arial"/>
          <w:sz w:val="24"/>
          <w:szCs w:val="24"/>
        </w:rPr>
        <w:t>a</w:t>
      </w:r>
      <w:r w:rsidR="008E715F" w:rsidRPr="6408D7D1">
        <w:rPr>
          <w:rFonts w:ascii="Arial" w:hAnsi="Arial" w:cs="Arial"/>
          <w:sz w:val="24"/>
          <w:szCs w:val="24"/>
        </w:rPr>
        <w:t xml:space="preserve">nd </w:t>
      </w:r>
      <w:r w:rsidR="0007277D">
        <w:rPr>
          <w:rFonts w:ascii="Arial" w:hAnsi="Arial" w:cs="Arial"/>
          <w:sz w:val="24"/>
          <w:szCs w:val="24"/>
        </w:rPr>
        <w:t xml:space="preserve">a </w:t>
      </w:r>
      <w:r w:rsidR="008E715F" w:rsidRPr="6408D7D1">
        <w:rPr>
          <w:rFonts w:ascii="Arial" w:hAnsi="Arial" w:cs="Arial"/>
          <w:sz w:val="24"/>
          <w:szCs w:val="24"/>
        </w:rPr>
        <w:t xml:space="preserve">corresponding increase </w:t>
      </w:r>
      <w:r w:rsidR="00C56463" w:rsidRPr="6408D7D1">
        <w:rPr>
          <w:rFonts w:ascii="Arial" w:hAnsi="Arial" w:cs="Arial"/>
          <w:sz w:val="24"/>
          <w:szCs w:val="24"/>
        </w:rPr>
        <w:t>in</w:t>
      </w:r>
      <w:r w:rsidR="008E715F" w:rsidRPr="6408D7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both </w:t>
      </w:r>
      <w:r w:rsidR="008E715F" w:rsidRPr="6408D7D1">
        <w:rPr>
          <w:rFonts w:ascii="Arial" w:hAnsi="Arial" w:cs="Arial"/>
          <w:sz w:val="24"/>
          <w:szCs w:val="24"/>
        </w:rPr>
        <w:t xml:space="preserve">profile and provision of career-related supports </w:t>
      </w:r>
      <w:r w:rsidR="001F079B" w:rsidRPr="6408D7D1">
        <w:rPr>
          <w:rFonts w:ascii="Arial" w:hAnsi="Arial" w:cs="Arial"/>
          <w:sz w:val="24"/>
          <w:szCs w:val="24"/>
        </w:rPr>
        <w:t>and</w:t>
      </w:r>
      <w:r w:rsidR="008E715F" w:rsidRPr="6408D7D1">
        <w:rPr>
          <w:rFonts w:ascii="Arial" w:hAnsi="Arial" w:cs="Arial"/>
          <w:sz w:val="24"/>
          <w:szCs w:val="24"/>
        </w:rPr>
        <w:t xml:space="preserve"> services within </w:t>
      </w:r>
      <w:r w:rsidR="00AB6AB3" w:rsidRPr="6408D7D1">
        <w:rPr>
          <w:rFonts w:ascii="Arial" w:hAnsi="Arial" w:cs="Arial"/>
          <w:sz w:val="24"/>
          <w:szCs w:val="24"/>
        </w:rPr>
        <w:t xml:space="preserve">UK </w:t>
      </w:r>
      <w:r w:rsidR="008E715F" w:rsidRPr="6408D7D1">
        <w:rPr>
          <w:rFonts w:ascii="Arial" w:hAnsi="Arial" w:cs="Arial"/>
          <w:sz w:val="24"/>
          <w:szCs w:val="24"/>
        </w:rPr>
        <w:t>universities</w:t>
      </w:r>
      <w:r w:rsidR="001F079B" w:rsidRPr="6408D7D1">
        <w:rPr>
          <w:rFonts w:ascii="Arial" w:hAnsi="Arial" w:cs="Arial"/>
          <w:sz w:val="24"/>
          <w:szCs w:val="24"/>
        </w:rPr>
        <w:t>,</w:t>
      </w:r>
      <w:r w:rsidR="008E715F" w:rsidRPr="6408D7D1">
        <w:rPr>
          <w:rFonts w:ascii="Arial" w:hAnsi="Arial" w:cs="Arial"/>
          <w:sz w:val="24"/>
          <w:szCs w:val="24"/>
        </w:rPr>
        <w:t xml:space="preserve"> student engagement remains relatively low</w:t>
      </w:r>
      <w:r w:rsidR="00007FFC">
        <w:rPr>
          <w:rFonts w:ascii="Arial" w:hAnsi="Arial" w:cs="Arial"/>
          <w:sz w:val="24"/>
          <w:szCs w:val="24"/>
        </w:rPr>
        <w:t xml:space="preserve">. Recent </w:t>
      </w:r>
      <w:r w:rsidR="008E715F" w:rsidRPr="6408D7D1">
        <w:rPr>
          <w:rFonts w:ascii="Arial" w:hAnsi="Arial" w:cs="Arial"/>
          <w:sz w:val="24"/>
          <w:szCs w:val="24"/>
        </w:rPr>
        <w:t xml:space="preserve">research by the </w:t>
      </w:r>
      <w:r w:rsidR="003A50E2" w:rsidRPr="6408D7D1">
        <w:rPr>
          <w:rFonts w:ascii="Arial" w:hAnsi="Arial" w:cs="Arial"/>
          <w:sz w:val="24"/>
          <w:szCs w:val="24"/>
        </w:rPr>
        <w:t xml:space="preserve">Association of Graduate Careers Advisory </w:t>
      </w:r>
      <w:r w:rsidR="00325C85" w:rsidRPr="6408D7D1">
        <w:rPr>
          <w:rFonts w:ascii="Arial" w:hAnsi="Arial" w:cs="Arial"/>
          <w:sz w:val="24"/>
          <w:szCs w:val="24"/>
        </w:rPr>
        <w:t>Services</w:t>
      </w:r>
      <w:r w:rsidR="000F0DED" w:rsidRPr="6408D7D1">
        <w:rPr>
          <w:rFonts w:ascii="Arial" w:hAnsi="Arial" w:cs="Arial"/>
          <w:sz w:val="24"/>
          <w:szCs w:val="24"/>
        </w:rPr>
        <w:t xml:space="preserve"> (AGCAS) </w:t>
      </w:r>
      <w:r w:rsidR="008E715F" w:rsidRPr="6408D7D1">
        <w:rPr>
          <w:rFonts w:ascii="Arial" w:hAnsi="Arial" w:cs="Arial"/>
          <w:sz w:val="24"/>
          <w:szCs w:val="24"/>
        </w:rPr>
        <w:t xml:space="preserve">found that </w:t>
      </w:r>
      <w:r w:rsidR="008F1295" w:rsidRPr="6408D7D1">
        <w:rPr>
          <w:rFonts w:ascii="Arial" w:hAnsi="Arial" w:cs="Arial"/>
          <w:sz w:val="24"/>
          <w:szCs w:val="24"/>
        </w:rPr>
        <w:t>“students are not necessarily prioritising careers and employability engagement as highly as other university commitments and experiences”</w:t>
      </w:r>
      <w:r w:rsidR="00611ECD" w:rsidRPr="6408D7D1">
        <w:rPr>
          <w:rFonts w:ascii="Arial" w:hAnsi="Arial" w:cs="Arial"/>
          <w:sz w:val="24"/>
          <w:szCs w:val="24"/>
        </w:rPr>
        <w:t xml:space="preserve"> (</w:t>
      </w:r>
      <w:r w:rsidR="00BA2118" w:rsidRPr="6408D7D1">
        <w:rPr>
          <w:rFonts w:ascii="Arial" w:hAnsi="Arial" w:cs="Arial"/>
          <w:sz w:val="24"/>
          <w:szCs w:val="24"/>
        </w:rPr>
        <w:t xml:space="preserve">2022, </w:t>
      </w:r>
      <w:r w:rsidR="00611ECD" w:rsidRPr="6408D7D1">
        <w:rPr>
          <w:rFonts w:ascii="Arial" w:hAnsi="Arial" w:cs="Arial"/>
          <w:sz w:val="24"/>
          <w:szCs w:val="24"/>
        </w:rPr>
        <w:t>p.</w:t>
      </w:r>
      <w:r w:rsidR="00BA2118" w:rsidRPr="6408D7D1">
        <w:rPr>
          <w:rFonts w:ascii="Arial" w:hAnsi="Arial" w:cs="Arial"/>
          <w:sz w:val="24"/>
          <w:szCs w:val="24"/>
        </w:rPr>
        <w:t>34)</w:t>
      </w:r>
      <w:r w:rsidR="00101DB7" w:rsidRPr="6408D7D1">
        <w:rPr>
          <w:rFonts w:ascii="Arial" w:hAnsi="Arial" w:cs="Arial"/>
          <w:sz w:val="24"/>
          <w:szCs w:val="24"/>
        </w:rPr>
        <w:t xml:space="preserve">. </w:t>
      </w:r>
      <w:r w:rsidR="008C4B40" w:rsidRPr="6408D7D1">
        <w:rPr>
          <w:rFonts w:ascii="Arial" w:hAnsi="Arial" w:cs="Arial"/>
          <w:sz w:val="24"/>
          <w:szCs w:val="24"/>
        </w:rPr>
        <w:t>This raises t</w:t>
      </w:r>
      <w:r w:rsidR="00976DA4" w:rsidRPr="6408D7D1">
        <w:rPr>
          <w:rFonts w:ascii="Arial" w:hAnsi="Arial" w:cs="Arial"/>
          <w:sz w:val="24"/>
          <w:szCs w:val="24"/>
        </w:rPr>
        <w:t>wo key</w:t>
      </w:r>
      <w:r w:rsidR="008C4B40" w:rsidRPr="6408D7D1">
        <w:rPr>
          <w:rFonts w:ascii="Arial" w:hAnsi="Arial" w:cs="Arial"/>
          <w:sz w:val="24"/>
          <w:szCs w:val="24"/>
        </w:rPr>
        <w:t xml:space="preserve"> questions</w:t>
      </w:r>
      <w:r w:rsidR="00B1390C" w:rsidRPr="6408D7D1">
        <w:rPr>
          <w:rFonts w:ascii="Arial" w:hAnsi="Arial" w:cs="Arial"/>
          <w:sz w:val="24"/>
          <w:szCs w:val="24"/>
        </w:rPr>
        <w:t xml:space="preserve">: why </w:t>
      </w:r>
      <w:r w:rsidR="00AB6AB3" w:rsidRPr="6408D7D1">
        <w:rPr>
          <w:rFonts w:ascii="Arial" w:hAnsi="Arial" w:cs="Arial"/>
          <w:sz w:val="24"/>
          <w:szCs w:val="24"/>
        </w:rPr>
        <w:t xml:space="preserve">is </w:t>
      </w:r>
      <w:r w:rsidR="6708727E" w:rsidRPr="6408D7D1">
        <w:rPr>
          <w:rFonts w:ascii="Arial" w:hAnsi="Arial" w:cs="Arial"/>
          <w:sz w:val="24"/>
          <w:szCs w:val="24"/>
        </w:rPr>
        <w:t xml:space="preserve">student </w:t>
      </w:r>
      <w:r w:rsidR="00AB6AB3" w:rsidRPr="6408D7D1">
        <w:rPr>
          <w:rFonts w:ascii="Arial" w:hAnsi="Arial" w:cs="Arial"/>
          <w:sz w:val="24"/>
          <w:szCs w:val="24"/>
        </w:rPr>
        <w:t>engagement low</w:t>
      </w:r>
      <w:r w:rsidR="00B1390C" w:rsidRPr="6408D7D1">
        <w:rPr>
          <w:rFonts w:ascii="Arial" w:hAnsi="Arial" w:cs="Arial"/>
          <w:sz w:val="24"/>
          <w:szCs w:val="24"/>
        </w:rPr>
        <w:t xml:space="preserve"> and what can be done </w:t>
      </w:r>
      <w:r>
        <w:rPr>
          <w:rFonts w:ascii="Arial" w:hAnsi="Arial" w:cs="Arial"/>
          <w:sz w:val="24"/>
          <w:szCs w:val="24"/>
        </w:rPr>
        <w:t xml:space="preserve">to </w:t>
      </w:r>
      <w:r w:rsidR="00380996">
        <w:rPr>
          <w:rFonts w:ascii="Arial" w:hAnsi="Arial" w:cs="Arial"/>
          <w:sz w:val="24"/>
          <w:szCs w:val="24"/>
        </w:rPr>
        <w:t>improve engagement levels</w:t>
      </w:r>
      <w:r w:rsidR="00B1390C" w:rsidRPr="6408D7D1">
        <w:rPr>
          <w:rFonts w:ascii="Arial" w:hAnsi="Arial" w:cs="Arial"/>
          <w:sz w:val="24"/>
          <w:szCs w:val="24"/>
        </w:rPr>
        <w:t xml:space="preserve">? </w:t>
      </w:r>
      <w:bookmarkStart w:id="2" w:name="Row_8_What_paper_does_This_is_a_ref"/>
    </w:p>
    <w:p w14:paraId="49720044" w14:textId="655C7109" w:rsidR="000A578A" w:rsidRDefault="009A4700" w:rsidP="008E767B">
      <w:pPr>
        <w:spacing w:line="360" w:lineRule="auto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address</w:t>
      </w:r>
      <w:r w:rsidR="00B32955" w:rsidRPr="6408D7D1">
        <w:rPr>
          <w:rFonts w:ascii="Arial" w:hAnsi="Arial" w:cs="Arial"/>
          <w:sz w:val="24"/>
          <w:szCs w:val="24"/>
        </w:rPr>
        <w:t xml:space="preserve"> these questions by </w:t>
      </w:r>
      <w:r w:rsidR="001041B2" w:rsidRPr="6408D7D1">
        <w:rPr>
          <w:rFonts w:ascii="Arial" w:hAnsi="Arial" w:cs="Arial"/>
          <w:sz w:val="24"/>
          <w:szCs w:val="24"/>
        </w:rPr>
        <w:t>sharing</w:t>
      </w:r>
      <w:r w:rsidR="00B32955" w:rsidRPr="6408D7D1">
        <w:rPr>
          <w:rFonts w:ascii="Arial" w:hAnsi="Arial" w:cs="Arial"/>
          <w:sz w:val="24"/>
          <w:szCs w:val="24"/>
        </w:rPr>
        <w:t xml:space="preserve"> </w:t>
      </w:r>
      <w:r w:rsidR="00380996">
        <w:rPr>
          <w:rFonts w:ascii="Arial" w:hAnsi="Arial" w:cs="Arial"/>
          <w:sz w:val="24"/>
          <w:szCs w:val="24"/>
        </w:rPr>
        <w:t>our</w:t>
      </w:r>
      <w:r w:rsidR="00380996" w:rsidRPr="6408D7D1">
        <w:rPr>
          <w:rFonts w:ascii="Arial" w:hAnsi="Arial" w:cs="Arial"/>
          <w:sz w:val="24"/>
          <w:szCs w:val="24"/>
        </w:rPr>
        <w:t xml:space="preserve"> </w:t>
      </w:r>
      <w:r w:rsidR="00B32955" w:rsidRPr="6408D7D1">
        <w:rPr>
          <w:rFonts w:ascii="Arial" w:hAnsi="Arial" w:cs="Arial"/>
          <w:sz w:val="24"/>
          <w:szCs w:val="24"/>
        </w:rPr>
        <w:t xml:space="preserve">recent experience of designing and delivering a credit bearing </w:t>
      </w:r>
      <w:r w:rsidR="00101DB7" w:rsidRPr="6408D7D1">
        <w:rPr>
          <w:rFonts w:ascii="Arial" w:hAnsi="Arial" w:cs="Arial"/>
          <w:sz w:val="24"/>
          <w:szCs w:val="24"/>
        </w:rPr>
        <w:t>employability</w:t>
      </w:r>
      <w:r w:rsidR="00635D0B" w:rsidRPr="6408D7D1">
        <w:rPr>
          <w:rFonts w:ascii="Arial" w:hAnsi="Arial" w:cs="Arial"/>
          <w:sz w:val="24"/>
          <w:szCs w:val="24"/>
        </w:rPr>
        <w:t xml:space="preserve"> </w:t>
      </w:r>
      <w:r w:rsidR="00B32955" w:rsidRPr="6408D7D1">
        <w:rPr>
          <w:rFonts w:ascii="Arial" w:hAnsi="Arial" w:cs="Arial"/>
          <w:sz w:val="24"/>
          <w:szCs w:val="24"/>
        </w:rPr>
        <w:t>module</w:t>
      </w:r>
      <w:r w:rsidR="005B5177">
        <w:rPr>
          <w:rFonts w:ascii="Arial" w:hAnsi="Arial" w:cs="Arial"/>
          <w:sz w:val="24"/>
          <w:szCs w:val="24"/>
        </w:rPr>
        <w:t xml:space="preserve"> and drawing </w:t>
      </w:r>
      <w:r w:rsidR="007B59F0">
        <w:rPr>
          <w:rFonts w:ascii="Arial" w:hAnsi="Arial" w:cs="Arial"/>
          <w:sz w:val="24"/>
          <w:szCs w:val="24"/>
        </w:rPr>
        <w:t>up</w:t>
      </w:r>
      <w:r w:rsidR="005B5177">
        <w:rPr>
          <w:rFonts w:ascii="Arial" w:hAnsi="Arial" w:cs="Arial"/>
          <w:sz w:val="24"/>
          <w:szCs w:val="24"/>
        </w:rPr>
        <w:t xml:space="preserve">on our forty years of combined experience </w:t>
      </w:r>
      <w:r w:rsidR="001041B2" w:rsidRPr="6408D7D1">
        <w:rPr>
          <w:rFonts w:ascii="Arial" w:hAnsi="Arial" w:cs="Arial"/>
          <w:sz w:val="24"/>
          <w:szCs w:val="24"/>
        </w:rPr>
        <w:t>working in higher education</w:t>
      </w:r>
      <w:r w:rsidR="0020181D" w:rsidRPr="6408D7D1">
        <w:rPr>
          <w:rFonts w:ascii="Arial" w:hAnsi="Arial" w:cs="Arial"/>
          <w:sz w:val="24"/>
          <w:szCs w:val="24"/>
        </w:rPr>
        <w:t>. The first author is a career practitioner within the university’s central career</w:t>
      </w:r>
      <w:r w:rsidR="0038099C">
        <w:rPr>
          <w:rFonts w:ascii="Arial" w:hAnsi="Arial" w:cs="Arial"/>
          <w:sz w:val="24"/>
          <w:szCs w:val="24"/>
        </w:rPr>
        <w:t>s</w:t>
      </w:r>
      <w:r w:rsidR="0020181D" w:rsidRPr="6408D7D1">
        <w:rPr>
          <w:rFonts w:ascii="Arial" w:hAnsi="Arial" w:cs="Arial"/>
          <w:sz w:val="24"/>
          <w:szCs w:val="24"/>
        </w:rPr>
        <w:t xml:space="preserve"> service. </w:t>
      </w:r>
      <w:r w:rsidR="00241478" w:rsidRPr="6408D7D1">
        <w:rPr>
          <w:rFonts w:ascii="Arial" w:hAnsi="Arial" w:cs="Arial"/>
          <w:sz w:val="24"/>
          <w:szCs w:val="24"/>
        </w:rPr>
        <w:t>The second author</w:t>
      </w:r>
      <w:r w:rsidR="0020181D" w:rsidRPr="6408D7D1">
        <w:rPr>
          <w:rFonts w:ascii="Arial" w:hAnsi="Arial" w:cs="Arial"/>
          <w:sz w:val="24"/>
          <w:szCs w:val="24"/>
        </w:rPr>
        <w:t xml:space="preserve"> </w:t>
      </w:r>
      <w:r w:rsidR="005B5177">
        <w:rPr>
          <w:rFonts w:ascii="Arial" w:hAnsi="Arial" w:cs="Arial"/>
          <w:sz w:val="24"/>
          <w:szCs w:val="24"/>
        </w:rPr>
        <w:t xml:space="preserve">is </w:t>
      </w:r>
      <w:r w:rsidR="0020181D" w:rsidRPr="6408D7D1">
        <w:rPr>
          <w:rFonts w:ascii="Arial" w:hAnsi="Arial" w:cs="Arial"/>
          <w:sz w:val="24"/>
          <w:szCs w:val="24"/>
        </w:rPr>
        <w:t xml:space="preserve">an academic who researches the nature of work and </w:t>
      </w:r>
      <w:r w:rsidR="009005CC">
        <w:rPr>
          <w:rFonts w:ascii="Arial" w:hAnsi="Arial" w:cs="Arial"/>
          <w:sz w:val="24"/>
          <w:szCs w:val="24"/>
        </w:rPr>
        <w:t>academic Employability Lead within their department</w:t>
      </w:r>
      <w:r w:rsidR="0020181D" w:rsidRPr="6408D7D1">
        <w:rPr>
          <w:rFonts w:ascii="Arial" w:hAnsi="Arial" w:cs="Arial"/>
          <w:sz w:val="24"/>
          <w:szCs w:val="24"/>
        </w:rPr>
        <w:t xml:space="preserve">. </w:t>
      </w:r>
      <w:r w:rsidR="006B1E05">
        <w:rPr>
          <w:rFonts w:ascii="Arial" w:hAnsi="Arial" w:cs="Arial"/>
          <w:sz w:val="24"/>
          <w:szCs w:val="24"/>
        </w:rPr>
        <w:t xml:space="preserve">Our paper contributes to ongoing debates around embedding employability within university curricula. </w:t>
      </w:r>
      <w:r w:rsidR="00440548">
        <w:rPr>
          <w:rFonts w:ascii="Arial" w:hAnsi="Arial" w:cs="Arial"/>
          <w:sz w:val="24"/>
          <w:szCs w:val="24"/>
        </w:rPr>
        <w:t>Its</w:t>
      </w:r>
      <w:r w:rsidR="001041B2" w:rsidRPr="6408D7D1">
        <w:rPr>
          <w:rFonts w:ascii="Arial" w:hAnsi="Arial" w:cs="Arial"/>
          <w:sz w:val="24"/>
          <w:szCs w:val="24"/>
        </w:rPr>
        <w:t xml:space="preserve"> key audience is academics and career professionals seeking ideas to increase student engagement, whilst recognising </w:t>
      </w:r>
      <w:r w:rsidR="007F1579">
        <w:rPr>
          <w:rFonts w:ascii="Arial" w:hAnsi="Arial" w:cs="Arial"/>
          <w:sz w:val="24"/>
          <w:szCs w:val="24"/>
        </w:rPr>
        <w:t xml:space="preserve">common </w:t>
      </w:r>
      <w:r w:rsidR="001041B2" w:rsidRPr="6408D7D1">
        <w:rPr>
          <w:rFonts w:ascii="Arial" w:hAnsi="Arial" w:cs="Arial"/>
          <w:sz w:val="24"/>
          <w:szCs w:val="24"/>
        </w:rPr>
        <w:t xml:space="preserve">constraints and realities. </w:t>
      </w:r>
      <w:r w:rsidR="006B1E05">
        <w:rPr>
          <w:rFonts w:ascii="Arial" w:hAnsi="Arial" w:cs="Arial"/>
          <w:sz w:val="24"/>
          <w:szCs w:val="24"/>
        </w:rPr>
        <w:t xml:space="preserve">We </w:t>
      </w:r>
      <w:r w:rsidR="00365FF8">
        <w:rPr>
          <w:rFonts w:ascii="Arial" w:hAnsi="Arial" w:cs="Arial"/>
          <w:sz w:val="24"/>
          <w:szCs w:val="24"/>
        </w:rPr>
        <w:t>propose</w:t>
      </w:r>
      <w:r w:rsidR="00432B88" w:rsidRPr="007F69EB">
        <w:rPr>
          <w:rFonts w:ascii="Arial" w:hAnsi="Arial" w:cs="Arial"/>
          <w:sz w:val="24"/>
          <w:szCs w:val="24"/>
        </w:rPr>
        <w:t xml:space="preserve"> a range of practical and straightforward solutions that can be applied </w:t>
      </w:r>
      <w:r w:rsidR="00432B88">
        <w:rPr>
          <w:rFonts w:ascii="Arial" w:hAnsi="Arial" w:cs="Arial"/>
          <w:sz w:val="24"/>
          <w:szCs w:val="24"/>
        </w:rPr>
        <w:t xml:space="preserve">and transferred </w:t>
      </w:r>
      <w:r w:rsidR="00432B88" w:rsidRPr="007F69EB">
        <w:rPr>
          <w:rFonts w:ascii="Arial" w:hAnsi="Arial" w:cs="Arial"/>
          <w:sz w:val="24"/>
          <w:szCs w:val="24"/>
        </w:rPr>
        <w:t xml:space="preserve">across </w:t>
      </w:r>
      <w:r w:rsidR="00432B88">
        <w:rPr>
          <w:rFonts w:ascii="Arial" w:hAnsi="Arial" w:cs="Arial"/>
          <w:bCs/>
          <w:sz w:val="24"/>
          <w:szCs w:val="24"/>
        </w:rPr>
        <w:t>disciplines, institutions and learning contexts.</w:t>
      </w:r>
    </w:p>
    <w:p w14:paraId="09822F31" w14:textId="57FAABB4" w:rsidR="005F2D83" w:rsidRPr="005913AF" w:rsidRDefault="005F2D83" w:rsidP="00FD29C0">
      <w:pPr>
        <w:spacing w:line="360" w:lineRule="auto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Reflecting upon the design, delivery and assessment of a new and successful credit bearing module called ‘The Professional Geographer’, </w:t>
      </w:r>
      <w:r w:rsidR="0052548F">
        <w:rPr>
          <w:rFonts w:ascii="Arial" w:hAnsi="Arial" w:cs="Arial"/>
          <w:sz w:val="24"/>
          <w:szCs w:val="24"/>
        </w:rPr>
        <w:t>the</w:t>
      </w:r>
      <w:r w:rsidR="000A578A">
        <w:rPr>
          <w:rFonts w:ascii="Arial" w:hAnsi="Arial" w:cs="Arial"/>
          <w:sz w:val="24"/>
          <w:szCs w:val="24"/>
        </w:rPr>
        <w:t xml:space="preserve"> paper makes three key points. </w:t>
      </w:r>
      <w:r w:rsidR="00AB6AB3">
        <w:rPr>
          <w:rFonts w:ascii="Arial" w:hAnsi="Arial" w:cs="Arial"/>
          <w:sz w:val="24"/>
          <w:szCs w:val="24"/>
        </w:rPr>
        <w:t>First</w:t>
      </w:r>
      <w:r w:rsidR="00365FF8">
        <w:rPr>
          <w:rFonts w:ascii="Arial" w:hAnsi="Arial" w:cs="Arial"/>
          <w:sz w:val="24"/>
          <w:szCs w:val="24"/>
        </w:rPr>
        <w:t>ly</w:t>
      </w:r>
      <w:r w:rsidR="00AB6AB3">
        <w:rPr>
          <w:rFonts w:ascii="Arial" w:hAnsi="Arial" w:cs="Arial"/>
          <w:sz w:val="24"/>
          <w:szCs w:val="24"/>
        </w:rPr>
        <w:t>,</w:t>
      </w:r>
      <w:r w:rsidR="000A578A">
        <w:rPr>
          <w:rFonts w:ascii="Arial" w:hAnsi="Arial" w:cs="Arial"/>
          <w:sz w:val="24"/>
          <w:szCs w:val="24"/>
        </w:rPr>
        <w:t xml:space="preserve"> </w:t>
      </w:r>
      <w:r w:rsidR="001F079B">
        <w:rPr>
          <w:rFonts w:ascii="Arial" w:hAnsi="Arial" w:cs="Arial"/>
          <w:sz w:val="24"/>
          <w:szCs w:val="24"/>
        </w:rPr>
        <w:t xml:space="preserve">it argues that </w:t>
      </w:r>
      <w:bookmarkEnd w:id="2"/>
      <w:r w:rsidR="00C82C5F">
        <w:rPr>
          <w:rFonts w:ascii="Arial" w:hAnsi="Arial" w:cs="Arial"/>
          <w:sz w:val="24"/>
          <w:szCs w:val="24"/>
        </w:rPr>
        <w:t xml:space="preserve">students </w:t>
      </w:r>
      <w:r w:rsidR="00656067">
        <w:rPr>
          <w:rFonts w:ascii="Arial" w:hAnsi="Arial" w:cs="Arial"/>
          <w:sz w:val="24"/>
          <w:szCs w:val="24"/>
        </w:rPr>
        <w:t xml:space="preserve">require and </w:t>
      </w:r>
      <w:r w:rsidR="00F24045">
        <w:rPr>
          <w:rFonts w:ascii="Arial" w:hAnsi="Arial" w:cs="Arial"/>
          <w:sz w:val="24"/>
          <w:szCs w:val="24"/>
        </w:rPr>
        <w:t xml:space="preserve">indeed </w:t>
      </w:r>
      <w:r w:rsidR="00656067">
        <w:rPr>
          <w:rFonts w:ascii="Arial" w:hAnsi="Arial" w:cs="Arial"/>
          <w:sz w:val="24"/>
          <w:szCs w:val="24"/>
        </w:rPr>
        <w:t>welcome</w:t>
      </w:r>
      <w:r w:rsidR="00664387">
        <w:rPr>
          <w:rFonts w:ascii="Arial" w:hAnsi="Arial" w:cs="Arial"/>
          <w:sz w:val="24"/>
          <w:szCs w:val="24"/>
        </w:rPr>
        <w:t>,</w:t>
      </w:r>
      <w:r w:rsidR="00656067">
        <w:rPr>
          <w:rFonts w:ascii="Arial" w:hAnsi="Arial" w:cs="Arial"/>
          <w:sz w:val="24"/>
          <w:szCs w:val="24"/>
        </w:rPr>
        <w:t xml:space="preserve"> carrots and sticks</w:t>
      </w:r>
      <w:r w:rsidR="0019563E">
        <w:rPr>
          <w:rFonts w:ascii="Arial" w:hAnsi="Arial" w:cs="Arial"/>
          <w:sz w:val="24"/>
          <w:szCs w:val="24"/>
        </w:rPr>
        <w:t xml:space="preserve"> </w:t>
      </w:r>
      <w:r w:rsidR="00656067">
        <w:rPr>
          <w:rFonts w:ascii="Arial" w:hAnsi="Arial" w:cs="Arial"/>
          <w:sz w:val="24"/>
          <w:szCs w:val="24"/>
        </w:rPr>
        <w:t xml:space="preserve">to enhance motivation and </w:t>
      </w:r>
      <w:r w:rsidR="006A28F4">
        <w:rPr>
          <w:rFonts w:ascii="Arial" w:hAnsi="Arial" w:cs="Arial"/>
          <w:sz w:val="24"/>
          <w:szCs w:val="24"/>
        </w:rPr>
        <w:t>engagement</w:t>
      </w:r>
      <w:r w:rsidR="000A578A">
        <w:rPr>
          <w:rFonts w:ascii="Arial" w:hAnsi="Arial" w:cs="Arial"/>
          <w:sz w:val="24"/>
          <w:szCs w:val="24"/>
        </w:rPr>
        <w:t xml:space="preserve">. </w:t>
      </w:r>
      <w:r w:rsidR="00AB6AB3">
        <w:rPr>
          <w:rFonts w:ascii="Arial" w:hAnsi="Arial" w:cs="Arial"/>
          <w:sz w:val="24"/>
          <w:szCs w:val="24"/>
        </w:rPr>
        <w:t>Second</w:t>
      </w:r>
      <w:r w:rsidR="00365FF8">
        <w:rPr>
          <w:rFonts w:ascii="Arial" w:hAnsi="Arial" w:cs="Arial"/>
          <w:sz w:val="24"/>
          <w:szCs w:val="24"/>
        </w:rPr>
        <w:t>ly</w:t>
      </w:r>
      <w:r w:rsidR="00AB6AB3">
        <w:rPr>
          <w:rFonts w:ascii="Arial" w:hAnsi="Arial" w:cs="Arial"/>
          <w:sz w:val="24"/>
          <w:szCs w:val="24"/>
        </w:rPr>
        <w:t>,</w:t>
      </w:r>
      <w:r w:rsidR="000A578A">
        <w:rPr>
          <w:rFonts w:ascii="Arial" w:hAnsi="Arial" w:cs="Arial"/>
          <w:sz w:val="24"/>
          <w:szCs w:val="24"/>
        </w:rPr>
        <w:t xml:space="preserve"> </w:t>
      </w:r>
      <w:r w:rsidR="001F079B">
        <w:rPr>
          <w:rFonts w:ascii="Arial" w:hAnsi="Arial" w:cs="Arial"/>
          <w:sz w:val="24"/>
          <w:szCs w:val="24"/>
        </w:rPr>
        <w:t xml:space="preserve">it outlines how </w:t>
      </w:r>
      <w:r w:rsidR="00AB6AB3">
        <w:rPr>
          <w:rFonts w:ascii="Arial" w:hAnsi="Arial" w:cs="Arial"/>
          <w:sz w:val="24"/>
          <w:szCs w:val="24"/>
        </w:rPr>
        <w:t>c</w:t>
      </w:r>
      <w:r w:rsidR="006A28F4">
        <w:rPr>
          <w:rFonts w:ascii="Arial" w:hAnsi="Arial" w:cs="Arial"/>
          <w:sz w:val="24"/>
          <w:szCs w:val="24"/>
        </w:rPr>
        <w:t xml:space="preserve">arrots </w:t>
      </w:r>
      <w:r w:rsidR="00286E89">
        <w:rPr>
          <w:rFonts w:ascii="Arial" w:hAnsi="Arial" w:cs="Arial"/>
          <w:sz w:val="24"/>
          <w:szCs w:val="24"/>
        </w:rPr>
        <w:t>and sticks</w:t>
      </w:r>
      <w:r w:rsidR="006A28F4">
        <w:rPr>
          <w:rFonts w:ascii="Arial" w:hAnsi="Arial" w:cs="Arial"/>
          <w:sz w:val="24"/>
          <w:szCs w:val="24"/>
        </w:rPr>
        <w:t xml:space="preserve"> can </w:t>
      </w:r>
      <w:r w:rsidR="002E546B">
        <w:rPr>
          <w:rFonts w:ascii="Arial" w:hAnsi="Arial" w:cs="Arial"/>
          <w:sz w:val="24"/>
          <w:szCs w:val="24"/>
        </w:rPr>
        <w:t xml:space="preserve">be effectively incorporated into </w:t>
      </w:r>
      <w:r w:rsidR="00286E89">
        <w:rPr>
          <w:rFonts w:ascii="Arial" w:hAnsi="Arial" w:cs="Arial"/>
          <w:sz w:val="24"/>
          <w:szCs w:val="24"/>
        </w:rPr>
        <w:t xml:space="preserve">teaching </w:t>
      </w:r>
      <w:r w:rsidR="00AB6AB3">
        <w:rPr>
          <w:rFonts w:ascii="Arial" w:hAnsi="Arial" w:cs="Arial"/>
          <w:sz w:val="24"/>
          <w:szCs w:val="24"/>
        </w:rPr>
        <w:t>design,</w:t>
      </w:r>
      <w:r w:rsidR="00286E89">
        <w:rPr>
          <w:rFonts w:ascii="Arial" w:hAnsi="Arial" w:cs="Arial"/>
          <w:sz w:val="24"/>
          <w:szCs w:val="24"/>
        </w:rPr>
        <w:t xml:space="preserve"> </w:t>
      </w:r>
      <w:r w:rsidR="00812CFA">
        <w:rPr>
          <w:rFonts w:ascii="Arial" w:hAnsi="Arial" w:cs="Arial"/>
          <w:sz w:val="24"/>
          <w:szCs w:val="24"/>
        </w:rPr>
        <w:t>delivery,</w:t>
      </w:r>
      <w:r w:rsidR="00286E89">
        <w:rPr>
          <w:rFonts w:ascii="Arial" w:hAnsi="Arial" w:cs="Arial"/>
          <w:sz w:val="24"/>
          <w:szCs w:val="24"/>
        </w:rPr>
        <w:t xml:space="preserve"> and assessment</w:t>
      </w:r>
      <w:r w:rsidR="00AB6AB3">
        <w:rPr>
          <w:rFonts w:ascii="Arial" w:hAnsi="Arial" w:cs="Arial"/>
          <w:sz w:val="24"/>
          <w:szCs w:val="24"/>
        </w:rPr>
        <w:t>. Finally,</w:t>
      </w:r>
      <w:r w:rsidR="00286E89">
        <w:rPr>
          <w:rFonts w:ascii="Arial" w:hAnsi="Arial" w:cs="Arial"/>
          <w:sz w:val="24"/>
          <w:szCs w:val="24"/>
        </w:rPr>
        <w:t xml:space="preserve"> </w:t>
      </w:r>
      <w:r w:rsidR="001F079B">
        <w:rPr>
          <w:rFonts w:ascii="Arial" w:hAnsi="Arial" w:cs="Arial"/>
          <w:sz w:val="24"/>
          <w:szCs w:val="24"/>
        </w:rPr>
        <w:t xml:space="preserve">it demonstrates that </w:t>
      </w:r>
      <w:r w:rsidR="004046B2">
        <w:rPr>
          <w:rFonts w:ascii="Arial" w:hAnsi="Arial" w:cs="Arial"/>
          <w:sz w:val="24"/>
          <w:szCs w:val="24"/>
        </w:rPr>
        <w:t xml:space="preserve">the </w:t>
      </w:r>
      <w:r w:rsidR="006E74DA">
        <w:rPr>
          <w:rFonts w:ascii="Arial" w:hAnsi="Arial" w:cs="Arial"/>
          <w:sz w:val="24"/>
          <w:szCs w:val="24"/>
        </w:rPr>
        <w:t>effective use of carrots and sticks</w:t>
      </w:r>
      <w:r w:rsidR="000A578A">
        <w:rPr>
          <w:rFonts w:ascii="Arial" w:hAnsi="Arial" w:cs="Arial"/>
          <w:sz w:val="24"/>
          <w:szCs w:val="24"/>
        </w:rPr>
        <w:t xml:space="preserve"> </w:t>
      </w:r>
      <w:r w:rsidR="00AB141C">
        <w:rPr>
          <w:rFonts w:ascii="Arial" w:hAnsi="Arial" w:cs="Arial"/>
          <w:sz w:val="24"/>
          <w:szCs w:val="24"/>
        </w:rPr>
        <w:t xml:space="preserve">can </w:t>
      </w:r>
      <w:r w:rsidR="00B67FDB">
        <w:rPr>
          <w:rFonts w:ascii="Arial" w:hAnsi="Arial" w:cs="Arial"/>
          <w:sz w:val="24"/>
          <w:szCs w:val="24"/>
        </w:rPr>
        <w:t>successfully</w:t>
      </w:r>
      <w:r w:rsidR="00AB141C">
        <w:rPr>
          <w:rFonts w:ascii="Arial" w:hAnsi="Arial" w:cs="Arial"/>
          <w:sz w:val="24"/>
          <w:szCs w:val="24"/>
        </w:rPr>
        <w:t xml:space="preserve"> address some key </w:t>
      </w:r>
      <w:r w:rsidR="00101DB7">
        <w:rPr>
          <w:rFonts w:ascii="Arial" w:hAnsi="Arial" w:cs="Arial"/>
          <w:sz w:val="24"/>
          <w:szCs w:val="24"/>
        </w:rPr>
        <w:t xml:space="preserve">challenges for students and institutions. </w:t>
      </w:r>
    </w:p>
    <w:p w14:paraId="5D412FE5" w14:textId="22BB6358" w:rsidR="00650952" w:rsidRDefault="00814782" w:rsidP="007F69EB">
      <w:pPr>
        <w:spacing w:line="360" w:lineRule="auto"/>
        <w:outlineLvl w:val="1"/>
        <w:rPr>
          <w:rFonts w:ascii="Arial" w:hAnsi="Arial" w:cs="Arial"/>
          <w:b/>
          <w:bCs/>
          <w:sz w:val="24"/>
          <w:szCs w:val="24"/>
        </w:rPr>
      </w:pPr>
      <w:r w:rsidRPr="522673A2">
        <w:rPr>
          <w:rFonts w:ascii="Arial" w:hAnsi="Arial" w:cs="Arial"/>
          <w:b/>
          <w:bCs/>
          <w:sz w:val="24"/>
          <w:szCs w:val="24"/>
        </w:rPr>
        <w:t xml:space="preserve">Background </w:t>
      </w:r>
      <w:r w:rsidR="00FC319D">
        <w:rPr>
          <w:rFonts w:ascii="Arial" w:hAnsi="Arial" w:cs="Arial"/>
          <w:b/>
          <w:bCs/>
          <w:sz w:val="24"/>
          <w:szCs w:val="24"/>
        </w:rPr>
        <w:t>c</w:t>
      </w:r>
      <w:r w:rsidRPr="522673A2">
        <w:rPr>
          <w:rFonts w:ascii="Arial" w:hAnsi="Arial" w:cs="Arial"/>
          <w:b/>
          <w:bCs/>
          <w:sz w:val="24"/>
          <w:szCs w:val="24"/>
        </w:rPr>
        <w:t>ontext: The Big Picture</w:t>
      </w:r>
    </w:p>
    <w:p w14:paraId="6B2D4012" w14:textId="0FA937DF" w:rsidR="0020181D" w:rsidRDefault="000A39B1" w:rsidP="0020181D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  <w:r w:rsidRPr="6408D7D1">
        <w:rPr>
          <w:rFonts w:ascii="Arial" w:hAnsi="Arial" w:cs="Arial"/>
          <w:sz w:val="24"/>
          <w:szCs w:val="24"/>
        </w:rPr>
        <w:t xml:space="preserve">Employability </w:t>
      </w:r>
      <w:r w:rsidR="0066182B">
        <w:rPr>
          <w:rFonts w:ascii="Arial" w:hAnsi="Arial" w:cs="Arial"/>
          <w:sz w:val="24"/>
          <w:szCs w:val="24"/>
        </w:rPr>
        <w:t>is</w:t>
      </w:r>
      <w:r w:rsidRPr="6408D7D1">
        <w:rPr>
          <w:rFonts w:ascii="Arial" w:hAnsi="Arial" w:cs="Arial"/>
          <w:sz w:val="24"/>
          <w:szCs w:val="24"/>
        </w:rPr>
        <w:t xml:space="preserve"> increasingly important within higher education</w:t>
      </w:r>
      <w:r w:rsidR="00766947" w:rsidRPr="6408D7D1">
        <w:rPr>
          <w:rFonts w:ascii="Arial" w:hAnsi="Arial" w:cs="Arial"/>
          <w:sz w:val="24"/>
          <w:szCs w:val="24"/>
        </w:rPr>
        <w:t xml:space="preserve">, both </w:t>
      </w:r>
      <w:r w:rsidR="00AF6AAC" w:rsidRPr="6408D7D1">
        <w:rPr>
          <w:rFonts w:ascii="Arial" w:hAnsi="Arial" w:cs="Arial"/>
          <w:sz w:val="24"/>
          <w:szCs w:val="24"/>
        </w:rPr>
        <w:t>with</w:t>
      </w:r>
      <w:r w:rsidR="00766947" w:rsidRPr="6408D7D1">
        <w:rPr>
          <w:rFonts w:ascii="Arial" w:hAnsi="Arial" w:cs="Arial"/>
          <w:sz w:val="24"/>
          <w:szCs w:val="24"/>
        </w:rPr>
        <w:t xml:space="preserve">in the UK and world-wide. </w:t>
      </w:r>
      <w:r w:rsidR="004018BE">
        <w:rPr>
          <w:rFonts w:ascii="Arial" w:hAnsi="Arial" w:cs="Arial"/>
          <w:sz w:val="24"/>
          <w:szCs w:val="24"/>
        </w:rPr>
        <w:t>T</w:t>
      </w:r>
      <w:r w:rsidR="00D25DBC" w:rsidRPr="6408D7D1">
        <w:rPr>
          <w:rFonts w:ascii="Arial" w:hAnsi="Arial" w:cs="Arial"/>
          <w:sz w:val="24"/>
          <w:szCs w:val="24"/>
        </w:rPr>
        <w:t>he</w:t>
      </w:r>
      <w:r w:rsidR="007845A0" w:rsidRPr="6408D7D1">
        <w:rPr>
          <w:rFonts w:ascii="Arial" w:hAnsi="Arial" w:cs="Arial"/>
          <w:sz w:val="24"/>
          <w:szCs w:val="24"/>
        </w:rPr>
        <w:t xml:space="preserve"> influential</w:t>
      </w:r>
      <w:r w:rsidR="00D25DBC" w:rsidRPr="6408D7D1">
        <w:rPr>
          <w:rFonts w:ascii="Arial" w:hAnsi="Arial" w:cs="Arial"/>
          <w:sz w:val="24"/>
          <w:szCs w:val="24"/>
        </w:rPr>
        <w:t xml:space="preserve"> Dearing Report </w:t>
      </w:r>
      <w:r w:rsidR="004018BE">
        <w:rPr>
          <w:rFonts w:ascii="Arial" w:hAnsi="Arial" w:cs="Arial"/>
          <w:sz w:val="24"/>
          <w:szCs w:val="24"/>
        </w:rPr>
        <w:t xml:space="preserve">(1997) </w:t>
      </w:r>
      <w:r w:rsidR="006240B8" w:rsidRPr="6408D7D1">
        <w:rPr>
          <w:rFonts w:ascii="Arial" w:hAnsi="Arial" w:cs="Arial"/>
          <w:sz w:val="24"/>
          <w:szCs w:val="24"/>
        </w:rPr>
        <w:t xml:space="preserve">stated </w:t>
      </w:r>
      <w:r w:rsidR="00FA63ED" w:rsidRPr="6408D7D1">
        <w:rPr>
          <w:rFonts w:ascii="Arial" w:hAnsi="Arial" w:cs="Arial"/>
          <w:sz w:val="24"/>
          <w:szCs w:val="24"/>
        </w:rPr>
        <w:t xml:space="preserve">the UK Higher Education system needed to </w:t>
      </w:r>
      <w:bookmarkStart w:id="3" w:name="17"/>
      <w:r w:rsidR="00AA7CE0" w:rsidRPr="6408D7D1">
        <w:rPr>
          <w:rFonts w:ascii="Arial" w:hAnsi="Arial" w:cs="Arial"/>
          <w:color w:val="000000" w:themeColor="text1"/>
          <w:sz w:val="24"/>
          <w:szCs w:val="24"/>
        </w:rPr>
        <w:t>‘</w:t>
      </w:r>
      <w:r w:rsidR="00FA63ED" w:rsidRPr="6408D7D1">
        <w:rPr>
          <w:rFonts w:ascii="Arial" w:hAnsi="Arial" w:cs="Arial"/>
          <w:color w:val="000000" w:themeColor="text1"/>
          <w:sz w:val="24"/>
          <w:szCs w:val="24"/>
        </w:rPr>
        <w:t xml:space="preserve">meet the legitimate aspirations of its citizens to </w:t>
      </w:r>
      <w:r w:rsidR="00FA63ED" w:rsidRPr="6408D7D1">
        <w:rPr>
          <w:rFonts w:ascii="Arial" w:hAnsi="Arial" w:cs="Arial"/>
          <w:color w:val="000000" w:themeColor="text1"/>
          <w:sz w:val="24"/>
          <w:szCs w:val="24"/>
        </w:rPr>
        <w:lastRenderedPageBreak/>
        <w:t>improve their qualifications and employability</w:t>
      </w:r>
      <w:r w:rsidR="00AA7CE0" w:rsidRPr="6408D7D1">
        <w:rPr>
          <w:rFonts w:ascii="Arial" w:hAnsi="Arial" w:cs="Arial"/>
          <w:color w:val="000000" w:themeColor="text1"/>
          <w:sz w:val="24"/>
          <w:szCs w:val="24"/>
        </w:rPr>
        <w:t>’</w:t>
      </w:r>
      <w:r w:rsidR="00487349" w:rsidRPr="6408D7D1">
        <w:rPr>
          <w:rFonts w:ascii="Arial" w:hAnsi="Arial" w:cs="Arial"/>
          <w:color w:val="000000" w:themeColor="text1"/>
          <w:sz w:val="24"/>
          <w:szCs w:val="24"/>
        </w:rPr>
        <w:t xml:space="preserve"> (p.263)</w:t>
      </w:r>
      <w:r w:rsidR="00557EAA" w:rsidRPr="6408D7D1">
        <w:rPr>
          <w:rFonts w:ascii="Arial" w:hAnsi="Arial" w:cs="Arial"/>
          <w:sz w:val="24"/>
          <w:szCs w:val="24"/>
        </w:rPr>
        <w:t xml:space="preserve">. </w:t>
      </w:r>
      <w:r w:rsidR="00640124">
        <w:rPr>
          <w:rFonts w:ascii="Arial" w:hAnsi="Arial" w:cs="Arial"/>
          <w:sz w:val="24"/>
          <w:szCs w:val="24"/>
        </w:rPr>
        <w:t>In 1998</w:t>
      </w:r>
      <w:r w:rsidR="00773329">
        <w:rPr>
          <w:rFonts w:ascii="Arial" w:hAnsi="Arial" w:cs="Arial"/>
          <w:sz w:val="24"/>
          <w:szCs w:val="24"/>
        </w:rPr>
        <w:t>,</w:t>
      </w:r>
      <w:r w:rsidR="00E45F30">
        <w:rPr>
          <w:rFonts w:ascii="Arial" w:hAnsi="Arial" w:cs="Arial"/>
          <w:sz w:val="24"/>
          <w:szCs w:val="24"/>
        </w:rPr>
        <w:t xml:space="preserve"> the Blair government</w:t>
      </w:r>
      <w:r w:rsidR="00570E8E">
        <w:rPr>
          <w:rFonts w:ascii="Arial" w:hAnsi="Arial" w:cs="Arial"/>
          <w:sz w:val="24"/>
          <w:szCs w:val="24"/>
        </w:rPr>
        <w:t xml:space="preserve"> introduced </w:t>
      </w:r>
      <w:r w:rsidR="00E45F30">
        <w:rPr>
          <w:rFonts w:ascii="Arial" w:hAnsi="Arial" w:cs="Arial"/>
          <w:sz w:val="24"/>
          <w:szCs w:val="24"/>
        </w:rPr>
        <w:t>student t</w:t>
      </w:r>
      <w:r w:rsidR="00B5641F">
        <w:rPr>
          <w:rFonts w:ascii="Arial" w:hAnsi="Arial" w:cs="Arial"/>
          <w:sz w:val="24"/>
          <w:szCs w:val="24"/>
        </w:rPr>
        <w:t>uition fees</w:t>
      </w:r>
      <w:r w:rsidR="006B3DE5">
        <w:rPr>
          <w:rFonts w:ascii="Arial" w:hAnsi="Arial" w:cs="Arial"/>
          <w:sz w:val="24"/>
          <w:szCs w:val="24"/>
        </w:rPr>
        <w:t xml:space="preserve"> to assist</w:t>
      </w:r>
      <w:r w:rsidR="00E45F30">
        <w:rPr>
          <w:rFonts w:ascii="Arial" w:hAnsi="Arial" w:cs="Arial"/>
          <w:sz w:val="24"/>
          <w:szCs w:val="24"/>
        </w:rPr>
        <w:t xml:space="preserve"> </w:t>
      </w:r>
      <w:r w:rsidR="00B35019">
        <w:rPr>
          <w:rFonts w:ascii="Arial" w:hAnsi="Arial" w:cs="Arial"/>
          <w:sz w:val="24"/>
          <w:szCs w:val="24"/>
        </w:rPr>
        <w:t xml:space="preserve">funding </w:t>
      </w:r>
      <w:r w:rsidR="00570E8E">
        <w:rPr>
          <w:rFonts w:ascii="Arial" w:hAnsi="Arial" w:cs="Arial"/>
          <w:sz w:val="24"/>
          <w:szCs w:val="24"/>
        </w:rPr>
        <w:t xml:space="preserve">of </w:t>
      </w:r>
      <w:r w:rsidR="00B35019">
        <w:rPr>
          <w:rFonts w:ascii="Arial" w:hAnsi="Arial" w:cs="Arial"/>
          <w:sz w:val="24"/>
          <w:szCs w:val="24"/>
        </w:rPr>
        <w:t>UK higher education</w:t>
      </w:r>
      <w:r w:rsidR="00B5641F">
        <w:rPr>
          <w:rFonts w:ascii="Arial" w:hAnsi="Arial" w:cs="Arial"/>
          <w:sz w:val="24"/>
          <w:szCs w:val="24"/>
        </w:rPr>
        <w:t xml:space="preserve">. </w:t>
      </w:r>
      <w:r w:rsidR="00823C08">
        <w:rPr>
          <w:rFonts w:ascii="Arial" w:hAnsi="Arial" w:cs="Arial"/>
          <w:sz w:val="24"/>
          <w:szCs w:val="24"/>
        </w:rPr>
        <w:t xml:space="preserve">The </w:t>
      </w:r>
      <w:r w:rsidR="00756B66">
        <w:rPr>
          <w:rFonts w:ascii="Arial" w:hAnsi="Arial" w:cs="Arial"/>
          <w:sz w:val="24"/>
          <w:szCs w:val="24"/>
        </w:rPr>
        <w:t>influential</w:t>
      </w:r>
      <w:r w:rsidR="00823C08">
        <w:rPr>
          <w:rFonts w:ascii="Arial" w:hAnsi="Arial" w:cs="Arial"/>
          <w:sz w:val="24"/>
          <w:szCs w:val="24"/>
        </w:rPr>
        <w:t xml:space="preserve"> Browne </w:t>
      </w:r>
      <w:r w:rsidR="009109D2">
        <w:rPr>
          <w:rFonts w:ascii="Arial" w:hAnsi="Arial" w:cs="Arial"/>
          <w:sz w:val="24"/>
          <w:szCs w:val="24"/>
        </w:rPr>
        <w:t xml:space="preserve">Report (2010) </w:t>
      </w:r>
      <w:r w:rsidR="00773329">
        <w:rPr>
          <w:rFonts w:ascii="Arial" w:hAnsi="Arial" w:cs="Arial"/>
          <w:sz w:val="24"/>
          <w:szCs w:val="24"/>
        </w:rPr>
        <w:t xml:space="preserve">subsequently </w:t>
      </w:r>
      <w:r w:rsidR="009109D2">
        <w:rPr>
          <w:rFonts w:ascii="Arial" w:hAnsi="Arial" w:cs="Arial"/>
          <w:sz w:val="24"/>
          <w:szCs w:val="24"/>
        </w:rPr>
        <w:t xml:space="preserve">recommended </w:t>
      </w:r>
      <w:r w:rsidR="00756B66">
        <w:rPr>
          <w:rFonts w:ascii="Arial" w:hAnsi="Arial" w:cs="Arial"/>
          <w:sz w:val="24"/>
          <w:szCs w:val="24"/>
        </w:rPr>
        <w:t xml:space="preserve">placing more of the </w:t>
      </w:r>
      <w:r w:rsidR="006B3DE5">
        <w:rPr>
          <w:rFonts w:ascii="Arial" w:hAnsi="Arial" w:cs="Arial"/>
          <w:sz w:val="24"/>
          <w:szCs w:val="24"/>
        </w:rPr>
        <w:t xml:space="preserve">financial </w:t>
      </w:r>
      <w:r w:rsidR="00756B66">
        <w:rPr>
          <w:rFonts w:ascii="Arial" w:hAnsi="Arial" w:cs="Arial"/>
          <w:sz w:val="24"/>
          <w:szCs w:val="24"/>
        </w:rPr>
        <w:t xml:space="preserve">burden of funding UK higher education on </w:t>
      </w:r>
      <w:r w:rsidR="00F75988">
        <w:rPr>
          <w:rFonts w:ascii="Arial" w:hAnsi="Arial" w:cs="Arial"/>
          <w:sz w:val="24"/>
          <w:szCs w:val="24"/>
        </w:rPr>
        <w:t xml:space="preserve">to </w:t>
      </w:r>
      <w:r w:rsidR="00756B66">
        <w:rPr>
          <w:rFonts w:ascii="Arial" w:hAnsi="Arial" w:cs="Arial"/>
          <w:sz w:val="24"/>
          <w:szCs w:val="24"/>
        </w:rPr>
        <w:t xml:space="preserve">graduates. </w:t>
      </w:r>
      <w:r w:rsidR="00B12C9A">
        <w:rPr>
          <w:rFonts w:ascii="Arial" w:hAnsi="Arial" w:cs="Arial"/>
          <w:sz w:val="24"/>
          <w:szCs w:val="24"/>
        </w:rPr>
        <w:t>Boden &amp;</w:t>
      </w:r>
      <w:r w:rsidR="002066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6621">
        <w:rPr>
          <w:rFonts w:ascii="Arial" w:hAnsi="Arial" w:cs="Arial"/>
          <w:sz w:val="24"/>
          <w:szCs w:val="24"/>
        </w:rPr>
        <w:t>Ne</w:t>
      </w:r>
      <w:r w:rsidR="00D47699">
        <w:rPr>
          <w:rFonts w:ascii="Arial" w:hAnsi="Arial" w:cs="Arial"/>
          <w:sz w:val="24"/>
          <w:szCs w:val="24"/>
        </w:rPr>
        <w:t>deva</w:t>
      </w:r>
      <w:proofErr w:type="spellEnd"/>
      <w:r w:rsidR="00D47699">
        <w:rPr>
          <w:rFonts w:ascii="Arial" w:hAnsi="Arial" w:cs="Arial"/>
          <w:sz w:val="24"/>
          <w:szCs w:val="24"/>
        </w:rPr>
        <w:t xml:space="preserve"> (2010) </w:t>
      </w:r>
      <w:r w:rsidR="004F4294">
        <w:rPr>
          <w:rFonts w:ascii="Arial" w:hAnsi="Arial" w:cs="Arial"/>
          <w:sz w:val="24"/>
          <w:szCs w:val="24"/>
        </w:rPr>
        <w:t xml:space="preserve">argue that </w:t>
      </w:r>
      <w:r w:rsidR="00F9302A">
        <w:rPr>
          <w:rFonts w:ascii="Arial" w:hAnsi="Arial" w:cs="Arial"/>
          <w:sz w:val="24"/>
          <w:szCs w:val="24"/>
        </w:rPr>
        <w:t xml:space="preserve">while UK universities have a long involvement in </w:t>
      </w:r>
      <w:r w:rsidR="00330BE3">
        <w:rPr>
          <w:rFonts w:ascii="Arial" w:hAnsi="Arial" w:cs="Arial"/>
          <w:sz w:val="24"/>
          <w:szCs w:val="24"/>
        </w:rPr>
        <w:t>the production of us</w:t>
      </w:r>
      <w:r w:rsidR="00302F4A">
        <w:rPr>
          <w:rFonts w:ascii="Arial" w:hAnsi="Arial" w:cs="Arial"/>
          <w:sz w:val="24"/>
          <w:szCs w:val="24"/>
        </w:rPr>
        <w:t xml:space="preserve">eful and productive citizens, they traditionally </w:t>
      </w:r>
      <w:r w:rsidR="00F75988">
        <w:rPr>
          <w:rFonts w:ascii="Arial" w:hAnsi="Arial" w:cs="Arial"/>
          <w:sz w:val="24"/>
          <w:szCs w:val="24"/>
        </w:rPr>
        <w:t>have</w:t>
      </w:r>
      <w:r w:rsidR="004B26C6">
        <w:rPr>
          <w:rFonts w:ascii="Arial" w:hAnsi="Arial" w:cs="Arial"/>
          <w:sz w:val="24"/>
          <w:szCs w:val="24"/>
        </w:rPr>
        <w:t xml:space="preserve"> </w:t>
      </w:r>
      <w:r w:rsidR="006245E6">
        <w:rPr>
          <w:rFonts w:ascii="Arial" w:hAnsi="Arial" w:cs="Arial"/>
          <w:sz w:val="24"/>
          <w:szCs w:val="24"/>
        </w:rPr>
        <w:t>had a significant degree of discretion</w:t>
      </w:r>
      <w:r w:rsidR="00D265B6">
        <w:rPr>
          <w:rFonts w:ascii="Arial" w:hAnsi="Arial" w:cs="Arial"/>
          <w:sz w:val="24"/>
          <w:szCs w:val="24"/>
        </w:rPr>
        <w:t>, w</w:t>
      </w:r>
      <w:r w:rsidR="006245E6">
        <w:rPr>
          <w:rFonts w:ascii="Arial" w:hAnsi="Arial" w:cs="Arial"/>
          <w:sz w:val="24"/>
          <w:szCs w:val="24"/>
        </w:rPr>
        <w:t>hereas now, employability is a performative f</w:t>
      </w:r>
      <w:r w:rsidR="00926B03">
        <w:rPr>
          <w:rFonts w:ascii="Arial" w:hAnsi="Arial" w:cs="Arial"/>
          <w:sz w:val="24"/>
          <w:szCs w:val="24"/>
        </w:rPr>
        <w:t xml:space="preserve">unction of universities, shaped and directed by the state. </w:t>
      </w:r>
      <w:r w:rsidR="007C5D99" w:rsidRPr="6408D7D1">
        <w:rPr>
          <w:rFonts w:ascii="Arial" w:hAnsi="Arial" w:cs="Arial"/>
          <w:sz w:val="24"/>
          <w:szCs w:val="24"/>
        </w:rPr>
        <w:t xml:space="preserve">Successive UK governments have tasked </w:t>
      </w:r>
      <w:bookmarkEnd w:id="3"/>
      <w:r w:rsidR="0024053A">
        <w:rPr>
          <w:rFonts w:ascii="Arial" w:hAnsi="Arial" w:cs="Arial"/>
          <w:sz w:val="24"/>
          <w:szCs w:val="24"/>
        </w:rPr>
        <w:t>h</w:t>
      </w:r>
      <w:r w:rsidR="00EA755F" w:rsidRPr="6408D7D1">
        <w:rPr>
          <w:rFonts w:ascii="Arial" w:hAnsi="Arial" w:cs="Arial"/>
          <w:sz w:val="24"/>
          <w:szCs w:val="24"/>
        </w:rPr>
        <w:t xml:space="preserve">igher education institutions </w:t>
      </w:r>
      <w:r w:rsidR="00D92346" w:rsidRPr="6408D7D1">
        <w:rPr>
          <w:rFonts w:ascii="Arial" w:hAnsi="Arial" w:cs="Arial"/>
          <w:sz w:val="24"/>
          <w:szCs w:val="24"/>
        </w:rPr>
        <w:t xml:space="preserve">to </w:t>
      </w:r>
      <w:r w:rsidR="00150281" w:rsidRPr="6408D7D1">
        <w:rPr>
          <w:rFonts w:ascii="Arial" w:hAnsi="Arial" w:cs="Arial"/>
          <w:sz w:val="24"/>
          <w:szCs w:val="24"/>
        </w:rPr>
        <w:t>fulfil this responsibility</w:t>
      </w:r>
      <w:r w:rsidR="004B20D3" w:rsidRPr="6408D7D1">
        <w:rPr>
          <w:rFonts w:ascii="Arial" w:hAnsi="Arial" w:cs="Arial"/>
          <w:sz w:val="24"/>
          <w:szCs w:val="24"/>
        </w:rPr>
        <w:t xml:space="preserve">, </w:t>
      </w:r>
      <w:r w:rsidR="0061503B" w:rsidRPr="6408D7D1">
        <w:rPr>
          <w:rFonts w:ascii="Arial" w:hAnsi="Arial" w:cs="Arial"/>
          <w:sz w:val="24"/>
          <w:szCs w:val="24"/>
        </w:rPr>
        <w:t xml:space="preserve">to </w:t>
      </w:r>
      <w:r w:rsidR="00150281" w:rsidRPr="6408D7D1">
        <w:rPr>
          <w:rFonts w:ascii="Arial" w:hAnsi="Arial" w:cs="Arial"/>
          <w:sz w:val="24"/>
          <w:szCs w:val="24"/>
        </w:rPr>
        <w:t xml:space="preserve">improve </w:t>
      </w:r>
      <w:r w:rsidR="00C10D5F" w:rsidRPr="6408D7D1">
        <w:rPr>
          <w:rFonts w:ascii="Arial" w:hAnsi="Arial" w:cs="Arial"/>
          <w:sz w:val="24"/>
          <w:szCs w:val="24"/>
        </w:rPr>
        <w:t xml:space="preserve">graduate </w:t>
      </w:r>
      <w:r w:rsidR="00150281" w:rsidRPr="6408D7D1">
        <w:rPr>
          <w:rFonts w:ascii="Arial" w:hAnsi="Arial" w:cs="Arial"/>
          <w:sz w:val="24"/>
          <w:szCs w:val="24"/>
        </w:rPr>
        <w:t xml:space="preserve">employability and </w:t>
      </w:r>
      <w:r w:rsidR="006E60F2" w:rsidRPr="6408D7D1">
        <w:rPr>
          <w:rFonts w:ascii="Arial" w:hAnsi="Arial" w:cs="Arial"/>
          <w:sz w:val="24"/>
          <w:szCs w:val="24"/>
        </w:rPr>
        <w:t xml:space="preserve">graduate employment </w:t>
      </w:r>
      <w:r w:rsidR="00A9341D" w:rsidRPr="6408D7D1">
        <w:rPr>
          <w:rFonts w:ascii="Arial" w:hAnsi="Arial" w:cs="Arial"/>
          <w:sz w:val="24"/>
          <w:szCs w:val="24"/>
        </w:rPr>
        <w:t>levels and</w:t>
      </w:r>
      <w:r w:rsidR="00557EAA" w:rsidRPr="6408D7D1">
        <w:rPr>
          <w:rFonts w:ascii="Arial" w:hAnsi="Arial" w:cs="Arial"/>
          <w:sz w:val="24"/>
          <w:szCs w:val="24"/>
        </w:rPr>
        <w:t xml:space="preserve"> </w:t>
      </w:r>
      <w:r w:rsidR="006E60F2" w:rsidRPr="6408D7D1">
        <w:rPr>
          <w:rFonts w:ascii="Arial" w:hAnsi="Arial" w:cs="Arial"/>
          <w:sz w:val="24"/>
          <w:szCs w:val="24"/>
        </w:rPr>
        <w:t xml:space="preserve">meet </w:t>
      </w:r>
      <w:r w:rsidR="00C10D5F" w:rsidRPr="6408D7D1">
        <w:rPr>
          <w:rFonts w:ascii="Arial" w:hAnsi="Arial" w:cs="Arial"/>
          <w:sz w:val="24"/>
          <w:szCs w:val="24"/>
        </w:rPr>
        <w:t xml:space="preserve">the </w:t>
      </w:r>
      <w:r w:rsidR="00F9170A" w:rsidRPr="6408D7D1">
        <w:rPr>
          <w:rFonts w:ascii="Arial" w:hAnsi="Arial" w:cs="Arial"/>
          <w:sz w:val="24"/>
          <w:szCs w:val="24"/>
        </w:rPr>
        <w:t xml:space="preserve">expectations </w:t>
      </w:r>
      <w:r w:rsidR="00662B38">
        <w:rPr>
          <w:rFonts w:ascii="Arial" w:hAnsi="Arial" w:cs="Arial"/>
          <w:sz w:val="24"/>
          <w:szCs w:val="24"/>
        </w:rPr>
        <w:t xml:space="preserve">of </w:t>
      </w:r>
      <w:r w:rsidR="00F9170A" w:rsidRPr="6408D7D1">
        <w:rPr>
          <w:rFonts w:ascii="Arial" w:hAnsi="Arial" w:cs="Arial"/>
          <w:sz w:val="24"/>
          <w:szCs w:val="24"/>
        </w:rPr>
        <w:t xml:space="preserve">current and prospective students. </w:t>
      </w:r>
      <w:r w:rsidR="00445AF8">
        <w:rPr>
          <w:rFonts w:ascii="Arial" w:hAnsi="Arial" w:cs="Arial"/>
          <w:sz w:val="24"/>
          <w:szCs w:val="24"/>
        </w:rPr>
        <w:t>E</w:t>
      </w:r>
      <w:r w:rsidR="00AC7560" w:rsidRPr="6408D7D1">
        <w:rPr>
          <w:rFonts w:ascii="Arial" w:hAnsi="Arial" w:cs="Arial"/>
          <w:sz w:val="24"/>
          <w:szCs w:val="24"/>
        </w:rPr>
        <w:t>mployability</w:t>
      </w:r>
      <w:r w:rsidR="00445AF8">
        <w:rPr>
          <w:rFonts w:ascii="Arial" w:hAnsi="Arial" w:cs="Arial"/>
          <w:sz w:val="24"/>
          <w:szCs w:val="24"/>
        </w:rPr>
        <w:t xml:space="preserve"> is also </w:t>
      </w:r>
      <w:r w:rsidR="00FF00A2">
        <w:rPr>
          <w:rFonts w:ascii="Arial" w:hAnsi="Arial" w:cs="Arial"/>
          <w:sz w:val="24"/>
          <w:szCs w:val="24"/>
        </w:rPr>
        <w:t xml:space="preserve">a </w:t>
      </w:r>
      <w:r w:rsidR="00FF00A2" w:rsidRPr="6408D7D1">
        <w:rPr>
          <w:rFonts w:ascii="Arial" w:hAnsi="Arial" w:cs="Arial"/>
          <w:sz w:val="24"/>
          <w:szCs w:val="24"/>
        </w:rPr>
        <w:t>key</w:t>
      </w:r>
      <w:r w:rsidR="00541665" w:rsidRPr="6408D7D1">
        <w:rPr>
          <w:rFonts w:ascii="Arial" w:hAnsi="Arial" w:cs="Arial"/>
          <w:sz w:val="24"/>
          <w:szCs w:val="24"/>
        </w:rPr>
        <w:t xml:space="preserve"> component within the </w:t>
      </w:r>
      <w:r w:rsidR="00C45468" w:rsidRPr="6408D7D1">
        <w:rPr>
          <w:rFonts w:ascii="Arial" w:hAnsi="Arial" w:cs="Arial"/>
          <w:sz w:val="24"/>
          <w:szCs w:val="24"/>
        </w:rPr>
        <w:t xml:space="preserve">Teaching </w:t>
      </w:r>
      <w:r w:rsidR="00353699" w:rsidRPr="6408D7D1">
        <w:rPr>
          <w:rFonts w:ascii="Arial" w:hAnsi="Arial" w:cs="Arial"/>
          <w:sz w:val="24"/>
          <w:szCs w:val="24"/>
        </w:rPr>
        <w:t>Excellence Framework</w:t>
      </w:r>
      <w:r w:rsidR="001F079B" w:rsidRPr="6408D7D1">
        <w:rPr>
          <w:rFonts w:ascii="Arial" w:hAnsi="Arial" w:cs="Arial"/>
          <w:sz w:val="24"/>
          <w:szCs w:val="24"/>
        </w:rPr>
        <w:t xml:space="preserve">, </w:t>
      </w:r>
      <w:r w:rsidR="00557EAA" w:rsidRPr="6408D7D1">
        <w:rPr>
          <w:rFonts w:ascii="Arial" w:hAnsi="Arial" w:cs="Arial"/>
          <w:sz w:val="24"/>
          <w:szCs w:val="24"/>
        </w:rPr>
        <w:t xml:space="preserve">a national </w:t>
      </w:r>
      <w:r w:rsidR="0052548F">
        <w:rPr>
          <w:rFonts w:ascii="Arial" w:hAnsi="Arial" w:cs="Arial"/>
          <w:sz w:val="24"/>
          <w:szCs w:val="24"/>
        </w:rPr>
        <w:t>policy</w:t>
      </w:r>
      <w:r w:rsidR="0052548F" w:rsidRPr="6408D7D1">
        <w:rPr>
          <w:rFonts w:ascii="Arial" w:hAnsi="Arial" w:cs="Arial"/>
          <w:sz w:val="24"/>
          <w:szCs w:val="24"/>
        </w:rPr>
        <w:t xml:space="preserve"> </w:t>
      </w:r>
      <w:r w:rsidR="001F079B" w:rsidRPr="6408D7D1">
        <w:rPr>
          <w:rFonts w:ascii="Arial" w:hAnsi="Arial" w:cs="Arial"/>
          <w:sz w:val="24"/>
          <w:szCs w:val="24"/>
        </w:rPr>
        <w:t xml:space="preserve">introduced in 2016 </w:t>
      </w:r>
      <w:r w:rsidR="00557EAA" w:rsidRPr="6408D7D1">
        <w:rPr>
          <w:rFonts w:ascii="Arial" w:hAnsi="Arial" w:cs="Arial"/>
          <w:sz w:val="24"/>
          <w:szCs w:val="24"/>
        </w:rPr>
        <w:t xml:space="preserve">aimed at rating and enhancing </w:t>
      </w:r>
      <w:r w:rsidR="00662B38">
        <w:rPr>
          <w:rFonts w:ascii="Arial" w:hAnsi="Arial" w:cs="Arial"/>
          <w:sz w:val="24"/>
          <w:szCs w:val="24"/>
        </w:rPr>
        <w:t xml:space="preserve">the </w:t>
      </w:r>
      <w:r w:rsidR="00557EAA" w:rsidRPr="6408D7D1">
        <w:rPr>
          <w:rFonts w:ascii="Arial" w:hAnsi="Arial" w:cs="Arial"/>
          <w:sz w:val="24"/>
          <w:szCs w:val="24"/>
        </w:rPr>
        <w:t>student experience</w:t>
      </w:r>
      <w:r w:rsidR="00DA3C65" w:rsidRPr="6408D7D1">
        <w:rPr>
          <w:rFonts w:ascii="Arial" w:hAnsi="Arial" w:cs="Arial"/>
          <w:sz w:val="24"/>
          <w:szCs w:val="24"/>
        </w:rPr>
        <w:t xml:space="preserve">. </w:t>
      </w:r>
      <w:r w:rsidR="00445AF8">
        <w:rPr>
          <w:rFonts w:ascii="Arial" w:hAnsi="Arial" w:cs="Arial"/>
          <w:sz w:val="24"/>
          <w:szCs w:val="24"/>
        </w:rPr>
        <w:t>As a result</w:t>
      </w:r>
      <w:r w:rsidR="00B07D37" w:rsidRPr="6408D7D1">
        <w:rPr>
          <w:rFonts w:ascii="Arial" w:hAnsi="Arial" w:cs="Arial"/>
          <w:sz w:val="24"/>
          <w:szCs w:val="24"/>
        </w:rPr>
        <w:t>,</w:t>
      </w:r>
      <w:r w:rsidR="0011425B">
        <w:rPr>
          <w:rFonts w:ascii="Arial" w:hAnsi="Arial" w:cs="Arial"/>
          <w:sz w:val="24"/>
          <w:szCs w:val="24"/>
        </w:rPr>
        <w:t xml:space="preserve"> </w:t>
      </w:r>
      <w:r w:rsidR="00B851E1" w:rsidRPr="6408D7D1">
        <w:rPr>
          <w:rFonts w:ascii="Arial" w:hAnsi="Arial" w:cs="Arial"/>
          <w:sz w:val="24"/>
          <w:szCs w:val="24"/>
        </w:rPr>
        <w:t>HEIs</w:t>
      </w:r>
      <w:r w:rsidR="0011425B">
        <w:rPr>
          <w:rFonts w:ascii="Arial" w:hAnsi="Arial" w:cs="Arial"/>
          <w:sz w:val="24"/>
          <w:szCs w:val="24"/>
        </w:rPr>
        <w:t xml:space="preserve"> h</w:t>
      </w:r>
      <w:r w:rsidR="00A9341D" w:rsidRPr="6408D7D1">
        <w:rPr>
          <w:rFonts w:ascii="Arial" w:hAnsi="Arial" w:cs="Arial"/>
          <w:sz w:val="24"/>
          <w:szCs w:val="24"/>
        </w:rPr>
        <w:t xml:space="preserve">ave </w:t>
      </w:r>
      <w:r w:rsidR="004E50D0" w:rsidRPr="6408D7D1">
        <w:rPr>
          <w:rFonts w:ascii="Arial" w:hAnsi="Arial" w:cs="Arial"/>
          <w:sz w:val="24"/>
          <w:szCs w:val="24"/>
        </w:rPr>
        <w:t>endeavoured</w:t>
      </w:r>
      <w:r w:rsidR="00B07D37" w:rsidRPr="6408D7D1">
        <w:rPr>
          <w:rFonts w:ascii="Arial" w:hAnsi="Arial" w:cs="Arial"/>
          <w:sz w:val="24"/>
          <w:szCs w:val="24"/>
        </w:rPr>
        <w:t xml:space="preserve"> to embed employability into their curricula </w:t>
      </w:r>
      <w:r w:rsidR="008A1F43" w:rsidRPr="6408D7D1">
        <w:rPr>
          <w:rFonts w:ascii="Arial" w:hAnsi="Arial" w:cs="Arial"/>
          <w:sz w:val="24"/>
          <w:szCs w:val="24"/>
        </w:rPr>
        <w:t xml:space="preserve">(Fallows </w:t>
      </w:r>
      <w:r w:rsidR="411DF52A" w:rsidRPr="6408D7D1">
        <w:rPr>
          <w:rFonts w:ascii="Arial" w:hAnsi="Arial" w:cs="Arial"/>
          <w:sz w:val="24"/>
          <w:szCs w:val="24"/>
        </w:rPr>
        <w:t>&amp;</w:t>
      </w:r>
      <w:r w:rsidR="00D10895">
        <w:rPr>
          <w:rFonts w:ascii="Arial" w:hAnsi="Arial" w:cs="Arial"/>
          <w:sz w:val="24"/>
          <w:szCs w:val="24"/>
        </w:rPr>
        <w:t xml:space="preserve"> </w:t>
      </w:r>
      <w:r w:rsidR="008A1F43" w:rsidRPr="6408D7D1">
        <w:rPr>
          <w:rFonts w:ascii="Arial" w:hAnsi="Arial" w:cs="Arial"/>
          <w:sz w:val="24"/>
          <w:szCs w:val="24"/>
        </w:rPr>
        <w:t>Steven, 2000).</w:t>
      </w:r>
      <w:r w:rsidR="00C46380" w:rsidRPr="6408D7D1">
        <w:rPr>
          <w:rFonts w:ascii="Arial" w:hAnsi="Arial" w:cs="Arial"/>
          <w:sz w:val="24"/>
          <w:szCs w:val="24"/>
        </w:rPr>
        <w:t xml:space="preserve"> </w:t>
      </w:r>
      <w:r w:rsidR="00A55891">
        <w:rPr>
          <w:rFonts w:ascii="Arial" w:hAnsi="Arial" w:cs="Arial"/>
          <w:sz w:val="24"/>
          <w:szCs w:val="24"/>
        </w:rPr>
        <w:t>In</w:t>
      </w:r>
      <w:r w:rsidR="00D22DE5" w:rsidRPr="6408D7D1">
        <w:rPr>
          <w:rFonts w:ascii="Arial" w:hAnsi="Arial" w:cs="Arial"/>
          <w:sz w:val="24"/>
          <w:szCs w:val="24"/>
        </w:rPr>
        <w:t xml:space="preserve"> practice</w:t>
      </w:r>
      <w:r w:rsidR="00C93B99">
        <w:rPr>
          <w:rFonts w:ascii="Arial" w:hAnsi="Arial" w:cs="Arial"/>
          <w:sz w:val="24"/>
          <w:szCs w:val="24"/>
        </w:rPr>
        <w:t>,</w:t>
      </w:r>
      <w:r w:rsidR="00D22DE5" w:rsidRPr="6408D7D1">
        <w:rPr>
          <w:rFonts w:ascii="Arial" w:hAnsi="Arial" w:cs="Arial"/>
          <w:sz w:val="24"/>
          <w:szCs w:val="24"/>
        </w:rPr>
        <w:t xml:space="preserve"> </w:t>
      </w:r>
      <w:r w:rsidR="0046787B" w:rsidRPr="6408D7D1">
        <w:rPr>
          <w:rFonts w:ascii="Arial" w:hAnsi="Arial" w:cs="Arial"/>
          <w:sz w:val="24"/>
          <w:szCs w:val="24"/>
        </w:rPr>
        <w:t xml:space="preserve">this can be </w:t>
      </w:r>
      <w:r w:rsidR="00452FA1" w:rsidRPr="6408D7D1">
        <w:rPr>
          <w:rFonts w:ascii="Arial" w:hAnsi="Arial" w:cs="Arial"/>
          <w:sz w:val="24"/>
          <w:szCs w:val="24"/>
        </w:rPr>
        <w:t>challenging to achieve</w:t>
      </w:r>
      <w:r w:rsidR="00603250" w:rsidRPr="6408D7D1">
        <w:rPr>
          <w:rFonts w:ascii="Arial" w:hAnsi="Arial" w:cs="Arial"/>
          <w:sz w:val="24"/>
          <w:szCs w:val="24"/>
        </w:rPr>
        <w:t xml:space="preserve"> due to </w:t>
      </w:r>
      <w:r w:rsidR="00345AC6" w:rsidRPr="6408D7D1">
        <w:rPr>
          <w:rFonts w:ascii="Arial" w:hAnsi="Arial" w:cs="Arial"/>
          <w:sz w:val="24"/>
          <w:szCs w:val="24"/>
        </w:rPr>
        <w:t xml:space="preserve">the </w:t>
      </w:r>
      <w:r w:rsidR="00C93B99">
        <w:rPr>
          <w:rFonts w:ascii="Arial" w:hAnsi="Arial" w:cs="Arial"/>
          <w:sz w:val="24"/>
          <w:szCs w:val="24"/>
        </w:rPr>
        <w:t xml:space="preserve">challenges surrounding </w:t>
      </w:r>
      <w:r w:rsidR="0020143C">
        <w:rPr>
          <w:rFonts w:ascii="Arial" w:hAnsi="Arial" w:cs="Arial"/>
          <w:sz w:val="24"/>
          <w:szCs w:val="24"/>
        </w:rPr>
        <w:t xml:space="preserve">the </w:t>
      </w:r>
      <w:r w:rsidR="00345AC6" w:rsidRPr="6408D7D1">
        <w:rPr>
          <w:rFonts w:ascii="Arial" w:hAnsi="Arial" w:cs="Arial"/>
          <w:sz w:val="24"/>
          <w:szCs w:val="24"/>
        </w:rPr>
        <w:t xml:space="preserve">application of knowledge, staff and of resources within institutions </w:t>
      </w:r>
      <w:r w:rsidR="0020181D" w:rsidRPr="6408D7D1">
        <w:rPr>
          <w:rFonts w:ascii="Arial" w:hAnsi="Arial" w:cs="Arial"/>
          <w:sz w:val="24"/>
          <w:szCs w:val="24"/>
        </w:rPr>
        <w:t xml:space="preserve">(Senior, et </w:t>
      </w:r>
      <w:r w:rsidR="0085165A">
        <w:rPr>
          <w:rFonts w:ascii="Arial" w:hAnsi="Arial" w:cs="Arial"/>
          <w:sz w:val="24"/>
          <w:szCs w:val="24"/>
        </w:rPr>
        <w:t>a</w:t>
      </w:r>
      <w:r w:rsidR="0020181D" w:rsidRPr="6408D7D1">
        <w:rPr>
          <w:rFonts w:ascii="Arial" w:hAnsi="Arial" w:cs="Arial"/>
          <w:sz w:val="24"/>
          <w:szCs w:val="24"/>
        </w:rPr>
        <w:t>l</w:t>
      </w:r>
      <w:r w:rsidR="76CBA388" w:rsidRPr="6408D7D1">
        <w:rPr>
          <w:rFonts w:ascii="Arial" w:hAnsi="Arial" w:cs="Arial"/>
          <w:sz w:val="24"/>
          <w:szCs w:val="24"/>
        </w:rPr>
        <w:t>.</w:t>
      </w:r>
      <w:r w:rsidR="0020181D" w:rsidRPr="6408D7D1">
        <w:rPr>
          <w:rFonts w:ascii="Arial" w:hAnsi="Arial" w:cs="Arial"/>
          <w:sz w:val="24"/>
          <w:szCs w:val="24"/>
        </w:rPr>
        <w:t xml:space="preserve"> 2018</w:t>
      </w:r>
      <w:r w:rsidR="7B9BD1DE" w:rsidRPr="6408D7D1">
        <w:rPr>
          <w:rFonts w:ascii="Arial" w:hAnsi="Arial" w:cs="Arial"/>
          <w:sz w:val="24"/>
          <w:szCs w:val="24"/>
        </w:rPr>
        <w:t>;</w:t>
      </w:r>
      <w:r w:rsidR="0020181D" w:rsidRPr="6408D7D1">
        <w:rPr>
          <w:rFonts w:ascii="Arial" w:hAnsi="Arial" w:cs="Arial"/>
          <w:sz w:val="24"/>
          <w:szCs w:val="24"/>
        </w:rPr>
        <w:t xml:space="preserve"> Taylor &amp; Parsons, 2011).</w:t>
      </w:r>
    </w:p>
    <w:p w14:paraId="3F374DA4" w14:textId="19F2834A" w:rsidR="00D60519" w:rsidRDefault="00A26028" w:rsidP="007F69EB">
      <w:pPr>
        <w:spacing w:line="360" w:lineRule="auto"/>
        <w:outlineLvl w:val="1"/>
        <w:rPr>
          <w:rFonts w:ascii="Arial" w:hAnsi="Arial" w:cs="Arial"/>
          <w:sz w:val="24"/>
          <w:szCs w:val="24"/>
        </w:rPr>
      </w:pPr>
      <w:r w:rsidRPr="6408D7D1">
        <w:rPr>
          <w:rFonts w:ascii="Arial" w:hAnsi="Arial" w:cs="Arial"/>
          <w:sz w:val="24"/>
          <w:szCs w:val="24"/>
        </w:rPr>
        <w:t>A UK Commission for Employment and Skills report</w:t>
      </w:r>
      <w:r w:rsidR="00DB5922" w:rsidRPr="6408D7D1">
        <w:rPr>
          <w:rFonts w:ascii="Arial" w:hAnsi="Arial" w:cs="Arial"/>
          <w:sz w:val="24"/>
          <w:szCs w:val="24"/>
        </w:rPr>
        <w:t xml:space="preserve">, “The Employability Challenge” (2009) highlighted that </w:t>
      </w:r>
      <w:r w:rsidR="00567BBA" w:rsidRPr="6408D7D1">
        <w:rPr>
          <w:rFonts w:ascii="Arial" w:hAnsi="Arial" w:cs="Arial"/>
          <w:sz w:val="24"/>
          <w:szCs w:val="24"/>
        </w:rPr>
        <w:t xml:space="preserve">developing employability skills is not complicated but is challenging. </w:t>
      </w:r>
      <w:r w:rsidR="00B65A2D" w:rsidRPr="6408D7D1">
        <w:rPr>
          <w:rFonts w:ascii="Arial" w:hAnsi="Arial" w:cs="Arial"/>
          <w:sz w:val="24"/>
          <w:szCs w:val="24"/>
        </w:rPr>
        <w:t>I</w:t>
      </w:r>
      <w:r w:rsidR="00662DF3" w:rsidRPr="6408D7D1">
        <w:rPr>
          <w:rFonts w:ascii="Arial" w:hAnsi="Arial" w:cs="Arial"/>
          <w:sz w:val="24"/>
          <w:szCs w:val="24"/>
        </w:rPr>
        <w:t xml:space="preserve">t requires </w:t>
      </w:r>
      <w:r w:rsidR="004821E3" w:rsidRPr="6408D7D1">
        <w:rPr>
          <w:rFonts w:ascii="Arial" w:hAnsi="Arial" w:cs="Arial"/>
          <w:sz w:val="24"/>
          <w:szCs w:val="24"/>
        </w:rPr>
        <w:t xml:space="preserve">a properly resourced environment, leadership, </w:t>
      </w:r>
      <w:r w:rsidR="00B65A2D" w:rsidRPr="6408D7D1">
        <w:rPr>
          <w:rFonts w:ascii="Arial" w:hAnsi="Arial" w:cs="Arial"/>
          <w:sz w:val="24"/>
          <w:szCs w:val="24"/>
        </w:rPr>
        <w:t>funding and incentive structures for staff</w:t>
      </w:r>
      <w:r w:rsidR="004E50D0" w:rsidRPr="6408D7D1">
        <w:rPr>
          <w:rFonts w:ascii="Arial" w:hAnsi="Arial" w:cs="Arial"/>
          <w:sz w:val="24"/>
          <w:szCs w:val="24"/>
        </w:rPr>
        <w:t xml:space="preserve">. </w:t>
      </w:r>
      <w:r w:rsidR="00445AF8">
        <w:rPr>
          <w:rFonts w:ascii="Arial" w:hAnsi="Arial" w:cs="Arial"/>
          <w:sz w:val="24"/>
          <w:szCs w:val="24"/>
        </w:rPr>
        <w:t xml:space="preserve">Barriers to student participation in employability enhancing activities include </w:t>
      </w:r>
      <w:r w:rsidR="00ED7919">
        <w:rPr>
          <w:rFonts w:ascii="Arial" w:hAnsi="Arial" w:cs="Arial"/>
          <w:sz w:val="24"/>
          <w:szCs w:val="24"/>
        </w:rPr>
        <w:t>work</w:t>
      </w:r>
      <w:r w:rsidR="00ED42D2">
        <w:rPr>
          <w:rFonts w:ascii="Arial" w:hAnsi="Arial" w:cs="Arial"/>
          <w:sz w:val="24"/>
          <w:szCs w:val="24"/>
        </w:rPr>
        <w:t>/study commitments, financial/health pressures</w:t>
      </w:r>
      <w:r w:rsidR="004957DA">
        <w:rPr>
          <w:rFonts w:ascii="Arial" w:hAnsi="Arial" w:cs="Arial"/>
          <w:sz w:val="24"/>
          <w:szCs w:val="24"/>
        </w:rPr>
        <w:t xml:space="preserve"> and</w:t>
      </w:r>
      <w:r w:rsidR="001B2985">
        <w:rPr>
          <w:rFonts w:ascii="Arial" w:hAnsi="Arial" w:cs="Arial"/>
          <w:sz w:val="24"/>
          <w:szCs w:val="24"/>
        </w:rPr>
        <w:t xml:space="preserve"> a variable</w:t>
      </w:r>
      <w:r w:rsidR="004957DA">
        <w:rPr>
          <w:rFonts w:ascii="Arial" w:hAnsi="Arial" w:cs="Arial"/>
          <w:sz w:val="24"/>
          <w:szCs w:val="24"/>
        </w:rPr>
        <w:t xml:space="preserve"> lack of </w:t>
      </w:r>
      <w:r w:rsidR="001B2985">
        <w:rPr>
          <w:rFonts w:ascii="Arial" w:hAnsi="Arial" w:cs="Arial"/>
          <w:sz w:val="24"/>
          <w:szCs w:val="24"/>
        </w:rPr>
        <w:t xml:space="preserve">student </w:t>
      </w:r>
      <w:r w:rsidR="004957DA">
        <w:rPr>
          <w:rFonts w:ascii="Arial" w:hAnsi="Arial" w:cs="Arial"/>
          <w:sz w:val="24"/>
          <w:szCs w:val="24"/>
        </w:rPr>
        <w:t>confidence and awareness</w:t>
      </w:r>
      <w:r w:rsidR="006B1946" w:rsidRPr="6408D7D1">
        <w:rPr>
          <w:rFonts w:ascii="Arial" w:hAnsi="Arial" w:cs="Arial"/>
          <w:sz w:val="24"/>
          <w:szCs w:val="24"/>
        </w:rPr>
        <w:t xml:space="preserve"> (Jackson, </w:t>
      </w:r>
      <w:r w:rsidR="005E2D01" w:rsidRPr="6408D7D1">
        <w:rPr>
          <w:rFonts w:ascii="Arial" w:hAnsi="Arial" w:cs="Arial"/>
          <w:sz w:val="24"/>
          <w:szCs w:val="24"/>
        </w:rPr>
        <w:t>et al. 2024)</w:t>
      </w:r>
      <w:r w:rsidR="00B40D5D" w:rsidRPr="6408D7D1">
        <w:rPr>
          <w:rFonts w:ascii="Arial" w:hAnsi="Arial" w:cs="Arial"/>
          <w:sz w:val="24"/>
          <w:szCs w:val="24"/>
        </w:rPr>
        <w:t xml:space="preserve">. </w:t>
      </w:r>
      <w:r w:rsidR="009E526D" w:rsidRPr="6408D7D1">
        <w:rPr>
          <w:rFonts w:ascii="Arial" w:hAnsi="Arial" w:cs="Arial"/>
          <w:sz w:val="24"/>
          <w:szCs w:val="24"/>
        </w:rPr>
        <w:t>A</w:t>
      </w:r>
      <w:r w:rsidR="00345AC6" w:rsidRPr="6408D7D1">
        <w:rPr>
          <w:rFonts w:ascii="Arial" w:hAnsi="Arial" w:cs="Arial"/>
          <w:sz w:val="24"/>
          <w:szCs w:val="24"/>
        </w:rPr>
        <w:t xml:space="preserve"> recent article reported that more than half of UK students are working long hours in paid work due to a lack of funding and the </w:t>
      </w:r>
      <w:r w:rsidR="00AC402B" w:rsidRPr="6408D7D1">
        <w:rPr>
          <w:rFonts w:ascii="Arial" w:hAnsi="Arial" w:cs="Arial"/>
          <w:sz w:val="24"/>
          <w:szCs w:val="24"/>
        </w:rPr>
        <w:t>cost-of-living</w:t>
      </w:r>
      <w:r w:rsidR="00345AC6" w:rsidRPr="6408D7D1">
        <w:rPr>
          <w:rFonts w:ascii="Arial" w:hAnsi="Arial" w:cs="Arial"/>
          <w:sz w:val="24"/>
          <w:szCs w:val="24"/>
        </w:rPr>
        <w:t xml:space="preserve"> crisis (The Guardian, 2024). </w:t>
      </w:r>
      <w:r w:rsidR="004E50D0" w:rsidRPr="6408D7D1">
        <w:rPr>
          <w:rFonts w:ascii="Arial" w:hAnsi="Arial" w:cs="Arial"/>
          <w:sz w:val="24"/>
          <w:szCs w:val="24"/>
        </w:rPr>
        <w:t>Beyond ‘not having the time’, c</w:t>
      </w:r>
      <w:r w:rsidR="00B40D5D" w:rsidRPr="6408D7D1">
        <w:rPr>
          <w:rFonts w:ascii="Arial" w:hAnsi="Arial" w:cs="Arial"/>
          <w:sz w:val="24"/>
          <w:szCs w:val="24"/>
        </w:rPr>
        <w:t>ommon inhibitors to engagement with non-core career learning activities include students viewing these as optional; an anxiety in engaging with their future (especially since the Covid-19 pandemic); as something</w:t>
      </w:r>
      <w:r w:rsidR="00B40D5D" w:rsidRPr="6408D7D1">
        <w:rPr>
          <w:rStyle w:val="CommentReference"/>
        </w:rPr>
        <w:t xml:space="preserve"> </w:t>
      </w:r>
      <w:r w:rsidR="00B40D5D" w:rsidRPr="6408D7D1">
        <w:rPr>
          <w:rFonts w:ascii="Arial" w:hAnsi="Arial" w:cs="Arial"/>
          <w:sz w:val="24"/>
          <w:szCs w:val="24"/>
        </w:rPr>
        <w:t xml:space="preserve">to do </w:t>
      </w:r>
      <w:r w:rsidR="00BF5E0F" w:rsidRPr="6408D7D1">
        <w:rPr>
          <w:rFonts w:ascii="Arial" w:hAnsi="Arial" w:cs="Arial"/>
          <w:sz w:val="24"/>
          <w:szCs w:val="24"/>
        </w:rPr>
        <w:t>‘later’</w:t>
      </w:r>
      <w:r w:rsidR="00B40D5D" w:rsidRPr="6408D7D1">
        <w:rPr>
          <w:rFonts w:ascii="Arial" w:hAnsi="Arial" w:cs="Arial"/>
          <w:sz w:val="24"/>
          <w:szCs w:val="24"/>
        </w:rPr>
        <w:t>; and importantly, that such activities are not rewarded with academic credit (Donald, et al, 2019).</w:t>
      </w:r>
      <w:r w:rsidR="0074401D">
        <w:rPr>
          <w:rFonts w:ascii="Arial" w:hAnsi="Arial" w:cs="Arial"/>
          <w:sz w:val="24"/>
          <w:szCs w:val="24"/>
        </w:rPr>
        <w:t xml:space="preserve"> </w:t>
      </w:r>
      <w:r w:rsidR="00445AF8">
        <w:rPr>
          <w:rFonts w:ascii="Arial" w:hAnsi="Arial" w:cs="Arial"/>
          <w:sz w:val="24"/>
          <w:szCs w:val="24"/>
        </w:rPr>
        <w:t xml:space="preserve">Indeed, </w:t>
      </w:r>
      <w:r w:rsidR="00991720" w:rsidRPr="00991720">
        <w:rPr>
          <w:rFonts w:ascii="Arial" w:hAnsi="Arial" w:cs="Arial"/>
          <w:sz w:val="24"/>
          <w:szCs w:val="24"/>
        </w:rPr>
        <w:t>Jorre de St Jorre &amp; Oliver</w:t>
      </w:r>
      <w:r w:rsidR="00372908">
        <w:rPr>
          <w:rFonts w:ascii="Arial" w:hAnsi="Arial" w:cs="Arial"/>
          <w:sz w:val="24"/>
          <w:szCs w:val="24"/>
        </w:rPr>
        <w:t xml:space="preserve"> </w:t>
      </w:r>
      <w:r w:rsidR="00991720" w:rsidRPr="00991720">
        <w:rPr>
          <w:rFonts w:ascii="Arial" w:hAnsi="Arial" w:cs="Arial"/>
          <w:sz w:val="24"/>
          <w:szCs w:val="24"/>
        </w:rPr>
        <w:t>(2017</w:t>
      </w:r>
      <w:r w:rsidR="00991720">
        <w:rPr>
          <w:rFonts w:ascii="Arial" w:hAnsi="Arial" w:cs="Arial"/>
          <w:sz w:val="24"/>
          <w:szCs w:val="24"/>
        </w:rPr>
        <w:t xml:space="preserve">) </w:t>
      </w:r>
      <w:r w:rsidR="00C50FD0">
        <w:rPr>
          <w:rFonts w:ascii="Arial" w:hAnsi="Arial" w:cs="Arial"/>
          <w:sz w:val="24"/>
          <w:szCs w:val="24"/>
        </w:rPr>
        <w:t xml:space="preserve">found that </w:t>
      </w:r>
      <w:r w:rsidR="00513314">
        <w:rPr>
          <w:rFonts w:ascii="Arial" w:hAnsi="Arial" w:cs="Arial"/>
          <w:sz w:val="24"/>
          <w:szCs w:val="24"/>
        </w:rPr>
        <w:t>students often find graduate learning outcomes too generic to be meaningful</w:t>
      </w:r>
      <w:r w:rsidR="003F2DBF">
        <w:rPr>
          <w:rFonts w:ascii="Arial" w:hAnsi="Arial" w:cs="Arial"/>
          <w:sz w:val="24"/>
          <w:szCs w:val="24"/>
        </w:rPr>
        <w:t xml:space="preserve"> and that they are most likely to engage with learning outcomes </w:t>
      </w:r>
      <w:r w:rsidR="00F2598C">
        <w:rPr>
          <w:rFonts w:ascii="Arial" w:hAnsi="Arial" w:cs="Arial"/>
          <w:sz w:val="24"/>
          <w:szCs w:val="24"/>
        </w:rPr>
        <w:t>which</w:t>
      </w:r>
      <w:r w:rsidR="003F2DBF">
        <w:rPr>
          <w:rFonts w:ascii="Arial" w:hAnsi="Arial" w:cs="Arial"/>
          <w:sz w:val="24"/>
          <w:szCs w:val="24"/>
        </w:rPr>
        <w:t xml:space="preserve"> are contextualised and assessed.</w:t>
      </w:r>
      <w:r w:rsidR="00B40D5D" w:rsidRPr="6408D7D1">
        <w:rPr>
          <w:rFonts w:ascii="Arial" w:hAnsi="Arial" w:cs="Arial"/>
          <w:sz w:val="24"/>
          <w:szCs w:val="24"/>
        </w:rPr>
        <w:t xml:space="preserve"> </w:t>
      </w:r>
      <w:r w:rsidR="005752E9">
        <w:rPr>
          <w:rFonts w:ascii="Arial" w:hAnsi="Arial" w:cs="Arial"/>
          <w:sz w:val="24"/>
          <w:szCs w:val="24"/>
        </w:rPr>
        <w:t xml:space="preserve">Research by </w:t>
      </w:r>
      <w:r w:rsidR="0076794B">
        <w:rPr>
          <w:rFonts w:ascii="Arial" w:hAnsi="Arial" w:cs="Arial"/>
          <w:sz w:val="24"/>
          <w:szCs w:val="24"/>
        </w:rPr>
        <w:t>Tymon (2013)</w:t>
      </w:r>
      <w:r w:rsidR="00B465E6">
        <w:rPr>
          <w:rFonts w:ascii="Arial" w:hAnsi="Arial" w:cs="Arial"/>
          <w:sz w:val="24"/>
          <w:szCs w:val="24"/>
        </w:rPr>
        <w:t xml:space="preserve"> </w:t>
      </w:r>
      <w:r w:rsidR="005752E9">
        <w:rPr>
          <w:rFonts w:ascii="Arial" w:hAnsi="Arial" w:cs="Arial"/>
          <w:sz w:val="24"/>
          <w:szCs w:val="24"/>
        </w:rPr>
        <w:t>has shown</w:t>
      </w:r>
      <w:r w:rsidR="00B465E6">
        <w:rPr>
          <w:rFonts w:ascii="Arial" w:hAnsi="Arial" w:cs="Arial"/>
          <w:sz w:val="24"/>
          <w:szCs w:val="24"/>
        </w:rPr>
        <w:t xml:space="preserve"> that </w:t>
      </w:r>
      <w:r w:rsidR="000C29AB">
        <w:rPr>
          <w:rFonts w:ascii="Arial" w:hAnsi="Arial" w:cs="Arial"/>
          <w:sz w:val="24"/>
          <w:szCs w:val="24"/>
        </w:rPr>
        <w:t xml:space="preserve">when </w:t>
      </w:r>
      <w:r w:rsidR="00B465E6">
        <w:rPr>
          <w:rFonts w:ascii="Arial" w:hAnsi="Arial" w:cs="Arial"/>
          <w:sz w:val="24"/>
          <w:szCs w:val="24"/>
        </w:rPr>
        <w:t>student</w:t>
      </w:r>
      <w:r w:rsidR="0039619B">
        <w:rPr>
          <w:rFonts w:ascii="Arial" w:hAnsi="Arial" w:cs="Arial"/>
          <w:sz w:val="24"/>
          <w:szCs w:val="24"/>
        </w:rPr>
        <w:t xml:space="preserve">s </w:t>
      </w:r>
      <w:r w:rsidR="000C29AB">
        <w:rPr>
          <w:rFonts w:ascii="Arial" w:hAnsi="Arial" w:cs="Arial"/>
          <w:sz w:val="24"/>
          <w:szCs w:val="24"/>
        </w:rPr>
        <w:t xml:space="preserve">were asked why </w:t>
      </w:r>
      <w:r w:rsidR="0039619B">
        <w:rPr>
          <w:rFonts w:ascii="Arial" w:hAnsi="Arial" w:cs="Arial"/>
          <w:sz w:val="24"/>
          <w:szCs w:val="24"/>
        </w:rPr>
        <w:lastRenderedPageBreak/>
        <w:t>employability matters</w:t>
      </w:r>
      <w:r w:rsidR="002D6029">
        <w:rPr>
          <w:rFonts w:ascii="Arial" w:hAnsi="Arial" w:cs="Arial"/>
          <w:sz w:val="24"/>
          <w:szCs w:val="24"/>
        </w:rPr>
        <w:t xml:space="preserve"> to them</w:t>
      </w:r>
      <w:r w:rsidR="000C29AB">
        <w:rPr>
          <w:rFonts w:ascii="Arial" w:hAnsi="Arial" w:cs="Arial"/>
          <w:sz w:val="24"/>
          <w:szCs w:val="24"/>
        </w:rPr>
        <w:t xml:space="preserve">, </w:t>
      </w:r>
      <w:r w:rsidR="0052548F">
        <w:rPr>
          <w:rFonts w:ascii="Arial" w:hAnsi="Arial" w:cs="Arial"/>
          <w:sz w:val="24"/>
          <w:szCs w:val="24"/>
        </w:rPr>
        <w:t>it</w:t>
      </w:r>
      <w:r w:rsidR="00445AF8">
        <w:rPr>
          <w:rFonts w:ascii="Arial" w:hAnsi="Arial" w:cs="Arial"/>
          <w:sz w:val="24"/>
          <w:szCs w:val="24"/>
        </w:rPr>
        <w:t xml:space="preserve"> </w:t>
      </w:r>
      <w:r w:rsidR="00C65844">
        <w:rPr>
          <w:rFonts w:ascii="Arial" w:hAnsi="Arial" w:cs="Arial"/>
          <w:sz w:val="24"/>
          <w:szCs w:val="24"/>
        </w:rPr>
        <w:t>did so</w:t>
      </w:r>
      <w:r w:rsidR="0039619B">
        <w:rPr>
          <w:rFonts w:ascii="Arial" w:hAnsi="Arial" w:cs="Arial"/>
          <w:sz w:val="24"/>
          <w:szCs w:val="24"/>
        </w:rPr>
        <w:t xml:space="preserve"> in </w:t>
      </w:r>
      <w:r w:rsidR="000C29AB">
        <w:rPr>
          <w:rFonts w:ascii="Arial" w:hAnsi="Arial" w:cs="Arial"/>
          <w:sz w:val="24"/>
          <w:szCs w:val="24"/>
        </w:rPr>
        <w:t xml:space="preserve">instrumental terms </w:t>
      </w:r>
      <w:r w:rsidR="00C65844">
        <w:rPr>
          <w:rFonts w:ascii="Arial" w:hAnsi="Arial" w:cs="Arial"/>
          <w:sz w:val="24"/>
          <w:szCs w:val="24"/>
        </w:rPr>
        <w:t>(for example better job security</w:t>
      </w:r>
      <w:r w:rsidR="00366F68">
        <w:rPr>
          <w:rFonts w:ascii="Arial" w:hAnsi="Arial" w:cs="Arial"/>
          <w:sz w:val="24"/>
          <w:szCs w:val="24"/>
        </w:rPr>
        <w:t xml:space="preserve"> or pay, or increased choice of jobs), rather than improving the quality of employment.</w:t>
      </w:r>
    </w:p>
    <w:p w14:paraId="0E449FEA" w14:textId="4E9BBA88" w:rsidR="00B813EF" w:rsidRDefault="00B813EF" w:rsidP="522673A2">
      <w:pPr>
        <w:outlineLvl w:val="1"/>
        <w:rPr>
          <w:rFonts w:ascii="Arial" w:hAnsi="Arial" w:cs="Arial"/>
          <w:b/>
          <w:bCs/>
          <w:sz w:val="24"/>
          <w:szCs w:val="24"/>
        </w:rPr>
      </w:pPr>
      <w:bookmarkStart w:id="4" w:name="Row_16_Background_Context_Our_experi"/>
      <w:r w:rsidRPr="522673A2">
        <w:rPr>
          <w:rFonts w:ascii="Arial" w:hAnsi="Arial" w:cs="Arial"/>
          <w:b/>
          <w:bCs/>
          <w:sz w:val="24"/>
          <w:szCs w:val="24"/>
        </w:rPr>
        <w:t xml:space="preserve">Background </w:t>
      </w:r>
      <w:r w:rsidR="003F2DBF">
        <w:rPr>
          <w:rFonts w:ascii="Arial" w:hAnsi="Arial" w:cs="Arial"/>
          <w:b/>
          <w:bCs/>
          <w:sz w:val="24"/>
          <w:szCs w:val="24"/>
        </w:rPr>
        <w:t>c</w:t>
      </w:r>
      <w:r w:rsidRPr="522673A2">
        <w:rPr>
          <w:rFonts w:ascii="Arial" w:hAnsi="Arial" w:cs="Arial"/>
          <w:b/>
          <w:bCs/>
          <w:sz w:val="24"/>
          <w:szCs w:val="24"/>
        </w:rPr>
        <w:t>ontext: Our experience</w:t>
      </w:r>
      <w:bookmarkEnd w:id="4"/>
    </w:p>
    <w:p w14:paraId="68448F6E" w14:textId="51DB3F98" w:rsidR="005E368D" w:rsidRDefault="00570FDB" w:rsidP="00656D04">
      <w:pPr>
        <w:spacing w:after="120" w:line="360" w:lineRule="auto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Since 2014</w:t>
      </w:r>
      <w:r w:rsidR="00345AC6" w:rsidRPr="6408D7D1">
        <w:rPr>
          <w:rFonts w:ascii="Arial" w:hAnsi="Arial" w:cs="Arial"/>
          <w:sz w:val="24"/>
          <w:szCs w:val="24"/>
        </w:rPr>
        <w:t xml:space="preserve"> we have worked closely together as career practitioner and academic</w:t>
      </w:r>
      <w:r w:rsidR="00244DE0">
        <w:rPr>
          <w:rFonts w:ascii="Arial" w:hAnsi="Arial" w:cs="Arial"/>
          <w:sz w:val="24"/>
          <w:szCs w:val="24"/>
        </w:rPr>
        <w:t>,</w:t>
      </w:r>
      <w:r w:rsidR="00345AC6" w:rsidRPr="6408D7D1">
        <w:rPr>
          <w:rFonts w:ascii="Arial" w:hAnsi="Arial" w:cs="Arial"/>
          <w:sz w:val="24"/>
          <w:szCs w:val="24"/>
        </w:rPr>
        <w:t xml:space="preserve"> </w:t>
      </w:r>
      <w:r w:rsidR="00E81222" w:rsidRPr="6408D7D1">
        <w:rPr>
          <w:rFonts w:ascii="Arial" w:hAnsi="Arial" w:cs="Arial"/>
          <w:sz w:val="24"/>
          <w:szCs w:val="24"/>
        </w:rPr>
        <w:t xml:space="preserve">to </w:t>
      </w:r>
      <w:r w:rsidR="00445AF8">
        <w:rPr>
          <w:rFonts w:ascii="Arial" w:hAnsi="Arial" w:cs="Arial"/>
          <w:sz w:val="24"/>
          <w:szCs w:val="24"/>
        </w:rPr>
        <w:t>deliver</w:t>
      </w:r>
      <w:r w:rsidR="00445AF8" w:rsidRPr="6408D7D1">
        <w:rPr>
          <w:rFonts w:ascii="Arial" w:hAnsi="Arial" w:cs="Arial"/>
          <w:sz w:val="24"/>
          <w:szCs w:val="24"/>
        </w:rPr>
        <w:t xml:space="preserve"> </w:t>
      </w:r>
      <w:r w:rsidR="00622C33" w:rsidRPr="6408D7D1">
        <w:rPr>
          <w:rFonts w:ascii="Arial" w:hAnsi="Arial" w:cs="Arial"/>
          <w:sz w:val="24"/>
          <w:szCs w:val="24"/>
        </w:rPr>
        <w:t>a variety of career-related learning opportunities</w:t>
      </w:r>
      <w:r w:rsidR="000C44DB" w:rsidRPr="6408D7D1">
        <w:rPr>
          <w:rFonts w:ascii="Arial" w:hAnsi="Arial" w:cs="Arial"/>
          <w:sz w:val="24"/>
          <w:szCs w:val="24"/>
        </w:rPr>
        <w:t xml:space="preserve"> </w:t>
      </w:r>
      <w:r w:rsidR="00B83F55" w:rsidRPr="6408D7D1">
        <w:rPr>
          <w:rFonts w:ascii="Arial" w:hAnsi="Arial" w:cs="Arial"/>
          <w:sz w:val="24"/>
          <w:szCs w:val="24"/>
        </w:rPr>
        <w:t xml:space="preserve">to our </w:t>
      </w:r>
      <w:r w:rsidR="00811400">
        <w:rPr>
          <w:rFonts w:ascii="Arial" w:hAnsi="Arial" w:cs="Arial"/>
          <w:sz w:val="24"/>
          <w:szCs w:val="24"/>
        </w:rPr>
        <w:t xml:space="preserve">undergraduate </w:t>
      </w:r>
      <w:r w:rsidR="005019DF">
        <w:rPr>
          <w:rFonts w:ascii="Arial" w:hAnsi="Arial" w:cs="Arial"/>
          <w:sz w:val="24"/>
          <w:szCs w:val="24"/>
        </w:rPr>
        <w:t xml:space="preserve">geography and environmental science </w:t>
      </w:r>
      <w:r w:rsidR="00B83F55" w:rsidRPr="6408D7D1">
        <w:rPr>
          <w:rFonts w:ascii="Arial" w:hAnsi="Arial" w:cs="Arial"/>
          <w:sz w:val="24"/>
          <w:szCs w:val="24"/>
        </w:rPr>
        <w:t>students</w:t>
      </w:r>
      <w:r w:rsidR="00811400">
        <w:rPr>
          <w:rFonts w:ascii="Arial" w:hAnsi="Arial" w:cs="Arial"/>
          <w:sz w:val="24"/>
          <w:szCs w:val="24"/>
        </w:rPr>
        <w:t xml:space="preserve"> across </w:t>
      </w:r>
      <w:r w:rsidR="00A05922">
        <w:rPr>
          <w:rFonts w:ascii="Arial" w:hAnsi="Arial" w:cs="Arial"/>
          <w:sz w:val="24"/>
          <w:szCs w:val="24"/>
        </w:rPr>
        <w:t>year groups</w:t>
      </w:r>
      <w:r w:rsidR="00622C33" w:rsidRPr="6408D7D1">
        <w:rPr>
          <w:rFonts w:ascii="Arial" w:hAnsi="Arial" w:cs="Arial"/>
          <w:sz w:val="24"/>
          <w:szCs w:val="24"/>
        </w:rPr>
        <w:t xml:space="preserve">. </w:t>
      </w:r>
      <w:r w:rsidR="00345AC6" w:rsidRPr="6408D7D1">
        <w:rPr>
          <w:rFonts w:ascii="Arial" w:hAnsi="Arial" w:cs="Arial"/>
          <w:sz w:val="24"/>
          <w:szCs w:val="24"/>
        </w:rPr>
        <w:t>W</w:t>
      </w:r>
      <w:r w:rsidR="00D44CC2" w:rsidRPr="6408D7D1">
        <w:rPr>
          <w:rFonts w:ascii="Arial" w:hAnsi="Arial" w:cs="Arial"/>
          <w:sz w:val="24"/>
          <w:szCs w:val="24"/>
        </w:rPr>
        <w:t xml:space="preserve">e </w:t>
      </w:r>
      <w:r w:rsidR="00BE627B" w:rsidRPr="6408D7D1">
        <w:rPr>
          <w:rFonts w:ascii="Arial" w:hAnsi="Arial" w:cs="Arial"/>
          <w:sz w:val="24"/>
          <w:szCs w:val="24"/>
        </w:rPr>
        <w:t xml:space="preserve">have </w:t>
      </w:r>
      <w:r w:rsidR="00D44CC2" w:rsidRPr="6408D7D1">
        <w:rPr>
          <w:rFonts w:ascii="Arial" w:hAnsi="Arial" w:cs="Arial"/>
          <w:sz w:val="24"/>
          <w:szCs w:val="24"/>
        </w:rPr>
        <w:t xml:space="preserve">engaged in a range of activities commonly found across the </w:t>
      </w:r>
      <w:r w:rsidR="00D75B07" w:rsidRPr="6408D7D1">
        <w:rPr>
          <w:rFonts w:ascii="Arial" w:hAnsi="Arial" w:cs="Arial"/>
          <w:sz w:val="24"/>
          <w:szCs w:val="24"/>
        </w:rPr>
        <w:t>UK,</w:t>
      </w:r>
      <w:r w:rsidR="00D44CC2" w:rsidRPr="6408D7D1">
        <w:rPr>
          <w:rFonts w:ascii="Arial" w:hAnsi="Arial" w:cs="Arial"/>
          <w:sz w:val="24"/>
          <w:szCs w:val="24"/>
        </w:rPr>
        <w:t xml:space="preserve"> but </w:t>
      </w:r>
      <w:r w:rsidR="00B136E8">
        <w:rPr>
          <w:rFonts w:ascii="Arial" w:hAnsi="Arial" w:cs="Arial"/>
          <w:sz w:val="24"/>
          <w:szCs w:val="24"/>
        </w:rPr>
        <w:t>student engagement</w:t>
      </w:r>
      <w:r w:rsidR="00D44CC2" w:rsidRPr="6408D7D1">
        <w:rPr>
          <w:rFonts w:ascii="Arial" w:hAnsi="Arial" w:cs="Arial"/>
          <w:sz w:val="24"/>
          <w:szCs w:val="24"/>
        </w:rPr>
        <w:t xml:space="preserve"> </w:t>
      </w:r>
      <w:r w:rsidR="001E29BD">
        <w:rPr>
          <w:rFonts w:ascii="Arial" w:hAnsi="Arial" w:cs="Arial"/>
          <w:sz w:val="24"/>
          <w:szCs w:val="24"/>
        </w:rPr>
        <w:t>was</w:t>
      </w:r>
      <w:r w:rsidR="00D44CC2" w:rsidRPr="6408D7D1">
        <w:rPr>
          <w:rFonts w:ascii="Arial" w:hAnsi="Arial" w:cs="Arial"/>
          <w:sz w:val="24"/>
          <w:szCs w:val="24"/>
        </w:rPr>
        <w:t xml:space="preserve"> </w:t>
      </w:r>
      <w:r w:rsidR="0070135B" w:rsidRPr="6408D7D1">
        <w:rPr>
          <w:rFonts w:ascii="Arial" w:hAnsi="Arial" w:cs="Arial"/>
          <w:sz w:val="24"/>
          <w:szCs w:val="24"/>
        </w:rPr>
        <w:t>a</w:t>
      </w:r>
      <w:r w:rsidR="00D44CC2" w:rsidRPr="6408D7D1">
        <w:rPr>
          <w:rFonts w:ascii="Arial" w:hAnsi="Arial" w:cs="Arial"/>
          <w:sz w:val="24"/>
          <w:szCs w:val="24"/>
        </w:rPr>
        <w:t xml:space="preserve"> constant challenge. For example, </w:t>
      </w:r>
      <w:r w:rsidR="00D60519" w:rsidRPr="6408D7D1">
        <w:rPr>
          <w:rFonts w:ascii="Arial" w:hAnsi="Arial" w:cs="Arial"/>
          <w:sz w:val="24"/>
          <w:szCs w:val="24"/>
        </w:rPr>
        <w:t xml:space="preserve">a central component </w:t>
      </w:r>
      <w:r w:rsidR="00D44CC2" w:rsidRPr="6408D7D1">
        <w:rPr>
          <w:rFonts w:ascii="Arial" w:hAnsi="Arial" w:cs="Arial"/>
          <w:sz w:val="24"/>
          <w:szCs w:val="24"/>
        </w:rPr>
        <w:t xml:space="preserve">of our offer </w:t>
      </w:r>
      <w:r w:rsidR="00D60519" w:rsidRPr="6408D7D1">
        <w:rPr>
          <w:rFonts w:ascii="Arial" w:hAnsi="Arial" w:cs="Arial"/>
          <w:sz w:val="24"/>
          <w:szCs w:val="24"/>
        </w:rPr>
        <w:t xml:space="preserve">has been </w:t>
      </w:r>
      <w:r w:rsidR="000332C9" w:rsidRPr="6408D7D1">
        <w:rPr>
          <w:rFonts w:ascii="Arial" w:hAnsi="Arial" w:cs="Arial"/>
          <w:sz w:val="24"/>
          <w:szCs w:val="24"/>
        </w:rPr>
        <w:t>joint</w:t>
      </w:r>
      <w:r w:rsidR="007050FF" w:rsidRPr="6408D7D1">
        <w:rPr>
          <w:rFonts w:ascii="Arial" w:hAnsi="Arial" w:cs="Arial"/>
          <w:sz w:val="24"/>
          <w:szCs w:val="24"/>
        </w:rPr>
        <w:t xml:space="preserve"> </w:t>
      </w:r>
      <w:r w:rsidR="000332C9" w:rsidRPr="6408D7D1">
        <w:rPr>
          <w:rFonts w:ascii="Arial" w:hAnsi="Arial" w:cs="Arial"/>
          <w:sz w:val="24"/>
          <w:szCs w:val="24"/>
        </w:rPr>
        <w:t>deliver</w:t>
      </w:r>
      <w:r w:rsidR="007050FF" w:rsidRPr="6408D7D1">
        <w:rPr>
          <w:rFonts w:ascii="Arial" w:hAnsi="Arial" w:cs="Arial"/>
          <w:sz w:val="24"/>
          <w:szCs w:val="24"/>
        </w:rPr>
        <w:t>y of</w:t>
      </w:r>
      <w:r w:rsidR="000332C9" w:rsidRPr="6408D7D1">
        <w:rPr>
          <w:rFonts w:ascii="Arial" w:hAnsi="Arial" w:cs="Arial"/>
          <w:sz w:val="24"/>
          <w:szCs w:val="24"/>
        </w:rPr>
        <w:t xml:space="preserve"> </w:t>
      </w:r>
      <w:r w:rsidR="00345AC6" w:rsidRPr="6408D7D1">
        <w:rPr>
          <w:rFonts w:ascii="Arial" w:hAnsi="Arial" w:cs="Arial"/>
          <w:sz w:val="24"/>
          <w:szCs w:val="24"/>
        </w:rPr>
        <w:t xml:space="preserve">career-related </w:t>
      </w:r>
      <w:r w:rsidR="005318DD" w:rsidRPr="6408D7D1">
        <w:rPr>
          <w:rFonts w:ascii="Arial" w:hAnsi="Arial" w:cs="Arial"/>
          <w:sz w:val="24"/>
          <w:szCs w:val="24"/>
        </w:rPr>
        <w:t xml:space="preserve">talks </w:t>
      </w:r>
      <w:r w:rsidR="00D60519" w:rsidRPr="6408D7D1">
        <w:rPr>
          <w:rFonts w:ascii="Arial" w:hAnsi="Arial" w:cs="Arial"/>
          <w:sz w:val="24"/>
          <w:szCs w:val="24"/>
        </w:rPr>
        <w:t xml:space="preserve">to </w:t>
      </w:r>
      <w:r w:rsidR="00445AF8">
        <w:rPr>
          <w:rFonts w:ascii="Arial" w:hAnsi="Arial" w:cs="Arial"/>
          <w:sz w:val="24"/>
          <w:szCs w:val="24"/>
        </w:rPr>
        <w:t xml:space="preserve">year-based student cohorts (first year, second year etc) </w:t>
      </w:r>
      <w:r w:rsidR="005318DD" w:rsidRPr="6408D7D1">
        <w:rPr>
          <w:rFonts w:ascii="Arial" w:hAnsi="Arial" w:cs="Arial"/>
          <w:sz w:val="24"/>
          <w:szCs w:val="24"/>
        </w:rPr>
        <w:t xml:space="preserve">to </w:t>
      </w:r>
      <w:r w:rsidR="009B1637" w:rsidRPr="6408D7D1">
        <w:rPr>
          <w:rFonts w:ascii="Arial" w:hAnsi="Arial" w:cs="Arial"/>
          <w:sz w:val="24"/>
          <w:szCs w:val="24"/>
        </w:rPr>
        <w:t xml:space="preserve">raise </w:t>
      </w:r>
      <w:r w:rsidR="00374C66" w:rsidRPr="6408D7D1">
        <w:rPr>
          <w:rFonts w:ascii="Arial" w:hAnsi="Arial" w:cs="Arial"/>
          <w:sz w:val="24"/>
          <w:szCs w:val="24"/>
        </w:rPr>
        <w:t xml:space="preserve">student awareness of </w:t>
      </w:r>
      <w:r w:rsidR="00575420" w:rsidRPr="6408D7D1">
        <w:rPr>
          <w:rFonts w:ascii="Arial" w:hAnsi="Arial" w:cs="Arial"/>
          <w:sz w:val="24"/>
          <w:szCs w:val="24"/>
        </w:rPr>
        <w:t xml:space="preserve">career pathways and </w:t>
      </w:r>
      <w:r w:rsidR="004326FE" w:rsidRPr="6408D7D1">
        <w:rPr>
          <w:rFonts w:ascii="Arial" w:hAnsi="Arial" w:cs="Arial"/>
          <w:sz w:val="24"/>
          <w:szCs w:val="24"/>
        </w:rPr>
        <w:t xml:space="preserve">available </w:t>
      </w:r>
      <w:r w:rsidR="009B1637" w:rsidRPr="6408D7D1">
        <w:rPr>
          <w:rFonts w:ascii="Arial" w:hAnsi="Arial" w:cs="Arial"/>
          <w:sz w:val="24"/>
          <w:szCs w:val="24"/>
        </w:rPr>
        <w:t>support</w:t>
      </w:r>
      <w:r w:rsidR="00575420" w:rsidRPr="6408D7D1">
        <w:rPr>
          <w:rFonts w:ascii="Arial" w:hAnsi="Arial" w:cs="Arial"/>
          <w:sz w:val="24"/>
          <w:szCs w:val="24"/>
        </w:rPr>
        <w:t>s and resources</w:t>
      </w:r>
      <w:r w:rsidR="00D60519" w:rsidRPr="6408D7D1">
        <w:rPr>
          <w:rFonts w:ascii="Arial" w:hAnsi="Arial" w:cs="Arial"/>
          <w:sz w:val="24"/>
          <w:szCs w:val="24"/>
        </w:rPr>
        <w:t xml:space="preserve">. Although </w:t>
      </w:r>
      <w:r w:rsidR="00445AF8">
        <w:rPr>
          <w:rFonts w:ascii="Arial" w:hAnsi="Arial" w:cs="Arial"/>
          <w:sz w:val="24"/>
          <w:szCs w:val="24"/>
        </w:rPr>
        <w:t xml:space="preserve">these talks were timetabled and </w:t>
      </w:r>
      <w:r w:rsidR="00D60519" w:rsidRPr="6408D7D1">
        <w:rPr>
          <w:rFonts w:ascii="Arial" w:hAnsi="Arial" w:cs="Arial"/>
          <w:sz w:val="24"/>
          <w:szCs w:val="24"/>
        </w:rPr>
        <w:t>s</w:t>
      </w:r>
      <w:r w:rsidR="00F71B2E" w:rsidRPr="6408D7D1">
        <w:rPr>
          <w:rFonts w:ascii="Arial" w:hAnsi="Arial" w:cs="Arial"/>
          <w:sz w:val="24"/>
          <w:szCs w:val="24"/>
        </w:rPr>
        <w:t xml:space="preserve">tudents </w:t>
      </w:r>
      <w:r w:rsidR="0048513C">
        <w:rPr>
          <w:rFonts w:ascii="Arial" w:hAnsi="Arial" w:cs="Arial"/>
          <w:sz w:val="24"/>
          <w:szCs w:val="24"/>
        </w:rPr>
        <w:t xml:space="preserve">were provided with a clear rationale of the benefits and </w:t>
      </w:r>
      <w:r w:rsidR="00F71B2E" w:rsidRPr="6408D7D1">
        <w:rPr>
          <w:rFonts w:ascii="Arial" w:hAnsi="Arial" w:cs="Arial"/>
          <w:sz w:val="24"/>
          <w:szCs w:val="24"/>
        </w:rPr>
        <w:t>encouraged</w:t>
      </w:r>
      <w:r w:rsidR="009A155A">
        <w:rPr>
          <w:rFonts w:ascii="Arial" w:hAnsi="Arial" w:cs="Arial"/>
          <w:sz w:val="24"/>
          <w:szCs w:val="24"/>
        </w:rPr>
        <w:t xml:space="preserve"> </w:t>
      </w:r>
      <w:r w:rsidR="00F71B2E" w:rsidRPr="6408D7D1">
        <w:rPr>
          <w:rFonts w:ascii="Arial" w:hAnsi="Arial" w:cs="Arial"/>
          <w:sz w:val="24"/>
          <w:szCs w:val="24"/>
        </w:rPr>
        <w:t xml:space="preserve">to </w:t>
      </w:r>
      <w:r w:rsidR="00CA3AA5" w:rsidRPr="6408D7D1">
        <w:rPr>
          <w:rFonts w:ascii="Arial" w:hAnsi="Arial" w:cs="Arial"/>
          <w:sz w:val="24"/>
          <w:szCs w:val="24"/>
        </w:rPr>
        <w:t>attend</w:t>
      </w:r>
      <w:r w:rsidR="0048513C">
        <w:rPr>
          <w:rFonts w:ascii="Arial" w:hAnsi="Arial" w:cs="Arial"/>
          <w:sz w:val="24"/>
          <w:szCs w:val="24"/>
        </w:rPr>
        <w:t xml:space="preserve">, </w:t>
      </w:r>
      <w:r w:rsidR="00575420" w:rsidRPr="6408D7D1">
        <w:rPr>
          <w:rFonts w:ascii="Arial" w:hAnsi="Arial" w:cs="Arial"/>
          <w:sz w:val="24"/>
          <w:szCs w:val="24"/>
        </w:rPr>
        <w:t>engagement was</w:t>
      </w:r>
      <w:r w:rsidR="00AC204B" w:rsidRPr="6408D7D1">
        <w:rPr>
          <w:rFonts w:ascii="Arial" w:hAnsi="Arial" w:cs="Arial"/>
          <w:sz w:val="24"/>
          <w:szCs w:val="24"/>
        </w:rPr>
        <w:t xml:space="preserve"> usually low</w:t>
      </w:r>
      <w:r w:rsidR="0048513C">
        <w:rPr>
          <w:rFonts w:ascii="Arial" w:hAnsi="Arial" w:cs="Arial"/>
          <w:sz w:val="24"/>
          <w:szCs w:val="24"/>
        </w:rPr>
        <w:t xml:space="preserve"> averaging between 30% and 50% of specific cohort</w:t>
      </w:r>
      <w:r w:rsidR="00597232" w:rsidRPr="6408D7D1">
        <w:rPr>
          <w:rFonts w:ascii="Arial" w:hAnsi="Arial" w:cs="Arial"/>
          <w:sz w:val="24"/>
          <w:szCs w:val="24"/>
        </w:rPr>
        <w:t xml:space="preserve">. </w:t>
      </w:r>
      <w:r w:rsidR="005E368D" w:rsidRPr="6408D7D1">
        <w:rPr>
          <w:rFonts w:ascii="Arial" w:hAnsi="Arial" w:cs="Arial"/>
          <w:sz w:val="24"/>
          <w:szCs w:val="24"/>
        </w:rPr>
        <w:t>When asked why, s</w:t>
      </w:r>
      <w:r w:rsidR="00E33869" w:rsidRPr="6408D7D1">
        <w:rPr>
          <w:rFonts w:ascii="Arial" w:hAnsi="Arial" w:cs="Arial"/>
          <w:sz w:val="24"/>
          <w:szCs w:val="24"/>
        </w:rPr>
        <w:t>tudents</w:t>
      </w:r>
      <w:r w:rsidR="005E368D" w:rsidRPr="6408D7D1">
        <w:rPr>
          <w:rFonts w:ascii="Arial" w:hAnsi="Arial" w:cs="Arial"/>
          <w:sz w:val="24"/>
          <w:szCs w:val="24"/>
        </w:rPr>
        <w:t xml:space="preserve"> </w:t>
      </w:r>
      <w:r w:rsidR="00E33869" w:rsidRPr="6408D7D1">
        <w:rPr>
          <w:rFonts w:ascii="Arial" w:hAnsi="Arial" w:cs="Arial"/>
          <w:sz w:val="24"/>
          <w:szCs w:val="24"/>
        </w:rPr>
        <w:t xml:space="preserve">viewed these </w:t>
      </w:r>
      <w:r w:rsidR="000332C9" w:rsidRPr="6408D7D1">
        <w:rPr>
          <w:rFonts w:ascii="Arial" w:hAnsi="Arial" w:cs="Arial"/>
          <w:sz w:val="24"/>
          <w:szCs w:val="24"/>
        </w:rPr>
        <w:t xml:space="preserve">sessions as ‘separate’ </w:t>
      </w:r>
      <w:r w:rsidR="00E33869" w:rsidRPr="6408D7D1">
        <w:rPr>
          <w:rFonts w:ascii="Arial" w:hAnsi="Arial" w:cs="Arial"/>
          <w:sz w:val="24"/>
          <w:szCs w:val="24"/>
        </w:rPr>
        <w:t>and</w:t>
      </w:r>
      <w:r w:rsidR="00E40416" w:rsidRPr="6408D7D1">
        <w:rPr>
          <w:rFonts w:ascii="Arial" w:hAnsi="Arial" w:cs="Arial"/>
          <w:sz w:val="24"/>
          <w:szCs w:val="24"/>
        </w:rPr>
        <w:t xml:space="preserve"> disconnected </w:t>
      </w:r>
      <w:r w:rsidR="000332C9" w:rsidRPr="6408D7D1">
        <w:rPr>
          <w:rFonts w:ascii="Arial" w:hAnsi="Arial" w:cs="Arial"/>
          <w:sz w:val="24"/>
          <w:szCs w:val="24"/>
        </w:rPr>
        <w:t>from their academic studies</w:t>
      </w:r>
      <w:r w:rsidR="00E40416" w:rsidRPr="6408D7D1">
        <w:rPr>
          <w:rFonts w:ascii="Arial" w:hAnsi="Arial" w:cs="Arial"/>
          <w:sz w:val="24"/>
          <w:szCs w:val="24"/>
        </w:rPr>
        <w:t xml:space="preserve">, and </w:t>
      </w:r>
      <w:r w:rsidR="00F35E62" w:rsidRPr="6408D7D1">
        <w:rPr>
          <w:rFonts w:ascii="Arial" w:hAnsi="Arial" w:cs="Arial"/>
          <w:sz w:val="24"/>
          <w:szCs w:val="24"/>
        </w:rPr>
        <w:t xml:space="preserve">importantly, </w:t>
      </w:r>
      <w:r w:rsidR="00E33869" w:rsidRPr="6408D7D1">
        <w:rPr>
          <w:rFonts w:ascii="Arial" w:hAnsi="Arial" w:cs="Arial"/>
          <w:sz w:val="24"/>
          <w:szCs w:val="24"/>
        </w:rPr>
        <w:t xml:space="preserve">attendance and participation </w:t>
      </w:r>
      <w:r w:rsidR="00F35E62" w:rsidRPr="6408D7D1">
        <w:rPr>
          <w:rFonts w:ascii="Arial" w:hAnsi="Arial" w:cs="Arial"/>
          <w:sz w:val="24"/>
          <w:szCs w:val="24"/>
        </w:rPr>
        <w:t xml:space="preserve">did not </w:t>
      </w:r>
      <w:r w:rsidR="00575420" w:rsidRPr="6408D7D1">
        <w:rPr>
          <w:rFonts w:ascii="Arial" w:hAnsi="Arial" w:cs="Arial"/>
          <w:sz w:val="24"/>
          <w:szCs w:val="24"/>
        </w:rPr>
        <w:t>result in</w:t>
      </w:r>
      <w:r w:rsidR="00F35E62" w:rsidRPr="6408D7D1">
        <w:rPr>
          <w:rFonts w:ascii="Arial" w:hAnsi="Arial" w:cs="Arial"/>
          <w:sz w:val="24"/>
          <w:szCs w:val="24"/>
        </w:rPr>
        <w:t xml:space="preserve"> academic credit.</w:t>
      </w:r>
      <w:r w:rsidR="00B251D2" w:rsidRPr="6408D7D1">
        <w:rPr>
          <w:rFonts w:ascii="Arial" w:hAnsi="Arial" w:cs="Arial"/>
          <w:sz w:val="24"/>
          <w:szCs w:val="24"/>
        </w:rPr>
        <w:t xml:space="preserve"> </w:t>
      </w:r>
      <w:r w:rsidR="00656D04">
        <w:rPr>
          <w:rFonts w:ascii="Arial" w:hAnsi="Arial" w:cs="Arial"/>
          <w:sz w:val="24"/>
          <w:szCs w:val="24"/>
        </w:rPr>
        <w:t xml:space="preserve"> </w:t>
      </w:r>
      <w:r w:rsidR="005E368D" w:rsidRPr="522673A2">
        <w:rPr>
          <w:rFonts w:ascii="Arial" w:hAnsi="Arial" w:cs="Arial"/>
          <w:sz w:val="24"/>
          <w:szCs w:val="24"/>
        </w:rPr>
        <w:t>A</w:t>
      </w:r>
      <w:r w:rsidR="000A5DDB">
        <w:rPr>
          <w:rFonts w:ascii="Arial" w:hAnsi="Arial" w:cs="Arial"/>
          <w:sz w:val="24"/>
          <w:szCs w:val="24"/>
        </w:rPr>
        <w:t>nother</w:t>
      </w:r>
      <w:r w:rsidR="0034233C">
        <w:rPr>
          <w:rFonts w:ascii="Arial" w:hAnsi="Arial" w:cs="Arial"/>
          <w:sz w:val="24"/>
          <w:szCs w:val="24"/>
        </w:rPr>
        <w:t xml:space="preserve"> </w:t>
      </w:r>
      <w:r w:rsidR="005E368D" w:rsidRPr="522673A2">
        <w:rPr>
          <w:rFonts w:ascii="Arial" w:hAnsi="Arial" w:cs="Arial"/>
          <w:sz w:val="24"/>
          <w:szCs w:val="24"/>
        </w:rPr>
        <w:t>common activity involve</w:t>
      </w:r>
      <w:r w:rsidR="00345AC6" w:rsidRPr="522673A2">
        <w:rPr>
          <w:rFonts w:ascii="Arial" w:hAnsi="Arial" w:cs="Arial"/>
          <w:sz w:val="24"/>
          <w:szCs w:val="24"/>
        </w:rPr>
        <w:t>d</w:t>
      </w:r>
      <w:r w:rsidR="005E368D" w:rsidRPr="522673A2">
        <w:rPr>
          <w:rFonts w:ascii="Arial" w:hAnsi="Arial" w:cs="Arial"/>
          <w:sz w:val="24"/>
          <w:szCs w:val="24"/>
        </w:rPr>
        <w:t xml:space="preserve"> bringing in</w:t>
      </w:r>
      <w:r w:rsidR="006B6796">
        <w:rPr>
          <w:rFonts w:ascii="Arial" w:hAnsi="Arial" w:cs="Arial"/>
          <w:sz w:val="24"/>
          <w:szCs w:val="24"/>
        </w:rPr>
        <w:t xml:space="preserve"> employers/industry experts</w:t>
      </w:r>
      <w:r w:rsidR="005E368D" w:rsidRPr="522673A2">
        <w:rPr>
          <w:rFonts w:ascii="Arial" w:hAnsi="Arial" w:cs="Arial"/>
          <w:sz w:val="24"/>
          <w:szCs w:val="24"/>
        </w:rPr>
        <w:t xml:space="preserve"> to talk about their </w:t>
      </w:r>
      <w:r w:rsidR="002A502C">
        <w:rPr>
          <w:rFonts w:ascii="Arial" w:hAnsi="Arial" w:cs="Arial"/>
          <w:sz w:val="24"/>
          <w:szCs w:val="24"/>
        </w:rPr>
        <w:t xml:space="preserve">career </w:t>
      </w:r>
      <w:r w:rsidR="005E368D" w:rsidRPr="522673A2">
        <w:rPr>
          <w:rFonts w:ascii="Arial" w:hAnsi="Arial" w:cs="Arial"/>
          <w:sz w:val="24"/>
          <w:szCs w:val="24"/>
        </w:rPr>
        <w:t xml:space="preserve">sector, specific roles </w:t>
      </w:r>
      <w:r w:rsidR="007936A2" w:rsidRPr="522673A2">
        <w:rPr>
          <w:rFonts w:ascii="Arial" w:hAnsi="Arial" w:cs="Arial"/>
          <w:sz w:val="24"/>
          <w:szCs w:val="24"/>
        </w:rPr>
        <w:t>and</w:t>
      </w:r>
      <w:r w:rsidR="005E368D" w:rsidRPr="522673A2">
        <w:rPr>
          <w:rFonts w:ascii="Arial" w:hAnsi="Arial" w:cs="Arial"/>
          <w:sz w:val="24"/>
          <w:szCs w:val="24"/>
        </w:rPr>
        <w:t xml:space="preserve"> career paths. Again, despite </w:t>
      </w:r>
      <w:r w:rsidR="00A369E3" w:rsidRPr="522673A2">
        <w:rPr>
          <w:rFonts w:ascii="Arial" w:hAnsi="Arial" w:cs="Arial"/>
          <w:sz w:val="24"/>
          <w:szCs w:val="24"/>
        </w:rPr>
        <w:t xml:space="preserve">active </w:t>
      </w:r>
      <w:r w:rsidR="005E368D" w:rsidRPr="522673A2">
        <w:rPr>
          <w:rFonts w:ascii="Arial" w:hAnsi="Arial" w:cs="Arial"/>
          <w:sz w:val="24"/>
          <w:szCs w:val="24"/>
        </w:rPr>
        <w:t>promotion of these</w:t>
      </w:r>
      <w:r w:rsidR="0024731D" w:rsidRPr="522673A2">
        <w:rPr>
          <w:rFonts w:ascii="Arial" w:hAnsi="Arial" w:cs="Arial"/>
          <w:sz w:val="24"/>
          <w:szCs w:val="24"/>
        </w:rPr>
        <w:t xml:space="preserve"> </w:t>
      </w:r>
      <w:r w:rsidR="005E368D" w:rsidRPr="522673A2">
        <w:rPr>
          <w:rFonts w:ascii="Arial" w:hAnsi="Arial" w:cs="Arial"/>
          <w:sz w:val="24"/>
          <w:szCs w:val="24"/>
        </w:rPr>
        <w:t xml:space="preserve">sessions, student engagement </w:t>
      </w:r>
      <w:r w:rsidR="00345AC6" w:rsidRPr="522673A2">
        <w:rPr>
          <w:rFonts w:ascii="Arial" w:hAnsi="Arial" w:cs="Arial"/>
          <w:sz w:val="24"/>
          <w:szCs w:val="24"/>
        </w:rPr>
        <w:t>was</w:t>
      </w:r>
      <w:r w:rsidR="005E368D" w:rsidRPr="522673A2">
        <w:rPr>
          <w:rFonts w:ascii="Arial" w:hAnsi="Arial" w:cs="Arial"/>
          <w:sz w:val="24"/>
          <w:szCs w:val="24"/>
        </w:rPr>
        <w:t xml:space="preserve"> typically low</w:t>
      </w:r>
      <w:r w:rsidR="00923E6C">
        <w:rPr>
          <w:rFonts w:ascii="Arial" w:hAnsi="Arial" w:cs="Arial"/>
          <w:sz w:val="24"/>
          <w:szCs w:val="24"/>
        </w:rPr>
        <w:t>, averaging 30%</w:t>
      </w:r>
      <w:r w:rsidR="00173A35">
        <w:rPr>
          <w:rFonts w:ascii="Arial" w:hAnsi="Arial" w:cs="Arial"/>
          <w:sz w:val="24"/>
          <w:szCs w:val="24"/>
        </w:rPr>
        <w:t xml:space="preserve"> of the total department cohort</w:t>
      </w:r>
      <w:r w:rsidR="005E368D" w:rsidRPr="522673A2">
        <w:rPr>
          <w:rFonts w:ascii="Arial" w:hAnsi="Arial" w:cs="Arial"/>
          <w:sz w:val="24"/>
          <w:szCs w:val="24"/>
        </w:rPr>
        <w:t xml:space="preserve">. </w:t>
      </w:r>
    </w:p>
    <w:p w14:paraId="59F23F6A" w14:textId="1904A988" w:rsidR="00B870A5" w:rsidRDefault="000B21F0" w:rsidP="522673A2">
      <w:pPr>
        <w:spacing w:line="360" w:lineRule="auto"/>
        <w:outlineLvl w:val="1"/>
        <w:rPr>
          <w:rFonts w:ascii="Arial" w:hAnsi="Arial" w:cs="Arial"/>
          <w:sz w:val="24"/>
          <w:szCs w:val="24"/>
        </w:rPr>
      </w:pPr>
      <w:r w:rsidRPr="6408D7D1">
        <w:rPr>
          <w:rFonts w:ascii="Arial" w:hAnsi="Arial" w:cs="Arial"/>
          <w:sz w:val="24"/>
          <w:szCs w:val="24"/>
        </w:rPr>
        <w:t>A</w:t>
      </w:r>
      <w:r w:rsidR="005E368D" w:rsidRPr="6408D7D1">
        <w:rPr>
          <w:rFonts w:ascii="Arial" w:hAnsi="Arial" w:cs="Arial"/>
          <w:sz w:val="24"/>
          <w:szCs w:val="24"/>
        </w:rPr>
        <w:t xml:space="preserve">ttempts </w:t>
      </w:r>
      <w:r w:rsidR="00345AC6" w:rsidRPr="6408D7D1">
        <w:rPr>
          <w:rFonts w:ascii="Arial" w:hAnsi="Arial" w:cs="Arial"/>
          <w:sz w:val="24"/>
          <w:szCs w:val="24"/>
        </w:rPr>
        <w:t>were</w:t>
      </w:r>
      <w:r w:rsidR="005E368D" w:rsidRPr="6408D7D1">
        <w:rPr>
          <w:rFonts w:ascii="Arial" w:hAnsi="Arial" w:cs="Arial"/>
          <w:sz w:val="24"/>
          <w:szCs w:val="24"/>
        </w:rPr>
        <w:t xml:space="preserve"> also made to </w:t>
      </w:r>
      <w:r w:rsidR="1ECBE7C3" w:rsidRPr="6408D7D1">
        <w:rPr>
          <w:rFonts w:ascii="Arial" w:hAnsi="Arial" w:cs="Arial"/>
          <w:sz w:val="24"/>
          <w:szCs w:val="24"/>
        </w:rPr>
        <w:t xml:space="preserve">provide </w:t>
      </w:r>
      <w:r w:rsidR="005E368D" w:rsidRPr="6408D7D1">
        <w:rPr>
          <w:rFonts w:ascii="Arial" w:hAnsi="Arial" w:cs="Arial"/>
          <w:sz w:val="24"/>
          <w:szCs w:val="24"/>
        </w:rPr>
        <w:t xml:space="preserve">dedicated </w:t>
      </w:r>
      <w:r w:rsidR="00D44CC2" w:rsidRPr="6408D7D1">
        <w:rPr>
          <w:rFonts w:ascii="Arial" w:hAnsi="Arial" w:cs="Arial"/>
          <w:sz w:val="24"/>
          <w:szCs w:val="24"/>
        </w:rPr>
        <w:t>‘</w:t>
      </w:r>
      <w:r w:rsidR="005E368D" w:rsidRPr="6408D7D1">
        <w:rPr>
          <w:rFonts w:ascii="Arial" w:hAnsi="Arial" w:cs="Arial"/>
          <w:sz w:val="24"/>
          <w:szCs w:val="24"/>
        </w:rPr>
        <w:t>career days</w:t>
      </w:r>
      <w:r w:rsidR="00D44CC2" w:rsidRPr="6408D7D1">
        <w:rPr>
          <w:rFonts w:ascii="Arial" w:hAnsi="Arial" w:cs="Arial"/>
          <w:sz w:val="24"/>
          <w:szCs w:val="24"/>
        </w:rPr>
        <w:t>’</w:t>
      </w:r>
      <w:r w:rsidR="005E368D" w:rsidRPr="6408D7D1">
        <w:rPr>
          <w:rFonts w:ascii="Arial" w:hAnsi="Arial" w:cs="Arial"/>
          <w:sz w:val="24"/>
          <w:szCs w:val="24"/>
        </w:rPr>
        <w:t xml:space="preserve"> or </w:t>
      </w:r>
      <w:r w:rsidR="00D44CC2" w:rsidRPr="6408D7D1">
        <w:rPr>
          <w:rFonts w:ascii="Arial" w:hAnsi="Arial" w:cs="Arial"/>
          <w:sz w:val="24"/>
          <w:szCs w:val="24"/>
        </w:rPr>
        <w:t>‘</w:t>
      </w:r>
      <w:r w:rsidR="005E368D" w:rsidRPr="6408D7D1">
        <w:rPr>
          <w:rFonts w:ascii="Arial" w:hAnsi="Arial" w:cs="Arial"/>
          <w:sz w:val="24"/>
          <w:szCs w:val="24"/>
        </w:rPr>
        <w:t>employability weeks</w:t>
      </w:r>
      <w:r w:rsidR="00D44CC2" w:rsidRPr="6408D7D1">
        <w:rPr>
          <w:rFonts w:ascii="Arial" w:hAnsi="Arial" w:cs="Arial"/>
          <w:sz w:val="24"/>
          <w:szCs w:val="24"/>
        </w:rPr>
        <w:t>’</w:t>
      </w:r>
      <w:r w:rsidR="005E368D" w:rsidRPr="6408D7D1">
        <w:rPr>
          <w:rFonts w:ascii="Arial" w:hAnsi="Arial" w:cs="Arial"/>
          <w:sz w:val="24"/>
          <w:szCs w:val="24"/>
        </w:rPr>
        <w:t xml:space="preserve"> </w:t>
      </w:r>
      <w:r w:rsidR="00B870A5" w:rsidRPr="6408D7D1">
        <w:rPr>
          <w:rFonts w:ascii="Arial" w:hAnsi="Arial" w:cs="Arial"/>
          <w:sz w:val="24"/>
          <w:szCs w:val="24"/>
        </w:rPr>
        <w:t>backed by widespread promotional campaign</w:t>
      </w:r>
      <w:r w:rsidR="00D955D9" w:rsidRPr="6408D7D1">
        <w:rPr>
          <w:rFonts w:ascii="Arial" w:hAnsi="Arial" w:cs="Arial"/>
          <w:sz w:val="24"/>
          <w:szCs w:val="24"/>
        </w:rPr>
        <w:t>s</w:t>
      </w:r>
      <w:r w:rsidR="00B870A5" w:rsidRPr="6408D7D1">
        <w:rPr>
          <w:rFonts w:ascii="Arial" w:hAnsi="Arial" w:cs="Arial"/>
          <w:sz w:val="24"/>
          <w:szCs w:val="24"/>
        </w:rPr>
        <w:t xml:space="preserve">. </w:t>
      </w:r>
      <w:r w:rsidR="00342DA0">
        <w:rPr>
          <w:rFonts w:ascii="Arial" w:hAnsi="Arial" w:cs="Arial"/>
          <w:sz w:val="24"/>
          <w:szCs w:val="24"/>
        </w:rPr>
        <w:t>T</w:t>
      </w:r>
      <w:r w:rsidR="00B3414C" w:rsidRPr="6408D7D1">
        <w:rPr>
          <w:rFonts w:ascii="Arial" w:hAnsi="Arial" w:cs="Arial"/>
          <w:sz w:val="24"/>
          <w:szCs w:val="24"/>
        </w:rPr>
        <w:t>hese</w:t>
      </w:r>
      <w:r w:rsidR="00B870A5" w:rsidRPr="6408D7D1">
        <w:rPr>
          <w:rFonts w:ascii="Arial" w:hAnsi="Arial" w:cs="Arial"/>
          <w:sz w:val="24"/>
          <w:szCs w:val="24"/>
        </w:rPr>
        <w:t xml:space="preserve"> </w:t>
      </w:r>
      <w:r w:rsidR="00575420" w:rsidRPr="6408D7D1">
        <w:rPr>
          <w:rFonts w:ascii="Arial" w:hAnsi="Arial" w:cs="Arial"/>
          <w:sz w:val="24"/>
          <w:szCs w:val="24"/>
        </w:rPr>
        <w:t xml:space="preserve">efforts </w:t>
      </w:r>
      <w:r w:rsidR="00342DA0">
        <w:rPr>
          <w:rFonts w:ascii="Arial" w:hAnsi="Arial" w:cs="Arial"/>
          <w:sz w:val="24"/>
          <w:szCs w:val="24"/>
        </w:rPr>
        <w:t xml:space="preserve">also </w:t>
      </w:r>
      <w:r w:rsidR="00B870A5" w:rsidRPr="6408D7D1">
        <w:rPr>
          <w:rFonts w:ascii="Arial" w:hAnsi="Arial" w:cs="Arial"/>
          <w:sz w:val="24"/>
          <w:szCs w:val="24"/>
        </w:rPr>
        <w:t xml:space="preserve">failed to attract </w:t>
      </w:r>
      <w:r w:rsidR="00345AC6" w:rsidRPr="6408D7D1">
        <w:rPr>
          <w:rFonts w:ascii="Arial" w:hAnsi="Arial" w:cs="Arial"/>
          <w:sz w:val="24"/>
          <w:szCs w:val="24"/>
        </w:rPr>
        <w:t xml:space="preserve">high numbers of </w:t>
      </w:r>
      <w:r w:rsidR="00B870A5" w:rsidRPr="6408D7D1">
        <w:rPr>
          <w:rFonts w:ascii="Arial" w:hAnsi="Arial" w:cs="Arial"/>
          <w:sz w:val="24"/>
          <w:szCs w:val="24"/>
        </w:rPr>
        <w:t>students</w:t>
      </w:r>
      <w:r w:rsidR="5B1FCD46" w:rsidRPr="6408D7D1">
        <w:rPr>
          <w:rFonts w:ascii="Arial" w:hAnsi="Arial" w:cs="Arial"/>
          <w:sz w:val="24"/>
          <w:szCs w:val="24"/>
        </w:rPr>
        <w:t>,</w:t>
      </w:r>
      <w:r w:rsidR="00575420" w:rsidRPr="6408D7D1">
        <w:rPr>
          <w:rFonts w:ascii="Arial" w:hAnsi="Arial" w:cs="Arial"/>
          <w:sz w:val="24"/>
          <w:szCs w:val="24"/>
        </w:rPr>
        <w:t xml:space="preserve"> </w:t>
      </w:r>
      <w:r w:rsidR="00A51EE5">
        <w:rPr>
          <w:rFonts w:ascii="Arial" w:hAnsi="Arial" w:cs="Arial"/>
          <w:sz w:val="24"/>
          <w:szCs w:val="24"/>
        </w:rPr>
        <w:t xml:space="preserve">with reports </w:t>
      </w:r>
      <w:r w:rsidR="0085165A">
        <w:rPr>
          <w:rFonts w:ascii="Arial" w:hAnsi="Arial" w:cs="Arial"/>
          <w:sz w:val="24"/>
          <w:szCs w:val="24"/>
        </w:rPr>
        <w:t xml:space="preserve">from students </w:t>
      </w:r>
      <w:r w:rsidR="00A51EE5">
        <w:rPr>
          <w:rFonts w:ascii="Arial" w:hAnsi="Arial" w:cs="Arial"/>
          <w:sz w:val="24"/>
          <w:szCs w:val="24"/>
        </w:rPr>
        <w:t>of</w:t>
      </w:r>
      <w:r w:rsidR="00B870A5" w:rsidRPr="6408D7D1">
        <w:rPr>
          <w:rFonts w:ascii="Arial" w:hAnsi="Arial" w:cs="Arial"/>
          <w:sz w:val="24"/>
          <w:szCs w:val="24"/>
        </w:rPr>
        <w:t xml:space="preserve"> feeling overwhelmed, afraid to ‘face their future’ or that the time would be better spent working on graded assessments. Indeed,</w:t>
      </w:r>
      <w:r w:rsidR="000F1FD4">
        <w:rPr>
          <w:rFonts w:ascii="Arial" w:hAnsi="Arial" w:cs="Arial"/>
          <w:sz w:val="24"/>
          <w:szCs w:val="24"/>
        </w:rPr>
        <w:t xml:space="preserve"> </w:t>
      </w:r>
      <w:r w:rsidR="00162529">
        <w:rPr>
          <w:rFonts w:ascii="Arial" w:hAnsi="Arial" w:cs="Arial"/>
          <w:sz w:val="24"/>
          <w:szCs w:val="24"/>
        </w:rPr>
        <w:t xml:space="preserve">the creation of </w:t>
      </w:r>
      <w:r w:rsidR="000F1FD4">
        <w:rPr>
          <w:rFonts w:ascii="Arial" w:hAnsi="Arial" w:cs="Arial"/>
          <w:sz w:val="24"/>
          <w:szCs w:val="24"/>
        </w:rPr>
        <w:t>designated</w:t>
      </w:r>
      <w:r w:rsidR="00B870A5" w:rsidRPr="6408D7D1">
        <w:rPr>
          <w:rFonts w:ascii="Arial" w:hAnsi="Arial" w:cs="Arial"/>
          <w:sz w:val="24"/>
          <w:szCs w:val="24"/>
        </w:rPr>
        <w:t xml:space="preserve"> </w:t>
      </w:r>
      <w:r w:rsidR="004321F4">
        <w:rPr>
          <w:rFonts w:ascii="Arial" w:hAnsi="Arial" w:cs="Arial"/>
          <w:sz w:val="24"/>
          <w:szCs w:val="24"/>
        </w:rPr>
        <w:t>‘</w:t>
      </w:r>
      <w:r w:rsidR="00B870A5" w:rsidRPr="6408D7D1">
        <w:rPr>
          <w:rFonts w:ascii="Arial" w:hAnsi="Arial" w:cs="Arial"/>
          <w:sz w:val="24"/>
          <w:szCs w:val="24"/>
        </w:rPr>
        <w:t>employability weeks</w:t>
      </w:r>
      <w:r w:rsidR="004321F4">
        <w:rPr>
          <w:rFonts w:ascii="Arial" w:hAnsi="Arial" w:cs="Arial"/>
          <w:sz w:val="24"/>
          <w:szCs w:val="24"/>
        </w:rPr>
        <w:t>’</w:t>
      </w:r>
      <w:r w:rsidR="00B870A5" w:rsidRPr="6408D7D1">
        <w:rPr>
          <w:rFonts w:ascii="Arial" w:hAnsi="Arial" w:cs="Arial"/>
          <w:sz w:val="24"/>
          <w:szCs w:val="24"/>
        </w:rPr>
        <w:t xml:space="preserve">, </w:t>
      </w:r>
      <w:r w:rsidR="004567FE">
        <w:rPr>
          <w:rFonts w:ascii="Arial" w:hAnsi="Arial" w:cs="Arial"/>
          <w:sz w:val="24"/>
          <w:szCs w:val="24"/>
        </w:rPr>
        <w:t>where traditional academic teaching was susp</w:t>
      </w:r>
      <w:r w:rsidR="00162529">
        <w:rPr>
          <w:rFonts w:ascii="Arial" w:hAnsi="Arial" w:cs="Arial"/>
          <w:sz w:val="24"/>
          <w:szCs w:val="24"/>
        </w:rPr>
        <w:t>ended</w:t>
      </w:r>
      <w:r w:rsidR="00CE4219">
        <w:rPr>
          <w:rFonts w:ascii="Arial" w:hAnsi="Arial" w:cs="Arial"/>
          <w:sz w:val="24"/>
          <w:szCs w:val="24"/>
        </w:rPr>
        <w:t xml:space="preserve"> to create space for </w:t>
      </w:r>
      <w:r w:rsidR="0039101F">
        <w:rPr>
          <w:rFonts w:ascii="Arial" w:hAnsi="Arial" w:cs="Arial"/>
          <w:sz w:val="24"/>
          <w:szCs w:val="24"/>
        </w:rPr>
        <w:t>employability activities</w:t>
      </w:r>
      <w:r w:rsidR="00B870A5" w:rsidRPr="6408D7D1">
        <w:rPr>
          <w:rFonts w:ascii="Arial" w:hAnsi="Arial" w:cs="Arial"/>
          <w:sz w:val="24"/>
          <w:szCs w:val="24"/>
        </w:rPr>
        <w:t xml:space="preserve">, </w:t>
      </w:r>
      <w:r w:rsidR="00F80C5A" w:rsidRPr="6408D7D1">
        <w:rPr>
          <w:rFonts w:ascii="Arial" w:hAnsi="Arial" w:cs="Arial"/>
          <w:sz w:val="24"/>
          <w:szCs w:val="24"/>
        </w:rPr>
        <w:t>were</w:t>
      </w:r>
      <w:r w:rsidR="00B870A5" w:rsidRPr="6408D7D1">
        <w:rPr>
          <w:rFonts w:ascii="Arial" w:hAnsi="Arial" w:cs="Arial"/>
          <w:sz w:val="24"/>
          <w:szCs w:val="24"/>
        </w:rPr>
        <w:t xml:space="preserve"> </w:t>
      </w:r>
      <w:r w:rsidR="00162529">
        <w:rPr>
          <w:rFonts w:ascii="Arial" w:hAnsi="Arial" w:cs="Arial"/>
          <w:sz w:val="24"/>
          <w:szCs w:val="24"/>
        </w:rPr>
        <w:t>in practice</w:t>
      </w:r>
      <w:r w:rsidR="009348D9">
        <w:rPr>
          <w:rFonts w:ascii="Arial" w:hAnsi="Arial" w:cs="Arial"/>
          <w:sz w:val="24"/>
          <w:szCs w:val="24"/>
        </w:rPr>
        <w:t>,</w:t>
      </w:r>
      <w:r w:rsidR="00162529">
        <w:rPr>
          <w:rFonts w:ascii="Arial" w:hAnsi="Arial" w:cs="Arial"/>
          <w:sz w:val="24"/>
          <w:szCs w:val="24"/>
        </w:rPr>
        <w:t xml:space="preserve"> </w:t>
      </w:r>
      <w:r w:rsidR="00B870A5" w:rsidRPr="6408D7D1">
        <w:rPr>
          <w:rFonts w:ascii="Arial" w:hAnsi="Arial" w:cs="Arial"/>
          <w:sz w:val="24"/>
          <w:szCs w:val="24"/>
        </w:rPr>
        <w:t>often regarded as ‘reading weeks’</w:t>
      </w:r>
      <w:r w:rsidR="00162529">
        <w:rPr>
          <w:rFonts w:ascii="Arial" w:hAnsi="Arial" w:cs="Arial"/>
          <w:sz w:val="24"/>
          <w:szCs w:val="24"/>
        </w:rPr>
        <w:t xml:space="preserve"> by students</w:t>
      </w:r>
      <w:r w:rsidR="00B870A5" w:rsidRPr="6408D7D1">
        <w:rPr>
          <w:rFonts w:ascii="Arial" w:hAnsi="Arial" w:cs="Arial"/>
          <w:sz w:val="24"/>
          <w:szCs w:val="24"/>
        </w:rPr>
        <w:t xml:space="preserve"> </w:t>
      </w:r>
      <w:r w:rsidR="009F75BD">
        <w:rPr>
          <w:rFonts w:ascii="Arial" w:hAnsi="Arial" w:cs="Arial"/>
          <w:sz w:val="24"/>
          <w:szCs w:val="24"/>
        </w:rPr>
        <w:t xml:space="preserve">or as </w:t>
      </w:r>
      <w:r w:rsidR="00B870A5" w:rsidRPr="6408D7D1">
        <w:rPr>
          <w:rFonts w:ascii="Arial" w:hAnsi="Arial" w:cs="Arial"/>
          <w:sz w:val="24"/>
          <w:szCs w:val="24"/>
        </w:rPr>
        <w:t xml:space="preserve">time to rest or visit family. </w:t>
      </w:r>
    </w:p>
    <w:p w14:paraId="258151D8" w14:textId="62E87CA7" w:rsidR="00173A35" w:rsidRPr="005913AF" w:rsidRDefault="00173A35" w:rsidP="005913AF">
      <w:pPr>
        <w:spacing w:after="240" w:line="360" w:lineRule="auto"/>
        <w:outlineLvl w:val="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6408D7D1">
        <w:rPr>
          <w:rFonts w:ascii="Arial" w:hAnsi="Arial" w:cs="Arial"/>
          <w:sz w:val="24"/>
          <w:szCs w:val="24"/>
        </w:rPr>
        <w:t xml:space="preserve">hen we asked students formally and informally for feedback and suggestions </w:t>
      </w:r>
      <w:r>
        <w:rPr>
          <w:rFonts w:ascii="Arial" w:hAnsi="Arial" w:cs="Arial"/>
          <w:sz w:val="24"/>
          <w:szCs w:val="24"/>
        </w:rPr>
        <w:t>to improve</w:t>
      </w:r>
      <w:r w:rsidRPr="6408D7D1">
        <w:rPr>
          <w:rFonts w:ascii="Arial" w:hAnsi="Arial" w:cs="Arial"/>
          <w:sz w:val="24"/>
          <w:szCs w:val="24"/>
        </w:rPr>
        <w:t xml:space="preserve"> the low </w:t>
      </w:r>
      <w:r>
        <w:rPr>
          <w:rFonts w:ascii="Arial" w:hAnsi="Arial" w:cs="Arial"/>
          <w:sz w:val="24"/>
          <w:szCs w:val="24"/>
        </w:rPr>
        <w:t xml:space="preserve">employability </w:t>
      </w:r>
      <w:r w:rsidRPr="6408D7D1">
        <w:rPr>
          <w:rFonts w:ascii="Arial" w:hAnsi="Arial" w:cs="Arial"/>
          <w:sz w:val="24"/>
          <w:szCs w:val="24"/>
        </w:rPr>
        <w:t>engagement levels, we repeatedly heard that there was a willingness to engage, however, engagement would be much more attractive if</w:t>
      </w:r>
      <w:r w:rsidR="00797FC3">
        <w:rPr>
          <w:rFonts w:ascii="Arial" w:hAnsi="Arial" w:cs="Arial"/>
          <w:sz w:val="24"/>
          <w:szCs w:val="24"/>
        </w:rPr>
        <w:t xml:space="preserve"> it was rewarded with academic credit. </w:t>
      </w:r>
      <w:r w:rsidRPr="6408D7D1">
        <w:rPr>
          <w:rFonts w:ascii="Arial" w:hAnsi="Arial" w:cs="Arial"/>
          <w:sz w:val="24"/>
          <w:szCs w:val="24"/>
        </w:rPr>
        <w:t xml:space="preserve">Therefore, </w:t>
      </w:r>
      <w:r>
        <w:rPr>
          <w:rFonts w:ascii="Arial" w:hAnsi="Arial" w:cs="Arial"/>
          <w:sz w:val="24"/>
          <w:szCs w:val="24"/>
        </w:rPr>
        <w:t xml:space="preserve">we believe that </w:t>
      </w:r>
      <w:r w:rsidRPr="6408D7D1">
        <w:rPr>
          <w:rFonts w:ascii="Arial" w:hAnsi="Arial" w:cs="Arial"/>
          <w:sz w:val="24"/>
          <w:szCs w:val="24"/>
        </w:rPr>
        <w:t xml:space="preserve">enhancing student </w:t>
      </w:r>
      <w:r w:rsidRPr="6408D7D1">
        <w:rPr>
          <w:rFonts w:ascii="Arial" w:hAnsi="Arial" w:cs="Arial"/>
          <w:sz w:val="24"/>
          <w:szCs w:val="24"/>
        </w:rPr>
        <w:lastRenderedPageBreak/>
        <w:t xml:space="preserve">engagement requires understanding and working with </w:t>
      </w:r>
      <w:r>
        <w:rPr>
          <w:rFonts w:ascii="Arial" w:hAnsi="Arial" w:cs="Arial"/>
          <w:sz w:val="24"/>
          <w:szCs w:val="24"/>
        </w:rPr>
        <w:t>individual</w:t>
      </w:r>
      <w:r w:rsidRPr="6408D7D1">
        <w:rPr>
          <w:rFonts w:ascii="Arial" w:hAnsi="Arial" w:cs="Arial"/>
          <w:sz w:val="24"/>
          <w:szCs w:val="24"/>
        </w:rPr>
        <w:t xml:space="preserve"> preferences, constraints, and complex realities. </w:t>
      </w:r>
    </w:p>
    <w:p w14:paraId="7953171B" w14:textId="27B47DFF" w:rsidR="002C127E" w:rsidRDefault="002C127E" w:rsidP="522673A2">
      <w:pPr>
        <w:spacing w:line="360" w:lineRule="auto"/>
        <w:outlineLvl w:val="1"/>
        <w:rPr>
          <w:rFonts w:ascii="Arial" w:hAnsi="Arial" w:cs="Arial"/>
          <w:sz w:val="24"/>
          <w:szCs w:val="24"/>
        </w:rPr>
      </w:pPr>
      <w:r w:rsidRPr="6408D7D1">
        <w:rPr>
          <w:rFonts w:ascii="Arial" w:hAnsi="Arial" w:cs="Arial"/>
          <w:sz w:val="24"/>
          <w:szCs w:val="24"/>
        </w:rPr>
        <w:t xml:space="preserve">At university level, despite </w:t>
      </w:r>
      <w:r w:rsidR="000C476B">
        <w:rPr>
          <w:rFonts w:ascii="Arial" w:hAnsi="Arial" w:cs="Arial"/>
          <w:sz w:val="24"/>
          <w:szCs w:val="24"/>
        </w:rPr>
        <w:t xml:space="preserve">increased </w:t>
      </w:r>
      <w:r w:rsidRPr="6408D7D1">
        <w:rPr>
          <w:rFonts w:ascii="Arial" w:hAnsi="Arial" w:cs="Arial"/>
          <w:sz w:val="24"/>
          <w:szCs w:val="24"/>
        </w:rPr>
        <w:t xml:space="preserve">provision and promotion of career tools and supports </w:t>
      </w:r>
      <w:r w:rsidR="002C2584">
        <w:rPr>
          <w:rFonts w:ascii="Arial" w:hAnsi="Arial" w:cs="Arial"/>
          <w:sz w:val="24"/>
          <w:szCs w:val="24"/>
        </w:rPr>
        <w:t xml:space="preserve">available </w:t>
      </w:r>
      <w:r w:rsidR="00F6211B">
        <w:rPr>
          <w:rFonts w:ascii="Arial" w:hAnsi="Arial" w:cs="Arial"/>
          <w:sz w:val="24"/>
          <w:szCs w:val="24"/>
        </w:rPr>
        <w:t xml:space="preserve">through the university’s centralised careers service </w:t>
      </w:r>
      <w:r w:rsidR="3F94B694" w:rsidRPr="6408D7D1">
        <w:rPr>
          <w:rFonts w:ascii="Arial" w:hAnsi="Arial" w:cs="Arial"/>
          <w:sz w:val="24"/>
          <w:szCs w:val="24"/>
        </w:rPr>
        <w:t>(</w:t>
      </w:r>
      <w:r w:rsidR="00CE5CEB">
        <w:rPr>
          <w:rFonts w:ascii="Arial" w:hAnsi="Arial" w:cs="Arial"/>
          <w:sz w:val="24"/>
          <w:szCs w:val="24"/>
        </w:rPr>
        <w:t>e.g.</w:t>
      </w:r>
      <w:r w:rsidRPr="6408D7D1">
        <w:rPr>
          <w:rFonts w:ascii="Arial" w:hAnsi="Arial" w:cs="Arial"/>
          <w:sz w:val="24"/>
          <w:szCs w:val="24"/>
        </w:rPr>
        <w:t xml:space="preserve"> workshops, online resources and one-to-one appointments</w:t>
      </w:r>
      <w:r w:rsidR="233819CA" w:rsidRPr="6408D7D1">
        <w:rPr>
          <w:rFonts w:ascii="Arial" w:hAnsi="Arial" w:cs="Arial"/>
          <w:sz w:val="24"/>
          <w:szCs w:val="24"/>
        </w:rPr>
        <w:t>)</w:t>
      </w:r>
      <w:r w:rsidRPr="6408D7D1">
        <w:rPr>
          <w:rFonts w:ascii="Arial" w:hAnsi="Arial" w:cs="Arial"/>
          <w:sz w:val="24"/>
          <w:szCs w:val="24"/>
        </w:rPr>
        <w:t xml:space="preserve"> overall engagement has been disappointingly low. </w:t>
      </w:r>
      <w:r w:rsidR="005E4D23">
        <w:rPr>
          <w:rFonts w:ascii="Arial" w:hAnsi="Arial" w:cs="Arial"/>
          <w:sz w:val="24"/>
          <w:szCs w:val="24"/>
        </w:rPr>
        <w:t xml:space="preserve">For example, a </w:t>
      </w:r>
      <w:r w:rsidR="004C1FA1">
        <w:rPr>
          <w:rFonts w:ascii="Arial" w:hAnsi="Arial" w:cs="Arial"/>
          <w:sz w:val="24"/>
          <w:szCs w:val="24"/>
        </w:rPr>
        <w:t>CV workshop bookable by all the university’s students</w:t>
      </w:r>
      <w:r w:rsidR="00CD5DC8">
        <w:rPr>
          <w:rFonts w:ascii="Arial" w:hAnsi="Arial" w:cs="Arial"/>
          <w:sz w:val="24"/>
          <w:szCs w:val="24"/>
        </w:rPr>
        <w:t xml:space="preserve"> with capacity for 20 students</w:t>
      </w:r>
      <w:r w:rsidR="00D610A8">
        <w:rPr>
          <w:rFonts w:ascii="Arial" w:hAnsi="Arial" w:cs="Arial"/>
          <w:sz w:val="24"/>
          <w:szCs w:val="24"/>
        </w:rPr>
        <w:t xml:space="preserve">, may </w:t>
      </w:r>
      <w:r w:rsidR="00DB08E0">
        <w:rPr>
          <w:rFonts w:ascii="Arial" w:hAnsi="Arial" w:cs="Arial"/>
          <w:sz w:val="24"/>
          <w:szCs w:val="24"/>
        </w:rPr>
        <w:t>average</w:t>
      </w:r>
      <w:r w:rsidR="00173A35">
        <w:rPr>
          <w:rFonts w:ascii="Arial" w:hAnsi="Arial" w:cs="Arial"/>
          <w:sz w:val="24"/>
          <w:szCs w:val="24"/>
        </w:rPr>
        <w:t xml:space="preserve"> </w:t>
      </w:r>
      <w:r w:rsidR="00CE5CEB">
        <w:rPr>
          <w:rFonts w:ascii="Arial" w:hAnsi="Arial" w:cs="Arial"/>
          <w:sz w:val="24"/>
          <w:szCs w:val="24"/>
        </w:rPr>
        <w:t>between</w:t>
      </w:r>
      <w:r w:rsidR="00D610A8">
        <w:rPr>
          <w:rFonts w:ascii="Arial" w:hAnsi="Arial" w:cs="Arial"/>
          <w:sz w:val="24"/>
          <w:szCs w:val="24"/>
        </w:rPr>
        <w:t xml:space="preserve"> </w:t>
      </w:r>
      <w:r w:rsidR="00173A35">
        <w:rPr>
          <w:rFonts w:ascii="Arial" w:hAnsi="Arial" w:cs="Arial"/>
          <w:sz w:val="24"/>
          <w:szCs w:val="24"/>
        </w:rPr>
        <w:t xml:space="preserve">two to six students. </w:t>
      </w:r>
      <w:r w:rsidRPr="6408D7D1">
        <w:rPr>
          <w:rFonts w:ascii="Arial" w:hAnsi="Arial" w:cs="Arial"/>
          <w:sz w:val="24"/>
          <w:szCs w:val="24"/>
        </w:rPr>
        <w:t>Moreover, those who engage tend to be either students c</w:t>
      </w:r>
      <w:r w:rsidR="00140D4E" w:rsidRPr="6408D7D1">
        <w:rPr>
          <w:rFonts w:ascii="Arial" w:hAnsi="Arial" w:cs="Arial"/>
          <w:sz w:val="24"/>
          <w:szCs w:val="24"/>
        </w:rPr>
        <w:t>haracterised as</w:t>
      </w:r>
      <w:r w:rsidRPr="6408D7D1">
        <w:rPr>
          <w:rFonts w:ascii="Arial" w:hAnsi="Arial" w:cs="Arial"/>
          <w:sz w:val="24"/>
          <w:szCs w:val="24"/>
        </w:rPr>
        <w:t xml:space="preserve"> ‘careerists’ </w:t>
      </w:r>
      <w:r w:rsidR="002C1993" w:rsidRPr="6408D7D1">
        <w:rPr>
          <w:rFonts w:ascii="Arial" w:hAnsi="Arial" w:cs="Arial"/>
          <w:sz w:val="24"/>
          <w:szCs w:val="24"/>
        </w:rPr>
        <w:t>(</w:t>
      </w:r>
      <w:r w:rsidR="00140D4E" w:rsidRPr="6408D7D1">
        <w:rPr>
          <w:rFonts w:ascii="Arial" w:hAnsi="Arial" w:cs="Arial"/>
          <w:sz w:val="24"/>
          <w:szCs w:val="24"/>
        </w:rPr>
        <w:t>Tomlinson</w:t>
      </w:r>
      <w:r w:rsidR="002C1993" w:rsidRPr="6408D7D1">
        <w:rPr>
          <w:rFonts w:ascii="Arial" w:hAnsi="Arial" w:cs="Arial"/>
          <w:sz w:val="24"/>
          <w:szCs w:val="24"/>
        </w:rPr>
        <w:t>,</w:t>
      </w:r>
      <w:r w:rsidR="00140D4E" w:rsidRPr="6408D7D1">
        <w:rPr>
          <w:rFonts w:ascii="Arial" w:hAnsi="Arial" w:cs="Arial"/>
          <w:sz w:val="24"/>
          <w:szCs w:val="24"/>
        </w:rPr>
        <w:t xml:space="preserve"> 2012) </w:t>
      </w:r>
      <w:r w:rsidRPr="6408D7D1">
        <w:rPr>
          <w:rFonts w:ascii="Arial" w:hAnsi="Arial" w:cs="Arial"/>
          <w:sz w:val="24"/>
          <w:szCs w:val="24"/>
        </w:rPr>
        <w:t xml:space="preserve">or those referred by </w:t>
      </w:r>
      <w:r w:rsidR="00371FC4">
        <w:rPr>
          <w:rFonts w:ascii="Arial" w:hAnsi="Arial" w:cs="Arial"/>
          <w:sz w:val="24"/>
          <w:szCs w:val="24"/>
        </w:rPr>
        <w:t xml:space="preserve">their </w:t>
      </w:r>
      <w:r w:rsidRPr="6408D7D1">
        <w:rPr>
          <w:rFonts w:ascii="Arial" w:hAnsi="Arial" w:cs="Arial"/>
          <w:sz w:val="24"/>
          <w:szCs w:val="24"/>
        </w:rPr>
        <w:t>personal</w:t>
      </w:r>
      <w:r w:rsidR="00033D70">
        <w:rPr>
          <w:rFonts w:ascii="Arial" w:hAnsi="Arial" w:cs="Arial"/>
          <w:sz w:val="24"/>
          <w:szCs w:val="24"/>
        </w:rPr>
        <w:t xml:space="preserve"> </w:t>
      </w:r>
      <w:r w:rsidRPr="6408D7D1">
        <w:rPr>
          <w:rFonts w:ascii="Arial" w:hAnsi="Arial" w:cs="Arial"/>
          <w:sz w:val="24"/>
          <w:szCs w:val="24"/>
        </w:rPr>
        <w:t>tutor</w:t>
      </w:r>
      <w:r w:rsidR="002E48EB">
        <w:rPr>
          <w:rFonts w:ascii="Arial" w:hAnsi="Arial" w:cs="Arial"/>
          <w:sz w:val="24"/>
          <w:szCs w:val="24"/>
        </w:rPr>
        <w:t xml:space="preserve"> (</w:t>
      </w:r>
      <w:r w:rsidR="00084B63">
        <w:rPr>
          <w:rFonts w:ascii="Arial" w:hAnsi="Arial" w:cs="Arial"/>
          <w:sz w:val="24"/>
          <w:szCs w:val="24"/>
        </w:rPr>
        <w:t xml:space="preserve">an </w:t>
      </w:r>
      <w:r w:rsidR="00880ECD">
        <w:rPr>
          <w:rFonts w:ascii="Arial" w:hAnsi="Arial" w:cs="Arial"/>
          <w:sz w:val="24"/>
          <w:szCs w:val="24"/>
        </w:rPr>
        <w:t xml:space="preserve">academic </w:t>
      </w:r>
      <w:r w:rsidR="002E48EB">
        <w:rPr>
          <w:rFonts w:ascii="Arial" w:hAnsi="Arial" w:cs="Arial"/>
          <w:sz w:val="24"/>
          <w:szCs w:val="24"/>
        </w:rPr>
        <w:t xml:space="preserve">responsible for </w:t>
      </w:r>
      <w:r w:rsidR="00371FC4">
        <w:rPr>
          <w:rFonts w:ascii="Arial" w:hAnsi="Arial" w:cs="Arial"/>
          <w:sz w:val="24"/>
          <w:szCs w:val="24"/>
        </w:rPr>
        <w:t>a student’s overall academic and personal welfare)</w:t>
      </w:r>
      <w:r w:rsidRPr="6408D7D1">
        <w:rPr>
          <w:rFonts w:ascii="Arial" w:hAnsi="Arial" w:cs="Arial"/>
          <w:sz w:val="24"/>
          <w:szCs w:val="24"/>
        </w:rPr>
        <w:t xml:space="preserve">. </w:t>
      </w:r>
      <w:r w:rsidR="008F0E94">
        <w:rPr>
          <w:rFonts w:ascii="Arial" w:hAnsi="Arial" w:cs="Arial"/>
          <w:sz w:val="24"/>
          <w:szCs w:val="24"/>
        </w:rPr>
        <w:t xml:space="preserve">Therefore, student engagement </w:t>
      </w:r>
      <w:r w:rsidR="00084B63">
        <w:rPr>
          <w:rFonts w:ascii="Arial" w:hAnsi="Arial" w:cs="Arial"/>
          <w:sz w:val="24"/>
          <w:szCs w:val="24"/>
        </w:rPr>
        <w:t>was</w:t>
      </w:r>
      <w:r w:rsidR="00A66B73">
        <w:rPr>
          <w:rFonts w:ascii="Arial" w:hAnsi="Arial" w:cs="Arial"/>
          <w:sz w:val="24"/>
          <w:szCs w:val="24"/>
        </w:rPr>
        <w:t xml:space="preserve"> not consistent and equitable across the student population.</w:t>
      </w:r>
    </w:p>
    <w:p w14:paraId="55860817" w14:textId="4B7AD23C" w:rsidR="00C53E21" w:rsidRPr="005913AF" w:rsidRDefault="00537559" w:rsidP="522673A2">
      <w:pPr>
        <w:spacing w:line="360" w:lineRule="auto"/>
        <w:rPr>
          <w:rFonts w:ascii="Arial" w:hAnsi="Arial" w:cs="Arial"/>
          <w:sz w:val="24"/>
          <w:szCs w:val="24"/>
        </w:rPr>
      </w:pPr>
      <w:r w:rsidRPr="6408D7D1">
        <w:rPr>
          <w:rFonts w:ascii="Arial" w:hAnsi="Arial" w:cs="Arial"/>
          <w:sz w:val="24"/>
          <w:szCs w:val="24"/>
        </w:rPr>
        <w:t xml:space="preserve">After many years of frustration with low student engagement and mounting pressure to enhance the employability offer within the </w:t>
      </w:r>
      <w:r w:rsidR="00427ABC" w:rsidRPr="6408D7D1">
        <w:rPr>
          <w:rFonts w:ascii="Arial" w:hAnsi="Arial" w:cs="Arial"/>
          <w:sz w:val="24"/>
          <w:szCs w:val="24"/>
        </w:rPr>
        <w:t>department</w:t>
      </w:r>
      <w:r w:rsidRPr="6408D7D1">
        <w:rPr>
          <w:rFonts w:ascii="Arial" w:hAnsi="Arial" w:cs="Arial"/>
          <w:sz w:val="24"/>
          <w:szCs w:val="24"/>
        </w:rPr>
        <w:t xml:space="preserve">, a </w:t>
      </w:r>
      <w:r w:rsidR="00D44CC2" w:rsidRPr="6408D7D1">
        <w:rPr>
          <w:rFonts w:ascii="Arial" w:hAnsi="Arial" w:cs="Arial"/>
          <w:sz w:val="24"/>
          <w:szCs w:val="24"/>
        </w:rPr>
        <w:t xml:space="preserve">pragmatic </w:t>
      </w:r>
      <w:r w:rsidRPr="6408D7D1">
        <w:rPr>
          <w:rFonts w:ascii="Arial" w:hAnsi="Arial" w:cs="Arial"/>
          <w:sz w:val="24"/>
          <w:szCs w:val="24"/>
        </w:rPr>
        <w:t xml:space="preserve">decision was </w:t>
      </w:r>
      <w:r w:rsidR="00C94332" w:rsidRPr="6408D7D1">
        <w:rPr>
          <w:rFonts w:ascii="Arial" w:hAnsi="Arial" w:cs="Arial"/>
          <w:sz w:val="24"/>
          <w:szCs w:val="24"/>
        </w:rPr>
        <w:t>taken through</w:t>
      </w:r>
      <w:r w:rsidRPr="6408D7D1">
        <w:rPr>
          <w:rFonts w:ascii="Arial" w:hAnsi="Arial" w:cs="Arial"/>
          <w:sz w:val="24"/>
          <w:szCs w:val="24"/>
        </w:rPr>
        <w:t xml:space="preserve"> the </w:t>
      </w:r>
      <w:r w:rsidR="007D7761" w:rsidRPr="6408D7D1">
        <w:rPr>
          <w:rFonts w:ascii="Arial" w:hAnsi="Arial" w:cs="Arial"/>
          <w:sz w:val="24"/>
          <w:szCs w:val="24"/>
        </w:rPr>
        <w:t xml:space="preserve">programme </w:t>
      </w:r>
      <w:r w:rsidRPr="6408D7D1">
        <w:rPr>
          <w:rFonts w:ascii="Arial" w:hAnsi="Arial" w:cs="Arial"/>
          <w:sz w:val="24"/>
          <w:szCs w:val="24"/>
        </w:rPr>
        <w:t xml:space="preserve">revalidation process, </w:t>
      </w:r>
      <w:r w:rsidR="00A52E72">
        <w:rPr>
          <w:rFonts w:ascii="Arial" w:hAnsi="Arial" w:cs="Arial"/>
          <w:sz w:val="24"/>
          <w:szCs w:val="24"/>
        </w:rPr>
        <w:t>(</w:t>
      </w:r>
      <w:r w:rsidRPr="6408D7D1">
        <w:rPr>
          <w:rFonts w:ascii="Arial" w:hAnsi="Arial" w:cs="Arial"/>
          <w:sz w:val="24"/>
          <w:szCs w:val="24"/>
        </w:rPr>
        <w:t xml:space="preserve">which takes place every </w:t>
      </w:r>
      <w:r w:rsidR="007D7761" w:rsidRPr="6408D7D1">
        <w:rPr>
          <w:rFonts w:ascii="Arial" w:hAnsi="Arial" w:cs="Arial"/>
          <w:sz w:val="24"/>
          <w:szCs w:val="24"/>
        </w:rPr>
        <w:t xml:space="preserve">five </w:t>
      </w:r>
      <w:r w:rsidRPr="6408D7D1">
        <w:rPr>
          <w:rFonts w:ascii="Arial" w:hAnsi="Arial" w:cs="Arial"/>
          <w:sz w:val="24"/>
          <w:szCs w:val="24"/>
        </w:rPr>
        <w:t>years</w:t>
      </w:r>
      <w:r w:rsidR="00A52E72">
        <w:rPr>
          <w:rFonts w:ascii="Arial" w:hAnsi="Arial" w:cs="Arial"/>
          <w:sz w:val="24"/>
          <w:szCs w:val="24"/>
        </w:rPr>
        <w:t>)</w:t>
      </w:r>
      <w:r w:rsidRPr="6408D7D1">
        <w:rPr>
          <w:rFonts w:ascii="Arial" w:hAnsi="Arial" w:cs="Arial"/>
          <w:sz w:val="24"/>
          <w:szCs w:val="24"/>
        </w:rPr>
        <w:t xml:space="preserve">, to develop a </w:t>
      </w:r>
      <w:r w:rsidR="00917864" w:rsidRPr="6408D7D1">
        <w:rPr>
          <w:rFonts w:ascii="Arial" w:hAnsi="Arial" w:cs="Arial"/>
          <w:sz w:val="24"/>
          <w:szCs w:val="24"/>
        </w:rPr>
        <w:t xml:space="preserve">new </w:t>
      </w:r>
      <w:r w:rsidR="004B650D" w:rsidRPr="6408D7D1">
        <w:rPr>
          <w:rFonts w:ascii="Arial" w:hAnsi="Arial" w:cs="Arial"/>
          <w:sz w:val="24"/>
          <w:szCs w:val="24"/>
        </w:rPr>
        <w:t xml:space="preserve">dedicated </w:t>
      </w:r>
      <w:r w:rsidR="00797FC3">
        <w:rPr>
          <w:rFonts w:ascii="Arial" w:hAnsi="Arial" w:cs="Arial"/>
          <w:sz w:val="24"/>
          <w:szCs w:val="24"/>
        </w:rPr>
        <w:t xml:space="preserve">and credit bearing </w:t>
      </w:r>
      <w:r w:rsidR="004B650D" w:rsidRPr="6408D7D1">
        <w:rPr>
          <w:rFonts w:ascii="Arial" w:hAnsi="Arial" w:cs="Arial"/>
          <w:sz w:val="24"/>
          <w:szCs w:val="24"/>
        </w:rPr>
        <w:t>employability module</w:t>
      </w:r>
      <w:r w:rsidR="00781AF5" w:rsidRPr="6408D7D1">
        <w:rPr>
          <w:rFonts w:ascii="Arial" w:hAnsi="Arial" w:cs="Arial"/>
          <w:sz w:val="24"/>
          <w:szCs w:val="24"/>
        </w:rPr>
        <w:t xml:space="preserve">. </w:t>
      </w:r>
      <w:r w:rsidR="004F4255">
        <w:rPr>
          <w:rFonts w:ascii="Arial" w:hAnsi="Arial" w:cs="Arial"/>
          <w:sz w:val="24"/>
          <w:szCs w:val="24"/>
        </w:rPr>
        <w:t xml:space="preserve">This was greatly assisted by </w:t>
      </w:r>
      <w:r w:rsidR="00503171">
        <w:rPr>
          <w:rFonts w:ascii="Arial" w:hAnsi="Arial" w:cs="Arial"/>
          <w:sz w:val="24"/>
          <w:szCs w:val="24"/>
        </w:rPr>
        <w:t xml:space="preserve">this paper’s second author </w:t>
      </w:r>
      <w:r w:rsidR="00A52E72">
        <w:rPr>
          <w:rFonts w:ascii="Arial" w:hAnsi="Arial" w:cs="Arial"/>
          <w:sz w:val="24"/>
          <w:szCs w:val="24"/>
        </w:rPr>
        <w:t xml:space="preserve">also </w:t>
      </w:r>
      <w:r w:rsidR="00503171">
        <w:rPr>
          <w:rFonts w:ascii="Arial" w:hAnsi="Arial" w:cs="Arial"/>
          <w:sz w:val="24"/>
          <w:szCs w:val="24"/>
        </w:rPr>
        <w:t xml:space="preserve">being </w:t>
      </w:r>
      <w:r w:rsidR="00FC17B3">
        <w:rPr>
          <w:rFonts w:ascii="Arial" w:hAnsi="Arial" w:cs="Arial"/>
          <w:sz w:val="24"/>
          <w:szCs w:val="24"/>
        </w:rPr>
        <w:t xml:space="preserve">academic </w:t>
      </w:r>
      <w:r w:rsidR="00503171">
        <w:rPr>
          <w:rFonts w:ascii="Arial" w:hAnsi="Arial" w:cs="Arial"/>
          <w:sz w:val="24"/>
          <w:szCs w:val="24"/>
        </w:rPr>
        <w:t>programme lead</w:t>
      </w:r>
      <w:r w:rsidR="00FF14A5">
        <w:rPr>
          <w:rFonts w:ascii="Arial" w:hAnsi="Arial" w:cs="Arial"/>
          <w:sz w:val="24"/>
          <w:szCs w:val="24"/>
        </w:rPr>
        <w:t xml:space="preserve"> at the time</w:t>
      </w:r>
      <w:r w:rsidR="00FC17B3">
        <w:rPr>
          <w:rFonts w:ascii="Arial" w:hAnsi="Arial" w:cs="Arial"/>
          <w:sz w:val="24"/>
          <w:szCs w:val="24"/>
        </w:rPr>
        <w:t xml:space="preserve">, </w:t>
      </w:r>
      <w:r w:rsidR="003A7B3E">
        <w:rPr>
          <w:rFonts w:ascii="Arial" w:hAnsi="Arial" w:cs="Arial"/>
          <w:sz w:val="24"/>
          <w:szCs w:val="24"/>
        </w:rPr>
        <w:t>meaning they</w:t>
      </w:r>
      <w:r w:rsidR="00FC17B3">
        <w:rPr>
          <w:rFonts w:ascii="Arial" w:hAnsi="Arial" w:cs="Arial"/>
          <w:sz w:val="24"/>
          <w:szCs w:val="24"/>
        </w:rPr>
        <w:t xml:space="preserve"> could advocate </w:t>
      </w:r>
      <w:r w:rsidR="00D078F8">
        <w:rPr>
          <w:rFonts w:ascii="Arial" w:hAnsi="Arial" w:cs="Arial"/>
          <w:sz w:val="24"/>
          <w:szCs w:val="24"/>
        </w:rPr>
        <w:t>strongly</w:t>
      </w:r>
      <w:r w:rsidR="00FF14A5">
        <w:rPr>
          <w:rFonts w:ascii="Arial" w:hAnsi="Arial" w:cs="Arial"/>
          <w:sz w:val="24"/>
          <w:szCs w:val="24"/>
        </w:rPr>
        <w:t xml:space="preserve"> for change</w:t>
      </w:r>
      <w:r w:rsidR="00D078F8">
        <w:rPr>
          <w:rFonts w:ascii="Arial" w:hAnsi="Arial" w:cs="Arial"/>
          <w:sz w:val="24"/>
          <w:szCs w:val="24"/>
        </w:rPr>
        <w:t xml:space="preserve">. A dedicated module was </w:t>
      </w:r>
      <w:r w:rsidR="00475703">
        <w:rPr>
          <w:rFonts w:ascii="Arial" w:hAnsi="Arial" w:cs="Arial"/>
          <w:sz w:val="24"/>
          <w:szCs w:val="24"/>
        </w:rPr>
        <w:t xml:space="preserve">viewed as </w:t>
      </w:r>
      <w:r w:rsidR="00985093">
        <w:rPr>
          <w:rFonts w:ascii="Arial" w:hAnsi="Arial" w:cs="Arial"/>
          <w:sz w:val="24"/>
          <w:szCs w:val="24"/>
        </w:rPr>
        <w:t xml:space="preserve">a </w:t>
      </w:r>
      <w:r w:rsidR="007F46CC">
        <w:rPr>
          <w:rFonts w:ascii="Arial" w:hAnsi="Arial" w:cs="Arial"/>
          <w:sz w:val="24"/>
          <w:szCs w:val="24"/>
        </w:rPr>
        <w:t xml:space="preserve">more achievable </w:t>
      </w:r>
      <w:r w:rsidR="00985093">
        <w:rPr>
          <w:rFonts w:ascii="Arial" w:hAnsi="Arial" w:cs="Arial"/>
          <w:sz w:val="24"/>
          <w:szCs w:val="24"/>
        </w:rPr>
        <w:t xml:space="preserve">option, </w:t>
      </w:r>
      <w:r w:rsidR="007F46CC">
        <w:rPr>
          <w:rFonts w:ascii="Arial" w:hAnsi="Arial" w:cs="Arial"/>
          <w:sz w:val="24"/>
          <w:szCs w:val="24"/>
        </w:rPr>
        <w:t xml:space="preserve">as previous attempts to </w:t>
      </w:r>
      <w:r w:rsidR="00D72CF0">
        <w:rPr>
          <w:rFonts w:ascii="Arial" w:hAnsi="Arial" w:cs="Arial"/>
          <w:sz w:val="24"/>
          <w:szCs w:val="24"/>
        </w:rPr>
        <w:t>spread employability across modules had</w:t>
      </w:r>
      <w:r w:rsidR="00475703">
        <w:rPr>
          <w:rFonts w:ascii="Arial" w:hAnsi="Arial" w:cs="Arial"/>
          <w:sz w:val="24"/>
          <w:szCs w:val="24"/>
        </w:rPr>
        <w:t xml:space="preserve"> been diluted by competing demands </w:t>
      </w:r>
      <w:r w:rsidR="00A24157">
        <w:rPr>
          <w:rFonts w:ascii="Arial" w:hAnsi="Arial" w:cs="Arial"/>
          <w:sz w:val="24"/>
          <w:szCs w:val="24"/>
        </w:rPr>
        <w:t>up</w:t>
      </w:r>
      <w:r w:rsidR="007324C1">
        <w:rPr>
          <w:rFonts w:ascii="Arial" w:hAnsi="Arial" w:cs="Arial"/>
          <w:sz w:val="24"/>
          <w:szCs w:val="24"/>
        </w:rPr>
        <w:t>on academic colleagues.</w:t>
      </w:r>
      <w:r w:rsidR="003A48E4">
        <w:rPr>
          <w:rFonts w:ascii="Arial" w:hAnsi="Arial" w:cs="Arial"/>
          <w:sz w:val="24"/>
          <w:szCs w:val="24"/>
        </w:rPr>
        <w:t xml:space="preserve"> Indeed, some academics opposed supporting employability initiatives in their modules because it was ‘not their responsibility’. </w:t>
      </w:r>
      <w:r w:rsidR="009B5341" w:rsidRPr="6408D7D1">
        <w:rPr>
          <w:rFonts w:ascii="Arial" w:hAnsi="Arial" w:cs="Arial"/>
          <w:sz w:val="24"/>
          <w:szCs w:val="24"/>
        </w:rPr>
        <w:t>‘</w:t>
      </w:r>
      <w:r w:rsidR="00781AF5" w:rsidRPr="6408D7D1">
        <w:rPr>
          <w:rFonts w:ascii="Arial" w:hAnsi="Arial" w:cs="Arial"/>
          <w:sz w:val="24"/>
          <w:szCs w:val="24"/>
        </w:rPr>
        <w:t>The Professional Geographer</w:t>
      </w:r>
      <w:r w:rsidR="009B5341" w:rsidRPr="6408D7D1">
        <w:rPr>
          <w:rFonts w:ascii="Arial" w:hAnsi="Arial" w:cs="Arial"/>
          <w:sz w:val="24"/>
          <w:szCs w:val="24"/>
        </w:rPr>
        <w:t>’</w:t>
      </w:r>
      <w:r w:rsidR="00F45A93" w:rsidRPr="6408D7D1">
        <w:rPr>
          <w:rFonts w:ascii="Arial" w:hAnsi="Arial" w:cs="Arial"/>
          <w:sz w:val="24"/>
          <w:szCs w:val="24"/>
        </w:rPr>
        <w:t xml:space="preserve"> was </w:t>
      </w:r>
      <w:r w:rsidR="697454CD" w:rsidRPr="6408D7D1">
        <w:rPr>
          <w:rFonts w:ascii="Arial" w:hAnsi="Arial" w:cs="Arial"/>
          <w:sz w:val="24"/>
          <w:szCs w:val="24"/>
        </w:rPr>
        <w:t xml:space="preserve">promoted </w:t>
      </w:r>
      <w:r w:rsidR="00F45A93" w:rsidRPr="6408D7D1">
        <w:rPr>
          <w:rFonts w:ascii="Arial" w:hAnsi="Arial" w:cs="Arial"/>
          <w:sz w:val="24"/>
          <w:szCs w:val="24"/>
        </w:rPr>
        <w:t>as a</w:t>
      </w:r>
      <w:r w:rsidR="006B74DF" w:rsidRPr="6408D7D1">
        <w:rPr>
          <w:rFonts w:ascii="Arial" w:hAnsi="Arial" w:cs="Arial"/>
          <w:sz w:val="24"/>
          <w:szCs w:val="24"/>
        </w:rPr>
        <w:t>n optional</w:t>
      </w:r>
      <w:r w:rsidR="00F45A93" w:rsidRPr="6408D7D1">
        <w:rPr>
          <w:rFonts w:ascii="Arial" w:hAnsi="Arial" w:cs="Arial"/>
          <w:sz w:val="24"/>
          <w:szCs w:val="24"/>
        </w:rPr>
        <w:t xml:space="preserve"> </w:t>
      </w:r>
      <w:r w:rsidR="00613096" w:rsidRPr="6408D7D1">
        <w:rPr>
          <w:rFonts w:ascii="Arial" w:hAnsi="Arial" w:cs="Arial"/>
          <w:sz w:val="24"/>
          <w:szCs w:val="24"/>
        </w:rPr>
        <w:t>third-year</w:t>
      </w:r>
      <w:r w:rsidR="00F45A93" w:rsidRPr="6408D7D1">
        <w:rPr>
          <w:rFonts w:ascii="Arial" w:hAnsi="Arial" w:cs="Arial"/>
          <w:sz w:val="24"/>
          <w:szCs w:val="24"/>
        </w:rPr>
        <w:t xml:space="preserve"> undergraduate module, </w:t>
      </w:r>
      <w:r w:rsidR="006A0BE5" w:rsidRPr="6408D7D1">
        <w:rPr>
          <w:rFonts w:ascii="Arial" w:hAnsi="Arial" w:cs="Arial"/>
          <w:sz w:val="24"/>
          <w:szCs w:val="24"/>
        </w:rPr>
        <w:t xml:space="preserve">to be delivered in </w:t>
      </w:r>
      <w:r w:rsidR="00F45A93" w:rsidRPr="6408D7D1">
        <w:rPr>
          <w:rFonts w:ascii="Arial" w:hAnsi="Arial" w:cs="Arial"/>
          <w:sz w:val="24"/>
          <w:szCs w:val="24"/>
        </w:rPr>
        <w:t>the first semester</w:t>
      </w:r>
      <w:r w:rsidR="006B74DF" w:rsidRPr="6408D7D1">
        <w:rPr>
          <w:rFonts w:ascii="Arial" w:hAnsi="Arial" w:cs="Arial"/>
          <w:sz w:val="24"/>
          <w:szCs w:val="24"/>
        </w:rPr>
        <w:t xml:space="preserve"> and</w:t>
      </w:r>
      <w:r w:rsidR="00613096" w:rsidRPr="6408D7D1">
        <w:rPr>
          <w:rFonts w:ascii="Arial" w:hAnsi="Arial" w:cs="Arial"/>
          <w:sz w:val="24"/>
          <w:szCs w:val="24"/>
        </w:rPr>
        <w:t xml:space="preserve"> capped at thirty students.</w:t>
      </w:r>
      <w:r w:rsidR="00D44CC2" w:rsidRPr="6408D7D1">
        <w:rPr>
          <w:rFonts w:ascii="Arial" w:hAnsi="Arial" w:cs="Arial"/>
          <w:sz w:val="24"/>
          <w:szCs w:val="24"/>
        </w:rPr>
        <w:t xml:space="preserve"> </w:t>
      </w:r>
      <w:r w:rsidR="00082730">
        <w:rPr>
          <w:rFonts w:ascii="Arial" w:hAnsi="Arial" w:cs="Arial"/>
          <w:sz w:val="24"/>
          <w:szCs w:val="24"/>
        </w:rPr>
        <w:t xml:space="preserve">This number was chosen based on </w:t>
      </w:r>
      <w:r w:rsidR="00734F8C">
        <w:rPr>
          <w:rFonts w:ascii="Arial" w:hAnsi="Arial" w:cs="Arial"/>
          <w:sz w:val="24"/>
          <w:szCs w:val="24"/>
        </w:rPr>
        <w:t xml:space="preserve">our combined </w:t>
      </w:r>
      <w:r w:rsidR="00E035A6">
        <w:rPr>
          <w:rFonts w:ascii="Arial" w:hAnsi="Arial" w:cs="Arial"/>
          <w:sz w:val="24"/>
          <w:szCs w:val="24"/>
        </w:rPr>
        <w:t>previous teaching experience</w:t>
      </w:r>
      <w:r w:rsidR="00591414">
        <w:rPr>
          <w:rFonts w:ascii="Arial" w:hAnsi="Arial" w:cs="Arial"/>
          <w:sz w:val="24"/>
          <w:szCs w:val="24"/>
        </w:rPr>
        <w:t xml:space="preserve"> </w:t>
      </w:r>
      <w:r w:rsidR="00E035A6">
        <w:rPr>
          <w:rFonts w:ascii="Arial" w:hAnsi="Arial" w:cs="Arial"/>
          <w:sz w:val="24"/>
          <w:szCs w:val="24"/>
        </w:rPr>
        <w:t xml:space="preserve">to ensure high quality </w:t>
      </w:r>
      <w:r w:rsidR="003D773C">
        <w:rPr>
          <w:rFonts w:ascii="Arial" w:hAnsi="Arial" w:cs="Arial"/>
          <w:sz w:val="24"/>
          <w:szCs w:val="24"/>
        </w:rPr>
        <w:t xml:space="preserve">small group experiential learning. </w:t>
      </w:r>
      <w:r w:rsidR="00427ABC" w:rsidRPr="6408D7D1">
        <w:rPr>
          <w:rFonts w:ascii="Arial" w:hAnsi="Arial" w:cs="Arial"/>
          <w:sz w:val="24"/>
          <w:szCs w:val="24"/>
        </w:rPr>
        <w:t>A</w:t>
      </w:r>
      <w:r w:rsidRPr="6408D7D1">
        <w:rPr>
          <w:rFonts w:ascii="Arial" w:hAnsi="Arial" w:cs="Arial"/>
          <w:sz w:val="24"/>
          <w:szCs w:val="24"/>
        </w:rPr>
        <w:t xml:space="preserve">s we outline below, the module was an important opportunity </w:t>
      </w:r>
      <w:r w:rsidR="00FB4A36" w:rsidRPr="6408D7D1">
        <w:rPr>
          <w:rFonts w:ascii="Arial" w:hAnsi="Arial" w:cs="Arial"/>
          <w:sz w:val="24"/>
          <w:szCs w:val="24"/>
        </w:rPr>
        <w:t xml:space="preserve">to deliver scalable impact in employability and career learning by engaging </w:t>
      </w:r>
      <w:r w:rsidR="00427ABC" w:rsidRPr="6408D7D1">
        <w:rPr>
          <w:rFonts w:ascii="Arial" w:hAnsi="Arial" w:cs="Arial"/>
          <w:sz w:val="24"/>
          <w:szCs w:val="24"/>
        </w:rPr>
        <w:t xml:space="preserve">and benefiting </w:t>
      </w:r>
      <w:r w:rsidR="00FB4A36" w:rsidRPr="6408D7D1">
        <w:rPr>
          <w:rFonts w:ascii="Arial" w:hAnsi="Arial" w:cs="Arial"/>
          <w:sz w:val="24"/>
          <w:szCs w:val="24"/>
        </w:rPr>
        <w:t>students</w:t>
      </w:r>
      <w:r w:rsidR="00427ABC" w:rsidRPr="6408D7D1">
        <w:rPr>
          <w:rFonts w:ascii="Arial" w:hAnsi="Arial" w:cs="Arial"/>
          <w:sz w:val="24"/>
          <w:szCs w:val="24"/>
        </w:rPr>
        <w:t xml:space="preserve"> </w:t>
      </w:r>
      <w:r w:rsidR="003F46C0">
        <w:rPr>
          <w:rFonts w:ascii="Arial" w:hAnsi="Arial" w:cs="Arial"/>
          <w:sz w:val="24"/>
          <w:szCs w:val="24"/>
        </w:rPr>
        <w:t xml:space="preserve">taking </w:t>
      </w:r>
      <w:r w:rsidR="00427ABC" w:rsidRPr="6408D7D1">
        <w:rPr>
          <w:rFonts w:ascii="Arial" w:hAnsi="Arial" w:cs="Arial"/>
          <w:sz w:val="24"/>
          <w:szCs w:val="24"/>
        </w:rPr>
        <w:t>the module</w:t>
      </w:r>
      <w:r w:rsidR="00CF1680">
        <w:rPr>
          <w:rFonts w:ascii="Arial" w:hAnsi="Arial" w:cs="Arial"/>
          <w:sz w:val="24"/>
          <w:szCs w:val="24"/>
        </w:rPr>
        <w:t>. Importantly</w:t>
      </w:r>
      <w:r w:rsidR="00E13805">
        <w:rPr>
          <w:rFonts w:ascii="Arial" w:hAnsi="Arial" w:cs="Arial"/>
          <w:sz w:val="24"/>
          <w:szCs w:val="24"/>
        </w:rPr>
        <w:t>,</w:t>
      </w:r>
      <w:r w:rsidR="00CF1680">
        <w:rPr>
          <w:rFonts w:ascii="Arial" w:hAnsi="Arial" w:cs="Arial"/>
          <w:sz w:val="24"/>
          <w:szCs w:val="24"/>
        </w:rPr>
        <w:t xml:space="preserve"> </w:t>
      </w:r>
      <w:r w:rsidR="00445204">
        <w:rPr>
          <w:rFonts w:ascii="Arial" w:hAnsi="Arial" w:cs="Arial"/>
          <w:sz w:val="24"/>
          <w:szCs w:val="24"/>
        </w:rPr>
        <w:t xml:space="preserve">it also generated </w:t>
      </w:r>
      <w:r w:rsidR="00281384">
        <w:rPr>
          <w:rFonts w:ascii="Arial" w:hAnsi="Arial" w:cs="Arial"/>
          <w:sz w:val="24"/>
          <w:szCs w:val="24"/>
        </w:rPr>
        <w:t>increas</w:t>
      </w:r>
      <w:r w:rsidR="00591414">
        <w:rPr>
          <w:rFonts w:ascii="Arial" w:hAnsi="Arial" w:cs="Arial"/>
          <w:sz w:val="24"/>
          <w:szCs w:val="24"/>
        </w:rPr>
        <w:t>e</w:t>
      </w:r>
      <w:r w:rsidR="00445204">
        <w:rPr>
          <w:rFonts w:ascii="Arial" w:hAnsi="Arial" w:cs="Arial"/>
          <w:sz w:val="24"/>
          <w:szCs w:val="24"/>
        </w:rPr>
        <w:t>d</w:t>
      </w:r>
      <w:r w:rsidR="00281384">
        <w:rPr>
          <w:rFonts w:ascii="Arial" w:hAnsi="Arial" w:cs="Arial"/>
          <w:sz w:val="24"/>
          <w:szCs w:val="24"/>
        </w:rPr>
        <w:t xml:space="preserve"> </w:t>
      </w:r>
      <w:r w:rsidR="00B40F27">
        <w:rPr>
          <w:rFonts w:ascii="Arial" w:hAnsi="Arial" w:cs="Arial"/>
          <w:sz w:val="24"/>
          <w:szCs w:val="24"/>
        </w:rPr>
        <w:t xml:space="preserve">engagement across </w:t>
      </w:r>
      <w:r w:rsidR="00427ABC" w:rsidRPr="6408D7D1">
        <w:rPr>
          <w:rFonts w:ascii="Arial" w:hAnsi="Arial" w:cs="Arial"/>
          <w:sz w:val="24"/>
          <w:szCs w:val="24"/>
        </w:rPr>
        <w:t xml:space="preserve">the wider </w:t>
      </w:r>
      <w:r w:rsidR="00591414">
        <w:rPr>
          <w:rFonts w:ascii="Arial" w:hAnsi="Arial" w:cs="Arial"/>
          <w:sz w:val="24"/>
          <w:szCs w:val="24"/>
        </w:rPr>
        <w:t>department,</w:t>
      </w:r>
      <w:r w:rsidR="00C50E1A">
        <w:rPr>
          <w:rFonts w:ascii="Arial" w:hAnsi="Arial" w:cs="Arial"/>
          <w:sz w:val="24"/>
          <w:szCs w:val="24"/>
        </w:rPr>
        <w:t xml:space="preserve"> </w:t>
      </w:r>
      <w:r w:rsidR="00591414">
        <w:rPr>
          <w:rFonts w:ascii="Arial" w:hAnsi="Arial" w:cs="Arial"/>
          <w:sz w:val="24"/>
          <w:szCs w:val="24"/>
        </w:rPr>
        <w:t xml:space="preserve">by </w:t>
      </w:r>
      <w:r w:rsidR="00CF1680">
        <w:rPr>
          <w:rFonts w:ascii="Arial" w:hAnsi="Arial" w:cs="Arial"/>
          <w:sz w:val="24"/>
          <w:szCs w:val="24"/>
        </w:rPr>
        <w:t xml:space="preserve">delivering </w:t>
      </w:r>
      <w:r w:rsidR="00354FAB">
        <w:rPr>
          <w:rFonts w:ascii="Arial" w:hAnsi="Arial" w:cs="Arial"/>
          <w:sz w:val="24"/>
          <w:szCs w:val="24"/>
        </w:rPr>
        <w:t xml:space="preserve">student-led </w:t>
      </w:r>
      <w:r w:rsidR="00C50E1A">
        <w:rPr>
          <w:rFonts w:ascii="Arial" w:hAnsi="Arial" w:cs="Arial"/>
          <w:sz w:val="24"/>
          <w:szCs w:val="24"/>
        </w:rPr>
        <w:t>career events</w:t>
      </w:r>
      <w:r w:rsidR="00354FAB">
        <w:rPr>
          <w:rFonts w:ascii="Arial" w:hAnsi="Arial" w:cs="Arial"/>
          <w:sz w:val="24"/>
          <w:szCs w:val="24"/>
        </w:rPr>
        <w:t xml:space="preserve"> accessible to all department</w:t>
      </w:r>
      <w:r w:rsidR="00925E5B">
        <w:rPr>
          <w:rFonts w:ascii="Arial" w:hAnsi="Arial" w:cs="Arial"/>
          <w:sz w:val="24"/>
          <w:szCs w:val="24"/>
        </w:rPr>
        <w:t>al</w:t>
      </w:r>
      <w:r w:rsidR="00354FAB">
        <w:rPr>
          <w:rFonts w:ascii="Arial" w:hAnsi="Arial" w:cs="Arial"/>
          <w:sz w:val="24"/>
          <w:szCs w:val="24"/>
        </w:rPr>
        <w:t xml:space="preserve"> students.</w:t>
      </w:r>
    </w:p>
    <w:p w14:paraId="085D0329" w14:textId="6CCC5ED8" w:rsidR="00FB4A36" w:rsidRDefault="001A2894" w:rsidP="522673A2">
      <w:pPr>
        <w:spacing w:line="360" w:lineRule="auto"/>
        <w:outlineLvl w:val="1"/>
        <w:rPr>
          <w:rFonts w:ascii="Arial" w:hAnsi="Arial" w:cs="Arial"/>
          <w:sz w:val="24"/>
          <w:szCs w:val="24"/>
        </w:rPr>
      </w:pPr>
      <w:r w:rsidRPr="522673A2">
        <w:rPr>
          <w:rFonts w:ascii="Arial" w:hAnsi="Arial" w:cs="Arial"/>
          <w:b/>
          <w:bCs/>
          <w:sz w:val="24"/>
          <w:szCs w:val="24"/>
        </w:rPr>
        <w:t xml:space="preserve">Module </w:t>
      </w:r>
      <w:r w:rsidR="00354FAB">
        <w:rPr>
          <w:rFonts w:ascii="Arial" w:hAnsi="Arial" w:cs="Arial"/>
          <w:b/>
          <w:bCs/>
          <w:sz w:val="24"/>
          <w:szCs w:val="24"/>
        </w:rPr>
        <w:t>d</w:t>
      </w:r>
      <w:r w:rsidRPr="522673A2">
        <w:rPr>
          <w:rFonts w:ascii="Arial" w:hAnsi="Arial" w:cs="Arial"/>
          <w:b/>
          <w:bCs/>
          <w:sz w:val="24"/>
          <w:szCs w:val="24"/>
        </w:rPr>
        <w:t>esign: Concept</w:t>
      </w:r>
    </w:p>
    <w:p w14:paraId="1A0CF739" w14:textId="20A40692" w:rsidR="004B73A2" w:rsidRDefault="008C62FD" w:rsidP="007F69EB">
      <w:pPr>
        <w:spacing w:line="360" w:lineRule="auto"/>
        <w:outlineLvl w:val="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We</w:t>
      </w:r>
      <w:r w:rsidR="00FB4A36">
        <w:rPr>
          <w:rFonts w:ascii="Arial" w:hAnsi="Arial" w:cs="Arial"/>
          <w:bCs/>
          <w:sz w:val="24"/>
          <w:szCs w:val="24"/>
        </w:rPr>
        <w:t xml:space="preserve"> </w:t>
      </w:r>
      <w:r w:rsidR="00830B18">
        <w:rPr>
          <w:rFonts w:ascii="Arial" w:hAnsi="Arial" w:cs="Arial"/>
          <w:bCs/>
          <w:sz w:val="24"/>
          <w:szCs w:val="24"/>
        </w:rPr>
        <w:t>aim</w:t>
      </w:r>
      <w:r w:rsidR="00925E5B">
        <w:rPr>
          <w:rFonts w:ascii="Arial" w:hAnsi="Arial" w:cs="Arial"/>
          <w:bCs/>
          <w:sz w:val="24"/>
          <w:szCs w:val="24"/>
        </w:rPr>
        <w:t>ed</w:t>
      </w:r>
      <w:r w:rsidR="00830B18">
        <w:rPr>
          <w:rFonts w:ascii="Arial" w:hAnsi="Arial" w:cs="Arial"/>
          <w:bCs/>
          <w:sz w:val="24"/>
          <w:szCs w:val="24"/>
        </w:rPr>
        <w:t xml:space="preserve"> for</w:t>
      </w:r>
      <w:r w:rsidR="00FB4A36">
        <w:rPr>
          <w:rFonts w:ascii="Arial" w:hAnsi="Arial" w:cs="Arial"/>
          <w:bCs/>
          <w:sz w:val="24"/>
          <w:szCs w:val="24"/>
        </w:rPr>
        <w:t xml:space="preserve"> the module to </w:t>
      </w:r>
      <w:r w:rsidR="009C63FC">
        <w:rPr>
          <w:rFonts w:ascii="Arial" w:hAnsi="Arial" w:cs="Arial"/>
          <w:bCs/>
          <w:sz w:val="24"/>
          <w:szCs w:val="24"/>
        </w:rPr>
        <w:t xml:space="preserve">develop </w:t>
      </w:r>
      <w:r w:rsidR="00A95A54">
        <w:rPr>
          <w:rFonts w:ascii="Arial" w:hAnsi="Arial" w:cs="Arial"/>
          <w:bCs/>
          <w:sz w:val="24"/>
          <w:szCs w:val="24"/>
        </w:rPr>
        <w:t>students’</w:t>
      </w:r>
      <w:r w:rsidR="004B73A2">
        <w:rPr>
          <w:rFonts w:ascii="Arial" w:hAnsi="Arial" w:cs="Arial"/>
          <w:bCs/>
          <w:sz w:val="24"/>
          <w:szCs w:val="24"/>
        </w:rPr>
        <w:t xml:space="preserve"> awareness of their skills and values; increase</w:t>
      </w:r>
      <w:r w:rsidR="008756EB">
        <w:rPr>
          <w:rFonts w:ascii="Arial" w:hAnsi="Arial" w:cs="Arial"/>
          <w:bCs/>
          <w:sz w:val="24"/>
          <w:szCs w:val="24"/>
        </w:rPr>
        <w:t xml:space="preserve"> their</w:t>
      </w:r>
      <w:r w:rsidR="004B73A2">
        <w:rPr>
          <w:rFonts w:ascii="Arial" w:hAnsi="Arial" w:cs="Arial"/>
          <w:bCs/>
          <w:sz w:val="24"/>
          <w:szCs w:val="24"/>
        </w:rPr>
        <w:t xml:space="preserve"> confidence and self-advocacy; </w:t>
      </w:r>
      <w:r w:rsidR="00BB6336">
        <w:rPr>
          <w:rFonts w:ascii="Arial" w:hAnsi="Arial" w:cs="Arial"/>
          <w:bCs/>
          <w:sz w:val="24"/>
          <w:szCs w:val="24"/>
        </w:rPr>
        <w:t xml:space="preserve">raise </w:t>
      </w:r>
      <w:r w:rsidR="009C63FC">
        <w:rPr>
          <w:rFonts w:ascii="Arial" w:hAnsi="Arial" w:cs="Arial"/>
          <w:bCs/>
          <w:sz w:val="24"/>
          <w:szCs w:val="24"/>
        </w:rPr>
        <w:t xml:space="preserve">their </w:t>
      </w:r>
      <w:r w:rsidR="004B73A2">
        <w:rPr>
          <w:rFonts w:ascii="Arial" w:hAnsi="Arial" w:cs="Arial"/>
          <w:bCs/>
          <w:sz w:val="24"/>
          <w:szCs w:val="24"/>
        </w:rPr>
        <w:t xml:space="preserve">awareness of the changing </w:t>
      </w:r>
      <w:r w:rsidR="004B73A2">
        <w:rPr>
          <w:rFonts w:ascii="Arial" w:hAnsi="Arial" w:cs="Arial"/>
          <w:bCs/>
          <w:sz w:val="24"/>
          <w:szCs w:val="24"/>
        </w:rPr>
        <w:lastRenderedPageBreak/>
        <w:t xml:space="preserve">world of work and their future within </w:t>
      </w:r>
      <w:r w:rsidR="00BB6336">
        <w:rPr>
          <w:rFonts w:ascii="Arial" w:hAnsi="Arial" w:cs="Arial"/>
          <w:bCs/>
          <w:sz w:val="24"/>
          <w:szCs w:val="24"/>
        </w:rPr>
        <w:t xml:space="preserve">a </w:t>
      </w:r>
      <w:r w:rsidR="004B73A2">
        <w:rPr>
          <w:rFonts w:ascii="Arial" w:hAnsi="Arial" w:cs="Arial"/>
          <w:bCs/>
          <w:sz w:val="24"/>
          <w:szCs w:val="24"/>
        </w:rPr>
        <w:t>rapidly changing world; and improve</w:t>
      </w:r>
      <w:r w:rsidR="008756EB">
        <w:rPr>
          <w:rFonts w:ascii="Arial" w:hAnsi="Arial" w:cs="Arial"/>
          <w:bCs/>
          <w:sz w:val="24"/>
          <w:szCs w:val="24"/>
        </w:rPr>
        <w:t xml:space="preserve"> their</w:t>
      </w:r>
      <w:r w:rsidR="004B73A2">
        <w:rPr>
          <w:rFonts w:ascii="Arial" w:hAnsi="Arial" w:cs="Arial"/>
          <w:bCs/>
          <w:sz w:val="24"/>
          <w:szCs w:val="24"/>
        </w:rPr>
        <w:t xml:space="preserve"> </w:t>
      </w:r>
      <w:r w:rsidR="00C12812">
        <w:rPr>
          <w:rFonts w:ascii="Arial" w:hAnsi="Arial" w:cs="Arial"/>
          <w:bCs/>
          <w:sz w:val="24"/>
          <w:szCs w:val="24"/>
        </w:rPr>
        <w:t>application of</w:t>
      </w:r>
      <w:r w:rsidR="004B73A2">
        <w:rPr>
          <w:rFonts w:ascii="Arial" w:hAnsi="Arial" w:cs="Arial"/>
          <w:bCs/>
          <w:sz w:val="24"/>
          <w:szCs w:val="24"/>
        </w:rPr>
        <w:t xml:space="preserve"> learning in practical contexts.</w:t>
      </w:r>
      <w:r w:rsidR="00FB4A36">
        <w:rPr>
          <w:rFonts w:ascii="Arial" w:hAnsi="Arial" w:cs="Arial"/>
          <w:bCs/>
          <w:sz w:val="24"/>
          <w:szCs w:val="24"/>
        </w:rPr>
        <w:t xml:space="preserve"> </w:t>
      </w:r>
    </w:p>
    <w:p w14:paraId="5AB2691C" w14:textId="6B94F465" w:rsidR="00A3603E" w:rsidRPr="005A71A1" w:rsidRDefault="0093275C" w:rsidP="007F69EB">
      <w:pPr>
        <w:spacing w:line="360" w:lineRule="auto"/>
        <w:outlineLvl w:val="1"/>
        <w:rPr>
          <w:rFonts w:ascii="Arial" w:hAnsi="Arial" w:cs="Arial"/>
          <w:sz w:val="24"/>
          <w:szCs w:val="24"/>
        </w:rPr>
      </w:pPr>
      <w:r w:rsidRPr="6408D7D1">
        <w:rPr>
          <w:rFonts w:ascii="Arial" w:hAnsi="Arial" w:cs="Arial"/>
          <w:sz w:val="24"/>
          <w:szCs w:val="24"/>
        </w:rPr>
        <w:t xml:space="preserve">Based on our experience, </w:t>
      </w:r>
      <w:r w:rsidR="00EA5572">
        <w:rPr>
          <w:rFonts w:ascii="Arial" w:hAnsi="Arial" w:cs="Arial"/>
          <w:sz w:val="24"/>
          <w:szCs w:val="24"/>
        </w:rPr>
        <w:t>and following</w:t>
      </w:r>
      <w:r w:rsidR="0075441F" w:rsidRPr="6408D7D1">
        <w:rPr>
          <w:rFonts w:ascii="Arial" w:hAnsi="Arial" w:cs="Arial"/>
          <w:sz w:val="24"/>
          <w:szCs w:val="24"/>
        </w:rPr>
        <w:t xml:space="preserve"> </w:t>
      </w:r>
      <w:r w:rsidRPr="6408D7D1">
        <w:rPr>
          <w:rFonts w:ascii="Arial" w:hAnsi="Arial" w:cs="Arial"/>
          <w:sz w:val="24"/>
          <w:szCs w:val="24"/>
        </w:rPr>
        <w:t xml:space="preserve">many discussions with students, we </w:t>
      </w:r>
      <w:r w:rsidR="003D4BB9" w:rsidRPr="6408D7D1">
        <w:rPr>
          <w:rFonts w:ascii="Arial" w:hAnsi="Arial" w:cs="Arial"/>
          <w:sz w:val="24"/>
          <w:szCs w:val="24"/>
        </w:rPr>
        <w:t xml:space="preserve">recognised </w:t>
      </w:r>
      <w:r w:rsidR="00830B18">
        <w:rPr>
          <w:rFonts w:ascii="Arial" w:hAnsi="Arial" w:cs="Arial"/>
          <w:sz w:val="24"/>
          <w:szCs w:val="24"/>
        </w:rPr>
        <w:t>for</w:t>
      </w:r>
      <w:r w:rsidRPr="6408D7D1">
        <w:rPr>
          <w:rFonts w:ascii="Arial" w:hAnsi="Arial" w:cs="Arial"/>
          <w:sz w:val="24"/>
          <w:szCs w:val="24"/>
        </w:rPr>
        <w:t xml:space="preserve"> this </w:t>
      </w:r>
      <w:r w:rsidR="00FE194D" w:rsidRPr="6408D7D1">
        <w:rPr>
          <w:rFonts w:ascii="Arial" w:hAnsi="Arial" w:cs="Arial"/>
          <w:sz w:val="24"/>
          <w:szCs w:val="24"/>
        </w:rPr>
        <w:t xml:space="preserve">module </w:t>
      </w:r>
      <w:r w:rsidR="009452F8" w:rsidRPr="6408D7D1">
        <w:rPr>
          <w:rFonts w:ascii="Arial" w:hAnsi="Arial" w:cs="Arial"/>
          <w:sz w:val="24"/>
          <w:szCs w:val="24"/>
        </w:rPr>
        <w:t xml:space="preserve">to be </w:t>
      </w:r>
      <w:r w:rsidR="00FE194D" w:rsidRPr="6408D7D1">
        <w:rPr>
          <w:rFonts w:ascii="Arial" w:hAnsi="Arial" w:cs="Arial"/>
          <w:sz w:val="24"/>
          <w:szCs w:val="24"/>
        </w:rPr>
        <w:t>success</w:t>
      </w:r>
      <w:r w:rsidR="009452F8" w:rsidRPr="6408D7D1">
        <w:rPr>
          <w:rFonts w:ascii="Arial" w:hAnsi="Arial" w:cs="Arial"/>
          <w:sz w:val="24"/>
          <w:szCs w:val="24"/>
        </w:rPr>
        <w:t>ful</w:t>
      </w:r>
      <w:r w:rsidR="00FE194D" w:rsidRPr="6408D7D1">
        <w:rPr>
          <w:rFonts w:ascii="Arial" w:hAnsi="Arial" w:cs="Arial"/>
          <w:sz w:val="24"/>
          <w:szCs w:val="24"/>
        </w:rPr>
        <w:t>, we needed to deploy</w:t>
      </w:r>
      <w:r w:rsidR="004479A8" w:rsidRPr="6408D7D1">
        <w:rPr>
          <w:rFonts w:ascii="Arial" w:hAnsi="Arial" w:cs="Arial"/>
          <w:sz w:val="24"/>
          <w:szCs w:val="24"/>
        </w:rPr>
        <w:t xml:space="preserve"> a mixture of</w:t>
      </w:r>
      <w:r w:rsidR="00FE194D" w:rsidRPr="6408D7D1">
        <w:rPr>
          <w:rFonts w:ascii="Arial" w:hAnsi="Arial" w:cs="Arial"/>
          <w:sz w:val="24"/>
          <w:szCs w:val="24"/>
        </w:rPr>
        <w:t xml:space="preserve"> </w:t>
      </w:r>
      <w:r w:rsidR="00166268">
        <w:rPr>
          <w:rFonts w:ascii="Arial" w:hAnsi="Arial" w:cs="Arial"/>
          <w:sz w:val="24"/>
          <w:szCs w:val="24"/>
        </w:rPr>
        <w:t>‘</w:t>
      </w:r>
      <w:r w:rsidR="004479A8" w:rsidRPr="6408D7D1">
        <w:rPr>
          <w:rFonts w:ascii="Arial" w:hAnsi="Arial" w:cs="Arial"/>
          <w:sz w:val="24"/>
          <w:szCs w:val="24"/>
        </w:rPr>
        <w:t>carrots and sticks</w:t>
      </w:r>
      <w:r w:rsidR="00166268">
        <w:rPr>
          <w:rFonts w:ascii="Arial" w:hAnsi="Arial" w:cs="Arial"/>
          <w:sz w:val="24"/>
          <w:szCs w:val="24"/>
        </w:rPr>
        <w:t>’</w:t>
      </w:r>
      <w:r w:rsidR="004479A8" w:rsidRPr="6408D7D1">
        <w:rPr>
          <w:rFonts w:ascii="Arial" w:hAnsi="Arial" w:cs="Arial"/>
          <w:sz w:val="24"/>
          <w:szCs w:val="24"/>
        </w:rPr>
        <w:t>.</w:t>
      </w:r>
      <w:r w:rsidR="004D56A3" w:rsidRPr="6408D7D1">
        <w:rPr>
          <w:rFonts w:ascii="Arial" w:hAnsi="Arial" w:cs="Arial"/>
          <w:sz w:val="24"/>
          <w:szCs w:val="24"/>
        </w:rPr>
        <w:t xml:space="preserve"> </w:t>
      </w:r>
      <w:r w:rsidR="00F0662B">
        <w:rPr>
          <w:rFonts w:ascii="Arial" w:hAnsi="Arial" w:cs="Arial"/>
          <w:sz w:val="24"/>
          <w:szCs w:val="24"/>
        </w:rPr>
        <w:t>C</w:t>
      </w:r>
      <w:r w:rsidR="00C60881" w:rsidRPr="6408D7D1">
        <w:rPr>
          <w:rFonts w:ascii="Arial" w:hAnsi="Arial" w:cs="Arial"/>
          <w:sz w:val="24"/>
          <w:szCs w:val="24"/>
        </w:rPr>
        <w:t xml:space="preserve">arrots </w:t>
      </w:r>
      <w:r w:rsidR="0068223F" w:rsidRPr="6408D7D1">
        <w:rPr>
          <w:rFonts w:ascii="Arial" w:hAnsi="Arial" w:cs="Arial"/>
          <w:sz w:val="24"/>
          <w:szCs w:val="24"/>
        </w:rPr>
        <w:t>are</w:t>
      </w:r>
      <w:r w:rsidR="00A3603E" w:rsidRPr="6408D7D1">
        <w:rPr>
          <w:rFonts w:ascii="Arial" w:hAnsi="Arial" w:cs="Arial"/>
          <w:sz w:val="24"/>
          <w:szCs w:val="24"/>
        </w:rPr>
        <w:t xml:space="preserve"> positive rewards </w:t>
      </w:r>
      <w:r w:rsidR="000267B1">
        <w:rPr>
          <w:rFonts w:ascii="Arial" w:hAnsi="Arial" w:cs="Arial"/>
          <w:sz w:val="24"/>
          <w:szCs w:val="24"/>
        </w:rPr>
        <w:t>which</w:t>
      </w:r>
      <w:r w:rsidR="00A3603E" w:rsidRPr="6408D7D1">
        <w:rPr>
          <w:rFonts w:ascii="Arial" w:hAnsi="Arial" w:cs="Arial"/>
          <w:sz w:val="24"/>
          <w:szCs w:val="24"/>
        </w:rPr>
        <w:t xml:space="preserve"> encourag</w:t>
      </w:r>
      <w:r w:rsidR="0068223F" w:rsidRPr="6408D7D1">
        <w:rPr>
          <w:rFonts w:ascii="Arial" w:hAnsi="Arial" w:cs="Arial"/>
          <w:sz w:val="24"/>
          <w:szCs w:val="24"/>
        </w:rPr>
        <w:t>e</w:t>
      </w:r>
      <w:r w:rsidR="00A3603E" w:rsidRPr="6408D7D1">
        <w:rPr>
          <w:rFonts w:ascii="Arial" w:hAnsi="Arial" w:cs="Arial"/>
          <w:sz w:val="24"/>
          <w:szCs w:val="24"/>
        </w:rPr>
        <w:t xml:space="preserve"> students to engage</w:t>
      </w:r>
      <w:r w:rsidR="0005091E">
        <w:rPr>
          <w:rFonts w:ascii="Arial" w:hAnsi="Arial" w:cs="Arial"/>
          <w:sz w:val="24"/>
          <w:szCs w:val="24"/>
        </w:rPr>
        <w:t>.</w:t>
      </w:r>
      <w:r w:rsidR="00A3603E" w:rsidRPr="6408D7D1">
        <w:rPr>
          <w:rFonts w:ascii="Arial" w:hAnsi="Arial" w:cs="Arial"/>
          <w:sz w:val="24"/>
          <w:szCs w:val="24"/>
        </w:rPr>
        <w:t xml:space="preserve"> Intrinsically, students </w:t>
      </w:r>
      <w:r w:rsidR="1A51E8F4" w:rsidRPr="6408D7D1">
        <w:rPr>
          <w:rFonts w:ascii="Arial" w:hAnsi="Arial" w:cs="Arial"/>
          <w:sz w:val="24"/>
          <w:szCs w:val="24"/>
        </w:rPr>
        <w:t xml:space="preserve">would be </w:t>
      </w:r>
      <w:r w:rsidR="00A3603E" w:rsidRPr="6408D7D1">
        <w:rPr>
          <w:rFonts w:ascii="Arial" w:hAnsi="Arial" w:cs="Arial"/>
          <w:sz w:val="24"/>
          <w:szCs w:val="24"/>
        </w:rPr>
        <w:t xml:space="preserve">motivated to engage, learn and complete a range of tasks because they find developing and enhancing </w:t>
      </w:r>
      <w:r w:rsidR="0068223F" w:rsidRPr="6408D7D1">
        <w:rPr>
          <w:rFonts w:ascii="Arial" w:hAnsi="Arial" w:cs="Arial"/>
          <w:sz w:val="24"/>
          <w:szCs w:val="24"/>
        </w:rPr>
        <w:t xml:space="preserve">their </w:t>
      </w:r>
      <w:r w:rsidR="00A3603E" w:rsidRPr="6408D7D1">
        <w:rPr>
          <w:rFonts w:ascii="Arial" w:hAnsi="Arial" w:cs="Arial"/>
          <w:sz w:val="24"/>
          <w:szCs w:val="24"/>
        </w:rPr>
        <w:t>skills, experience, knowledge and confidence</w:t>
      </w:r>
      <w:r w:rsidR="00025756" w:rsidRPr="6408D7D1">
        <w:rPr>
          <w:rFonts w:ascii="Arial" w:hAnsi="Arial" w:cs="Arial"/>
          <w:sz w:val="24"/>
          <w:szCs w:val="24"/>
        </w:rPr>
        <w:t>,</w:t>
      </w:r>
      <w:r w:rsidR="00A3603E" w:rsidRPr="6408D7D1">
        <w:rPr>
          <w:rFonts w:ascii="Arial" w:hAnsi="Arial" w:cs="Arial"/>
          <w:sz w:val="24"/>
          <w:szCs w:val="24"/>
        </w:rPr>
        <w:t xml:space="preserve"> enjoyable and satisfying. </w:t>
      </w:r>
      <w:r w:rsidR="00CB79BA" w:rsidRPr="6408D7D1">
        <w:rPr>
          <w:rFonts w:ascii="Arial" w:hAnsi="Arial" w:cs="Arial"/>
          <w:sz w:val="24"/>
          <w:szCs w:val="24"/>
        </w:rPr>
        <w:t>E</w:t>
      </w:r>
      <w:r w:rsidR="00A3603E" w:rsidRPr="6408D7D1">
        <w:rPr>
          <w:rFonts w:ascii="Arial" w:hAnsi="Arial" w:cs="Arial"/>
          <w:sz w:val="24"/>
          <w:szCs w:val="24"/>
        </w:rPr>
        <w:t xml:space="preserve">xtrinsic motivation </w:t>
      </w:r>
      <w:r w:rsidR="52C064AC" w:rsidRPr="6408D7D1">
        <w:rPr>
          <w:rFonts w:ascii="Arial" w:hAnsi="Arial" w:cs="Arial"/>
          <w:sz w:val="24"/>
          <w:szCs w:val="24"/>
        </w:rPr>
        <w:t xml:space="preserve">would </w:t>
      </w:r>
      <w:r w:rsidR="00132190">
        <w:rPr>
          <w:rFonts w:ascii="Arial" w:hAnsi="Arial" w:cs="Arial"/>
          <w:sz w:val="24"/>
          <w:szCs w:val="24"/>
        </w:rPr>
        <w:t>derive</w:t>
      </w:r>
      <w:r w:rsidR="52C064AC" w:rsidRPr="6408D7D1">
        <w:rPr>
          <w:rFonts w:ascii="Arial" w:hAnsi="Arial" w:cs="Arial"/>
          <w:sz w:val="24"/>
          <w:szCs w:val="24"/>
        </w:rPr>
        <w:t xml:space="preserve"> </w:t>
      </w:r>
      <w:r w:rsidR="00A3603E" w:rsidRPr="6408D7D1">
        <w:rPr>
          <w:rFonts w:ascii="Arial" w:hAnsi="Arial" w:cs="Arial"/>
          <w:sz w:val="24"/>
          <w:szCs w:val="24"/>
        </w:rPr>
        <w:t xml:space="preserve">from tangible rewards </w:t>
      </w:r>
      <w:r w:rsidR="002F0CFC">
        <w:rPr>
          <w:rFonts w:ascii="Arial" w:hAnsi="Arial" w:cs="Arial"/>
          <w:sz w:val="24"/>
          <w:szCs w:val="24"/>
        </w:rPr>
        <w:t>including</w:t>
      </w:r>
      <w:r w:rsidR="00A3603E" w:rsidRPr="6408D7D1">
        <w:rPr>
          <w:rFonts w:ascii="Arial" w:hAnsi="Arial" w:cs="Arial"/>
          <w:sz w:val="24"/>
          <w:szCs w:val="24"/>
        </w:rPr>
        <w:t xml:space="preserve"> academic credit for engagement, completion</w:t>
      </w:r>
      <w:r w:rsidR="00796A5A" w:rsidRPr="6408D7D1">
        <w:rPr>
          <w:rFonts w:ascii="Arial" w:hAnsi="Arial" w:cs="Arial"/>
          <w:sz w:val="24"/>
          <w:szCs w:val="24"/>
        </w:rPr>
        <w:t xml:space="preserve">, </w:t>
      </w:r>
      <w:r w:rsidR="0040567E" w:rsidRPr="6408D7D1">
        <w:rPr>
          <w:rFonts w:ascii="Arial" w:hAnsi="Arial" w:cs="Arial"/>
          <w:sz w:val="24"/>
          <w:szCs w:val="24"/>
        </w:rPr>
        <w:t>performance,</w:t>
      </w:r>
      <w:r w:rsidR="00A3603E" w:rsidRPr="6408D7D1">
        <w:rPr>
          <w:rFonts w:ascii="Arial" w:hAnsi="Arial" w:cs="Arial"/>
          <w:sz w:val="24"/>
          <w:szCs w:val="24"/>
        </w:rPr>
        <w:t xml:space="preserve"> </w:t>
      </w:r>
      <w:r w:rsidR="00132190">
        <w:rPr>
          <w:rFonts w:ascii="Arial" w:hAnsi="Arial" w:cs="Arial"/>
          <w:sz w:val="24"/>
          <w:szCs w:val="24"/>
        </w:rPr>
        <w:t xml:space="preserve">plus </w:t>
      </w:r>
      <w:r w:rsidR="00A3603E" w:rsidRPr="6408D7D1">
        <w:rPr>
          <w:rFonts w:ascii="Arial" w:hAnsi="Arial" w:cs="Arial"/>
          <w:sz w:val="24"/>
          <w:szCs w:val="24"/>
        </w:rPr>
        <w:t xml:space="preserve">practical benefits such as CVs, personal </w:t>
      </w:r>
      <w:r w:rsidR="00D952E3" w:rsidRPr="6408D7D1">
        <w:rPr>
          <w:rFonts w:ascii="Arial" w:hAnsi="Arial" w:cs="Arial"/>
          <w:sz w:val="24"/>
          <w:szCs w:val="24"/>
        </w:rPr>
        <w:t>statements,</w:t>
      </w:r>
      <w:r w:rsidR="00A3603E" w:rsidRPr="6408D7D1">
        <w:rPr>
          <w:rFonts w:ascii="Arial" w:hAnsi="Arial" w:cs="Arial"/>
          <w:sz w:val="24"/>
          <w:szCs w:val="24"/>
        </w:rPr>
        <w:t xml:space="preserve"> interview </w:t>
      </w:r>
      <w:r w:rsidR="00A3603E" w:rsidRPr="005A71A1">
        <w:rPr>
          <w:rFonts w:ascii="Arial" w:hAnsi="Arial" w:cs="Arial"/>
          <w:sz w:val="24"/>
          <w:szCs w:val="24"/>
        </w:rPr>
        <w:t>skills</w:t>
      </w:r>
      <w:r w:rsidR="0052548F">
        <w:rPr>
          <w:rFonts w:ascii="Arial" w:hAnsi="Arial" w:cs="Arial"/>
          <w:sz w:val="24"/>
          <w:szCs w:val="24"/>
        </w:rPr>
        <w:t>,</w:t>
      </w:r>
      <w:r w:rsidR="00A3603E" w:rsidRPr="005A71A1">
        <w:rPr>
          <w:rFonts w:ascii="Arial" w:hAnsi="Arial" w:cs="Arial"/>
          <w:sz w:val="24"/>
          <w:szCs w:val="24"/>
        </w:rPr>
        <w:t xml:space="preserve"> </w:t>
      </w:r>
      <w:r w:rsidR="00577ADE">
        <w:rPr>
          <w:rFonts w:ascii="Arial" w:hAnsi="Arial" w:cs="Arial"/>
          <w:sz w:val="24"/>
          <w:szCs w:val="24"/>
        </w:rPr>
        <w:t>benefitting</w:t>
      </w:r>
      <w:r w:rsidR="00FE0988" w:rsidRPr="005A71A1">
        <w:rPr>
          <w:rFonts w:ascii="Arial" w:hAnsi="Arial" w:cs="Arial"/>
          <w:sz w:val="24"/>
          <w:szCs w:val="24"/>
        </w:rPr>
        <w:t xml:space="preserve"> them in both the graduate recruitment process and subsequent career.</w:t>
      </w:r>
    </w:p>
    <w:p w14:paraId="2D066E65" w14:textId="619711E1" w:rsidR="00C56F04" w:rsidRDefault="00F0662B" w:rsidP="007F69EB">
      <w:pPr>
        <w:spacing w:line="360" w:lineRule="auto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574F7E" w:rsidRPr="6408D7D1">
        <w:rPr>
          <w:rFonts w:ascii="Arial" w:hAnsi="Arial" w:cs="Arial"/>
          <w:sz w:val="24"/>
          <w:szCs w:val="24"/>
        </w:rPr>
        <w:t xml:space="preserve">ticks, or negative penalties, </w:t>
      </w:r>
      <w:r w:rsidR="00132190">
        <w:rPr>
          <w:rFonts w:ascii="Arial" w:hAnsi="Arial" w:cs="Arial"/>
          <w:sz w:val="24"/>
          <w:szCs w:val="24"/>
        </w:rPr>
        <w:t>are</w:t>
      </w:r>
      <w:r w:rsidR="00574F7E" w:rsidRPr="6408D7D1">
        <w:rPr>
          <w:rFonts w:ascii="Arial" w:hAnsi="Arial" w:cs="Arial"/>
          <w:sz w:val="24"/>
          <w:szCs w:val="24"/>
        </w:rPr>
        <w:t xml:space="preserve"> also powerful motivators </w:t>
      </w:r>
      <w:r w:rsidR="0053281C">
        <w:rPr>
          <w:rFonts w:ascii="Arial" w:hAnsi="Arial" w:cs="Arial"/>
          <w:sz w:val="24"/>
          <w:szCs w:val="24"/>
        </w:rPr>
        <w:t>working</w:t>
      </w:r>
      <w:r w:rsidR="00574F7E" w:rsidRPr="6408D7D1">
        <w:rPr>
          <w:rFonts w:ascii="Arial" w:hAnsi="Arial" w:cs="Arial"/>
          <w:sz w:val="24"/>
          <w:szCs w:val="24"/>
        </w:rPr>
        <w:t xml:space="preserve"> on two levels. Intrinsically, students were </w:t>
      </w:r>
      <w:r w:rsidR="007C2396">
        <w:rPr>
          <w:rFonts w:ascii="Arial" w:hAnsi="Arial" w:cs="Arial"/>
          <w:sz w:val="24"/>
          <w:szCs w:val="24"/>
        </w:rPr>
        <w:t>required</w:t>
      </w:r>
      <w:r w:rsidR="00574F7E" w:rsidRPr="6408D7D1">
        <w:rPr>
          <w:rFonts w:ascii="Arial" w:hAnsi="Arial" w:cs="Arial"/>
          <w:sz w:val="24"/>
          <w:szCs w:val="24"/>
        </w:rPr>
        <w:t xml:space="preserve"> to complete weekly </w:t>
      </w:r>
      <w:r w:rsidR="006E0B94">
        <w:rPr>
          <w:rFonts w:ascii="Arial" w:hAnsi="Arial" w:cs="Arial"/>
          <w:sz w:val="24"/>
          <w:szCs w:val="24"/>
        </w:rPr>
        <w:t xml:space="preserve">self-directed </w:t>
      </w:r>
      <w:r w:rsidR="00574F7E" w:rsidRPr="6408D7D1">
        <w:rPr>
          <w:rFonts w:ascii="Arial" w:hAnsi="Arial" w:cs="Arial"/>
          <w:sz w:val="24"/>
          <w:szCs w:val="24"/>
        </w:rPr>
        <w:t>homework</w:t>
      </w:r>
      <w:r w:rsidR="00FE0988">
        <w:rPr>
          <w:rFonts w:ascii="Arial" w:hAnsi="Arial" w:cs="Arial"/>
          <w:sz w:val="24"/>
          <w:szCs w:val="24"/>
        </w:rPr>
        <w:t xml:space="preserve"> </w:t>
      </w:r>
      <w:r w:rsidR="00574F7E" w:rsidRPr="6408D7D1">
        <w:rPr>
          <w:rFonts w:ascii="Arial" w:hAnsi="Arial" w:cs="Arial"/>
          <w:sz w:val="24"/>
          <w:szCs w:val="24"/>
        </w:rPr>
        <w:t>tasks</w:t>
      </w:r>
      <w:r w:rsidR="00EB4983">
        <w:rPr>
          <w:rFonts w:ascii="Arial" w:hAnsi="Arial" w:cs="Arial"/>
          <w:sz w:val="24"/>
          <w:szCs w:val="24"/>
        </w:rPr>
        <w:t>,</w:t>
      </w:r>
      <w:r w:rsidR="00574F7E" w:rsidRPr="6408D7D1">
        <w:rPr>
          <w:rFonts w:ascii="Arial" w:hAnsi="Arial" w:cs="Arial"/>
          <w:sz w:val="24"/>
          <w:szCs w:val="24"/>
        </w:rPr>
        <w:t xml:space="preserve"> such as reading</w:t>
      </w:r>
      <w:r w:rsidR="00132190">
        <w:rPr>
          <w:rFonts w:ascii="Arial" w:hAnsi="Arial" w:cs="Arial"/>
          <w:sz w:val="24"/>
          <w:szCs w:val="24"/>
        </w:rPr>
        <w:t>s</w:t>
      </w:r>
      <w:r w:rsidR="00574F7E" w:rsidRPr="6408D7D1">
        <w:rPr>
          <w:rFonts w:ascii="Arial" w:hAnsi="Arial" w:cs="Arial"/>
          <w:sz w:val="24"/>
          <w:szCs w:val="24"/>
        </w:rPr>
        <w:t xml:space="preserve">, preparing </w:t>
      </w:r>
      <w:r w:rsidR="00132190">
        <w:rPr>
          <w:rFonts w:ascii="Arial" w:hAnsi="Arial" w:cs="Arial"/>
          <w:sz w:val="24"/>
          <w:szCs w:val="24"/>
        </w:rPr>
        <w:t xml:space="preserve">documents such as </w:t>
      </w:r>
      <w:r w:rsidR="00574F7E" w:rsidRPr="6408D7D1">
        <w:rPr>
          <w:rFonts w:ascii="Arial" w:hAnsi="Arial" w:cs="Arial"/>
          <w:sz w:val="24"/>
          <w:szCs w:val="24"/>
        </w:rPr>
        <w:t xml:space="preserve">cover </w:t>
      </w:r>
      <w:r w:rsidR="0040567E" w:rsidRPr="6408D7D1">
        <w:rPr>
          <w:rFonts w:ascii="Arial" w:hAnsi="Arial" w:cs="Arial"/>
          <w:sz w:val="24"/>
          <w:szCs w:val="24"/>
        </w:rPr>
        <w:t>letters,</w:t>
      </w:r>
      <w:r w:rsidR="00574F7E" w:rsidRPr="6408D7D1">
        <w:rPr>
          <w:rFonts w:ascii="Arial" w:hAnsi="Arial" w:cs="Arial"/>
          <w:sz w:val="24"/>
          <w:szCs w:val="24"/>
        </w:rPr>
        <w:t xml:space="preserve"> </w:t>
      </w:r>
      <w:r w:rsidR="00132190">
        <w:rPr>
          <w:rFonts w:ascii="Arial" w:hAnsi="Arial" w:cs="Arial"/>
          <w:sz w:val="24"/>
          <w:szCs w:val="24"/>
        </w:rPr>
        <w:t>or</w:t>
      </w:r>
      <w:r w:rsidR="00574F7E" w:rsidRPr="6408D7D1">
        <w:rPr>
          <w:rFonts w:ascii="Arial" w:hAnsi="Arial" w:cs="Arial"/>
          <w:sz w:val="24"/>
          <w:szCs w:val="24"/>
        </w:rPr>
        <w:t xml:space="preserve"> self- reflections or assessments</w:t>
      </w:r>
      <w:r w:rsidR="006E0B94">
        <w:rPr>
          <w:rFonts w:ascii="Arial" w:hAnsi="Arial" w:cs="Arial"/>
          <w:sz w:val="24"/>
          <w:szCs w:val="24"/>
        </w:rPr>
        <w:t xml:space="preserve">. </w:t>
      </w:r>
      <w:r w:rsidR="00830BDF">
        <w:rPr>
          <w:rFonts w:ascii="Arial" w:hAnsi="Arial" w:cs="Arial"/>
          <w:sz w:val="24"/>
          <w:szCs w:val="24"/>
        </w:rPr>
        <w:t>A</w:t>
      </w:r>
      <w:r w:rsidR="001A4A4B">
        <w:rPr>
          <w:rFonts w:ascii="Arial" w:hAnsi="Arial" w:cs="Arial"/>
          <w:sz w:val="24"/>
          <w:szCs w:val="24"/>
        </w:rPr>
        <w:t xml:space="preserve"> psychological contract </w:t>
      </w:r>
      <w:r w:rsidR="00830BDF">
        <w:rPr>
          <w:rFonts w:ascii="Arial" w:hAnsi="Arial" w:cs="Arial"/>
          <w:sz w:val="24"/>
          <w:szCs w:val="24"/>
        </w:rPr>
        <w:t xml:space="preserve">formed </w:t>
      </w:r>
      <w:r w:rsidR="001A4A4B">
        <w:rPr>
          <w:rFonts w:ascii="Arial" w:hAnsi="Arial" w:cs="Arial"/>
          <w:sz w:val="24"/>
          <w:szCs w:val="24"/>
        </w:rPr>
        <w:t xml:space="preserve">between class members </w:t>
      </w:r>
      <w:r w:rsidR="000C7960">
        <w:rPr>
          <w:rFonts w:ascii="Arial" w:hAnsi="Arial" w:cs="Arial"/>
          <w:sz w:val="24"/>
          <w:szCs w:val="24"/>
        </w:rPr>
        <w:t xml:space="preserve">as </w:t>
      </w:r>
      <w:r w:rsidR="00D141F7">
        <w:rPr>
          <w:rFonts w:ascii="Arial" w:hAnsi="Arial" w:cs="Arial"/>
          <w:sz w:val="24"/>
          <w:szCs w:val="24"/>
        </w:rPr>
        <w:t>students</w:t>
      </w:r>
      <w:r w:rsidR="001A4A4B">
        <w:rPr>
          <w:rFonts w:ascii="Arial" w:hAnsi="Arial" w:cs="Arial"/>
          <w:sz w:val="24"/>
          <w:szCs w:val="24"/>
        </w:rPr>
        <w:t xml:space="preserve"> did </w:t>
      </w:r>
      <w:r w:rsidR="00574F7E" w:rsidRPr="6408D7D1">
        <w:rPr>
          <w:rFonts w:ascii="Arial" w:hAnsi="Arial" w:cs="Arial"/>
          <w:sz w:val="24"/>
          <w:szCs w:val="24"/>
        </w:rPr>
        <w:t>not want to let themselves or other</w:t>
      </w:r>
      <w:r w:rsidR="00322BE7">
        <w:rPr>
          <w:rFonts w:ascii="Arial" w:hAnsi="Arial" w:cs="Arial"/>
          <w:sz w:val="24"/>
          <w:szCs w:val="24"/>
        </w:rPr>
        <w:t xml:space="preserve"> class members</w:t>
      </w:r>
      <w:r w:rsidR="00574F7E" w:rsidRPr="6408D7D1">
        <w:rPr>
          <w:rFonts w:ascii="Arial" w:hAnsi="Arial" w:cs="Arial"/>
          <w:sz w:val="24"/>
          <w:szCs w:val="24"/>
        </w:rPr>
        <w:t xml:space="preserve"> down</w:t>
      </w:r>
      <w:r w:rsidR="0082503E">
        <w:rPr>
          <w:rFonts w:ascii="Arial" w:hAnsi="Arial" w:cs="Arial"/>
          <w:sz w:val="24"/>
          <w:szCs w:val="24"/>
        </w:rPr>
        <w:t xml:space="preserve"> during subsequent discussion</w:t>
      </w:r>
      <w:r w:rsidR="008E032E">
        <w:rPr>
          <w:rFonts w:ascii="Arial" w:hAnsi="Arial" w:cs="Arial"/>
          <w:sz w:val="24"/>
          <w:szCs w:val="24"/>
        </w:rPr>
        <w:t>s</w:t>
      </w:r>
      <w:r w:rsidR="0082503E">
        <w:rPr>
          <w:rFonts w:ascii="Arial" w:hAnsi="Arial" w:cs="Arial"/>
          <w:sz w:val="24"/>
          <w:szCs w:val="24"/>
        </w:rPr>
        <w:t xml:space="preserve"> of </w:t>
      </w:r>
      <w:r w:rsidR="00D141F7">
        <w:rPr>
          <w:rFonts w:ascii="Arial" w:hAnsi="Arial" w:cs="Arial"/>
          <w:sz w:val="24"/>
          <w:szCs w:val="24"/>
        </w:rPr>
        <w:t xml:space="preserve">completed </w:t>
      </w:r>
      <w:r w:rsidR="0082503E">
        <w:rPr>
          <w:rFonts w:ascii="Arial" w:hAnsi="Arial" w:cs="Arial"/>
          <w:sz w:val="24"/>
          <w:szCs w:val="24"/>
        </w:rPr>
        <w:t>homework tasks in class</w:t>
      </w:r>
      <w:r w:rsidR="00574F7E" w:rsidRPr="6408D7D1">
        <w:rPr>
          <w:rFonts w:ascii="Arial" w:hAnsi="Arial" w:cs="Arial"/>
          <w:sz w:val="24"/>
          <w:szCs w:val="24"/>
        </w:rPr>
        <w:t xml:space="preserve">. Extrinsically, students prepared, attended, </w:t>
      </w:r>
      <w:r w:rsidR="0040567E" w:rsidRPr="6408D7D1">
        <w:rPr>
          <w:rFonts w:ascii="Arial" w:hAnsi="Arial" w:cs="Arial"/>
          <w:sz w:val="24"/>
          <w:szCs w:val="24"/>
        </w:rPr>
        <w:t>engaged,</w:t>
      </w:r>
      <w:r w:rsidR="00574F7E" w:rsidRPr="6408D7D1">
        <w:rPr>
          <w:rFonts w:ascii="Arial" w:hAnsi="Arial" w:cs="Arial"/>
          <w:sz w:val="24"/>
          <w:szCs w:val="24"/>
        </w:rPr>
        <w:t xml:space="preserve"> and performed to avoid losing</w:t>
      </w:r>
      <w:r w:rsidR="00554E99">
        <w:rPr>
          <w:rFonts w:ascii="Arial" w:hAnsi="Arial" w:cs="Arial"/>
          <w:sz w:val="24"/>
          <w:szCs w:val="24"/>
        </w:rPr>
        <w:t xml:space="preserve"> </w:t>
      </w:r>
      <w:r w:rsidR="00574F7E" w:rsidRPr="6408D7D1">
        <w:rPr>
          <w:rFonts w:ascii="Arial" w:hAnsi="Arial" w:cs="Arial"/>
          <w:sz w:val="24"/>
          <w:szCs w:val="24"/>
        </w:rPr>
        <w:t xml:space="preserve">marks awarded in small amounts for each task and session. From </w:t>
      </w:r>
      <w:r w:rsidR="006C758D">
        <w:rPr>
          <w:rFonts w:ascii="Arial" w:hAnsi="Arial" w:cs="Arial"/>
          <w:sz w:val="24"/>
          <w:szCs w:val="24"/>
        </w:rPr>
        <w:t>an individual</w:t>
      </w:r>
      <w:r w:rsidR="00574F7E" w:rsidRPr="6408D7D1">
        <w:rPr>
          <w:rFonts w:ascii="Arial" w:hAnsi="Arial" w:cs="Arial"/>
          <w:sz w:val="24"/>
          <w:szCs w:val="24"/>
        </w:rPr>
        <w:t xml:space="preserve"> student perspective, all </w:t>
      </w:r>
      <w:r w:rsidR="00501D27" w:rsidRPr="6408D7D1">
        <w:rPr>
          <w:rFonts w:ascii="Arial" w:hAnsi="Arial" w:cs="Arial"/>
          <w:sz w:val="24"/>
          <w:szCs w:val="24"/>
        </w:rPr>
        <w:t xml:space="preserve">module </w:t>
      </w:r>
      <w:r w:rsidR="00574F7E" w:rsidRPr="6408D7D1">
        <w:rPr>
          <w:rFonts w:ascii="Arial" w:hAnsi="Arial" w:cs="Arial"/>
          <w:sz w:val="24"/>
          <w:szCs w:val="24"/>
        </w:rPr>
        <w:t xml:space="preserve">elements had some form of value which encouraged </w:t>
      </w:r>
      <w:r w:rsidR="00D13FB3" w:rsidRPr="6408D7D1">
        <w:rPr>
          <w:rFonts w:ascii="Arial" w:hAnsi="Arial" w:cs="Arial"/>
          <w:sz w:val="24"/>
          <w:szCs w:val="24"/>
        </w:rPr>
        <w:t>consistent and enthusiastic</w:t>
      </w:r>
      <w:r w:rsidR="00565403">
        <w:rPr>
          <w:rFonts w:ascii="Arial" w:hAnsi="Arial" w:cs="Arial"/>
          <w:sz w:val="24"/>
          <w:szCs w:val="24"/>
        </w:rPr>
        <w:t xml:space="preserve"> engagement</w:t>
      </w:r>
      <w:r w:rsidR="00D13FB3" w:rsidRPr="6408D7D1">
        <w:rPr>
          <w:rFonts w:ascii="Arial" w:hAnsi="Arial" w:cs="Arial"/>
          <w:sz w:val="24"/>
          <w:szCs w:val="24"/>
        </w:rPr>
        <w:t xml:space="preserve">. </w:t>
      </w:r>
      <w:r w:rsidR="008C2179">
        <w:rPr>
          <w:rFonts w:ascii="Arial" w:hAnsi="Arial" w:cs="Arial"/>
          <w:sz w:val="24"/>
          <w:szCs w:val="24"/>
        </w:rPr>
        <w:t xml:space="preserve">A </w:t>
      </w:r>
      <w:r w:rsidR="00D13FB3" w:rsidRPr="6408D7D1">
        <w:rPr>
          <w:rFonts w:ascii="Arial" w:hAnsi="Arial" w:cs="Arial"/>
          <w:sz w:val="24"/>
          <w:szCs w:val="24"/>
        </w:rPr>
        <w:t xml:space="preserve">combination of carrots and sticks </w:t>
      </w:r>
      <w:r w:rsidR="008C2179">
        <w:rPr>
          <w:rFonts w:ascii="Arial" w:hAnsi="Arial" w:cs="Arial"/>
          <w:sz w:val="24"/>
          <w:szCs w:val="24"/>
        </w:rPr>
        <w:t>proved</w:t>
      </w:r>
      <w:r w:rsidR="00D13FB3" w:rsidRPr="6408D7D1">
        <w:rPr>
          <w:rFonts w:ascii="Arial" w:hAnsi="Arial" w:cs="Arial"/>
          <w:sz w:val="24"/>
          <w:szCs w:val="24"/>
        </w:rPr>
        <w:t xml:space="preserve"> highly effective across the entire cohort </w:t>
      </w:r>
      <w:r w:rsidR="008C2BF6">
        <w:rPr>
          <w:rFonts w:ascii="Arial" w:hAnsi="Arial" w:cs="Arial"/>
          <w:sz w:val="24"/>
          <w:szCs w:val="24"/>
        </w:rPr>
        <w:t xml:space="preserve">as </w:t>
      </w:r>
      <w:r w:rsidR="00D13FB3" w:rsidRPr="6408D7D1">
        <w:rPr>
          <w:rFonts w:ascii="Arial" w:hAnsi="Arial" w:cs="Arial"/>
          <w:sz w:val="24"/>
          <w:szCs w:val="24"/>
        </w:rPr>
        <w:t>th</w:t>
      </w:r>
      <w:r w:rsidR="00E12303">
        <w:rPr>
          <w:rFonts w:ascii="Arial" w:hAnsi="Arial" w:cs="Arial"/>
          <w:sz w:val="24"/>
          <w:szCs w:val="24"/>
        </w:rPr>
        <w:t>is</w:t>
      </w:r>
      <w:r w:rsidR="00D13FB3" w:rsidRPr="6408D7D1">
        <w:rPr>
          <w:rFonts w:ascii="Arial" w:hAnsi="Arial" w:cs="Arial"/>
          <w:sz w:val="24"/>
          <w:szCs w:val="24"/>
        </w:rPr>
        <w:t xml:space="preserve"> </w:t>
      </w:r>
      <w:r w:rsidR="75188147" w:rsidRPr="6408D7D1">
        <w:rPr>
          <w:rFonts w:ascii="Arial" w:hAnsi="Arial" w:cs="Arial"/>
          <w:sz w:val="24"/>
          <w:szCs w:val="24"/>
        </w:rPr>
        <w:t xml:space="preserve">mixed </w:t>
      </w:r>
      <w:r w:rsidR="00D13FB3" w:rsidRPr="6408D7D1">
        <w:rPr>
          <w:rFonts w:ascii="Arial" w:hAnsi="Arial" w:cs="Arial"/>
          <w:sz w:val="24"/>
          <w:szCs w:val="24"/>
        </w:rPr>
        <w:t xml:space="preserve">approach </w:t>
      </w:r>
      <w:r w:rsidR="11D8BCD1" w:rsidRPr="6408D7D1">
        <w:rPr>
          <w:rFonts w:ascii="Arial" w:hAnsi="Arial" w:cs="Arial"/>
          <w:sz w:val="24"/>
          <w:szCs w:val="24"/>
        </w:rPr>
        <w:t xml:space="preserve">appealed </w:t>
      </w:r>
      <w:r w:rsidR="00D13FB3" w:rsidRPr="6408D7D1">
        <w:rPr>
          <w:rFonts w:ascii="Arial" w:hAnsi="Arial" w:cs="Arial"/>
          <w:sz w:val="24"/>
          <w:szCs w:val="24"/>
        </w:rPr>
        <w:t>to e</w:t>
      </w:r>
      <w:r w:rsidR="008C2BF6">
        <w:rPr>
          <w:rFonts w:ascii="Arial" w:hAnsi="Arial" w:cs="Arial"/>
          <w:sz w:val="24"/>
          <w:szCs w:val="24"/>
        </w:rPr>
        <w:t>ach</w:t>
      </w:r>
      <w:r w:rsidR="00D13FB3" w:rsidRPr="6408D7D1">
        <w:rPr>
          <w:rFonts w:ascii="Arial" w:hAnsi="Arial" w:cs="Arial"/>
          <w:sz w:val="24"/>
          <w:szCs w:val="24"/>
        </w:rPr>
        <w:t xml:space="preserve"> student regardless of individual personalities, </w:t>
      </w:r>
      <w:r w:rsidR="0033783F" w:rsidRPr="6408D7D1">
        <w:rPr>
          <w:rFonts w:ascii="Arial" w:hAnsi="Arial" w:cs="Arial"/>
          <w:sz w:val="24"/>
          <w:szCs w:val="24"/>
        </w:rPr>
        <w:t>goals,</w:t>
      </w:r>
      <w:r w:rsidR="00D13FB3" w:rsidRPr="6408D7D1">
        <w:rPr>
          <w:rFonts w:ascii="Arial" w:hAnsi="Arial" w:cs="Arial"/>
          <w:sz w:val="24"/>
          <w:szCs w:val="24"/>
        </w:rPr>
        <w:t xml:space="preserve"> </w:t>
      </w:r>
      <w:r w:rsidR="0087213C" w:rsidRPr="6408D7D1">
        <w:rPr>
          <w:rFonts w:ascii="Arial" w:hAnsi="Arial" w:cs="Arial"/>
          <w:sz w:val="24"/>
          <w:szCs w:val="24"/>
        </w:rPr>
        <w:t xml:space="preserve">motivations, </w:t>
      </w:r>
      <w:r w:rsidR="00D13FB3" w:rsidRPr="6408D7D1">
        <w:rPr>
          <w:rFonts w:ascii="Arial" w:hAnsi="Arial" w:cs="Arial"/>
          <w:sz w:val="24"/>
          <w:szCs w:val="24"/>
        </w:rPr>
        <w:t xml:space="preserve">or reward preferences. </w:t>
      </w:r>
    </w:p>
    <w:p w14:paraId="211F5F3D" w14:textId="12886F39" w:rsidR="0018357A" w:rsidRDefault="008C2BF6" w:rsidP="6408D7D1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</w:t>
      </w:r>
      <w:r w:rsidR="00A15861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esig</w:t>
      </w:r>
      <w:r w:rsidR="00A15861">
        <w:rPr>
          <w:rFonts w:ascii="Arial" w:hAnsi="Arial" w:cs="Arial"/>
          <w:sz w:val="24"/>
          <w:szCs w:val="24"/>
        </w:rPr>
        <w:t>ning</w:t>
      </w:r>
      <w:r>
        <w:rPr>
          <w:rFonts w:ascii="Arial" w:hAnsi="Arial" w:cs="Arial"/>
          <w:sz w:val="24"/>
          <w:szCs w:val="24"/>
        </w:rPr>
        <w:t xml:space="preserve"> </w:t>
      </w:r>
      <w:r w:rsidR="00695DE1" w:rsidRPr="6408D7D1">
        <w:rPr>
          <w:rFonts w:ascii="Arial" w:hAnsi="Arial" w:cs="Arial"/>
          <w:sz w:val="24"/>
          <w:szCs w:val="24"/>
        </w:rPr>
        <w:t xml:space="preserve">teaching </w:t>
      </w:r>
      <w:r w:rsidR="009161DC" w:rsidRPr="6408D7D1">
        <w:rPr>
          <w:rFonts w:ascii="Arial" w:hAnsi="Arial" w:cs="Arial"/>
          <w:sz w:val="24"/>
          <w:szCs w:val="24"/>
        </w:rPr>
        <w:t>sessions</w:t>
      </w:r>
      <w:r w:rsidR="009161DC">
        <w:rPr>
          <w:rFonts w:ascii="Arial" w:hAnsi="Arial" w:cs="Arial"/>
          <w:sz w:val="24"/>
          <w:szCs w:val="24"/>
        </w:rPr>
        <w:t>,</w:t>
      </w:r>
      <w:r w:rsidR="009161DC" w:rsidRPr="6408D7D1">
        <w:rPr>
          <w:rFonts w:ascii="Arial" w:hAnsi="Arial" w:cs="Arial"/>
          <w:sz w:val="24"/>
          <w:szCs w:val="24"/>
        </w:rPr>
        <w:t xml:space="preserve"> </w:t>
      </w:r>
      <w:r w:rsidR="00C56F04" w:rsidRPr="6408D7D1">
        <w:rPr>
          <w:rFonts w:ascii="Arial" w:hAnsi="Arial" w:cs="Arial"/>
          <w:sz w:val="24"/>
          <w:szCs w:val="24"/>
        </w:rPr>
        <w:t xml:space="preserve">curating content was a challenging task. </w:t>
      </w:r>
      <w:r w:rsidR="00A94B7C" w:rsidRPr="6408D7D1">
        <w:rPr>
          <w:rFonts w:ascii="Arial" w:hAnsi="Arial" w:cs="Arial"/>
          <w:sz w:val="24"/>
          <w:szCs w:val="24"/>
        </w:rPr>
        <w:t xml:space="preserve">We wanted to strike a balance between </w:t>
      </w:r>
      <w:r w:rsidR="00AE517F" w:rsidRPr="6408D7D1">
        <w:rPr>
          <w:rFonts w:ascii="Arial" w:hAnsi="Arial" w:cs="Arial"/>
          <w:sz w:val="24"/>
          <w:szCs w:val="24"/>
        </w:rPr>
        <w:t xml:space="preserve">covering the most important topics, </w:t>
      </w:r>
      <w:r w:rsidR="00A630E5">
        <w:rPr>
          <w:rFonts w:ascii="Arial" w:hAnsi="Arial" w:cs="Arial"/>
          <w:sz w:val="24"/>
          <w:szCs w:val="24"/>
        </w:rPr>
        <w:t xml:space="preserve">whilst </w:t>
      </w:r>
      <w:r w:rsidR="00AE517F" w:rsidRPr="6408D7D1">
        <w:rPr>
          <w:rFonts w:ascii="Arial" w:hAnsi="Arial" w:cs="Arial"/>
          <w:sz w:val="24"/>
          <w:szCs w:val="24"/>
        </w:rPr>
        <w:t xml:space="preserve">drawing </w:t>
      </w:r>
      <w:r w:rsidR="00DC71E6" w:rsidRPr="6408D7D1">
        <w:rPr>
          <w:rFonts w:ascii="Arial" w:hAnsi="Arial" w:cs="Arial"/>
          <w:sz w:val="24"/>
          <w:szCs w:val="24"/>
        </w:rPr>
        <w:t>up</w:t>
      </w:r>
      <w:r w:rsidR="00AE517F" w:rsidRPr="6408D7D1">
        <w:rPr>
          <w:rFonts w:ascii="Arial" w:hAnsi="Arial" w:cs="Arial"/>
          <w:sz w:val="24"/>
          <w:szCs w:val="24"/>
        </w:rPr>
        <w:t xml:space="preserve">on our skills and </w:t>
      </w:r>
      <w:r w:rsidR="006A7A25" w:rsidRPr="6408D7D1">
        <w:rPr>
          <w:rFonts w:ascii="Arial" w:hAnsi="Arial" w:cs="Arial"/>
          <w:sz w:val="24"/>
          <w:szCs w:val="24"/>
        </w:rPr>
        <w:t>experience,</w:t>
      </w:r>
      <w:r w:rsidR="00A630E5">
        <w:rPr>
          <w:rFonts w:ascii="Arial" w:hAnsi="Arial" w:cs="Arial"/>
          <w:sz w:val="24"/>
          <w:szCs w:val="24"/>
        </w:rPr>
        <w:t xml:space="preserve"> together with</w:t>
      </w:r>
      <w:r w:rsidR="00AE517F" w:rsidRPr="6408D7D1">
        <w:rPr>
          <w:rFonts w:ascii="Arial" w:hAnsi="Arial" w:cs="Arial"/>
          <w:sz w:val="24"/>
          <w:szCs w:val="24"/>
        </w:rPr>
        <w:t xml:space="preserve"> </w:t>
      </w:r>
      <w:r w:rsidR="00C56F04" w:rsidRPr="6408D7D1">
        <w:rPr>
          <w:rFonts w:ascii="Arial" w:hAnsi="Arial" w:cs="Arial"/>
          <w:sz w:val="24"/>
          <w:szCs w:val="24"/>
        </w:rPr>
        <w:t xml:space="preserve">providing academic and practical </w:t>
      </w:r>
      <w:r w:rsidR="00AE0B77">
        <w:rPr>
          <w:rFonts w:ascii="Arial" w:hAnsi="Arial" w:cs="Arial"/>
          <w:sz w:val="24"/>
          <w:szCs w:val="24"/>
        </w:rPr>
        <w:t>content</w:t>
      </w:r>
      <w:r w:rsidR="001A7AC7" w:rsidRPr="6408D7D1">
        <w:rPr>
          <w:rFonts w:ascii="Arial" w:hAnsi="Arial" w:cs="Arial"/>
          <w:sz w:val="24"/>
          <w:szCs w:val="24"/>
        </w:rPr>
        <w:t xml:space="preserve">. </w:t>
      </w:r>
      <w:r w:rsidR="00390D39">
        <w:rPr>
          <w:rFonts w:ascii="Arial" w:hAnsi="Arial" w:cs="Arial"/>
          <w:sz w:val="24"/>
          <w:szCs w:val="24"/>
        </w:rPr>
        <w:t xml:space="preserve">We believe that the </w:t>
      </w:r>
      <w:r w:rsidR="00292975">
        <w:rPr>
          <w:rFonts w:ascii="Arial" w:hAnsi="Arial" w:cs="Arial"/>
          <w:sz w:val="24"/>
          <w:szCs w:val="24"/>
        </w:rPr>
        <w:t xml:space="preserve">elements which make our module different from many </w:t>
      </w:r>
      <w:r w:rsidR="00833AE6">
        <w:rPr>
          <w:rFonts w:ascii="Arial" w:hAnsi="Arial" w:cs="Arial"/>
          <w:sz w:val="24"/>
          <w:szCs w:val="24"/>
        </w:rPr>
        <w:t xml:space="preserve">other </w:t>
      </w:r>
      <w:r w:rsidR="00327E9D">
        <w:rPr>
          <w:rFonts w:ascii="Arial" w:hAnsi="Arial" w:cs="Arial"/>
          <w:sz w:val="24"/>
          <w:szCs w:val="24"/>
        </w:rPr>
        <w:t xml:space="preserve">higher education </w:t>
      </w:r>
      <w:r w:rsidR="00292975">
        <w:rPr>
          <w:rFonts w:ascii="Arial" w:hAnsi="Arial" w:cs="Arial"/>
          <w:sz w:val="24"/>
          <w:szCs w:val="24"/>
        </w:rPr>
        <w:t>employability modules, a</w:t>
      </w:r>
      <w:r w:rsidR="00B5351D">
        <w:rPr>
          <w:rFonts w:ascii="Arial" w:hAnsi="Arial" w:cs="Arial"/>
          <w:sz w:val="24"/>
          <w:szCs w:val="24"/>
        </w:rPr>
        <w:t>re the creation of student ambassadors</w:t>
      </w:r>
      <w:r w:rsidR="003A48E4">
        <w:rPr>
          <w:rFonts w:ascii="Arial" w:hAnsi="Arial" w:cs="Arial"/>
          <w:sz w:val="24"/>
          <w:szCs w:val="24"/>
        </w:rPr>
        <w:t xml:space="preserve"> (discussed below)</w:t>
      </w:r>
      <w:r w:rsidR="00A21FF9">
        <w:rPr>
          <w:rFonts w:ascii="Arial" w:hAnsi="Arial" w:cs="Arial"/>
          <w:sz w:val="24"/>
          <w:szCs w:val="24"/>
        </w:rPr>
        <w:t>, together with</w:t>
      </w:r>
      <w:r w:rsidR="00F51585">
        <w:rPr>
          <w:rFonts w:ascii="Arial" w:hAnsi="Arial" w:cs="Arial"/>
          <w:sz w:val="24"/>
          <w:szCs w:val="24"/>
        </w:rPr>
        <w:t xml:space="preserve"> </w:t>
      </w:r>
      <w:r w:rsidR="00700B86">
        <w:rPr>
          <w:rFonts w:ascii="Arial" w:hAnsi="Arial" w:cs="Arial"/>
          <w:sz w:val="24"/>
          <w:szCs w:val="24"/>
        </w:rPr>
        <w:t xml:space="preserve">a high degree </w:t>
      </w:r>
      <w:r w:rsidR="00552085">
        <w:rPr>
          <w:rFonts w:ascii="Arial" w:hAnsi="Arial" w:cs="Arial"/>
          <w:sz w:val="24"/>
          <w:szCs w:val="24"/>
        </w:rPr>
        <w:t xml:space="preserve">of </w:t>
      </w:r>
      <w:r w:rsidR="00700B86">
        <w:rPr>
          <w:rFonts w:ascii="Arial" w:hAnsi="Arial" w:cs="Arial"/>
          <w:sz w:val="24"/>
          <w:szCs w:val="24"/>
        </w:rPr>
        <w:t>variation in assessment</w:t>
      </w:r>
      <w:r w:rsidR="00552085">
        <w:rPr>
          <w:rFonts w:ascii="Arial" w:hAnsi="Arial" w:cs="Arial"/>
          <w:sz w:val="24"/>
          <w:szCs w:val="24"/>
        </w:rPr>
        <w:t xml:space="preserve"> methods aligned to the world of work</w:t>
      </w:r>
      <w:r w:rsidR="00E95C05">
        <w:rPr>
          <w:rFonts w:ascii="Arial" w:hAnsi="Arial" w:cs="Arial"/>
          <w:sz w:val="24"/>
          <w:szCs w:val="24"/>
        </w:rPr>
        <w:t xml:space="preserve">, </w:t>
      </w:r>
      <w:r w:rsidR="00485E07">
        <w:rPr>
          <w:rFonts w:ascii="Arial" w:hAnsi="Arial" w:cs="Arial"/>
          <w:sz w:val="24"/>
          <w:szCs w:val="24"/>
        </w:rPr>
        <w:t xml:space="preserve">for example </w:t>
      </w:r>
      <w:r w:rsidR="00DE7129">
        <w:rPr>
          <w:rFonts w:ascii="Arial" w:hAnsi="Arial" w:cs="Arial"/>
          <w:sz w:val="24"/>
          <w:szCs w:val="24"/>
        </w:rPr>
        <w:t xml:space="preserve">the </w:t>
      </w:r>
      <w:r w:rsidR="00552085">
        <w:rPr>
          <w:rFonts w:ascii="Arial" w:hAnsi="Arial" w:cs="Arial"/>
          <w:sz w:val="24"/>
          <w:szCs w:val="24"/>
        </w:rPr>
        <w:t>deliver</w:t>
      </w:r>
      <w:r w:rsidR="00DE7129">
        <w:rPr>
          <w:rFonts w:ascii="Arial" w:hAnsi="Arial" w:cs="Arial"/>
          <w:sz w:val="24"/>
          <w:szCs w:val="24"/>
        </w:rPr>
        <w:t>y of</w:t>
      </w:r>
      <w:r w:rsidR="00552085">
        <w:rPr>
          <w:rFonts w:ascii="Arial" w:hAnsi="Arial" w:cs="Arial"/>
          <w:sz w:val="24"/>
          <w:szCs w:val="24"/>
        </w:rPr>
        <w:t xml:space="preserve"> </w:t>
      </w:r>
      <w:r w:rsidR="00485E07">
        <w:rPr>
          <w:rFonts w:ascii="Arial" w:hAnsi="Arial" w:cs="Arial"/>
          <w:sz w:val="24"/>
          <w:szCs w:val="24"/>
        </w:rPr>
        <w:lastRenderedPageBreak/>
        <w:t xml:space="preserve">student-led employer events, </w:t>
      </w:r>
      <w:r w:rsidR="005571FE">
        <w:rPr>
          <w:rFonts w:ascii="Arial" w:hAnsi="Arial" w:cs="Arial"/>
          <w:sz w:val="24"/>
          <w:szCs w:val="24"/>
        </w:rPr>
        <w:t>report</w:t>
      </w:r>
      <w:r w:rsidR="00552085">
        <w:rPr>
          <w:rFonts w:ascii="Arial" w:hAnsi="Arial" w:cs="Arial"/>
          <w:sz w:val="24"/>
          <w:szCs w:val="24"/>
        </w:rPr>
        <w:t xml:space="preserve"> </w:t>
      </w:r>
      <w:r w:rsidR="005571FE">
        <w:rPr>
          <w:rFonts w:ascii="Arial" w:hAnsi="Arial" w:cs="Arial"/>
          <w:sz w:val="24"/>
          <w:szCs w:val="24"/>
        </w:rPr>
        <w:t>writing</w:t>
      </w:r>
      <w:r w:rsidR="00E95C05">
        <w:rPr>
          <w:rFonts w:ascii="Arial" w:hAnsi="Arial" w:cs="Arial"/>
          <w:sz w:val="24"/>
          <w:szCs w:val="24"/>
        </w:rPr>
        <w:t xml:space="preserve"> and</w:t>
      </w:r>
      <w:r w:rsidR="005571FE">
        <w:rPr>
          <w:rFonts w:ascii="Arial" w:hAnsi="Arial" w:cs="Arial"/>
          <w:sz w:val="24"/>
          <w:szCs w:val="24"/>
        </w:rPr>
        <w:t xml:space="preserve"> </w:t>
      </w:r>
      <w:r w:rsidR="00552085">
        <w:rPr>
          <w:rFonts w:ascii="Arial" w:hAnsi="Arial" w:cs="Arial"/>
          <w:sz w:val="24"/>
          <w:szCs w:val="24"/>
        </w:rPr>
        <w:t xml:space="preserve">producing </w:t>
      </w:r>
      <w:r w:rsidR="005571FE">
        <w:rPr>
          <w:rFonts w:ascii="Arial" w:hAnsi="Arial" w:cs="Arial"/>
          <w:sz w:val="24"/>
          <w:szCs w:val="24"/>
        </w:rPr>
        <w:t>recorded book review</w:t>
      </w:r>
      <w:r w:rsidR="00E95C05">
        <w:rPr>
          <w:rFonts w:ascii="Arial" w:hAnsi="Arial" w:cs="Arial"/>
          <w:sz w:val="24"/>
          <w:szCs w:val="24"/>
        </w:rPr>
        <w:t xml:space="preserve"> videos</w:t>
      </w:r>
      <w:r w:rsidR="00541419">
        <w:rPr>
          <w:rFonts w:ascii="Arial" w:hAnsi="Arial" w:cs="Arial"/>
          <w:sz w:val="24"/>
          <w:szCs w:val="24"/>
        </w:rPr>
        <w:t xml:space="preserve">. </w:t>
      </w:r>
      <w:r w:rsidR="00DA7579" w:rsidRPr="6408D7D1">
        <w:rPr>
          <w:rFonts w:ascii="Arial" w:hAnsi="Arial" w:cs="Arial"/>
          <w:sz w:val="24"/>
          <w:szCs w:val="24"/>
        </w:rPr>
        <w:t xml:space="preserve">The module timetable </w:t>
      </w:r>
      <w:r w:rsidR="00E95C05">
        <w:rPr>
          <w:rFonts w:ascii="Arial" w:hAnsi="Arial" w:cs="Arial"/>
          <w:sz w:val="24"/>
          <w:szCs w:val="24"/>
        </w:rPr>
        <w:t>featured</w:t>
      </w:r>
      <w:r w:rsidR="00DA7579" w:rsidRPr="6408D7D1">
        <w:rPr>
          <w:rFonts w:ascii="Arial" w:hAnsi="Arial" w:cs="Arial"/>
          <w:sz w:val="24"/>
          <w:szCs w:val="24"/>
        </w:rPr>
        <w:t xml:space="preserve"> three sessions of </w:t>
      </w:r>
      <w:r w:rsidR="0087213C" w:rsidRPr="6408D7D1">
        <w:rPr>
          <w:rFonts w:ascii="Arial" w:hAnsi="Arial" w:cs="Arial"/>
          <w:sz w:val="24"/>
          <w:szCs w:val="24"/>
        </w:rPr>
        <w:t>fifty</w:t>
      </w:r>
      <w:r w:rsidR="00DA7579" w:rsidRPr="6408D7D1">
        <w:rPr>
          <w:rFonts w:ascii="Arial" w:hAnsi="Arial" w:cs="Arial"/>
          <w:sz w:val="24"/>
          <w:szCs w:val="24"/>
        </w:rPr>
        <w:t xml:space="preserve"> minutes per week</w:t>
      </w:r>
      <w:r w:rsidR="00C3352D" w:rsidRPr="6408D7D1">
        <w:rPr>
          <w:rFonts w:ascii="Arial" w:hAnsi="Arial" w:cs="Arial"/>
          <w:sz w:val="24"/>
          <w:szCs w:val="24"/>
        </w:rPr>
        <w:t xml:space="preserve"> for twelve weeks</w:t>
      </w:r>
      <w:r w:rsidR="0041013B" w:rsidRPr="6408D7D1">
        <w:rPr>
          <w:rFonts w:ascii="Arial" w:hAnsi="Arial" w:cs="Arial"/>
          <w:sz w:val="24"/>
          <w:szCs w:val="24"/>
        </w:rPr>
        <w:t xml:space="preserve">. </w:t>
      </w:r>
      <w:r w:rsidR="00A57F44">
        <w:rPr>
          <w:rFonts w:ascii="Arial" w:hAnsi="Arial" w:cs="Arial"/>
          <w:sz w:val="24"/>
          <w:szCs w:val="24"/>
        </w:rPr>
        <w:t>We</w:t>
      </w:r>
      <w:r w:rsidR="0018357A" w:rsidRPr="6408D7D1">
        <w:rPr>
          <w:rFonts w:ascii="Arial" w:hAnsi="Arial" w:cs="Arial"/>
          <w:sz w:val="24"/>
          <w:szCs w:val="24"/>
        </w:rPr>
        <w:t xml:space="preserve"> incorporated research-led teaching </w:t>
      </w:r>
      <w:r w:rsidR="001B5F39">
        <w:rPr>
          <w:rFonts w:ascii="Arial" w:hAnsi="Arial" w:cs="Arial"/>
          <w:sz w:val="24"/>
          <w:szCs w:val="24"/>
        </w:rPr>
        <w:t>conducted by</w:t>
      </w:r>
      <w:r w:rsidR="0018357A" w:rsidRPr="6408D7D1">
        <w:rPr>
          <w:rFonts w:ascii="Arial" w:hAnsi="Arial" w:cs="Arial"/>
          <w:sz w:val="24"/>
          <w:szCs w:val="24"/>
        </w:rPr>
        <w:t xml:space="preserve"> the second author</w:t>
      </w:r>
      <w:r w:rsidR="001B5F39">
        <w:rPr>
          <w:rFonts w:ascii="Arial" w:hAnsi="Arial" w:cs="Arial"/>
          <w:sz w:val="24"/>
          <w:szCs w:val="24"/>
        </w:rPr>
        <w:t>,</w:t>
      </w:r>
      <w:r w:rsidR="0018357A" w:rsidRPr="6408D7D1">
        <w:rPr>
          <w:rFonts w:ascii="Arial" w:hAnsi="Arial" w:cs="Arial"/>
          <w:sz w:val="24"/>
          <w:szCs w:val="24"/>
        </w:rPr>
        <w:t xml:space="preserve"> </w:t>
      </w:r>
      <w:r w:rsidR="00DE7129">
        <w:rPr>
          <w:rFonts w:ascii="Arial" w:hAnsi="Arial" w:cs="Arial"/>
          <w:sz w:val="24"/>
          <w:szCs w:val="24"/>
        </w:rPr>
        <w:t xml:space="preserve">including </w:t>
      </w:r>
      <w:r w:rsidR="0018357A" w:rsidRPr="6408D7D1">
        <w:rPr>
          <w:rFonts w:ascii="Arial" w:hAnsi="Arial" w:cs="Arial"/>
          <w:sz w:val="24"/>
          <w:szCs w:val="24"/>
        </w:rPr>
        <w:t xml:space="preserve">topics </w:t>
      </w:r>
      <w:r w:rsidR="00DE7129">
        <w:rPr>
          <w:rFonts w:ascii="Arial" w:hAnsi="Arial" w:cs="Arial"/>
          <w:sz w:val="24"/>
          <w:szCs w:val="24"/>
        </w:rPr>
        <w:t>on</w:t>
      </w:r>
      <w:r w:rsidR="0018357A" w:rsidRPr="6408D7D1">
        <w:rPr>
          <w:rFonts w:ascii="Arial" w:hAnsi="Arial" w:cs="Arial"/>
          <w:sz w:val="24"/>
          <w:szCs w:val="24"/>
        </w:rPr>
        <w:t xml:space="preserve"> the spatial dynamics of work</w:t>
      </w:r>
      <w:r w:rsidR="003A48E4">
        <w:rPr>
          <w:rFonts w:ascii="Arial" w:hAnsi="Arial" w:cs="Arial"/>
          <w:sz w:val="24"/>
          <w:szCs w:val="24"/>
        </w:rPr>
        <w:t>, aesthetic labour</w:t>
      </w:r>
      <w:r w:rsidR="0018357A" w:rsidRPr="6408D7D1">
        <w:rPr>
          <w:rFonts w:ascii="Arial" w:hAnsi="Arial" w:cs="Arial"/>
          <w:sz w:val="24"/>
          <w:szCs w:val="24"/>
        </w:rPr>
        <w:t xml:space="preserve"> and entrepreneurship. </w:t>
      </w:r>
      <w:r w:rsidR="00461FD4">
        <w:rPr>
          <w:rFonts w:ascii="Arial" w:hAnsi="Arial" w:cs="Arial"/>
          <w:sz w:val="24"/>
          <w:szCs w:val="24"/>
        </w:rPr>
        <w:t>W</w:t>
      </w:r>
      <w:r w:rsidR="000A0579">
        <w:rPr>
          <w:rFonts w:ascii="Arial" w:hAnsi="Arial" w:cs="Arial"/>
          <w:sz w:val="24"/>
          <w:szCs w:val="24"/>
        </w:rPr>
        <w:t>e</w:t>
      </w:r>
      <w:r w:rsidR="00461FD4">
        <w:rPr>
          <w:rFonts w:ascii="Arial" w:hAnsi="Arial" w:cs="Arial"/>
          <w:sz w:val="24"/>
          <w:szCs w:val="24"/>
        </w:rPr>
        <w:t xml:space="preserve"> </w:t>
      </w:r>
      <w:r w:rsidR="000A0579">
        <w:rPr>
          <w:rFonts w:ascii="Arial" w:hAnsi="Arial" w:cs="Arial"/>
          <w:sz w:val="24"/>
          <w:szCs w:val="24"/>
        </w:rPr>
        <w:t>wanted</w:t>
      </w:r>
      <w:r w:rsidR="00461FD4">
        <w:rPr>
          <w:rFonts w:ascii="Arial" w:hAnsi="Arial" w:cs="Arial"/>
          <w:sz w:val="24"/>
          <w:szCs w:val="24"/>
        </w:rPr>
        <w:t xml:space="preserve"> to broaden discuss</w:t>
      </w:r>
      <w:r w:rsidR="000A0579">
        <w:rPr>
          <w:rFonts w:ascii="Arial" w:hAnsi="Arial" w:cs="Arial"/>
          <w:sz w:val="24"/>
          <w:szCs w:val="24"/>
        </w:rPr>
        <w:t>ion</w:t>
      </w:r>
      <w:r w:rsidR="00DE7129">
        <w:rPr>
          <w:rFonts w:ascii="Arial" w:hAnsi="Arial" w:cs="Arial"/>
          <w:sz w:val="24"/>
          <w:szCs w:val="24"/>
        </w:rPr>
        <w:t>s</w:t>
      </w:r>
      <w:r w:rsidR="000A0579">
        <w:rPr>
          <w:rFonts w:ascii="Arial" w:hAnsi="Arial" w:cs="Arial"/>
          <w:sz w:val="24"/>
          <w:szCs w:val="24"/>
        </w:rPr>
        <w:t xml:space="preserve"> </w:t>
      </w:r>
      <w:r w:rsidR="00C35F6E">
        <w:rPr>
          <w:rFonts w:ascii="Arial" w:hAnsi="Arial" w:cs="Arial"/>
          <w:sz w:val="24"/>
          <w:szCs w:val="24"/>
        </w:rPr>
        <w:t>to</w:t>
      </w:r>
      <w:r w:rsidR="000A0579">
        <w:rPr>
          <w:rFonts w:ascii="Arial" w:hAnsi="Arial" w:cs="Arial"/>
          <w:sz w:val="24"/>
          <w:szCs w:val="24"/>
        </w:rPr>
        <w:t xml:space="preserve"> not just the job</w:t>
      </w:r>
      <w:r w:rsidR="00DE7129">
        <w:rPr>
          <w:rFonts w:ascii="Arial" w:hAnsi="Arial" w:cs="Arial"/>
          <w:sz w:val="24"/>
          <w:szCs w:val="24"/>
        </w:rPr>
        <w:t>s themselves</w:t>
      </w:r>
      <w:r w:rsidR="00360D22">
        <w:rPr>
          <w:rFonts w:ascii="Arial" w:hAnsi="Arial" w:cs="Arial"/>
          <w:sz w:val="24"/>
          <w:szCs w:val="24"/>
        </w:rPr>
        <w:t xml:space="preserve">, but also </w:t>
      </w:r>
      <w:r w:rsidR="00DE7129">
        <w:rPr>
          <w:rFonts w:ascii="Arial" w:hAnsi="Arial" w:cs="Arial"/>
          <w:sz w:val="24"/>
          <w:szCs w:val="24"/>
        </w:rPr>
        <w:t>their</w:t>
      </w:r>
      <w:r w:rsidR="00360D22">
        <w:rPr>
          <w:rFonts w:ascii="Arial" w:hAnsi="Arial" w:cs="Arial"/>
          <w:sz w:val="24"/>
          <w:szCs w:val="24"/>
        </w:rPr>
        <w:t xml:space="preserve"> </w:t>
      </w:r>
      <w:r w:rsidR="001B5F39">
        <w:rPr>
          <w:rFonts w:ascii="Arial" w:hAnsi="Arial" w:cs="Arial"/>
          <w:sz w:val="24"/>
          <w:szCs w:val="24"/>
        </w:rPr>
        <w:t xml:space="preserve">geographical and spatial </w:t>
      </w:r>
      <w:r w:rsidR="005761C7">
        <w:rPr>
          <w:rFonts w:ascii="Arial" w:hAnsi="Arial" w:cs="Arial"/>
          <w:sz w:val="24"/>
          <w:szCs w:val="24"/>
        </w:rPr>
        <w:t xml:space="preserve">considerations (for example, </w:t>
      </w:r>
      <w:r w:rsidR="00721CA0">
        <w:rPr>
          <w:rFonts w:ascii="Arial" w:hAnsi="Arial" w:cs="Arial"/>
          <w:sz w:val="24"/>
          <w:szCs w:val="24"/>
        </w:rPr>
        <w:t xml:space="preserve">working for a </w:t>
      </w:r>
      <w:r w:rsidR="005761C7">
        <w:rPr>
          <w:rFonts w:ascii="Arial" w:hAnsi="Arial" w:cs="Arial"/>
          <w:sz w:val="24"/>
          <w:szCs w:val="24"/>
        </w:rPr>
        <w:t xml:space="preserve">large firm versus </w:t>
      </w:r>
      <w:r w:rsidR="00721CA0">
        <w:rPr>
          <w:rFonts w:ascii="Arial" w:hAnsi="Arial" w:cs="Arial"/>
          <w:sz w:val="24"/>
          <w:szCs w:val="24"/>
        </w:rPr>
        <w:t xml:space="preserve">a </w:t>
      </w:r>
      <w:r w:rsidR="005761C7">
        <w:rPr>
          <w:rFonts w:ascii="Arial" w:hAnsi="Arial" w:cs="Arial"/>
          <w:sz w:val="24"/>
          <w:szCs w:val="24"/>
        </w:rPr>
        <w:t>small or medium si</w:t>
      </w:r>
      <w:r w:rsidR="00721CA0">
        <w:rPr>
          <w:rFonts w:ascii="Arial" w:hAnsi="Arial" w:cs="Arial"/>
          <w:sz w:val="24"/>
          <w:szCs w:val="24"/>
        </w:rPr>
        <w:t>zed firm</w:t>
      </w:r>
      <w:r w:rsidR="00E95C05">
        <w:rPr>
          <w:rFonts w:ascii="Arial" w:hAnsi="Arial" w:cs="Arial"/>
          <w:sz w:val="24"/>
          <w:szCs w:val="24"/>
        </w:rPr>
        <w:t xml:space="preserve"> or</w:t>
      </w:r>
      <w:r w:rsidR="00721CA0">
        <w:rPr>
          <w:rFonts w:ascii="Arial" w:hAnsi="Arial" w:cs="Arial"/>
          <w:sz w:val="24"/>
          <w:szCs w:val="24"/>
        </w:rPr>
        <w:t xml:space="preserve"> home working</w:t>
      </w:r>
      <w:r w:rsidR="00C611B5">
        <w:rPr>
          <w:rFonts w:ascii="Arial" w:hAnsi="Arial" w:cs="Arial"/>
          <w:sz w:val="24"/>
          <w:szCs w:val="24"/>
        </w:rPr>
        <w:t xml:space="preserve"> </w:t>
      </w:r>
      <w:r w:rsidR="00B227C9">
        <w:rPr>
          <w:rFonts w:ascii="Arial" w:hAnsi="Arial" w:cs="Arial"/>
          <w:sz w:val="24"/>
          <w:szCs w:val="24"/>
        </w:rPr>
        <w:t xml:space="preserve">versus </w:t>
      </w:r>
      <w:r w:rsidR="00721CA0">
        <w:rPr>
          <w:rFonts w:ascii="Arial" w:hAnsi="Arial" w:cs="Arial"/>
          <w:sz w:val="24"/>
          <w:szCs w:val="24"/>
        </w:rPr>
        <w:t>hybrid working</w:t>
      </w:r>
      <w:r w:rsidR="00C611B5">
        <w:rPr>
          <w:rFonts w:ascii="Arial" w:hAnsi="Arial" w:cs="Arial"/>
          <w:sz w:val="24"/>
          <w:szCs w:val="24"/>
        </w:rPr>
        <w:t xml:space="preserve"> environments).</w:t>
      </w:r>
    </w:p>
    <w:p w14:paraId="5BEFBABC" w14:textId="1D094077" w:rsidR="00E5732E" w:rsidRDefault="00622DBA" w:rsidP="00E5732E">
      <w:pPr>
        <w:spacing w:line="360" w:lineRule="auto"/>
        <w:outlineLvl w:val="1"/>
        <w:rPr>
          <w:rFonts w:ascii="Arial" w:hAnsi="Arial" w:cs="Arial"/>
          <w:sz w:val="24"/>
          <w:szCs w:val="24"/>
        </w:rPr>
      </w:pPr>
      <w:r w:rsidRPr="6408D7D1">
        <w:rPr>
          <w:rFonts w:ascii="Arial" w:hAnsi="Arial" w:cs="Arial"/>
          <w:sz w:val="24"/>
          <w:szCs w:val="24"/>
        </w:rPr>
        <w:t>A</w:t>
      </w:r>
      <w:r w:rsidR="00535911">
        <w:rPr>
          <w:rFonts w:ascii="Arial" w:hAnsi="Arial" w:cs="Arial"/>
          <w:sz w:val="24"/>
          <w:szCs w:val="24"/>
        </w:rPr>
        <w:t xml:space="preserve"> </w:t>
      </w:r>
      <w:r w:rsidRPr="6408D7D1">
        <w:rPr>
          <w:rFonts w:ascii="Arial" w:hAnsi="Arial" w:cs="Arial"/>
          <w:sz w:val="24"/>
          <w:szCs w:val="24"/>
        </w:rPr>
        <w:t xml:space="preserve">concern </w:t>
      </w:r>
      <w:r w:rsidR="00727D1C" w:rsidRPr="6408D7D1">
        <w:rPr>
          <w:rFonts w:ascii="Arial" w:hAnsi="Arial" w:cs="Arial"/>
          <w:sz w:val="24"/>
          <w:szCs w:val="24"/>
        </w:rPr>
        <w:t>when</w:t>
      </w:r>
      <w:r w:rsidR="009A5070" w:rsidRPr="6408D7D1">
        <w:rPr>
          <w:rFonts w:ascii="Arial" w:hAnsi="Arial" w:cs="Arial"/>
          <w:sz w:val="24"/>
          <w:szCs w:val="24"/>
        </w:rPr>
        <w:t xml:space="preserve"> conceptualising the module</w:t>
      </w:r>
      <w:r w:rsidR="2CF787FD" w:rsidRPr="6408D7D1">
        <w:rPr>
          <w:rFonts w:ascii="Arial" w:hAnsi="Arial" w:cs="Arial"/>
          <w:sz w:val="24"/>
          <w:szCs w:val="24"/>
        </w:rPr>
        <w:t>,</w:t>
      </w:r>
      <w:r w:rsidR="009A5070" w:rsidRPr="6408D7D1">
        <w:rPr>
          <w:rFonts w:ascii="Arial" w:hAnsi="Arial" w:cs="Arial"/>
          <w:sz w:val="24"/>
          <w:szCs w:val="24"/>
        </w:rPr>
        <w:t xml:space="preserve"> and</w:t>
      </w:r>
      <w:r w:rsidRPr="6408D7D1">
        <w:rPr>
          <w:rFonts w:ascii="Arial" w:hAnsi="Arial" w:cs="Arial"/>
          <w:sz w:val="24"/>
          <w:szCs w:val="24"/>
        </w:rPr>
        <w:t xml:space="preserve"> one often </w:t>
      </w:r>
      <w:r w:rsidR="00727D1C" w:rsidRPr="6408D7D1">
        <w:rPr>
          <w:rFonts w:ascii="Arial" w:hAnsi="Arial" w:cs="Arial"/>
          <w:sz w:val="24"/>
          <w:szCs w:val="24"/>
        </w:rPr>
        <w:t>expressed</w:t>
      </w:r>
      <w:r w:rsidRPr="6408D7D1">
        <w:rPr>
          <w:rFonts w:ascii="Arial" w:hAnsi="Arial" w:cs="Arial"/>
          <w:sz w:val="24"/>
          <w:szCs w:val="24"/>
        </w:rPr>
        <w:t xml:space="preserve"> with</w:t>
      </w:r>
      <w:r w:rsidR="003A48E4">
        <w:rPr>
          <w:rFonts w:ascii="Arial" w:hAnsi="Arial" w:cs="Arial"/>
          <w:sz w:val="24"/>
          <w:szCs w:val="24"/>
        </w:rPr>
        <w:t>in</w:t>
      </w:r>
      <w:r w:rsidRPr="6408D7D1">
        <w:rPr>
          <w:rFonts w:ascii="Arial" w:hAnsi="Arial" w:cs="Arial"/>
          <w:sz w:val="24"/>
          <w:szCs w:val="24"/>
        </w:rPr>
        <w:t xml:space="preserve"> higher education</w:t>
      </w:r>
      <w:r w:rsidR="00FF2007" w:rsidRPr="6408D7D1">
        <w:rPr>
          <w:rFonts w:ascii="Arial" w:hAnsi="Arial" w:cs="Arial"/>
          <w:sz w:val="24"/>
          <w:szCs w:val="24"/>
        </w:rPr>
        <w:t xml:space="preserve">, </w:t>
      </w:r>
      <w:r w:rsidR="00540931">
        <w:rPr>
          <w:rFonts w:ascii="Arial" w:hAnsi="Arial" w:cs="Arial"/>
          <w:sz w:val="24"/>
          <w:szCs w:val="24"/>
        </w:rPr>
        <w:t>wa</w:t>
      </w:r>
      <w:r w:rsidR="009A5070" w:rsidRPr="6408D7D1">
        <w:rPr>
          <w:rFonts w:ascii="Arial" w:hAnsi="Arial" w:cs="Arial"/>
          <w:sz w:val="24"/>
          <w:szCs w:val="24"/>
        </w:rPr>
        <w:t>s that</w:t>
      </w:r>
      <w:r w:rsidRPr="6408D7D1">
        <w:rPr>
          <w:rFonts w:ascii="Arial" w:hAnsi="Arial" w:cs="Arial"/>
          <w:sz w:val="24"/>
          <w:szCs w:val="24"/>
        </w:rPr>
        <w:t xml:space="preserve"> the introduction of </w:t>
      </w:r>
      <w:r w:rsidR="00540931">
        <w:rPr>
          <w:rFonts w:ascii="Arial" w:hAnsi="Arial" w:cs="Arial"/>
          <w:sz w:val="24"/>
          <w:szCs w:val="24"/>
        </w:rPr>
        <w:t xml:space="preserve">an </w:t>
      </w:r>
      <w:r w:rsidRPr="6408D7D1">
        <w:rPr>
          <w:rFonts w:ascii="Arial" w:hAnsi="Arial" w:cs="Arial"/>
          <w:sz w:val="24"/>
          <w:szCs w:val="24"/>
        </w:rPr>
        <w:t xml:space="preserve">optional employability module within </w:t>
      </w:r>
      <w:r w:rsidR="00540931">
        <w:rPr>
          <w:rFonts w:ascii="Arial" w:hAnsi="Arial" w:cs="Arial"/>
          <w:sz w:val="24"/>
          <w:szCs w:val="24"/>
        </w:rPr>
        <w:t xml:space="preserve">our </w:t>
      </w:r>
      <w:r w:rsidRPr="6408D7D1">
        <w:rPr>
          <w:rFonts w:ascii="Arial" w:hAnsi="Arial" w:cs="Arial"/>
          <w:sz w:val="24"/>
          <w:szCs w:val="24"/>
        </w:rPr>
        <w:t>curricula</w:t>
      </w:r>
      <w:r w:rsidR="009A5070" w:rsidRPr="6408D7D1">
        <w:rPr>
          <w:rFonts w:ascii="Arial" w:hAnsi="Arial" w:cs="Arial"/>
          <w:sz w:val="24"/>
          <w:szCs w:val="24"/>
        </w:rPr>
        <w:t xml:space="preserve"> </w:t>
      </w:r>
      <w:r w:rsidR="00540931">
        <w:rPr>
          <w:rFonts w:ascii="Arial" w:hAnsi="Arial" w:cs="Arial"/>
          <w:sz w:val="24"/>
          <w:szCs w:val="24"/>
        </w:rPr>
        <w:t>would</w:t>
      </w:r>
      <w:r w:rsidRPr="6408D7D1">
        <w:rPr>
          <w:rFonts w:ascii="Arial" w:hAnsi="Arial" w:cs="Arial"/>
          <w:sz w:val="24"/>
          <w:szCs w:val="24"/>
        </w:rPr>
        <w:t xml:space="preserve"> not benefit the wider student body</w:t>
      </w:r>
      <w:r w:rsidR="0074357A">
        <w:rPr>
          <w:rFonts w:ascii="Arial" w:hAnsi="Arial" w:cs="Arial"/>
          <w:sz w:val="24"/>
          <w:szCs w:val="24"/>
        </w:rPr>
        <w:t xml:space="preserve"> (</w:t>
      </w:r>
      <w:r w:rsidR="0074357A" w:rsidRPr="0074357A">
        <w:rPr>
          <w:rFonts w:ascii="Arial" w:hAnsi="Arial" w:cs="Arial"/>
          <w:sz w:val="24"/>
          <w:szCs w:val="24"/>
        </w:rPr>
        <w:t>Tayl</w:t>
      </w:r>
      <w:r w:rsidR="00E14123">
        <w:rPr>
          <w:rFonts w:ascii="Arial" w:hAnsi="Arial" w:cs="Arial"/>
          <w:sz w:val="24"/>
          <w:szCs w:val="24"/>
        </w:rPr>
        <w:t>or</w:t>
      </w:r>
      <w:r w:rsidR="0074357A" w:rsidRPr="0074357A">
        <w:rPr>
          <w:rFonts w:ascii="Arial" w:hAnsi="Arial" w:cs="Arial"/>
          <w:sz w:val="24"/>
          <w:szCs w:val="24"/>
        </w:rPr>
        <w:t xml:space="preserve"> &amp; Hooley,</w:t>
      </w:r>
      <w:r w:rsidR="00E14123">
        <w:rPr>
          <w:rFonts w:ascii="Arial" w:hAnsi="Arial" w:cs="Arial"/>
          <w:sz w:val="24"/>
          <w:szCs w:val="24"/>
        </w:rPr>
        <w:t xml:space="preserve"> </w:t>
      </w:r>
      <w:r w:rsidR="0074357A" w:rsidRPr="0074357A">
        <w:rPr>
          <w:rFonts w:ascii="Arial" w:hAnsi="Arial" w:cs="Arial"/>
          <w:sz w:val="24"/>
          <w:szCs w:val="24"/>
        </w:rPr>
        <w:t>2014)</w:t>
      </w:r>
      <w:r w:rsidRPr="6408D7D1">
        <w:rPr>
          <w:rFonts w:ascii="Arial" w:hAnsi="Arial" w:cs="Arial"/>
          <w:sz w:val="24"/>
          <w:szCs w:val="24"/>
        </w:rPr>
        <w:t xml:space="preserve">. </w:t>
      </w:r>
      <w:r w:rsidR="00AF6580" w:rsidRPr="6408D7D1">
        <w:rPr>
          <w:rFonts w:ascii="Arial" w:hAnsi="Arial" w:cs="Arial"/>
          <w:sz w:val="24"/>
          <w:szCs w:val="24"/>
        </w:rPr>
        <w:t>Moreover</w:t>
      </w:r>
      <w:r w:rsidRPr="6408D7D1">
        <w:rPr>
          <w:rFonts w:ascii="Arial" w:hAnsi="Arial" w:cs="Arial"/>
          <w:sz w:val="24"/>
          <w:szCs w:val="24"/>
        </w:rPr>
        <w:t xml:space="preserve">, it </w:t>
      </w:r>
      <w:r w:rsidR="00540931">
        <w:rPr>
          <w:rFonts w:ascii="Arial" w:hAnsi="Arial" w:cs="Arial"/>
          <w:sz w:val="24"/>
          <w:szCs w:val="24"/>
        </w:rPr>
        <w:t>would</w:t>
      </w:r>
      <w:r w:rsidRPr="6408D7D1">
        <w:rPr>
          <w:rFonts w:ascii="Arial" w:hAnsi="Arial" w:cs="Arial"/>
          <w:sz w:val="24"/>
          <w:szCs w:val="24"/>
        </w:rPr>
        <w:t xml:space="preserve"> be those </w:t>
      </w:r>
      <w:r w:rsidR="005F297D" w:rsidRPr="6408D7D1">
        <w:rPr>
          <w:rFonts w:ascii="Arial" w:hAnsi="Arial" w:cs="Arial"/>
          <w:sz w:val="24"/>
          <w:szCs w:val="24"/>
        </w:rPr>
        <w:t>‘</w:t>
      </w:r>
      <w:r w:rsidRPr="6408D7D1">
        <w:rPr>
          <w:rFonts w:ascii="Arial" w:hAnsi="Arial" w:cs="Arial"/>
          <w:sz w:val="24"/>
          <w:szCs w:val="24"/>
        </w:rPr>
        <w:t>careerist</w:t>
      </w:r>
      <w:r w:rsidR="005F297D" w:rsidRPr="6408D7D1">
        <w:rPr>
          <w:rFonts w:ascii="Arial" w:hAnsi="Arial" w:cs="Arial"/>
          <w:sz w:val="24"/>
          <w:szCs w:val="24"/>
        </w:rPr>
        <w:t>’</w:t>
      </w:r>
      <w:r w:rsidR="008B2502" w:rsidRPr="6408D7D1">
        <w:rPr>
          <w:rFonts w:ascii="Arial" w:hAnsi="Arial" w:cs="Arial"/>
          <w:sz w:val="24"/>
          <w:szCs w:val="24"/>
        </w:rPr>
        <w:t xml:space="preserve"> </w:t>
      </w:r>
      <w:r w:rsidRPr="6408D7D1">
        <w:rPr>
          <w:rFonts w:ascii="Arial" w:hAnsi="Arial" w:cs="Arial"/>
          <w:sz w:val="24"/>
          <w:szCs w:val="24"/>
        </w:rPr>
        <w:t>students</w:t>
      </w:r>
      <w:r w:rsidR="00855182" w:rsidRPr="6408D7D1">
        <w:rPr>
          <w:rFonts w:ascii="Arial" w:hAnsi="Arial" w:cs="Arial"/>
          <w:sz w:val="24"/>
          <w:szCs w:val="24"/>
        </w:rPr>
        <w:t xml:space="preserve"> (Tomlinson, 2012)</w:t>
      </w:r>
      <w:r w:rsidRPr="6408D7D1">
        <w:rPr>
          <w:rFonts w:ascii="Arial" w:hAnsi="Arial" w:cs="Arial"/>
          <w:sz w:val="24"/>
          <w:szCs w:val="24"/>
        </w:rPr>
        <w:t xml:space="preserve"> who </w:t>
      </w:r>
      <w:r w:rsidR="00540931">
        <w:rPr>
          <w:rFonts w:ascii="Arial" w:hAnsi="Arial" w:cs="Arial"/>
          <w:sz w:val="24"/>
          <w:szCs w:val="24"/>
        </w:rPr>
        <w:t>would</w:t>
      </w:r>
      <w:r w:rsidR="00540931" w:rsidRPr="6408D7D1">
        <w:rPr>
          <w:rFonts w:ascii="Arial" w:hAnsi="Arial" w:cs="Arial"/>
          <w:sz w:val="24"/>
          <w:szCs w:val="24"/>
        </w:rPr>
        <w:t xml:space="preserve"> </w:t>
      </w:r>
      <w:r w:rsidRPr="6408D7D1">
        <w:rPr>
          <w:rFonts w:ascii="Arial" w:hAnsi="Arial" w:cs="Arial"/>
          <w:sz w:val="24"/>
          <w:szCs w:val="24"/>
        </w:rPr>
        <w:t>study it</w:t>
      </w:r>
      <w:r w:rsidR="75F81286" w:rsidRPr="6408D7D1">
        <w:rPr>
          <w:rFonts w:ascii="Arial" w:hAnsi="Arial" w:cs="Arial"/>
          <w:sz w:val="24"/>
          <w:szCs w:val="24"/>
        </w:rPr>
        <w:t>,</w:t>
      </w:r>
      <w:r w:rsidRPr="6408D7D1">
        <w:rPr>
          <w:rFonts w:ascii="Arial" w:hAnsi="Arial" w:cs="Arial"/>
          <w:sz w:val="24"/>
          <w:szCs w:val="24"/>
        </w:rPr>
        <w:t xml:space="preserve"> </w:t>
      </w:r>
      <w:r w:rsidR="002161C1">
        <w:rPr>
          <w:rFonts w:ascii="Arial" w:hAnsi="Arial" w:cs="Arial"/>
          <w:sz w:val="24"/>
          <w:szCs w:val="24"/>
        </w:rPr>
        <w:t xml:space="preserve">and </w:t>
      </w:r>
      <w:r w:rsidR="002135C5">
        <w:rPr>
          <w:rFonts w:ascii="Arial" w:hAnsi="Arial" w:cs="Arial"/>
          <w:sz w:val="24"/>
          <w:szCs w:val="24"/>
        </w:rPr>
        <w:t xml:space="preserve">that </w:t>
      </w:r>
      <w:r w:rsidR="002161C1">
        <w:rPr>
          <w:rFonts w:ascii="Arial" w:hAnsi="Arial" w:cs="Arial"/>
          <w:sz w:val="24"/>
          <w:szCs w:val="24"/>
        </w:rPr>
        <w:t xml:space="preserve">these </w:t>
      </w:r>
      <w:r w:rsidRPr="6408D7D1">
        <w:rPr>
          <w:rFonts w:ascii="Arial" w:hAnsi="Arial" w:cs="Arial"/>
          <w:sz w:val="24"/>
          <w:szCs w:val="24"/>
        </w:rPr>
        <w:t xml:space="preserve">students would have achieved their immediate career goals regardless. </w:t>
      </w:r>
      <w:r w:rsidR="005C55CF">
        <w:rPr>
          <w:rFonts w:ascii="Arial" w:hAnsi="Arial" w:cs="Arial"/>
          <w:sz w:val="24"/>
          <w:szCs w:val="24"/>
        </w:rPr>
        <w:t>I</w:t>
      </w:r>
      <w:r w:rsidR="00E5732E" w:rsidRPr="6408D7D1">
        <w:rPr>
          <w:rFonts w:ascii="Arial" w:hAnsi="Arial" w:cs="Arial"/>
          <w:sz w:val="24"/>
          <w:szCs w:val="24"/>
        </w:rPr>
        <w:t xml:space="preserve">mportantly, we wanted </w:t>
      </w:r>
      <w:r w:rsidR="005C55CF">
        <w:rPr>
          <w:rFonts w:ascii="Arial" w:hAnsi="Arial" w:cs="Arial"/>
          <w:sz w:val="24"/>
          <w:szCs w:val="24"/>
        </w:rPr>
        <w:t>our module to</w:t>
      </w:r>
      <w:r w:rsidR="00E5732E" w:rsidRPr="6408D7D1">
        <w:rPr>
          <w:rFonts w:ascii="Arial" w:hAnsi="Arial" w:cs="Arial"/>
          <w:sz w:val="24"/>
          <w:szCs w:val="24"/>
        </w:rPr>
        <w:t xml:space="preserve"> have wider impact upon </w:t>
      </w:r>
      <w:r w:rsidR="00A04BC2">
        <w:rPr>
          <w:rFonts w:ascii="Arial" w:hAnsi="Arial" w:cs="Arial"/>
          <w:sz w:val="24"/>
          <w:szCs w:val="24"/>
        </w:rPr>
        <w:t>the whole departmental student cohort.</w:t>
      </w:r>
      <w:r w:rsidR="00E5732E" w:rsidRPr="6408D7D1">
        <w:rPr>
          <w:rFonts w:ascii="Arial" w:hAnsi="Arial" w:cs="Arial"/>
          <w:sz w:val="24"/>
          <w:szCs w:val="24"/>
        </w:rPr>
        <w:t xml:space="preserve"> We aimed to deliver this impact by creating and promoting </w:t>
      </w:r>
      <w:r w:rsidR="006C214A">
        <w:rPr>
          <w:rFonts w:ascii="Arial" w:hAnsi="Arial" w:cs="Arial"/>
          <w:sz w:val="24"/>
          <w:szCs w:val="24"/>
        </w:rPr>
        <w:t xml:space="preserve">student-led </w:t>
      </w:r>
      <w:r w:rsidR="00E5732E" w:rsidRPr="6408D7D1">
        <w:rPr>
          <w:rFonts w:ascii="Arial" w:hAnsi="Arial" w:cs="Arial"/>
          <w:sz w:val="24"/>
          <w:szCs w:val="24"/>
        </w:rPr>
        <w:t>career learning opportunities through the module, access</w:t>
      </w:r>
      <w:r w:rsidR="005239FC">
        <w:rPr>
          <w:rFonts w:ascii="Arial" w:hAnsi="Arial" w:cs="Arial"/>
          <w:sz w:val="24"/>
          <w:szCs w:val="24"/>
        </w:rPr>
        <w:t>ible to</w:t>
      </w:r>
      <w:r w:rsidR="00E5732E" w:rsidRPr="6408D7D1">
        <w:rPr>
          <w:rFonts w:ascii="Arial" w:hAnsi="Arial" w:cs="Arial"/>
          <w:sz w:val="24"/>
          <w:szCs w:val="24"/>
        </w:rPr>
        <w:t xml:space="preserve"> all </w:t>
      </w:r>
      <w:r w:rsidR="00CC004E">
        <w:rPr>
          <w:rFonts w:ascii="Arial" w:hAnsi="Arial" w:cs="Arial"/>
          <w:sz w:val="24"/>
          <w:szCs w:val="24"/>
        </w:rPr>
        <w:t xml:space="preserve">departmental </w:t>
      </w:r>
      <w:r w:rsidR="00E5732E" w:rsidRPr="6408D7D1">
        <w:rPr>
          <w:rFonts w:ascii="Arial" w:hAnsi="Arial" w:cs="Arial"/>
          <w:sz w:val="24"/>
          <w:szCs w:val="24"/>
        </w:rPr>
        <w:t>students.</w:t>
      </w:r>
      <w:r w:rsidR="00D603E1">
        <w:rPr>
          <w:rFonts w:ascii="Arial" w:hAnsi="Arial" w:cs="Arial"/>
          <w:sz w:val="24"/>
          <w:szCs w:val="24"/>
        </w:rPr>
        <w:t xml:space="preserve"> A common constraint upon many university career services and departments </w:t>
      </w:r>
      <w:r w:rsidR="005C2677">
        <w:rPr>
          <w:rFonts w:ascii="Arial" w:hAnsi="Arial" w:cs="Arial"/>
          <w:sz w:val="24"/>
          <w:szCs w:val="24"/>
        </w:rPr>
        <w:t>is a lack of available resource to deliver programmes of targeted career</w:t>
      </w:r>
      <w:r w:rsidR="006D3D03">
        <w:rPr>
          <w:rFonts w:ascii="Arial" w:hAnsi="Arial" w:cs="Arial"/>
          <w:sz w:val="24"/>
          <w:szCs w:val="24"/>
        </w:rPr>
        <w:t xml:space="preserve"> events and activities. Ou</w:t>
      </w:r>
      <w:r w:rsidR="007877D6">
        <w:rPr>
          <w:rFonts w:ascii="Arial" w:hAnsi="Arial" w:cs="Arial"/>
          <w:sz w:val="24"/>
          <w:szCs w:val="24"/>
        </w:rPr>
        <w:t>r</w:t>
      </w:r>
      <w:r w:rsidR="006D3D03">
        <w:rPr>
          <w:rFonts w:ascii="Arial" w:hAnsi="Arial" w:cs="Arial"/>
          <w:sz w:val="24"/>
          <w:szCs w:val="24"/>
        </w:rPr>
        <w:t xml:space="preserve"> solution </w:t>
      </w:r>
      <w:r w:rsidR="00213C62">
        <w:rPr>
          <w:rFonts w:ascii="Arial" w:hAnsi="Arial" w:cs="Arial"/>
          <w:sz w:val="24"/>
          <w:szCs w:val="24"/>
        </w:rPr>
        <w:t xml:space="preserve">to this problem </w:t>
      </w:r>
      <w:r w:rsidR="006D3D03">
        <w:rPr>
          <w:rFonts w:ascii="Arial" w:hAnsi="Arial" w:cs="Arial"/>
          <w:sz w:val="24"/>
          <w:szCs w:val="24"/>
        </w:rPr>
        <w:t>was our</w:t>
      </w:r>
      <w:r w:rsidR="0087213C" w:rsidRPr="6408D7D1">
        <w:rPr>
          <w:rFonts w:ascii="Arial" w:hAnsi="Arial" w:cs="Arial"/>
          <w:sz w:val="24"/>
          <w:szCs w:val="24"/>
        </w:rPr>
        <w:t xml:space="preserve"> </w:t>
      </w:r>
      <w:r w:rsidR="007115FC" w:rsidRPr="6408D7D1">
        <w:rPr>
          <w:rFonts w:ascii="Arial" w:hAnsi="Arial" w:cs="Arial"/>
          <w:sz w:val="24"/>
          <w:szCs w:val="24"/>
        </w:rPr>
        <w:t xml:space="preserve">module </w:t>
      </w:r>
      <w:r w:rsidR="00E5732E" w:rsidRPr="6408D7D1">
        <w:rPr>
          <w:rFonts w:ascii="Arial" w:hAnsi="Arial" w:cs="Arial"/>
          <w:sz w:val="24"/>
          <w:szCs w:val="24"/>
        </w:rPr>
        <w:t>students act</w:t>
      </w:r>
      <w:r w:rsidR="005239FC">
        <w:rPr>
          <w:rFonts w:ascii="Arial" w:hAnsi="Arial" w:cs="Arial"/>
          <w:sz w:val="24"/>
          <w:szCs w:val="24"/>
        </w:rPr>
        <w:t>ing</w:t>
      </w:r>
      <w:r w:rsidR="00E5732E" w:rsidRPr="6408D7D1">
        <w:rPr>
          <w:rFonts w:ascii="Arial" w:hAnsi="Arial" w:cs="Arial"/>
          <w:sz w:val="24"/>
          <w:szCs w:val="24"/>
        </w:rPr>
        <w:t xml:space="preserve"> as </w:t>
      </w:r>
      <w:r w:rsidR="0018357A" w:rsidRPr="6408D7D1">
        <w:rPr>
          <w:rFonts w:ascii="Arial" w:hAnsi="Arial" w:cs="Arial"/>
          <w:sz w:val="24"/>
          <w:szCs w:val="24"/>
        </w:rPr>
        <w:t xml:space="preserve">student </w:t>
      </w:r>
      <w:r w:rsidR="00E5732E" w:rsidRPr="6408D7D1">
        <w:rPr>
          <w:rFonts w:ascii="Arial" w:hAnsi="Arial" w:cs="Arial"/>
          <w:sz w:val="24"/>
          <w:szCs w:val="24"/>
        </w:rPr>
        <w:t>‘</w:t>
      </w:r>
      <w:r w:rsidR="005239FC">
        <w:rPr>
          <w:rFonts w:ascii="Arial" w:hAnsi="Arial" w:cs="Arial"/>
          <w:sz w:val="24"/>
          <w:szCs w:val="24"/>
        </w:rPr>
        <w:t>a</w:t>
      </w:r>
      <w:r w:rsidR="00E5732E" w:rsidRPr="6408D7D1">
        <w:rPr>
          <w:rFonts w:ascii="Arial" w:hAnsi="Arial" w:cs="Arial"/>
          <w:sz w:val="24"/>
          <w:szCs w:val="24"/>
        </w:rPr>
        <w:t xml:space="preserve">mbassadors’ for their peers within the </w:t>
      </w:r>
      <w:r w:rsidR="00510035" w:rsidRPr="6408D7D1">
        <w:rPr>
          <w:rFonts w:ascii="Arial" w:hAnsi="Arial" w:cs="Arial"/>
          <w:sz w:val="24"/>
          <w:szCs w:val="24"/>
        </w:rPr>
        <w:t xml:space="preserve">wider </w:t>
      </w:r>
      <w:r w:rsidR="007115FC" w:rsidRPr="6408D7D1">
        <w:rPr>
          <w:rFonts w:ascii="Arial" w:hAnsi="Arial" w:cs="Arial"/>
          <w:sz w:val="24"/>
          <w:szCs w:val="24"/>
        </w:rPr>
        <w:t>department</w:t>
      </w:r>
      <w:r w:rsidR="00E5732E" w:rsidRPr="6408D7D1">
        <w:rPr>
          <w:rFonts w:ascii="Arial" w:hAnsi="Arial" w:cs="Arial"/>
          <w:sz w:val="24"/>
          <w:szCs w:val="24"/>
        </w:rPr>
        <w:t xml:space="preserve">. These ambassadors would undertake activities which would develop key </w:t>
      </w:r>
      <w:r w:rsidR="00411C9D" w:rsidRPr="6408D7D1">
        <w:rPr>
          <w:rFonts w:ascii="Arial" w:hAnsi="Arial" w:cs="Arial"/>
          <w:sz w:val="24"/>
          <w:szCs w:val="24"/>
        </w:rPr>
        <w:t>areas</w:t>
      </w:r>
      <w:r w:rsidR="00E5732E" w:rsidRPr="6408D7D1">
        <w:rPr>
          <w:rFonts w:ascii="Arial" w:hAnsi="Arial" w:cs="Arial"/>
          <w:sz w:val="24"/>
          <w:szCs w:val="24"/>
        </w:rPr>
        <w:t xml:space="preserve"> of their </w:t>
      </w:r>
      <w:r w:rsidR="004E5410" w:rsidRPr="6408D7D1">
        <w:rPr>
          <w:rFonts w:ascii="Arial" w:hAnsi="Arial" w:cs="Arial"/>
          <w:sz w:val="24"/>
          <w:szCs w:val="24"/>
        </w:rPr>
        <w:t xml:space="preserve">own </w:t>
      </w:r>
      <w:r w:rsidR="00E5732E" w:rsidRPr="6408D7D1">
        <w:rPr>
          <w:rFonts w:ascii="Arial" w:hAnsi="Arial" w:cs="Arial"/>
          <w:sz w:val="24"/>
          <w:szCs w:val="24"/>
        </w:rPr>
        <w:t xml:space="preserve">individual personal employability </w:t>
      </w:r>
      <w:r w:rsidR="00197A33" w:rsidRPr="6408D7D1">
        <w:rPr>
          <w:rFonts w:ascii="Arial" w:hAnsi="Arial" w:cs="Arial"/>
          <w:sz w:val="24"/>
          <w:szCs w:val="24"/>
        </w:rPr>
        <w:t xml:space="preserve">(for example, </w:t>
      </w:r>
      <w:r w:rsidR="00EA3A9E" w:rsidRPr="6408D7D1">
        <w:rPr>
          <w:rFonts w:ascii="Arial" w:hAnsi="Arial" w:cs="Arial"/>
          <w:sz w:val="24"/>
          <w:szCs w:val="24"/>
        </w:rPr>
        <w:t>teamwork</w:t>
      </w:r>
      <w:r w:rsidR="00411C9D" w:rsidRPr="6408D7D1">
        <w:rPr>
          <w:rFonts w:ascii="Arial" w:hAnsi="Arial" w:cs="Arial"/>
          <w:sz w:val="24"/>
          <w:szCs w:val="24"/>
        </w:rPr>
        <w:t xml:space="preserve">, organisation skills) </w:t>
      </w:r>
      <w:r w:rsidR="00213C62">
        <w:rPr>
          <w:rFonts w:ascii="Arial" w:hAnsi="Arial" w:cs="Arial"/>
          <w:sz w:val="24"/>
          <w:szCs w:val="24"/>
        </w:rPr>
        <w:t>plus facilitate</w:t>
      </w:r>
      <w:r w:rsidR="00E5732E" w:rsidRPr="6408D7D1">
        <w:rPr>
          <w:rFonts w:ascii="Arial" w:hAnsi="Arial" w:cs="Arial"/>
          <w:sz w:val="24"/>
          <w:szCs w:val="24"/>
        </w:rPr>
        <w:t xml:space="preserve"> wider career learning opportunities </w:t>
      </w:r>
      <w:r w:rsidR="00411C9D" w:rsidRPr="6408D7D1">
        <w:rPr>
          <w:rFonts w:ascii="Arial" w:hAnsi="Arial" w:cs="Arial"/>
          <w:sz w:val="24"/>
          <w:szCs w:val="24"/>
        </w:rPr>
        <w:t xml:space="preserve">(exposure </w:t>
      </w:r>
      <w:r w:rsidR="001865C9" w:rsidRPr="6408D7D1">
        <w:rPr>
          <w:rFonts w:ascii="Arial" w:hAnsi="Arial" w:cs="Arial"/>
          <w:sz w:val="24"/>
          <w:szCs w:val="24"/>
        </w:rPr>
        <w:t xml:space="preserve">to </w:t>
      </w:r>
      <w:r w:rsidR="002067F9" w:rsidRPr="6408D7D1">
        <w:rPr>
          <w:rFonts w:ascii="Arial" w:hAnsi="Arial" w:cs="Arial"/>
          <w:sz w:val="24"/>
          <w:szCs w:val="24"/>
        </w:rPr>
        <w:t xml:space="preserve">people working in </w:t>
      </w:r>
      <w:r w:rsidR="009A01FD" w:rsidRPr="6408D7D1">
        <w:rPr>
          <w:rFonts w:ascii="Arial" w:hAnsi="Arial" w:cs="Arial"/>
          <w:sz w:val="24"/>
          <w:szCs w:val="24"/>
        </w:rPr>
        <w:t>different career roles)</w:t>
      </w:r>
      <w:r w:rsidR="00E5732E" w:rsidRPr="6408D7D1">
        <w:rPr>
          <w:rFonts w:ascii="Arial" w:hAnsi="Arial" w:cs="Arial"/>
          <w:sz w:val="24"/>
          <w:szCs w:val="24"/>
        </w:rPr>
        <w:t xml:space="preserve">. Importantly, </w:t>
      </w:r>
      <w:r w:rsidR="00E745E4">
        <w:rPr>
          <w:rFonts w:ascii="Arial" w:hAnsi="Arial" w:cs="Arial"/>
          <w:sz w:val="24"/>
          <w:szCs w:val="24"/>
        </w:rPr>
        <w:t xml:space="preserve">module </w:t>
      </w:r>
      <w:r w:rsidR="00E5732E" w:rsidRPr="6408D7D1">
        <w:rPr>
          <w:rFonts w:ascii="Arial" w:hAnsi="Arial" w:cs="Arial"/>
          <w:sz w:val="24"/>
          <w:szCs w:val="24"/>
        </w:rPr>
        <w:t xml:space="preserve">students themselves would have significant input into the </w:t>
      </w:r>
      <w:r w:rsidR="008E5CCC">
        <w:rPr>
          <w:rFonts w:ascii="Arial" w:hAnsi="Arial" w:cs="Arial"/>
          <w:sz w:val="24"/>
          <w:szCs w:val="24"/>
        </w:rPr>
        <w:t xml:space="preserve">activity </w:t>
      </w:r>
      <w:r w:rsidR="00E5732E" w:rsidRPr="6408D7D1">
        <w:rPr>
          <w:rFonts w:ascii="Arial" w:hAnsi="Arial" w:cs="Arial"/>
          <w:sz w:val="24"/>
          <w:szCs w:val="24"/>
        </w:rPr>
        <w:t xml:space="preserve">design and delivery. This </w:t>
      </w:r>
      <w:r w:rsidR="00DC2EB6">
        <w:rPr>
          <w:rFonts w:ascii="Arial" w:hAnsi="Arial" w:cs="Arial"/>
          <w:sz w:val="24"/>
          <w:szCs w:val="24"/>
        </w:rPr>
        <w:t>enabled</w:t>
      </w:r>
      <w:r w:rsidR="00DC2EB6" w:rsidRPr="6408D7D1">
        <w:rPr>
          <w:rFonts w:ascii="Arial" w:hAnsi="Arial" w:cs="Arial"/>
          <w:sz w:val="24"/>
          <w:szCs w:val="24"/>
        </w:rPr>
        <w:t xml:space="preserve"> </w:t>
      </w:r>
      <w:r w:rsidR="00E5732E" w:rsidRPr="6408D7D1">
        <w:rPr>
          <w:rFonts w:ascii="Arial" w:hAnsi="Arial" w:cs="Arial"/>
          <w:sz w:val="24"/>
          <w:szCs w:val="24"/>
        </w:rPr>
        <w:t xml:space="preserve">us to </w:t>
      </w:r>
      <w:r w:rsidR="001865C9" w:rsidRPr="6408D7D1">
        <w:rPr>
          <w:rFonts w:ascii="Arial" w:hAnsi="Arial" w:cs="Arial"/>
          <w:sz w:val="24"/>
          <w:szCs w:val="24"/>
        </w:rPr>
        <w:t xml:space="preserve">capture and </w:t>
      </w:r>
      <w:r w:rsidR="00E5732E" w:rsidRPr="6408D7D1">
        <w:rPr>
          <w:rFonts w:ascii="Arial" w:hAnsi="Arial" w:cs="Arial"/>
          <w:sz w:val="24"/>
          <w:szCs w:val="24"/>
        </w:rPr>
        <w:t xml:space="preserve">channel the student voice </w:t>
      </w:r>
      <w:r w:rsidR="00C01513" w:rsidRPr="6408D7D1">
        <w:rPr>
          <w:rFonts w:ascii="Arial" w:hAnsi="Arial" w:cs="Arial"/>
          <w:sz w:val="24"/>
          <w:szCs w:val="24"/>
        </w:rPr>
        <w:t>to create</w:t>
      </w:r>
      <w:r w:rsidR="00E5732E" w:rsidRPr="6408D7D1">
        <w:rPr>
          <w:rFonts w:ascii="Arial" w:hAnsi="Arial" w:cs="Arial"/>
          <w:sz w:val="24"/>
          <w:szCs w:val="24"/>
        </w:rPr>
        <w:t xml:space="preserve"> a scalable peer</w:t>
      </w:r>
      <w:r w:rsidR="001865C9" w:rsidRPr="6408D7D1">
        <w:rPr>
          <w:rFonts w:ascii="Arial" w:hAnsi="Arial" w:cs="Arial"/>
          <w:sz w:val="24"/>
          <w:szCs w:val="24"/>
        </w:rPr>
        <w:t>-</w:t>
      </w:r>
      <w:r w:rsidR="00E5732E" w:rsidRPr="6408D7D1">
        <w:rPr>
          <w:rFonts w:ascii="Arial" w:hAnsi="Arial" w:cs="Arial"/>
          <w:sz w:val="24"/>
          <w:szCs w:val="24"/>
        </w:rPr>
        <w:t xml:space="preserve">driven programme of career learning activities </w:t>
      </w:r>
      <w:r w:rsidR="00366C36" w:rsidRPr="6408D7D1">
        <w:rPr>
          <w:rFonts w:ascii="Arial" w:hAnsi="Arial" w:cs="Arial"/>
          <w:sz w:val="24"/>
          <w:szCs w:val="24"/>
        </w:rPr>
        <w:t xml:space="preserve">open to and beneficial to all the </w:t>
      </w:r>
      <w:r w:rsidR="00E5732E" w:rsidRPr="6408D7D1">
        <w:rPr>
          <w:rFonts w:ascii="Arial" w:hAnsi="Arial" w:cs="Arial"/>
          <w:sz w:val="24"/>
          <w:szCs w:val="24"/>
        </w:rPr>
        <w:t>department</w:t>
      </w:r>
      <w:r w:rsidR="00366C36" w:rsidRPr="6408D7D1">
        <w:rPr>
          <w:rFonts w:ascii="Arial" w:hAnsi="Arial" w:cs="Arial"/>
          <w:sz w:val="24"/>
          <w:szCs w:val="24"/>
        </w:rPr>
        <w:t>’s students</w:t>
      </w:r>
      <w:r w:rsidR="00E5732E" w:rsidRPr="6408D7D1">
        <w:rPr>
          <w:rFonts w:ascii="Arial" w:hAnsi="Arial" w:cs="Arial"/>
          <w:sz w:val="24"/>
          <w:szCs w:val="24"/>
        </w:rPr>
        <w:t xml:space="preserve">. </w:t>
      </w:r>
    </w:p>
    <w:p w14:paraId="3AEED896" w14:textId="60C4A41E" w:rsidR="008A24C3" w:rsidRDefault="001865C9" w:rsidP="6408D7D1">
      <w:pPr>
        <w:spacing w:line="360" w:lineRule="auto"/>
        <w:outlineLvl w:val="1"/>
        <w:rPr>
          <w:rFonts w:ascii="Arial" w:hAnsi="Arial" w:cs="Arial"/>
          <w:sz w:val="24"/>
          <w:szCs w:val="24"/>
        </w:rPr>
      </w:pPr>
      <w:r w:rsidRPr="6408D7D1">
        <w:rPr>
          <w:rFonts w:ascii="Arial" w:hAnsi="Arial" w:cs="Arial"/>
          <w:sz w:val="24"/>
          <w:szCs w:val="24"/>
        </w:rPr>
        <w:t>W</w:t>
      </w:r>
      <w:r w:rsidR="00974A6D" w:rsidRPr="6408D7D1">
        <w:rPr>
          <w:rFonts w:ascii="Arial" w:hAnsi="Arial" w:cs="Arial"/>
          <w:sz w:val="24"/>
          <w:szCs w:val="24"/>
        </w:rPr>
        <w:t xml:space="preserve">e designed </w:t>
      </w:r>
      <w:r w:rsidRPr="6408D7D1">
        <w:rPr>
          <w:rFonts w:ascii="Arial" w:hAnsi="Arial" w:cs="Arial"/>
          <w:sz w:val="24"/>
          <w:szCs w:val="24"/>
        </w:rPr>
        <w:t>the module to cater to different learning preferences</w:t>
      </w:r>
      <w:r w:rsidR="0087213C" w:rsidRPr="6408D7D1">
        <w:rPr>
          <w:rFonts w:ascii="Arial" w:hAnsi="Arial" w:cs="Arial"/>
          <w:sz w:val="24"/>
          <w:szCs w:val="24"/>
        </w:rPr>
        <w:t>, based on the VARK model</w:t>
      </w:r>
      <w:r w:rsidR="00BB3116">
        <w:rPr>
          <w:rFonts w:ascii="Arial" w:hAnsi="Arial" w:cs="Arial"/>
          <w:sz w:val="24"/>
          <w:szCs w:val="24"/>
        </w:rPr>
        <w:t xml:space="preserve"> (Taylor</w:t>
      </w:r>
      <w:r w:rsidR="002F1393" w:rsidRPr="002F1393">
        <w:t xml:space="preserve"> </w:t>
      </w:r>
      <w:r w:rsidR="00E14123">
        <w:rPr>
          <w:rFonts w:ascii="Arial" w:hAnsi="Arial" w:cs="Arial"/>
          <w:sz w:val="24"/>
          <w:szCs w:val="24"/>
        </w:rPr>
        <w:t>&amp; M</w:t>
      </w:r>
      <w:r w:rsidR="002F1393" w:rsidRPr="002F1393">
        <w:rPr>
          <w:rFonts w:ascii="Arial" w:hAnsi="Arial" w:cs="Arial"/>
          <w:sz w:val="24"/>
          <w:szCs w:val="24"/>
        </w:rPr>
        <w:t>ills</w:t>
      </w:r>
      <w:r w:rsidR="00755447">
        <w:rPr>
          <w:rFonts w:ascii="Arial" w:hAnsi="Arial" w:cs="Arial"/>
          <w:sz w:val="24"/>
          <w:szCs w:val="24"/>
        </w:rPr>
        <w:t>,</w:t>
      </w:r>
      <w:r w:rsidR="002F1393" w:rsidRPr="002F1393">
        <w:rPr>
          <w:rFonts w:ascii="Arial" w:hAnsi="Arial" w:cs="Arial"/>
          <w:sz w:val="24"/>
          <w:szCs w:val="24"/>
        </w:rPr>
        <w:t>1992)</w:t>
      </w:r>
      <w:r w:rsidR="00BB3116">
        <w:rPr>
          <w:rFonts w:ascii="Arial" w:hAnsi="Arial" w:cs="Arial"/>
          <w:sz w:val="24"/>
          <w:szCs w:val="24"/>
        </w:rPr>
        <w:t xml:space="preserve"> </w:t>
      </w:r>
      <w:r w:rsidRPr="6408D7D1">
        <w:rPr>
          <w:rFonts w:ascii="Arial" w:hAnsi="Arial" w:cs="Arial"/>
          <w:sz w:val="24"/>
          <w:szCs w:val="24"/>
        </w:rPr>
        <w:t>and feature</w:t>
      </w:r>
      <w:r w:rsidR="00F11753">
        <w:rPr>
          <w:rFonts w:ascii="Arial" w:hAnsi="Arial" w:cs="Arial"/>
          <w:sz w:val="24"/>
          <w:szCs w:val="24"/>
        </w:rPr>
        <w:t>d</w:t>
      </w:r>
      <w:r w:rsidRPr="6408D7D1">
        <w:rPr>
          <w:rFonts w:ascii="Arial" w:hAnsi="Arial" w:cs="Arial"/>
          <w:sz w:val="24"/>
          <w:szCs w:val="24"/>
        </w:rPr>
        <w:t xml:space="preserve"> experience-based learning</w:t>
      </w:r>
      <w:r w:rsidR="00974A6D" w:rsidRPr="6408D7D1">
        <w:rPr>
          <w:rFonts w:ascii="Arial" w:hAnsi="Arial" w:cs="Arial"/>
          <w:sz w:val="24"/>
          <w:szCs w:val="24"/>
        </w:rPr>
        <w:t xml:space="preserve">, equipping students with key theoretical </w:t>
      </w:r>
      <w:r w:rsidR="0018357A" w:rsidRPr="6408D7D1">
        <w:rPr>
          <w:rFonts w:ascii="Arial" w:hAnsi="Arial" w:cs="Arial"/>
          <w:sz w:val="24"/>
          <w:szCs w:val="24"/>
        </w:rPr>
        <w:t xml:space="preserve">knowledge </w:t>
      </w:r>
      <w:r w:rsidR="00974A6D" w:rsidRPr="6408D7D1">
        <w:rPr>
          <w:rFonts w:ascii="Arial" w:hAnsi="Arial" w:cs="Arial"/>
          <w:sz w:val="24"/>
          <w:szCs w:val="24"/>
        </w:rPr>
        <w:t xml:space="preserve">and practical skills which they could take forward into graduate work. </w:t>
      </w:r>
      <w:r w:rsidRPr="6408D7D1">
        <w:rPr>
          <w:rFonts w:ascii="Arial" w:hAnsi="Arial" w:cs="Arial"/>
          <w:sz w:val="24"/>
          <w:szCs w:val="24"/>
        </w:rPr>
        <w:t>As outlined in Figure 1, the module</w:t>
      </w:r>
      <w:r w:rsidR="00974A6D" w:rsidRPr="6408D7D1">
        <w:rPr>
          <w:rFonts w:ascii="Arial" w:hAnsi="Arial" w:cs="Arial"/>
          <w:sz w:val="24"/>
          <w:szCs w:val="24"/>
        </w:rPr>
        <w:t xml:space="preserve"> features a mixture of lecture</w:t>
      </w:r>
      <w:r w:rsidR="00A07EF5">
        <w:rPr>
          <w:rFonts w:ascii="Arial" w:hAnsi="Arial" w:cs="Arial"/>
          <w:sz w:val="24"/>
          <w:szCs w:val="24"/>
        </w:rPr>
        <w:t>s,</w:t>
      </w:r>
      <w:r w:rsidR="00974A6D" w:rsidRPr="6408D7D1">
        <w:rPr>
          <w:rFonts w:ascii="Arial" w:hAnsi="Arial" w:cs="Arial"/>
          <w:sz w:val="24"/>
          <w:szCs w:val="24"/>
        </w:rPr>
        <w:t xml:space="preserve"> workshops and </w:t>
      </w:r>
      <w:r w:rsidR="75ABDA85" w:rsidRPr="6408D7D1">
        <w:rPr>
          <w:rFonts w:ascii="Arial" w:hAnsi="Arial" w:cs="Arial"/>
          <w:sz w:val="24"/>
          <w:szCs w:val="24"/>
        </w:rPr>
        <w:t xml:space="preserve">student </w:t>
      </w:r>
      <w:r w:rsidR="00974A6D" w:rsidRPr="6408D7D1">
        <w:rPr>
          <w:rFonts w:ascii="Arial" w:hAnsi="Arial" w:cs="Arial"/>
          <w:sz w:val="24"/>
          <w:szCs w:val="24"/>
        </w:rPr>
        <w:t>ambassador meetings</w:t>
      </w:r>
      <w:r w:rsidR="00C15508" w:rsidRPr="6408D7D1">
        <w:rPr>
          <w:rFonts w:ascii="Arial" w:hAnsi="Arial" w:cs="Arial"/>
          <w:sz w:val="24"/>
          <w:szCs w:val="24"/>
        </w:rPr>
        <w:t>.</w:t>
      </w:r>
      <w:r w:rsidR="00C753D6" w:rsidRPr="6408D7D1">
        <w:rPr>
          <w:rFonts w:ascii="Arial" w:hAnsi="Arial" w:cs="Arial"/>
          <w:sz w:val="24"/>
          <w:szCs w:val="24"/>
        </w:rPr>
        <w:t xml:space="preserve"> </w:t>
      </w:r>
      <w:r w:rsidRPr="6408D7D1">
        <w:rPr>
          <w:rFonts w:ascii="Arial" w:hAnsi="Arial" w:cs="Arial"/>
          <w:sz w:val="24"/>
          <w:szCs w:val="24"/>
        </w:rPr>
        <w:t xml:space="preserve">Ultimately, </w:t>
      </w:r>
      <w:r w:rsidR="00DD3376">
        <w:rPr>
          <w:rFonts w:ascii="Arial" w:hAnsi="Arial" w:cs="Arial"/>
          <w:sz w:val="24"/>
          <w:szCs w:val="24"/>
        </w:rPr>
        <w:t xml:space="preserve">the </w:t>
      </w:r>
      <w:r w:rsidRPr="6408D7D1">
        <w:rPr>
          <w:rFonts w:ascii="Arial" w:hAnsi="Arial" w:cs="Arial"/>
          <w:sz w:val="24"/>
          <w:szCs w:val="24"/>
        </w:rPr>
        <w:lastRenderedPageBreak/>
        <w:t xml:space="preserve">co-design and co-delivery of the module </w:t>
      </w:r>
      <w:r w:rsidR="0018357A" w:rsidRPr="6408D7D1">
        <w:rPr>
          <w:rFonts w:ascii="Arial" w:hAnsi="Arial" w:cs="Arial"/>
          <w:sz w:val="24"/>
          <w:szCs w:val="24"/>
        </w:rPr>
        <w:t>proved</w:t>
      </w:r>
      <w:r w:rsidRPr="6408D7D1">
        <w:rPr>
          <w:rFonts w:ascii="Arial" w:hAnsi="Arial" w:cs="Arial"/>
          <w:sz w:val="24"/>
          <w:szCs w:val="24"/>
        </w:rPr>
        <w:t xml:space="preserve"> valuable to students based on post module feedback: </w:t>
      </w:r>
    </w:p>
    <w:p w14:paraId="57D7C848" w14:textId="77777777" w:rsidR="00F842B9" w:rsidRDefault="00C15508" w:rsidP="6408D7D1">
      <w:pPr>
        <w:spacing w:line="360" w:lineRule="auto"/>
        <w:ind w:left="720"/>
        <w:outlineLvl w:val="0"/>
        <w:rPr>
          <w:rFonts w:ascii="Arial" w:hAnsi="Arial" w:cs="Arial"/>
          <w:i/>
          <w:iCs/>
          <w:sz w:val="24"/>
          <w:szCs w:val="24"/>
        </w:rPr>
      </w:pPr>
      <w:r w:rsidRPr="6408D7D1">
        <w:rPr>
          <w:rFonts w:ascii="Arial" w:hAnsi="Arial" w:cs="Arial"/>
          <w:i/>
          <w:iCs/>
          <w:sz w:val="24"/>
          <w:szCs w:val="24"/>
        </w:rPr>
        <w:t>‘I loved having two perspectives (Author 1 and author 2)”</w:t>
      </w:r>
      <w:r w:rsidR="0024497A">
        <w:rPr>
          <w:rFonts w:ascii="Arial" w:hAnsi="Arial" w:cs="Arial"/>
          <w:i/>
          <w:iCs/>
          <w:sz w:val="24"/>
          <w:szCs w:val="24"/>
        </w:rPr>
        <w:t>’</w:t>
      </w:r>
      <w:r w:rsidRPr="6408D7D1">
        <w:rPr>
          <w:rFonts w:ascii="Arial" w:hAnsi="Arial" w:cs="Arial"/>
          <w:i/>
          <w:iCs/>
          <w:sz w:val="24"/>
          <w:szCs w:val="24"/>
        </w:rPr>
        <w:t xml:space="preserve">and </w:t>
      </w:r>
    </w:p>
    <w:p w14:paraId="687723FE" w14:textId="135C528E" w:rsidR="00C15508" w:rsidRDefault="00C15508" w:rsidP="6408D7D1">
      <w:pPr>
        <w:spacing w:line="360" w:lineRule="auto"/>
        <w:ind w:left="720"/>
        <w:outlineLvl w:val="0"/>
        <w:rPr>
          <w:rFonts w:ascii="Arial" w:hAnsi="Arial" w:cs="Arial"/>
          <w:i/>
          <w:iCs/>
          <w:sz w:val="24"/>
          <w:szCs w:val="24"/>
        </w:rPr>
      </w:pPr>
      <w:r w:rsidRPr="6408D7D1">
        <w:rPr>
          <w:rFonts w:ascii="Arial" w:hAnsi="Arial" w:cs="Arial"/>
          <w:i/>
          <w:iCs/>
          <w:sz w:val="24"/>
          <w:szCs w:val="24"/>
        </w:rPr>
        <w:t xml:space="preserve">‘Really nice to have two lecturers.’ </w:t>
      </w:r>
    </w:p>
    <w:p w14:paraId="5657151C" w14:textId="34980DA1" w:rsidR="000079E9" w:rsidRPr="000079E9" w:rsidRDefault="000079E9" w:rsidP="000079E9">
      <w:pPr>
        <w:spacing w:line="360" w:lineRule="auto"/>
        <w:jc w:val="center"/>
        <w:outlineLvl w:val="1"/>
        <w:rPr>
          <w:rFonts w:ascii="Arial" w:hAnsi="Arial" w:cs="Arial"/>
          <w:sz w:val="24"/>
          <w:szCs w:val="24"/>
          <w:u w:val="single"/>
        </w:rPr>
      </w:pPr>
      <w:r w:rsidRPr="000079E9">
        <w:rPr>
          <w:rFonts w:ascii="Arial" w:hAnsi="Arial" w:cs="Arial"/>
          <w:sz w:val="24"/>
          <w:szCs w:val="24"/>
          <w:u w:val="single"/>
        </w:rPr>
        <w:t>Figure 1</w:t>
      </w:r>
      <w:r>
        <w:rPr>
          <w:rFonts w:ascii="Arial" w:hAnsi="Arial" w:cs="Arial"/>
          <w:sz w:val="24"/>
          <w:szCs w:val="24"/>
          <w:u w:val="single"/>
        </w:rPr>
        <w:t>: Weekly Schedule</w:t>
      </w:r>
    </w:p>
    <w:p w14:paraId="37252285" w14:textId="1993B856" w:rsidR="00C15508" w:rsidRDefault="004F774D" w:rsidP="007F69EB">
      <w:pPr>
        <w:spacing w:line="360" w:lineRule="auto"/>
        <w:outlineLvl w:val="1"/>
        <w:rPr>
          <w:rFonts w:ascii="Arial" w:hAnsi="Arial" w:cs="Arial"/>
          <w:b/>
          <w:bCs/>
          <w:sz w:val="24"/>
          <w:szCs w:val="24"/>
        </w:rPr>
      </w:pPr>
      <w:r w:rsidRPr="522673A2">
        <w:rPr>
          <w:rFonts w:ascii="Arial" w:hAnsi="Arial" w:cs="Arial"/>
          <w:b/>
          <w:bCs/>
          <w:sz w:val="24"/>
          <w:szCs w:val="24"/>
        </w:rPr>
        <w:t xml:space="preserve">Module </w:t>
      </w:r>
      <w:r w:rsidR="0024497A">
        <w:rPr>
          <w:rFonts w:ascii="Arial" w:hAnsi="Arial" w:cs="Arial"/>
          <w:b/>
          <w:bCs/>
          <w:sz w:val="24"/>
          <w:szCs w:val="24"/>
        </w:rPr>
        <w:t>d</w:t>
      </w:r>
      <w:r w:rsidRPr="522673A2">
        <w:rPr>
          <w:rFonts w:ascii="Arial" w:hAnsi="Arial" w:cs="Arial"/>
          <w:b/>
          <w:bCs/>
          <w:sz w:val="24"/>
          <w:szCs w:val="24"/>
        </w:rPr>
        <w:t>esign: Delivery</w:t>
      </w:r>
    </w:p>
    <w:p w14:paraId="45D91CEF" w14:textId="033770C7" w:rsidR="00734F67" w:rsidRDefault="00CD16AA" w:rsidP="00734F67">
      <w:pPr>
        <w:spacing w:line="360" w:lineRule="auto"/>
        <w:outlineLvl w:val="1"/>
        <w:rPr>
          <w:rFonts w:ascii="Arial" w:hAnsi="Arial" w:cs="Arial"/>
          <w:sz w:val="24"/>
          <w:szCs w:val="24"/>
        </w:rPr>
      </w:pPr>
      <w:r w:rsidRPr="6408D7D1">
        <w:rPr>
          <w:rFonts w:ascii="Arial" w:hAnsi="Arial" w:cs="Arial"/>
          <w:sz w:val="24"/>
          <w:szCs w:val="24"/>
        </w:rPr>
        <w:t>When</w:t>
      </w:r>
      <w:r w:rsidR="006437E3" w:rsidRPr="6408D7D1">
        <w:rPr>
          <w:rFonts w:ascii="Arial" w:hAnsi="Arial" w:cs="Arial"/>
          <w:sz w:val="24"/>
          <w:szCs w:val="24"/>
        </w:rPr>
        <w:t xml:space="preserve"> operationalising our module concept</w:t>
      </w:r>
      <w:r w:rsidR="00734F67" w:rsidRPr="6408D7D1">
        <w:rPr>
          <w:rFonts w:ascii="Arial" w:hAnsi="Arial" w:cs="Arial"/>
          <w:sz w:val="24"/>
          <w:szCs w:val="24"/>
        </w:rPr>
        <w:t xml:space="preserve">, </w:t>
      </w:r>
      <w:r w:rsidR="00CE4382" w:rsidRPr="6408D7D1">
        <w:rPr>
          <w:rFonts w:ascii="Arial" w:hAnsi="Arial" w:cs="Arial"/>
          <w:sz w:val="24"/>
          <w:szCs w:val="24"/>
        </w:rPr>
        <w:t>we incorporated</w:t>
      </w:r>
      <w:r w:rsidR="00734F67" w:rsidRPr="6408D7D1">
        <w:rPr>
          <w:rFonts w:ascii="Arial" w:hAnsi="Arial" w:cs="Arial"/>
          <w:sz w:val="24"/>
          <w:szCs w:val="24"/>
        </w:rPr>
        <w:t xml:space="preserve"> </w:t>
      </w:r>
      <w:r w:rsidR="002574AD">
        <w:rPr>
          <w:rFonts w:ascii="Arial" w:hAnsi="Arial" w:cs="Arial"/>
          <w:sz w:val="24"/>
          <w:szCs w:val="24"/>
        </w:rPr>
        <w:t>some</w:t>
      </w:r>
      <w:r w:rsidR="00734F67" w:rsidRPr="6408D7D1">
        <w:rPr>
          <w:rFonts w:ascii="Arial" w:hAnsi="Arial" w:cs="Arial"/>
          <w:sz w:val="24"/>
          <w:szCs w:val="24"/>
        </w:rPr>
        <w:t xml:space="preserve"> core educational principles. </w:t>
      </w:r>
      <w:r w:rsidR="006F5F7D" w:rsidRPr="6408D7D1">
        <w:rPr>
          <w:rFonts w:ascii="Arial" w:hAnsi="Arial" w:cs="Arial"/>
          <w:sz w:val="24"/>
          <w:szCs w:val="24"/>
        </w:rPr>
        <w:t xml:space="preserve">We wanted students to be clear </w:t>
      </w:r>
      <w:r w:rsidR="00F72013">
        <w:rPr>
          <w:rFonts w:ascii="Arial" w:hAnsi="Arial" w:cs="Arial"/>
          <w:sz w:val="24"/>
          <w:szCs w:val="24"/>
        </w:rPr>
        <w:t>on</w:t>
      </w:r>
      <w:r w:rsidR="009E28B1" w:rsidRPr="6408D7D1">
        <w:rPr>
          <w:rFonts w:ascii="Arial" w:hAnsi="Arial" w:cs="Arial"/>
          <w:sz w:val="24"/>
          <w:szCs w:val="24"/>
        </w:rPr>
        <w:t xml:space="preserve"> the logic of the </w:t>
      </w:r>
      <w:r w:rsidR="00FC7B8C" w:rsidRPr="6408D7D1">
        <w:rPr>
          <w:rFonts w:ascii="Arial" w:hAnsi="Arial" w:cs="Arial"/>
          <w:sz w:val="24"/>
          <w:szCs w:val="24"/>
        </w:rPr>
        <w:t>module’s</w:t>
      </w:r>
      <w:r w:rsidR="006F5F7D" w:rsidRPr="6408D7D1">
        <w:rPr>
          <w:rFonts w:ascii="Arial" w:hAnsi="Arial" w:cs="Arial"/>
          <w:sz w:val="24"/>
          <w:szCs w:val="24"/>
        </w:rPr>
        <w:t xml:space="preserve"> </w:t>
      </w:r>
      <w:r w:rsidR="00195C9D" w:rsidRPr="6408D7D1">
        <w:rPr>
          <w:rFonts w:ascii="Arial" w:hAnsi="Arial" w:cs="Arial"/>
          <w:sz w:val="24"/>
          <w:szCs w:val="24"/>
        </w:rPr>
        <w:t>sequencing</w:t>
      </w:r>
      <w:r w:rsidR="71267BBE" w:rsidRPr="6408D7D1">
        <w:rPr>
          <w:rFonts w:ascii="Arial" w:hAnsi="Arial" w:cs="Arial"/>
          <w:sz w:val="24"/>
          <w:szCs w:val="24"/>
        </w:rPr>
        <w:t>,</w:t>
      </w:r>
      <w:r w:rsidR="00195C9D" w:rsidRPr="6408D7D1">
        <w:rPr>
          <w:rFonts w:ascii="Arial" w:hAnsi="Arial" w:cs="Arial"/>
          <w:sz w:val="24"/>
          <w:szCs w:val="24"/>
        </w:rPr>
        <w:t xml:space="preserve"> </w:t>
      </w:r>
      <w:r w:rsidR="00FC7B8C" w:rsidRPr="6408D7D1">
        <w:rPr>
          <w:rFonts w:ascii="Arial" w:hAnsi="Arial" w:cs="Arial"/>
          <w:sz w:val="24"/>
          <w:szCs w:val="24"/>
        </w:rPr>
        <w:t>and</w:t>
      </w:r>
      <w:r w:rsidR="00195C9D" w:rsidRPr="6408D7D1">
        <w:rPr>
          <w:rFonts w:ascii="Arial" w:hAnsi="Arial" w:cs="Arial"/>
          <w:sz w:val="24"/>
          <w:szCs w:val="24"/>
        </w:rPr>
        <w:t xml:space="preserve"> </w:t>
      </w:r>
      <w:r w:rsidR="00FE50F8">
        <w:rPr>
          <w:rFonts w:ascii="Arial" w:hAnsi="Arial" w:cs="Arial"/>
          <w:sz w:val="24"/>
          <w:szCs w:val="24"/>
        </w:rPr>
        <w:t>its</w:t>
      </w:r>
      <w:r w:rsidR="00FD0FD2" w:rsidRPr="6408D7D1">
        <w:rPr>
          <w:rFonts w:ascii="Arial" w:hAnsi="Arial" w:cs="Arial"/>
          <w:sz w:val="24"/>
          <w:szCs w:val="24"/>
        </w:rPr>
        <w:t xml:space="preserve"> </w:t>
      </w:r>
      <w:r w:rsidR="009249E9" w:rsidRPr="6408D7D1">
        <w:rPr>
          <w:rFonts w:ascii="Arial" w:hAnsi="Arial" w:cs="Arial"/>
          <w:sz w:val="24"/>
          <w:szCs w:val="24"/>
        </w:rPr>
        <w:t>delivery to be an active, experiential process</w:t>
      </w:r>
      <w:r w:rsidR="00CB5AD0" w:rsidRPr="6408D7D1">
        <w:rPr>
          <w:rFonts w:ascii="Arial" w:hAnsi="Arial" w:cs="Arial"/>
          <w:sz w:val="24"/>
          <w:szCs w:val="24"/>
        </w:rPr>
        <w:t xml:space="preserve">, </w:t>
      </w:r>
      <w:r w:rsidR="0087213C" w:rsidRPr="6408D7D1">
        <w:rPr>
          <w:rFonts w:ascii="Arial" w:hAnsi="Arial" w:cs="Arial"/>
          <w:sz w:val="24"/>
          <w:szCs w:val="24"/>
        </w:rPr>
        <w:t xml:space="preserve">involving </w:t>
      </w:r>
      <w:r w:rsidR="00CB5AD0" w:rsidRPr="6408D7D1">
        <w:rPr>
          <w:rFonts w:ascii="Arial" w:hAnsi="Arial" w:cs="Arial"/>
          <w:sz w:val="24"/>
          <w:szCs w:val="24"/>
        </w:rPr>
        <w:t>academic and practical</w:t>
      </w:r>
      <w:r w:rsidR="0087213C" w:rsidRPr="6408D7D1">
        <w:rPr>
          <w:rFonts w:ascii="Arial" w:hAnsi="Arial" w:cs="Arial"/>
          <w:sz w:val="24"/>
          <w:szCs w:val="24"/>
        </w:rPr>
        <w:t xml:space="preserve"> material</w:t>
      </w:r>
      <w:r w:rsidR="00131CBB" w:rsidRPr="6408D7D1">
        <w:rPr>
          <w:rFonts w:ascii="Arial" w:hAnsi="Arial" w:cs="Arial"/>
          <w:sz w:val="24"/>
          <w:szCs w:val="24"/>
        </w:rPr>
        <w:t xml:space="preserve">. There was clear constructive alignment </w:t>
      </w:r>
      <w:r w:rsidR="00970EEB" w:rsidRPr="6408D7D1">
        <w:rPr>
          <w:rFonts w:ascii="Arial" w:hAnsi="Arial" w:cs="Arial"/>
          <w:sz w:val="24"/>
          <w:szCs w:val="24"/>
        </w:rPr>
        <w:t xml:space="preserve">(Biggs, 1996) </w:t>
      </w:r>
      <w:r w:rsidRPr="6408D7D1">
        <w:rPr>
          <w:rFonts w:ascii="Arial" w:hAnsi="Arial" w:cs="Arial"/>
          <w:sz w:val="24"/>
          <w:szCs w:val="24"/>
        </w:rPr>
        <w:t xml:space="preserve">within and between individual topics, and </w:t>
      </w:r>
      <w:r w:rsidR="0087213C" w:rsidRPr="6408D7D1">
        <w:rPr>
          <w:rFonts w:ascii="Arial" w:hAnsi="Arial" w:cs="Arial"/>
          <w:sz w:val="24"/>
          <w:szCs w:val="24"/>
        </w:rPr>
        <w:t xml:space="preserve">regular </w:t>
      </w:r>
      <w:r w:rsidR="00A839A5">
        <w:rPr>
          <w:rFonts w:ascii="Arial" w:hAnsi="Arial" w:cs="Arial"/>
          <w:sz w:val="24"/>
          <w:szCs w:val="24"/>
        </w:rPr>
        <w:t>provision of</w:t>
      </w:r>
      <w:r w:rsidRPr="6408D7D1">
        <w:rPr>
          <w:rFonts w:ascii="Arial" w:hAnsi="Arial" w:cs="Arial"/>
          <w:sz w:val="24"/>
          <w:szCs w:val="24"/>
        </w:rPr>
        <w:t xml:space="preserve"> individual reflection and group activities.</w:t>
      </w:r>
    </w:p>
    <w:p w14:paraId="032619FD" w14:textId="1B15BE22" w:rsidR="00CD6760" w:rsidRDefault="001522B7" w:rsidP="6408D7D1">
      <w:pPr>
        <w:spacing w:line="360" w:lineRule="auto"/>
        <w:outlineLvl w:val="1"/>
        <w:rPr>
          <w:rFonts w:ascii="Arial" w:hAnsi="Arial" w:cs="Arial"/>
          <w:sz w:val="24"/>
          <w:szCs w:val="24"/>
        </w:rPr>
      </w:pPr>
      <w:r w:rsidRPr="6408D7D1">
        <w:rPr>
          <w:rFonts w:ascii="Arial" w:hAnsi="Arial" w:cs="Arial"/>
          <w:sz w:val="24"/>
          <w:szCs w:val="24"/>
        </w:rPr>
        <w:t xml:space="preserve">A key pedagogical design feature was </w:t>
      </w:r>
      <w:r w:rsidR="00B76490">
        <w:rPr>
          <w:rFonts w:ascii="Arial" w:hAnsi="Arial" w:cs="Arial"/>
          <w:sz w:val="24"/>
          <w:szCs w:val="24"/>
        </w:rPr>
        <w:t xml:space="preserve">the </w:t>
      </w:r>
      <w:r w:rsidRPr="6408D7D1">
        <w:rPr>
          <w:rFonts w:ascii="Arial" w:hAnsi="Arial" w:cs="Arial"/>
          <w:sz w:val="24"/>
          <w:szCs w:val="24"/>
        </w:rPr>
        <w:t xml:space="preserve">inclusion of a flipped learning approach, </w:t>
      </w:r>
      <w:r w:rsidR="00CC789C" w:rsidRPr="6408D7D1">
        <w:rPr>
          <w:rFonts w:ascii="Arial" w:hAnsi="Arial" w:cs="Arial"/>
          <w:sz w:val="24"/>
          <w:szCs w:val="24"/>
        </w:rPr>
        <w:t>(</w:t>
      </w:r>
      <w:r w:rsidRPr="6408D7D1">
        <w:rPr>
          <w:rFonts w:ascii="Arial" w:hAnsi="Arial" w:cs="Arial"/>
          <w:sz w:val="24"/>
          <w:szCs w:val="24"/>
        </w:rPr>
        <w:t>Bergmann</w:t>
      </w:r>
      <w:r w:rsidR="003328D6" w:rsidRPr="6408D7D1">
        <w:rPr>
          <w:rFonts w:ascii="Arial" w:hAnsi="Arial" w:cs="Arial"/>
          <w:sz w:val="24"/>
          <w:szCs w:val="24"/>
        </w:rPr>
        <w:t xml:space="preserve"> &amp;</w:t>
      </w:r>
      <w:r w:rsidRPr="6408D7D1">
        <w:rPr>
          <w:rFonts w:ascii="Arial" w:hAnsi="Arial" w:cs="Arial"/>
          <w:sz w:val="24"/>
          <w:szCs w:val="24"/>
        </w:rPr>
        <w:t xml:space="preserve"> Sams</w:t>
      </w:r>
      <w:r w:rsidR="00CC789C" w:rsidRPr="6408D7D1">
        <w:rPr>
          <w:rFonts w:ascii="Arial" w:hAnsi="Arial" w:cs="Arial"/>
          <w:sz w:val="24"/>
          <w:szCs w:val="24"/>
        </w:rPr>
        <w:t xml:space="preserve">, </w:t>
      </w:r>
      <w:r w:rsidRPr="6408D7D1">
        <w:rPr>
          <w:rFonts w:ascii="Arial" w:hAnsi="Arial" w:cs="Arial"/>
          <w:sz w:val="24"/>
          <w:szCs w:val="24"/>
        </w:rPr>
        <w:t xml:space="preserve">2012), </w:t>
      </w:r>
      <w:r w:rsidR="00C847F6">
        <w:rPr>
          <w:rFonts w:ascii="Arial" w:hAnsi="Arial" w:cs="Arial"/>
          <w:sz w:val="24"/>
          <w:szCs w:val="24"/>
        </w:rPr>
        <w:t>with</w:t>
      </w:r>
      <w:r w:rsidRPr="6408D7D1">
        <w:rPr>
          <w:rFonts w:ascii="Arial" w:hAnsi="Arial" w:cs="Arial"/>
          <w:sz w:val="24"/>
          <w:szCs w:val="24"/>
        </w:rPr>
        <w:t xml:space="preserve"> students </w:t>
      </w:r>
      <w:r w:rsidR="00C847F6">
        <w:rPr>
          <w:rFonts w:ascii="Arial" w:hAnsi="Arial" w:cs="Arial"/>
          <w:sz w:val="24"/>
          <w:szCs w:val="24"/>
        </w:rPr>
        <w:t>assigned</w:t>
      </w:r>
      <w:r w:rsidRPr="6408D7D1">
        <w:rPr>
          <w:rFonts w:ascii="Arial" w:hAnsi="Arial" w:cs="Arial"/>
          <w:sz w:val="24"/>
          <w:szCs w:val="24"/>
        </w:rPr>
        <w:t xml:space="preserve"> pre-session homework to complete</w:t>
      </w:r>
      <w:r w:rsidR="2454B644" w:rsidRPr="6408D7D1">
        <w:rPr>
          <w:rFonts w:ascii="Arial" w:hAnsi="Arial" w:cs="Arial"/>
          <w:sz w:val="24"/>
          <w:szCs w:val="24"/>
        </w:rPr>
        <w:t>.</w:t>
      </w:r>
      <w:r w:rsidRPr="6408D7D1">
        <w:rPr>
          <w:rFonts w:ascii="Arial" w:hAnsi="Arial" w:cs="Arial"/>
          <w:sz w:val="24"/>
          <w:szCs w:val="24"/>
        </w:rPr>
        <w:t xml:space="preserve"> </w:t>
      </w:r>
      <w:r w:rsidR="7DED8287" w:rsidRPr="6408D7D1">
        <w:rPr>
          <w:rFonts w:ascii="Arial" w:hAnsi="Arial" w:cs="Arial"/>
          <w:sz w:val="24"/>
          <w:szCs w:val="24"/>
        </w:rPr>
        <w:t>F</w:t>
      </w:r>
      <w:r w:rsidRPr="6408D7D1">
        <w:rPr>
          <w:rFonts w:ascii="Arial" w:hAnsi="Arial" w:cs="Arial"/>
          <w:sz w:val="24"/>
          <w:szCs w:val="24"/>
        </w:rPr>
        <w:t xml:space="preserve">or example, </w:t>
      </w:r>
      <w:r w:rsidR="408FC231" w:rsidRPr="6408D7D1">
        <w:rPr>
          <w:rFonts w:ascii="Arial" w:hAnsi="Arial" w:cs="Arial"/>
          <w:sz w:val="24"/>
          <w:szCs w:val="24"/>
        </w:rPr>
        <w:t xml:space="preserve">students were asked </w:t>
      </w:r>
      <w:r w:rsidRPr="6408D7D1">
        <w:rPr>
          <w:rFonts w:ascii="Arial" w:hAnsi="Arial" w:cs="Arial"/>
          <w:sz w:val="24"/>
          <w:szCs w:val="24"/>
        </w:rPr>
        <w:t>to pre-record themselves delivering interview question answers, using an Artificial Intelligence Interview Simulator tool</w:t>
      </w:r>
      <w:r w:rsidR="00CF248D" w:rsidRPr="6408D7D1">
        <w:rPr>
          <w:rFonts w:ascii="Arial" w:hAnsi="Arial" w:cs="Arial"/>
          <w:sz w:val="24"/>
          <w:szCs w:val="24"/>
        </w:rPr>
        <w:t xml:space="preserve">. </w:t>
      </w:r>
      <w:r w:rsidR="00176F39">
        <w:rPr>
          <w:rFonts w:ascii="Arial" w:hAnsi="Arial" w:cs="Arial"/>
          <w:sz w:val="24"/>
          <w:szCs w:val="24"/>
        </w:rPr>
        <w:t xml:space="preserve">The purpose was to enable students a safe space to </w:t>
      </w:r>
      <w:r w:rsidR="007F5A5A">
        <w:rPr>
          <w:rFonts w:ascii="Arial" w:hAnsi="Arial" w:cs="Arial"/>
          <w:sz w:val="24"/>
          <w:szCs w:val="24"/>
        </w:rPr>
        <w:t>practice</w:t>
      </w:r>
      <w:r w:rsidR="00061D58">
        <w:rPr>
          <w:rFonts w:ascii="Arial" w:hAnsi="Arial" w:cs="Arial"/>
          <w:sz w:val="24"/>
          <w:szCs w:val="24"/>
        </w:rPr>
        <w:t xml:space="preserve"> and</w:t>
      </w:r>
      <w:r w:rsidR="0033124C">
        <w:rPr>
          <w:rFonts w:ascii="Arial" w:hAnsi="Arial" w:cs="Arial"/>
          <w:sz w:val="24"/>
          <w:szCs w:val="24"/>
        </w:rPr>
        <w:t xml:space="preserve"> to</w:t>
      </w:r>
      <w:r w:rsidR="00DE6916">
        <w:rPr>
          <w:rFonts w:ascii="Arial" w:hAnsi="Arial" w:cs="Arial"/>
          <w:sz w:val="24"/>
          <w:szCs w:val="24"/>
        </w:rPr>
        <w:t xml:space="preserve"> illustrate</w:t>
      </w:r>
      <w:r w:rsidR="007F5A5A">
        <w:rPr>
          <w:rFonts w:ascii="Arial" w:hAnsi="Arial" w:cs="Arial"/>
          <w:sz w:val="24"/>
          <w:szCs w:val="24"/>
        </w:rPr>
        <w:t xml:space="preserve"> the importance of effective preparation and rehearsal</w:t>
      </w:r>
      <w:r w:rsidR="00AF05F4">
        <w:rPr>
          <w:rFonts w:ascii="Arial" w:hAnsi="Arial" w:cs="Arial"/>
          <w:sz w:val="24"/>
          <w:szCs w:val="24"/>
        </w:rPr>
        <w:t xml:space="preserve"> of answers</w:t>
      </w:r>
      <w:r w:rsidR="007F5A5A">
        <w:rPr>
          <w:rFonts w:ascii="Arial" w:hAnsi="Arial" w:cs="Arial"/>
          <w:sz w:val="24"/>
          <w:szCs w:val="24"/>
        </w:rPr>
        <w:t xml:space="preserve">. </w:t>
      </w:r>
      <w:r w:rsidR="00322580">
        <w:rPr>
          <w:rFonts w:ascii="Arial" w:hAnsi="Arial" w:cs="Arial"/>
          <w:sz w:val="24"/>
          <w:szCs w:val="24"/>
        </w:rPr>
        <w:t xml:space="preserve">They subsequently discussed their experience </w:t>
      </w:r>
      <w:r w:rsidR="0033124C">
        <w:rPr>
          <w:rFonts w:ascii="Arial" w:hAnsi="Arial" w:cs="Arial"/>
          <w:sz w:val="24"/>
          <w:szCs w:val="24"/>
        </w:rPr>
        <w:t xml:space="preserve">of completing this task </w:t>
      </w:r>
      <w:r w:rsidR="00322580">
        <w:rPr>
          <w:rFonts w:ascii="Arial" w:hAnsi="Arial" w:cs="Arial"/>
          <w:sz w:val="24"/>
          <w:szCs w:val="24"/>
        </w:rPr>
        <w:t xml:space="preserve">in class. </w:t>
      </w:r>
      <w:r w:rsidR="00CF248D" w:rsidRPr="6408D7D1">
        <w:rPr>
          <w:rFonts w:ascii="Arial" w:hAnsi="Arial" w:cs="Arial"/>
          <w:sz w:val="24"/>
          <w:szCs w:val="24"/>
        </w:rPr>
        <w:t xml:space="preserve">See Figure </w:t>
      </w:r>
      <w:r w:rsidR="00777044" w:rsidRPr="6408D7D1">
        <w:rPr>
          <w:rFonts w:ascii="Arial" w:hAnsi="Arial" w:cs="Arial"/>
          <w:sz w:val="24"/>
          <w:szCs w:val="24"/>
        </w:rPr>
        <w:t>2</w:t>
      </w:r>
      <w:r w:rsidRPr="6408D7D1">
        <w:rPr>
          <w:rFonts w:ascii="Arial" w:hAnsi="Arial" w:cs="Arial"/>
          <w:sz w:val="24"/>
          <w:szCs w:val="24"/>
        </w:rPr>
        <w:t xml:space="preserve">. </w:t>
      </w:r>
    </w:p>
    <w:p w14:paraId="7EEC9325" w14:textId="5788BF08" w:rsidR="00CD6760" w:rsidRPr="00CD6760" w:rsidRDefault="00CD6760" w:rsidP="00CD6760">
      <w:pPr>
        <w:spacing w:line="360" w:lineRule="auto"/>
        <w:jc w:val="center"/>
        <w:outlineLvl w:val="1"/>
        <w:rPr>
          <w:rFonts w:ascii="Arial" w:hAnsi="Arial" w:cs="Arial"/>
          <w:bCs/>
          <w:sz w:val="24"/>
          <w:szCs w:val="24"/>
          <w:u w:val="single"/>
        </w:rPr>
      </w:pPr>
      <w:r w:rsidRPr="00CD6760">
        <w:rPr>
          <w:rFonts w:ascii="Arial" w:hAnsi="Arial" w:cs="Arial"/>
          <w:bCs/>
          <w:sz w:val="24"/>
          <w:szCs w:val="24"/>
          <w:u w:val="single"/>
        </w:rPr>
        <w:t>Figure 2: Weekly Homework</w:t>
      </w:r>
    </w:p>
    <w:p w14:paraId="134AB8B1" w14:textId="47260173" w:rsidR="001522B7" w:rsidRDefault="009B14A5" w:rsidP="6408D7D1">
      <w:pPr>
        <w:spacing w:line="360" w:lineRule="auto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Flipped learning was</w:t>
      </w:r>
      <w:r w:rsidR="001522B7" w:rsidRPr="6408D7D1">
        <w:rPr>
          <w:rFonts w:ascii="Arial" w:hAnsi="Arial" w:cs="Arial"/>
          <w:sz w:val="24"/>
          <w:szCs w:val="24"/>
        </w:rPr>
        <w:t xml:space="preserve"> supplemented by an activity learning approach (Bonwell</w:t>
      </w:r>
      <w:r w:rsidR="003328D6" w:rsidRPr="6408D7D1">
        <w:rPr>
          <w:rFonts w:ascii="Arial" w:hAnsi="Arial" w:cs="Arial"/>
          <w:sz w:val="24"/>
          <w:szCs w:val="24"/>
        </w:rPr>
        <w:t xml:space="preserve"> &amp;</w:t>
      </w:r>
      <w:r w:rsidR="001522B7" w:rsidRPr="6408D7D1">
        <w:rPr>
          <w:rFonts w:ascii="Arial" w:hAnsi="Arial" w:cs="Arial"/>
          <w:sz w:val="24"/>
          <w:szCs w:val="24"/>
        </w:rPr>
        <w:t xml:space="preserve"> Eison, 1991) throughout the module, </w:t>
      </w:r>
      <w:r>
        <w:rPr>
          <w:rFonts w:ascii="Arial" w:hAnsi="Arial" w:cs="Arial"/>
          <w:sz w:val="24"/>
          <w:szCs w:val="24"/>
        </w:rPr>
        <w:t>where</w:t>
      </w:r>
      <w:r w:rsidR="001522B7" w:rsidRPr="6408D7D1">
        <w:rPr>
          <w:rFonts w:ascii="Arial" w:hAnsi="Arial" w:cs="Arial"/>
          <w:sz w:val="24"/>
          <w:szCs w:val="24"/>
        </w:rPr>
        <w:t xml:space="preserve"> student</w:t>
      </w:r>
      <w:r w:rsidR="00846AD7" w:rsidRPr="6408D7D1">
        <w:rPr>
          <w:rFonts w:ascii="Arial" w:hAnsi="Arial" w:cs="Arial"/>
          <w:sz w:val="24"/>
          <w:szCs w:val="24"/>
        </w:rPr>
        <w:t>s</w:t>
      </w:r>
      <w:r w:rsidR="001522B7" w:rsidRPr="6408D7D1">
        <w:rPr>
          <w:rFonts w:ascii="Arial" w:hAnsi="Arial" w:cs="Arial"/>
          <w:sz w:val="24"/>
          <w:szCs w:val="24"/>
        </w:rPr>
        <w:t xml:space="preserve"> interact</w:t>
      </w:r>
      <w:r w:rsidR="00587778">
        <w:rPr>
          <w:rFonts w:ascii="Arial" w:hAnsi="Arial" w:cs="Arial"/>
          <w:sz w:val="24"/>
          <w:szCs w:val="24"/>
        </w:rPr>
        <w:t>ed</w:t>
      </w:r>
      <w:r w:rsidR="001522B7" w:rsidRPr="6408D7D1">
        <w:rPr>
          <w:rFonts w:ascii="Arial" w:hAnsi="Arial" w:cs="Arial"/>
          <w:sz w:val="24"/>
          <w:szCs w:val="24"/>
        </w:rPr>
        <w:t xml:space="preserve"> with the learning process and co-construct</w:t>
      </w:r>
      <w:r w:rsidR="00587778">
        <w:rPr>
          <w:rFonts w:ascii="Arial" w:hAnsi="Arial" w:cs="Arial"/>
          <w:sz w:val="24"/>
          <w:szCs w:val="24"/>
        </w:rPr>
        <w:t>ed</w:t>
      </w:r>
      <w:r w:rsidR="001522B7" w:rsidRPr="6408D7D1">
        <w:rPr>
          <w:rFonts w:ascii="Arial" w:hAnsi="Arial" w:cs="Arial"/>
          <w:sz w:val="24"/>
          <w:szCs w:val="24"/>
        </w:rPr>
        <w:t xml:space="preserve"> their own meaning</w:t>
      </w:r>
      <w:r w:rsidR="00B858CF" w:rsidRPr="6408D7D1">
        <w:rPr>
          <w:rFonts w:ascii="Arial" w:hAnsi="Arial" w:cs="Arial"/>
          <w:sz w:val="24"/>
          <w:szCs w:val="24"/>
        </w:rPr>
        <w:t>,</w:t>
      </w:r>
      <w:r w:rsidR="001522B7" w:rsidRPr="6408D7D1">
        <w:rPr>
          <w:rFonts w:ascii="Arial" w:hAnsi="Arial" w:cs="Arial"/>
          <w:sz w:val="24"/>
          <w:szCs w:val="24"/>
        </w:rPr>
        <w:t xml:space="preserve"> drawing </w:t>
      </w:r>
      <w:r w:rsidR="00B858CF" w:rsidRPr="6408D7D1">
        <w:rPr>
          <w:rFonts w:ascii="Arial" w:hAnsi="Arial" w:cs="Arial"/>
          <w:sz w:val="24"/>
          <w:szCs w:val="24"/>
        </w:rPr>
        <w:t>up</w:t>
      </w:r>
      <w:r w:rsidR="001522B7" w:rsidRPr="6408D7D1">
        <w:rPr>
          <w:rFonts w:ascii="Arial" w:hAnsi="Arial" w:cs="Arial"/>
          <w:sz w:val="24"/>
          <w:szCs w:val="24"/>
        </w:rPr>
        <w:t xml:space="preserve">on their individual experiences. </w:t>
      </w:r>
    </w:p>
    <w:p w14:paraId="65C2E7CD" w14:textId="76324A6F" w:rsidR="00DA19AC" w:rsidRDefault="00A07EF5" w:rsidP="00C31D01">
      <w:pPr>
        <w:spacing w:line="360" w:lineRule="auto"/>
        <w:outlineLvl w:val="0"/>
        <w:rPr>
          <w:rStyle w:val="cf01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910697" w:rsidRPr="6408D7D1">
        <w:rPr>
          <w:rFonts w:ascii="Arial" w:hAnsi="Arial" w:cs="Arial"/>
          <w:sz w:val="24"/>
          <w:szCs w:val="24"/>
        </w:rPr>
        <w:t>lipped learning ensured students were at a similar level of knowledge and experience prior to taught content</w:t>
      </w:r>
      <w:r w:rsidR="00C35C30">
        <w:rPr>
          <w:rFonts w:ascii="Arial" w:hAnsi="Arial" w:cs="Arial"/>
          <w:sz w:val="24"/>
          <w:szCs w:val="24"/>
        </w:rPr>
        <w:t xml:space="preserve"> delivery</w:t>
      </w:r>
      <w:r w:rsidR="00910697" w:rsidRPr="6408D7D1">
        <w:rPr>
          <w:rFonts w:ascii="Arial" w:hAnsi="Arial" w:cs="Arial"/>
          <w:sz w:val="24"/>
          <w:szCs w:val="24"/>
        </w:rPr>
        <w:t xml:space="preserve">, </w:t>
      </w:r>
      <w:r w:rsidR="000944F4">
        <w:rPr>
          <w:rFonts w:ascii="Arial" w:hAnsi="Arial" w:cs="Arial"/>
          <w:sz w:val="24"/>
          <w:szCs w:val="24"/>
        </w:rPr>
        <w:t>increasing</w:t>
      </w:r>
      <w:r w:rsidR="00910697" w:rsidRPr="6408D7D1">
        <w:rPr>
          <w:rFonts w:ascii="Arial" w:hAnsi="Arial" w:cs="Arial"/>
          <w:sz w:val="24"/>
          <w:szCs w:val="24"/>
        </w:rPr>
        <w:t xml:space="preserve"> confidence and performance during in</w:t>
      </w:r>
      <w:r w:rsidR="001865C9" w:rsidRPr="6408D7D1">
        <w:rPr>
          <w:rFonts w:ascii="Arial" w:hAnsi="Arial" w:cs="Arial"/>
          <w:sz w:val="24"/>
          <w:szCs w:val="24"/>
        </w:rPr>
        <w:t>-</w:t>
      </w:r>
      <w:r w:rsidR="00910697" w:rsidRPr="6408D7D1">
        <w:rPr>
          <w:rFonts w:ascii="Arial" w:hAnsi="Arial" w:cs="Arial"/>
          <w:sz w:val="24"/>
          <w:szCs w:val="24"/>
        </w:rPr>
        <w:t>class exercises.</w:t>
      </w:r>
      <w:r w:rsidR="00F35398" w:rsidRPr="6408D7D1">
        <w:rPr>
          <w:rFonts w:ascii="Arial" w:hAnsi="Arial" w:cs="Arial"/>
          <w:sz w:val="24"/>
          <w:szCs w:val="24"/>
        </w:rPr>
        <w:t xml:space="preserve"> </w:t>
      </w:r>
      <w:r w:rsidR="00910697" w:rsidRPr="6408D7D1">
        <w:rPr>
          <w:rFonts w:ascii="Arial" w:hAnsi="Arial" w:cs="Arial"/>
          <w:sz w:val="24"/>
          <w:szCs w:val="24"/>
        </w:rPr>
        <w:t xml:space="preserve">There was some prior concern that students </w:t>
      </w:r>
      <w:r w:rsidR="006E4A7D" w:rsidRPr="6408D7D1">
        <w:rPr>
          <w:rFonts w:ascii="Arial" w:hAnsi="Arial" w:cs="Arial"/>
          <w:sz w:val="24"/>
          <w:szCs w:val="24"/>
        </w:rPr>
        <w:t>may</w:t>
      </w:r>
      <w:r w:rsidR="00910697" w:rsidRPr="6408D7D1">
        <w:rPr>
          <w:rFonts w:ascii="Arial" w:hAnsi="Arial" w:cs="Arial"/>
          <w:sz w:val="24"/>
          <w:szCs w:val="24"/>
        </w:rPr>
        <w:t xml:space="preserve"> not engage in the pre-session homework, as this had been experience</w:t>
      </w:r>
      <w:r w:rsidR="002C6E17" w:rsidRPr="6408D7D1">
        <w:rPr>
          <w:rFonts w:ascii="Arial" w:hAnsi="Arial" w:cs="Arial"/>
          <w:sz w:val="24"/>
          <w:szCs w:val="24"/>
        </w:rPr>
        <w:t>d</w:t>
      </w:r>
      <w:r w:rsidR="00910697" w:rsidRPr="6408D7D1">
        <w:rPr>
          <w:rFonts w:ascii="Arial" w:hAnsi="Arial" w:cs="Arial"/>
          <w:sz w:val="24"/>
          <w:szCs w:val="24"/>
        </w:rPr>
        <w:t xml:space="preserve"> in teaching elsewhere. </w:t>
      </w:r>
      <w:r w:rsidR="66A6B76E" w:rsidRPr="6408D7D1">
        <w:rPr>
          <w:rFonts w:ascii="Arial" w:hAnsi="Arial" w:cs="Arial"/>
          <w:sz w:val="24"/>
          <w:szCs w:val="24"/>
        </w:rPr>
        <w:t>Encouragingly</w:t>
      </w:r>
      <w:r w:rsidR="00910697" w:rsidRPr="6408D7D1">
        <w:rPr>
          <w:rFonts w:ascii="Arial" w:hAnsi="Arial" w:cs="Arial"/>
          <w:sz w:val="24"/>
          <w:szCs w:val="24"/>
        </w:rPr>
        <w:t xml:space="preserve">, </w:t>
      </w:r>
      <w:r w:rsidR="0063702A" w:rsidRPr="6408D7D1">
        <w:rPr>
          <w:rFonts w:ascii="Arial" w:hAnsi="Arial" w:cs="Arial"/>
          <w:sz w:val="24"/>
          <w:szCs w:val="24"/>
        </w:rPr>
        <w:t>the</w:t>
      </w:r>
      <w:r w:rsidR="00295BAE" w:rsidRPr="6408D7D1">
        <w:rPr>
          <w:rFonts w:ascii="Arial" w:hAnsi="Arial" w:cs="Arial"/>
          <w:sz w:val="24"/>
          <w:szCs w:val="24"/>
        </w:rPr>
        <w:t xml:space="preserve"> module achieved consistently high levels of student engagement </w:t>
      </w:r>
      <w:r w:rsidR="00295BAE">
        <w:rPr>
          <w:rFonts w:ascii="Arial" w:hAnsi="Arial" w:cs="Arial"/>
          <w:sz w:val="24"/>
          <w:szCs w:val="24"/>
        </w:rPr>
        <w:t xml:space="preserve">(98% attendance across all sessions) </w:t>
      </w:r>
      <w:r w:rsidR="00295BAE" w:rsidRPr="6408D7D1">
        <w:rPr>
          <w:rFonts w:ascii="Arial" w:hAnsi="Arial" w:cs="Arial"/>
          <w:sz w:val="24"/>
          <w:szCs w:val="24"/>
        </w:rPr>
        <w:t>and performance</w:t>
      </w:r>
      <w:r w:rsidR="00295BAE">
        <w:rPr>
          <w:rFonts w:ascii="Arial" w:hAnsi="Arial" w:cs="Arial"/>
          <w:sz w:val="24"/>
          <w:szCs w:val="24"/>
        </w:rPr>
        <w:t xml:space="preserve"> (81% average </w:t>
      </w:r>
      <w:r w:rsidR="00295BAE">
        <w:rPr>
          <w:rFonts w:ascii="Arial" w:hAnsi="Arial" w:cs="Arial"/>
          <w:sz w:val="24"/>
          <w:szCs w:val="24"/>
        </w:rPr>
        <w:lastRenderedPageBreak/>
        <w:t xml:space="preserve">grade across workshops). </w:t>
      </w:r>
      <w:r w:rsidR="00910697" w:rsidRPr="6408D7D1">
        <w:rPr>
          <w:rFonts w:ascii="Arial" w:hAnsi="Arial" w:cs="Arial"/>
          <w:sz w:val="24"/>
          <w:szCs w:val="24"/>
        </w:rPr>
        <w:t xml:space="preserve">The authors conclude from student observation and feedback that this was due to engaging content where students could clearly </w:t>
      </w:r>
      <w:r w:rsidR="0063702A">
        <w:rPr>
          <w:rFonts w:ascii="Arial" w:hAnsi="Arial" w:cs="Arial"/>
          <w:sz w:val="24"/>
          <w:szCs w:val="24"/>
        </w:rPr>
        <w:t>recognise</w:t>
      </w:r>
      <w:r w:rsidR="0063702A" w:rsidRPr="6408D7D1">
        <w:rPr>
          <w:rFonts w:ascii="Arial" w:hAnsi="Arial" w:cs="Arial"/>
          <w:sz w:val="24"/>
          <w:szCs w:val="24"/>
        </w:rPr>
        <w:t xml:space="preserve"> </w:t>
      </w:r>
      <w:r w:rsidR="00910697" w:rsidRPr="6408D7D1">
        <w:rPr>
          <w:rFonts w:ascii="Arial" w:hAnsi="Arial" w:cs="Arial"/>
          <w:sz w:val="24"/>
          <w:szCs w:val="24"/>
        </w:rPr>
        <w:t>the relevance and importance of the topic</w:t>
      </w:r>
      <w:r w:rsidR="00F35398" w:rsidRPr="6408D7D1">
        <w:rPr>
          <w:rFonts w:ascii="Arial" w:hAnsi="Arial" w:cs="Arial"/>
          <w:sz w:val="24"/>
          <w:szCs w:val="24"/>
        </w:rPr>
        <w:t xml:space="preserve">. </w:t>
      </w:r>
      <w:r w:rsidR="00C84D89" w:rsidRPr="6408D7D1">
        <w:rPr>
          <w:rFonts w:ascii="Arial" w:hAnsi="Arial" w:cs="Arial"/>
          <w:sz w:val="24"/>
          <w:szCs w:val="24"/>
        </w:rPr>
        <w:t>Again</w:t>
      </w:r>
      <w:r w:rsidR="002546B5" w:rsidRPr="6408D7D1">
        <w:rPr>
          <w:rFonts w:ascii="Arial" w:hAnsi="Arial" w:cs="Arial"/>
          <w:sz w:val="24"/>
          <w:szCs w:val="24"/>
        </w:rPr>
        <w:t>,</w:t>
      </w:r>
      <w:r w:rsidR="00C84D89" w:rsidRPr="6408D7D1">
        <w:rPr>
          <w:rFonts w:ascii="Arial" w:hAnsi="Arial" w:cs="Arial"/>
          <w:sz w:val="24"/>
          <w:szCs w:val="24"/>
        </w:rPr>
        <w:t xml:space="preserve"> carrots and sticks prov</w:t>
      </w:r>
      <w:r w:rsidR="002546B5" w:rsidRPr="6408D7D1">
        <w:rPr>
          <w:rFonts w:ascii="Arial" w:hAnsi="Arial" w:cs="Arial"/>
          <w:sz w:val="24"/>
          <w:szCs w:val="24"/>
        </w:rPr>
        <w:t>ed</w:t>
      </w:r>
      <w:r w:rsidR="00C84D89" w:rsidRPr="6408D7D1">
        <w:rPr>
          <w:rFonts w:ascii="Arial" w:hAnsi="Arial" w:cs="Arial"/>
          <w:sz w:val="24"/>
          <w:szCs w:val="24"/>
        </w:rPr>
        <w:t xml:space="preserve"> to be powerful motivators. Weekly engagement (homework and sessions) was worth 15% of the module</w:t>
      </w:r>
      <w:r w:rsidR="00F750C0">
        <w:rPr>
          <w:rFonts w:ascii="Arial" w:hAnsi="Arial" w:cs="Arial"/>
          <w:sz w:val="24"/>
          <w:szCs w:val="24"/>
        </w:rPr>
        <w:t xml:space="preserve"> marks</w:t>
      </w:r>
      <w:r w:rsidR="00C84D89" w:rsidRPr="6408D7D1">
        <w:rPr>
          <w:rFonts w:ascii="Arial" w:hAnsi="Arial" w:cs="Arial"/>
          <w:sz w:val="24"/>
          <w:szCs w:val="24"/>
        </w:rPr>
        <w:t xml:space="preserve"> and while some students saw it as </w:t>
      </w:r>
      <w:r w:rsidR="00C31D01" w:rsidRPr="6408D7D1">
        <w:rPr>
          <w:rStyle w:val="cf01"/>
          <w:rFonts w:ascii="Arial" w:hAnsi="Arial" w:cs="Arial"/>
          <w:sz w:val="24"/>
          <w:szCs w:val="24"/>
        </w:rPr>
        <w:t>earning credit for doing valuable work (</w:t>
      </w:r>
      <w:r w:rsidR="00C84D89" w:rsidRPr="6408D7D1">
        <w:rPr>
          <w:rStyle w:val="cf01"/>
          <w:rFonts w:ascii="Arial" w:hAnsi="Arial" w:cs="Arial"/>
          <w:sz w:val="24"/>
          <w:szCs w:val="24"/>
        </w:rPr>
        <w:t>reward</w:t>
      </w:r>
      <w:r w:rsidR="00C31D01" w:rsidRPr="6408D7D1">
        <w:rPr>
          <w:rStyle w:val="cf01"/>
          <w:rFonts w:ascii="Arial" w:hAnsi="Arial" w:cs="Arial"/>
          <w:sz w:val="24"/>
          <w:szCs w:val="24"/>
        </w:rPr>
        <w:t>)</w:t>
      </w:r>
      <w:r w:rsidR="00F750C0">
        <w:rPr>
          <w:rStyle w:val="cf01"/>
          <w:rFonts w:ascii="Arial" w:hAnsi="Arial" w:cs="Arial"/>
          <w:sz w:val="24"/>
          <w:szCs w:val="24"/>
        </w:rPr>
        <w:t>,</w:t>
      </w:r>
      <w:r w:rsidR="00C31D01" w:rsidRPr="6408D7D1">
        <w:rPr>
          <w:rStyle w:val="cf01"/>
          <w:rFonts w:ascii="Arial" w:hAnsi="Arial" w:cs="Arial"/>
          <w:sz w:val="24"/>
          <w:szCs w:val="24"/>
        </w:rPr>
        <w:t xml:space="preserve"> others </w:t>
      </w:r>
      <w:r w:rsidR="00C84D89" w:rsidRPr="6408D7D1">
        <w:rPr>
          <w:rStyle w:val="cf01"/>
          <w:rFonts w:ascii="Arial" w:hAnsi="Arial" w:cs="Arial"/>
          <w:sz w:val="24"/>
          <w:szCs w:val="24"/>
        </w:rPr>
        <w:t xml:space="preserve">feared losing marks (penalty). </w:t>
      </w:r>
      <w:r w:rsidR="00C31D01" w:rsidRPr="6408D7D1">
        <w:rPr>
          <w:rStyle w:val="cf01"/>
          <w:rFonts w:ascii="Arial" w:hAnsi="Arial" w:cs="Arial"/>
          <w:sz w:val="24"/>
          <w:szCs w:val="24"/>
        </w:rPr>
        <w:t xml:space="preserve">Students were encouraged to discuss their homework together, </w:t>
      </w:r>
      <w:r w:rsidR="00FE343B">
        <w:rPr>
          <w:rStyle w:val="cf01"/>
          <w:rFonts w:ascii="Arial" w:hAnsi="Arial" w:cs="Arial"/>
          <w:sz w:val="24"/>
          <w:szCs w:val="24"/>
        </w:rPr>
        <w:t>making it transparent</w:t>
      </w:r>
      <w:r w:rsidR="00C31D01" w:rsidRPr="6408D7D1">
        <w:rPr>
          <w:rStyle w:val="cf01"/>
          <w:rFonts w:ascii="Arial" w:hAnsi="Arial" w:cs="Arial"/>
          <w:sz w:val="24"/>
          <w:szCs w:val="24"/>
        </w:rPr>
        <w:t xml:space="preserve"> if they </w:t>
      </w:r>
      <w:r w:rsidR="004224B7">
        <w:rPr>
          <w:rStyle w:val="cf01"/>
          <w:rFonts w:ascii="Arial" w:hAnsi="Arial" w:cs="Arial"/>
          <w:sz w:val="24"/>
          <w:szCs w:val="24"/>
        </w:rPr>
        <w:t>had not completed it</w:t>
      </w:r>
      <w:r w:rsidR="0061123A">
        <w:rPr>
          <w:rStyle w:val="cf01"/>
          <w:rFonts w:ascii="Arial" w:hAnsi="Arial" w:cs="Arial"/>
          <w:sz w:val="24"/>
          <w:szCs w:val="24"/>
        </w:rPr>
        <w:t>.</w:t>
      </w:r>
      <w:r w:rsidR="00C31D01" w:rsidRPr="6408D7D1">
        <w:rPr>
          <w:rStyle w:val="cf01"/>
          <w:rFonts w:ascii="Arial" w:hAnsi="Arial" w:cs="Arial"/>
          <w:sz w:val="24"/>
          <w:szCs w:val="24"/>
        </w:rPr>
        <w:t xml:space="preserve"> </w:t>
      </w:r>
      <w:r>
        <w:rPr>
          <w:rStyle w:val="cf01"/>
          <w:rFonts w:ascii="Arial" w:hAnsi="Arial" w:cs="Arial"/>
          <w:sz w:val="24"/>
          <w:szCs w:val="24"/>
        </w:rPr>
        <w:t xml:space="preserve">Students also completed a </w:t>
      </w:r>
      <w:r w:rsidR="00CD0E65" w:rsidRPr="6408D7D1">
        <w:rPr>
          <w:rStyle w:val="cf01"/>
          <w:rFonts w:ascii="Arial" w:hAnsi="Arial" w:cs="Arial"/>
          <w:sz w:val="24"/>
          <w:szCs w:val="24"/>
        </w:rPr>
        <w:t xml:space="preserve">self-reporting sheet </w:t>
      </w:r>
      <w:r>
        <w:rPr>
          <w:rStyle w:val="cf01"/>
          <w:rFonts w:ascii="Arial" w:hAnsi="Arial" w:cs="Arial"/>
          <w:sz w:val="24"/>
          <w:szCs w:val="24"/>
        </w:rPr>
        <w:t xml:space="preserve">about their engagement with the homework which was </w:t>
      </w:r>
      <w:r w:rsidR="00CD0E65" w:rsidRPr="6408D7D1">
        <w:rPr>
          <w:rStyle w:val="cf01"/>
          <w:rFonts w:ascii="Arial" w:hAnsi="Arial" w:cs="Arial"/>
          <w:sz w:val="24"/>
          <w:szCs w:val="24"/>
        </w:rPr>
        <w:t>passed around</w:t>
      </w:r>
      <w:r w:rsidR="00C30E68" w:rsidRPr="6408D7D1">
        <w:rPr>
          <w:rStyle w:val="cf01"/>
          <w:rFonts w:ascii="Arial" w:hAnsi="Arial" w:cs="Arial"/>
          <w:sz w:val="24"/>
          <w:szCs w:val="24"/>
        </w:rPr>
        <w:t xml:space="preserve"> </w:t>
      </w:r>
      <w:r>
        <w:rPr>
          <w:rStyle w:val="cf01"/>
          <w:rFonts w:ascii="Arial" w:hAnsi="Arial" w:cs="Arial"/>
          <w:sz w:val="24"/>
          <w:szCs w:val="24"/>
        </w:rPr>
        <w:t xml:space="preserve">and visible to everyone in </w:t>
      </w:r>
      <w:r w:rsidR="00645435">
        <w:rPr>
          <w:rStyle w:val="cf01"/>
          <w:rFonts w:ascii="Arial" w:hAnsi="Arial" w:cs="Arial"/>
          <w:sz w:val="24"/>
          <w:szCs w:val="24"/>
        </w:rPr>
        <w:t>each session</w:t>
      </w:r>
      <w:r w:rsidR="00C84D89" w:rsidRPr="6408D7D1">
        <w:rPr>
          <w:rStyle w:val="cf01"/>
          <w:rFonts w:ascii="Arial" w:hAnsi="Arial" w:cs="Arial"/>
          <w:sz w:val="24"/>
          <w:szCs w:val="24"/>
        </w:rPr>
        <w:t xml:space="preserve">. </w:t>
      </w:r>
      <w:r w:rsidR="00796E73">
        <w:rPr>
          <w:rStyle w:val="cf01"/>
          <w:rFonts w:ascii="Arial" w:hAnsi="Arial" w:cs="Arial"/>
          <w:sz w:val="24"/>
          <w:szCs w:val="24"/>
        </w:rPr>
        <w:t>W</w:t>
      </w:r>
      <w:r w:rsidR="00A36810">
        <w:rPr>
          <w:rStyle w:val="cf01"/>
          <w:rFonts w:ascii="Arial" w:hAnsi="Arial" w:cs="Arial"/>
          <w:sz w:val="24"/>
          <w:szCs w:val="24"/>
        </w:rPr>
        <w:t>e</w:t>
      </w:r>
      <w:r w:rsidR="00796E73">
        <w:rPr>
          <w:rStyle w:val="cf01"/>
          <w:rFonts w:ascii="Arial" w:hAnsi="Arial" w:cs="Arial"/>
          <w:sz w:val="24"/>
          <w:szCs w:val="24"/>
        </w:rPr>
        <w:t xml:space="preserve"> explained the purpose</w:t>
      </w:r>
      <w:r w:rsidR="00BB7678">
        <w:rPr>
          <w:rStyle w:val="cf01"/>
          <w:rFonts w:ascii="Arial" w:hAnsi="Arial" w:cs="Arial"/>
          <w:sz w:val="24"/>
          <w:szCs w:val="24"/>
        </w:rPr>
        <w:t>, l</w:t>
      </w:r>
      <w:r w:rsidR="00796E73">
        <w:rPr>
          <w:rStyle w:val="cf01"/>
          <w:rFonts w:ascii="Arial" w:hAnsi="Arial" w:cs="Arial"/>
          <w:sz w:val="24"/>
          <w:szCs w:val="24"/>
        </w:rPr>
        <w:t xml:space="preserve">ogic and benefit of this </w:t>
      </w:r>
      <w:r w:rsidR="00E21D8A">
        <w:rPr>
          <w:rStyle w:val="cf01"/>
          <w:rFonts w:ascii="Arial" w:hAnsi="Arial" w:cs="Arial"/>
          <w:sz w:val="24"/>
          <w:szCs w:val="24"/>
        </w:rPr>
        <w:t xml:space="preserve">process </w:t>
      </w:r>
      <w:r w:rsidR="001562A7">
        <w:rPr>
          <w:rStyle w:val="cf01"/>
          <w:rFonts w:ascii="Arial" w:hAnsi="Arial" w:cs="Arial"/>
          <w:sz w:val="24"/>
          <w:szCs w:val="24"/>
        </w:rPr>
        <w:t>upfront,</w:t>
      </w:r>
      <w:r w:rsidR="00796E73">
        <w:rPr>
          <w:rStyle w:val="cf01"/>
          <w:rFonts w:ascii="Arial" w:hAnsi="Arial" w:cs="Arial"/>
          <w:sz w:val="24"/>
          <w:szCs w:val="24"/>
        </w:rPr>
        <w:t xml:space="preserve"> and no student </w:t>
      </w:r>
      <w:r w:rsidR="002A5E35">
        <w:rPr>
          <w:rStyle w:val="cf01"/>
          <w:rFonts w:ascii="Arial" w:hAnsi="Arial" w:cs="Arial"/>
          <w:sz w:val="24"/>
          <w:szCs w:val="24"/>
        </w:rPr>
        <w:t>concerns were raised</w:t>
      </w:r>
      <w:r>
        <w:rPr>
          <w:rStyle w:val="cf01"/>
          <w:rFonts w:ascii="Arial" w:hAnsi="Arial" w:cs="Arial"/>
          <w:sz w:val="24"/>
          <w:szCs w:val="24"/>
        </w:rPr>
        <w:t>.</w:t>
      </w:r>
    </w:p>
    <w:p w14:paraId="271BBA99" w14:textId="445FA518" w:rsidR="00C84D89" w:rsidRDefault="00DA19AC" w:rsidP="00C31D01">
      <w:pPr>
        <w:spacing w:line="360" w:lineRule="auto"/>
        <w:outlineLvl w:val="0"/>
        <w:rPr>
          <w:rStyle w:val="cf01"/>
          <w:rFonts w:ascii="Arial" w:hAnsi="Arial" w:cs="Arial"/>
          <w:sz w:val="24"/>
          <w:szCs w:val="24"/>
        </w:rPr>
      </w:pPr>
      <w:r w:rsidRPr="6408D7D1">
        <w:rPr>
          <w:rFonts w:ascii="Arial" w:hAnsi="Arial" w:cs="Arial"/>
          <w:sz w:val="24"/>
          <w:szCs w:val="24"/>
        </w:rPr>
        <w:t xml:space="preserve">The module ran weekly across a semester meaning homework was completed weekly, assisting students </w:t>
      </w:r>
      <w:r w:rsidR="00A07EF5">
        <w:rPr>
          <w:rFonts w:ascii="Arial" w:hAnsi="Arial" w:cs="Arial"/>
          <w:sz w:val="24"/>
          <w:szCs w:val="24"/>
        </w:rPr>
        <w:t xml:space="preserve">to </w:t>
      </w:r>
      <w:r w:rsidRPr="6408D7D1">
        <w:rPr>
          <w:rFonts w:ascii="Arial" w:hAnsi="Arial" w:cs="Arial"/>
          <w:sz w:val="24"/>
          <w:szCs w:val="24"/>
        </w:rPr>
        <w:t>manage their time effectively and maintain motivation. This was a deliberate design feature, supporting students to make consistent progress rather than one formal assessment</w:t>
      </w:r>
      <w:r w:rsidR="00197CFF">
        <w:rPr>
          <w:rFonts w:ascii="Arial" w:hAnsi="Arial" w:cs="Arial"/>
          <w:sz w:val="24"/>
          <w:szCs w:val="24"/>
        </w:rPr>
        <w:t xml:space="preserve"> at the end</w:t>
      </w:r>
      <w:r w:rsidRPr="6408D7D1">
        <w:rPr>
          <w:rFonts w:ascii="Arial" w:hAnsi="Arial" w:cs="Arial"/>
          <w:sz w:val="24"/>
          <w:szCs w:val="24"/>
        </w:rPr>
        <w:t>. Indeed, th</w:t>
      </w:r>
      <w:r w:rsidR="001E5F84">
        <w:rPr>
          <w:rFonts w:ascii="Arial" w:hAnsi="Arial" w:cs="Arial"/>
          <w:sz w:val="24"/>
          <w:szCs w:val="24"/>
        </w:rPr>
        <w:t>is</w:t>
      </w:r>
      <w:r w:rsidRPr="6408D7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‘</w:t>
      </w:r>
      <w:r w:rsidRPr="6408D7D1">
        <w:rPr>
          <w:rFonts w:ascii="Arial" w:hAnsi="Arial" w:cs="Arial"/>
          <w:sz w:val="24"/>
          <w:szCs w:val="24"/>
        </w:rPr>
        <w:t>slow and steady</w:t>
      </w:r>
      <w:r>
        <w:rPr>
          <w:rFonts w:ascii="Arial" w:hAnsi="Arial" w:cs="Arial"/>
          <w:sz w:val="24"/>
          <w:szCs w:val="24"/>
        </w:rPr>
        <w:t>’</w:t>
      </w:r>
      <w:r w:rsidRPr="6408D7D1">
        <w:rPr>
          <w:rFonts w:ascii="Arial" w:hAnsi="Arial" w:cs="Arial"/>
          <w:sz w:val="24"/>
          <w:szCs w:val="24"/>
        </w:rPr>
        <w:t xml:space="preserve"> approach to employability was </w:t>
      </w:r>
      <w:r w:rsidR="001E5F84">
        <w:rPr>
          <w:rFonts w:ascii="Arial" w:hAnsi="Arial" w:cs="Arial"/>
          <w:sz w:val="24"/>
          <w:szCs w:val="24"/>
        </w:rPr>
        <w:t xml:space="preserve">actively </w:t>
      </w:r>
      <w:r w:rsidR="00197CFF" w:rsidRPr="6408D7D1">
        <w:rPr>
          <w:rFonts w:ascii="Arial" w:hAnsi="Arial" w:cs="Arial"/>
          <w:sz w:val="24"/>
          <w:szCs w:val="24"/>
        </w:rPr>
        <w:t>encouraged</w:t>
      </w:r>
      <w:r w:rsidR="00B76490">
        <w:rPr>
          <w:rFonts w:ascii="Arial" w:hAnsi="Arial" w:cs="Arial"/>
          <w:sz w:val="24"/>
          <w:szCs w:val="24"/>
        </w:rPr>
        <w:t xml:space="preserve">. </w:t>
      </w:r>
      <w:r w:rsidR="00C84D89" w:rsidRPr="6408D7D1">
        <w:rPr>
          <w:rStyle w:val="cf01"/>
          <w:rFonts w:ascii="Arial" w:hAnsi="Arial" w:cs="Arial"/>
          <w:sz w:val="24"/>
          <w:szCs w:val="24"/>
        </w:rPr>
        <w:t>Overall, with the right mix of alignment and incentives</w:t>
      </w:r>
      <w:r w:rsidR="00CB1BB7">
        <w:rPr>
          <w:rStyle w:val="cf01"/>
          <w:rFonts w:ascii="Arial" w:hAnsi="Arial" w:cs="Arial"/>
          <w:sz w:val="24"/>
          <w:szCs w:val="24"/>
        </w:rPr>
        <w:t>,</w:t>
      </w:r>
      <w:r w:rsidR="00C84D89" w:rsidRPr="6408D7D1">
        <w:rPr>
          <w:rStyle w:val="cf01"/>
          <w:rFonts w:ascii="Arial" w:hAnsi="Arial" w:cs="Arial"/>
          <w:sz w:val="24"/>
          <w:szCs w:val="24"/>
        </w:rPr>
        <w:t xml:space="preserve"> student feedback indicated that they valued and enjoyed the </w:t>
      </w:r>
      <w:r w:rsidR="00401143">
        <w:rPr>
          <w:rStyle w:val="cf01"/>
          <w:rFonts w:ascii="Arial" w:hAnsi="Arial" w:cs="Arial"/>
          <w:sz w:val="24"/>
          <w:szCs w:val="24"/>
        </w:rPr>
        <w:t xml:space="preserve">regular </w:t>
      </w:r>
      <w:r w:rsidR="00C84D89" w:rsidRPr="6408D7D1">
        <w:rPr>
          <w:rStyle w:val="cf01"/>
          <w:rFonts w:ascii="Arial" w:hAnsi="Arial" w:cs="Arial"/>
          <w:sz w:val="24"/>
          <w:szCs w:val="24"/>
        </w:rPr>
        <w:t xml:space="preserve">homework: </w:t>
      </w:r>
    </w:p>
    <w:p w14:paraId="51145BFD" w14:textId="1EC0ABF7" w:rsidR="00C31D01" w:rsidRDefault="00582058" w:rsidP="00C31D01">
      <w:pPr>
        <w:spacing w:line="360" w:lineRule="auto"/>
        <w:outlineLvl w:val="0"/>
        <w:rPr>
          <w:rFonts w:ascii="Arial" w:hAnsi="Arial" w:cs="Arial"/>
          <w:bCs/>
          <w:sz w:val="24"/>
          <w:szCs w:val="24"/>
        </w:rPr>
      </w:pPr>
      <w:r>
        <w:rPr>
          <w:rStyle w:val="cf01"/>
          <w:rFonts w:ascii="Arial" w:hAnsi="Arial" w:cs="Arial"/>
          <w:sz w:val="24"/>
          <w:szCs w:val="24"/>
        </w:rPr>
        <w:tab/>
      </w:r>
      <w:r w:rsidR="00C31D01">
        <w:rPr>
          <w:rFonts w:ascii="Arial" w:hAnsi="Arial" w:cs="Arial"/>
          <w:bCs/>
          <w:i/>
          <w:iCs/>
          <w:sz w:val="24"/>
          <w:szCs w:val="24"/>
        </w:rPr>
        <w:t>‘</w:t>
      </w:r>
      <w:r w:rsidR="00C31D01" w:rsidRPr="004A5B11">
        <w:rPr>
          <w:rFonts w:ascii="Arial" w:hAnsi="Arial" w:cs="Arial"/>
          <w:bCs/>
          <w:i/>
          <w:iCs/>
          <w:sz w:val="24"/>
          <w:szCs w:val="24"/>
        </w:rPr>
        <w:t>The weekly homework tasks were manageable and useful</w:t>
      </w:r>
      <w:r w:rsidR="00C31D01">
        <w:rPr>
          <w:rFonts w:ascii="Arial" w:hAnsi="Arial" w:cs="Arial"/>
          <w:bCs/>
          <w:i/>
          <w:iCs/>
          <w:sz w:val="24"/>
          <w:szCs w:val="24"/>
        </w:rPr>
        <w:t>’</w:t>
      </w:r>
      <w:r w:rsidR="00C31D01" w:rsidRPr="00C7133A">
        <w:rPr>
          <w:rFonts w:ascii="Arial" w:hAnsi="Arial" w:cs="Arial"/>
          <w:bCs/>
          <w:sz w:val="24"/>
          <w:szCs w:val="24"/>
        </w:rPr>
        <w:t xml:space="preserve"> </w:t>
      </w:r>
    </w:p>
    <w:p w14:paraId="1519E110" w14:textId="77777777" w:rsidR="00C31D01" w:rsidRDefault="00C31D01" w:rsidP="00582058">
      <w:pPr>
        <w:spacing w:line="360" w:lineRule="auto"/>
        <w:ind w:left="720"/>
        <w:outlineLvl w:val="0"/>
        <w:rPr>
          <w:rFonts w:ascii="Arial" w:hAnsi="Arial" w:cs="Arial"/>
          <w:bCs/>
          <w:sz w:val="24"/>
          <w:szCs w:val="24"/>
        </w:rPr>
      </w:pPr>
      <w:r w:rsidRPr="004A5B11">
        <w:rPr>
          <w:rFonts w:ascii="Arial" w:hAnsi="Arial" w:cs="Arial"/>
          <w:bCs/>
          <w:i/>
          <w:iCs/>
          <w:sz w:val="24"/>
          <w:szCs w:val="24"/>
        </w:rPr>
        <w:t>‘The weekly homework forced you to think about your employability/life after university which was beneficial.’</w:t>
      </w:r>
      <w:r w:rsidRPr="004A5B11">
        <w:rPr>
          <w:rFonts w:ascii="Arial" w:hAnsi="Arial" w:cs="Arial"/>
          <w:bCs/>
          <w:sz w:val="24"/>
          <w:szCs w:val="24"/>
        </w:rPr>
        <w:t xml:space="preserve"> </w:t>
      </w:r>
    </w:p>
    <w:p w14:paraId="2679905F" w14:textId="62E716D3" w:rsidR="004C4CD4" w:rsidRDefault="00877795" w:rsidP="6408D7D1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f</w:t>
      </w:r>
      <w:r w:rsidR="002546B5" w:rsidRPr="6408D7D1">
        <w:rPr>
          <w:rFonts w:ascii="Arial" w:hAnsi="Arial" w:cs="Arial"/>
          <w:sz w:val="24"/>
          <w:szCs w:val="24"/>
        </w:rPr>
        <w:t xml:space="preserve">eedback </w:t>
      </w:r>
      <w:r>
        <w:rPr>
          <w:rFonts w:ascii="Arial" w:hAnsi="Arial" w:cs="Arial"/>
          <w:sz w:val="24"/>
          <w:szCs w:val="24"/>
        </w:rPr>
        <w:t xml:space="preserve">showed that they </w:t>
      </w:r>
      <w:r w:rsidRPr="6408D7D1">
        <w:rPr>
          <w:rFonts w:ascii="Arial" w:hAnsi="Arial" w:cs="Arial"/>
          <w:sz w:val="24"/>
          <w:szCs w:val="24"/>
        </w:rPr>
        <w:t>particularly</w:t>
      </w:r>
      <w:r w:rsidR="007325D8" w:rsidRPr="6408D7D1">
        <w:rPr>
          <w:rFonts w:ascii="Arial" w:hAnsi="Arial" w:cs="Arial"/>
          <w:sz w:val="24"/>
          <w:szCs w:val="24"/>
        </w:rPr>
        <w:t xml:space="preserve"> valued </w:t>
      </w:r>
      <w:r w:rsidR="00401143">
        <w:rPr>
          <w:rFonts w:ascii="Arial" w:hAnsi="Arial" w:cs="Arial"/>
          <w:sz w:val="24"/>
          <w:szCs w:val="24"/>
        </w:rPr>
        <w:t xml:space="preserve">the </w:t>
      </w:r>
      <w:r w:rsidR="00A23400">
        <w:rPr>
          <w:rFonts w:ascii="Arial" w:hAnsi="Arial" w:cs="Arial"/>
          <w:sz w:val="24"/>
          <w:szCs w:val="24"/>
        </w:rPr>
        <w:t>module</w:t>
      </w:r>
      <w:r>
        <w:rPr>
          <w:rFonts w:ascii="Arial" w:hAnsi="Arial" w:cs="Arial"/>
          <w:sz w:val="24"/>
          <w:szCs w:val="24"/>
        </w:rPr>
        <w:t>’s</w:t>
      </w:r>
      <w:r w:rsidR="007325D8" w:rsidRPr="6408D7D1">
        <w:rPr>
          <w:rFonts w:ascii="Arial" w:hAnsi="Arial" w:cs="Arial"/>
          <w:sz w:val="24"/>
          <w:szCs w:val="24"/>
        </w:rPr>
        <w:t xml:space="preserve"> emphasis on practical activities</w:t>
      </w:r>
      <w:r w:rsidR="002546B5" w:rsidRPr="6408D7D1">
        <w:rPr>
          <w:rFonts w:ascii="Arial" w:hAnsi="Arial" w:cs="Arial"/>
          <w:sz w:val="24"/>
          <w:szCs w:val="24"/>
        </w:rPr>
        <w:t xml:space="preserve"> </w:t>
      </w:r>
      <w:r w:rsidR="000454DE" w:rsidRPr="6408D7D1">
        <w:rPr>
          <w:rFonts w:ascii="Arial" w:hAnsi="Arial" w:cs="Arial"/>
          <w:sz w:val="24"/>
          <w:szCs w:val="24"/>
        </w:rPr>
        <w:t xml:space="preserve">(e.g. </w:t>
      </w:r>
      <w:r w:rsidR="002546B5" w:rsidRPr="6408D7D1">
        <w:rPr>
          <w:rFonts w:ascii="Arial" w:hAnsi="Arial" w:cs="Arial"/>
          <w:sz w:val="24"/>
          <w:szCs w:val="24"/>
        </w:rPr>
        <w:t>CVs and personal statements</w:t>
      </w:r>
      <w:r w:rsidR="002C328C">
        <w:rPr>
          <w:rFonts w:ascii="Arial" w:hAnsi="Arial" w:cs="Arial"/>
          <w:sz w:val="24"/>
          <w:szCs w:val="24"/>
        </w:rPr>
        <w:t>)</w:t>
      </w:r>
      <w:r w:rsidR="002546B5" w:rsidRPr="6408D7D1">
        <w:rPr>
          <w:rFonts w:ascii="Arial" w:hAnsi="Arial" w:cs="Arial"/>
          <w:sz w:val="24"/>
          <w:szCs w:val="24"/>
        </w:rPr>
        <w:t xml:space="preserve">. </w:t>
      </w:r>
      <w:r w:rsidR="007325D8" w:rsidRPr="6408D7D1">
        <w:rPr>
          <w:rFonts w:ascii="Arial" w:hAnsi="Arial" w:cs="Arial"/>
          <w:sz w:val="24"/>
          <w:szCs w:val="24"/>
        </w:rPr>
        <w:t xml:space="preserve">Many reported they were </w:t>
      </w:r>
      <w:r w:rsidR="00BB0171" w:rsidRPr="6408D7D1">
        <w:rPr>
          <w:rFonts w:ascii="Arial" w:hAnsi="Arial" w:cs="Arial"/>
          <w:sz w:val="24"/>
          <w:szCs w:val="24"/>
        </w:rPr>
        <w:t>receiving</w:t>
      </w:r>
      <w:r w:rsidR="007325D8" w:rsidRPr="6408D7D1">
        <w:rPr>
          <w:rFonts w:ascii="Arial" w:hAnsi="Arial" w:cs="Arial"/>
          <w:sz w:val="24"/>
          <w:szCs w:val="24"/>
        </w:rPr>
        <w:t xml:space="preserve"> credit for </w:t>
      </w:r>
      <w:r w:rsidR="00F2464B">
        <w:rPr>
          <w:rFonts w:ascii="Arial" w:hAnsi="Arial" w:cs="Arial"/>
          <w:sz w:val="24"/>
          <w:szCs w:val="24"/>
        </w:rPr>
        <w:t>activities</w:t>
      </w:r>
      <w:r w:rsidR="007325D8" w:rsidRPr="6408D7D1">
        <w:rPr>
          <w:rFonts w:ascii="Arial" w:hAnsi="Arial" w:cs="Arial"/>
          <w:sz w:val="24"/>
          <w:szCs w:val="24"/>
        </w:rPr>
        <w:t xml:space="preserve"> they knew they </w:t>
      </w:r>
      <w:r w:rsidR="00ED00C8" w:rsidRPr="6408D7D1">
        <w:rPr>
          <w:rFonts w:ascii="Arial" w:hAnsi="Arial" w:cs="Arial"/>
          <w:sz w:val="24"/>
          <w:szCs w:val="24"/>
        </w:rPr>
        <w:t>ought to</w:t>
      </w:r>
      <w:r w:rsidR="007325D8" w:rsidRPr="6408D7D1">
        <w:rPr>
          <w:rFonts w:ascii="Arial" w:hAnsi="Arial" w:cs="Arial"/>
          <w:sz w:val="24"/>
          <w:szCs w:val="24"/>
        </w:rPr>
        <w:t xml:space="preserve"> be doing anyway. </w:t>
      </w:r>
      <w:r w:rsidR="00795A1C" w:rsidRPr="6408D7D1">
        <w:rPr>
          <w:rFonts w:ascii="Arial" w:hAnsi="Arial" w:cs="Arial"/>
          <w:sz w:val="24"/>
          <w:szCs w:val="24"/>
        </w:rPr>
        <w:t>In contrast, if students attend</w:t>
      </w:r>
      <w:r w:rsidR="00AE365C">
        <w:rPr>
          <w:rFonts w:ascii="Arial" w:hAnsi="Arial" w:cs="Arial"/>
          <w:sz w:val="24"/>
          <w:szCs w:val="24"/>
        </w:rPr>
        <w:t>ed</w:t>
      </w:r>
      <w:r w:rsidR="00795A1C" w:rsidRPr="6408D7D1">
        <w:rPr>
          <w:rFonts w:ascii="Arial" w:hAnsi="Arial" w:cs="Arial"/>
          <w:sz w:val="24"/>
          <w:szCs w:val="24"/>
        </w:rPr>
        <w:t xml:space="preserve"> a central careers service workshop, this </w:t>
      </w:r>
      <w:r w:rsidR="00A30E52">
        <w:rPr>
          <w:rFonts w:ascii="Arial" w:hAnsi="Arial" w:cs="Arial"/>
          <w:sz w:val="24"/>
          <w:szCs w:val="24"/>
        </w:rPr>
        <w:t>was</w:t>
      </w:r>
      <w:r w:rsidR="00A30E52" w:rsidRPr="6408D7D1">
        <w:rPr>
          <w:rFonts w:ascii="Arial" w:hAnsi="Arial" w:cs="Arial"/>
          <w:sz w:val="24"/>
          <w:szCs w:val="24"/>
        </w:rPr>
        <w:t xml:space="preserve"> </w:t>
      </w:r>
      <w:r w:rsidR="00795A1C" w:rsidRPr="6408D7D1">
        <w:rPr>
          <w:rFonts w:ascii="Arial" w:hAnsi="Arial" w:cs="Arial"/>
          <w:sz w:val="24"/>
          <w:szCs w:val="24"/>
        </w:rPr>
        <w:t>optional</w:t>
      </w:r>
      <w:r w:rsidR="00A07EF5">
        <w:rPr>
          <w:rFonts w:ascii="Arial" w:hAnsi="Arial" w:cs="Arial"/>
          <w:sz w:val="24"/>
          <w:szCs w:val="24"/>
        </w:rPr>
        <w:t xml:space="preserve">, </w:t>
      </w:r>
      <w:r w:rsidR="00795A1C" w:rsidRPr="6408D7D1">
        <w:rPr>
          <w:rFonts w:ascii="Arial" w:hAnsi="Arial" w:cs="Arial"/>
          <w:sz w:val="24"/>
          <w:szCs w:val="24"/>
        </w:rPr>
        <w:t xml:space="preserve">non-credit bearing and perceived as less tailored to their individual circumstances. </w:t>
      </w:r>
      <w:r w:rsidR="002546B5" w:rsidRPr="6408D7D1">
        <w:rPr>
          <w:rFonts w:ascii="Arial" w:hAnsi="Arial" w:cs="Arial"/>
          <w:sz w:val="24"/>
          <w:szCs w:val="24"/>
        </w:rPr>
        <w:t xml:space="preserve">Frequent interaction </w:t>
      </w:r>
      <w:r w:rsidR="0021038C">
        <w:rPr>
          <w:rFonts w:ascii="Arial" w:hAnsi="Arial" w:cs="Arial"/>
          <w:sz w:val="24"/>
          <w:szCs w:val="24"/>
        </w:rPr>
        <w:t>with</w:t>
      </w:r>
      <w:r w:rsidR="002546B5" w:rsidRPr="6408D7D1">
        <w:rPr>
          <w:rFonts w:ascii="Arial" w:hAnsi="Arial" w:cs="Arial"/>
          <w:sz w:val="24"/>
          <w:szCs w:val="24"/>
        </w:rPr>
        <w:t xml:space="preserve">in the module </w:t>
      </w:r>
      <w:r w:rsidR="005F10EF" w:rsidRPr="6408D7D1">
        <w:rPr>
          <w:rFonts w:ascii="Arial" w:hAnsi="Arial" w:cs="Arial"/>
          <w:sz w:val="24"/>
          <w:szCs w:val="24"/>
        </w:rPr>
        <w:t xml:space="preserve">also </w:t>
      </w:r>
      <w:r w:rsidR="002546B5" w:rsidRPr="6408D7D1">
        <w:rPr>
          <w:rFonts w:ascii="Arial" w:hAnsi="Arial" w:cs="Arial"/>
          <w:sz w:val="24"/>
          <w:szCs w:val="24"/>
        </w:rPr>
        <w:t>generated</w:t>
      </w:r>
      <w:r w:rsidR="005F10EF" w:rsidRPr="6408D7D1">
        <w:rPr>
          <w:rFonts w:ascii="Arial" w:hAnsi="Arial" w:cs="Arial"/>
          <w:sz w:val="24"/>
          <w:szCs w:val="24"/>
        </w:rPr>
        <w:t xml:space="preserve"> </w:t>
      </w:r>
      <w:r w:rsidR="002546B5" w:rsidRPr="6408D7D1">
        <w:rPr>
          <w:rFonts w:ascii="Arial" w:hAnsi="Arial" w:cs="Arial"/>
          <w:sz w:val="24"/>
          <w:szCs w:val="24"/>
        </w:rPr>
        <w:t>trust between students and the teaching team</w:t>
      </w:r>
      <w:r w:rsidR="00F2464B">
        <w:rPr>
          <w:rFonts w:ascii="Arial" w:hAnsi="Arial" w:cs="Arial"/>
          <w:sz w:val="24"/>
          <w:szCs w:val="24"/>
        </w:rPr>
        <w:t>. O</w:t>
      </w:r>
      <w:r w:rsidR="002546B5" w:rsidRPr="6408D7D1">
        <w:rPr>
          <w:rFonts w:ascii="Arial" w:hAnsi="Arial" w:cs="Arial"/>
          <w:sz w:val="24"/>
          <w:szCs w:val="24"/>
        </w:rPr>
        <w:t xml:space="preserve">nce students </w:t>
      </w:r>
      <w:r w:rsidR="003F297F" w:rsidRPr="6408D7D1">
        <w:rPr>
          <w:rFonts w:ascii="Arial" w:hAnsi="Arial" w:cs="Arial"/>
          <w:sz w:val="24"/>
          <w:szCs w:val="24"/>
        </w:rPr>
        <w:t>felt</w:t>
      </w:r>
      <w:r w:rsidR="002546B5" w:rsidRPr="6408D7D1">
        <w:rPr>
          <w:rFonts w:ascii="Arial" w:hAnsi="Arial" w:cs="Arial"/>
          <w:sz w:val="24"/>
          <w:szCs w:val="24"/>
        </w:rPr>
        <w:t xml:space="preserve"> </w:t>
      </w:r>
      <w:r w:rsidR="00795A1C" w:rsidRPr="6408D7D1">
        <w:rPr>
          <w:rFonts w:ascii="Arial" w:hAnsi="Arial" w:cs="Arial"/>
          <w:sz w:val="24"/>
          <w:szCs w:val="24"/>
        </w:rPr>
        <w:t>comfortable</w:t>
      </w:r>
      <w:r w:rsidR="003F297F" w:rsidRPr="6408D7D1">
        <w:rPr>
          <w:rFonts w:ascii="Arial" w:hAnsi="Arial" w:cs="Arial"/>
          <w:sz w:val="24"/>
          <w:szCs w:val="24"/>
        </w:rPr>
        <w:t>,</w:t>
      </w:r>
      <w:r w:rsidR="00795A1C" w:rsidRPr="6408D7D1">
        <w:rPr>
          <w:rFonts w:ascii="Arial" w:hAnsi="Arial" w:cs="Arial"/>
          <w:sz w:val="24"/>
          <w:szCs w:val="24"/>
        </w:rPr>
        <w:t xml:space="preserve"> </w:t>
      </w:r>
      <w:r w:rsidR="002546B5" w:rsidRPr="6408D7D1">
        <w:rPr>
          <w:rFonts w:ascii="Arial" w:hAnsi="Arial" w:cs="Arial"/>
          <w:sz w:val="24"/>
          <w:szCs w:val="24"/>
        </w:rPr>
        <w:t xml:space="preserve">many requested </w:t>
      </w:r>
      <w:r w:rsidR="00F2464B">
        <w:rPr>
          <w:rFonts w:ascii="Arial" w:hAnsi="Arial" w:cs="Arial"/>
          <w:sz w:val="24"/>
          <w:szCs w:val="24"/>
        </w:rPr>
        <w:t xml:space="preserve">subsequent </w:t>
      </w:r>
      <w:r w:rsidR="004C4CD4" w:rsidRPr="6408D7D1">
        <w:rPr>
          <w:rFonts w:ascii="Arial" w:hAnsi="Arial" w:cs="Arial"/>
          <w:sz w:val="24"/>
          <w:szCs w:val="24"/>
        </w:rPr>
        <w:t xml:space="preserve">one-to-one appointments </w:t>
      </w:r>
      <w:r w:rsidR="00417FA6" w:rsidRPr="6408D7D1">
        <w:rPr>
          <w:rFonts w:ascii="Arial" w:hAnsi="Arial" w:cs="Arial"/>
          <w:sz w:val="24"/>
          <w:szCs w:val="24"/>
        </w:rPr>
        <w:t xml:space="preserve">to discuss their </w:t>
      </w:r>
      <w:r w:rsidR="00A30E52">
        <w:rPr>
          <w:rFonts w:ascii="Arial" w:hAnsi="Arial" w:cs="Arial"/>
          <w:sz w:val="24"/>
          <w:szCs w:val="24"/>
        </w:rPr>
        <w:t xml:space="preserve">individual </w:t>
      </w:r>
      <w:r w:rsidR="00E129E8">
        <w:rPr>
          <w:rFonts w:ascii="Arial" w:hAnsi="Arial" w:cs="Arial"/>
          <w:sz w:val="24"/>
          <w:szCs w:val="24"/>
        </w:rPr>
        <w:t xml:space="preserve">career and </w:t>
      </w:r>
      <w:r w:rsidR="00B2189A" w:rsidRPr="6408D7D1">
        <w:rPr>
          <w:rFonts w:ascii="Arial" w:hAnsi="Arial" w:cs="Arial"/>
          <w:sz w:val="24"/>
          <w:szCs w:val="24"/>
        </w:rPr>
        <w:t>future</w:t>
      </w:r>
      <w:r w:rsidR="004C4CD4" w:rsidRPr="6408D7D1">
        <w:rPr>
          <w:rFonts w:ascii="Arial" w:hAnsi="Arial" w:cs="Arial"/>
          <w:sz w:val="24"/>
          <w:szCs w:val="24"/>
        </w:rPr>
        <w:t xml:space="preserve">. </w:t>
      </w:r>
      <w:r w:rsidR="005F10EF" w:rsidRPr="6408D7D1">
        <w:rPr>
          <w:rFonts w:ascii="Arial" w:hAnsi="Arial" w:cs="Arial"/>
          <w:sz w:val="24"/>
          <w:szCs w:val="24"/>
        </w:rPr>
        <w:t>Moreover</w:t>
      </w:r>
      <w:r w:rsidR="00C94ACE" w:rsidRPr="6408D7D1">
        <w:rPr>
          <w:rFonts w:ascii="Arial" w:hAnsi="Arial" w:cs="Arial"/>
          <w:sz w:val="24"/>
          <w:szCs w:val="24"/>
        </w:rPr>
        <w:t xml:space="preserve">, </w:t>
      </w:r>
      <w:r w:rsidR="00C620B8">
        <w:rPr>
          <w:rFonts w:ascii="Arial" w:hAnsi="Arial" w:cs="Arial"/>
          <w:sz w:val="24"/>
          <w:szCs w:val="24"/>
        </w:rPr>
        <w:t xml:space="preserve">there was an associated increase in </w:t>
      </w:r>
      <w:r w:rsidR="08A5C637" w:rsidRPr="6408D7D1">
        <w:rPr>
          <w:rFonts w:ascii="Arial" w:hAnsi="Arial" w:cs="Arial"/>
          <w:sz w:val="24"/>
          <w:szCs w:val="24"/>
        </w:rPr>
        <w:t xml:space="preserve">subject peers </w:t>
      </w:r>
      <w:r w:rsidR="00C94ACE" w:rsidRPr="6408D7D1">
        <w:rPr>
          <w:rFonts w:ascii="Arial" w:hAnsi="Arial" w:cs="Arial"/>
          <w:sz w:val="24"/>
          <w:szCs w:val="24"/>
        </w:rPr>
        <w:t>who had not studied the module</w:t>
      </w:r>
      <w:r w:rsidR="00216185" w:rsidRPr="6408D7D1">
        <w:rPr>
          <w:rFonts w:ascii="Arial" w:hAnsi="Arial" w:cs="Arial"/>
          <w:sz w:val="24"/>
          <w:szCs w:val="24"/>
        </w:rPr>
        <w:t xml:space="preserve"> ask</w:t>
      </w:r>
      <w:r w:rsidR="00C620B8">
        <w:rPr>
          <w:rFonts w:ascii="Arial" w:hAnsi="Arial" w:cs="Arial"/>
          <w:sz w:val="24"/>
          <w:szCs w:val="24"/>
        </w:rPr>
        <w:t>ing</w:t>
      </w:r>
      <w:r w:rsidR="00216185" w:rsidRPr="6408D7D1">
        <w:rPr>
          <w:rFonts w:ascii="Arial" w:hAnsi="Arial" w:cs="Arial"/>
          <w:sz w:val="24"/>
          <w:szCs w:val="24"/>
        </w:rPr>
        <w:t xml:space="preserve"> if they could have career discussion appointments</w:t>
      </w:r>
      <w:r w:rsidR="00294FD5">
        <w:rPr>
          <w:rFonts w:ascii="Arial" w:hAnsi="Arial" w:cs="Arial"/>
          <w:sz w:val="24"/>
          <w:szCs w:val="24"/>
        </w:rPr>
        <w:t>,</w:t>
      </w:r>
      <w:r w:rsidR="002546B5" w:rsidRPr="6408D7D1">
        <w:rPr>
          <w:rFonts w:ascii="Arial" w:hAnsi="Arial" w:cs="Arial"/>
          <w:sz w:val="24"/>
          <w:szCs w:val="24"/>
        </w:rPr>
        <w:t xml:space="preserve"> based on the positive </w:t>
      </w:r>
      <w:r w:rsidR="00970EEB" w:rsidRPr="6408D7D1">
        <w:rPr>
          <w:rFonts w:ascii="Arial" w:hAnsi="Arial" w:cs="Arial"/>
          <w:sz w:val="24"/>
          <w:szCs w:val="24"/>
        </w:rPr>
        <w:t xml:space="preserve">experience </w:t>
      </w:r>
      <w:r w:rsidR="002546B5" w:rsidRPr="6408D7D1">
        <w:rPr>
          <w:rFonts w:ascii="Arial" w:hAnsi="Arial" w:cs="Arial"/>
          <w:sz w:val="24"/>
          <w:szCs w:val="24"/>
        </w:rPr>
        <w:t xml:space="preserve">of </w:t>
      </w:r>
      <w:r w:rsidR="00B2189A" w:rsidRPr="6408D7D1">
        <w:rPr>
          <w:rFonts w:ascii="Arial" w:hAnsi="Arial" w:cs="Arial"/>
          <w:sz w:val="24"/>
          <w:szCs w:val="24"/>
        </w:rPr>
        <w:lastRenderedPageBreak/>
        <w:t xml:space="preserve">module </w:t>
      </w:r>
      <w:r w:rsidR="002546B5" w:rsidRPr="6408D7D1">
        <w:rPr>
          <w:rFonts w:ascii="Arial" w:hAnsi="Arial" w:cs="Arial"/>
          <w:sz w:val="24"/>
          <w:szCs w:val="24"/>
        </w:rPr>
        <w:t>students</w:t>
      </w:r>
      <w:r w:rsidR="00C11888">
        <w:rPr>
          <w:rFonts w:ascii="Arial" w:hAnsi="Arial" w:cs="Arial"/>
          <w:sz w:val="24"/>
          <w:szCs w:val="24"/>
        </w:rPr>
        <w:t>. This</w:t>
      </w:r>
      <w:r w:rsidR="00294FD5">
        <w:rPr>
          <w:rFonts w:ascii="Arial" w:hAnsi="Arial" w:cs="Arial"/>
          <w:sz w:val="24"/>
          <w:szCs w:val="24"/>
        </w:rPr>
        <w:t xml:space="preserve"> result</w:t>
      </w:r>
      <w:r w:rsidR="00C11888">
        <w:rPr>
          <w:rFonts w:ascii="Arial" w:hAnsi="Arial" w:cs="Arial"/>
          <w:sz w:val="24"/>
          <w:szCs w:val="24"/>
        </w:rPr>
        <w:t>ed</w:t>
      </w:r>
      <w:r w:rsidR="00294FD5">
        <w:rPr>
          <w:rFonts w:ascii="Arial" w:hAnsi="Arial" w:cs="Arial"/>
          <w:sz w:val="24"/>
          <w:szCs w:val="24"/>
        </w:rPr>
        <w:t xml:space="preserve"> in </w:t>
      </w:r>
      <w:r w:rsidR="00267DA8">
        <w:rPr>
          <w:rFonts w:ascii="Arial" w:hAnsi="Arial" w:cs="Arial"/>
          <w:sz w:val="24"/>
          <w:szCs w:val="24"/>
        </w:rPr>
        <w:t xml:space="preserve">a 28% increase in </w:t>
      </w:r>
      <w:r w:rsidR="006656E9">
        <w:rPr>
          <w:rFonts w:ascii="Arial" w:hAnsi="Arial" w:cs="Arial"/>
          <w:sz w:val="24"/>
          <w:szCs w:val="24"/>
        </w:rPr>
        <w:t>geography</w:t>
      </w:r>
      <w:r w:rsidR="003334E1">
        <w:rPr>
          <w:rFonts w:ascii="Arial" w:hAnsi="Arial" w:cs="Arial"/>
          <w:sz w:val="24"/>
          <w:szCs w:val="24"/>
        </w:rPr>
        <w:t xml:space="preserve"> </w:t>
      </w:r>
      <w:r w:rsidR="005B44ED">
        <w:rPr>
          <w:rFonts w:ascii="Arial" w:hAnsi="Arial" w:cs="Arial"/>
          <w:sz w:val="24"/>
          <w:szCs w:val="24"/>
        </w:rPr>
        <w:t xml:space="preserve">careers-related </w:t>
      </w:r>
      <w:r w:rsidR="003334E1">
        <w:rPr>
          <w:rFonts w:ascii="Arial" w:hAnsi="Arial" w:cs="Arial"/>
          <w:sz w:val="24"/>
          <w:szCs w:val="24"/>
        </w:rPr>
        <w:t>individual appointments</w:t>
      </w:r>
      <w:r w:rsidR="004F1BC1">
        <w:rPr>
          <w:rFonts w:ascii="Arial" w:hAnsi="Arial" w:cs="Arial"/>
          <w:sz w:val="24"/>
          <w:szCs w:val="24"/>
        </w:rPr>
        <w:t xml:space="preserve"> across the academic year</w:t>
      </w:r>
      <w:r w:rsidR="00216185" w:rsidRPr="6408D7D1">
        <w:rPr>
          <w:rFonts w:ascii="Arial" w:hAnsi="Arial" w:cs="Arial"/>
          <w:sz w:val="24"/>
          <w:szCs w:val="24"/>
        </w:rPr>
        <w:t>.</w:t>
      </w:r>
    </w:p>
    <w:p w14:paraId="2A25C80F" w14:textId="338A1005" w:rsidR="006E6DD2" w:rsidRDefault="006E6DD2" w:rsidP="6408D7D1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  <w:r w:rsidRPr="6408D7D1">
        <w:rPr>
          <w:rFonts w:ascii="Arial" w:hAnsi="Arial" w:cs="Arial"/>
          <w:sz w:val="24"/>
          <w:szCs w:val="24"/>
        </w:rPr>
        <w:t xml:space="preserve">As </w:t>
      </w:r>
      <w:r w:rsidR="00C21AA5">
        <w:rPr>
          <w:rFonts w:ascii="Arial" w:hAnsi="Arial" w:cs="Arial"/>
          <w:sz w:val="24"/>
          <w:szCs w:val="24"/>
        </w:rPr>
        <w:t>educators</w:t>
      </w:r>
      <w:r w:rsidRPr="6408D7D1">
        <w:rPr>
          <w:rFonts w:ascii="Arial" w:hAnsi="Arial" w:cs="Arial"/>
          <w:sz w:val="24"/>
          <w:szCs w:val="24"/>
        </w:rPr>
        <w:t xml:space="preserve">, a key part of our role </w:t>
      </w:r>
      <w:r w:rsidR="00F538B0" w:rsidRPr="6408D7D1">
        <w:rPr>
          <w:rFonts w:ascii="Arial" w:hAnsi="Arial" w:cs="Arial"/>
          <w:sz w:val="24"/>
          <w:szCs w:val="24"/>
        </w:rPr>
        <w:t>throughout</w:t>
      </w:r>
      <w:r w:rsidR="006656E9">
        <w:rPr>
          <w:rFonts w:ascii="Arial" w:hAnsi="Arial" w:cs="Arial"/>
          <w:sz w:val="24"/>
          <w:szCs w:val="24"/>
        </w:rPr>
        <w:t xml:space="preserve">, </w:t>
      </w:r>
      <w:r w:rsidRPr="6408D7D1">
        <w:rPr>
          <w:rFonts w:ascii="Arial" w:hAnsi="Arial" w:cs="Arial"/>
          <w:sz w:val="24"/>
          <w:szCs w:val="24"/>
        </w:rPr>
        <w:t xml:space="preserve">was to model </w:t>
      </w:r>
      <w:r w:rsidR="002A39C7" w:rsidRPr="6408D7D1">
        <w:rPr>
          <w:rFonts w:ascii="Arial" w:hAnsi="Arial" w:cs="Arial"/>
          <w:sz w:val="24"/>
          <w:szCs w:val="24"/>
        </w:rPr>
        <w:t xml:space="preserve">and explicitly reference </w:t>
      </w:r>
      <w:r w:rsidRPr="6408D7D1">
        <w:rPr>
          <w:rFonts w:ascii="Arial" w:hAnsi="Arial" w:cs="Arial"/>
          <w:sz w:val="24"/>
          <w:szCs w:val="24"/>
        </w:rPr>
        <w:t xml:space="preserve">professional behaviours </w:t>
      </w:r>
      <w:r w:rsidR="00121EC2" w:rsidRPr="6408D7D1">
        <w:rPr>
          <w:rFonts w:ascii="Arial" w:hAnsi="Arial" w:cs="Arial"/>
          <w:sz w:val="24"/>
          <w:szCs w:val="24"/>
        </w:rPr>
        <w:t>in real time</w:t>
      </w:r>
      <w:r w:rsidRPr="6408D7D1">
        <w:rPr>
          <w:rFonts w:ascii="Arial" w:hAnsi="Arial" w:cs="Arial"/>
          <w:sz w:val="24"/>
          <w:szCs w:val="24"/>
        </w:rPr>
        <w:t xml:space="preserve">. This included providing formal and informal feedback to the students, </w:t>
      </w:r>
      <w:r w:rsidR="004C6DF9">
        <w:rPr>
          <w:rFonts w:ascii="Arial" w:hAnsi="Arial" w:cs="Arial"/>
          <w:sz w:val="24"/>
          <w:szCs w:val="24"/>
        </w:rPr>
        <w:t xml:space="preserve">which </w:t>
      </w:r>
      <w:r w:rsidR="002D7886" w:rsidRPr="6408D7D1">
        <w:rPr>
          <w:rFonts w:ascii="Arial" w:hAnsi="Arial" w:cs="Arial"/>
          <w:sz w:val="24"/>
          <w:szCs w:val="24"/>
        </w:rPr>
        <w:t>we characterise</w:t>
      </w:r>
      <w:r w:rsidR="009A095B">
        <w:rPr>
          <w:rFonts w:ascii="Arial" w:hAnsi="Arial" w:cs="Arial"/>
          <w:sz w:val="24"/>
          <w:szCs w:val="24"/>
        </w:rPr>
        <w:t>d</w:t>
      </w:r>
      <w:r w:rsidR="002D7886" w:rsidRPr="6408D7D1">
        <w:rPr>
          <w:rFonts w:ascii="Arial" w:hAnsi="Arial" w:cs="Arial"/>
          <w:sz w:val="24"/>
          <w:szCs w:val="24"/>
        </w:rPr>
        <w:t xml:space="preserve"> </w:t>
      </w:r>
      <w:r w:rsidRPr="6408D7D1">
        <w:rPr>
          <w:rFonts w:ascii="Arial" w:hAnsi="Arial" w:cs="Arial"/>
          <w:sz w:val="24"/>
          <w:szCs w:val="24"/>
        </w:rPr>
        <w:t xml:space="preserve">as constructive and supportively challenging. This modelling assisted participants to build upon and adapt their style to </w:t>
      </w:r>
      <w:r w:rsidR="008D4172">
        <w:rPr>
          <w:rFonts w:ascii="Arial" w:hAnsi="Arial" w:cs="Arial"/>
          <w:sz w:val="24"/>
          <w:szCs w:val="24"/>
        </w:rPr>
        <w:t xml:space="preserve">subsequently </w:t>
      </w:r>
      <w:r w:rsidRPr="6408D7D1">
        <w:rPr>
          <w:rFonts w:ascii="Arial" w:hAnsi="Arial" w:cs="Arial"/>
          <w:sz w:val="24"/>
          <w:szCs w:val="24"/>
        </w:rPr>
        <w:t>deliver effective feedback to peers</w:t>
      </w:r>
      <w:r w:rsidR="008D4172">
        <w:rPr>
          <w:rFonts w:ascii="Arial" w:hAnsi="Arial" w:cs="Arial"/>
          <w:sz w:val="24"/>
          <w:szCs w:val="24"/>
        </w:rPr>
        <w:t xml:space="preserve"> in class</w:t>
      </w:r>
      <w:r w:rsidRPr="6408D7D1">
        <w:rPr>
          <w:rFonts w:ascii="Arial" w:hAnsi="Arial" w:cs="Arial"/>
          <w:sz w:val="24"/>
          <w:szCs w:val="24"/>
        </w:rPr>
        <w:t xml:space="preserve">, through </w:t>
      </w:r>
      <w:r w:rsidR="00D67C98">
        <w:rPr>
          <w:rFonts w:ascii="Arial" w:hAnsi="Arial" w:cs="Arial"/>
          <w:sz w:val="24"/>
          <w:szCs w:val="24"/>
        </w:rPr>
        <w:t xml:space="preserve">both </w:t>
      </w:r>
      <w:r w:rsidRPr="6408D7D1">
        <w:rPr>
          <w:rFonts w:ascii="Arial" w:hAnsi="Arial" w:cs="Arial"/>
          <w:sz w:val="24"/>
          <w:szCs w:val="24"/>
        </w:rPr>
        <w:t xml:space="preserve">practical engagement and observation of their fellow classmates and </w:t>
      </w:r>
      <w:r w:rsidR="001D57B0">
        <w:rPr>
          <w:rFonts w:ascii="Arial" w:hAnsi="Arial" w:cs="Arial"/>
          <w:sz w:val="24"/>
          <w:szCs w:val="24"/>
        </w:rPr>
        <w:t>us</w:t>
      </w:r>
      <w:r w:rsidRPr="6408D7D1">
        <w:rPr>
          <w:rFonts w:ascii="Arial" w:hAnsi="Arial" w:cs="Arial"/>
          <w:sz w:val="24"/>
          <w:szCs w:val="24"/>
        </w:rPr>
        <w:t xml:space="preserve">. </w:t>
      </w:r>
      <w:r w:rsidR="00703142" w:rsidRPr="6408D7D1">
        <w:rPr>
          <w:rFonts w:ascii="Arial" w:hAnsi="Arial" w:cs="Arial"/>
          <w:sz w:val="24"/>
          <w:szCs w:val="24"/>
        </w:rPr>
        <w:t>W</w:t>
      </w:r>
      <w:r w:rsidR="00B95095" w:rsidRPr="6408D7D1">
        <w:rPr>
          <w:rFonts w:ascii="Arial" w:hAnsi="Arial" w:cs="Arial"/>
          <w:sz w:val="24"/>
          <w:szCs w:val="24"/>
        </w:rPr>
        <w:t>e</w:t>
      </w:r>
      <w:r w:rsidR="00703142" w:rsidRPr="6408D7D1">
        <w:rPr>
          <w:rFonts w:ascii="Arial" w:hAnsi="Arial" w:cs="Arial"/>
          <w:sz w:val="24"/>
          <w:szCs w:val="24"/>
        </w:rPr>
        <w:t xml:space="preserve"> explicitly addressed </w:t>
      </w:r>
      <w:r w:rsidR="00B95095" w:rsidRPr="6408D7D1">
        <w:rPr>
          <w:rFonts w:ascii="Arial" w:hAnsi="Arial" w:cs="Arial"/>
          <w:sz w:val="24"/>
          <w:szCs w:val="24"/>
        </w:rPr>
        <w:t xml:space="preserve">areas where </w:t>
      </w:r>
      <w:r w:rsidR="00B05180" w:rsidRPr="6408D7D1">
        <w:rPr>
          <w:rFonts w:ascii="Arial" w:hAnsi="Arial" w:cs="Arial"/>
          <w:sz w:val="24"/>
          <w:szCs w:val="24"/>
        </w:rPr>
        <w:t xml:space="preserve">students felt less confident (for example, speaking </w:t>
      </w:r>
      <w:r w:rsidR="001876E7" w:rsidRPr="6408D7D1">
        <w:rPr>
          <w:rFonts w:ascii="Arial" w:hAnsi="Arial" w:cs="Arial"/>
          <w:sz w:val="24"/>
          <w:szCs w:val="24"/>
        </w:rPr>
        <w:t xml:space="preserve">in </w:t>
      </w:r>
      <w:r w:rsidR="001A396D">
        <w:rPr>
          <w:rFonts w:ascii="Arial" w:hAnsi="Arial" w:cs="Arial"/>
          <w:sz w:val="24"/>
          <w:szCs w:val="24"/>
        </w:rPr>
        <w:t>teams</w:t>
      </w:r>
      <w:r w:rsidR="001A396D" w:rsidRPr="6408D7D1">
        <w:rPr>
          <w:rFonts w:ascii="Arial" w:hAnsi="Arial" w:cs="Arial"/>
          <w:sz w:val="24"/>
          <w:szCs w:val="24"/>
        </w:rPr>
        <w:t xml:space="preserve"> </w:t>
      </w:r>
      <w:r w:rsidR="001876E7" w:rsidRPr="6408D7D1">
        <w:rPr>
          <w:rFonts w:ascii="Arial" w:hAnsi="Arial" w:cs="Arial"/>
          <w:sz w:val="24"/>
          <w:szCs w:val="24"/>
        </w:rPr>
        <w:t xml:space="preserve">or </w:t>
      </w:r>
      <w:r w:rsidR="001A396D">
        <w:rPr>
          <w:rFonts w:ascii="Arial" w:hAnsi="Arial" w:cs="Arial"/>
          <w:sz w:val="24"/>
          <w:szCs w:val="24"/>
        </w:rPr>
        <w:t>in</w:t>
      </w:r>
      <w:r w:rsidR="001876E7" w:rsidRPr="6408D7D1">
        <w:rPr>
          <w:rFonts w:ascii="Arial" w:hAnsi="Arial" w:cs="Arial"/>
          <w:sz w:val="24"/>
          <w:szCs w:val="24"/>
        </w:rPr>
        <w:t xml:space="preserve"> class) and highlighted </w:t>
      </w:r>
      <w:r w:rsidR="006A267D">
        <w:rPr>
          <w:rFonts w:ascii="Arial" w:hAnsi="Arial" w:cs="Arial"/>
          <w:sz w:val="24"/>
          <w:szCs w:val="24"/>
        </w:rPr>
        <w:t xml:space="preserve">that </w:t>
      </w:r>
      <w:r w:rsidR="001A396D">
        <w:rPr>
          <w:rFonts w:ascii="Arial" w:hAnsi="Arial" w:cs="Arial"/>
          <w:sz w:val="24"/>
          <w:szCs w:val="24"/>
        </w:rPr>
        <w:t xml:space="preserve">within </w:t>
      </w:r>
      <w:r w:rsidR="001876E7" w:rsidRPr="6408D7D1">
        <w:rPr>
          <w:rFonts w:ascii="Arial" w:hAnsi="Arial" w:cs="Arial"/>
          <w:sz w:val="24"/>
          <w:szCs w:val="24"/>
        </w:rPr>
        <w:t>in the world of work</w:t>
      </w:r>
      <w:r w:rsidR="00946C71" w:rsidRPr="6408D7D1">
        <w:rPr>
          <w:rFonts w:ascii="Arial" w:hAnsi="Arial" w:cs="Arial"/>
          <w:sz w:val="24"/>
          <w:szCs w:val="24"/>
        </w:rPr>
        <w:t xml:space="preserve"> this was </w:t>
      </w:r>
      <w:r w:rsidR="004F37DB">
        <w:rPr>
          <w:rFonts w:ascii="Arial" w:hAnsi="Arial" w:cs="Arial"/>
          <w:sz w:val="24"/>
          <w:szCs w:val="24"/>
        </w:rPr>
        <w:t xml:space="preserve">a key skill </w:t>
      </w:r>
      <w:r w:rsidR="009A095B">
        <w:rPr>
          <w:rFonts w:ascii="Arial" w:hAnsi="Arial" w:cs="Arial"/>
          <w:sz w:val="24"/>
          <w:szCs w:val="24"/>
        </w:rPr>
        <w:t>often</w:t>
      </w:r>
      <w:r w:rsidR="00946C71" w:rsidRPr="6408D7D1">
        <w:rPr>
          <w:rFonts w:ascii="Arial" w:hAnsi="Arial" w:cs="Arial"/>
          <w:sz w:val="24"/>
          <w:szCs w:val="24"/>
        </w:rPr>
        <w:t xml:space="preserve"> </w:t>
      </w:r>
      <w:r w:rsidR="00F64C7E">
        <w:rPr>
          <w:rFonts w:ascii="Arial" w:hAnsi="Arial" w:cs="Arial"/>
          <w:sz w:val="24"/>
          <w:szCs w:val="24"/>
        </w:rPr>
        <w:t>required</w:t>
      </w:r>
      <w:r w:rsidR="005E1FB8">
        <w:rPr>
          <w:rFonts w:ascii="Arial" w:hAnsi="Arial" w:cs="Arial"/>
          <w:sz w:val="24"/>
          <w:szCs w:val="24"/>
        </w:rPr>
        <w:t xml:space="preserve">. </w:t>
      </w:r>
      <w:r w:rsidR="000B3BBB" w:rsidRPr="6408D7D1">
        <w:rPr>
          <w:rFonts w:ascii="Arial" w:hAnsi="Arial" w:cs="Arial"/>
          <w:sz w:val="24"/>
          <w:szCs w:val="24"/>
        </w:rPr>
        <w:t xml:space="preserve">We stressed </w:t>
      </w:r>
      <w:r w:rsidR="00F64C7E">
        <w:rPr>
          <w:rFonts w:ascii="Arial" w:hAnsi="Arial" w:cs="Arial"/>
          <w:sz w:val="24"/>
          <w:szCs w:val="24"/>
        </w:rPr>
        <w:t>the</w:t>
      </w:r>
      <w:r w:rsidR="000B3BBB" w:rsidRPr="6408D7D1">
        <w:rPr>
          <w:rFonts w:ascii="Arial" w:hAnsi="Arial" w:cs="Arial"/>
          <w:sz w:val="24"/>
          <w:szCs w:val="24"/>
        </w:rPr>
        <w:t xml:space="preserve"> module was a safe space to practice and develop such skills. </w:t>
      </w:r>
      <w:r w:rsidRPr="6408D7D1">
        <w:rPr>
          <w:rFonts w:ascii="Arial" w:hAnsi="Arial" w:cs="Arial"/>
          <w:sz w:val="24"/>
          <w:szCs w:val="24"/>
        </w:rPr>
        <w:t xml:space="preserve">Most participants responded well to this approach, </w:t>
      </w:r>
      <w:r w:rsidR="00D67C98">
        <w:rPr>
          <w:rFonts w:ascii="Arial" w:hAnsi="Arial" w:cs="Arial"/>
          <w:sz w:val="24"/>
          <w:szCs w:val="24"/>
        </w:rPr>
        <w:t>reporting</w:t>
      </w:r>
    </w:p>
    <w:p w14:paraId="0678BB73" w14:textId="77777777" w:rsidR="006E6DD2" w:rsidRPr="005913AF" w:rsidRDefault="006E6DD2" w:rsidP="00582058">
      <w:pPr>
        <w:spacing w:line="360" w:lineRule="auto"/>
        <w:ind w:left="720"/>
        <w:outlineLvl w:val="0"/>
        <w:rPr>
          <w:rFonts w:ascii="Arial" w:hAnsi="Arial" w:cs="Arial"/>
          <w:bCs/>
          <w:i/>
          <w:iCs/>
          <w:sz w:val="24"/>
          <w:szCs w:val="24"/>
        </w:rPr>
      </w:pPr>
      <w:r w:rsidRPr="00F842B9">
        <w:rPr>
          <w:rFonts w:ascii="Arial" w:hAnsi="Arial" w:cs="Arial"/>
          <w:bCs/>
          <w:i/>
          <w:iCs/>
          <w:sz w:val="24"/>
          <w:szCs w:val="24"/>
        </w:rPr>
        <w:t xml:space="preserve">‘The size of the classroom and intimacy [created a] comfortable environment to speak and share ideas’ </w:t>
      </w:r>
      <w:r w:rsidRPr="005913AF">
        <w:rPr>
          <w:rFonts w:ascii="Arial" w:hAnsi="Arial" w:cs="Arial"/>
          <w:bCs/>
          <w:i/>
          <w:iCs/>
          <w:sz w:val="24"/>
          <w:szCs w:val="24"/>
        </w:rPr>
        <w:t xml:space="preserve">and </w:t>
      </w:r>
    </w:p>
    <w:p w14:paraId="60BBCFA4" w14:textId="77777777" w:rsidR="006E6DD2" w:rsidRPr="005913AF" w:rsidRDefault="006E6DD2" w:rsidP="00582058">
      <w:pPr>
        <w:spacing w:line="360" w:lineRule="auto"/>
        <w:ind w:left="720"/>
        <w:outlineLvl w:val="0"/>
        <w:rPr>
          <w:rFonts w:ascii="Arial" w:hAnsi="Arial" w:cs="Arial"/>
          <w:bCs/>
          <w:i/>
          <w:iCs/>
          <w:sz w:val="24"/>
          <w:szCs w:val="24"/>
        </w:rPr>
      </w:pPr>
      <w:r w:rsidRPr="00F842B9">
        <w:rPr>
          <w:rFonts w:ascii="Arial" w:hAnsi="Arial" w:cs="Arial"/>
          <w:bCs/>
          <w:i/>
          <w:iCs/>
          <w:sz w:val="24"/>
          <w:szCs w:val="24"/>
        </w:rPr>
        <w:t>‘The community spirit of the seminars allowed for a friendly space to voice opinions.’</w:t>
      </w:r>
      <w:r w:rsidRPr="005913AF">
        <w:rPr>
          <w:rFonts w:ascii="Arial" w:hAnsi="Arial" w:cs="Arial"/>
          <w:bCs/>
          <w:i/>
          <w:iCs/>
          <w:sz w:val="24"/>
          <w:szCs w:val="24"/>
        </w:rPr>
        <w:t xml:space="preserve"> </w:t>
      </w:r>
    </w:p>
    <w:p w14:paraId="75212A0E" w14:textId="717F19AC" w:rsidR="00E71336" w:rsidRDefault="00171F07" w:rsidP="001C6FEC">
      <w:pPr>
        <w:spacing w:line="360" w:lineRule="auto"/>
        <w:outlineLvl w:val="0"/>
        <w:rPr>
          <w:rFonts w:ascii="Arial" w:hAnsi="Arial" w:cs="Arial"/>
          <w:b/>
          <w:bCs/>
          <w:sz w:val="24"/>
          <w:szCs w:val="24"/>
        </w:rPr>
      </w:pPr>
      <w:r w:rsidRPr="6408D7D1">
        <w:rPr>
          <w:rFonts w:ascii="Arial" w:hAnsi="Arial" w:cs="Arial"/>
          <w:sz w:val="24"/>
          <w:szCs w:val="24"/>
        </w:rPr>
        <w:t xml:space="preserve">Finally, </w:t>
      </w:r>
      <w:r w:rsidR="002D50F7" w:rsidRPr="6408D7D1">
        <w:rPr>
          <w:rFonts w:ascii="Arial" w:hAnsi="Arial" w:cs="Arial"/>
          <w:sz w:val="24"/>
          <w:szCs w:val="24"/>
        </w:rPr>
        <w:t xml:space="preserve">module </w:t>
      </w:r>
      <w:r w:rsidRPr="6408D7D1">
        <w:rPr>
          <w:rFonts w:ascii="Arial" w:hAnsi="Arial" w:cs="Arial"/>
          <w:sz w:val="24"/>
          <w:szCs w:val="24"/>
        </w:rPr>
        <w:t xml:space="preserve">delivery </w:t>
      </w:r>
      <w:r w:rsidR="0099718D" w:rsidRPr="6408D7D1">
        <w:rPr>
          <w:rFonts w:ascii="Arial" w:hAnsi="Arial" w:cs="Arial"/>
          <w:sz w:val="24"/>
          <w:szCs w:val="24"/>
        </w:rPr>
        <w:t>contained a mixture of traditional academic lectures</w:t>
      </w:r>
      <w:r w:rsidR="00082422" w:rsidRPr="6408D7D1">
        <w:rPr>
          <w:rFonts w:ascii="Arial" w:hAnsi="Arial" w:cs="Arial"/>
          <w:sz w:val="24"/>
          <w:szCs w:val="24"/>
        </w:rPr>
        <w:t xml:space="preserve">, practical </w:t>
      </w:r>
      <w:r w:rsidR="00455646" w:rsidRPr="6408D7D1">
        <w:rPr>
          <w:rFonts w:ascii="Arial" w:hAnsi="Arial" w:cs="Arial"/>
          <w:sz w:val="24"/>
          <w:szCs w:val="24"/>
        </w:rPr>
        <w:t>workshops,</w:t>
      </w:r>
      <w:r w:rsidR="00082422" w:rsidRPr="6408D7D1">
        <w:rPr>
          <w:rFonts w:ascii="Arial" w:hAnsi="Arial" w:cs="Arial"/>
          <w:sz w:val="24"/>
          <w:szCs w:val="24"/>
        </w:rPr>
        <w:t xml:space="preserve"> and group discussions</w:t>
      </w:r>
      <w:r w:rsidR="009F0E32" w:rsidRPr="6408D7D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9F0E32" w:rsidRPr="6408D7D1">
        <w:rPr>
          <w:rFonts w:ascii="Arial" w:hAnsi="Arial" w:cs="Arial"/>
          <w:sz w:val="24"/>
          <w:szCs w:val="24"/>
        </w:rPr>
        <w:t>Zepke</w:t>
      </w:r>
      <w:proofErr w:type="spellEnd"/>
      <w:r w:rsidR="009F0E32" w:rsidRPr="6408D7D1">
        <w:rPr>
          <w:rFonts w:ascii="Arial" w:hAnsi="Arial" w:cs="Arial"/>
          <w:sz w:val="24"/>
          <w:szCs w:val="24"/>
        </w:rPr>
        <w:t xml:space="preserve"> </w:t>
      </w:r>
      <w:r w:rsidR="05409F11" w:rsidRPr="6408D7D1">
        <w:rPr>
          <w:rFonts w:ascii="Arial" w:hAnsi="Arial" w:cs="Arial"/>
          <w:sz w:val="24"/>
          <w:szCs w:val="24"/>
        </w:rPr>
        <w:t>&amp;</w:t>
      </w:r>
      <w:r w:rsidR="00191D85">
        <w:rPr>
          <w:rFonts w:ascii="Arial" w:hAnsi="Arial" w:cs="Arial"/>
          <w:sz w:val="24"/>
          <w:szCs w:val="24"/>
        </w:rPr>
        <w:t xml:space="preserve"> </w:t>
      </w:r>
      <w:r w:rsidR="009F0E32" w:rsidRPr="6408D7D1">
        <w:rPr>
          <w:rFonts w:ascii="Arial" w:hAnsi="Arial" w:cs="Arial"/>
          <w:sz w:val="24"/>
          <w:szCs w:val="24"/>
        </w:rPr>
        <w:t>Leach</w:t>
      </w:r>
      <w:r w:rsidR="39225379" w:rsidRPr="6408D7D1">
        <w:rPr>
          <w:rFonts w:ascii="Arial" w:hAnsi="Arial" w:cs="Arial"/>
          <w:sz w:val="24"/>
          <w:szCs w:val="24"/>
        </w:rPr>
        <w:t>,</w:t>
      </w:r>
      <w:r w:rsidR="009F0E32" w:rsidRPr="6408D7D1">
        <w:rPr>
          <w:rFonts w:ascii="Arial" w:hAnsi="Arial" w:cs="Arial"/>
          <w:sz w:val="24"/>
          <w:szCs w:val="24"/>
        </w:rPr>
        <w:t xml:space="preserve"> 2010)</w:t>
      </w:r>
      <w:r w:rsidR="002A39C7" w:rsidRPr="6408D7D1">
        <w:rPr>
          <w:rFonts w:ascii="Arial" w:hAnsi="Arial" w:cs="Arial"/>
          <w:sz w:val="24"/>
          <w:szCs w:val="24"/>
        </w:rPr>
        <w:t>. Th</w:t>
      </w:r>
      <w:r w:rsidR="004567A4">
        <w:rPr>
          <w:rFonts w:ascii="Arial" w:hAnsi="Arial" w:cs="Arial"/>
          <w:sz w:val="24"/>
          <w:szCs w:val="24"/>
        </w:rPr>
        <w:t>is</w:t>
      </w:r>
      <w:r w:rsidR="002A39C7" w:rsidRPr="6408D7D1">
        <w:rPr>
          <w:rFonts w:ascii="Arial" w:hAnsi="Arial" w:cs="Arial"/>
          <w:sz w:val="24"/>
          <w:szCs w:val="24"/>
        </w:rPr>
        <w:t xml:space="preserve"> </w:t>
      </w:r>
      <w:r w:rsidR="004567A4" w:rsidRPr="6408D7D1">
        <w:rPr>
          <w:rFonts w:ascii="Arial" w:hAnsi="Arial" w:cs="Arial"/>
          <w:sz w:val="24"/>
          <w:szCs w:val="24"/>
        </w:rPr>
        <w:t>variety</w:t>
      </w:r>
      <w:r w:rsidR="004567A4">
        <w:rPr>
          <w:rFonts w:ascii="Arial" w:hAnsi="Arial" w:cs="Arial"/>
          <w:sz w:val="24"/>
          <w:szCs w:val="24"/>
        </w:rPr>
        <w:t xml:space="preserve"> </w:t>
      </w:r>
      <w:r w:rsidR="00FE1E4F">
        <w:rPr>
          <w:rFonts w:ascii="Arial" w:hAnsi="Arial" w:cs="Arial"/>
          <w:sz w:val="24"/>
          <w:szCs w:val="24"/>
        </w:rPr>
        <w:t xml:space="preserve">assisted </w:t>
      </w:r>
      <w:r w:rsidR="002A39C7" w:rsidRPr="6408D7D1">
        <w:rPr>
          <w:rFonts w:ascii="Arial" w:hAnsi="Arial" w:cs="Arial"/>
          <w:sz w:val="24"/>
          <w:szCs w:val="24"/>
        </w:rPr>
        <w:t>student engage</w:t>
      </w:r>
      <w:r w:rsidR="004567A4">
        <w:rPr>
          <w:rFonts w:ascii="Arial" w:hAnsi="Arial" w:cs="Arial"/>
          <w:sz w:val="24"/>
          <w:szCs w:val="24"/>
        </w:rPr>
        <w:t>ment levels</w:t>
      </w:r>
      <w:r w:rsidR="002A39C7" w:rsidRPr="6408D7D1">
        <w:rPr>
          <w:rFonts w:ascii="Arial" w:hAnsi="Arial" w:cs="Arial"/>
          <w:sz w:val="24"/>
          <w:szCs w:val="24"/>
        </w:rPr>
        <w:t xml:space="preserve"> </w:t>
      </w:r>
      <w:r w:rsidR="00087395">
        <w:rPr>
          <w:rFonts w:ascii="Arial" w:hAnsi="Arial" w:cs="Arial"/>
          <w:sz w:val="24"/>
          <w:szCs w:val="24"/>
        </w:rPr>
        <w:t>by catering to</w:t>
      </w:r>
      <w:r w:rsidR="002A39C7" w:rsidRPr="6408D7D1">
        <w:rPr>
          <w:rFonts w:ascii="Arial" w:hAnsi="Arial" w:cs="Arial"/>
          <w:sz w:val="24"/>
          <w:szCs w:val="24"/>
        </w:rPr>
        <w:t xml:space="preserve"> </w:t>
      </w:r>
      <w:r w:rsidR="00B70E88" w:rsidRPr="6408D7D1">
        <w:rPr>
          <w:rFonts w:ascii="Arial" w:hAnsi="Arial" w:cs="Arial"/>
          <w:sz w:val="24"/>
          <w:szCs w:val="24"/>
        </w:rPr>
        <w:t>different learning preferences</w:t>
      </w:r>
      <w:r w:rsidR="00087395">
        <w:rPr>
          <w:rFonts w:ascii="Arial" w:hAnsi="Arial" w:cs="Arial"/>
          <w:sz w:val="24"/>
          <w:szCs w:val="24"/>
        </w:rPr>
        <w:t>. S</w:t>
      </w:r>
      <w:r w:rsidR="00F64C7E">
        <w:rPr>
          <w:rFonts w:ascii="Arial" w:hAnsi="Arial" w:cs="Arial"/>
          <w:sz w:val="24"/>
          <w:szCs w:val="24"/>
        </w:rPr>
        <w:t xml:space="preserve">tudents </w:t>
      </w:r>
      <w:r w:rsidR="00387E5C">
        <w:rPr>
          <w:rFonts w:ascii="Arial" w:hAnsi="Arial" w:cs="Arial"/>
          <w:sz w:val="24"/>
          <w:szCs w:val="24"/>
        </w:rPr>
        <w:t xml:space="preserve">formally </w:t>
      </w:r>
      <w:r w:rsidR="00F64C7E">
        <w:rPr>
          <w:rFonts w:ascii="Arial" w:hAnsi="Arial" w:cs="Arial"/>
          <w:sz w:val="24"/>
          <w:szCs w:val="24"/>
        </w:rPr>
        <w:t>fe</w:t>
      </w:r>
      <w:r w:rsidR="00087395">
        <w:rPr>
          <w:rFonts w:ascii="Arial" w:hAnsi="Arial" w:cs="Arial"/>
          <w:sz w:val="24"/>
          <w:szCs w:val="24"/>
        </w:rPr>
        <w:t>d</w:t>
      </w:r>
      <w:r w:rsidR="00F64C7E">
        <w:rPr>
          <w:rFonts w:ascii="Arial" w:hAnsi="Arial" w:cs="Arial"/>
          <w:sz w:val="24"/>
          <w:szCs w:val="24"/>
        </w:rPr>
        <w:t xml:space="preserve"> back </w:t>
      </w:r>
      <w:r w:rsidR="00387E5C">
        <w:rPr>
          <w:rFonts w:ascii="Arial" w:hAnsi="Arial" w:cs="Arial"/>
          <w:sz w:val="24"/>
          <w:szCs w:val="24"/>
        </w:rPr>
        <w:t>that they enjoyed the</w:t>
      </w:r>
      <w:r w:rsidR="00815B60" w:rsidRPr="6408D7D1">
        <w:rPr>
          <w:rFonts w:ascii="Arial" w:hAnsi="Arial" w:cs="Arial"/>
          <w:sz w:val="24"/>
          <w:szCs w:val="24"/>
        </w:rPr>
        <w:t xml:space="preserve"> ‘combination of workshops and lectures’ and the ‘interactive elements of lectures and workshops.’</w:t>
      </w:r>
    </w:p>
    <w:p w14:paraId="5321C106" w14:textId="195BE306" w:rsidR="001338B2" w:rsidRDefault="00914612" w:rsidP="001C6FEC">
      <w:pPr>
        <w:spacing w:line="360" w:lineRule="auto"/>
        <w:outlineLvl w:val="0"/>
        <w:rPr>
          <w:rFonts w:ascii="Arial" w:hAnsi="Arial" w:cs="Arial"/>
          <w:b/>
          <w:bCs/>
          <w:sz w:val="24"/>
          <w:szCs w:val="24"/>
        </w:rPr>
      </w:pPr>
      <w:r w:rsidRPr="00914612">
        <w:rPr>
          <w:rFonts w:ascii="Arial" w:hAnsi="Arial" w:cs="Arial"/>
          <w:b/>
          <w:bCs/>
          <w:sz w:val="24"/>
          <w:szCs w:val="24"/>
        </w:rPr>
        <w:t>Assessment design</w:t>
      </w:r>
    </w:p>
    <w:p w14:paraId="0DF46ADB" w14:textId="496200DD" w:rsidR="008E678D" w:rsidRDefault="00143BFD" w:rsidP="6408D7D1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</w:t>
      </w:r>
      <w:r w:rsidR="00801858" w:rsidRPr="6408D7D1">
        <w:rPr>
          <w:rFonts w:ascii="Arial" w:hAnsi="Arial" w:cs="Arial"/>
          <w:sz w:val="24"/>
          <w:szCs w:val="24"/>
        </w:rPr>
        <w:t xml:space="preserve"> </w:t>
      </w:r>
      <w:r w:rsidR="00474B8B" w:rsidRPr="6408D7D1">
        <w:rPr>
          <w:rFonts w:ascii="Arial" w:hAnsi="Arial" w:cs="Arial"/>
          <w:sz w:val="24"/>
          <w:szCs w:val="24"/>
        </w:rPr>
        <w:t>designing</w:t>
      </w:r>
      <w:r w:rsidR="0012623C" w:rsidRPr="6408D7D1">
        <w:rPr>
          <w:rFonts w:ascii="Arial" w:hAnsi="Arial" w:cs="Arial"/>
          <w:sz w:val="24"/>
          <w:szCs w:val="24"/>
        </w:rPr>
        <w:t xml:space="preserve"> assessment methods, we did not want to default to more </w:t>
      </w:r>
      <w:r w:rsidR="00EC1923" w:rsidRPr="6408D7D1">
        <w:rPr>
          <w:rFonts w:ascii="Arial" w:hAnsi="Arial" w:cs="Arial"/>
          <w:sz w:val="24"/>
          <w:szCs w:val="24"/>
        </w:rPr>
        <w:t>established</w:t>
      </w:r>
      <w:r w:rsidR="0012623C" w:rsidRPr="6408D7D1">
        <w:rPr>
          <w:rFonts w:ascii="Arial" w:hAnsi="Arial" w:cs="Arial"/>
          <w:sz w:val="24"/>
          <w:szCs w:val="24"/>
        </w:rPr>
        <w:t xml:space="preserve"> methods of assessment</w:t>
      </w:r>
      <w:r w:rsidR="000155EE" w:rsidRPr="6408D7D1">
        <w:rPr>
          <w:rFonts w:ascii="Arial" w:hAnsi="Arial" w:cs="Arial"/>
          <w:sz w:val="24"/>
          <w:szCs w:val="24"/>
        </w:rPr>
        <w:t>, such as essays</w:t>
      </w:r>
      <w:r w:rsidR="00693E9C" w:rsidRPr="6408D7D1">
        <w:rPr>
          <w:rFonts w:ascii="Arial" w:hAnsi="Arial" w:cs="Arial"/>
          <w:sz w:val="24"/>
          <w:szCs w:val="24"/>
        </w:rPr>
        <w:t xml:space="preserve"> and groupwork projects</w:t>
      </w:r>
      <w:r w:rsidR="000155EE" w:rsidRPr="6408D7D1">
        <w:rPr>
          <w:rFonts w:ascii="Arial" w:hAnsi="Arial" w:cs="Arial"/>
          <w:sz w:val="24"/>
          <w:szCs w:val="24"/>
        </w:rPr>
        <w:t xml:space="preserve"> </w:t>
      </w:r>
      <w:r w:rsidR="00CE5A14" w:rsidRPr="6408D7D1">
        <w:rPr>
          <w:rFonts w:ascii="Arial" w:hAnsi="Arial" w:cs="Arial"/>
          <w:sz w:val="24"/>
          <w:szCs w:val="24"/>
        </w:rPr>
        <w:t>(</w:t>
      </w:r>
      <w:proofErr w:type="spellStart"/>
      <w:r w:rsidR="00502461" w:rsidRPr="6408D7D1">
        <w:rPr>
          <w:rFonts w:ascii="Arial" w:hAnsi="Arial" w:cs="Arial"/>
          <w:sz w:val="24"/>
          <w:szCs w:val="24"/>
        </w:rPr>
        <w:t>Clouder</w:t>
      </w:r>
      <w:proofErr w:type="spellEnd"/>
      <w:r w:rsidR="00367A93" w:rsidRPr="6408D7D1">
        <w:rPr>
          <w:rFonts w:ascii="Arial" w:hAnsi="Arial" w:cs="Arial"/>
          <w:sz w:val="24"/>
          <w:szCs w:val="24"/>
        </w:rPr>
        <w:t xml:space="preserve"> </w:t>
      </w:r>
      <w:r w:rsidR="00502461" w:rsidRPr="6408D7D1">
        <w:rPr>
          <w:rFonts w:ascii="Arial" w:hAnsi="Arial" w:cs="Arial"/>
          <w:sz w:val="24"/>
          <w:szCs w:val="24"/>
        </w:rPr>
        <w:t>et</w:t>
      </w:r>
      <w:r w:rsidR="00367A93" w:rsidRPr="6408D7D1">
        <w:rPr>
          <w:rFonts w:ascii="Arial" w:hAnsi="Arial" w:cs="Arial"/>
          <w:sz w:val="24"/>
          <w:szCs w:val="24"/>
        </w:rPr>
        <w:t xml:space="preserve"> </w:t>
      </w:r>
      <w:r w:rsidR="00502461" w:rsidRPr="6408D7D1">
        <w:rPr>
          <w:rFonts w:ascii="Arial" w:hAnsi="Arial" w:cs="Arial"/>
          <w:sz w:val="24"/>
          <w:szCs w:val="24"/>
        </w:rPr>
        <w:t>al</w:t>
      </w:r>
      <w:r w:rsidR="001861BF" w:rsidRPr="6408D7D1">
        <w:rPr>
          <w:rFonts w:ascii="Arial" w:hAnsi="Arial" w:cs="Arial"/>
          <w:sz w:val="24"/>
          <w:szCs w:val="24"/>
        </w:rPr>
        <w:t>.</w:t>
      </w:r>
      <w:r w:rsidR="00367A93" w:rsidRPr="6408D7D1">
        <w:rPr>
          <w:rFonts w:ascii="Arial" w:hAnsi="Arial" w:cs="Arial"/>
          <w:sz w:val="24"/>
          <w:szCs w:val="24"/>
        </w:rPr>
        <w:t xml:space="preserve"> 2012)</w:t>
      </w:r>
      <w:r w:rsidR="006A308E" w:rsidRPr="6408D7D1">
        <w:rPr>
          <w:rFonts w:ascii="Arial" w:hAnsi="Arial" w:cs="Arial"/>
          <w:sz w:val="24"/>
          <w:szCs w:val="24"/>
        </w:rPr>
        <w:t>.</w:t>
      </w:r>
      <w:r w:rsidR="00502461" w:rsidRPr="6408D7D1">
        <w:rPr>
          <w:rFonts w:ascii="Arial" w:hAnsi="Arial" w:cs="Arial"/>
          <w:sz w:val="24"/>
          <w:szCs w:val="24"/>
        </w:rPr>
        <w:t xml:space="preserve"> </w:t>
      </w:r>
      <w:r w:rsidR="000155EE" w:rsidRPr="6408D7D1">
        <w:rPr>
          <w:rFonts w:ascii="Arial" w:hAnsi="Arial" w:cs="Arial"/>
          <w:sz w:val="24"/>
          <w:szCs w:val="24"/>
        </w:rPr>
        <w:t xml:space="preserve">We wanted the module to look and feel different </w:t>
      </w:r>
      <w:r w:rsidR="007310B4">
        <w:rPr>
          <w:rFonts w:ascii="Arial" w:hAnsi="Arial" w:cs="Arial"/>
          <w:sz w:val="24"/>
          <w:szCs w:val="24"/>
        </w:rPr>
        <w:t>and</w:t>
      </w:r>
      <w:r w:rsidR="00693E9C" w:rsidRPr="6408D7D1">
        <w:rPr>
          <w:rFonts w:ascii="Arial" w:hAnsi="Arial" w:cs="Arial"/>
          <w:sz w:val="24"/>
          <w:szCs w:val="24"/>
        </w:rPr>
        <w:t xml:space="preserve"> </w:t>
      </w:r>
      <w:r w:rsidR="00CA4ACE">
        <w:rPr>
          <w:rFonts w:ascii="Arial" w:hAnsi="Arial" w:cs="Arial"/>
          <w:sz w:val="24"/>
          <w:szCs w:val="24"/>
        </w:rPr>
        <w:t xml:space="preserve">to </w:t>
      </w:r>
      <w:r w:rsidR="00730683" w:rsidRPr="6408D7D1">
        <w:rPr>
          <w:rFonts w:ascii="Arial" w:hAnsi="Arial" w:cs="Arial"/>
          <w:sz w:val="24"/>
          <w:szCs w:val="24"/>
        </w:rPr>
        <w:t>link</w:t>
      </w:r>
      <w:r w:rsidR="002110B6" w:rsidRPr="6408D7D1">
        <w:rPr>
          <w:rFonts w:ascii="Arial" w:hAnsi="Arial" w:cs="Arial"/>
          <w:sz w:val="24"/>
          <w:szCs w:val="24"/>
        </w:rPr>
        <w:t xml:space="preserve"> assessment </w:t>
      </w:r>
      <w:r w:rsidR="0092781C" w:rsidRPr="6408D7D1">
        <w:rPr>
          <w:rFonts w:ascii="Arial" w:hAnsi="Arial" w:cs="Arial"/>
          <w:sz w:val="24"/>
          <w:szCs w:val="24"/>
        </w:rPr>
        <w:t xml:space="preserve">methods </w:t>
      </w:r>
      <w:r w:rsidR="00693E9C" w:rsidRPr="6408D7D1">
        <w:rPr>
          <w:rFonts w:ascii="Arial" w:hAnsi="Arial" w:cs="Arial"/>
          <w:sz w:val="24"/>
          <w:szCs w:val="24"/>
        </w:rPr>
        <w:t xml:space="preserve">to those </w:t>
      </w:r>
      <w:r w:rsidR="002110B6" w:rsidRPr="6408D7D1">
        <w:rPr>
          <w:rFonts w:ascii="Arial" w:hAnsi="Arial" w:cs="Arial"/>
          <w:sz w:val="24"/>
          <w:szCs w:val="24"/>
        </w:rPr>
        <w:t xml:space="preserve">students </w:t>
      </w:r>
      <w:r w:rsidR="00387E5C">
        <w:rPr>
          <w:rFonts w:ascii="Arial" w:hAnsi="Arial" w:cs="Arial"/>
          <w:sz w:val="24"/>
          <w:szCs w:val="24"/>
        </w:rPr>
        <w:t>were likely to</w:t>
      </w:r>
      <w:r w:rsidR="002110B6" w:rsidRPr="6408D7D1">
        <w:rPr>
          <w:rFonts w:ascii="Arial" w:hAnsi="Arial" w:cs="Arial"/>
          <w:sz w:val="24"/>
          <w:szCs w:val="24"/>
        </w:rPr>
        <w:t xml:space="preserve"> </w:t>
      </w:r>
      <w:r w:rsidR="0092781C" w:rsidRPr="6408D7D1">
        <w:rPr>
          <w:rFonts w:ascii="Arial" w:hAnsi="Arial" w:cs="Arial"/>
          <w:sz w:val="24"/>
          <w:szCs w:val="24"/>
        </w:rPr>
        <w:t xml:space="preserve">typically </w:t>
      </w:r>
      <w:r w:rsidR="002110B6" w:rsidRPr="6408D7D1">
        <w:rPr>
          <w:rFonts w:ascii="Arial" w:hAnsi="Arial" w:cs="Arial"/>
          <w:sz w:val="24"/>
          <w:szCs w:val="24"/>
        </w:rPr>
        <w:t xml:space="preserve">experience </w:t>
      </w:r>
      <w:r w:rsidR="00387E5C">
        <w:rPr>
          <w:rFonts w:ascii="Arial" w:hAnsi="Arial" w:cs="Arial"/>
          <w:sz w:val="24"/>
          <w:szCs w:val="24"/>
        </w:rPr>
        <w:t>with</w:t>
      </w:r>
      <w:r w:rsidR="002110B6" w:rsidRPr="6408D7D1">
        <w:rPr>
          <w:rFonts w:ascii="Arial" w:hAnsi="Arial" w:cs="Arial"/>
          <w:sz w:val="24"/>
          <w:szCs w:val="24"/>
        </w:rPr>
        <w:t xml:space="preserve">in graduate </w:t>
      </w:r>
      <w:r w:rsidR="00644A6E" w:rsidRPr="6408D7D1">
        <w:rPr>
          <w:rFonts w:ascii="Arial" w:hAnsi="Arial" w:cs="Arial"/>
          <w:sz w:val="24"/>
          <w:szCs w:val="24"/>
        </w:rPr>
        <w:t>employment</w:t>
      </w:r>
      <w:r w:rsidR="002110B6" w:rsidRPr="6408D7D1">
        <w:rPr>
          <w:rFonts w:ascii="Arial" w:hAnsi="Arial" w:cs="Arial"/>
          <w:sz w:val="24"/>
          <w:szCs w:val="24"/>
        </w:rPr>
        <w:t>.</w:t>
      </w:r>
      <w:r w:rsidR="008E678D" w:rsidRPr="6408D7D1">
        <w:rPr>
          <w:rFonts w:ascii="Arial" w:hAnsi="Arial" w:cs="Arial"/>
          <w:sz w:val="24"/>
          <w:szCs w:val="24"/>
        </w:rPr>
        <w:t xml:space="preserve"> This approach was informed by the work of Osborne et al. </w:t>
      </w:r>
      <w:r w:rsidR="00BC256B">
        <w:rPr>
          <w:rFonts w:ascii="Arial" w:hAnsi="Arial" w:cs="Arial"/>
          <w:sz w:val="24"/>
          <w:szCs w:val="24"/>
        </w:rPr>
        <w:t>(</w:t>
      </w:r>
      <w:r w:rsidR="008E678D" w:rsidRPr="6408D7D1">
        <w:rPr>
          <w:rFonts w:ascii="Arial" w:hAnsi="Arial" w:cs="Arial"/>
          <w:sz w:val="24"/>
          <w:szCs w:val="24"/>
        </w:rPr>
        <w:t>2013</w:t>
      </w:r>
      <w:r w:rsidR="00BC256B">
        <w:rPr>
          <w:rFonts w:ascii="Arial" w:hAnsi="Arial" w:cs="Arial"/>
          <w:sz w:val="24"/>
          <w:szCs w:val="24"/>
        </w:rPr>
        <w:t>)</w:t>
      </w:r>
      <w:r w:rsidR="005F10EF" w:rsidRPr="6408D7D1">
        <w:rPr>
          <w:rFonts w:ascii="Arial" w:hAnsi="Arial" w:cs="Arial"/>
          <w:sz w:val="24"/>
          <w:szCs w:val="24"/>
        </w:rPr>
        <w:t xml:space="preserve">. We </w:t>
      </w:r>
      <w:r w:rsidR="008E678D" w:rsidRPr="6408D7D1">
        <w:rPr>
          <w:rFonts w:ascii="Arial" w:hAnsi="Arial" w:cs="Arial"/>
          <w:sz w:val="24"/>
          <w:szCs w:val="24"/>
        </w:rPr>
        <w:t xml:space="preserve">included multiple assessment </w:t>
      </w:r>
      <w:r w:rsidR="005F10EF" w:rsidRPr="6408D7D1">
        <w:rPr>
          <w:rFonts w:ascii="Arial" w:hAnsi="Arial" w:cs="Arial"/>
          <w:sz w:val="24"/>
          <w:szCs w:val="24"/>
        </w:rPr>
        <w:t>methods</w:t>
      </w:r>
      <w:r w:rsidR="008E678D" w:rsidRPr="6408D7D1">
        <w:rPr>
          <w:rFonts w:ascii="Arial" w:hAnsi="Arial" w:cs="Arial"/>
          <w:sz w:val="24"/>
          <w:szCs w:val="24"/>
        </w:rPr>
        <w:t>; the production of work focused on varied audience</w:t>
      </w:r>
      <w:r w:rsidR="00BC256B">
        <w:rPr>
          <w:rFonts w:ascii="Arial" w:hAnsi="Arial" w:cs="Arial"/>
          <w:sz w:val="24"/>
          <w:szCs w:val="24"/>
        </w:rPr>
        <w:t>s</w:t>
      </w:r>
      <w:r w:rsidR="002206F1">
        <w:rPr>
          <w:rFonts w:ascii="Arial" w:hAnsi="Arial" w:cs="Arial"/>
          <w:sz w:val="24"/>
          <w:szCs w:val="24"/>
        </w:rPr>
        <w:t xml:space="preserve">, </w:t>
      </w:r>
      <w:r w:rsidR="00435B88">
        <w:rPr>
          <w:rFonts w:ascii="Arial" w:hAnsi="Arial" w:cs="Arial"/>
          <w:sz w:val="24"/>
          <w:szCs w:val="24"/>
        </w:rPr>
        <w:t>for example</w:t>
      </w:r>
      <w:r w:rsidR="00F745CF">
        <w:rPr>
          <w:rFonts w:ascii="Arial" w:hAnsi="Arial" w:cs="Arial"/>
          <w:sz w:val="24"/>
          <w:szCs w:val="24"/>
        </w:rPr>
        <w:t xml:space="preserve">, a report for </w:t>
      </w:r>
      <w:r w:rsidR="00CA4ACE">
        <w:rPr>
          <w:rFonts w:ascii="Arial" w:hAnsi="Arial" w:cs="Arial"/>
          <w:sz w:val="24"/>
          <w:szCs w:val="24"/>
        </w:rPr>
        <w:t>a</w:t>
      </w:r>
      <w:r w:rsidR="00F745CF">
        <w:rPr>
          <w:rFonts w:ascii="Arial" w:hAnsi="Arial" w:cs="Arial"/>
          <w:sz w:val="24"/>
          <w:szCs w:val="24"/>
        </w:rPr>
        <w:t xml:space="preserve"> prospective employer, or a recorded book review for </w:t>
      </w:r>
      <w:r w:rsidR="00DD567D">
        <w:rPr>
          <w:rFonts w:ascii="Arial" w:hAnsi="Arial" w:cs="Arial"/>
          <w:sz w:val="24"/>
          <w:szCs w:val="24"/>
        </w:rPr>
        <w:t>fellow peers</w:t>
      </w:r>
      <w:r w:rsidR="00D64380">
        <w:rPr>
          <w:rFonts w:ascii="Arial" w:hAnsi="Arial" w:cs="Arial"/>
          <w:sz w:val="24"/>
          <w:szCs w:val="24"/>
        </w:rPr>
        <w:t>;</w:t>
      </w:r>
      <w:r w:rsidR="002206F1">
        <w:rPr>
          <w:rFonts w:ascii="Arial" w:hAnsi="Arial" w:cs="Arial"/>
          <w:sz w:val="24"/>
          <w:szCs w:val="24"/>
        </w:rPr>
        <w:t xml:space="preserve"> </w:t>
      </w:r>
      <w:r w:rsidR="00D64380">
        <w:rPr>
          <w:rFonts w:ascii="Arial" w:hAnsi="Arial" w:cs="Arial"/>
          <w:sz w:val="24"/>
          <w:szCs w:val="24"/>
        </w:rPr>
        <w:t>we</w:t>
      </w:r>
      <w:r w:rsidR="002206F1">
        <w:rPr>
          <w:rFonts w:ascii="Arial" w:hAnsi="Arial" w:cs="Arial"/>
          <w:sz w:val="24"/>
          <w:szCs w:val="24"/>
        </w:rPr>
        <w:t xml:space="preserve"> also encouraged</w:t>
      </w:r>
      <w:r w:rsidR="008E678D" w:rsidRPr="6408D7D1">
        <w:rPr>
          <w:rFonts w:ascii="Arial" w:hAnsi="Arial" w:cs="Arial"/>
          <w:sz w:val="24"/>
          <w:szCs w:val="24"/>
        </w:rPr>
        <w:t xml:space="preserve"> collaborative work; </w:t>
      </w:r>
      <w:r w:rsidR="00D64380">
        <w:rPr>
          <w:rFonts w:ascii="Arial" w:hAnsi="Arial" w:cs="Arial"/>
          <w:sz w:val="24"/>
          <w:szCs w:val="24"/>
        </w:rPr>
        <w:t xml:space="preserve">and </w:t>
      </w:r>
      <w:r w:rsidR="008E678D" w:rsidRPr="6408D7D1">
        <w:rPr>
          <w:rFonts w:ascii="Arial" w:hAnsi="Arial" w:cs="Arial"/>
          <w:sz w:val="24"/>
          <w:szCs w:val="24"/>
        </w:rPr>
        <w:t xml:space="preserve">a ‘light structure’ </w:t>
      </w:r>
      <w:r w:rsidR="002206F1">
        <w:rPr>
          <w:rFonts w:ascii="Arial" w:hAnsi="Arial" w:cs="Arial"/>
          <w:sz w:val="24"/>
          <w:szCs w:val="24"/>
        </w:rPr>
        <w:lastRenderedPageBreak/>
        <w:t>including</w:t>
      </w:r>
      <w:r w:rsidR="002206F1" w:rsidRPr="6408D7D1">
        <w:rPr>
          <w:rFonts w:ascii="Arial" w:hAnsi="Arial" w:cs="Arial"/>
          <w:sz w:val="24"/>
          <w:szCs w:val="24"/>
        </w:rPr>
        <w:t xml:space="preserve"> </w:t>
      </w:r>
      <w:r w:rsidR="008E678D" w:rsidRPr="6408D7D1">
        <w:rPr>
          <w:rFonts w:ascii="Arial" w:hAnsi="Arial" w:cs="Arial"/>
          <w:sz w:val="24"/>
          <w:szCs w:val="24"/>
        </w:rPr>
        <w:t>guidance which does not go into exhaustive detail</w:t>
      </w:r>
      <w:r w:rsidR="00A576CC">
        <w:rPr>
          <w:rFonts w:ascii="Arial" w:hAnsi="Arial" w:cs="Arial"/>
          <w:sz w:val="24"/>
          <w:szCs w:val="24"/>
        </w:rPr>
        <w:t>;</w:t>
      </w:r>
      <w:r w:rsidR="008E678D" w:rsidRPr="6408D7D1">
        <w:rPr>
          <w:rFonts w:ascii="Arial" w:hAnsi="Arial" w:cs="Arial"/>
          <w:sz w:val="24"/>
          <w:szCs w:val="24"/>
        </w:rPr>
        <w:t xml:space="preserve"> and opportunities for </w:t>
      </w:r>
      <w:r w:rsidR="00DB0784">
        <w:rPr>
          <w:rFonts w:ascii="Arial" w:hAnsi="Arial" w:cs="Arial"/>
          <w:sz w:val="24"/>
          <w:szCs w:val="24"/>
        </w:rPr>
        <w:t xml:space="preserve">both </w:t>
      </w:r>
      <w:r w:rsidR="008E678D" w:rsidRPr="6408D7D1">
        <w:rPr>
          <w:rFonts w:ascii="Arial" w:hAnsi="Arial" w:cs="Arial"/>
          <w:sz w:val="24"/>
          <w:szCs w:val="24"/>
        </w:rPr>
        <w:t>peer and self-review.</w:t>
      </w:r>
    </w:p>
    <w:p w14:paraId="3BF62F1B" w14:textId="15D88809" w:rsidR="00F514D5" w:rsidRDefault="00DB0784" w:rsidP="6408D7D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2A39C7" w:rsidRPr="6408D7D1">
        <w:rPr>
          <w:rFonts w:ascii="Arial" w:hAnsi="Arial" w:cs="Arial"/>
          <w:sz w:val="24"/>
          <w:szCs w:val="24"/>
        </w:rPr>
        <w:t xml:space="preserve">edagogical </w:t>
      </w:r>
      <w:r w:rsidR="00F514D5" w:rsidRPr="6408D7D1">
        <w:rPr>
          <w:rFonts w:ascii="Arial" w:hAnsi="Arial" w:cs="Arial"/>
          <w:sz w:val="24"/>
          <w:szCs w:val="24"/>
        </w:rPr>
        <w:t xml:space="preserve">principles of “backwards design” (Wiggins </w:t>
      </w:r>
      <w:r w:rsidR="0A0115DD" w:rsidRPr="6408D7D1">
        <w:rPr>
          <w:rFonts w:ascii="Arial" w:hAnsi="Arial" w:cs="Arial"/>
          <w:sz w:val="24"/>
          <w:szCs w:val="24"/>
        </w:rPr>
        <w:t>&amp;</w:t>
      </w:r>
      <w:r w:rsidR="00191D85">
        <w:rPr>
          <w:rFonts w:ascii="Arial" w:hAnsi="Arial" w:cs="Arial"/>
          <w:sz w:val="24"/>
          <w:szCs w:val="24"/>
        </w:rPr>
        <w:t xml:space="preserve"> </w:t>
      </w:r>
      <w:r w:rsidR="00F514D5" w:rsidRPr="6408D7D1">
        <w:rPr>
          <w:rFonts w:ascii="Arial" w:hAnsi="Arial" w:cs="Arial"/>
          <w:sz w:val="24"/>
          <w:szCs w:val="24"/>
        </w:rPr>
        <w:t>McTighe, 2005) were adopted and sessional content constructively aligned</w:t>
      </w:r>
      <w:r w:rsidR="00331BE0" w:rsidRPr="6408D7D1">
        <w:rPr>
          <w:rFonts w:ascii="Arial" w:hAnsi="Arial" w:cs="Arial"/>
          <w:sz w:val="24"/>
          <w:szCs w:val="24"/>
        </w:rPr>
        <w:t xml:space="preserve"> (Biggs, 1996)</w:t>
      </w:r>
      <w:r w:rsidR="00F514D5" w:rsidRPr="6408D7D1">
        <w:rPr>
          <w:rFonts w:ascii="Arial" w:hAnsi="Arial" w:cs="Arial"/>
          <w:sz w:val="24"/>
          <w:szCs w:val="24"/>
        </w:rPr>
        <w:t xml:space="preserve">. </w:t>
      </w:r>
      <w:r w:rsidR="00983C0E" w:rsidRPr="6408D7D1">
        <w:rPr>
          <w:rFonts w:ascii="Arial" w:hAnsi="Arial" w:cs="Arial"/>
          <w:sz w:val="24"/>
          <w:szCs w:val="24"/>
        </w:rPr>
        <w:t>Constructive alignment draws on two areas of learning: constructivism (</w:t>
      </w:r>
      <w:r w:rsidR="001A0205">
        <w:rPr>
          <w:rFonts w:ascii="Arial" w:hAnsi="Arial" w:cs="Arial"/>
          <w:sz w:val="24"/>
          <w:szCs w:val="24"/>
        </w:rPr>
        <w:t>Pi</w:t>
      </w:r>
      <w:r w:rsidR="008F517A">
        <w:rPr>
          <w:rFonts w:ascii="Arial" w:hAnsi="Arial" w:cs="Arial"/>
          <w:sz w:val="24"/>
          <w:szCs w:val="24"/>
        </w:rPr>
        <w:t>aget, 1952</w:t>
      </w:r>
      <w:r w:rsidR="0061597F">
        <w:rPr>
          <w:rFonts w:ascii="Arial" w:hAnsi="Arial" w:cs="Arial"/>
          <w:sz w:val="24"/>
          <w:szCs w:val="24"/>
        </w:rPr>
        <w:t>),</w:t>
      </w:r>
      <w:r w:rsidR="008F517A">
        <w:rPr>
          <w:rFonts w:ascii="Arial" w:hAnsi="Arial" w:cs="Arial"/>
          <w:sz w:val="24"/>
          <w:szCs w:val="24"/>
        </w:rPr>
        <w:t xml:space="preserve"> </w:t>
      </w:r>
      <w:r w:rsidR="00983C0E" w:rsidRPr="6408D7D1">
        <w:rPr>
          <w:rFonts w:ascii="Arial" w:hAnsi="Arial" w:cs="Arial"/>
          <w:sz w:val="24"/>
          <w:szCs w:val="24"/>
        </w:rPr>
        <w:t>the concept of learners constructing their knowledge through learning activities</w:t>
      </w:r>
      <w:r w:rsidR="00982E9F">
        <w:rPr>
          <w:rFonts w:ascii="Arial" w:hAnsi="Arial" w:cs="Arial"/>
          <w:sz w:val="24"/>
          <w:szCs w:val="24"/>
        </w:rPr>
        <w:t>,</w:t>
      </w:r>
      <w:r w:rsidR="00983C0E" w:rsidRPr="6408D7D1">
        <w:rPr>
          <w:rFonts w:ascii="Arial" w:hAnsi="Arial" w:cs="Arial"/>
          <w:sz w:val="24"/>
          <w:szCs w:val="24"/>
        </w:rPr>
        <w:t xml:space="preserve"> and alignment </w:t>
      </w:r>
      <w:r w:rsidR="00F404CF">
        <w:rPr>
          <w:rFonts w:ascii="Arial" w:hAnsi="Arial" w:cs="Arial"/>
          <w:sz w:val="24"/>
          <w:szCs w:val="24"/>
        </w:rPr>
        <w:t xml:space="preserve">(Biggs </w:t>
      </w:r>
      <w:r w:rsidR="00191D85">
        <w:rPr>
          <w:rFonts w:ascii="Arial" w:hAnsi="Arial" w:cs="Arial"/>
          <w:sz w:val="24"/>
          <w:szCs w:val="24"/>
        </w:rPr>
        <w:t xml:space="preserve">&amp; </w:t>
      </w:r>
      <w:r w:rsidR="00F404CF">
        <w:rPr>
          <w:rFonts w:ascii="Arial" w:hAnsi="Arial" w:cs="Arial"/>
          <w:sz w:val="24"/>
          <w:szCs w:val="24"/>
        </w:rPr>
        <w:t>Tang</w:t>
      </w:r>
      <w:r w:rsidR="007755ED">
        <w:rPr>
          <w:rFonts w:ascii="Arial" w:hAnsi="Arial" w:cs="Arial"/>
          <w:sz w:val="24"/>
          <w:szCs w:val="24"/>
        </w:rPr>
        <w:t xml:space="preserve">, 2007) </w:t>
      </w:r>
      <w:r w:rsidR="00983C0E" w:rsidRPr="6408D7D1">
        <w:rPr>
          <w:rFonts w:ascii="Arial" w:hAnsi="Arial" w:cs="Arial"/>
          <w:sz w:val="24"/>
          <w:szCs w:val="24"/>
        </w:rPr>
        <w:t xml:space="preserve">with </w:t>
      </w:r>
      <w:r w:rsidR="00982E9F">
        <w:rPr>
          <w:rFonts w:ascii="Arial" w:hAnsi="Arial" w:cs="Arial"/>
          <w:sz w:val="24"/>
          <w:szCs w:val="24"/>
        </w:rPr>
        <w:t xml:space="preserve">intended </w:t>
      </w:r>
      <w:r w:rsidR="00983C0E" w:rsidRPr="6408D7D1">
        <w:rPr>
          <w:rFonts w:ascii="Arial" w:hAnsi="Arial" w:cs="Arial"/>
          <w:sz w:val="24"/>
          <w:szCs w:val="24"/>
        </w:rPr>
        <w:t xml:space="preserve">learning outcomes (ILOs). </w:t>
      </w:r>
      <w:r w:rsidR="003B4E51">
        <w:rPr>
          <w:rFonts w:ascii="Arial" w:hAnsi="Arial" w:cs="Arial"/>
          <w:sz w:val="24"/>
          <w:szCs w:val="24"/>
        </w:rPr>
        <w:t>B</w:t>
      </w:r>
      <w:r w:rsidR="00F514D5" w:rsidRPr="6408D7D1">
        <w:rPr>
          <w:rFonts w:ascii="Arial" w:hAnsi="Arial" w:cs="Arial"/>
          <w:sz w:val="24"/>
          <w:szCs w:val="24"/>
        </w:rPr>
        <w:t>ackward design has three stages</w:t>
      </w:r>
      <w:r w:rsidR="003B4E51">
        <w:rPr>
          <w:rFonts w:ascii="Arial" w:hAnsi="Arial" w:cs="Arial"/>
          <w:sz w:val="24"/>
          <w:szCs w:val="24"/>
        </w:rPr>
        <w:t>:</w:t>
      </w:r>
      <w:r w:rsidR="00F514D5" w:rsidRPr="6408D7D1">
        <w:rPr>
          <w:rFonts w:ascii="Arial" w:hAnsi="Arial" w:cs="Arial"/>
          <w:sz w:val="24"/>
          <w:szCs w:val="24"/>
        </w:rPr>
        <w:t xml:space="preserve"> It begins with educators considering the learning goals of the </w:t>
      </w:r>
      <w:r w:rsidR="002A39C7" w:rsidRPr="6408D7D1">
        <w:rPr>
          <w:rFonts w:ascii="Arial" w:hAnsi="Arial" w:cs="Arial"/>
          <w:sz w:val="24"/>
          <w:szCs w:val="24"/>
        </w:rPr>
        <w:t>module</w:t>
      </w:r>
      <w:r w:rsidR="00F514D5" w:rsidRPr="6408D7D1">
        <w:rPr>
          <w:rFonts w:ascii="Arial" w:hAnsi="Arial" w:cs="Arial"/>
          <w:sz w:val="24"/>
          <w:szCs w:val="24"/>
        </w:rPr>
        <w:t xml:space="preserve">. Having determined the desired results, the second stage is to determine the acceptable evidence, asking </w:t>
      </w:r>
      <w:r w:rsidR="003842D1">
        <w:rPr>
          <w:rFonts w:ascii="Arial" w:hAnsi="Arial" w:cs="Arial"/>
          <w:sz w:val="24"/>
          <w:szCs w:val="24"/>
        </w:rPr>
        <w:t>‘</w:t>
      </w:r>
      <w:r w:rsidR="00F514D5" w:rsidRPr="6408D7D1">
        <w:rPr>
          <w:rFonts w:ascii="Arial" w:hAnsi="Arial" w:cs="Arial"/>
          <w:sz w:val="24"/>
          <w:szCs w:val="24"/>
        </w:rPr>
        <w:t>how will we know that the learning experience is making a difference?</w:t>
      </w:r>
      <w:r w:rsidR="003842D1">
        <w:rPr>
          <w:rFonts w:ascii="Arial" w:hAnsi="Arial" w:cs="Arial"/>
          <w:sz w:val="24"/>
          <w:szCs w:val="24"/>
        </w:rPr>
        <w:t>’.</w:t>
      </w:r>
      <w:r w:rsidR="00F514D5" w:rsidRPr="6408D7D1">
        <w:rPr>
          <w:rFonts w:ascii="Arial" w:hAnsi="Arial" w:cs="Arial"/>
          <w:sz w:val="24"/>
          <w:szCs w:val="24"/>
        </w:rPr>
        <w:t xml:space="preserve"> The third stage considers what content, activities and experiences will lead to the desired results. </w:t>
      </w:r>
      <w:r w:rsidR="003032EA">
        <w:rPr>
          <w:rFonts w:ascii="Arial" w:hAnsi="Arial" w:cs="Arial"/>
          <w:sz w:val="24"/>
          <w:szCs w:val="24"/>
        </w:rPr>
        <w:t>We</w:t>
      </w:r>
      <w:r w:rsidR="00F514D5" w:rsidRPr="6408D7D1">
        <w:rPr>
          <w:rFonts w:ascii="Arial" w:hAnsi="Arial" w:cs="Arial"/>
          <w:sz w:val="24"/>
          <w:szCs w:val="24"/>
        </w:rPr>
        <w:t xml:space="preserve"> had a clear picture in our minds of student participants </w:t>
      </w:r>
      <w:r w:rsidR="003032EA">
        <w:rPr>
          <w:rFonts w:ascii="Arial" w:hAnsi="Arial" w:cs="Arial"/>
          <w:sz w:val="24"/>
          <w:szCs w:val="24"/>
        </w:rPr>
        <w:t>completing</w:t>
      </w:r>
      <w:r w:rsidR="00F514D5" w:rsidRPr="6408D7D1">
        <w:rPr>
          <w:rFonts w:ascii="Arial" w:hAnsi="Arial" w:cs="Arial"/>
          <w:sz w:val="24"/>
          <w:szCs w:val="24"/>
        </w:rPr>
        <w:t xml:space="preserve"> the module </w:t>
      </w:r>
      <w:r w:rsidR="00C634D2">
        <w:rPr>
          <w:rFonts w:ascii="Arial" w:hAnsi="Arial" w:cs="Arial"/>
          <w:sz w:val="24"/>
          <w:szCs w:val="24"/>
        </w:rPr>
        <w:t>with</w:t>
      </w:r>
      <w:r w:rsidR="00F514D5" w:rsidRPr="6408D7D1">
        <w:rPr>
          <w:rFonts w:ascii="Arial" w:hAnsi="Arial" w:cs="Arial"/>
          <w:sz w:val="24"/>
          <w:szCs w:val="24"/>
        </w:rPr>
        <w:t xml:space="preserve"> increased self-awareness and knowledge of </w:t>
      </w:r>
      <w:r w:rsidR="008F6082">
        <w:rPr>
          <w:rFonts w:ascii="Arial" w:hAnsi="Arial" w:cs="Arial"/>
          <w:sz w:val="24"/>
          <w:szCs w:val="24"/>
        </w:rPr>
        <w:t>themselves and the</w:t>
      </w:r>
      <w:r w:rsidR="00F514D5" w:rsidRPr="6408D7D1">
        <w:rPr>
          <w:rFonts w:ascii="Arial" w:hAnsi="Arial" w:cs="Arial"/>
          <w:sz w:val="24"/>
          <w:szCs w:val="24"/>
        </w:rPr>
        <w:t xml:space="preserve"> graduate labour market</w:t>
      </w:r>
      <w:r w:rsidR="00C560FD">
        <w:rPr>
          <w:rFonts w:ascii="Arial" w:hAnsi="Arial" w:cs="Arial"/>
          <w:sz w:val="24"/>
          <w:szCs w:val="24"/>
        </w:rPr>
        <w:t xml:space="preserve">; </w:t>
      </w:r>
      <w:r w:rsidR="008F6082">
        <w:rPr>
          <w:rFonts w:ascii="Arial" w:hAnsi="Arial" w:cs="Arial"/>
          <w:sz w:val="24"/>
          <w:szCs w:val="24"/>
        </w:rPr>
        <w:t xml:space="preserve">having </w:t>
      </w:r>
      <w:r w:rsidR="00970EEB" w:rsidRPr="6408D7D1">
        <w:rPr>
          <w:rFonts w:ascii="Arial" w:hAnsi="Arial" w:cs="Arial"/>
          <w:sz w:val="24"/>
          <w:szCs w:val="24"/>
        </w:rPr>
        <w:t>develop</w:t>
      </w:r>
      <w:r w:rsidR="00385499" w:rsidRPr="6408D7D1">
        <w:rPr>
          <w:rFonts w:ascii="Arial" w:hAnsi="Arial" w:cs="Arial"/>
          <w:sz w:val="24"/>
          <w:szCs w:val="24"/>
        </w:rPr>
        <w:t>ed</w:t>
      </w:r>
      <w:r w:rsidR="00970EEB" w:rsidRPr="6408D7D1">
        <w:rPr>
          <w:rFonts w:ascii="Arial" w:hAnsi="Arial" w:cs="Arial"/>
          <w:sz w:val="24"/>
          <w:szCs w:val="24"/>
        </w:rPr>
        <w:t xml:space="preserve"> key skills</w:t>
      </w:r>
      <w:r w:rsidR="00C560FD">
        <w:rPr>
          <w:rFonts w:ascii="Arial" w:hAnsi="Arial" w:cs="Arial"/>
          <w:sz w:val="24"/>
          <w:szCs w:val="24"/>
        </w:rPr>
        <w:t>;</w:t>
      </w:r>
      <w:r w:rsidR="00970EEB" w:rsidRPr="6408D7D1">
        <w:rPr>
          <w:rFonts w:ascii="Arial" w:hAnsi="Arial" w:cs="Arial"/>
          <w:sz w:val="24"/>
          <w:szCs w:val="24"/>
        </w:rPr>
        <w:t xml:space="preserve"> </w:t>
      </w:r>
      <w:r w:rsidR="00350026" w:rsidRPr="6408D7D1">
        <w:rPr>
          <w:rFonts w:ascii="Arial" w:hAnsi="Arial" w:cs="Arial"/>
          <w:sz w:val="24"/>
          <w:szCs w:val="24"/>
        </w:rPr>
        <w:t>gain</w:t>
      </w:r>
      <w:r w:rsidR="00385499" w:rsidRPr="6408D7D1">
        <w:rPr>
          <w:rFonts w:ascii="Arial" w:hAnsi="Arial" w:cs="Arial"/>
          <w:sz w:val="24"/>
          <w:szCs w:val="24"/>
        </w:rPr>
        <w:t>ed</w:t>
      </w:r>
      <w:r w:rsidR="00350026" w:rsidRPr="6408D7D1">
        <w:rPr>
          <w:rFonts w:ascii="Arial" w:hAnsi="Arial" w:cs="Arial"/>
          <w:sz w:val="24"/>
          <w:szCs w:val="24"/>
        </w:rPr>
        <w:t xml:space="preserve"> relevant experience</w:t>
      </w:r>
      <w:r w:rsidR="00C560FD">
        <w:rPr>
          <w:rFonts w:ascii="Arial" w:hAnsi="Arial" w:cs="Arial"/>
          <w:sz w:val="24"/>
          <w:szCs w:val="24"/>
        </w:rPr>
        <w:t>;</w:t>
      </w:r>
      <w:r w:rsidR="00350026" w:rsidRPr="6408D7D1">
        <w:rPr>
          <w:rFonts w:ascii="Arial" w:hAnsi="Arial" w:cs="Arial"/>
          <w:sz w:val="24"/>
          <w:szCs w:val="24"/>
        </w:rPr>
        <w:t xml:space="preserve"> generat</w:t>
      </w:r>
      <w:r w:rsidR="00385499" w:rsidRPr="6408D7D1">
        <w:rPr>
          <w:rFonts w:ascii="Arial" w:hAnsi="Arial" w:cs="Arial"/>
          <w:sz w:val="24"/>
          <w:szCs w:val="24"/>
        </w:rPr>
        <w:t>ed</w:t>
      </w:r>
      <w:r w:rsidR="00350026" w:rsidRPr="6408D7D1">
        <w:rPr>
          <w:rFonts w:ascii="Arial" w:hAnsi="Arial" w:cs="Arial"/>
          <w:sz w:val="24"/>
          <w:szCs w:val="24"/>
        </w:rPr>
        <w:t xml:space="preserve"> tangible outputs such CVs and personal statements</w:t>
      </w:r>
      <w:r w:rsidR="00C560FD">
        <w:rPr>
          <w:rFonts w:ascii="Arial" w:hAnsi="Arial" w:cs="Arial"/>
          <w:sz w:val="24"/>
          <w:szCs w:val="24"/>
        </w:rPr>
        <w:t xml:space="preserve">; </w:t>
      </w:r>
      <w:r w:rsidR="00350026" w:rsidRPr="6408D7D1">
        <w:rPr>
          <w:rFonts w:ascii="Arial" w:hAnsi="Arial" w:cs="Arial"/>
          <w:sz w:val="24"/>
          <w:szCs w:val="24"/>
        </w:rPr>
        <w:t xml:space="preserve">as well as </w:t>
      </w:r>
      <w:r w:rsidR="00F514D5" w:rsidRPr="6408D7D1">
        <w:rPr>
          <w:rFonts w:ascii="Arial" w:hAnsi="Arial" w:cs="Arial"/>
          <w:sz w:val="24"/>
          <w:szCs w:val="24"/>
        </w:rPr>
        <w:t>increased confidence and ability to transition successfully into the world of work (</w:t>
      </w:r>
      <w:r w:rsidR="00CD6760" w:rsidRPr="6408D7D1">
        <w:rPr>
          <w:rFonts w:ascii="Arial" w:hAnsi="Arial" w:cs="Arial"/>
          <w:sz w:val="24"/>
          <w:szCs w:val="24"/>
        </w:rPr>
        <w:t>s</w:t>
      </w:r>
      <w:r w:rsidR="00F514D5" w:rsidRPr="6408D7D1">
        <w:rPr>
          <w:rFonts w:ascii="Arial" w:hAnsi="Arial" w:cs="Arial"/>
          <w:sz w:val="24"/>
          <w:szCs w:val="24"/>
        </w:rPr>
        <w:t>ee</w:t>
      </w:r>
      <w:r w:rsidR="00371671" w:rsidRPr="6408D7D1">
        <w:rPr>
          <w:rFonts w:ascii="Arial" w:hAnsi="Arial" w:cs="Arial"/>
          <w:sz w:val="24"/>
          <w:szCs w:val="24"/>
        </w:rPr>
        <w:t xml:space="preserve"> Fig</w:t>
      </w:r>
      <w:r w:rsidR="00350026" w:rsidRPr="6408D7D1">
        <w:rPr>
          <w:rFonts w:ascii="Arial" w:hAnsi="Arial" w:cs="Arial"/>
          <w:sz w:val="24"/>
          <w:szCs w:val="24"/>
        </w:rPr>
        <w:t>ure</w:t>
      </w:r>
      <w:r w:rsidR="00371671" w:rsidRPr="6408D7D1">
        <w:rPr>
          <w:rFonts w:ascii="Arial" w:hAnsi="Arial" w:cs="Arial"/>
          <w:sz w:val="24"/>
          <w:szCs w:val="24"/>
        </w:rPr>
        <w:t xml:space="preserve"> 3</w:t>
      </w:r>
      <w:r w:rsidR="00F514D5" w:rsidRPr="6408D7D1">
        <w:rPr>
          <w:rFonts w:ascii="Arial" w:hAnsi="Arial" w:cs="Arial"/>
          <w:sz w:val="24"/>
          <w:szCs w:val="24"/>
        </w:rPr>
        <w:t>)</w:t>
      </w:r>
      <w:r w:rsidR="00CD6760" w:rsidRPr="6408D7D1">
        <w:rPr>
          <w:rFonts w:ascii="Arial" w:hAnsi="Arial" w:cs="Arial"/>
          <w:sz w:val="24"/>
          <w:szCs w:val="24"/>
        </w:rPr>
        <w:t>.</w:t>
      </w:r>
    </w:p>
    <w:p w14:paraId="45F3C110" w14:textId="53F85751" w:rsidR="00CD6760" w:rsidRPr="00CD6760" w:rsidRDefault="00CD6760" w:rsidP="00CD6760">
      <w:pPr>
        <w:spacing w:line="360" w:lineRule="auto"/>
        <w:jc w:val="center"/>
        <w:outlineLvl w:val="0"/>
        <w:rPr>
          <w:rFonts w:ascii="Arial" w:hAnsi="Arial" w:cs="Arial"/>
          <w:bCs/>
          <w:sz w:val="24"/>
          <w:szCs w:val="24"/>
          <w:u w:val="single"/>
        </w:rPr>
      </w:pPr>
      <w:r w:rsidRPr="00CD6760">
        <w:rPr>
          <w:rFonts w:ascii="Arial" w:hAnsi="Arial" w:cs="Arial"/>
          <w:bCs/>
          <w:sz w:val="24"/>
          <w:szCs w:val="24"/>
          <w:u w:val="single"/>
        </w:rPr>
        <w:t>Figure 3: Assessment Overview</w:t>
      </w:r>
    </w:p>
    <w:p w14:paraId="57358529" w14:textId="5E3DACEB" w:rsidR="009C6F61" w:rsidRDefault="00021C3B" w:rsidP="6408D7D1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  <w:r w:rsidRPr="6408D7D1">
        <w:rPr>
          <w:rFonts w:ascii="Arial" w:hAnsi="Arial" w:cs="Arial"/>
          <w:sz w:val="24"/>
          <w:szCs w:val="24"/>
        </w:rPr>
        <w:t xml:space="preserve">We </w:t>
      </w:r>
      <w:r w:rsidR="006A267D">
        <w:rPr>
          <w:rFonts w:ascii="Arial" w:hAnsi="Arial" w:cs="Arial"/>
          <w:sz w:val="24"/>
          <w:szCs w:val="24"/>
        </w:rPr>
        <w:t>used</w:t>
      </w:r>
      <w:r w:rsidR="003C00BA" w:rsidRPr="6408D7D1">
        <w:rPr>
          <w:rFonts w:ascii="Arial" w:hAnsi="Arial" w:cs="Arial"/>
          <w:sz w:val="24"/>
          <w:szCs w:val="24"/>
        </w:rPr>
        <w:t xml:space="preserve"> six different types of </w:t>
      </w:r>
      <w:r w:rsidR="00560262" w:rsidRPr="6408D7D1">
        <w:rPr>
          <w:rFonts w:ascii="Arial" w:hAnsi="Arial" w:cs="Arial"/>
          <w:sz w:val="24"/>
          <w:szCs w:val="24"/>
        </w:rPr>
        <w:t>assessment and</w:t>
      </w:r>
      <w:r w:rsidR="003B2D57">
        <w:rPr>
          <w:rFonts w:ascii="Arial" w:hAnsi="Arial" w:cs="Arial"/>
          <w:sz w:val="24"/>
          <w:szCs w:val="24"/>
        </w:rPr>
        <w:t xml:space="preserve"> </w:t>
      </w:r>
      <w:r w:rsidR="006A267D">
        <w:rPr>
          <w:rFonts w:ascii="Arial" w:hAnsi="Arial" w:cs="Arial"/>
          <w:sz w:val="24"/>
          <w:szCs w:val="24"/>
        </w:rPr>
        <w:t>employed</w:t>
      </w:r>
      <w:r w:rsidR="003B2D57">
        <w:rPr>
          <w:rFonts w:ascii="Arial" w:hAnsi="Arial" w:cs="Arial"/>
          <w:sz w:val="24"/>
          <w:szCs w:val="24"/>
        </w:rPr>
        <w:t xml:space="preserve"> </w:t>
      </w:r>
      <w:r w:rsidR="00A10A30" w:rsidRPr="6408D7D1">
        <w:rPr>
          <w:rFonts w:ascii="Arial" w:hAnsi="Arial" w:cs="Arial"/>
          <w:sz w:val="24"/>
          <w:szCs w:val="24"/>
        </w:rPr>
        <w:t xml:space="preserve">a </w:t>
      </w:r>
      <w:r w:rsidR="00B536B2" w:rsidRPr="6408D7D1">
        <w:rPr>
          <w:rFonts w:ascii="Arial" w:hAnsi="Arial" w:cs="Arial"/>
          <w:sz w:val="24"/>
          <w:szCs w:val="24"/>
        </w:rPr>
        <w:t>‘</w:t>
      </w:r>
      <w:r w:rsidR="00B947DF" w:rsidRPr="6408D7D1">
        <w:rPr>
          <w:rFonts w:ascii="Arial" w:hAnsi="Arial" w:cs="Arial"/>
          <w:sz w:val="24"/>
          <w:szCs w:val="24"/>
        </w:rPr>
        <w:t>slow and steady</w:t>
      </w:r>
      <w:r w:rsidR="00B536B2" w:rsidRPr="6408D7D1">
        <w:rPr>
          <w:rFonts w:ascii="Arial" w:hAnsi="Arial" w:cs="Arial"/>
          <w:sz w:val="24"/>
          <w:szCs w:val="24"/>
        </w:rPr>
        <w:t>’</w:t>
      </w:r>
      <w:r w:rsidR="00B947DF" w:rsidRPr="6408D7D1">
        <w:rPr>
          <w:rFonts w:ascii="Arial" w:hAnsi="Arial" w:cs="Arial"/>
          <w:sz w:val="24"/>
          <w:szCs w:val="24"/>
        </w:rPr>
        <w:t xml:space="preserve"> approach</w:t>
      </w:r>
      <w:r w:rsidR="00C17059" w:rsidRPr="6408D7D1">
        <w:rPr>
          <w:rFonts w:ascii="Arial" w:hAnsi="Arial" w:cs="Arial"/>
          <w:sz w:val="24"/>
          <w:szCs w:val="24"/>
        </w:rPr>
        <w:t xml:space="preserve">, </w:t>
      </w:r>
      <w:r w:rsidR="008B6980">
        <w:rPr>
          <w:rFonts w:ascii="Arial" w:hAnsi="Arial" w:cs="Arial"/>
          <w:sz w:val="24"/>
          <w:szCs w:val="24"/>
        </w:rPr>
        <w:t xml:space="preserve">which </w:t>
      </w:r>
      <w:r w:rsidR="00B947DF" w:rsidRPr="6408D7D1">
        <w:rPr>
          <w:rFonts w:ascii="Arial" w:hAnsi="Arial" w:cs="Arial"/>
          <w:sz w:val="24"/>
          <w:szCs w:val="24"/>
        </w:rPr>
        <w:t>support</w:t>
      </w:r>
      <w:r w:rsidR="00C17059" w:rsidRPr="6408D7D1">
        <w:rPr>
          <w:rFonts w:ascii="Arial" w:hAnsi="Arial" w:cs="Arial"/>
          <w:sz w:val="24"/>
          <w:szCs w:val="24"/>
        </w:rPr>
        <w:t>ed</w:t>
      </w:r>
      <w:r w:rsidR="00B947DF" w:rsidRPr="6408D7D1">
        <w:rPr>
          <w:rFonts w:ascii="Arial" w:hAnsi="Arial" w:cs="Arial"/>
          <w:sz w:val="24"/>
          <w:szCs w:val="24"/>
        </w:rPr>
        <w:t xml:space="preserve"> students throughout the module</w:t>
      </w:r>
      <w:r w:rsidR="005504CC" w:rsidRPr="6408D7D1">
        <w:rPr>
          <w:rFonts w:ascii="Arial" w:hAnsi="Arial" w:cs="Arial"/>
          <w:sz w:val="24"/>
          <w:szCs w:val="24"/>
        </w:rPr>
        <w:t xml:space="preserve">. We </w:t>
      </w:r>
      <w:r w:rsidR="00B947DF" w:rsidRPr="6408D7D1">
        <w:rPr>
          <w:rFonts w:ascii="Arial" w:hAnsi="Arial" w:cs="Arial"/>
          <w:sz w:val="24"/>
          <w:szCs w:val="24"/>
        </w:rPr>
        <w:t>ensur</w:t>
      </w:r>
      <w:r w:rsidR="005504CC" w:rsidRPr="6408D7D1">
        <w:rPr>
          <w:rFonts w:ascii="Arial" w:hAnsi="Arial" w:cs="Arial"/>
          <w:sz w:val="24"/>
          <w:szCs w:val="24"/>
        </w:rPr>
        <w:t>ed</w:t>
      </w:r>
      <w:r w:rsidR="00B947DF" w:rsidRPr="6408D7D1">
        <w:rPr>
          <w:rFonts w:ascii="Arial" w:hAnsi="Arial" w:cs="Arial"/>
          <w:sz w:val="24"/>
          <w:szCs w:val="24"/>
        </w:rPr>
        <w:t xml:space="preserve"> guidance </w:t>
      </w:r>
      <w:r w:rsidR="00560262">
        <w:rPr>
          <w:rFonts w:ascii="Arial" w:hAnsi="Arial" w:cs="Arial"/>
          <w:sz w:val="24"/>
          <w:szCs w:val="24"/>
        </w:rPr>
        <w:t xml:space="preserve">was </w:t>
      </w:r>
      <w:r w:rsidR="00B947DF" w:rsidRPr="6408D7D1">
        <w:rPr>
          <w:rFonts w:ascii="Arial" w:hAnsi="Arial" w:cs="Arial"/>
          <w:sz w:val="24"/>
          <w:szCs w:val="24"/>
        </w:rPr>
        <w:t xml:space="preserve">provided at </w:t>
      </w:r>
      <w:r w:rsidR="008109F0" w:rsidRPr="6408D7D1">
        <w:rPr>
          <w:rFonts w:ascii="Arial" w:hAnsi="Arial" w:cs="Arial"/>
          <w:sz w:val="24"/>
          <w:szCs w:val="24"/>
        </w:rPr>
        <w:t>key points</w:t>
      </w:r>
      <w:r w:rsidR="00F23B3B" w:rsidRPr="6408D7D1">
        <w:rPr>
          <w:rFonts w:ascii="Arial" w:hAnsi="Arial" w:cs="Arial"/>
          <w:sz w:val="24"/>
          <w:szCs w:val="24"/>
        </w:rPr>
        <w:t xml:space="preserve">, </w:t>
      </w:r>
      <w:r w:rsidR="008109F0" w:rsidRPr="6408D7D1">
        <w:rPr>
          <w:rFonts w:ascii="Arial" w:hAnsi="Arial" w:cs="Arial"/>
          <w:sz w:val="24"/>
          <w:szCs w:val="24"/>
        </w:rPr>
        <w:t>that each assessment covered a range of skill</w:t>
      </w:r>
      <w:r w:rsidR="00457C81" w:rsidRPr="6408D7D1">
        <w:rPr>
          <w:rFonts w:ascii="Arial" w:hAnsi="Arial" w:cs="Arial"/>
          <w:sz w:val="24"/>
          <w:szCs w:val="24"/>
        </w:rPr>
        <w:t>s</w:t>
      </w:r>
      <w:r w:rsidR="1A6D7768" w:rsidRPr="6408D7D1">
        <w:rPr>
          <w:rFonts w:ascii="Arial" w:hAnsi="Arial" w:cs="Arial"/>
          <w:sz w:val="24"/>
          <w:szCs w:val="24"/>
        </w:rPr>
        <w:t>,</w:t>
      </w:r>
      <w:r w:rsidR="00457C81" w:rsidRPr="6408D7D1">
        <w:rPr>
          <w:rFonts w:ascii="Arial" w:hAnsi="Arial" w:cs="Arial"/>
          <w:sz w:val="24"/>
          <w:szCs w:val="24"/>
        </w:rPr>
        <w:t xml:space="preserve"> and </w:t>
      </w:r>
      <w:r w:rsidR="00686421">
        <w:rPr>
          <w:rFonts w:ascii="Arial" w:hAnsi="Arial" w:cs="Arial"/>
          <w:sz w:val="24"/>
          <w:szCs w:val="24"/>
        </w:rPr>
        <w:t xml:space="preserve">that </w:t>
      </w:r>
      <w:r w:rsidR="006A267D">
        <w:rPr>
          <w:rFonts w:ascii="Arial" w:hAnsi="Arial" w:cs="Arial"/>
          <w:sz w:val="24"/>
          <w:szCs w:val="24"/>
        </w:rPr>
        <w:t>they were</w:t>
      </w:r>
      <w:r w:rsidR="005504CC" w:rsidRPr="6408D7D1">
        <w:rPr>
          <w:rFonts w:ascii="Arial" w:hAnsi="Arial" w:cs="Arial"/>
          <w:sz w:val="24"/>
          <w:szCs w:val="24"/>
        </w:rPr>
        <w:t xml:space="preserve"> </w:t>
      </w:r>
      <w:r w:rsidR="00457C81" w:rsidRPr="6408D7D1">
        <w:rPr>
          <w:rFonts w:ascii="Arial" w:hAnsi="Arial" w:cs="Arial"/>
          <w:sz w:val="24"/>
          <w:szCs w:val="24"/>
        </w:rPr>
        <w:t>constructively aligned to module content and delivery.</w:t>
      </w:r>
      <w:r w:rsidR="00D631DC" w:rsidRPr="6408D7D1">
        <w:rPr>
          <w:rFonts w:ascii="Arial" w:hAnsi="Arial" w:cs="Arial"/>
          <w:sz w:val="24"/>
          <w:szCs w:val="24"/>
        </w:rPr>
        <w:t xml:space="preserve"> </w:t>
      </w:r>
      <w:r w:rsidR="00E93F86" w:rsidRPr="6408D7D1">
        <w:rPr>
          <w:rFonts w:ascii="Arial" w:hAnsi="Arial" w:cs="Arial"/>
          <w:sz w:val="24"/>
          <w:szCs w:val="24"/>
        </w:rPr>
        <w:t>To overcome anticipated concern from students about the</w:t>
      </w:r>
      <w:r w:rsidR="008B6980">
        <w:rPr>
          <w:rFonts w:ascii="Arial" w:hAnsi="Arial" w:cs="Arial"/>
          <w:sz w:val="24"/>
          <w:szCs w:val="24"/>
        </w:rPr>
        <w:t xml:space="preserve"> relatively</w:t>
      </w:r>
      <w:r w:rsidR="00E93F86" w:rsidRPr="6408D7D1">
        <w:rPr>
          <w:rFonts w:ascii="Arial" w:hAnsi="Arial" w:cs="Arial"/>
          <w:sz w:val="24"/>
          <w:szCs w:val="24"/>
        </w:rPr>
        <w:t xml:space="preserve"> high number of assessments, w</w:t>
      </w:r>
      <w:r w:rsidR="00D631DC" w:rsidRPr="6408D7D1">
        <w:rPr>
          <w:rFonts w:ascii="Arial" w:hAnsi="Arial" w:cs="Arial"/>
          <w:sz w:val="24"/>
          <w:szCs w:val="24"/>
        </w:rPr>
        <w:t xml:space="preserve">e </w:t>
      </w:r>
      <w:r w:rsidR="00F23B3B" w:rsidRPr="6408D7D1">
        <w:rPr>
          <w:rFonts w:ascii="Arial" w:hAnsi="Arial" w:cs="Arial"/>
          <w:sz w:val="24"/>
          <w:szCs w:val="24"/>
        </w:rPr>
        <w:t>delivered</w:t>
      </w:r>
      <w:r w:rsidR="00E93F86" w:rsidRPr="6408D7D1">
        <w:rPr>
          <w:rFonts w:ascii="Arial" w:hAnsi="Arial" w:cs="Arial"/>
          <w:sz w:val="24"/>
          <w:szCs w:val="24"/>
        </w:rPr>
        <w:t xml:space="preserve"> a detailed introduction to the whole module in the first class</w:t>
      </w:r>
      <w:r w:rsidR="00891EF4">
        <w:rPr>
          <w:rFonts w:ascii="Arial" w:hAnsi="Arial" w:cs="Arial"/>
          <w:sz w:val="24"/>
          <w:szCs w:val="24"/>
        </w:rPr>
        <w:t>, taking</w:t>
      </w:r>
      <w:r w:rsidR="00E93F86" w:rsidRPr="6408D7D1">
        <w:rPr>
          <w:rFonts w:ascii="Arial" w:hAnsi="Arial" w:cs="Arial"/>
          <w:sz w:val="24"/>
          <w:szCs w:val="24"/>
        </w:rPr>
        <w:t xml:space="preserve"> time to explain the logic </w:t>
      </w:r>
      <w:r w:rsidR="0018445D">
        <w:rPr>
          <w:rFonts w:ascii="Arial" w:hAnsi="Arial" w:cs="Arial"/>
          <w:sz w:val="24"/>
          <w:szCs w:val="24"/>
        </w:rPr>
        <w:t xml:space="preserve">and value </w:t>
      </w:r>
      <w:r w:rsidR="00E93F86" w:rsidRPr="6408D7D1">
        <w:rPr>
          <w:rFonts w:ascii="Arial" w:hAnsi="Arial" w:cs="Arial"/>
          <w:sz w:val="24"/>
          <w:szCs w:val="24"/>
        </w:rPr>
        <w:t xml:space="preserve">of our approach to assessment. We explained each of the six assessments </w:t>
      </w:r>
      <w:r w:rsidR="0025087B" w:rsidRPr="6408D7D1">
        <w:rPr>
          <w:rFonts w:ascii="Arial" w:hAnsi="Arial" w:cs="Arial"/>
          <w:sz w:val="24"/>
          <w:szCs w:val="24"/>
        </w:rPr>
        <w:t>in turn</w:t>
      </w:r>
      <w:r w:rsidR="00E93F86" w:rsidRPr="6408D7D1">
        <w:rPr>
          <w:rFonts w:ascii="Arial" w:hAnsi="Arial" w:cs="Arial"/>
          <w:sz w:val="24"/>
          <w:szCs w:val="24"/>
        </w:rPr>
        <w:t xml:space="preserve">, providing rationale, </w:t>
      </w:r>
      <w:r w:rsidR="00EF6BD7" w:rsidRPr="6408D7D1">
        <w:rPr>
          <w:rFonts w:ascii="Arial" w:hAnsi="Arial" w:cs="Arial"/>
          <w:sz w:val="24"/>
          <w:szCs w:val="24"/>
        </w:rPr>
        <w:t>benefits,</w:t>
      </w:r>
      <w:r w:rsidR="00E93F86" w:rsidRPr="6408D7D1">
        <w:rPr>
          <w:rFonts w:ascii="Arial" w:hAnsi="Arial" w:cs="Arial"/>
          <w:sz w:val="24"/>
          <w:szCs w:val="24"/>
        </w:rPr>
        <w:t xml:space="preserve"> and details. </w:t>
      </w:r>
      <w:r w:rsidR="00891EF4">
        <w:rPr>
          <w:rFonts w:ascii="Arial" w:hAnsi="Arial" w:cs="Arial"/>
          <w:sz w:val="24"/>
          <w:szCs w:val="24"/>
        </w:rPr>
        <w:t>Importantly</w:t>
      </w:r>
      <w:r w:rsidR="00E93F86" w:rsidRPr="6408D7D1">
        <w:rPr>
          <w:rFonts w:ascii="Arial" w:hAnsi="Arial" w:cs="Arial"/>
          <w:sz w:val="24"/>
          <w:szCs w:val="24"/>
        </w:rPr>
        <w:t xml:space="preserve">, we indicated how each assessment </w:t>
      </w:r>
      <w:r w:rsidR="00350026" w:rsidRPr="6408D7D1">
        <w:rPr>
          <w:rFonts w:ascii="Arial" w:hAnsi="Arial" w:cs="Arial"/>
          <w:sz w:val="24"/>
          <w:szCs w:val="24"/>
        </w:rPr>
        <w:t xml:space="preserve">would allow them to </w:t>
      </w:r>
      <w:r w:rsidR="00E93F86" w:rsidRPr="6408D7D1">
        <w:rPr>
          <w:rFonts w:ascii="Arial" w:hAnsi="Arial" w:cs="Arial"/>
          <w:sz w:val="24"/>
          <w:szCs w:val="24"/>
        </w:rPr>
        <w:t xml:space="preserve">deploy the range of skills developed throughout the module, including opportunities to write in </w:t>
      </w:r>
      <w:r w:rsidR="0025087B" w:rsidRPr="6408D7D1">
        <w:rPr>
          <w:rFonts w:ascii="Arial" w:hAnsi="Arial" w:cs="Arial"/>
          <w:sz w:val="24"/>
          <w:szCs w:val="24"/>
        </w:rPr>
        <w:t>new</w:t>
      </w:r>
      <w:r w:rsidR="00962C35" w:rsidRPr="6408D7D1">
        <w:rPr>
          <w:rFonts w:ascii="Arial" w:hAnsi="Arial" w:cs="Arial"/>
          <w:sz w:val="24"/>
          <w:szCs w:val="24"/>
        </w:rPr>
        <w:t xml:space="preserve"> and</w:t>
      </w:r>
      <w:r w:rsidR="0025087B" w:rsidRPr="6408D7D1">
        <w:rPr>
          <w:rFonts w:ascii="Arial" w:hAnsi="Arial" w:cs="Arial"/>
          <w:sz w:val="24"/>
          <w:szCs w:val="24"/>
        </w:rPr>
        <w:t xml:space="preserve"> different ways</w:t>
      </w:r>
      <w:r w:rsidR="3C9CD0FD" w:rsidRPr="6408D7D1">
        <w:rPr>
          <w:rFonts w:ascii="Arial" w:hAnsi="Arial" w:cs="Arial"/>
          <w:sz w:val="24"/>
          <w:szCs w:val="24"/>
        </w:rPr>
        <w:t>.</w:t>
      </w:r>
      <w:r w:rsidR="0025087B" w:rsidRPr="6408D7D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E0581" w:rsidRPr="6408D7D1">
        <w:rPr>
          <w:rFonts w:ascii="Arial" w:hAnsi="Arial" w:cs="Arial"/>
          <w:sz w:val="24"/>
          <w:szCs w:val="24"/>
        </w:rPr>
        <w:t>Th</w:t>
      </w:r>
      <w:r w:rsidR="00E83B93">
        <w:rPr>
          <w:rFonts w:ascii="Arial" w:hAnsi="Arial" w:cs="Arial"/>
          <w:sz w:val="24"/>
          <w:szCs w:val="24"/>
        </w:rPr>
        <w:t>ese</w:t>
      </w:r>
      <w:r w:rsidR="002E0581" w:rsidRPr="6408D7D1">
        <w:rPr>
          <w:rFonts w:ascii="Arial" w:hAnsi="Arial" w:cs="Arial"/>
          <w:sz w:val="24"/>
          <w:szCs w:val="24"/>
        </w:rPr>
        <w:t xml:space="preserve"> included report</w:t>
      </w:r>
      <w:proofErr w:type="gramEnd"/>
      <w:r w:rsidR="00CF3771" w:rsidRPr="6408D7D1">
        <w:rPr>
          <w:rFonts w:ascii="Arial" w:hAnsi="Arial" w:cs="Arial"/>
          <w:sz w:val="24"/>
          <w:szCs w:val="24"/>
        </w:rPr>
        <w:t xml:space="preserve"> writing</w:t>
      </w:r>
      <w:r w:rsidR="00350026" w:rsidRPr="6408D7D1">
        <w:rPr>
          <w:rFonts w:ascii="Arial" w:hAnsi="Arial" w:cs="Arial"/>
          <w:sz w:val="24"/>
          <w:szCs w:val="24"/>
        </w:rPr>
        <w:t xml:space="preserve"> and reflective logs</w:t>
      </w:r>
      <w:r w:rsidR="189362B5" w:rsidRPr="6408D7D1">
        <w:rPr>
          <w:rFonts w:ascii="Arial" w:hAnsi="Arial" w:cs="Arial"/>
          <w:sz w:val="24"/>
          <w:szCs w:val="24"/>
        </w:rPr>
        <w:t xml:space="preserve"> which would be useful </w:t>
      </w:r>
      <w:r w:rsidR="00A0771C">
        <w:rPr>
          <w:rFonts w:ascii="Arial" w:hAnsi="Arial" w:cs="Arial"/>
          <w:sz w:val="24"/>
          <w:szCs w:val="24"/>
        </w:rPr>
        <w:t xml:space="preserve">in many </w:t>
      </w:r>
      <w:r w:rsidR="00E83B93">
        <w:rPr>
          <w:rFonts w:ascii="Arial" w:hAnsi="Arial" w:cs="Arial"/>
          <w:sz w:val="24"/>
          <w:szCs w:val="24"/>
        </w:rPr>
        <w:t xml:space="preserve">of the </w:t>
      </w:r>
      <w:r w:rsidR="00A0771C">
        <w:rPr>
          <w:rFonts w:ascii="Arial" w:hAnsi="Arial" w:cs="Arial"/>
          <w:sz w:val="24"/>
          <w:szCs w:val="24"/>
        </w:rPr>
        <w:t>professional career</w:t>
      </w:r>
      <w:r w:rsidR="00E83B93">
        <w:rPr>
          <w:rFonts w:ascii="Arial" w:hAnsi="Arial" w:cs="Arial"/>
          <w:sz w:val="24"/>
          <w:szCs w:val="24"/>
        </w:rPr>
        <w:t xml:space="preserve"> options</w:t>
      </w:r>
      <w:r w:rsidR="002E0581">
        <w:rPr>
          <w:rFonts w:ascii="Arial" w:hAnsi="Arial" w:cs="Arial"/>
          <w:sz w:val="24"/>
          <w:szCs w:val="24"/>
        </w:rPr>
        <w:t xml:space="preserve">. </w:t>
      </w:r>
      <w:r w:rsidR="00E93F86" w:rsidRPr="6408D7D1">
        <w:rPr>
          <w:rFonts w:ascii="Arial" w:hAnsi="Arial" w:cs="Arial"/>
          <w:sz w:val="24"/>
          <w:szCs w:val="24"/>
        </w:rPr>
        <w:t xml:space="preserve">We </w:t>
      </w:r>
      <w:r w:rsidR="0EC96106" w:rsidRPr="6408D7D1">
        <w:rPr>
          <w:rFonts w:ascii="Arial" w:hAnsi="Arial" w:cs="Arial"/>
          <w:sz w:val="24"/>
          <w:szCs w:val="24"/>
        </w:rPr>
        <w:t>allocated</w:t>
      </w:r>
      <w:r w:rsidR="00E93F86" w:rsidRPr="6408D7D1">
        <w:rPr>
          <w:rFonts w:ascii="Arial" w:hAnsi="Arial" w:cs="Arial"/>
          <w:sz w:val="24"/>
          <w:szCs w:val="24"/>
        </w:rPr>
        <w:t xml:space="preserve"> time for questions as these assessments were new to most students</w:t>
      </w:r>
      <w:r w:rsidR="00126F82">
        <w:rPr>
          <w:rFonts w:ascii="Arial" w:hAnsi="Arial" w:cs="Arial"/>
          <w:sz w:val="24"/>
          <w:szCs w:val="24"/>
        </w:rPr>
        <w:t xml:space="preserve"> and </w:t>
      </w:r>
      <w:r w:rsidR="009C6F61">
        <w:rPr>
          <w:rFonts w:ascii="Arial" w:hAnsi="Arial" w:cs="Arial"/>
          <w:sz w:val="24"/>
          <w:szCs w:val="24"/>
        </w:rPr>
        <w:t xml:space="preserve">we </w:t>
      </w:r>
      <w:r w:rsidR="002216EE">
        <w:rPr>
          <w:rFonts w:ascii="Arial" w:hAnsi="Arial" w:cs="Arial"/>
          <w:sz w:val="24"/>
          <w:szCs w:val="24"/>
        </w:rPr>
        <w:t>spread</w:t>
      </w:r>
      <w:r w:rsidR="00193A64" w:rsidRPr="6408D7D1">
        <w:rPr>
          <w:rFonts w:ascii="Arial" w:hAnsi="Arial" w:cs="Arial"/>
          <w:sz w:val="24"/>
          <w:szCs w:val="24"/>
        </w:rPr>
        <w:t xml:space="preserve"> assessments across </w:t>
      </w:r>
      <w:r w:rsidR="00193A64" w:rsidRPr="6408D7D1">
        <w:rPr>
          <w:rFonts w:ascii="Arial" w:hAnsi="Arial" w:cs="Arial"/>
          <w:sz w:val="24"/>
          <w:szCs w:val="24"/>
        </w:rPr>
        <w:lastRenderedPageBreak/>
        <w:t>the semester</w:t>
      </w:r>
      <w:r w:rsidR="00126F82">
        <w:rPr>
          <w:rFonts w:ascii="Arial" w:hAnsi="Arial" w:cs="Arial"/>
          <w:sz w:val="24"/>
          <w:szCs w:val="24"/>
        </w:rPr>
        <w:t xml:space="preserve">, </w:t>
      </w:r>
      <w:r w:rsidR="008B644D" w:rsidRPr="6408D7D1">
        <w:rPr>
          <w:rFonts w:ascii="Arial" w:hAnsi="Arial" w:cs="Arial"/>
          <w:sz w:val="24"/>
          <w:szCs w:val="24"/>
        </w:rPr>
        <w:t>reduc</w:t>
      </w:r>
      <w:r w:rsidR="00126F82">
        <w:rPr>
          <w:rFonts w:ascii="Arial" w:hAnsi="Arial" w:cs="Arial"/>
          <w:sz w:val="24"/>
          <w:szCs w:val="24"/>
        </w:rPr>
        <w:t>ing</w:t>
      </w:r>
      <w:r w:rsidR="008B644D" w:rsidRPr="6408D7D1">
        <w:rPr>
          <w:rFonts w:ascii="Arial" w:hAnsi="Arial" w:cs="Arial"/>
          <w:sz w:val="24"/>
          <w:szCs w:val="24"/>
        </w:rPr>
        <w:t xml:space="preserve"> </w:t>
      </w:r>
      <w:r w:rsidR="00126F82">
        <w:rPr>
          <w:rFonts w:ascii="Arial" w:hAnsi="Arial" w:cs="Arial"/>
          <w:sz w:val="24"/>
          <w:szCs w:val="24"/>
        </w:rPr>
        <w:t>stress levels</w:t>
      </w:r>
      <w:r w:rsidR="008B644D" w:rsidRPr="6408D7D1">
        <w:rPr>
          <w:rFonts w:ascii="Arial" w:hAnsi="Arial" w:cs="Arial"/>
          <w:sz w:val="24"/>
          <w:szCs w:val="24"/>
        </w:rPr>
        <w:t xml:space="preserve"> commonly associated with </w:t>
      </w:r>
      <w:r w:rsidR="00564729" w:rsidRPr="6408D7D1">
        <w:rPr>
          <w:rFonts w:ascii="Arial" w:hAnsi="Arial" w:cs="Arial"/>
          <w:sz w:val="24"/>
          <w:szCs w:val="24"/>
        </w:rPr>
        <w:t>deadlines</w:t>
      </w:r>
      <w:r w:rsidR="008B644D" w:rsidRPr="6408D7D1">
        <w:rPr>
          <w:rFonts w:ascii="Arial" w:hAnsi="Arial" w:cs="Arial"/>
          <w:sz w:val="24"/>
          <w:szCs w:val="24"/>
        </w:rPr>
        <w:t xml:space="preserve">. </w:t>
      </w:r>
      <w:r w:rsidR="009C6F61">
        <w:rPr>
          <w:rFonts w:ascii="Arial" w:hAnsi="Arial" w:cs="Arial"/>
          <w:sz w:val="24"/>
          <w:szCs w:val="24"/>
        </w:rPr>
        <w:t>O</w:t>
      </w:r>
      <w:r w:rsidR="002206F1">
        <w:rPr>
          <w:rFonts w:ascii="Arial" w:hAnsi="Arial" w:cs="Arial"/>
          <w:sz w:val="24"/>
          <w:szCs w:val="24"/>
        </w:rPr>
        <w:t>ne student commented</w:t>
      </w:r>
      <w:r w:rsidR="009C6F61">
        <w:rPr>
          <w:rFonts w:ascii="Arial" w:hAnsi="Arial" w:cs="Arial"/>
          <w:sz w:val="24"/>
          <w:szCs w:val="24"/>
        </w:rPr>
        <w:t>,</w:t>
      </w:r>
      <w:r w:rsidR="002206F1">
        <w:rPr>
          <w:rFonts w:ascii="Arial" w:hAnsi="Arial" w:cs="Arial"/>
          <w:sz w:val="24"/>
          <w:szCs w:val="24"/>
        </w:rPr>
        <w:t xml:space="preserve"> </w:t>
      </w:r>
    </w:p>
    <w:p w14:paraId="1FE44F0D" w14:textId="7C2DB79C" w:rsidR="009C6F61" w:rsidRPr="005913AF" w:rsidRDefault="008757F7" w:rsidP="005913AF">
      <w:pPr>
        <w:spacing w:line="360" w:lineRule="auto"/>
        <w:ind w:left="720"/>
        <w:outlineLvl w:val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‘</w:t>
      </w:r>
      <w:r w:rsidR="002206F1" w:rsidRPr="005913AF">
        <w:rPr>
          <w:rFonts w:ascii="Arial" w:hAnsi="Arial" w:cs="Arial"/>
          <w:i/>
          <w:iCs/>
          <w:sz w:val="24"/>
          <w:szCs w:val="24"/>
        </w:rPr>
        <w:t>I liked the set up and timeline for the assignments as I never felt I was rushing to get them done.</w:t>
      </w:r>
      <w:r>
        <w:rPr>
          <w:rFonts w:ascii="Arial" w:hAnsi="Arial" w:cs="Arial"/>
          <w:i/>
          <w:iCs/>
          <w:sz w:val="24"/>
          <w:szCs w:val="24"/>
        </w:rPr>
        <w:t>’</w:t>
      </w:r>
      <w:r w:rsidR="002206F1" w:rsidRPr="005913AF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1C8D4370" w14:textId="461E5419" w:rsidR="00021C3B" w:rsidRDefault="002206F1" w:rsidP="6408D7D1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Overall</w:t>
      </w:r>
      <w:r w:rsidR="009D28F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our </w:t>
      </w:r>
      <w:r w:rsidR="00E93F86" w:rsidRPr="6408D7D1">
        <w:rPr>
          <w:rFonts w:ascii="Arial" w:hAnsi="Arial" w:cs="Arial"/>
          <w:sz w:val="24"/>
          <w:szCs w:val="24"/>
        </w:rPr>
        <w:t>approach worked well</w:t>
      </w:r>
      <w:r w:rsidR="00A21BB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with</w:t>
      </w:r>
      <w:r w:rsidR="00564729" w:rsidRPr="6408D7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="00E93F86" w:rsidRPr="6408D7D1">
        <w:rPr>
          <w:rFonts w:ascii="Arial" w:hAnsi="Arial" w:cs="Arial"/>
          <w:sz w:val="24"/>
          <w:szCs w:val="24"/>
        </w:rPr>
        <w:t xml:space="preserve">tudents </w:t>
      </w:r>
      <w:r w:rsidR="55FD4D58" w:rsidRPr="6408D7D1">
        <w:rPr>
          <w:rFonts w:ascii="Arial" w:hAnsi="Arial" w:cs="Arial"/>
          <w:sz w:val="24"/>
          <w:szCs w:val="24"/>
        </w:rPr>
        <w:t>adapt</w:t>
      </w:r>
      <w:r>
        <w:rPr>
          <w:rFonts w:ascii="Arial" w:hAnsi="Arial" w:cs="Arial"/>
          <w:sz w:val="24"/>
          <w:szCs w:val="24"/>
        </w:rPr>
        <w:t>ing</w:t>
      </w:r>
      <w:r w:rsidR="00E93F86" w:rsidRPr="6408D7D1">
        <w:rPr>
          <w:rFonts w:ascii="Arial" w:hAnsi="Arial" w:cs="Arial"/>
          <w:sz w:val="24"/>
          <w:szCs w:val="24"/>
        </w:rPr>
        <w:t xml:space="preserve"> quickly</w:t>
      </w:r>
      <w:r w:rsidR="0ED4DABD" w:rsidRPr="6408D7D1">
        <w:rPr>
          <w:rFonts w:ascii="Arial" w:hAnsi="Arial" w:cs="Arial"/>
          <w:sz w:val="24"/>
          <w:szCs w:val="24"/>
        </w:rPr>
        <w:t xml:space="preserve"> </w:t>
      </w:r>
      <w:r w:rsidR="008B644D" w:rsidRPr="6408D7D1">
        <w:rPr>
          <w:rFonts w:ascii="Arial" w:hAnsi="Arial" w:cs="Arial"/>
          <w:sz w:val="24"/>
          <w:szCs w:val="24"/>
        </w:rPr>
        <w:t>and produc</w:t>
      </w:r>
      <w:r w:rsidR="009D28F7">
        <w:rPr>
          <w:rFonts w:ascii="Arial" w:hAnsi="Arial" w:cs="Arial"/>
          <w:sz w:val="24"/>
          <w:szCs w:val="24"/>
        </w:rPr>
        <w:t>ing</w:t>
      </w:r>
      <w:r w:rsidR="008B644D" w:rsidRPr="6408D7D1">
        <w:rPr>
          <w:rFonts w:ascii="Arial" w:hAnsi="Arial" w:cs="Arial"/>
          <w:sz w:val="24"/>
          <w:szCs w:val="24"/>
        </w:rPr>
        <w:t xml:space="preserve"> thoughtful</w:t>
      </w:r>
      <w:r w:rsidR="00A21BBB">
        <w:rPr>
          <w:rFonts w:ascii="Arial" w:hAnsi="Arial" w:cs="Arial"/>
          <w:sz w:val="24"/>
          <w:szCs w:val="24"/>
        </w:rPr>
        <w:t xml:space="preserve">, </w:t>
      </w:r>
      <w:r w:rsidR="00C9574E" w:rsidRPr="6408D7D1">
        <w:rPr>
          <w:rFonts w:ascii="Arial" w:hAnsi="Arial" w:cs="Arial"/>
          <w:sz w:val="24"/>
          <w:szCs w:val="24"/>
        </w:rPr>
        <w:t>high-quality</w:t>
      </w:r>
      <w:r w:rsidR="008B644D" w:rsidRPr="6408D7D1">
        <w:rPr>
          <w:rFonts w:ascii="Arial" w:hAnsi="Arial" w:cs="Arial"/>
          <w:sz w:val="24"/>
          <w:szCs w:val="24"/>
        </w:rPr>
        <w:t xml:space="preserve"> work. </w:t>
      </w:r>
    </w:p>
    <w:p w14:paraId="74083D02" w14:textId="5A26C93D" w:rsidR="00914612" w:rsidRDefault="000773E3" w:rsidP="001C6FEC">
      <w:pPr>
        <w:spacing w:line="360" w:lineRule="auto"/>
        <w:outlineLvl w:val="0"/>
        <w:rPr>
          <w:rFonts w:ascii="Arial" w:hAnsi="Arial" w:cs="Arial"/>
          <w:b/>
          <w:bCs/>
          <w:sz w:val="24"/>
          <w:szCs w:val="24"/>
        </w:rPr>
      </w:pPr>
      <w:r w:rsidRPr="00AD1FF6">
        <w:rPr>
          <w:rFonts w:ascii="Arial" w:hAnsi="Arial" w:cs="Arial"/>
          <w:b/>
          <w:bCs/>
          <w:sz w:val="24"/>
          <w:szCs w:val="24"/>
        </w:rPr>
        <w:t>Assessment methods: Reports</w:t>
      </w:r>
    </w:p>
    <w:p w14:paraId="243EE117" w14:textId="0760C7AE" w:rsidR="0013521E" w:rsidRDefault="00AD1FF6" w:rsidP="6408D7D1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  <w:r w:rsidRPr="6408D7D1">
        <w:rPr>
          <w:rFonts w:ascii="Arial" w:hAnsi="Arial" w:cs="Arial"/>
          <w:sz w:val="24"/>
          <w:szCs w:val="24"/>
        </w:rPr>
        <w:t xml:space="preserve">Two of the six assessments </w:t>
      </w:r>
      <w:r w:rsidR="00F47E2B" w:rsidRPr="6408D7D1">
        <w:rPr>
          <w:rFonts w:ascii="Arial" w:hAnsi="Arial" w:cs="Arial"/>
          <w:sz w:val="24"/>
          <w:szCs w:val="24"/>
        </w:rPr>
        <w:t>involved</w:t>
      </w:r>
      <w:r w:rsidRPr="6408D7D1">
        <w:rPr>
          <w:rFonts w:ascii="Arial" w:hAnsi="Arial" w:cs="Arial"/>
          <w:sz w:val="24"/>
          <w:szCs w:val="24"/>
        </w:rPr>
        <w:t xml:space="preserve"> </w:t>
      </w:r>
      <w:r w:rsidR="00F013AF" w:rsidRPr="6408D7D1">
        <w:rPr>
          <w:rFonts w:ascii="Arial" w:hAnsi="Arial" w:cs="Arial"/>
          <w:sz w:val="24"/>
          <w:szCs w:val="24"/>
        </w:rPr>
        <w:t xml:space="preserve">students individually </w:t>
      </w:r>
      <w:r w:rsidR="009E12D0" w:rsidRPr="6408D7D1">
        <w:rPr>
          <w:rFonts w:ascii="Arial" w:hAnsi="Arial" w:cs="Arial"/>
          <w:sz w:val="24"/>
          <w:szCs w:val="24"/>
        </w:rPr>
        <w:t xml:space="preserve">reflecting </w:t>
      </w:r>
      <w:r w:rsidR="00645A52" w:rsidRPr="6408D7D1">
        <w:rPr>
          <w:rFonts w:ascii="Arial" w:hAnsi="Arial" w:cs="Arial"/>
          <w:sz w:val="24"/>
          <w:szCs w:val="24"/>
        </w:rPr>
        <w:t>using</w:t>
      </w:r>
      <w:r w:rsidR="009E12D0" w:rsidRPr="6408D7D1">
        <w:rPr>
          <w:rFonts w:ascii="Arial" w:hAnsi="Arial" w:cs="Arial"/>
          <w:sz w:val="24"/>
          <w:szCs w:val="24"/>
        </w:rPr>
        <w:t xml:space="preserve"> a</w:t>
      </w:r>
      <w:r w:rsidR="00F013AF" w:rsidRPr="6408D7D1">
        <w:rPr>
          <w:rFonts w:ascii="Arial" w:hAnsi="Arial" w:cs="Arial"/>
          <w:sz w:val="24"/>
          <w:szCs w:val="24"/>
        </w:rPr>
        <w:t xml:space="preserve"> report-writing format</w:t>
      </w:r>
      <w:r w:rsidR="00EF7B53" w:rsidRPr="6408D7D1">
        <w:rPr>
          <w:rFonts w:ascii="Arial" w:hAnsi="Arial" w:cs="Arial"/>
          <w:sz w:val="24"/>
          <w:szCs w:val="24"/>
        </w:rPr>
        <w:t xml:space="preserve">. </w:t>
      </w:r>
      <w:r w:rsidR="009E12D0" w:rsidRPr="6408D7D1">
        <w:rPr>
          <w:rFonts w:ascii="Arial" w:hAnsi="Arial" w:cs="Arial"/>
          <w:sz w:val="24"/>
          <w:szCs w:val="24"/>
        </w:rPr>
        <w:t xml:space="preserve">They were required to </w:t>
      </w:r>
      <w:r w:rsidR="00645A52" w:rsidRPr="6408D7D1">
        <w:rPr>
          <w:rFonts w:ascii="Arial" w:hAnsi="Arial" w:cs="Arial"/>
          <w:sz w:val="24"/>
          <w:szCs w:val="24"/>
        </w:rPr>
        <w:t>create</w:t>
      </w:r>
      <w:r w:rsidR="00704CBE" w:rsidRPr="6408D7D1">
        <w:rPr>
          <w:rFonts w:ascii="Arial" w:hAnsi="Arial" w:cs="Arial"/>
          <w:sz w:val="24"/>
          <w:szCs w:val="24"/>
        </w:rPr>
        <w:t xml:space="preserve"> action plans containing SMART goals (Specific, Measurable, </w:t>
      </w:r>
      <w:r w:rsidR="00371A73" w:rsidRPr="6408D7D1">
        <w:rPr>
          <w:rFonts w:ascii="Arial" w:hAnsi="Arial" w:cs="Arial"/>
          <w:sz w:val="24"/>
          <w:szCs w:val="24"/>
        </w:rPr>
        <w:t>Achievable, Relevant, Time-bound)</w:t>
      </w:r>
      <w:r w:rsidR="00DE7140" w:rsidRPr="6408D7D1">
        <w:rPr>
          <w:rFonts w:ascii="Arial" w:hAnsi="Arial" w:cs="Arial"/>
          <w:sz w:val="24"/>
          <w:szCs w:val="24"/>
        </w:rPr>
        <w:t>, outlining how they proposed to develop through the module and beyond. The first report</w:t>
      </w:r>
      <w:r w:rsidR="00ED21EB" w:rsidRPr="6408D7D1">
        <w:rPr>
          <w:rFonts w:ascii="Arial" w:hAnsi="Arial" w:cs="Arial"/>
          <w:sz w:val="24"/>
          <w:szCs w:val="24"/>
        </w:rPr>
        <w:t>, the mid-module review, was 1500 words in length and worth 20%. It encouraged students to</w:t>
      </w:r>
      <w:r w:rsidR="00350026" w:rsidRPr="6408D7D1">
        <w:rPr>
          <w:rFonts w:ascii="Arial" w:hAnsi="Arial" w:cs="Arial"/>
          <w:sz w:val="24"/>
          <w:szCs w:val="24"/>
        </w:rPr>
        <w:t xml:space="preserve"> reflect on their 1) </w:t>
      </w:r>
      <w:r w:rsidR="00350026" w:rsidRPr="6408D7D1">
        <w:rPr>
          <w:rFonts w:ascii="Arial" w:hAnsi="Arial" w:cs="Arial"/>
          <w:sz w:val="24"/>
          <w:szCs w:val="24"/>
          <w:lang w:val="en-US"/>
        </w:rPr>
        <w:t>motivations and values 2) skills and experiences 3) preferences related to types of work and 4) preferences related to the spatial dynamics of work.</w:t>
      </w:r>
      <w:r w:rsidR="00350026" w:rsidRPr="6408D7D1">
        <w:rPr>
          <w:rFonts w:ascii="Arial" w:hAnsi="Arial" w:cs="Arial"/>
          <w:sz w:val="24"/>
          <w:szCs w:val="24"/>
        </w:rPr>
        <w:t xml:space="preserve"> The report</w:t>
      </w:r>
      <w:r w:rsidR="00ED21EB" w:rsidRPr="6408D7D1">
        <w:rPr>
          <w:rFonts w:ascii="Arial" w:hAnsi="Arial" w:cs="Arial"/>
          <w:sz w:val="24"/>
          <w:szCs w:val="24"/>
        </w:rPr>
        <w:t xml:space="preserve"> </w:t>
      </w:r>
      <w:r w:rsidR="00C9574E" w:rsidRPr="6408D7D1">
        <w:rPr>
          <w:rFonts w:ascii="Arial" w:hAnsi="Arial" w:cs="Arial"/>
          <w:sz w:val="24"/>
          <w:szCs w:val="24"/>
        </w:rPr>
        <w:t>helped</w:t>
      </w:r>
      <w:r w:rsidR="00ED21EB" w:rsidRPr="6408D7D1">
        <w:rPr>
          <w:rFonts w:ascii="Arial" w:hAnsi="Arial" w:cs="Arial"/>
          <w:sz w:val="24"/>
          <w:szCs w:val="24"/>
        </w:rPr>
        <w:t xml:space="preserve"> students </w:t>
      </w:r>
      <w:r w:rsidR="00EB0BE5" w:rsidRPr="6408D7D1">
        <w:rPr>
          <w:rFonts w:ascii="Arial" w:hAnsi="Arial" w:cs="Arial"/>
          <w:sz w:val="24"/>
          <w:szCs w:val="24"/>
        </w:rPr>
        <w:t xml:space="preserve">increase their self-understanding </w:t>
      </w:r>
      <w:r w:rsidR="00ED21EB" w:rsidRPr="6408D7D1">
        <w:rPr>
          <w:rFonts w:ascii="Arial" w:hAnsi="Arial" w:cs="Arial"/>
          <w:sz w:val="24"/>
          <w:szCs w:val="24"/>
        </w:rPr>
        <w:t>early in the module</w:t>
      </w:r>
      <w:r w:rsidR="003D0307">
        <w:rPr>
          <w:rFonts w:ascii="Arial" w:hAnsi="Arial" w:cs="Arial"/>
          <w:sz w:val="24"/>
          <w:szCs w:val="24"/>
        </w:rPr>
        <w:t xml:space="preserve">, </w:t>
      </w:r>
      <w:r w:rsidR="00193A64" w:rsidRPr="6408D7D1">
        <w:rPr>
          <w:rFonts w:ascii="Arial" w:hAnsi="Arial" w:cs="Arial"/>
          <w:sz w:val="24"/>
          <w:szCs w:val="24"/>
        </w:rPr>
        <w:t>provid</w:t>
      </w:r>
      <w:r w:rsidR="00ED21EB" w:rsidRPr="6408D7D1">
        <w:rPr>
          <w:rFonts w:ascii="Arial" w:hAnsi="Arial" w:cs="Arial"/>
          <w:sz w:val="24"/>
          <w:szCs w:val="24"/>
        </w:rPr>
        <w:t>ing</w:t>
      </w:r>
      <w:r w:rsidR="00193A64" w:rsidRPr="6408D7D1">
        <w:rPr>
          <w:rFonts w:ascii="Arial" w:hAnsi="Arial" w:cs="Arial"/>
          <w:sz w:val="24"/>
          <w:szCs w:val="24"/>
        </w:rPr>
        <w:t xml:space="preserve"> a foundation for the </w:t>
      </w:r>
      <w:r w:rsidR="00885CEC" w:rsidRPr="6408D7D1">
        <w:rPr>
          <w:rFonts w:ascii="Arial" w:hAnsi="Arial" w:cs="Arial"/>
          <w:sz w:val="24"/>
          <w:szCs w:val="24"/>
        </w:rPr>
        <w:t xml:space="preserve">second report at the </w:t>
      </w:r>
      <w:r w:rsidR="006D5530">
        <w:rPr>
          <w:rFonts w:ascii="Arial" w:hAnsi="Arial" w:cs="Arial"/>
          <w:sz w:val="24"/>
          <w:szCs w:val="24"/>
        </w:rPr>
        <w:t>module’s conclusion</w:t>
      </w:r>
      <w:r w:rsidR="00ED21EB" w:rsidRPr="6408D7D1">
        <w:rPr>
          <w:rFonts w:ascii="Arial" w:hAnsi="Arial" w:cs="Arial"/>
          <w:sz w:val="24"/>
          <w:szCs w:val="24"/>
        </w:rPr>
        <w:t>. T</w:t>
      </w:r>
      <w:r w:rsidR="00885CEC" w:rsidRPr="6408D7D1">
        <w:rPr>
          <w:rFonts w:ascii="Arial" w:hAnsi="Arial" w:cs="Arial"/>
          <w:sz w:val="24"/>
          <w:szCs w:val="24"/>
        </w:rPr>
        <w:t xml:space="preserve">he Labour Market Entry Plan </w:t>
      </w:r>
      <w:r w:rsidR="00ED21EB" w:rsidRPr="6408D7D1">
        <w:rPr>
          <w:rFonts w:ascii="Arial" w:hAnsi="Arial" w:cs="Arial"/>
          <w:sz w:val="24"/>
          <w:szCs w:val="24"/>
        </w:rPr>
        <w:t xml:space="preserve">was 2000 words and worth 30%. </w:t>
      </w:r>
      <w:r w:rsidR="002B6B83" w:rsidRPr="6408D7D1">
        <w:rPr>
          <w:rFonts w:ascii="Arial" w:hAnsi="Arial" w:cs="Arial"/>
          <w:sz w:val="24"/>
          <w:szCs w:val="24"/>
        </w:rPr>
        <w:t>This</w:t>
      </w:r>
      <w:r w:rsidR="00ED21EB" w:rsidRPr="6408D7D1">
        <w:rPr>
          <w:rFonts w:ascii="Arial" w:hAnsi="Arial" w:cs="Arial"/>
          <w:sz w:val="24"/>
          <w:szCs w:val="24"/>
        </w:rPr>
        <w:t xml:space="preserve"> </w:t>
      </w:r>
      <w:r w:rsidR="003D0307">
        <w:rPr>
          <w:rFonts w:ascii="Arial" w:hAnsi="Arial" w:cs="Arial"/>
          <w:sz w:val="24"/>
          <w:szCs w:val="24"/>
        </w:rPr>
        <w:t xml:space="preserve">included </w:t>
      </w:r>
      <w:r w:rsidR="00EB0BE5" w:rsidRPr="6408D7D1">
        <w:rPr>
          <w:rFonts w:ascii="Arial" w:hAnsi="Arial" w:cs="Arial"/>
          <w:sz w:val="24"/>
          <w:szCs w:val="24"/>
        </w:rPr>
        <w:t xml:space="preserve">assessing </w:t>
      </w:r>
      <w:r w:rsidR="003D0307">
        <w:rPr>
          <w:rFonts w:ascii="Arial" w:hAnsi="Arial" w:cs="Arial"/>
          <w:sz w:val="24"/>
          <w:szCs w:val="24"/>
        </w:rPr>
        <w:t>the</w:t>
      </w:r>
      <w:r w:rsidR="00AE1B4B">
        <w:rPr>
          <w:rFonts w:ascii="Arial" w:hAnsi="Arial" w:cs="Arial"/>
          <w:sz w:val="24"/>
          <w:szCs w:val="24"/>
        </w:rPr>
        <w:t>ir</w:t>
      </w:r>
      <w:r w:rsidR="003D0307">
        <w:rPr>
          <w:rFonts w:ascii="Arial" w:hAnsi="Arial" w:cs="Arial"/>
          <w:sz w:val="24"/>
          <w:szCs w:val="24"/>
        </w:rPr>
        <w:t xml:space="preserve"> </w:t>
      </w:r>
      <w:r w:rsidR="00EB0BE5" w:rsidRPr="6408D7D1">
        <w:rPr>
          <w:rFonts w:ascii="Arial" w:hAnsi="Arial" w:cs="Arial"/>
          <w:sz w:val="24"/>
          <w:szCs w:val="24"/>
          <w:lang w:val="en-US"/>
        </w:rPr>
        <w:t>relative strengths and weaknesses of networking skills, self-branding, online</w:t>
      </w:r>
      <w:r w:rsidR="00EB0BE5" w:rsidRPr="6408D7D1">
        <w:rPr>
          <w:lang w:val="en-US"/>
        </w:rPr>
        <w:t xml:space="preserve"> </w:t>
      </w:r>
      <w:r w:rsidR="000319BF" w:rsidRPr="6408D7D1">
        <w:rPr>
          <w:rFonts w:ascii="Arial" w:hAnsi="Arial" w:cs="Arial"/>
          <w:sz w:val="24"/>
          <w:szCs w:val="24"/>
          <w:lang w:val="en-US"/>
        </w:rPr>
        <w:t>presence,</w:t>
      </w:r>
      <w:r w:rsidR="00EB0BE5" w:rsidRPr="6408D7D1">
        <w:rPr>
          <w:rFonts w:ascii="Arial" w:hAnsi="Arial" w:cs="Arial"/>
          <w:sz w:val="24"/>
          <w:szCs w:val="24"/>
          <w:lang w:val="en-US"/>
        </w:rPr>
        <w:t xml:space="preserve"> and ability to communicate their skills and experiences to potential employers. </w:t>
      </w:r>
      <w:r w:rsidR="00D51BB5">
        <w:rPr>
          <w:rFonts w:ascii="Arial" w:hAnsi="Arial" w:cs="Arial"/>
          <w:sz w:val="24"/>
          <w:szCs w:val="24"/>
          <w:lang w:val="en-US"/>
        </w:rPr>
        <w:t>They also</w:t>
      </w:r>
      <w:r w:rsidR="00EB0BE5" w:rsidRPr="6408D7D1">
        <w:rPr>
          <w:rFonts w:ascii="Arial" w:hAnsi="Arial" w:cs="Arial"/>
          <w:sz w:val="24"/>
          <w:szCs w:val="24"/>
          <w:lang w:val="en-US"/>
        </w:rPr>
        <w:t xml:space="preserve"> prepare</w:t>
      </w:r>
      <w:r w:rsidR="00D51BB5">
        <w:rPr>
          <w:rFonts w:ascii="Arial" w:hAnsi="Arial" w:cs="Arial"/>
          <w:sz w:val="24"/>
          <w:szCs w:val="24"/>
          <w:lang w:val="en-US"/>
        </w:rPr>
        <w:t>d</w:t>
      </w:r>
      <w:r w:rsidR="00EB0BE5" w:rsidRPr="6408D7D1">
        <w:rPr>
          <w:rFonts w:ascii="Arial" w:hAnsi="Arial" w:cs="Arial"/>
          <w:sz w:val="24"/>
          <w:szCs w:val="24"/>
          <w:lang w:val="en-US"/>
        </w:rPr>
        <w:t xml:space="preserve"> an action plan for moving towards their career-related goals between </w:t>
      </w:r>
      <w:r w:rsidR="002B6B83" w:rsidRPr="6408D7D1">
        <w:rPr>
          <w:rFonts w:ascii="Arial" w:hAnsi="Arial" w:cs="Arial"/>
          <w:sz w:val="24"/>
          <w:szCs w:val="24"/>
          <w:lang w:val="en-US"/>
        </w:rPr>
        <w:t xml:space="preserve">module </w:t>
      </w:r>
      <w:r w:rsidR="00EB0BE5" w:rsidRPr="6408D7D1">
        <w:rPr>
          <w:rFonts w:ascii="Arial" w:hAnsi="Arial" w:cs="Arial"/>
          <w:sz w:val="24"/>
          <w:szCs w:val="24"/>
          <w:lang w:val="en-US"/>
        </w:rPr>
        <w:t>completion and graduation.</w:t>
      </w:r>
      <w:r w:rsidR="00EB0BE5" w:rsidRPr="6408D7D1">
        <w:rPr>
          <w:lang w:val="en-US"/>
        </w:rPr>
        <w:t xml:space="preserve"> </w:t>
      </w:r>
      <w:r w:rsidR="00ED21EB" w:rsidRPr="6408D7D1">
        <w:rPr>
          <w:rFonts w:ascii="Arial" w:hAnsi="Arial" w:cs="Arial"/>
          <w:sz w:val="24"/>
          <w:szCs w:val="24"/>
        </w:rPr>
        <w:t xml:space="preserve">Student feedback revealed </w:t>
      </w:r>
      <w:r w:rsidR="00C9574E" w:rsidRPr="6408D7D1">
        <w:rPr>
          <w:rFonts w:ascii="Arial" w:hAnsi="Arial" w:cs="Arial"/>
          <w:sz w:val="24"/>
          <w:szCs w:val="24"/>
        </w:rPr>
        <w:t xml:space="preserve">that </w:t>
      </w:r>
      <w:r w:rsidR="00ED21EB" w:rsidRPr="6408D7D1">
        <w:rPr>
          <w:rFonts w:ascii="Arial" w:hAnsi="Arial" w:cs="Arial"/>
          <w:sz w:val="24"/>
          <w:szCs w:val="24"/>
        </w:rPr>
        <w:t>mo</w:t>
      </w:r>
      <w:r w:rsidR="00B521D5">
        <w:rPr>
          <w:rFonts w:ascii="Arial" w:hAnsi="Arial" w:cs="Arial"/>
          <w:sz w:val="24"/>
          <w:szCs w:val="24"/>
        </w:rPr>
        <w:t>re than three quarters h</w:t>
      </w:r>
      <w:r w:rsidR="00801A49" w:rsidRPr="6408D7D1">
        <w:rPr>
          <w:rFonts w:ascii="Arial" w:hAnsi="Arial" w:cs="Arial"/>
          <w:sz w:val="24"/>
          <w:szCs w:val="24"/>
        </w:rPr>
        <w:t>ad not critically reflect</w:t>
      </w:r>
      <w:r w:rsidR="00C9574E" w:rsidRPr="6408D7D1">
        <w:rPr>
          <w:rFonts w:ascii="Arial" w:hAnsi="Arial" w:cs="Arial"/>
          <w:sz w:val="24"/>
          <w:szCs w:val="24"/>
        </w:rPr>
        <w:t>ed</w:t>
      </w:r>
      <w:r w:rsidR="00801A49" w:rsidRPr="6408D7D1">
        <w:rPr>
          <w:rFonts w:ascii="Arial" w:hAnsi="Arial" w:cs="Arial"/>
          <w:sz w:val="24"/>
          <w:szCs w:val="24"/>
        </w:rPr>
        <w:t xml:space="preserve"> </w:t>
      </w:r>
      <w:r w:rsidR="00D51BB5">
        <w:rPr>
          <w:rFonts w:ascii="Arial" w:hAnsi="Arial" w:cs="Arial"/>
          <w:sz w:val="24"/>
          <w:szCs w:val="24"/>
        </w:rPr>
        <w:t>up</w:t>
      </w:r>
      <w:r w:rsidR="00801A49" w:rsidRPr="6408D7D1">
        <w:rPr>
          <w:rFonts w:ascii="Arial" w:hAnsi="Arial" w:cs="Arial"/>
          <w:sz w:val="24"/>
          <w:szCs w:val="24"/>
        </w:rPr>
        <w:t xml:space="preserve">on their progress prior to studying this </w:t>
      </w:r>
      <w:r w:rsidR="005E2114" w:rsidRPr="6408D7D1">
        <w:rPr>
          <w:rFonts w:ascii="Arial" w:hAnsi="Arial" w:cs="Arial"/>
          <w:sz w:val="24"/>
          <w:szCs w:val="24"/>
        </w:rPr>
        <w:t>module</w:t>
      </w:r>
      <w:r w:rsidR="006A267D">
        <w:rPr>
          <w:rFonts w:ascii="Arial" w:hAnsi="Arial" w:cs="Arial"/>
          <w:sz w:val="24"/>
          <w:szCs w:val="24"/>
        </w:rPr>
        <w:t xml:space="preserve">, </w:t>
      </w:r>
      <w:r w:rsidR="00852225">
        <w:rPr>
          <w:rFonts w:ascii="Arial" w:hAnsi="Arial" w:cs="Arial"/>
          <w:sz w:val="24"/>
          <w:szCs w:val="24"/>
        </w:rPr>
        <w:t xml:space="preserve">used </w:t>
      </w:r>
      <w:r w:rsidR="00622BBF">
        <w:rPr>
          <w:rFonts w:ascii="Arial" w:hAnsi="Arial" w:cs="Arial"/>
          <w:sz w:val="24"/>
          <w:szCs w:val="24"/>
        </w:rPr>
        <w:t>models of reflection,</w:t>
      </w:r>
      <w:r w:rsidR="005E2114">
        <w:rPr>
          <w:rFonts w:ascii="Arial" w:hAnsi="Arial" w:cs="Arial"/>
          <w:sz w:val="24"/>
          <w:szCs w:val="24"/>
        </w:rPr>
        <w:t xml:space="preserve"> </w:t>
      </w:r>
      <w:r w:rsidR="006A267D">
        <w:rPr>
          <w:rFonts w:ascii="Arial" w:hAnsi="Arial" w:cs="Arial"/>
          <w:sz w:val="24"/>
          <w:szCs w:val="24"/>
        </w:rPr>
        <w:t xml:space="preserve">or </w:t>
      </w:r>
      <w:r w:rsidR="00852225">
        <w:rPr>
          <w:rFonts w:ascii="Arial" w:hAnsi="Arial" w:cs="Arial"/>
          <w:sz w:val="24"/>
          <w:szCs w:val="24"/>
        </w:rPr>
        <w:t xml:space="preserve">had </w:t>
      </w:r>
      <w:r w:rsidR="00DB7150">
        <w:rPr>
          <w:rFonts w:ascii="Arial" w:hAnsi="Arial" w:cs="Arial"/>
          <w:sz w:val="24"/>
          <w:szCs w:val="24"/>
        </w:rPr>
        <w:t xml:space="preserve">previously </w:t>
      </w:r>
      <w:r w:rsidR="00801A49" w:rsidRPr="6408D7D1">
        <w:rPr>
          <w:rFonts w:ascii="Arial" w:hAnsi="Arial" w:cs="Arial"/>
          <w:sz w:val="24"/>
          <w:szCs w:val="24"/>
        </w:rPr>
        <w:t xml:space="preserve">written SMART goals. </w:t>
      </w:r>
      <w:r w:rsidR="00ED21EB" w:rsidRPr="6408D7D1">
        <w:rPr>
          <w:rFonts w:ascii="Arial" w:hAnsi="Arial" w:cs="Arial"/>
          <w:sz w:val="24"/>
          <w:szCs w:val="24"/>
        </w:rPr>
        <w:t>T</w:t>
      </w:r>
      <w:r w:rsidR="00163B10" w:rsidRPr="6408D7D1">
        <w:rPr>
          <w:rFonts w:ascii="Arial" w:hAnsi="Arial" w:cs="Arial"/>
          <w:sz w:val="24"/>
          <w:szCs w:val="24"/>
        </w:rPr>
        <w:t>hese</w:t>
      </w:r>
      <w:r w:rsidR="00DD5B25">
        <w:rPr>
          <w:rFonts w:ascii="Arial" w:hAnsi="Arial" w:cs="Arial"/>
          <w:sz w:val="24"/>
          <w:szCs w:val="24"/>
        </w:rPr>
        <w:t xml:space="preserve"> </w:t>
      </w:r>
      <w:r w:rsidR="00163B10" w:rsidRPr="6408D7D1">
        <w:rPr>
          <w:rFonts w:ascii="Arial" w:hAnsi="Arial" w:cs="Arial"/>
          <w:sz w:val="24"/>
          <w:szCs w:val="24"/>
        </w:rPr>
        <w:t xml:space="preserve">methods of assessment </w:t>
      </w:r>
      <w:r w:rsidR="00622BBF">
        <w:rPr>
          <w:rFonts w:ascii="Arial" w:hAnsi="Arial" w:cs="Arial"/>
          <w:sz w:val="24"/>
          <w:szCs w:val="24"/>
        </w:rPr>
        <w:t xml:space="preserve">were </w:t>
      </w:r>
      <w:r w:rsidR="00F2083F" w:rsidRPr="6408D7D1">
        <w:rPr>
          <w:rFonts w:ascii="Arial" w:hAnsi="Arial" w:cs="Arial"/>
          <w:sz w:val="24"/>
          <w:szCs w:val="24"/>
        </w:rPr>
        <w:t xml:space="preserve">designed </w:t>
      </w:r>
      <w:r w:rsidR="00163B10" w:rsidRPr="6408D7D1">
        <w:rPr>
          <w:rFonts w:ascii="Arial" w:hAnsi="Arial" w:cs="Arial"/>
          <w:sz w:val="24"/>
          <w:szCs w:val="24"/>
        </w:rPr>
        <w:t>to develop core skills</w:t>
      </w:r>
      <w:r w:rsidR="004F672B">
        <w:rPr>
          <w:rFonts w:ascii="Arial" w:hAnsi="Arial" w:cs="Arial"/>
          <w:sz w:val="24"/>
          <w:szCs w:val="24"/>
        </w:rPr>
        <w:t xml:space="preserve"> </w:t>
      </w:r>
      <w:r w:rsidR="008008CC">
        <w:rPr>
          <w:rFonts w:ascii="Arial" w:hAnsi="Arial" w:cs="Arial"/>
          <w:sz w:val="24"/>
          <w:szCs w:val="24"/>
        </w:rPr>
        <w:t xml:space="preserve">(UCAS, 2024) </w:t>
      </w:r>
      <w:r w:rsidR="004F672B">
        <w:rPr>
          <w:rFonts w:ascii="Arial" w:hAnsi="Arial" w:cs="Arial"/>
          <w:sz w:val="24"/>
          <w:szCs w:val="24"/>
        </w:rPr>
        <w:t>long required in the</w:t>
      </w:r>
      <w:r w:rsidR="00BA2CC9">
        <w:rPr>
          <w:rFonts w:ascii="Arial" w:hAnsi="Arial" w:cs="Arial"/>
          <w:sz w:val="24"/>
          <w:szCs w:val="24"/>
        </w:rPr>
        <w:t xml:space="preserve"> world of </w:t>
      </w:r>
      <w:r w:rsidR="005E2114">
        <w:rPr>
          <w:rFonts w:ascii="Arial" w:hAnsi="Arial" w:cs="Arial"/>
          <w:sz w:val="24"/>
          <w:szCs w:val="24"/>
        </w:rPr>
        <w:t>work,</w:t>
      </w:r>
      <w:r w:rsidR="00163B10" w:rsidRPr="6408D7D1">
        <w:rPr>
          <w:rFonts w:ascii="Arial" w:hAnsi="Arial" w:cs="Arial"/>
          <w:sz w:val="24"/>
          <w:szCs w:val="24"/>
        </w:rPr>
        <w:t xml:space="preserve"> namely, report-writing, critical reflection</w:t>
      </w:r>
      <w:r w:rsidR="00ED21EB" w:rsidRPr="6408D7D1">
        <w:rPr>
          <w:rFonts w:ascii="Arial" w:hAnsi="Arial" w:cs="Arial"/>
          <w:sz w:val="24"/>
          <w:szCs w:val="24"/>
        </w:rPr>
        <w:t xml:space="preserve"> and</w:t>
      </w:r>
      <w:r w:rsidR="00163B10" w:rsidRPr="6408D7D1">
        <w:rPr>
          <w:rFonts w:ascii="Arial" w:hAnsi="Arial" w:cs="Arial"/>
          <w:sz w:val="24"/>
          <w:szCs w:val="24"/>
        </w:rPr>
        <w:t xml:space="preserve"> action planning</w:t>
      </w:r>
      <w:r w:rsidR="00ED21EB" w:rsidRPr="6408D7D1">
        <w:rPr>
          <w:rFonts w:ascii="Arial" w:hAnsi="Arial" w:cs="Arial"/>
          <w:sz w:val="24"/>
          <w:szCs w:val="24"/>
        </w:rPr>
        <w:t xml:space="preserve">. </w:t>
      </w:r>
      <w:r w:rsidR="00163B10" w:rsidRPr="6408D7D1">
        <w:rPr>
          <w:rFonts w:ascii="Arial" w:hAnsi="Arial" w:cs="Arial"/>
          <w:sz w:val="24"/>
          <w:szCs w:val="24"/>
        </w:rPr>
        <w:t xml:space="preserve"> </w:t>
      </w:r>
    </w:p>
    <w:p w14:paraId="2897D3FC" w14:textId="02DDEEA1" w:rsidR="0013521E" w:rsidRPr="005913AF" w:rsidRDefault="003A0F71" w:rsidP="005913AF">
      <w:pPr>
        <w:spacing w:after="0" w:line="360" w:lineRule="auto"/>
        <w:rPr>
          <w:rFonts w:ascii="Arial" w:eastAsia="Aptos" w:hAnsi="Arial" w:cs="Arial"/>
          <w:color w:val="000000" w:themeColor="text1"/>
        </w:rPr>
      </w:pPr>
      <w:r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 xml:space="preserve">To enable module students to </w:t>
      </w:r>
      <w:r w:rsidR="00087F14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>self-evaluate</w:t>
      </w:r>
      <w:r w:rsidR="009D4878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 xml:space="preserve"> and document their development we had them complete the university’s Career Readiness Test, </w:t>
      </w:r>
      <w:r w:rsidR="00EF47B4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>a psychometrically validated tool</w:t>
      </w:r>
      <w:r w:rsidR="00E14123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>,</w:t>
      </w:r>
      <w:r w:rsidR="008932B5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 xml:space="preserve"> known externally as </w:t>
      </w:r>
      <w:r w:rsidR="008932B5" w:rsidRPr="00431584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>the Graduate Capital Scale (Tomlinson et al, 2021)</w:t>
      </w:r>
      <w:r w:rsidR="009D4878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>, at the beginning and end of the module.</w:t>
      </w:r>
      <w:r w:rsidR="00900848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 xml:space="preserve"> </w:t>
      </w:r>
      <w:r w:rsidR="00C17640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>This produced aggregate</w:t>
      </w:r>
      <w:r w:rsidR="00E14123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>d</w:t>
      </w:r>
      <w:r w:rsidR="00C17640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 xml:space="preserve"> data which</w:t>
      </w:r>
      <w:r w:rsidR="009D2F02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 xml:space="preserve"> also </w:t>
      </w:r>
      <w:r w:rsidR="00FB16F4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>enabled us</w:t>
      </w:r>
      <w:r w:rsidR="0011107B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 xml:space="preserve"> </w:t>
      </w:r>
      <w:r w:rsidR="0011107B" w:rsidRPr="00431584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 xml:space="preserve">to evaluate whether there was any significant growth in the students’ employability capital </w:t>
      </w:r>
      <w:r w:rsidR="0011107B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>due to</w:t>
      </w:r>
      <w:r w:rsidR="0011107B" w:rsidRPr="00431584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 xml:space="preserve"> </w:t>
      </w:r>
      <w:r w:rsidR="00FB16F4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>completion of</w:t>
      </w:r>
      <w:r w:rsidR="0011107B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 xml:space="preserve"> the module.</w:t>
      </w:r>
      <w:r w:rsidR="0011107B" w:rsidRPr="00431584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 xml:space="preserve"> </w:t>
      </w:r>
      <w:r w:rsidR="009D4878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 xml:space="preserve">To </w:t>
      </w:r>
      <w:proofErr w:type="spellStart"/>
      <w:r w:rsidR="009D4878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>analyse</w:t>
      </w:r>
      <w:proofErr w:type="spellEnd"/>
      <w:r w:rsidR="009D4878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 xml:space="preserve"> the data</w:t>
      </w:r>
      <w:r w:rsidR="00E14123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>,</w:t>
      </w:r>
      <w:r w:rsidR="009D4878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 xml:space="preserve"> a</w:t>
      </w:r>
      <w:r w:rsidR="0013521E" w:rsidRPr="005913AF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 xml:space="preserve"> Paired </w:t>
      </w:r>
      <w:r w:rsidR="0013521E" w:rsidRPr="005913AF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lastRenderedPageBreak/>
        <w:t xml:space="preserve">Samples </w:t>
      </w:r>
      <w:proofErr w:type="spellStart"/>
      <w:r w:rsidR="0013521E" w:rsidRPr="005913AF">
        <w:rPr>
          <w:rFonts w:ascii="Arial" w:eastAsia="Aptos" w:hAnsi="Arial" w:cs="Arial"/>
          <w:i/>
          <w:iCs/>
          <w:color w:val="000000" w:themeColor="text1"/>
          <w:sz w:val="24"/>
          <w:szCs w:val="24"/>
          <w:lang w:val="en-US"/>
        </w:rPr>
        <w:t>t</w:t>
      </w:r>
      <w:proofErr w:type="spellEnd"/>
      <w:r w:rsidR="0013521E" w:rsidRPr="005913AF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 xml:space="preserve"> test was conducted using SPSS V.30 </w:t>
      </w:r>
      <w:r w:rsidR="00661EE2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>and m</w:t>
      </w:r>
      <w:r w:rsidR="0013521E" w:rsidRPr="005913AF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 xml:space="preserve">easurements were taken </w:t>
      </w:r>
      <w:r w:rsidR="006933A9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>using</w:t>
      </w:r>
      <w:r w:rsidR="0013521E" w:rsidRPr="005913AF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 xml:space="preserve"> </w:t>
      </w:r>
      <w:r w:rsidR="00456B19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 xml:space="preserve">a Likert </w:t>
      </w:r>
      <w:r w:rsidR="00104E6E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>six-point</w:t>
      </w:r>
      <w:r w:rsidR="00456B19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 xml:space="preserve"> </w:t>
      </w:r>
      <w:r w:rsidR="00104E6E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>scale</w:t>
      </w:r>
      <w:r w:rsidR="00B0644F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 xml:space="preserve"> within</w:t>
      </w:r>
      <w:r w:rsidR="00104E6E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 xml:space="preserve"> </w:t>
      </w:r>
      <w:r w:rsidR="00B6126D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 xml:space="preserve">the Career Readiness Test </w:t>
      </w:r>
      <w:r w:rsidR="009D4878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>which</w:t>
      </w:r>
      <w:r w:rsidR="0013521E" w:rsidRPr="005913AF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 xml:space="preserve"> measured overall capital development </w:t>
      </w:r>
      <w:r w:rsidR="00564541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>plus</w:t>
      </w:r>
      <w:r w:rsidR="0013521E" w:rsidRPr="005913AF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 xml:space="preserve"> the subscales of human, social, cultural, identity and psychological capital. </w:t>
      </w:r>
      <w:r w:rsidR="009D4878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>The d</w:t>
      </w:r>
      <w:r w:rsidR="0013521E" w:rsidRPr="005913AF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 xml:space="preserve">ata was downloaded and </w:t>
      </w:r>
      <w:proofErr w:type="gramStart"/>
      <w:r w:rsidR="0013521E" w:rsidRPr="005913AF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>cleaned</w:t>
      </w:r>
      <w:proofErr w:type="gramEnd"/>
      <w:r w:rsidR="009D4878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 xml:space="preserve"> and </w:t>
      </w:r>
      <w:r w:rsidR="00E14123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>a</w:t>
      </w:r>
      <w:r w:rsidR="00E14123" w:rsidRPr="00E14123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>ny</w:t>
      </w:r>
      <w:r w:rsidR="0013521E" w:rsidRPr="005913AF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 xml:space="preserve"> duplicate or missing data was removed. </w:t>
      </w:r>
      <w:r w:rsidR="009D4878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>The d</w:t>
      </w:r>
      <w:r w:rsidR="0013521E" w:rsidRPr="005913AF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 xml:space="preserve">ata was </w:t>
      </w:r>
      <w:r w:rsidR="009D4878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 xml:space="preserve">also </w:t>
      </w:r>
      <w:r w:rsidR="0013521E" w:rsidRPr="005913AF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 xml:space="preserve">checked for normalcy and outliers.  </w:t>
      </w:r>
    </w:p>
    <w:p w14:paraId="63AC3D44" w14:textId="77777777" w:rsidR="0013521E" w:rsidRPr="005913AF" w:rsidRDefault="0013521E" w:rsidP="005913AF">
      <w:pPr>
        <w:spacing w:after="0" w:line="360" w:lineRule="auto"/>
        <w:rPr>
          <w:rFonts w:ascii="Arial" w:eastAsia="Aptos" w:hAnsi="Arial" w:cs="Arial"/>
          <w:color w:val="000000" w:themeColor="text1"/>
        </w:rPr>
      </w:pPr>
    </w:p>
    <w:p w14:paraId="4B6BD308" w14:textId="7B81CA79" w:rsidR="00AF5FF3" w:rsidRDefault="009D4878" w:rsidP="00757283">
      <w:pPr>
        <w:spacing w:after="0" w:line="360" w:lineRule="auto"/>
        <w:rPr>
          <w:rFonts w:ascii="Arial" w:eastAsia="Aptos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>The r</w:t>
      </w:r>
      <w:r w:rsidR="00715CC7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>esults showed</w:t>
      </w:r>
      <w:r w:rsidR="0013521E" w:rsidRPr="005913AF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 xml:space="preserve"> a significant average increase in overall capital development prior to the </w:t>
      </w:r>
      <w:r w:rsidR="00564541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>module start</w:t>
      </w:r>
      <w:r w:rsidR="0013521E" w:rsidRPr="005913AF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 xml:space="preserve"> (</w:t>
      </w:r>
      <w:r w:rsidR="0013521E" w:rsidRPr="005913AF">
        <w:rPr>
          <w:rFonts w:ascii="Arial" w:eastAsia="Aptos" w:hAnsi="Arial" w:cs="Arial"/>
          <w:i/>
          <w:iCs/>
          <w:color w:val="000000" w:themeColor="text1"/>
          <w:sz w:val="24"/>
          <w:szCs w:val="24"/>
          <w:lang w:val="en-US"/>
        </w:rPr>
        <w:t>M</w:t>
      </w:r>
      <w:r w:rsidR="0013521E" w:rsidRPr="005913AF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 xml:space="preserve"> = 3.637, </w:t>
      </w:r>
      <w:r w:rsidR="0013521E" w:rsidRPr="005913AF">
        <w:rPr>
          <w:rFonts w:ascii="Arial" w:eastAsia="Aptos" w:hAnsi="Arial" w:cs="Arial"/>
          <w:i/>
          <w:iCs/>
          <w:color w:val="000000" w:themeColor="text1"/>
          <w:sz w:val="24"/>
          <w:szCs w:val="24"/>
          <w:lang w:val="en-US"/>
        </w:rPr>
        <w:t>SD</w:t>
      </w:r>
      <w:r w:rsidR="0013521E" w:rsidRPr="005913AF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 xml:space="preserve"> = .706) to </w:t>
      </w:r>
      <w:r w:rsidR="00564541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 xml:space="preserve">module completion </w:t>
      </w:r>
      <w:r w:rsidR="0013521E" w:rsidRPr="005913AF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>(</w:t>
      </w:r>
      <w:r w:rsidR="0013521E" w:rsidRPr="005913AF">
        <w:rPr>
          <w:rFonts w:ascii="Arial" w:eastAsia="Aptos" w:hAnsi="Arial" w:cs="Arial"/>
          <w:i/>
          <w:iCs/>
          <w:color w:val="000000" w:themeColor="text1"/>
          <w:sz w:val="24"/>
          <w:szCs w:val="24"/>
          <w:lang w:val="en-US"/>
        </w:rPr>
        <w:t xml:space="preserve">M </w:t>
      </w:r>
      <w:r w:rsidR="0013521E" w:rsidRPr="005913AF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 xml:space="preserve">= 4.733, </w:t>
      </w:r>
      <w:r w:rsidR="0013521E" w:rsidRPr="005913AF">
        <w:rPr>
          <w:rFonts w:ascii="Arial" w:eastAsia="Aptos" w:hAnsi="Arial" w:cs="Arial"/>
          <w:i/>
          <w:iCs/>
          <w:color w:val="000000" w:themeColor="text1"/>
          <w:sz w:val="24"/>
          <w:szCs w:val="24"/>
          <w:lang w:val="en-US"/>
        </w:rPr>
        <w:t>SD</w:t>
      </w:r>
      <w:r w:rsidR="0013521E" w:rsidRPr="005913AF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 xml:space="preserve"> = .537), </w:t>
      </w:r>
      <w:proofErr w:type="gramStart"/>
      <w:r w:rsidR="0013521E" w:rsidRPr="005913AF">
        <w:rPr>
          <w:rFonts w:ascii="Arial" w:eastAsia="Aptos" w:hAnsi="Arial" w:cs="Arial"/>
          <w:i/>
          <w:iCs/>
          <w:color w:val="000000" w:themeColor="text1"/>
          <w:sz w:val="24"/>
          <w:szCs w:val="24"/>
          <w:lang w:val="en-US"/>
        </w:rPr>
        <w:t>t</w:t>
      </w:r>
      <w:r w:rsidR="0013521E" w:rsidRPr="005913AF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>(</w:t>
      </w:r>
      <w:proofErr w:type="gramEnd"/>
      <w:r w:rsidR="0013521E" w:rsidRPr="005913AF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 xml:space="preserve">55) = 11.582, p &lt;.001. The mean increase in scores was 1.09 (95% confidence interval, ranging from .907 to 1.286). The effect size was noted as medium to large (Cohen’s </w:t>
      </w:r>
      <w:r w:rsidR="0013521E" w:rsidRPr="005913AF">
        <w:rPr>
          <w:rFonts w:ascii="Arial" w:eastAsia="Aptos" w:hAnsi="Arial" w:cs="Arial"/>
          <w:i/>
          <w:iCs/>
          <w:color w:val="000000" w:themeColor="text1"/>
          <w:sz w:val="24"/>
          <w:szCs w:val="24"/>
          <w:lang w:val="en-US"/>
        </w:rPr>
        <w:t>d</w:t>
      </w:r>
      <w:r w:rsidR="0013521E" w:rsidRPr="005913AF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 xml:space="preserve"> = .708)</w:t>
      </w:r>
      <w:r w:rsidR="00AF5FF3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 xml:space="preserve"> and the</w:t>
      </w:r>
      <w:r w:rsidR="002C4C5C" w:rsidRPr="002C4C5C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 xml:space="preserve"> largest effect sizes were noted for social and identity capital. </w:t>
      </w:r>
      <w:r w:rsidR="00F9095C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 xml:space="preserve">Students individually found completion of the Career Readiness Test </w:t>
      </w:r>
      <w:r w:rsidR="001F760C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 xml:space="preserve">helpful for them to reflect upon their progress, plus it provided us with </w:t>
      </w:r>
      <w:r w:rsidR="00C925EF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>data and evidence to demonstrate real impact</w:t>
      </w:r>
      <w:r w:rsidR="009E2F20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 xml:space="preserve"> in student confidence and knowledge.</w:t>
      </w:r>
      <w:r w:rsidR="00C925EF">
        <w:rPr>
          <w:rFonts w:ascii="Arial" w:eastAsia="Aptos" w:hAnsi="Arial" w:cs="Arial"/>
          <w:color w:val="000000" w:themeColor="text1"/>
          <w:sz w:val="24"/>
          <w:szCs w:val="24"/>
          <w:lang w:val="en-US"/>
        </w:rPr>
        <w:t xml:space="preserve"> </w:t>
      </w:r>
    </w:p>
    <w:p w14:paraId="094F3FD0" w14:textId="77777777" w:rsidR="008F001C" w:rsidRDefault="008F001C" w:rsidP="00757283">
      <w:pPr>
        <w:spacing w:after="0" w:line="360" w:lineRule="auto"/>
        <w:rPr>
          <w:rFonts w:ascii="Arial" w:eastAsia="Aptos" w:hAnsi="Arial" w:cs="Arial"/>
          <w:color w:val="000000" w:themeColor="text1"/>
          <w:sz w:val="24"/>
          <w:szCs w:val="24"/>
          <w:lang w:val="en-US"/>
        </w:rPr>
      </w:pPr>
    </w:p>
    <w:p w14:paraId="1B39637D" w14:textId="37DE4B32" w:rsidR="008A22A5" w:rsidRPr="00C9574E" w:rsidRDefault="008F001C" w:rsidP="005913AF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5913AF">
        <w:rPr>
          <w:rFonts w:ascii="Arial" w:eastAsia="Aptos" w:hAnsi="Arial" w:cs="Arial"/>
          <w:color w:val="000000" w:themeColor="text1"/>
          <w:sz w:val="24"/>
          <w:szCs w:val="24"/>
          <w:u w:val="single"/>
          <w:lang w:val="en-US"/>
        </w:rPr>
        <w:t xml:space="preserve">Figure 3a: </w:t>
      </w:r>
      <w:r w:rsidR="00F1759A" w:rsidRPr="005913AF">
        <w:rPr>
          <w:rFonts w:ascii="Arial" w:eastAsia="Aptos" w:hAnsi="Arial" w:cs="Arial"/>
          <w:color w:val="000000" w:themeColor="text1"/>
          <w:sz w:val="24"/>
          <w:szCs w:val="24"/>
          <w:u w:val="single"/>
          <w:lang w:val="en-US"/>
        </w:rPr>
        <w:t xml:space="preserve">Graduate Capital Scale analysis - </w:t>
      </w:r>
      <w:r w:rsidR="00C33689" w:rsidRPr="005913AF">
        <w:rPr>
          <w:rFonts w:ascii="Arial" w:eastAsia="Aptos" w:hAnsi="Arial" w:cs="Arial"/>
          <w:color w:val="000000" w:themeColor="text1"/>
          <w:sz w:val="24"/>
          <w:szCs w:val="24"/>
          <w:u w:val="single"/>
          <w:lang w:val="en-US"/>
        </w:rPr>
        <w:t xml:space="preserve">A Paired Samples </w:t>
      </w:r>
      <w:proofErr w:type="spellStart"/>
      <w:r w:rsidR="00C33689" w:rsidRPr="005913AF">
        <w:rPr>
          <w:rFonts w:ascii="Arial" w:eastAsia="Aptos" w:hAnsi="Arial" w:cs="Arial"/>
          <w:i/>
          <w:iCs/>
          <w:color w:val="000000" w:themeColor="text1"/>
          <w:sz w:val="24"/>
          <w:szCs w:val="24"/>
          <w:u w:val="single"/>
          <w:lang w:val="en-US"/>
        </w:rPr>
        <w:t>t</w:t>
      </w:r>
      <w:proofErr w:type="spellEnd"/>
      <w:r w:rsidR="00C33689" w:rsidRPr="005913AF">
        <w:rPr>
          <w:rFonts w:ascii="Arial" w:eastAsia="Aptos" w:hAnsi="Arial" w:cs="Arial"/>
          <w:color w:val="000000" w:themeColor="text1"/>
          <w:sz w:val="24"/>
          <w:szCs w:val="24"/>
          <w:u w:val="single"/>
          <w:lang w:val="en-US"/>
        </w:rPr>
        <w:t xml:space="preserve"> test using SPSS V.30</w:t>
      </w:r>
    </w:p>
    <w:p w14:paraId="3826CFC9" w14:textId="5CD4F17C" w:rsidR="0092499C" w:rsidRDefault="0092499C" w:rsidP="0092499C">
      <w:pPr>
        <w:spacing w:line="360" w:lineRule="auto"/>
        <w:outlineLvl w:val="0"/>
        <w:rPr>
          <w:rFonts w:ascii="Arial" w:hAnsi="Arial" w:cs="Arial"/>
          <w:b/>
          <w:bCs/>
          <w:sz w:val="24"/>
          <w:szCs w:val="24"/>
        </w:rPr>
      </w:pPr>
      <w:r w:rsidRPr="00AD1FF6">
        <w:rPr>
          <w:rFonts w:ascii="Arial" w:hAnsi="Arial" w:cs="Arial"/>
          <w:b/>
          <w:bCs/>
          <w:sz w:val="24"/>
          <w:szCs w:val="24"/>
        </w:rPr>
        <w:t xml:space="preserve">Assessment methods: </w:t>
      </w:r>
      <w:r>
        <w:rPr>
          <w:rFonts w:ascii="Arial" w:hAnsi="Arial" w:cs="Arial"/>
          <w:b/>
          <w:bCs/>
          <w:sz w:val="24"/>
          <w:szCs w:val="24"/>
        </w:rPr>
        <w:t>Planned event</w:t>
      </w:r>
    </w:p>
    <w:p w14:paraId="26FE8B1B" w14:textId="5A219CE7" w:rsidR="001B0B31" w:rsidRDefault="00622BBF" w:rsidP="00A83DC6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Running</w:t>
      </w:r>
      <w:r w:rsidR="00DB6A95" w:rsidRPr="6408D7D1">
        <w:rPr>
          <w:rFonts w:ascii="Arial" w:hAnsi="Arial" w:cs="Arial"/>
          <w:sz w:val="24"/>
          <w:szCs w:val="24"/>
        </w:rPr>
        <w:t xml:space="preserve"> employer events </w:t>
      </w:r>
      <w:r>
        <w:rPr>
          <w:rFonts w:ascii="Arial" w:hAnsi="Arial" w:cs="Arial"/>
          <w:sz w:val="24"/>
          <w:szCs w:val="24"/>
        </w:rPr>
        <w:t>for</w:t>
      </w:r>
      <w:r w:rsidR="00D22140" w:rsidRPr="6408D7D1">
        <w:rPr>
          <w:rFonts w:ascii="Arial" w:hAnsi="Arial" w:cs="Arial"/>
          <w:sz w:val="24"/>
          <w:szCs w:val="24"/>
        </w:rPr>
        <w:t xml:space="preserve"> students has a long history within our </w:t>
      </w:r>
      <w:r w:rsidR="004473B2" w:rsidRPr="6408D7D1">
        <w:rPr>
          <w:rFonts w:ascii="Arial" w:hAnsi="Arial" w:cs="Arial"/>
          <w:sz w:val="24"/>
          <w:szCs w:val="24"/>
        </w:rPr>
        <w:t>institution and</w:t>
      </w:r>
      <w:r w:rsidR="00D22140" w:rsidRPr="6408D7D1">
        <w:rPr>
          <w:rFonts w:ascii="Arial" w:hAnsi="Arial" w:cs="Arial"/>
          <w:sz w:val="24"/>
          <w:szCs w:val="24"/>
        </w:rPr>
        <w:t xml:space="preserve"> </w:t>
      </w:r>
      <w:r w:rsidR="00DE4831">
        <w:rPr>
          <w:rFonts w:ascii="Arial" w:hAnsi="Arial" w:cs="Arial"/>
          <w:sz w:val="24"/>
          <w:szCs w:val="24"/>
        </w:rPr>
        <w:t>has</w:t>
      </w:r>
      <w:r w:rsidR="00D22140" w:rsidRPr="6408D7D1">
        <w:rPr>
          <w:rFonts w:ascii="Arial" w:hAnsi="Arial" w:cs="Arial"/>
          <w:sz w:val="24"/>
          <w:szCs w:val="24"/>
        </w:rPr>
        <w:t xml:space="preserve"> </w:t>
      </w:r>
      <w:r w:rsidR="00DE4831">
        <w:rPr>
          <w:rFonts w:ascii="Arial" w:hAnsi="Arial" w:cs="Arial"/>
          <w:sz w:val="24"/>
          <w:szCs w:val="24"/>
        </w:rPr>
        <w:t xml:space="preserve">been </w:t>
      </w:r>
      <w:r w:rsidR="00A12AC0">
        <w:rPr>
          <w:rFonts w:ascii="Arial" w:hAnsi="Arial" w:cs="Arial"/>
          <w:sz w:val="24"/>
          <w:szCs w:val="24"/>
        </w:rPr>
        <w:t xml:space="preserve">often </w:t>
      </w:r>
      <w:r w:rsidR="00AC3BBF" w:rsidRPr="6408D7D1">
        <w:rPr>
          <w:rFonts w:ascii="Arial" w:hAnsi="Arial" w:cs="Arial"/>
          <w:sz w:val="24"/>
          <w:szCs w:val="24"/>
        </w:rPr>
        <w:t xml:space="preserve">delivered </w:t>
      </w:r>
      <w:r w:rsidR="00D22140" w:rsidRPr="6408D7D1">
        <w:rPr>
          <w:rFonts w:ascii="Arial" w:hAnsi="Arial" w:cs="Arial"/>
          <w:sz w:val="24"/>
          <w:szCs w:val="24"/>
        </w:rPr>
        <w:t xml:space="preserve">through a mix of </w:t>
      </w:r>
      <w:r w:rsidR="00517D16" w:rsidRPr="6408D7D1">
        <w:rPr>
          <w:rFonts w:ascii="Arial" w:hAnsi="Arial" w:cs="Arial"/>
          <w:sz w:val="24"/>
          <w:szCs w:val="24"/>
        </w:rPr>
        <w:t>centrally led</w:t>
      </w:r>
      <w:r w:rsidR="00D22140" w:rsidRPr="6408D7D1">
        <w:rPr>
          <w:rFonts w:ascii="Arial" w:hAnsi="Arial" w:cs="Arial"/>
          <w:sz w:val="24"/>
          <w:szCs w:val="24"/>
        </w:rPr>
        <w:t xml:space="preserve"> careers service </w:t>
      </w:r>
      <w:r w:rsidR="007F51C3" w:rsidRPr="6408D7D1">
        <w:rPr>
          <w:rFonts w:ascii="Arial" w:hAnsi="Arial" w:cs="Arial"/>
          <w:sz w:val="24"/>
          <w:szCs w:val="24"/>
        </w:rPr>
        <w:t xml:space="preserve">and department-led </w:t>
      </w:r>
      <w:r w:rsidR="006354E2" w:rsidRPr="6408D7D1">
        <w:rPr>
          <w:rFonts w:ascii="Arial" w:hAnsi="Arial" w:cs="Arial"/>
          <w:sz w:val="24"/>
          <w:szCs w:val="24"/>
        </w:rPr>
        <w:t>events</w:t>
      </w:r>
      <w:r w:rsidR="007F51C3" w:rsidRPr="6408D7D1">
        <w:rPr>
          <w:rFonts w:ascii="Arial" w:hAnsi="Arial" w:cs="Arial"/>
          <w:sz w:val="24"/>
          <w:szCs w:val="24"/>
        </w:rPr>
        <w:t>. We</w:t>
      </w:r>
      <w:r w:rsidR="00B72459">
        <w:rPr>
          <w:rFonts w:ascii="Arial" w:hAnsi="Arial" w:cs="Arial"/>
          <w:sz w:val="24"/>
          <w:szCs w:val="24"/>
        </w:rPr>
        <w:t xml:space="preserve"> wanted</w:t>
      </w:r>
      <w:r w:rsidR="007F51C3" w:rsidRPr="6408D7D1">
        <w:rPr>
          <w:rFonts w:ascii="Arial" w:hAnsi="Arial" w:cs="Arial"/>
          <w:sz w:val="24"/>
          <w:szCs w:val="24"/>
        </w:rPr>
        <w:t xml:space="preserve"> to </w:t>
      </w:r>
      <w:r w:rsidR="004473B2" w:rsidRPr="6408D7D1">
        <w:rPr>
          <w:rFonts w:ascii="Arial" w:hAnsi="Arial" w:cs="Arial"/>
          <w:sz w:val="24"/>
          <w:szCs w:val="24"/>
        </w:rPr>
        <w:t xml:space="preserve">bring employer events within </w:t>
      </w:r>
      <w:r w:rsidR="002F2D4F">
        <w:rPr>
          <w:rFonts w:ascii="Arial" w:hAnsi="Arial" w:cs="Arial"/>
          <w:sz w:val="24"/>
          <w:szCs w:val="24"/>
        </w:rPr>
        <w:t>our</w:t>
      </w:r>
      <w:r w:rsidR="004473B2" w:rsidRPr="6408D7D1">
        <w:rPr>
          <w:rFonts w:ascii="Arial" w:hAnsi="Arial" w:cs="Arial"/>
          <w:sz w:val="24"/>
          <w:szCs w:val="24"/>
        </w:rPr>
        <w:t xml:space="preserve"> </w:t>
      </w:r>
      <w:r w:rsidR="00B67DFD" w:rsidRPr="6408D7D1">
        <w:rPr>
          <w:rFonts w:ascii="Arial" w:hAnsi="Arial" w:cs="Arial"/>
          <w:sz w:val="24"/>
          <w:szCs w:val="24"/>
        </w:rPr>
        <w:t>module</w:t>
      </w:r>
      <w:r w:rsidR="00DB3B48" w:rsidRPr="6408D7D1">
        <w:rPr>
          <w:rFonts w:ascii="Arial" w:hAnsi="Arial" w:cs="Arial"/>
          <w:sz w:val="24"/>
          <w:szCs w:val="24"/>
        </w:rPr>
        <w:t xml:space="preserve"> </w:t>
      </w:r>
      <w:r w:rsidR="004473B2" w:rsidRPr="6408D7D1">
        <w:rPr>
          <w:rFonts w:ascii="Arial" w:hAnsi="Arial" w:cs="Arial"/>
          <w:sz w:val="24"/>
          <w:szCs w:val="24"/>
        </w:rPr>
        <w:t>structure, and enable the student voice to shape the</w:t>
      </w:r>
      <w:r w:rsidR="007A5CE5">
        <w:rPr>
          <w:rFonts w:ascii="Arial" w:hAnsi="Arial" w:cs="Arial"/>
          <w:sz w:val="24"/>
          <w:szCs w:val="24"/>
        </w:rPr>
        <w:t>ir</w:t>
      </w:r>
      <w:r w:rsidR="004473B2" w:rsidRPr="6408D7D1">
        <w:rPr>
          <w:rFonts w:ascii="Arial" w:hAnsi="Arial" w:cs="Arial"/>
          <w:sz w:val="24"/>
          <w:szCs w:val="24"/>
        </w:rPr>
        <w:t xml:space="preserve"> provision</w:t>
      </w:r>
      <w:r w:rsidR="008B644D" w:rsidRPr="6408D7D1">
        <w:rPr>
          <w:rFonts w:ascii="Arial" w:hAnsi="Arial" w:cs="Arial"/>
          <w:sz w:val="24"/>
          <w:szCs w:val="24"/>
        </w:rPr>
        <w:t xml:space="preserve">, promotion </w:t>
      </w:r>
      <w:r w:rsidR="004473B2" w:rsidRPr="6408D7D1">
        <w:rPr>
          <w:rFonts w:ascii="Arial" w:hAnsi="Arial" w:cs="Arial"/>
          <w:sz w:val="24"/>
          <w:szCs w:val="24"/>
        </w:rPr>
        <w:t>and delivery.</w:t>
      </w:r>
      <w:r w:rsidR="00517D16" w:rsidRPr="6408D7D1">
        <w:rPr>
          <w:rFonts w:ascii="Arial" w:hAnsi="Arial" w:cs="Arial"/>
          <w:sz w:val="24"/>
          <w:szCs w:val="24"/>
        </w:rPr>
        <w:t xml:space="preserve"> This would benefit the students studying the module and </w:t>
      </w:r>
      <w:r w:rsidR="00DB3B48" w:rsidRPr="6408D7D1">
        <w:rPr>
          <w:rFonts w:ascii="Arial" w:hAnsi="Arial" w:cs="Arial"/>
          <w:sz w:val="24"/>
          <w:szCs w:val="24"/>
        </w:rPr>
        <w:t>those</w:t>
      </w:r>
      <w:r w:rsidR="00517D16" w:rsidRPr="6408D7D1">
        <w:rPr>
          <w:rFonts w:ascii="Arial" w:hAnsi="Arial" w:cs="Arial"/>
          <w:sz w:val="24"/>
          <w:szCs w:val="24"/>
        </w:rPr>
        <w:t xml:space="preserve"> </w:t>
      </w:r>
      <w:r w:rsidR="00B72459">
        <w:rPr>
          <w:rFonts w:ascii="Arial" w:hAnsi="Arial" w:cs="Arial"/>
          <w:sz w:val="24"/>
          <w:szCs w:val="24"/>
        </w:rPr>
        <w:t>across</w:t>
      </w:r>
      <w:r w:rsidR="00B72459" w:rsidRPr="6408D7D1">
        <w:rPr>
          <w:rFonts w:ascii="Arial" w:hAnsi="Arial" w:cs="Arial"/>
          <w:sz w:val="24"/>
          <w:szCs w:val="24"/>
        </w:rPr>
        <w:t xml:space="preserve"> </w:t>
      </w:r>
      <w:r w:rsidR="00517D16" w:rsidRPr="6408D7D1">
        <w:rPr>
          <w:rFonts w:ascii="Arial" w:hAnsi="Arial" w:cs="Arial"/>
          <w:sz w:val="24"/>
          <w:szCs w:val="24"/>
        </w:rPr>
        <w:t xml:space="preserve">the wider </w:t>
      </w:r>
      <w:r w:rsidR="00EB0BE5" w:rsidRPr="6408D7D1">
        <w:rPr>
          <w:rFonts w:ascii="Arial" w:hAnsi="Arial" w:cs="Arial"/>
          <w:sz w:val="24"/>
          <w:szCs w:val="24"/>
        </w:rPr>
        <w:t>department</w:t>
      </w:r>
      <w:r w:rsidR="00517D16" w:rsidRPr="6408D7D1">
        <w:rPr>
          <w:rFonts w:ascii="Arial" w:hAnsi="Arial" w:cs="Arial"/>
          <w:sz w:val="24"/>
          <w:szCs w:val="24"/>
        </w:rPr>
        <w:t>.</w:t>
      </w:r>
      <w:r w:rsidR="00A83DC6" w:rsidRPr="6408D7D1">
        <w:rPr>
          <w:rFonts w:ascii="Arial" w:hAnsi="Arial" w:cs="Arial"/>
          <w:sz w:val="24"/>
          <w:szCs w:val="24"/>
        </w:rPr>
        <w:t xml:space="preserve"> </w:t>
      </w:r>
      <w:r w:rsidR="00CC6684" w:rsidRPr="6408D7D1">
        <w:rPr>
          <w:rFonts w:ascii="Arial" w:hAnsi="Arial" w:cs="Arial"/>
          <w:sz w:val="24"/>
          <w:szCs w:val="24"/>
        </w:rPr>
        <w:t xml:space="preserve">This assessment </w:t>
      </w:r>
      <w:r w:rsidR="00ED21EB" w:rsidRPr="6408D7D1">
        <w:rPr>
          <w:rFonts w:ascii="Arial" w:hAnsi="Arial" w:cs="Arial"/>
          <w:sz w:val="24"/>
          <w:szCs w:val="24"/>
        </w:rPr>
        <w:t xml:space="preserve">was worth 10%. </w:t>
      </w:r>
    </w:p>
    <w:p w14:paraId="11D9BF46" w14:textId="2F756F29" w:rsidR="00CE03EE" w:rsidRDefault="001B0B31" w:rsidP="6408D7D1">
      <w:pPr>
        <w:spacing w:line="360" w:lineRule="auto"/>
        <w:rPr>
          <w:rFonts w:ascii="Arial" w:hAnsi="Arial" w:cs="Arial"/>
          <w:sz w:val="24"/>
          <w:szCs w:val="24"/>
        </w:rPr>
      </w:pPr>
      <w:r w:rsidRPr="6408D7D1">
        <w:rPr>
          <w:rFonts w:ascii="Arial" w:hAnsi="Arial" w:cs="Arial"/>
          <w:sz w:val="24"/>
          <w:szCs w:val="24"/>
        </w:rPr>
        <w:t>For</w:t>
      </w:r>
      <w:r w:rsidR="00A83DC6" w:rsidRPr="6408D7D1">
        <w:rPr>
          <w:rFonts w:ascii="Arial" w:hAnsi="Arial" w:cs="Arial"/>
          <w:sz w:val="24"/>
          <w:szCs w:val="24"/>
        </w:rPr>
        <w:t xml:space="preserve"> individual student</w:t>
      </w:r>
      <w:r w:rsidR="00EB6355">
        <w:rPr>
          <w:rFonts w:ascii="Arial" w:hAnsi="Arial" w:cs="Arial"/>
          <w:sz w:val="24"/>
          <w:szCs w:val="24"/>
        </w:rPr>
        <w:t>s</w:t>
      </w:r>
      <w:r w:rsidR="00A83DC6" w:rsidRPr="6408D7D1">
        <w:rPr>
          <w:rFonts w:ascii="Arial" w:hAnsi="Arial" w:cs="Arial"/>
          <w:sz w:val="24"/>
          <w:szCs w:val="24"/>
        </w:rPr>
        <w:t xml:space="preserve">, </w:t>
      </w:r>
      <w:r w:rsidRPr="6408D7D1">
        <w:rPr>
          <w:rFonts w:ascii="Arial" w:hAnsi="Arial" w:cs="Arial"/>
          <w:sz w:val="24"/>
          <w:szCs w:val="24"/>
        </w:rPr>
        <w:t xml:space="preserve">responsibility for delivering </w:t>
      </w:r>
      <w:r w:rsidR="00341D04">
        <w:rPr>
          <w:rFonts w:ascii="Arial" w:hAnsi="Arial" w:cs="Arial"/>
          <w:sz w:val="24"/>
          <w:szCs w:val="24"/>
        </w:rPr>
        <w:t xml:space="preserve">and hosting </w:t>
      </w:r>
      <w:r w:rsidR="00070A2B" w:rsidRPr="6408D7D1">
        <w:rPr>
          <w:rFonts w:ascii="Arial" w:hAnsi="Arial" w:cs="Arial"/>
          <w:sz w:val="24"/>
          <w:szCs w:val="24"/>
        </w:rPr>
        <w:t>a planned event</w:t>
      </w:r>
      <w:r w:rsidR="00A17712">
        <w:rPr>
          <w:rFonts w:ascii="Arial" w:hAnsi="Arial" w:cs="Arial"/>
          <w:sz w:val="24"/>
          <w:szCs w:val="24"/>
        </w:rPr>
        <w:t xml:space="preserve"> by</w:t>
      </w:r>
      <w:r w:rsidR="00ED21EB" w:rsidRPr="6408D7D1">
        <w:rPr>
          <w:rFonts w:ascii="Arial" w:hAnsi="Arial" w:cs="Arial"/>
          <w:sz w:val="24"/>
          <w:szCs w:val="24"/>
        </w:rPr>
        <w:t xml:space="preserve"> inviting former stud</w:t>
      </w:r>
      <w:r w:rsidR="000F335D" w:rsidRPr="6408D7D1">
        <w:rPr>
          <w:rFonts w:ascii="Arial" w:hAnsi="Arial" w:cs="Arial"/>
          <w:sz w:val="24"/>
          <w:szCs w:val="24"/>
        </w:rPr>
        <w:t>ent</w:t>
      </w:r>
      <w:r w:rsidR="00EB0BE5" w:rsidRPr="6408D7D1">
        <w:rPr>
          <w:rFonts w:ascii="Arial" w:hAnsi="Arial" w:cs="Arial"/>
          <w:sz w:val="24"/>
          <w:szCs w:val="24"/>
        </w:rPr>
        <w:t>s</w:t>
      </w:r>
      <w:r w:rsidR="00ED21EB" w:rsidRPr="6408D7D1">
        <w:rPr>
          <w:rFonts w:ascii="Arial" w:hAnsi="Arial" w:cs="Arial"/>
          <w:sz w:val="24"/>
          <w:szCs w:val="24"/>
        </w:rPr>
        <w:t xml:space="preserve"> </w:t>
      </w:r>
      <w:r w:rsidR="00474F4E" w:rsidRPr="6408D7D1">
        <w:rPr>
          <w:rFonts w:ascii="Arial" w:hAnsi="Arial" w:cs="Arial"/>
          <w:sz w:val="24"/>
          <w:szCs w:val="24"/>
        </w:rPr>
        <w:t xml:space="preserve">or employers </w:t>
      </w:r>
      <w:r w:rsidR="00ED21EB" w:rsidRPr="6408D7D1">
        <w:rPr>
          <w:rFonts w:ascii="Arial" w:hAnsi="Arial" w:cs="Arial"/>
          <w:sz w:val="24"/>
          <w:szCs w:val="24"/>
        </w:rPr>
        <w:t xml:space="preserve">to speak </w:t>
      </w:r>
      <w:r w:rsidR="029125A2" w:rsidRPr="6408D7D1">
        <w:rPr>
          <w:rFonts w:ascii="Arial" w:hAnsi="Arial" w:cs="Arial"/>
          <w:sz w:val="24"/>
          <w:szCs w:val="24"/>
        </w:rPr>
        <w:t xml:space="preserve">with </w:t>
      </w:r>
      <w:r w:rsidR="00ED21EB" w:rsidRPr="6408D7D1">
        <w:rPr>
          <w:rFonts w:ascii="Arial" w:hAnsi="Arial" w:cs="Arial"/>
          <w:sz w:val="24"/>
          <w:szCs w:val="24"/>
        </w:rPr>
        <w:t xml:space="preserve">current </w:t>
      </w:r>
      <w:r w:rsidR="000F335D" w:rsidRPr="6408D7D1">
        <w:rPr>
          <w:rFonts w:ascii="Arial" w:hAnsi="Arial" w:cs="Arial"/>
          <w:sz w:val="24"/>
          <w:szCs w:val="24"/>
        </w:rPr>
        <w:t xml:space="preserve">students, </w:t>
      </w:r>
      <w:r w:rsidR="004255E1">
        <w:rPr>
          <w:rFonts w:ascii="Arial" w:hAnsi="Arial" w:cs="Arial"/>
          <w:sz w:val="24"/>
          <w:szCs w:val="24"/>
        </w:rPr>
        <w:t>developed their</w:t>
      </w:r>
      <w:r w:rsidR="00A83DC6" w:rsidRPr="6408D7D1">
        <w:rPr>
          <w:rFonts w:ascii="Arial" w:hAnsi="Arial" w:cs="Arial"/>
          <w:sz w:val="24"/>
          <w:szCs w:val="24"/>
        </w:rPr>
        <w:t xml:space="preserve"> confidence in approaching and engaging </w:t>
      </w:r>
      <w:r w:rsidR="00FD7262">
        <w:rPr>
          <w:rFonts w:ascii="Arial" w:hAnsi="Arial" w:cs="Arial"/>
          <w:sz w:val="24"/>
          <w:szCs w:val="24"/>
        </w:rPr>
        <w:t xml:space="preserve">with </w:t>
      </w:r>
      <w:r w:rsidR="002F2D4F">
        <w:rPr>
          <w:rFonts w:ascii="Arial" w:hAnsi="Arial" w:cs="Arial"/>
          <w:sz w:val="24"/>
          <w:szCs w:val="24"/>
        </w:rPr>
        <w:t>employers</w:t>
      </w:r>
      <w:r w:rsidR="00FD7262">
        <w:rPr>
          <w:rFonts w:ascii="Arial" w:hAnsi="Arial" w:cs="Arial"/>
          <w:sz w:val="24"/>
          <w:szCs w:val="24"/>
        </w:rPr>
        <w:t xml:space="preserve">. </w:t>
      </w:r>
      <w:r w:rsidR="002F2D4F">
        <w:rPr>
          <w:rFonts w:ascii="Arial" w:hAnsi="Arial" w:cs="Arial"/>
          <w:sz w:val="24"/>
          <w:szCs w:val="24"/>
        </w:rPr>
        <w:t>They</w:t>
      </w:r>
      <w:r w:rsidR="00FD7262">
        <w:rPr>
          <w:rFonts w:ascii="Arial" w:hAnsi="Arial" w:cs="Arial"/>
          <w:sz w:val="24"/>
          <w:szCs w:val="24"/>
        </w:rPr>
        <w:t xml:space="preserve"> achieved a tangible output</w:t>
      </w:r>
      <w:r w:rsidR="00903AD5">
        <w:rPr>
          <w:rFonts w:ascii="Arial" w:hAnsi="Arial" w:cs="Arial"/>
          <w:sz w:val="24"/>
          <w:szCs w:val="24"/>
        </w:rPr>
        <w:t>, improved</w:t>
      </w:r>
      <w:r w:rsidR="291327BE" w:rsidRPr="6408D7D1">
        <w:rPr>
          <w:rFonts w:ascii="Arial" w:hAnsi="Arial" w:cs="Arial"/>
          <w:sz w:val="24"/>
          <w:szCs w:val="24"/>
        </w:rPr>
        <w:t xml:space="preserve"> </w:t>
      </w:r>
      <w:r w:rsidR="00A83DC6" w:rsidRPr="6408D7D1">
        <w:rPr>
          <w:rFonts w:ascii="Arial" w:hAnsi="Arial" w:cs="Arial"/>
          <w:sz w:val="24"/>
          <w:szCs w:val="24"/>
        </w:rPr>
        <w:t>their career networks</w:t>
      </w:r>
      <w:r w:rsidR="003C13BE">
        <w:rPr>
          <w:rFonts w:ascii="Arial" w:hAnsi="Arial" w:cs="Arial"/>
          <w:sz w:val="24"/>
          <w:szCs w:val="24"/>
        </w:rPr>
        <w:t xml:space="preserve"> </w:t>
      </w:r>
      <w:r w:rsidR="00C35684">
        <w:rPr>
          <w:rFonts w:ascii="Arial" w:hAnsi="Arial" w:cs="Arial"/>
          <w:sz w:val="24"/>
          <w:szCs w:val="24"/>
        </w:rPr>
        <w:t xml:space="preserve">and </w:t>
      </w:r>
      <w:r w:rsidR="002F2D4F">
        <w:rPr>
          <w:rFonts w:ascii="Arial" w:hAnsi="Arial" w:cs="Arial"/>
          <w:sz w:val="24"/>
          <w:szCs w:val="24"/>
        </w:rPr>
        <w:t xml:space="preserve">developed </w:t>
      </w:r>
      <w:r w:rsidR="00DC2C00">
        <w:rPr>
          <w:rFonts w:ascii="Arial" w:hAnsi="Arial" w:cs="Arial"/>
          <w:sz w:val="24"/>
          <w:szCs w:val="24"/>
        </w:rPr>
        <w:t>m</w:t>
      </w:r>
      <w:r w:rsidR="00266C8D">
        <w:rPr>
          <w:rFonts w:ascii="Arial" w:hAnsi="Arial" w:cs="Arial"/>
          <w:sz w:val="24"/>
          <w:szCs w:val="24"/>
        </w:rPr>
        <w:t>arketing skills</w:t>
      </w:r>
      <w:r w:rsidR="002F2D4F">
        <w:rPr>
          <w:rFonts w:ascii="Arial" w:hAnsi="Arial" w:cs="Arial"/>
          <w:sz w:val="24"/>
          <w:szCs w:val="24"/>
        </w:rPr>
        <w:t xml:space="preserve">, </w:t>
      </w:r>
      <w:r w:rsidR="00266C8D">
        <w:rPr>
          <w:rFonts w:ascii="Arial" w:hAnsi="Arial" w:cs="Arial"/>
          <w:sz w:val="24"/>
          <w:szCs w:val="24"/>
        </w:rPr>
        <w:t xml:space="preserve">promoting their </w:t>
      </w:r>
      <w:r w:rsidR="00C35684">
        <w:rPr>
          <w:rFonts w:ascii="Arial" w:hAnsi="Arial" w:cs="Arial"/>
          <w:sz w:val="24"/>
          <w:szCs w:val="24"/>
        </w:rPr>
        <w:t xml:space="preserve">planned </w:t>
      </w:r>
      <w:r w:rsidR="00A83DC6" w:rsidRPr="6408D7D1">
        <w:rPr>
          <w:rFonts w:ascii="Arial" w:hAnsi="Arial" w:cs="Arial"/>
          <w:sz w:val="24"/>
          <w:szCs w:val="24"/>
        </w:rPr>
        <w:t>event to the</w:t>
      </w:r>
      <w:r w:rsidR="00266C8D">
        <w:rPr>
          <w:rFonts w:ascii="Arial" w:hAnsi="Arial" w:cs="Arial"/>
          <w:sz w:val="24"/>
          <w:szCs w:val="24"/>
        </w:rPr>
        <w:t xml:space="preserve"> </w:t>
      </w:r>
      <w:r w:rsidR="002A2F9A">
        <w:rPr>
          <w:rFonts w:ascii="Arial" w:hAnsi="Arial" w:cs="Arial"/>
          <w:sz w:val="24"/>
          <w:szCs w:val="24"/>
        </w:rPr>
        <w:t>department</w:t>
      </w:r>
      <w:r w:rsidR="006609B3">
        <w:rPr>
          <w:rFonts w:ascii="Arial" w:hAnsi="Arial" w:cs="Arial"/>
          <w:sz w:val="24"/>
          <w:szCs w:val="24"/>
        </w:rPr>
        <w:t>’s</w:t>
      </w:r>
      <w:r w:rsidR="00266C8D">
        <w:rPr>
          <w:rFonts w:ascii="Arial" w:hAnsi="Arial" w:cs="Arial"/>
          <w:sz w:val="24"/>
          <w:szCs w:val="24"/>
        </w:rPr>
        <w:t xml:space="preserve"> student</w:t>
      </w:r>
      <w:r w:rsidR="004B3423">
        <w:rPr>
          <w:rFonts w:ascii="Arial" w:hAnsi="Arial" w:cs="Arial"/>
          <w:sz w:val="24"/>
          <w:szCs w:val="24"/>
        </w:rPr>
        <w:t xml:space="preserve"> body.</w:t>
      </w:r>
      <w:r w:rsidR="00A83DC6" w:rsidRPr="6408D7D1">
        <w:rPr>
          <w:rFonts w:ascii="Arial" w:hAnsi="Arial" w:cs="Arial"/>
          <w:sz w:val="24"/>
          <w:szCs w:val="24"/>
        </w:rPr>
        <w:t xml:space="preserve"> Students were required to host the employer</w:t>
      </w:r>
      <w:r w:rsidR="00B72459">
        <w:rPr>
          <w:rFonts w:ascii="Arial" w:hAnsi="Arial" w:cs="Arial"/>
          <w:sz w:val="24"/>
          <w:szCs w:val="24"/>
        </w:rPr>
        <w:t>, chair the event</w:t>
      </w:r>
      <w:r w:rsidR="00A83DC6" w:rsidRPr="6408D7D1">
        <w:rPr>
          <w:rFonts w:ascii="Arial" w:hAnsi="Arial" w:cs="Arial"/>
          <w:sz w:val="24"/>
          <w:szCs w:val="24"/>
        </w:rPr>
        <w:t xml:space="preserve"> and ensure the </w:t>
      </w:r>
      <w:r w:rsidR="005925E2">
        <w:rPr>
          <w:rFonts w:ascii="Arial" w:hAnsi="Arial" w:cs="Arial"/>
          <w:sz w:val="24"/>
          <w:szCs w:val="24"/>
        </w:rPr>
        <w:t>activity</w:t>
      </w:r>
      <w:r w:rsidR="00A83DC6" w:rsidRPr="6408D7D1">
        <w:rPr>
          <w:rFonts w:ascii="Arial" w:hAnsi="Arial" w:cs="Arial"/>
          <w:sz w:val="24"/>
          <w:szCs w:val="24"/>
        </w:rPr>
        <w:t xml:space="preserve"> went smoothly. </w:t>
      </w:r>
      <w:r w:rsidR="00981CE9">
        <w:rPr>
          <w:rFonts w:ascii="Arial" w:hAnsi="Arial" w:cs="Arial"/>
          <w:sz w:val="24"/>
          <w:szCs w:val="24"/>
        </w:rPr>
        <w:t>It also</w:t>
      </w:r>
      <w:r w:rsidR="008046A8">
        <w:rPr>
          <w:rFonts w:ascii="Arial" w:hAnsi="Arial" w:cs="Arial"/>
          <w:sz w:val="24"/>
          <w:szCs w:val="24"/>
        </w:rPr>
        <w:t xml:space="preserve"> </w:t>
      </w:r>
      <w:r w:rsidR="000060C7">
        <w:rPr>
          <w:rFonts w:ascii="Arial" w:hAnsi="Arial" w:cs="Arial"/>
          <w:sz w:val="24"/>
          <w:szCs w:val="24"/>
        </w:rPr>
        <w:t xml:space="preserve">assisted students </w:t>
      </w:r>
      <w:r w:rsidR="006E02F3">
        <w:rPr>
          <w:rFonts w:ascii="Arial" w:hAnsi="Arial" w:cs="Arial"/>
          <w:sz w:val="24"/>
          <w:szCs w:val="24"/>
        </w:rPr>
        <w:t xml:space="preserve">to </w:t>
      </w:r>
      <w:r w:rsidR="000060C7">
        <w:rPr>
          <w:rFonts w:ascii="Arial" w:hAnsi="Arial" w:cs="Arial"/>
          <w:sz w:val="24"/>
          <w:szCs w:val="24"/>
        </w:rPr>
        <w:t xml:space="preserve">gain </w:t>
      </w:r>
      <w:r w:rsidR="0066783B">
        <w:rPr>
          <w:rFonts w:ascii="Arial" w:hAnsi="Arial" w:cs="Arial"/>
          <w:sz w:val="24"/>
          <w:szCs w:val="24"/>
        </w:rPr>
        <w:t>experience</w:t>
      </w:r>
      <w:r w:rsidR="000060C7">
        <w:rPr>
          <w:rFonts w:ascii="Arial" w:hAnsi="Arial" w:cs="Arial"/>
          <w:sz w:val="24"/>
          <w:szCs w:val="24"/>
        </w:rPr>
        <w:t xml:space="preserve"> </w:t>
      </w:r>
      <w:r w:rsidR="00FA3B78">
        <w:rPr>
          <w:rFonts w:ascii="Arial" w:hAnsi="Arial" w:cs="Arial"/>
          <w:sz w:val="24"/>
          <w:szCs w:val="24"/>
        </w:rPr>
        <w:t xml:space="preserve">of </w:t>
      </w:r>
      <w:r w:rsidR="000060C7">
        <w:rPr>
          <w:rFonts w:ascii="Arial" w:hAnsi="Arial" w:cs="Arial"/>
          <w:sz w:val="24"/>
          <w:szCs w:val="24"/>
        </w:rPr>
        <w:t>working with a</w:t>
      </w:r>
      <w:r w:rsidR="00153D66" w:rsidRPr="6408D7D1">
        <w:rPr>
          <w:rFonts w:ascii="Arial" w:hAnsi="Arial" w:cs="Arial"/>
          <w:sz w:val="24"/>
          <w:szCs w:val="24"/>
        </w:rPr>
        <w:t xml:space="preserve">n </w:t>
      </w:r>
      <w:r w:rsidR="00A83DC6" w:rsidRPr="6408D7D1">
        <w:rPr>
          <w:rFonts w:ascii="Arial" w:hAnsi="Arial" w:cs="Arial"/>
          <w:sz w:val="24"/>
          <w:szCs w:val="24"/>
        </w:rPr>
        <w:t>employer</w:t>
      </w:r>
      <w:r w:rsidR="00153D66" w:rsidRPr="6408D7D1">
        <w:rPr>
          <w:rFonts w:ascii="Arial" w:hAnsi="Arial" w:cs="Arial"/>
          <w:sz w:val="24"/>
          <w:szCs w:val="24"/>
        </w:rPr>
        <w:t>’s</w:t>
      </w:r>
      <w:r w:rsidR="00A83DC6" w:rsidRPr="6408D7D1">
        <w:rPr>
          <w:rFonts w:ascii="Arial" w:hAnsi="Arial" w:cs="Arial"/>
          <w:sz w:val="24"/>
          <w:szCs w:val="24"/>
        </w:rPr>
        <w:t xml:space="preserve"> deadlines</w:t>
      </w:r>
      <w:r w:rsidR="000060C7">
        <w:rPr>
          <w:rFonts w:ascii="Arial" w:hAnsi="Arial" w:cs="Arial"/>
          <w:sz w:val="24"/>
          <w:szCs w:val="24"/>
        </w:rPr>
        <w:t xml:space="preserve"> </w:t>
      </w:r>
      <w:r w:rsidR="00A83DC6" w:rsidRPr="6408D7D1">
        <w:rPr>
          <w:rFonts w:ascii="Arial" w:hAnsi="Arial" w:cs="Arial"/>
          <w:sz w:val="24"/>
          <w:szCs w:val="24"/>
        </w:rPr>
        <w:t xml:space="preserve">and </w:t>
      </w:r>
      <w:r w:rsidR="0066783B">
        <w:rPr>
          <w:rFonts w:ascii="Arial" w:hAnsi="Arial" w:cs="Arial"/>
          <w:sz w:val="24"/>
          <w:szCs w:val="24"/>
        </w:rPr>
        <w:t xml:space="preserve">to </w:t>
      </w:r>
      <w:r w:rsidR="00A83DC6" w:rsidRPr="6408D7D1">
        <w:rPr>
          <w:rFonts w:ascii="Arial" w:hAnsi="Arial" w:cs="Arial"/>
          <w:sz w:val="24"/>
          <w:szCs w:val="24"/>
        </w:rPr>
        <w:t>us</w:t>
      </w:r>
      <w:r w:rsidR="005D0233">
        <w:rPr>
          <w:rFonts w:ascii="Arial" w:hAnsi="Arial" w:cs="Arial"/>
          <w:sz w:val="24"/>
          <w:szCs w:val="24"/>
        </w:rPr>
        <w:t>e</w:t>
      </w:r>
      <w:r w:rsidR="00A83DC6" w:rsidRPr="6408D7D1">
        <w:rPr>
          <w:rFonts w:ascii="Arial" w:hAnsi="Arial" w:cs="Arial"/>
          <w:sz w:val="24"/>
          <w:szCs w:val="24"/>
        </w:rPr>
        <w:t xml:space="preserve"> their influencing and negotiation skills</w:t>
      </w:r>
      <w:r w:rsidR="00FA3B78">
        <w:rPr>
          <w:rFonts w:ascii="Arial" w:hAnsi="Arial" w:cs="Arial"/>
          <w:sz w:val="24"/>
          <w:szCs w:val="24"/>
        </w:rPr>
        <w:t xml:space="preserve"> in </w:t>
      </w:r>
      <w:r w:rsidR="002A2F9A">
        <w:rPr>
          <w:rFonts w:ascii="Arial" w:hAnsi="Arial" w:cs="Arial"/>
          <w:sz w:val="24"/>
          <w:szCs w:val="24"/>
        </w:rPr>
        <w:t xml:space="preserve">relation to </w:t>
      </w:r>
      <w:r w:rsidR="00981CE9">
        <w:rPr>
          <w:rFonts w:ascii="Arial" w:hAnsi="Arial" w:cs="Arial"/>
          <w:sz w:val="24"/>
          <w:szCs w:val="24"/>
        </w:rPr>
        <w:t xml:space="preserve">event </w:t>
      </w:r>
      <w:r w:rsidR="00FA3B78">
        <w:rPr>
          <w:rFonts w:ascii="Arial" w:hAnsi="Arial" w:cs="Arial"/>
          <w:sz w:val="24"/>
          <w:szCs w:val="24"/>
        </w:rPr>
        <w:t>scheduling</w:t>
      </w:r>
      <w:r w:rsidR="00D40BAD">
        <w:rPr>
          <w:rFonts w:ascii="Arial" w:hAnsi="Arial" w:cs="Arial"/>
          <w:sz w:val="24"/>
          <w:szCs w:val="24"/>
        </w:rPr>
        <w:t xml:space="preserve"> </w:t>
      </w:r>
      <w:r w:rsidR="00FA3B78">
        <w:rPr>
          <w:rFonts w:ascii="Arial" w:hAnsi="Arial" w:cs="Arial"/>
          <w:sz w:val="24"/>
          <w:szCs w:val="24"/>
        </w:rPr>
        <w:t xml:space="preserve">and </w:t>
      </w:r>
      <w:r w:rsidR="00D40BAD">
        <w:rPr>
          <w:rFonts w:ascii="Arial" w:hAnsi="Arial" w:cs="Arial"/>
          <w:sz w:val="24"/>
          <w:szCs w:val="24"/>
        </w:rPr>
        <w:t xml:space="preserve">its </w:t>
      </w:r>
      <w:r w:rsidR="00FA3B78">
        <w:rPr>
          <w:rFonts w:ascii="Arial" w:hAnsi="Arial" w:cs="Arial"/>
          <w:sz w:val="24"/>
          <w:szCs w:val="24"/>
        </w:rPr>
        <w:t xml:space="preserve">subsequent </w:t>
      </w:r>
      <w:r w:rsidR="00FA3B78">
        <w:rPr>
          <w:rFonts w:ascii="Arial" w:hAnsi="Arial" w:cs="Arial"/>
          <w:sz w:val="24"/>
          <w:szCs w:val="24"/>
        </w:rPr>
        <w:lastRenderedPageBreak/>
        <w:t>delivery</w:t>
      </w:r>
      <w:r w:rsidR="00A83DC6" w:rsidRPr="6408D7D1">
        <w:rPr>
          <w:rFonts w:ascii="Arial" w:hAnsi="Arial" w:cs="Arial"/>
          <w:sz w:val="24"/>
          <w:szCs w:val="24"/>
        </w:rPr>
        <w:t xml:space="preserve">. The </w:t>
      </w:r>
      <w:r w:rsidR="006B4801" w:rsidRPr="6408D7D1">
        <w:rPr>
          <w:rFonts w:ascii="Arial" w:hAnsi="Arial" w:cs="Arial"/>
          <w:sz w:val="24"/>
          <w:szCs w:val="24"/>
        </w:rPr>
        <w:t>department</w:t>
      </w:r>
      <w:r w:rsidR="00A83DC6" w:rsidRPr="6408D7D1">
        <w:rPr>
          <w:rFonts w:ascii="Arial" w:hAnsi="Arial" w:cs="Arial"/>
          <w:sz w:val="24"/>
          <w:szCs w:val="24"/>
        </w:rPr>
        <w:t xml:space="preserve"> </w:t>
      </w:r>
      <w:r w:rsidR="00290D3E">
        <w:rPr>
          <w:rFonts w:ascii="Arial" w:hAnsi="Arial" w:cs="Arial"/>
          <w:sz w:val="24"/>
          <w:szCs w:val="24"/>
        </w:rPr>
        <w:t>in turn</w:t>
      </w:r>
      <w:r w:rsidR="00981CE9">
        <w:rPr>
          <w:rFonts w:ascii="Arial" w:hAnsi="Arial" w:cs="Arial"/>
          <w:sz w:val="24"/>
          <w:szCs w:val="24"/>
        </w:rPr>
        <w:t>,</w:t>
      </w:r>
      <w:r w:rsidR="00153D66" w:rsidRPr="6408D7D1">
        <w:rPr>
          <w:rFonts w:ascii="Arial" w:hAnsi="Arial" w:cs="Arial"/>
          <w:sz w:val="24"/>
          <w:szCs w:val="24"/>
        </w:rPr>
        <w:t xml:space="preserve"> </w:t>
      </w:r>
      <w:r w:rsidR="00A83DC6" w:rsidRPr="6408D7D1">
        <w:rPr>
          <w:rFonts w:ascii="Arial" w:hAnsi="Arial" w:cs="Arial"/>
          <w:sz w:val="24"/>
          <w:szCs w:val="24"/>
        </w:rPr>
        <w:t xml:space="preserve">benefitted from </w:t>
      </w:r>
      <w:r w:rsidR="00B62088">
        <w:rPr>
          <w:rFonts w:ascii="Arial" w:hAnsi="Arial" w:cs="Arial"/>
          <w:sz w:val="24"/>
          <w:szCs w:val="24"/>
        </w:rPr>
        <w:t>a</w:t>
      </w:r>
      <w:r w:rsidR="00A83DC6" w:rsidRPr="6408D7D1">
        <w:rPr>
          <w:rFonts w:ascii="Arial" w:hAnsi="Arial" w:cs="Arial"/>
          <w:sz w:val="24"/>
          <w:szCs w:val="24"/>
        </w:rPr>
        <w:t xml:space="preserve"> wide-ranging </w:t>
      </w:r>
      <w:r w:rsidR="00F4512C">
        <w:rPr>
          <w:rFonts w:ascii="Arial" w:hAnsi="Arial" w:cs="Arial"/>
          <w:sz w:val="24"/>
          <w:szCs w:val="24"/>
        </w:rPr>
        <w:t xml:space="preserve">employer </w:t>
      </w:r>
      <w:r w:rsidR="00A83DC6" w:rsidRPr="6408D7D1">
        <w:rPr>
          <w:rFonts w:ascii="Arial" w:hAnsi="Arial" w:cs="Arial"/>
          <w:sz w:val="24"/>
          <w:szCs w:val="24"/>
        </w:rPr>
        <w:t>programme of twenty</w:t>
      </w:r>
      <w:r w:rsidR="006B4801" w:rsidRPr="6408D7D1">
        <w:rPr>
          <w:rFonts w:ascii="Arial" w:hAnsi="Arial" w:cs="Arial"/>
          <w:sz w:val="24"/>
          <w:szCs w:val="24"/>
        </w:rPr>
        <w:t>-</w:t>
      </w:r>
      <w:r w:rsidR="000F335D" w:rsidRPr="6408D7D1">
        <w:rPr>
          <w:rFonts w:ascii="Arial" w:hAnsi="Arial" w:cs="Arial"/>
          <w:sz w:val="24"/>
          <w:szCs w:val="24"/>
        </w:rPr>
        <w:t xml:space="preserve">five </w:t>
      </w:r>
      <w:r w:rsidR="008046A8">
        <w:rPr>
          <w:rFonts w:ascii="Arial" w:hAnsi="Arial" w:cs="Arial"/>
          <w:sz w:val="24"/>
          <w:szCs w:val="24"/>
        </w:rPr>
        <w:t>employer talks</w:t>
      </w:r>
      <w:r w:rsidR="00C16001">
        <w:rPr>
          <w:rFonts w:ascii="Arial" w:hAnsi="Arial" w:cs="Arial"/>
          <w:sz w:val="24"/>
          <w:szCs w:val="24"/>
        </w:rPr>
        <w:t xml:space="preserve">, </w:t>
      </w:r>
      <w:r w:rsidR="00A05625" w:rsidRPr="6408D7D1">
        <w:rPr>
          <w:rFonts w:ascii="Arial" w:hAnsi="Arial" w:cs="Arial"/>
          <w:sz w:val="24"/>
          <w:szCs w:val="24"/>
        </w:rPr>
        <w:t xml:space="preserve">open to </w:t>
      </w:r>
      <w:r w:rsidR="00A83DC6" w:rsidRPr="6408D7D1">
        <w:rPr>
          <w:rFonts w:ascii="Arial" w:hAnsi="Arial" w:cs="Arial"/>
          <w:sz w:val="24"/>
          <w:szCs w:val="24"/>
        </w:rPr>
        <w:t xml:space="preserve">all </w:t>
      </w:r>
      <w:r w:rsidR="000F335D" w:rsidRPr="6408D7D1">
        <w:rPr>
          <w:rFonts w:ascii="Arial" w:hAnsi="Arial" w:cs="Arial"/>
          <w:sz w:val="24"/>
          <w:szCs w:val="24"/>
        </w:rPr>
        <w:t xml:space="preserve">interested </w:t>
      </w:r>
      <w:r w:rsidR="00A83DC6" w:rsidRPr="6408D7D1">
        <w:rPr>
          <w:rFonts w:ascii="Arial" w:hAnsi="Arial" w:cs="Arial"/>
          <w:sz w:val="24"/>
          <w:szCs w:val="24"/>
        </w:rPr>
        <w:t>students.</w:t>
      </w:r>
      <w:r w:rsidR="0036356A">
        <w:rPr>
          <w:rFonts w:ascii="Arial" w:hAnsi="Arial" w:cs="Arial"/>
          <w:sz w:val="24"/>
          <w:szCs w:val="24"/>
        </w:rPr>
        <w:t xml:space="preserve"> Attendance ranged from </w:t>
      </w:r>
      <w:r w:rsidR="00584F73">
        <w:rPr>
          <w:rFonts w:ascii="Arial" w:hAnsi="Arial" w:cs="Arial"/>
          <w:sz w:val="24"/>
          <w:szCs w:val="24"/>
        </w:rPr>
        <w:t xml:space="preserve">15-40 students per talk, with a core group from the module attending each </w:t>
      </w:r>
      <w:r w:rsidR="00D40BAD">
        <w:rPr>
          <w:rFonts w:ascii="Arial" w:hAnsi="Arial" w:cs="Arial"/>
          <w:sz w:val="24"/>
          <w:szCs w:val="24"/>
        </w:rPr>
        <w:t xml:space="preserve">one </w:t>
      </w:r>
      <w:r w:rsidR="00584F73">
        <w:rPr>
          <w:rFonts w:ascii="Arial" w:hAnsi="Arial" w:cs="Arial"/>
          <w:sz w:val="24"/>
          <w:szCs w:val="24"/>
        </w:rPr>
        <w:t>(between 5-15)</w:t>
      </w:r>
      <w:r w:rsidR="002E4FC1">
        <w:rPr>
          <w:rFonts w:ascii="Arial" w:hAnsi="Arial" w:cs="Arial"/>
          <w:sz w:val="24"/>
          <w:szCs w:val="24"/>
        </w:rPr>
        <w:t>.</w:t>
      </w:r>
      <w:r w:rsidR="00290D3E">
        <w:rPr>
          <w:rFonts w:ascii="Arial" w:hAnsi="Arial" w:cs="Arial"/>
          <w:sz w:val="24"/>
          <w:szCs w:val="24"/>
        </w:rPr>
        <w:t xml:space="preserve"> This extensive programme of </w:t>
      </w:r>
      <w:r w:rsidR="006B4D8F">
        <w:rPr>
          <w:rFonts w:ascii="Arial" w:hAnsi="Arial" w:cs="Arial"/>
          <w:sz w:val="24"/>
          <w:szCs w:val="24"/>
        </w:rPr>
        <w:t xml:space="preserve">subject-relevant career events would not have been possible without </w:t>
      </w:r>
      <w:r w:rsidR="00D40BAD">
        <w:rPr>
          <w:rFonts w:ascii="Arial" w:hAnsi="Arial" w:cs="Arial"/>
          <w:sz w:val="24"/>
          <w:szCs w:val="24"/>
        </w:rPr>
        <w:t>utilising the module’s student</w:t>
      </w:r>
      <w:r w:rsidR="000C0BD8">
        <w:rPr>
          <w:rFonts w:ascii="Arial" w:hAnsi="Arial" w:cs="Arial"/>
          <w:sz w:val="24"/>
          <w:szCs w:val="24"/>
        </w:rPr>
        <w:t>s</w:t>
      </w:r>
      <w:r w:rsidR="006B4D8F">
        <w:rPr>
          <w:rFonts w:ascii="Arial" w:hAnsi="Arial" w:cs="Arial"/>
          <w:sz w:val="24"/>
          <w:szCs w:val="24"/>
        </w:rPr>
        <w:t xml:space="preserve">. </w:t>
      </w:r>
    </w:p>
    <w:p w14:paraId="3A85F45B" w14:textId="10E528E5" w:rsidR="00670CB0" w:rsidRDefault="00670CB0" w:rsidP="00670CB0">
      <w:pPr>
        <w:spacing w:line="360" w:lineRule="auto"/>
        <w:outlineLvl w:val="0"/>
        <w:rPr>
          <w:rFonts w:ascii="Arial" w:hAnsi="Arial" w:cs="Arial"/>
          <w:b/>
          <w:bCs/>
          <w:sz w:val="24"/>
          <w:szCs w:val="24"/>
        </w:rPr>
      </w:pPr>
      <w:r w:rsidRPr="00AD1FF6">
        <w:rPr>
          <w:rFonts w:ascii="Arial" w:hAnsi="Arial" w:cs="Arial"/>
          <w:b/>
          <w:bCs/>
          <w:sz w:val="24"/>
          <w:szCs w:val="24"/>
        </w:rPr>
        <w:t xml:space="preserve">Assessment methods: </w:t>
      </w:r>
      <w:r>
        <w:rPr>
          <w:rFonts w:ascii="Arial" w:hAnsi="Arial" w:cs="Arial"/>
          <w:b/>
          <w:bCs/>
          <w:sz w:val="24"/>
          <w:szCs w:val="24"/>
        </w:rPr>
        <w:t>Recorded review</w:t>
      </w:r>
    </w:p>
    <w:p w14:paraId="52B195DE" w14:textId="021DEA87" w:rsidR="001D7FAC" w:rsidRDefault="00B72459" w:rsidP="6408D7D1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0F335D" w:rsidRPr="6408D7D1">
        <w:rPr>
          <w:rFonts w:ascii="Arial" w:hAnsi="Arial" w:cs="Arial"/>
          <w:sz w:val="24"/>
          <w:szCs w:val="24"/>
        </w:rPr>
        <w:t xml:space="preserve"> notable student favourite </w:t>
      </w:r>
      <w:r w:rsidR="001D7FAC" w:rsidRPr="6408D7D1">
        <w:rPr>
          <w:rFonts w:ascii="Arial" w:hAnsi="Arial" w:cs="Arial"/>
          <w:sz w:val="24"/>
          <w:szCs w:val="24"/>
        </w:rPr>
        <w:t>was the recorded book review</w:t>
      </w:r>
      <w:r w:rsidR="009A17B3" w:rsidRPr="6408D7D1">
        <w:rPr>
          <w:rFonts w:ascii="Arial" w:hAnsi="Arial" w:cs="Arial"/>
          <w:sz w:val="24"/>
          <w:szCs w:val="24"/>
        </w:rPr>
        <w:t xml:space="preserve"> (worth 10%). S</w:t>
      </w:r>
      <w:r w:rsidR="001D7FAC" w:rsidRPr="6408D7D1">
        <w:rPr>
          <w:rFonts w:ascii="Arial" w:hAnsi="Arial" w:cs="Arial"/>
          <w:sz w:val="24"/>
          <w:szCs w:val="24"/>
        </w:rPr>
        <w:t xml:space="preserve">tudents were required to select from a </w:t>
      </w:r>
      <w:r w:rsidR="000F335D" w:rsidRPr="6408D7D1">
        <w:rPr>
          <w:rFonts w:ascii="Arial" w:hAnsi="Arial" w:cs="Arial"/>
          <w:sz w:val="24"/>
          <w:szCs w:val="24"/>
        </w:rPr>
        <w:t xml:space="preserve">list of </w:t>
      </w:r>
      <w:r w:rsidR="00A05625" w:rsidRPr="6408D7D1">
        <w:rPr>
          <w:rFonts w:ascii="Arial" w:hAnsi="Arial" w:cs="Arial"/>
          <w:sz w:val="24"/>
          <w:szCs w:val="24"/>
        </w:rPr>
        <w:t xml:space="preserve">forty </w:t>
      </w:r>
      <w:r w:rsidR="000F335D" w:rsidRPr="6408D7D1">
        <w:rPr>
          <w:rFonts w:ascii="Arial" w:hAnsi="Arial" w:cs="Arial"/>
          <w:sz w:val="24"/>
          <w:szCs w:val="24"/>
        </w:rPr>
        <w:t xml:space="preserve">self-help books focused on </w:t>
      </w:r>
      <w:r w:rsidR="00160A7D">
        <w:rPr>
          <w:rFonts w:ascii="Arial" w:hAnsi="Arial" w:cs="Arial"/>
          <w:sz w:val="24"/>
          <w:szCs w:val="24"/>
        </w:rPr>
        <w:t>increasing productivity and effectiveness</w:t>
      </w:r>
      <w:r w:rsidR="54556FE4" w:rsidRPr="6408D7D1">
        <w:rPr>
          <w:rFonts w:ascii="Arial" w:hAnsi="Arial" w:cs="Arial"/>
          <w:sz w:val="24"/>
          <w:szCs w:val="24"/>
        </w:rPr>
        <w:t>,</w:t>
      </w:r>
      <w:r w:rsidR="000F335D" w:rsidRPr="6408D7D1">
        <w:rPr>
          <w:rFonts w:ascii="Arial" w:hAnsi="Arial" w:cs="Arial"/>
          <w:sz w:val="24"/>
          <w:szCs w:val="24"/>
        </w:rPr>
        <w:t xml:space="preserve"> </w:t>
      </w:r>
      <w:r w:rsidR="00175689">
        <w:rPr>
          <w:rFonts w:ascii="Arial" w:hAnsi="Arial" w:cs="Arial"/>
          <w:sz w:val="24"/>
          <w:szCs w:val="24"/>
        </w:rPr>
        <w:t xml:space="preserve">which </w:t>
      </w:r>
      <w:r w:rsidR="000F335D" w:rsidRPr="6408D7D1">
        <w:rPr>
          <w:rFonts w:ascii="Arial" w:hAnsi="Arial" w:cs="Arial"/>
          <w:sz w:val="24"/>
          <w:szCs w:val="24"/>
        </w:rPr>
        <w:t xml:space="preserve">we had curated </w:t>
      </w:r>
      <w:r w:rsidR="00EB0BE5" w:rsidRPr="6408D7D1">
        <w:rPr>
          <w:rFonts w:ascii="Arial" w:hAnsi="Arial" w:cs="Arial"/>
          <w:sz w:val="24"/>
          <w:szCs w:val="24"/>
        </w:rPr>
        <w:t>for</w:t>
      </w:r>
      <w:r w:rsidR="000F335D" w:rsidRPr="6408D7D1">
        <w:rPr>
          <w:rFonts w:ascii="Arial" w:hAnsi="Arial" w:cs="Arial"/>
          <w:sz w:val="24"/>
          <w:szCs w:val="24"/>
        </w:rPr>
        <w:t xml:space="preserve"> the module. They could also propose their own book. T</w:t>
      </w:r>
      <w:r w:rsidR="001D7FAC" w:rsidRPr="6408D7D1">
        <w:rPr>
          <w:rFonts w:ascii="Arial" w:hAnsi="Arial" w:cs="Arial"/>
          <w:sz w:val="24"/>
          <w:szCs w:val="24"/>
        </w:rPr>
        <w:t xml:space="preserve">itles </w:t>
      </w:r>
      <w:r w:rsidR="000F335D" w:rsidRPr="6408D7D1">
        <w:rPr>
          <w:rFonts w:ascii="Arial" w:hAnsi="Arial" w:cs="Arial"/>
          <w:sz w:val="24"/>
          <w:szCs w:val="24"/>
        </w:rPr>
        <w:t>included</w:t>
      </w:r>
      <w:r w:rsidR="001D7FAC" w:rsidRPr="6408D7D1">
        <w:rPr>
          <w:rFonts w:ascii="Arial" w:hAnsi="Arial" w:cs="Arial"/>
          <w:sz w:val="24"/>
          <w:szCs w:val="24"/>
        </w:rPr>
        <w:t xml:space="preserve"> </w:t>
      </w:r>
      <w:r w:rsidR="000F335D" w:rsidRPr="6408D7D1">
        <w:rPr>
          <w:rFonts w:ascii="Arial" w:hAnsi="Arial" w:cs="Arial"/>
          <w:sz w:val="24"/>
          <w:szCs w:val="24"/>
        </w:rPr>
        <w:t>‘</w:t>
      </w:r>
      <w:r w:rsidR="001D7FAC" w:rsidRPr="6408D7D1">
        <w:rPr>
          <w:rFonts w:ascii="Arial" w:hAnsi="Arial" w:cs="Arial"/>
          <w:sz w:val="24"/>
          <w:szCs w:val="24"/>
        </w:rPr>
        <w:t>How to be a Productivity Ninja</w:t>
      </w:r>
      <w:r w:rsidR="00F97954">
        <w:rPr>
          <w:rFonts w:ascii="Arial" w:hAnsi="Arial" w:cs="Arial"/>
          <w:sz w:val="24"/>
          <w:szCs w:val="24"/>
        </w:rPr>
        <w:t>’ (</w:t>
      </w:r>
      <w:r w:rsidR="00506764">
        <w:rPr>
          <w:rFonts w:ascii="Arial" w:hAnsi="Arial" w:cs="Arial"/>
          <w:sz w:val="24"/>
          <w:szCs w:val="24"/>
        </w:rPr>
        <w:t xml:space="preserve">Allcott, </w:t>
      </w:r>
      <w:r w:rsidR="00F97954">
        <w:rPr>
          <w:rFonts w:ascii="Arial" w:hAnsi="Arial" w:cs="Arial"/>
          <w:sz w:val="24"/>
          <w:szCs w:val="24"/>
        </w:rPr>
        <w:t>2016),</w:t>
      </w:r>
      <w:r w:rsidR="001D7FAC" w:rsidRPr="6408D7D1">
        <w:rPr>
          <w:rFonts w:ascii="Arial" w:hAnsi="Arial" w:cs="Arial"/>
          <w:sz w:val="24"/>
          <w:szCs w:val="24"/>
        </w:rPr>
        <w:t xml:space="preserve"> </w:t>
      </w:r>
      <w:r w:rsidR="000F335D" w:rsidRPr="6408D7D1">
        <w:rPr>
          <w:rFonts w:ascii="Arial" w:hAnsi="Arial" w:cs="Arial"/>
          <w:sz w:val="24"/>
          <w:szCs w:val="24"/>
        </w:rPr>
        <w:t>‘</w:t>
      </w:r>
      <w:r w:rsidR="001D7FAC" w:rsidRPr="6408D7D1">
        <w:rPr>
          <w:rFonts w:ascii="Arial" w:hAnsi="Arial" w:cs="Arial"/>
          <w:sz w:val="24"/>
          <w:szCs w:val="24"/>
        </w:rPr>
        <w:t>Stop Worrying, Start Writing</w:t>
      </w:r>
      <w:r w:rsidR="00135C05">
        <w:rPr>
          <w:rFonts w:ascii="Arial" w:hAnsi="Arial" w:cs="Arial"/>
          <w:sz w:val="24"/>
          <w:szCs w:val="24"/>
        </w:rPr>
        <w:t>’</w:t>
      </w:r>
      <w:r w:rsidR="00095E6E">
        <w:rPr>
          <w:rFonts w:ascii="Arial" w:hAnsi="Arial" w:cs="Arial"/>
          <w:sz w:val="24"/>
          <w:szCs w:val="24"/>
        </w:rPr>
        <w:t xml:space="preserve"> (</w:t>
      </w:r>
      <w:r w:rsidR="00506764">
        <w:rPr>
          <w:rFonts w:ascii="Arial" w:hAnsi="Arial" w:cs="Arial"/>
          <w:sz w:val="24"/>
          <w:szCs w:val="24"/>
        </w:rPr>
        <w:t xml:space="preserve">Painter, </w:t>
      </w:r>
      <w:r w:rsidR="00095E6E">
        <w:rPr>
          <w:rFonts w:ascii="Arial" w:hAnsi="Arial" w:cs="Arial"/>
          <w:sz w:val="24"/>
          <w:szCs w:val="24"/>
        </w:rPr>
        <w:t>2021)</w:t>
      </w:r>
      <w:r w:rsidR="000F335D" w:rsidRPr="6408D7D1">
        <w:rPr>
          <w:rFonts w:ascii="Arial" w:hAnsi="Arial" w:cs="Arial"/>
          <w:sz w:val="24"/>
          <w:szCs w:val="24"/>
        </w:rPr>
        <w:t xml:space="preserve"> and ‘Getting Things Done’ </w:t>
      </w:r>
      <w:r w:rsidR="00135C05">
        <w:rPr>
          <w:rFonts w:ascii="Arial" w:hAnsi="Arial" w:cs="Arial"/>
          <w:sz w:val="24"/>
          <w:szCs w:val="24"/>
        </w:rPr>
        <w:t>(</w:t>
      </w:r>
      <w:r w:rsidR="000C0BD8">
        <w:rPr>
          <w:rFonts w:ascii="Arial" w:hAnsi="Arial" w:cs="Arial"/>
          <w:sz w:val="24"/>
          <w:szCs w:val="24"/>
        </w:rPr>
        <w:t xml:space="preserve">Allen, </w:t>
      </w:r>
      <w:r w:rsidR="00135C05">
        <w:rPr>
          <w:rFonts w:ascii="Arial" w:hAnsi="Arial" w:cs="Arial"/>
          <w:sz w:val="24"/>
          <w:szCs w:val="24"/>
        </w:rPr>
        <w:t xml:space="preserve">2015). </w:t>
      </w:r>
      <w:r w:rsidR="001D7FAC" w:rsidRPr="6408D7D1">
        <w:rPr>
          <w:rFonts w:ascii="Arial" w:hAnsi="Arial" w:cs="Arial"/>
          <w:sz w:val="24"/>
          <w:szCs w:val="24"/>
        </w:rPr>
        <w:t xml:space="preserve">Students were required to produce a </w:t>
      </w:r>
      <w:r w:rsidR="000F335D" w:rsidRPr="6408D7D1">
        <w:rPr>
          <w:rFonts w:ascii="Arial" w:hAnsi="Arial" w:cs="Arial"/>
          <w:sz w:val="24"/>
          <w:szCs w:val="24"/>
        </w:rPr>
        <w:t>short five</w:t>
      </w:r>
      <w:r w:rsidR="00EB0BE5" w:rsidRPr="6408D7D1">
        <w:rPr>
          <w:rFonts w:ascii="Arial" w:hAnsi="Arial" w:cs="Arial"/>
          <w:sz w:val="24"/>
          <w:szCs w:val="24"/>
        </w:rPr>
        <w:t>-</w:t>
      </w:r>
      <w:r w:rsidR="000F335D" w:rsidRPr="6408D7D1">
        <w:rPr>
          <w:rFonts w:ascii="Arial" w:hAnsi="Arial" w:cs="Arial"/>
          <w:sz w:val="24"/>
          <w:szCs w:val="24"/>
        </w:rPr>
        <w:t xml:space="preserve">minute </w:t>
      </w:r>
      <w:r w:rsidR="001D7FAC" w:rsidRPr="6408D7D1">
        <w:rPr>
          <w:rFonts w:ascii="Arial" w:hAnsi="Arial" w:cs="Arial"/>
          <w:sz w:val="24"/>
          <w:szCs w:val="24"/>
        </w:rPr>
        <w:t>video format</w:t>
      </w:r>
      <w:r w:rsidR="00883BD4">
        <w:rPr>
          <w:rFonts w:ascii="Arial" w:hAnsi="Arial" w:cs="Arial"/>
          <w:sz w:val="24"/>
          <w:szCs w:val="24"/>
        </w:rPr>
        <w:t xml:space="preserve"> book review</w:t>
      </w:r>
      <w:r w:rsidR="001D7FAC" w:rsidRPr="6408D7D1">
        <w:rPr>
          <w:rFonts w:ascii="Arial" w:hAnsi="Arial" w:cs="Arial"/>
          <w:sz w:val="24"/>
          <w:szCs w:val="24"/>
        </w:rPr>
        <w:t>, summarising the book’s core content</w:t>
      </w:r>
      <w:r w:rsidR="00253F3E" w:rsidRPr="6408D7D1">
        <w:rPr>
          <w:rFonts w:ascii="Arial" w:hAnsi="Arial" w:cs="Arial"/>
          <w:sz w:val="24"/>
          <w:szCs w:val="24"/>
        </w:rPr>
        <w:t>,</w:t>
      </w:r>
      <w:r w:rsidR="001D7FAC" w:rsidRPr="6408D7D1">
        <w:rPr>
          <w:rFonts w:ascii="Arial" w:hAnsi="Arial" w:cs="Arial"/>
          <w:sz w:val="24"/>
          <w:szCs w:val="24"/>
        </w:rPr>
        <w:t xml:space="preserve"> </w:t>
      </w:r>
      <w:r w:rsidR="009800BB">
        <w:rPr>
          <w:rFonts w:ascii="Arial" w:hAnsi="Arial" w:cs="Arial"/>
          <w:sz w:val="24"/>
          <w:szCs w:val="24"/>
        </w:rPr>
        <w:t>a critical review</w:t>
      </w:r>
      <w:r w:rsidR="00E609F9" w:rsidRPr="6408D7D1">
        <w:rPr>
          <w:rFonts w:ascii="Arial" w:hAnsi="Arial" w:cs="Arial"/>
          <w:sz w:val="24"/>
          <w:szCs w:val="24"/>
        </w:rPr>
        <w:t>,</w:t>
      </w:r>
      <w:r w:rsidR="001D7FAC" w:rsidRPr="6408D7D1">
        <w:rPr>
          <w:rFonts w:ascii="Arial" w:hAnsi="Arial" w:cs="Arial"/>
          <w:sz w:val="24"/>
          <w:szCs w:val="24"/>
        </w:rPr>
        <w:t xml:space="preserve"> and comment</w:t>
      </w:r>
      <w:r w:rsidR="009800BB">
        <w:rPr>
          <w:rFonts w:ascii="Arial" w:hAnsi="Arial" w:cs="Arial"/>
          <w:sz w:val="24"/>
          <w:szCs w:val="24"/>
        </w:rPr>
        <w:t>ary</w:t>
      </w:r>
      <w:r w:rsidR="001D7FAC" w:rsidRPr="6408D7D1">
        <w:rPr>
          <w:rFonts w:ascii="Arial" w:hAnsi="Arial" w:cs="Arial"/>
          <w:sz w:val="24"/>
          <w:szCs w:val="24"/>
        </w:rPr>
        <w:t xml:space="preserve"> on its impact </w:t>
      </w:r>
      <w:r w:rsidR="002F2505">
        <w:rPr>
          <w:rFonts w:ascii="Arial" w:hAnsi="Arial" w:cs="Arial"/>
          <w:sz w:val="24"/>
          <w:szCs w:val="24"/>
        </w:rPr>
        <w:t>up</w:t>
      </w:r>
      <w:r w:rsidR="001D7FAC" w:rsidRPr="6408D7D1">
        <w:rPr>
          <w:rFonts w:ascii="Arial" w:hAnsi="Arial" w:cs="Arial"/>
          <w:sz w:val="24"/>
          <w:szCs w:val="24"/>
        </w:rPr>
        <w:t>on their personal</w:t>
      </w:r>
      <w:r w:rsidR="00CE58BD" w:rsidRPr="6408D7D1">
        <w:rPr>
          <w:rFonts w:ascii="Arial" w:hAnsi="Arial" w:cs="Arial"/>
          <w:sz w:val="24"/>
          <w:szCs w:val="24"/>
        </w:rPr>
        <w:t>,</w:t>
      </w:r>
      <w:r w:rsidR="001D7FAC" w:rsidRPr="6408D7D1">
        <w:rPr>
          <w:rFonts w:ascii="Arial" w:hAnsi="Arial" w:cs="Arial"/>
          <w:sz w:val="24"/>
          <w:szCs w:val="24"/>
        </w:rPr>
        <w:t xml:space="preserve"> </w:t>
      </w:r>
      <w:r w:rsidR="00067B1A" w:rsidRPr="6408D7D1">
        <w:rPr>
          <w:rFonts w:ascii="Arial" w:hAnsi="Arial" w:cs="Arial"/>
          <w:sz w:val="24"/>
          <w:szCs w:val="24"/>
        </w:rPr>
        <w:t>academic,</w:t>
      </w:r>
      <w:r w:rsidR="001D7FAC" w:rsidRPr="6408D7D1">
        <w:rPr>
          <w:rFonts w:ascii="Arial" w:hAnsi="Arial" w:cs="Arial"/>
          <w:sz w:val="24"/>
          <w:szCs w:val="24"/>
        </w:rPr>
        <w:t xml:space="preserve"> and work-based habits. </w:t>
      </w:r>
      <w:r w:rsidR="000F335D" w:rsidRPr="6408D7D1">
        <w:rPr>
          <w:rFonts w:ascii="Arial" w:hAnsi="Arial" w:cs="Arial"/>
          <w:sz w:val="24"/>
          <w:szCs w:val="24"/>
        </w:rPr>
        <w:t xml:space="preserve">They were </w:t>
      </w:r>
      <w:r w:rsidR="00F9249F">
        <w:rPr>
          <w:rFonts w:ascii="Arial" w:hAnsi="Arial" w:cs="Arial"/>
          <w:sz w:val="24"/>
          <w:szCs w:val="24"/>
        </w:rPr>
        <w:t xml:space="preserve">also </w:t>
      </w:r>
      <w:r w:rsidR="000F335D" w:rsidRPr="6408D7D1">
        <w:rPr>
          <w:rFonts w:ascii="Arial" w:hAnsi="Arial" w:cs="Arial"/>
          <w:sz w:val="24"/>
          <w:szCs w:val="24"/>
        </w:rPr>
        <w:t xml:space="preserve">asked to </w:t>
      </w:r>
      <w:r w:rsidR="00F9249F">
        <w:rPr>
          <w:rFonts w:ascii="Arial" w:hAnsi="Arial" w:cs="Arial"/>
          <w:sz w:val="24"/>
          <w:szCs w:val="24"/>
        </w:rPr>
        <w:t>appraise</w:t>
      </w:r>
      <w:r w:rsidR="000F335D" w:rsidRPr="6408D7D1">
        <w:rPr>
          <w:rFonts w:ascii="Arial" w:hAnsi="Arial" w:cs="Arial"/>
          <w:sz w:val="24"/>
          <w:szCs w:val="24"/>
        </w:rPr>
        <w:t xml:space="preserve"> the </w:t>
      </w:r>
      <w:r w:rsidR="00F9249F">
        <w:rPr>
          <w:rFonts w:ascii="Arial" w:hAnsi="Arial" w:cs="Arial"/>
          <w:sz w:val="24"/>
          <w:szCs w:val="24"/>
        </w:rPr>
        <w:t xml:space="preserve">book’s </w:t>
      </w:r>
      <w:r w:rsidR="00253F3E" w:rsidRPr="6408D7D1">
        <w:rPr>
          <w:rFonts w:ascii="Arial" w:hAnsi="Arial" w:cs="Arial"/>
          <w:sz w:val="24"/>
          <w:szCs w:val="24"/>
        </w:rPr>
        <w:t>relevan</w:t>
      </w:r>
      <w:r w:rsidR="00C9574E" w:rsidRPr="6408D7D1">
        <w:rPr>
          <w:rFonts w:ascii="Arial" w:hAnsi="Arial" w:cs="Arial"/>
          <w:sz w:val="24"/>
          <w:szCs w:val="24"/>
        </w:rPr>
        <w:t>ce</w:t>
      </w:r>
      <w:r w:rsidR="00253F3E" w:rsidRPr="6408D7D1">
        <w:rPr>
          <w:rFonts w:ascii="Arial" w:hAnsi="Arial" w:cs="Arial"/>
          <w:sz w:val="24"/>
          <w:szCs w:val="24"/>
        </w:rPr>
        <w:t xml:space="preserve"> </w:t>
      </w:r>
      <w:r w:rsidR="000F335D" w:rsidRPr="6408D7D1">
        <w:rPr>
          <w:rFonts w:ascii="Arial" w:hAnsi="Arial" w:cs="Arial"/>
          <w:sz w:val="24"/>
          <w:szCs w:val="24"/>
        </w:rPr>
        <w:t>for</w:t>
      </w:r>
      <w:r w:rsidR="00F9249F">
        <w:rPr>
          <w:rFonts w:ascii="Arial" w:hAnsi="Arial" w:cs="Arial"/>
          <w:sz w:val="24"/>
          <w:szCs w:val="24"/>
        </w:rPr>
        <w:t xml:space="preserve"> </w:t>
      </w:r>
      <w:r w:rsidR="000F335D" w:rsidRPr="6408D7D1">
        <w:rPr>
          <w:rFonts w:ascii="Arial" w:hAnsi="Arial" w:cs="Arial"/>
          <w:sz w:val="24"/>
          <w:szCs w:val="24"/>
        </w:rPr>
        <w:t xml:space="preserve">fellow students </w:t>
      </w:r>
      <w:r w:rsidR="00F9249F">
        <w:rPr>
          <w:rFonts w:ascii="Arial" w:hAnsi="Arial" w:cs="Arial"/>
          <w:sz w:val="24"/>
          <w:szCs w:val="24"/>
        </w:rPr>
        <w:t>and</w:t>
      </w:r>
      <w:r w:rsidR="000F335D" w:rsidRPr="6408D7D1">
        <w:rPr>
          <w:rFonts w:ascii="Arial" w:hAnsi="Arial" w:cs="Arial"/>
          <w:sz w:val="24"/>
          <w:szCs w:val="24"/>
        </w:rPr>
        <w:t xml:space="preserve"> whether</w:t>
      </w:r>
      <w:r w:rsidR="00883BD4">
        <w:rPr>
          <w:rFonts w:ascii="Arial" w:hAnsi="Arial" w:cs="Arial"/>
          <w:sz w:val="24"/>
          <w:szCs w:val="24"/>
        </w:rPr>
        <w:t xml:space="preserve"> or not</w:t>
      </w:r>
      <w:r w:rsidR="000F335D" w:rsidRPr="6408D7D1">
        <w:rPr>
          <w:rFonts w:ascii="Arial" w:hAnsi="Arial" w:cs="Arial"/>
          <w:sz w:val="24"/>
          <w:szCs w:val="24"/>
        </w:rPr>
        <w:t xml:space="preserve"> they would recommend it and why. </w:t>
      </w:r>
      <w:r w:rsidR="001D7FAC" w:rsidRPr="6408D7D1">
        <w:rPr>
          <w:rFonts w:ascii="Arial" w:hAnsi="Arial" w:cs="Arial"/>
          <w:sz w:val="24"/>
          <w:szCs w:val="24"/>
        </w:rPr>
        <w:t xml:space="preserve">Students </w:t>
      </w:r>
      <w:r w:rsidR="00C87533" w:rsidRPr="6408D7D1">
        <w:rPr>
          <w:rFonts w:ascii="Arial" w:hAnsi="Arial" w:cs="Arial"/>
          <w:sz w:val="24"/>
          <w:szCs w:val="24"/>
        </w:rPr>
        <w:t xml:space="preserve">reported that they </w:t>
      </w:r>
      <w:r w:rsidR="001D7FAC" w:rsidRPr="6408D7D1">
        <w:rPr>
          <w:rFonts w:ascii="Arial" w:hAnsi="Arial" w:cs="Arial"/>
          <w:sz w:val="24"/>
          <w:szCs w:val="24"/>
        </w:rPr>
        <w:t>enjoyed the novel format of assessment and for many</w:t>
      </w:r>
      <w:r w:rsidR="00C9574E" w:rsidRPr="6408D7D1">
        <w:rPr>
          <w:rFonts w:ascii="Arial" w:hAnsi="Arial" w:cs="Arial"/>
          <w:sz w:val="24"/>
          <w:szCs w:val="24"/>
        </w:rPr>
        <w:t>,</w:t>
      </w:r>
      <w:r w:rsidR="001D7FAC" w:rsidRPr="6408D7D1">
        <w:rPr>
          <w:rFonts w:ascii="Arial" w:hAnsi="Arial" w:cs="Arial"/>
          <w:sz w:val="24"/>
          <w:szCs w:val="24"/>
        </w:rPr>
        <w:t xml:space="preserve"> </w:t>
      </w:r>
      <w:r w:rsidR="00E21112">
        <w:rPr>
          <w:rFonts w:ascii="Arial" w:hAnsi="Arial" w:cs="Arial"/>
          <w:sz w:val="24"/>
          <w:szCs w:val="24"/>
        </w:rPr>
        <w:t>having</w:t>
      </w:r>
      <w:r w:rsidR="001D7FAC" w:rsidRPr="6408D7D1">
        <w:rPr>
          <w:rFonts w:ascii="Arial" w:hAnsi="Arial" w:cs="Arial"/>
          <w:sz w:val="24"/>
          <w:szCs w:val="24"/>
        </w:rPr>
        <w:t xml:space="preserve"> grown up with social media and </w:t>
      </w:r>
      <w:r w:rsidR="00E21112">
        <w:rPr>
          <w:rFonts w:ascii="Arial" w:hAnsi="Arial" w:cs="Arial"/>
          <w:sz w:val="24"/>
          <w:szCs w:val="24"/>
        </w:rPr>
        <w:t>using</w:t>
      </w:r>
      <w:r w:rsidR="001D7FAC" w:rsidRPr="6408D7D1">
        <w:rPr>
          <w:rFonts w:ascii="Arial" w:hAnsi="Arial" w:cs="Arial"/>
          <w:sz w:val="24"/>
          <w:szCs w:val="24"/>
        </w:rPr>
        <w:t xml:space="preserve"> it extensively in their everyday lives, it played to both their strengths and preferences. It provided students with an opportunity to </w:t>
      </w:r>
      <w:r w:rsidR="00CE58BD" w:rsidRPr="6408D7D1">
        <w:rPr>
          <w:rFonts w:ascii="Arial" w:hAnsi="Arial" w:cs="Arial"/>
          <w:sz w:val="24"/>
          <w:szCs w:val="24"/>
        </w:rPr>
        <w:t>be</w:t>
      </w:r>
      <w:r w:rsidR="001D7FAC" w:rsidRPr="6408D7D1">
        <w:rPr>
          <w:rFonts w:ascii="Arial" w:hAnsi="Arial" w:cs="Arial"/>
          <w:sz w:val="24"/>
          <w:szCs w:val="24"/>
        </w:rPr>
        <w:t xml:space="preserve"> creative with how they produced and edited their video and to consider how to communicate with impact. </w:t>
      </w:r>
      <w:r w:rsidR="00E021B1">
        <w:rPr>
          <w:rFonts w:ascii="Arial" w:hAnsi="Arial" w:cs="Arial"/>
          <w:sz w:val="24"/>
          <w:szCs w:val="24"/>
        </w:rPr>
        <w:t xml:space="preserve">Most reported they had employed their book’s principles within their daily lives, including their studies, with real benefits. </w:t>
      </w:r>
      <w:r w:rsidR="001D7FAC" w:rsidRPr="6408D7D1">
        <w:rPr>
          <w:rFonts w:ascii="Arial" w:hAnsi="Arial" w:cs="Arial"/>
          <w:sz w:val="24"/>
          <w:szCs w:val="24"/>
        </w:rPr>
        <w:t xml:space="preserve">Having completed their videos, students were asked if they were willing for them to be used as a resource to benefit all students within the wider </w:t>
      </w:r>
      <w:r w:rsidR="00EB0BE5" w:rsidRPr="6408D7D1">
        <w:rPr>
          <w:rFonts w:ascii="Arial" w:hAnsi="Arial" w:cs="Arial"/>
          <w:sz w:val="24"/>
          <w:szCs w:val="24"/>
        </w:rPr>
        <w:t>department</w:t>
      </w:r>
      <w:r w:rsidR="001D7FAC" w:rsidRPr="6408D7D1">
        <w:rPr>
          <w:rFonts w:ascii="Arial" w:hAnsi="Arial" w:cs="Arial"/>
          <w:sz w:val="24"/>
          <w:szCs w:val="24"/>
        </w:rPr>
        <w:t xml:space="preserve">, to which the vast majority were happy to. This is </w:t>
      </w:r>
      <w:r w:rsidR="001F4B7A">
        <w:rPr>
          <w:rFonts w:ascii="Arial" w:hAnsi="Arial" w:cs="Arial"/>
          <w:sz w:val="24"/>
          <w:szCs w:val="24"/>
        </w:rPr>
        <w:t>a further</w:t>
      </w:r>
      <w:r w:rsidR="001F4B7A" w:rsidRPr="6408D7D1">
        <w:rPr>
          <w:rFonts w:ascii="Arial" w:hAnsi="Arial" w:cs="Arial"/>
          <w:sz w:val="24"/>
          <w:szCs w:val="24"/>
        </w:rPr>
        <w:t xml:space="preserve"> </w:t>
      </w:r>
      <w:r w:rsidR="001D7FAC" w:rsidRPr="6408D7D1">
        <w:rPr>
          <w:rFonts w:ascii="Arial" w:hAnsi="Arial" w:cs="Arial"/>
          <w:sz w:val="24"/>
          <w:szCs w:val="24"/>
        </w:rPr>
        <w:t xml:space="preserve">example of our module creating </w:t>
      </w:r>
      <w:r w:rsidR="000E64E6">
        <w:rPr>
          <w:rFonts w:ascii="Arial" w:hAnsi="Arial" w:cs="Arial"/>
          <w:sz w:val="24"/>
          <w:szCs w:val="24"/>
        </w:rPr>
        <w:t xml:space="preserve">peer-created, </w:t>
      </w:r>
      <w:r w:rsidR="001D7FAC" w:rsidRPr="6408D7D1">
        <w:rPr>
          <w:rFonts w:ascii="Arial" w:hAnsi="Arial" w:cs="Arial"/>
          <w:sz w:val="24"/>
          <w:szCs w:val="24"/>
        </w:rPr>
        <w:t>scalable</w:t>
      </w:r>
      <w:r w:rsidR="001F4B7A">
        <w:rPr>
          <w:rFonts w:ascii="Arial" w:hAnsi="Arial" w:cs="Arial"/>
          <w:sz w:val="24"/>
          <w:szCs w:val="24"/>
        </w:rPr>
        <w:t>,</w:t>
      </w:r>
      <w:r w:rsidR="001D7FAC" w:rsidRPr="6408D7D1">
        <w:rPr>
          <w:rFonts w:ascii="Arial" w:hAnsi="Arial" w:cs="Arial"/>
          <w:sz w:val="24"/>
          <w:szCs w:val="24"/>
        </w:rPr>
        <w:t xml:space="preserve"> careers-related </w:t>
      </w:r>
      <w:r w:rsidR="00C9574E" w:rsidRPr="6408D7D1">
        <w:rPr>
          <w:rFonts w:ascii="Arial" w:hAnsi="Arial" w:cs="Arial"/>
          <w:sz w:val="24"/>
          <w:szCs w:val="24"/>
        </w:rPr>
        <w:t>activity</w:t>
      </w:r>
      <w:r w:rsidR="001D7FAC" w:rsidRPr="6408D7D1">
        <w:rPr>
          <w:rFonts w:ascii="Arial" w:hAnsi="Arial" w:cs="Arial"/>
          <w:sz w:val="24"/>
          <w:szCs w:val="24"/>
        </w:rPr>
        <w:t>.</w:t>
      </w:r>
    </w:p>
    <w:p w14:paraId="01CF46AF" w14:textId="33C61E82" w:rsidR="001D7FAC" w:rsidRPr="00E53208" w:rsidRDefault="00E53208" w:rsidP="45F2336C">
      <w:pPr>
        <w:spacing w:line="360" w:lineRule="auto"/>
        <w:outlineLvl w:val="0"/>
        <w:rPr>
          <w:rFonts w:ascii="Arial" w:hAnsi="Arial" w:cs="Arial"/>
          <w:b/>
          <w:bCs/>
          <w:sz w:val="24"/>
          <w:szCs w:val="24"/>
        </w:rPr>
      </w:pPr>
      <w:r w:rsidRPr="45F2336C">
        <w:rPr>
          <w:rFonts w:ascii="Arial" w:hAnsi="Arial" w:cs="Arial"/>
          <w:b/>
          <w:bCs/>
          <w:sz w:val="24"/>
          <w:szCs w:val="24"/>
        </w:rPr>
        <w:t>Assessment methods: Employability Ambassador Engagement</w:t>
      </w:r>
    </w:p>
    <w:p w14:paraId="6A7A4025" w14:textId="52472BB6" w:rsidR="005C1C69" w:rsidRDefault="004C7881" w:rsidP="6408D7D1">
      <w:pPr>
        <w:spacing w:line="360" w:lineRule="auto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have discussed </w:t>
      </w:r>
      <w:r w:rsidR="00961806">
        <w:rPr>
          <w:rFonts w:ascii="Arial" w:hAnsi="Arial" w:cs="Arial"/>
          <w:sz w:val="24"/>
          <w:szCs w:val="24"/>
        </w:rPr>
        <w:t xml:space="preserve">the </w:t>
      </w:r>
      <w:r w:rsidR="00263BAA" w:rsidRPr="6408D7D1">
        <w:rPr>
          <w:rFonts w:ascii="Arial" w:hAnsi="Arial" w:cs="Arial"/>
          <w:sz w:val="24"/>
          <w:szCs w:val="24"/>
        </w:rPr>
        <w:t xml:space="preserve">common </w:t>
      </w:r>
      <w:r w:rsidR="00217430" w:rsidRPr="6408D7D1">
        <w:rPr>
          <w:rFonts w:ascii="Arial" w:hAnsi="Arial" w:cs="Arial"/>
          <w:sz w:val="24"/>
          <w:szCs w:val="24"/>
        </w:rPr>
        <w:t>challenge</w:t>
      </w:r>
      <w:r w:rsidR="00263BAA" w:rsidRPr="6408D7D1">
        <w:rPr>
          <w:rFonts w:ascii="Arial" w:hAnsi="Arial" w:cs="Arial"/>
          <w:sz w:val="24"/>
          <w:szCs w:val="24"/>
        </w:rPr>
        <w:t xml:space="preserve"> for centralised careers services and subject departments </w:t>
      </w:r>
      <w:r w:rsidR="00FE6EC8">
        <w:rPr>
          <w:rFonts w:ascii="Arial" w:hAnsi="Arial" w:cs="Arial"/>
          <w:sz w:val="24"/>
          <w:szCs w:val="24"/>
        </w:rPr>
        <w:t xml:space="preserve">of </w:t>
      </w:r>
      <w:r w:rsidR="00961806">
        <w:rPr>
          <w:rFonts w:ascii="Arial" w:hAnsi="Arial" w:cs="Arial"/>
          <w:sz w:val="24"/>
          <w:szCs w:val="24"/>
        </w:rPr>
        <w:t>having</w:t>
      </w:r>
      <w:r w:rsidR="00263BAA" w:rsidRPr="6408D7D1">
        <w:rPr>
          <w:rFonts w:ascii="Arial" w:hAnsi="Arial" w:cs="Arial"/>
          <w:sz w:val="24"/>
          <w:szCs w:val="24"/>
        </w:rPr>
        <w:t xml:space="preserve"> </w:t>
      </w:r>
      <w:r w:rsidR="00FE6EC8">
        <w:rPr>
          <w:rFonts w:ascii="Arial" w:hAnsi="Arial" w:cs="Arial"/>
          <w:sz w:val="24"/>
          <w:szCs w:val="24"/>
        </w:rPr>
        <w:t>sufficient</w:t>
      </w:r>
      <w:r w:rsidR="00FE6EC8" w:rsidRPr="6408D7D1">
        <w:rPr>
          <w:rFonts w:ascii="Arial" w:hAnsi="Arial" w:cs="Arial"/>
          <w:sz w:val="24"/>
          <w:szCs w:val="24"/>
        </w:rPr>
        <w:t xml:space="preserve"> </w:t>
      </w:r>
      <w:r w:rsidR="00263BAA" w:rsidRPr="6408D7D1">
        <w:rPr>
          <w:rFonts w:ascii="Arial" w:hAnsi="Arial" w:cs="Arial"/>
          <w:sz w:val="24"/>
          <w:szCs w:val="24"/>
        </w:rPr>
        <w:t xml:space="preserve">resource and capacity to </w:t>
      </w:r>
      <w:r w:rsidR="00217430" w:rsidRPr="6408D7D1">
        <w:rPr>
          <w:rFonts w:ascii="Arial" w:hAnsi="Arial" w:cs="Arial"/>
          <w:sz w:val="24"/>
          <w:szCs w:val="24"/>
        </w:rPr>
        <w:t>run</w:t>
      </w:r>
      <w:r w:rsidR="00263BAA" w:rsidRPr="6408D7D1">
        <w:rPr>
          <w:rFonts w:ascii="Arial" w:hAnsi="Arial" w:cs="Arial"/>
          <w:sz w:val="24"/>
          <w:szCs w:val="24"/>
        </w:rPr>
        <w:t xml:space="preserve"> a series of career activities </w:t>
      </w:r>
      <w:r w:rsidR="008E14D8" w:rsidRPr="6408D7D1">
        <w:rPr>
          <w:rFonts w:ascii="Arial" w:hAnsi="Arial" w:cs="Arial"/>
          <w:sz w:val="24"/>
          <w:szCs w:val="24"/>
        </w:rPr>
        <w:t>reflecting</w:t>
      </w:r>
      <w:r w:rsidR="00263BAA" w:rsidRPr="6408D7D1">
        <w:rPr>
          <w:rFonts w:ascii="Arial" w:hAnsi="Arial" w:cs="Arial"/>
          <w:sz w:val="24"/>
          <w:szCs w:val="24"/>
        </w:rPr>
        <w:t xml:space="preserve"> </w:t>
      </w:r>
      <w:r w:rsidR="00671492" w:rsidRPr="6408D7D1">
        <w:rPr>
          <w:rFonts w:ascii="Arial" w:hAnsi="Arial" w:cs="Arial"/>
          <w:sz w:val="24"/>
          <w:szCs w:val="24"/>
        </w:rPr>
        <w:t>students’</w:t>
      </w:r>
      <w:r w:rsidR="00217430" w:rsidRPr="6408D7D1">
        <w:rPr>
          <w:rFonts w:ascii="Arial" w:hAnsi="Arial" w:cs="Arial"/>
          <w:sz w:val="24"/>
          <w:szCs w:val="24"/>
        </w:rPr>
        <w:t xml:space="preserve"> </w:t>
      </w:r>
      <w:r w:rsidR="00263BAA" w:rsidRPr="6408D7D1">
        <w:rPr>
          <w:rFonts w:ascii="Arial" w:hAnsi="Arial" w:cs="Arial"/>
          <w:sz w:val="24"/>
          <w:szCs w:val="24"/>
        </w:rPr>
        <w:t>diverse range of career interests.</w:t>
      </w:r>
      <w:r w:rsidR="005C1C69" w:rsidRPr="6408D7D1">
        <w:rPr>
          <w:rFonts w:ascii="Arial" w:hAnsi="Arial" w:cs="Arial"/>
          <w:sz w:val="24"/>
          <w:szCs w:val="24"/>
        </w:rPr>
        <w:t xml:space="preserve"> </w:t>
      </w:r>
    </w:p>
    <w:p w14:paraId="4BB41D36" w14:textId="11DA59FB" w:rsidR="005C1C69" w:rsidRDefault="005C1C69" w:rsidP="6408D7D1">
      <w:pPr>
        <w:spacing w:line="360" w:lineRule="auto"/>
        <w:outlineLvl w:val="1"/>
        <w:rPr>
          <w:rFonts w:ascii="Arial" w:hAnsi="Arial" w:cs="Arial"/>
          <w:sz w:val="24"/>
          <w:szCs w:val="24"/>
        </w:rPr>
      </w:pPr>
      <w:r w:rsidRPr="6408D7D1">
        <w:rPr>
          <w:rFonts w:ascii="Arial" w:hAnsi="Arial" w:cs="Arial"/>
          <w:sz w:val="24"/>
          <w:szCs w:val="24"/>
        </w:rPr>
        <w:t>Many years prior to the creation our module</w:t>
      </w:r>
      <w:r w:rsidR="00FE6EC8">
        <w:rPr>
          <w:rFonts w:ascii="Arial" w:hAnsi="Arial" w:cs="Arial"/>
          <w:sz w:val="24"/>
          <w:szCs w:val="24"/>
        </w:rPr>
        <w:t>,</w:t>
      </w:r>
      <w:r w:rsidRPr="6408D7D1">
        <w:rPr>
          <w:rFonts w:ascii="Arial" w:hAnsi="Arial" w:cs="Arial"/>
          <w:sz w:val="24"/>
          <w:szCs w:val="24"/>
        </w:rPr>
        <w:t xml:space="preserve"> the second author developed a potential solution. A group of students within the </w:t>
      </w:r>
      <w:r w:rsidR="00EB0BE5" w:rsidRPr="6408D7D1">
        <w:rPr>
          <w:rFonts w:ascii="Arial" w:hAnsi="Arial" w:cs="Arial"/>
          <w:sz w:val="24"/>
          <w:szCs w:val="24"/>
        </w:rPr>
        <w:t>department</w:t>
      </w:r>
      <w:r w:rsidRPr="6408D7D1">
        <w:rPr>
          <w:rFonts w:ascii="Arial" w:hAnsi="Arial" w:cs="Arial"/>
          <w:sz w:val="24"/>
          <w:szCs w:val="24"/>
        </w:rPr>
        <w:t xml:space="preserve"> </w:t>
      </w:r>
      <w:r w:rsidR="00EB0BE5" w:rsidRPr="6408D7D1">
        <w:rPr>
          <w:rFonts w:ascii="Arial" w:hAnsi="Arial" w:cs="Arial"/>
          <w:sz w:val="24"/>
          <w:szCs w:val="24"/>
        </w:rPr>
        <w:t>were designated</w:t>
      </w:r>
      <w:r w:rsidRPr="6408D7D1">
        <w:rPr>
          <w:rFonts w:ascii="Arial" w:hAnsi="Arial" w:cs="Arial"/>
          <w:sz w:val="24"/>
          <w:szCs w:val="24"/>
        </w:rPr>
        <w:t xml:space="preserve"> ‘Employability Ambassadors’ </w:t>
      </w:r>
      <w:r w:rsidR="00871561" w:rsidRPr="6408D7D1">
        <w:rPr>
          <w:rFonts w:ascii="Arial" w:hAnsi="Arial" w:cs="Arial"/>
          <w:sz w:val="24"/>
          <w:szCs w:val="24"/>
        </w:rPr>
        <w:t xml:space="preserve">who </w:t>
      </w:r>
      <w:r w:rsidR="00C77C5C">
        <w:rPr>
          <w:rFonts w:ascii="Arial" w:hAnsi="Arial" w:cs="Arial"/>
          <w:sz w:val="24"/>
          <w:szCs w:val="24"/>
        </w:rPr>
        <w:t>assisted</w:t>
      </w:r>
      <w:r w:rsidRPr="6408D7D1">
        <w:rPr>
          <w:rFonts w:ascii="Arial" w:hAnsi="Arial" w:cs="Arial"/>
          <w:sz w:val="24"/>
          <w:szCs w:val="24"/>
        </w:rPr>
        <w:t xml:space="preserve"> develop</w:t>
      </w:r>
      <w:r w:rsidR="00C77C5C">
        <w:rPr>
          <w:rFonts w:ascii="Arial" w:hAnsi="Arial" w:cs="Arial"/>
          <w:sz w:val="24"/>
          <w:szCs w:val="24"/>
        </w:rPr>
        <w:t>ing</w:t>
      </w:r>
      <w:r w:rsidRPr="6408D7D1">
        <w:rPr>
          <w:rFonts w:ascii="Arial" w:hAnsi="Arial" w:cs="Arial"/>
          <w:sz w:val="24"/>
          <w:szCs w:val="24"/>
        </w:rPr>
        <w:t xml:space="preserve">, </w:t>
      </w:r>
      <w:r w:rsidR="00614B7B" w:rsidRPr="6408D7D1">
        <w:rPr>
          <w:rFonts w:ascii="Arial" w:hAnsi="Arial" w:cs="Arial"/>
          <w:sz w:val="24"/>
          <w:szCs w:val="24"/>
        </w:rPr>
        <w:t>promot</w:t>
      </w:r>
      <w:r w:rsidR="00C77C5C">
        <w:rPr>
          <w:rFonts w:ascii="Arial" w:hAnsi="Arial" w:cs="Arial"/>
          <w:sz w:val="24"/>
          <w:szCs w:val="24"/>
        </w:rPr>
        <w:t>ing</w:t>
      </w:r>
      <w:r w:rsidR="00614B7B" w:rsidRPr="6408D7D1">
        <w:rPr>
          <w:rFonts w:ascii="Arial" w:hAnsi="Arial" w:cs="Arial"/>
          <w:sz w:val="24"/>
          <w:szCs w:val="24"/>
        </w:rPr>
        <w:t>,</w:t>
      </w:r>
      <w:r w:rsidRPr="6408D7D1">
        <w:rPr>
          <w:rFonts w:ascii="Arial" w:hAnsi="Arial" w:cs="Arial"/>
          <w:sz w:val="24"/>
          <w:szCs w:val="24"/>
        </w:rPr>
        <w:t xml:space="preserve"> and </w:t>
      </w:r>
      <w:r w:rsidR="00C77C5C">
        <w:rPr>
          <w:rFonts w:ascii="Arial" w:hAnsi="Arial" w:cs="Arial"/>
          <w:sz w:val="24"/>
          <w:szCs w:val="24"/>
        </w:rPr>
        <w:t>delivering</w:t>
      </w:r>
      <w:r w:rsidR="00C77C5C" w:rsidRPr="6408D7D1">
        <w:rPr>
          <w:rFonts w:ascii="Arial" w:hAnsi="Arial" w:cs="Arial"/>
          <w:sz w:val="24"/>
          <w:szCs w:val="24"/>
        </w:rPr>
        <w:t xml:space="preserve"> </w:t>
      </w:r>
      <w:r w:rsidRPr="6408D7D1">
        <w:rPr>
          <w:rFonts w:ascii="Arial" w:hAnsi="Arial" w:cs="Arial"/>
          <w:sz w:val="24"/>
          <w:szCs w:val="24"/>
        </w:rPr>
        <w:t xml:space="preserve">a </w:t>
      </w:r>
      <w:r w:rsidRPr="6408D7D1">
        <w:rPr>
          <w:rFonts w:ascii="Arial" w:hAnsi="Arial" w:cs="Arial"/>
          <w:sz w:val="24"/>
          <w:szCs w:val="24"/>
        </w:rPr>
        <w:lastRenderedPageBreak/>
        <w:t>range of activities</w:t>
      </w:r>
      <w:r w:rsidR="008C3445" w:rsidRPr="6408D7D1">
        <w:rPr>
          <w:rFonts w:ascii="Arial" w:hAnsi="Arial" w:cs="Arial"/>
          <w:sz w:val="24"/>
          <w:szCs w:val="24"/>
        </w:rPr>
        <w:t>. Against th</w:t>
      </w:r>
      <w:r w:rsidR="00A80C98">
        <w:rPr>
          <w:rFonts w:ascii="Arial" w:hAnsi="Arial" w:cs="Arial"/>
          <w:sz w:val="24"/>
          <w:szCs w:val="24"/>
        </w:rPr>
        <w:t>is</w:t>
      </w:r>
      <w:r w:rsidR="008C3445" w:rsidRPr="6408D7D1">
        <w:rPr>
          <w:rFonts w:ascii="Arial" w:hAnsi="Arial" w:cs="Arial"/>
          <w:sz w:val="24"/>
          <w:szCs w:val="24"/>
        </w:rPr>
        <w:t xml:space="preserve"> backdrop of limited resources</w:t>
      </w:r>
      <w:r w:rsidR="00EB0BE5" w:rsidRPr="6408D7D1">
        <w:rPr>
          <w:rFonts w:ascii="Arial" w:hAnsi="Arial" w:cs="Arial"/>
          <w:sz w:val="24"/>
          <w:szCs w:val="24"/>
        </w:rPr>
        <w:t xml:space="preserve"> </w:t>
      </w:r>
      <w:r w:rsidR="006D5BA4">
        <w:rPr>
          <w:rFonts w:ascii="Arial" w:hAnsi="Arial" w:cs="Arial"/>
          <w:sz w:val="24"/>
          <w:szCs w:val="24"/>
        </w:rPr>
        <w:t xml:space="preserve">and </w:t>
      </w:r>
      <w:r w:rsidR="5E9280CA" w:rsidRPr="6408D7D1">
        <w:rPr>
          <w:rFonts w:ascii="Arial" w:hAnsi="Arial" w:cs="Arial"/>
          <w:sz w:val="24"/>
          <w:szCs w:val="24"/>
        </w:rPr>
        <w:t xml:space="preserve">with </w:t>
      </w:r>
      <w:r w:rsidR="008C3445" w:rsidRPr="6408D7D1">
        <w:rPr>
          <w:rFonts w:ascii="Arial" w:hAnsi="Arial" w:cs="Arial"/>
          <w:sz w:val="24"/>
          <w:szCs w:val="24"/>
        </w:rPr>
        <w:t xml:space="preserve">low student </w:t>
      </w:r>
      <w:r w:rsidR="00871561" w:rsidRPr="6408D7D1">
        <w:rPr>
          <w:rFonts w:ascii="Arial" w:hAnsi="Arial" w:cs="Arial"/>
          <w:sz w:val="24"/>
          <w:szCs w:val="24"/>
        </w:rPr>
        <w:t xml:space="preserve">awareness and </w:t>
      </w:r>
      <w:r w:rsidR="008C3445" w:rsidRPr="6408D7D1">
        <w:rPr>
          <w:rFonts w:ascii="Arial" w:hAnsi="Arial" w:cs="Arial"/>
          <w:sz w:val="24"/>
          <w:szCs w:val="24"/>
        </w:rPr>
        <w:t>engagement</w:t>
      </w:r>
      <w:r w:rsidR="0B50414B" w:rsidRPr="6408D7D1">
        <w:rPr>
          <w:rFonts w:ascii="Arial" w:hAnsi="Arial" w:cs="Arial"/>
          <w:sz w:val="24"/>
          <w:szCs w:val="24"/>
        </w:rPr>
        <w:t>,</w:t>
      </w:r>
      <w:r w:rsidR="008C3445" w:rsidRPr="6408D7D1">
        <w:rPr>
          <w:rFonts w:ascii="Arial" w:hAnsi="Arial" w:cs="Arial"/>
          <w:sz w:val="24"/>
          <w:szCs w:val="24"/>
        </w:rPr>
        <w:t xml:space="preserve"> th</w:t>
      </w:r>
      <w:r w:rsidR="00A80C98">
        <w:rPr>
          <w:rFonts w:ascii="Arial" w:hAnsi="Arial" w:cs="Arial"/>
          <w:sz w:val="24"/>
          <w:szCs w:val="24"/>
        </w:rPr>
        <w:t>e</w:t>
      </w:r>
      <w:r w:rsidR="008C3445" w:rsidRPr="6408D7D1">
        <w:rPr>
          <w:rFonts w:ascii="Arial" w:hAnsi="Arial" w:cs="Arial"/>
          <w:sz w:val="24"/>
          <w:szCs w:val="24"/>
        </w:rPr>
        <w:t xml:space="preserve"> scheme constituted a </w:t>
      </w:r>
      <w:r w:rsidR="00EB0BE5" w:rsidRPr="6408D7D1">
        <w:rPr>
          <w:rFonts w:ascii="Arial" w:hAnsi="Arial" w:cs="Arial"/>
          <w:sz w:val="24"/>
          <w:szCs w:val="24"/>
        </w:rPr>
        <w:t>‘w</w:t>
      </w:r>
      <w:r w:rsidR="008C3445" w:rsidRPr="6408D7D1">
        <w:rPr>
          <w:rFonts w:ascii="Arial" w:hAnsi="Arial" w:cs="Arial"/>
          <w:sz w:val="24"/>
          <w:szCs w:val="24"/>
        </w:rPr>
        <w:t>in-</w:t>
      </w:r>
      <w:r w:rsidR="00EB0BE5" w:rsidRPr="6408D7D1">
        <w:rPr>
          <w:rFonts w:ascii="Arial" w:hAnsi="Arial" w:cs="Arial"/>
          <w:sz w:val="24"/>
          <w:szCs w:val="24"/>
        </w:rPr>
        <w:t>w</w:t>
      </w:r>
      <w:r w:rsidR="008C3445" w:rsidRPr="6408D7D1">
        <w:rPr>
          <w:rFonts w:ascii="Arial" w:hAnsi="Arial" w:cs="Arial"/>
          <w:sz w:val="24"/>
          <w:szCs w:val="24"/>
        </w:rPr>
        <w:t>in</w:t>
      </w:r>
      <w:r w:rsidR="00EB0BE5" w:rsidRPr="6408D7D1">
        <w:rPr>
          <w:rFonts w:ascii="Arial" w:hAnsi="Arial" w:cs="Arial"/>
          <w:sz w:val="24"/>
          <w:szCs w:val="24"/>
        </w:rPr>
        <w:t>’</w:t>
      </w:r>
      <w:r w:rsidR="008C3445" w:rsidRPr="6408D7D1">
        <w:rPr>
          <w:rFonts w:ascii="Arial" w:hAnsi="Arial" w:cs="Arial"/>
          <w:sz w:val="24"/>
          <w:szCs w:val="24"/>
        </w:rPr>
        <w:t xml:space="preserve"> for the employability lead, the </w:t>
      </w:r>
      <w:r w:rsidR="00614B7B" w:rsidRPr="6408D7D1">
        <w:rPr>
          <w:rFonts w:ascii="Arial" w:hAnsi="Arial" w:cs="Arial"/>
          <w:sz w:val="24"/>
          <w:szCs w:val="24"/>
        </w:rPr>
        <w:t>department,</w:t>
      </w:r>
      <w:r w:rsidR="008C3445" w:rsidRPr="6408D7D1">
        <w:rPr>
          <w:rFonts w:ascii="Arial" w:hAnsi="Arial" w:cs="Arial"/>
          <w:sz w:val="24"/>
          <w:szCs w:val="24"/>
        </w:rPr>
        <w:t xml:space="preserve"> and </w:t>
      </w:r>
      <w:r w:rsidR="00A80C98">
        <w:rPr>
          <w:rFonts w:ascii="Arial" w:hAnsi="Arial" w:cs="Arial"/>
          <w:sz w:val="24"/>
          <w:szCs w:val="24"/>
        </w:rPr>
        <w:t>its</w:t>
      </w:r>
      <w:r w:rsidR="008C3445" w:rsidRPr="6408D7D1">
        <w:rPr>
          <w:rFonts w:ascii="Arial" w:hAnsi="Arial" w:cs="Arial"/>
          <w:sz w:val="24"/>
          <w:szCs w:val="24"/>
        </w:rPr>
        <w:t xml:space="preserve"> students. However, the </w:t>
      </w:r>
      <w:r w:rsidR="006D5BA4">
        <w:rPr>
          <w:rFonts w:ascii="Arial" w:hAnsi="Arial" w:cs="Arial"/>
          <w:sz w:val="24"/>
          <w:szCs w:val="24"/>
        </w:rPr>
        <w:t xml:space="preserve">scheme’s </w:t>
      </w:r>
      <w:r w:rsidR="008C3445" w:rsidRPr="6408D7D1">
        <w:rPr>
          <w:rFonts w:ascii="Arial" w:hAnsi="Arial" w:cs="Arial"/>
          <w:sz w:val="24"/>
          <w:szCs w:val="24"/>
        </w:rPr>
        <w:t>voluntary</w:t>
      </w:r>
      <w:r w:rsidR="00B72459">
        <w:rPr>
          <w:rFonts w:ascii="Arial" w:hAnsi="Arial" w:cs="Arial"/>
          <w:sz w:val="24"/>
          <w:szCs w:val="24"/>
        </w:rPr>
        <w:t xml:space="preserve"> nature</w:t>
      </w:r>
      <w:r w:rsidR="008C3445" w:rsidRPr="6408D7D1">
        <w:rPr>
          <w:rFonts w:ascii="Arial" w:hAnsi="Arial" w:cs="Arial"/>
          <w:sz w:val="24"/>
          <w:szCs w:val="24"/>
        </w:rPr>
        <w:t xml:space="preserve"> meant student engagement was unstable from year to year and week to week. In good times</w:t>
      </w:r>
      <w:r w:rsidR="006D5BA4">
        <w:rPr>
          <w:rFonts w:ascii="Arial" w:hAnsi="Arial" w:cs="Arial"/>
          <w:sz w:val="24"/>
          <w:szCs w:val="24"/>
        </w:rPr>
        <w:t>,</w:t>
      </w:r>
      <w:r w:rsidR="008C3445" w:rsidRPr="6408D7D1">
        <w:rPr>
          <w:rFonts w:ascii="Arial" w:hAnsi="Arial" w:cs="Arial"/>
          <w:sz w:val="24"/>
          <w:szCs w:val="24"/>
        </w:rPr>
        <w:t xml:space="preserve"> the group swelled to over </w:t>
      </w:r>
      <w:r w:rsidR="00A032A6" w:rsidRPr="6408D7D1">
        <w:rPr>
          <w:rFonts w:ascii="Arial" w:hAnsi="Arial" w:cs="Arial"/>
          <w:sz w:val="24"/>
          <w:szCs w:val="24"/>
        </w:rPr>
        <w:t xml:space="preserve">thirty </w:t>
      </w:r>
      <w:r w:rsidR="008C3445" w:rsidRPr="6408D7D1">
        <w:rPr>
          <w:rFonts w:ascii="Arial" w:hAnsi="Arial" w:cs="Arial"/>
          <w:sz w:val="24"/>
          <w:szCs w:val="24"/>
        </w:rPr>
        <w:t>students</w:t>
      </w:r>
      <w:r w:rsidR="00871561" w:rsidRPr="6408D7D1">
        <w:rPr>
          <w:rFonts w:ascii="Arial" w:hAnsi="Arial" w:cs="Arial"/>
          <w:sz w:val="24"/>
          <w:szCs w:val="24"/>
        </w:rPr>
        <w:t xml:space="preserve"> and an ambitious range of initiatives were </w:t>
      </w:r>
      <w:r w:rsidR="00EB0BE5" w:rsidRPr="6408D7D1">
        <w:rPr>
          <w:rFonts w:ascii="Arial" w:hAnsi="Arial" w:cs="Arial"/>
          <w:sz w:val="24"/>
          <w:szCs w:val="24"/>
        </w:rPr>
        <w:t>delivered</w:t>
      </w:r>
      <w:r w:rsidR="00871561" w:rsidRPr="6408D7D1">
        <w:rPr>
          <w:rFonts w:ascii="Arial" w:hAnsi="Arial" w:cs="Arial"/>
          <w:sz w:val="24"/>
          <w:szCs w:val="24"/>
        </w:rPr>
        <w:t>. I</w:t>
      </w:r>
      <w:r w:rsidR="008C3445" w:rsidRPr="6408D7D1">
        <w:rPr>
          <w:rFonts w:ascii="Arial" w:hAnsi="Arial" w:cs="Arial"/>
          <w:sz w:val="24"/>
          <w:szCs w:val="24"/>
        </w:rPr>
        <w:t xml:space="preserve">n exchange for working on various </w:t>
      </w:r>
      <w:r w:rsidR="00234762" w:rsidRPr="6408D7D1">
        <w:rPr>
          <w:rFonts w:ascii="Arial" w:hAnsi="Arial" w:cs="Arial"/>
          <w:sz w:val="24"/>
          <w:szCs w:val="24"/>
        </w:rPr>
        <w:t>teams</w:t>
      </w:r>
      <w:r w:rsidR="7FB8A5E3" w:rsidRPr="6408D7D1">
        <w:rPr>
          <w:rFonts w:ascii="Arial" w:hAnsi="Arial" w:cs="Arial"/>
          <w:sz w:val="24"/>
          <w:szCs w:val="24"/>
        </w:rPr>
        <w:t>,</w:t>
      </w:r>
      <w:r w:rsidR="008C3445" w:rsidRPr="6408D7D1">
        <w:rPr>
          <w:rFonts w:ascii="Arial" w:hAnsi="Arial" w:cs="Arial"/>
          <w:sz w:val="24"/>
          <w:szCs w:val="24"/>
        </w:rPr>
        <w:t xml:space="preserve"> student ambassadors </w:t>
      </w:r>
      <w:r w:rsidR="00871561" w:rsidRPr="6408D7D1">
        <w:rPr>
          <w:rFonts w:ascii="Arial" w:hAnsi="Arial" w:cs="Arial"/>
          <w:sz w:val="24"/>
          <w:szCs w:val="24"/>
        </w:rPr>
        <w:t xml:space="preserve">developed key skills, gained </w:t>
      </w:r>
      <w:r w:rsidR="00455646" w:rsidRPr="6408D7D1">
        <w:rPr>
          <w:rFonts w:ascii="Arial" w:hAnsi="Arial" w:cs="Arial"/>
          <w:sz w:val="24"/>
          <w:szCs w:val="24"/>
        </w:rPr>
        <w:t>experience,</w:t>
      </w:r>
      <w:r w:rsidR="00871561" w:rsidRPr="6408D7D1">
        <w:rPr>
          <w:rFonts w:ascii="Arial" w:hAnsi="Arial" w:cs="Arial"/>
          <w:sz w:val="24"/>
          <w:szCs w:val="24"/>
        </w:rPr>
        <w:t xml:space="preserve"> and </w:t>
      </w:r>
      <w:r w:rsidR="008C3445" w:rsidRPr="6408D7D1">
        <w:rPr>
          <w:rFonts w:ascii="Arial" w:hAnsi="Arial" w:cs="Arial"/>
          <w:sz w:val="24"/>
          <w:szCs w:val="24"/>
        </w:rPr>
        <w:t xml:space="preserve">received </w:t>
      </w:r>
      <w:r w:rsidR="00871561" w:rsidRPr="6408D7D1">
        <w:rPr>
          <w:rFonts w:ascii="Arial" w:hAnsi="Arial" w:cs="Arial"/>
          <w:sz w:val="24"/>
          <w:szCs w:val="24"/>
        </w:rPr>
        <w:t xml:space="preserve">a </w:t>
      </w:r>
      <w:r w:rsidR="008C3445" w:rsidRPr="6408D7D1">
        <w:rPr>
          <w:rFonts w:ascii="Arial" w:hAnsi="Arial" w:cs="Arial"/>
          <w:sz w:val="24"/>
          <w:szCs w:val="24"/>
        </w:rPr>
        <w:t xml:space="preserve">signed certificate and letter of reference from the employability lead. However, as there was no </w:t>
      </w:r>
      <w:r w:rsidR="00871561" w:rsidRPr="6408D7D1">
        <w:rPr>
          <w:rFonts w:ascii="Arial" w:hAnsi="Arial" w:cs="Arial"/>
          <w:sz w:val="24"/>
          <w:szCs w:val="24"/>
        </w:rPr>
        <w:t>pay</w:t>
      </w:r>
      <w:r w:rsidR="00C9574E" w:rsidRPr="6408D7D1">
        <w:rPr>
          <w:rFonts w:ascii="Arial" w:hAnsi="Arial" w:cs="Arial"/>
          <w:sz w:val="24"/>
          <w:szCs w:val="24"/>
        </w:rPr>
        <w:t xml:space="preserve"> or </w:t>
      </w:r>
      <w:r w:rsidR="008C3445" w:rsidRPr="6408D7D1">
        <w:rPr>
          <w:rFonts w:ascii="Arial" w:hAnsi="Arial" w:cs="Arial"/>
          <w:sz w:val="24"/>
          <w:szCs w:val="24"/>
        </w:rPr>
        <w:t>academic credit</w:t>
      </w:r>
      <w:r w:rsidR="00C413F1" w:rsidRPr="6408D7D1">
        <w:rPr>
          <w:rFonts w:ascii="Arial" w:hAnsi="Arial" w:cs="Arial"/>
          <w:sz w:val="24"/>
          <w:szCs w:val="24"/>
        </w:rPr>
        <w:t xml:space="preserve">, </w:t>
      </w:r>
      <w:r w:rsidR="006A499C">
        <w:rPr>
          <w:rFonts w:ascii="Arial" w:hAnsi="Arial" w:cs="Arial"/>
          <w:sz w:val="24"/>
          <w:szCs w:val="24"/>
        </w:rPr>
        <w:t xml:space="preserve">consistent </w:t>
      </w:r>
      <w:r w:rsidR="008C3445" w:rsidRPr="6408D7D1">
        <w:rPr>
          <w:rFonts w:ascii="Arial" w:hAnsi="Arial" w:cs="Arial"/>
          <w:sz w:val="24"/>
          <w:szCs w:val="24"/>
        </w:rPr>
        <w:t>formal commitment was difficult</w:t>
      </w:r>
      <w:r w:rsidR="00AF3198">
        <w:rPr>
          <w:rFonts w:ascii="Arial" w:hAnsi="Arial" w:cs="Arial"/>
          <w:sz w:val="24"/>
          <w:szCs w:val="24"/>
        </w:rPr>
        <w:t>. W</w:t>
      </w:r>
      <w:r w:rsidR="008C3445" w:rsidRPr="6408D7D1">
        <w:rPr>
          <w:rFonts w:ascii="Arial" w:hAnsi="Arial" w:cs="Arial"/>
          <w:sz w:val="24"/>
          <w:szCs w:val="24"/>
        </w:rPr>
        <w:t xml:space="preserve">hen other demands emerged, </w:t>
      </w:r>
      <w:r w:rsidR="00AF3198">
        <w:rPr>
          <w:rFonts w:ascii="Arial" w:hAnsi="Arial" w:cs="Arial"/>
          <w:sz w:val="24"/>
          <w:szCs w:val="24"/>
        </w:rPr>
        <w:t>notably</w:t>
      </w:r>
      <w:r w:rsidR="008C3445" w:rsidRPr="6408D7D1">
        <w:rPr>
          <w:rFonts w:ascii="Arial" w:hAnsi="Arial" w:cs="Arial"/>
          <w:sz w:val="24"/>
          <w:szCs w:val="24"/>
        </w:rPr>
        <w:t xml:space="preserve"> assignment deadlines, </w:t>
      </w:r>
      <w:r w:rsidR="00FC3993">
        <w:rPr>
          <w:rFonts w:ascii="Arial" w:hAnsi="Arial" w:cs="Arial"/>
          <w:sz w:val="24"/>
          <w:szCs w:val="24"/>
        </w:rPr>
        <w:t>those less committed</w:t>
      </w:r>
      <w:r w:rsidR="008C3445" w:rsidRPr="6408D7D1">
        <w:rPr>
          <w:rFonts w:ascii="Arial" w:hAnsi="Arial" w:cs="Arial"/>
          <w:sz w:val="24"/>
          <w:szCs w:val="24"/>
        </w:rPr>
        <w:t xml:space="preserve"> would often miss meetings and deliverables. This uncertainty was to be expected but generated tension among students and made planning precarious. </w:t>
      </w:r>
    </w:p>
    <w:p w14:paraId="73B861DA" w14:textId="3239963D" w:rsidR="00CD6760" w:rsidRDefault="00871561" w:rsidP="00242EF2">
      <w:pPr>
        <w:spacing w:line="360" w:lineRule="auto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</w:t>
      </w:r>
      <w:r w:rsidR="00B8218C">
        <w:rPr>
          <w:rFonts w:ascii="Arial" w:hAnsi="Arial" w:cs="Arial"/>
          <w:bCs/>
          <w:sz w:val="24"/>
          <w:szCs w:val="24"/>
        </w:rPr>
        <w:t xml:space="preserve">he module </w:t>
      </w:r>
      <w:r>
        <w:rPr>
          <w:rFonts w:ascii="Arial" w:hAnsi="Arial" w:cs="Arial"/>
          <w:bCs/>
          <w:sz w:val="24"/>
          <w:szCs w:val="24"/>
        </w:rPr>
        <w:t xml:space="preserve">was </w:t>
      </w:r>
      <w:r w:rsidR="001D521F">
        <w:rPr>
          <w:rFonts w:ascii="Arial" w:hAnsi="Arial" w:cs="Arial"/>
          <w:bCs/>
          <w:sz w:val="24"/>
          <w:szCs w:val="24"/>
        </w:rPr>
        <w:t xml:space="preserve">an opportunity </w:t>
      </w:r>
      <w:r>
        <w:rPr>
          <w:rFonts w:ascii="Arial" w:hAnsi="Arial" w:cs="Arial"/>
          <w:bCs/>
          <w:sz w:val="24"/>
          <w:szCs w:val="24"/>
        </w:rPr>
        <w:t>to formalise the positive aspects of the ambassador scheme</w:t>
      </w:r>
      <w:r w:rsidR="00FC3993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adding greater accountability and awarding academic credit</w:t>
      </w:r>
      <w:r w:rsidR="00310378">
        <w:rPr>
          <w:rFonts w:ascii="Arial" w:hAnsi="Arial" w:cs="Arial"/>
          <w:bCs/>
          <w:sz w:val="24"/>
          <w:szCs w:val="24"/>
        </w:rPr>
        <w:t xml:space="preserve"> (15%) for </w:t>
      </w:r>
      <w:r w:rsidR="00A97E62">
        <w:rPr>
          <w:rFonts w:ascii="Arial" w:hAnsi="Arial" w:cs="Arial"/>
          <w:bCs/>
          <w:sz w:val="24"/>
          <w:szCs w:val="24"/>
        </w:rPr>
        <w:t>engagement</w:t>
      </w:r>
      <w:r w:rsidR="00310378">
        <w:rPr>
          <w:rFonts w:ascii="Arial" w:hAnsi="Arial" w:cs="Arial"/>
          <w:bCs/>
          <w:sz w:val="24"/>
          <w:szCs w:val="24"/>
        </w:rPr>
        <w:t xml:space="preserve"> in weekly meetings and contributi</w:t>
      </w:r>
      <w:r w:rsidR="00610E04">
        <w:rPr>
          <w:rFonts w:ascii="Arial" w:hAnsi="Arial" w:cs="Arial"/>
          <w:bCs/>
          <w:sz w:val="24"/>
          <w:szCs w:val="24"/>
        </w:rPr>
        <w:t>on</w:t>
      </w:r>
      <w:r w:rsidR="00310378">
        <w:rPr>
          <w:rFonts w:ascii="Arial" w:hAnsi="Arial" w:cs="Arial"/>
          <w:bCs/>
          <w:sz w:val="24"/>
          <w:szCs w:val="24"/>
        </w:rPr>
        <w:t xml:space="preserve"> to one of six sub-teams.</w:t>
      </w:r>
      <w:r w:rsidR="00242EF2">
        <w:rPr>
          <w:rFonts w:ascii="Arial" w:hAnsi="Arial" w:cs="Arial"/>
          <w:bCs/>
          <w:sz w:val="24"/>
          <w:szCs w:val="24"/>
        </w:rPr>
        <w:t xml:space="preserve"> </w:t>
      </w:r>
      <w:r w:rsidR="00CD0613">
        <w:rPr>
          <w:rFonts w:ascii="Arial" w:hAnsi="Arial" w:cs="Arial"/>
          <w:sz w:val="24"/>
          <w:szCs w:val="24"/>
        </w:rPr>
        <w:t>We briefed</w:t>
      </w:r>
      <w:r w:rsidR="0047029F">
        <w:rPr>
          <w:rFonts w:ascii="Arial" w:hAnsi="Arial" w:cs="Arial"/>
          <w:sz w:val="24"/>
          <w:szCs w:val="24"/>
        </w:rPr>
        <w:t xml:space="preserve"> students</w:t>
      </w:r>
      <w:r w:rsidR="00310378">
        <w:rPr>
          <w:rFonts w:ascii="Arial" w:hAnsi="Arial" w:cs="Arial"/>
          <w:sz w:val="24"/>
          <w:szCs w:val="24"/>
        </w:rPr>
        <w:t xml:space="preserve"> in detail </w:t>
      </w:r>
      <w:r w:rsidR="00B72459">
        <w:rPr>
          <w:rFonts w:ascii="Arial" w:hAnsi="Arial" w:cs="Arial"/>
          <w:sz w:val="24"/>
          <w:szCs w:val="24"/>
        </w:rPr>
        <w:t xml:space="preserve">during </w:t>
      </w:r>
      <w:r w:rsidR="00310378">
        <w:rPr>
          <w:rFonts w:ascii="Arial" w:hAnsi="Arial" w:cs="Arial"/>
          <w:sz w:val="24"/>
          <w:szCs w:val="24"/>
        </w:rPr>
        <w:t xml:space="preserve">the first week </w:t>
      </w:r>
      <w:r w:rsidR="0047029F">
        <w:rPr>
          <w:rFonts w:ascii="Arial" w:hAnsi="Arial" w:cs="Arial"/>
          <w:sz w:val="24"/>
          <w:szCs w:val="24"/>
        </w:rPr>
        <w:t>on</w:t>
      </w:r>
      <w:r w:rsidR="00310378">
        <w:rPr>
          <w:rFonts w:ascii="Arial" w:hAnsi="Arial" w:cs="Arial"/>
          <w:sz w:val="24"/>
          <w:szCs w:val="24"/>
        </w:rPr>
        <w:t xml:space="preserve"> the scheme</w:t>
      </w:r>
      <w:r w:rsidR="00CD0613">
        <w:rPr>
          <w:rFonts w:ascii="Arial" w:hAnsi="Arial" w:cs="Arial"/>
          <w:sz w:val="24"/>
          <w:szCs w:val="24"/>
        </w:rPr>
        <w:t>’s logic</w:t>
      </w:r>
      <w:r w:rsidR="00310378">
        <w:rPr>
          <w:rFonts w:ascii="Arial" w:hAnsi="Arial" w:cs="Arial"/>
          <w:sz w:val="24"/>
          <w:szCs w:val="24"/>
        </w:rPr>
        <w:t xml:space="preserve">, their role and </w:t>
      </w:r>
      <w:r w:rsidR="00A97E62">
        <w:rPr>
          <w:rFonts w:ascii="Arial" w:hAnsi="Arial" w:cs="Arial"/>
          <w:sz w:val="24"/>
          <w:szCs w:val="24"/>
        </w:rPr>
        <w:t>expectations</w:t>
      </w:r>
      <w:r w:rsidR="00310378">
        <w:rPr>
          <w:rFonts w:ascii="Arial" w:hAnsi="Arial" w:cs="Arial"/>
          <w:sz w:val="24"/>
          <w:szCs w:val="24"/>
        </w:rPr>
        <w:t xml:space="preserve">. We </w:t>
      </w:r>
      <w:r w:rsidR="00EB0BE5">
        <w:rPr>
          <w:rFonts w:ascii="Arial" w:hAnsi="Arial" w:cs="Arial"/>
          <w:sz w:val="24"/>
          <w:szCs w:val="24"/>
        </w:rPr>
        <w:t>highlighted</w:t>
      </w:r>
      <w:r w:rsidR="00310378">
        <w:rPr>
          <w:rFonts w:ascii="Arial" w:hAnsi="Arial" w:cs="Arial"/>
          <w:sz w:val="24"/>
          <w:szCs w:val="24"/>
        </w:rPr>
        <w:t xml:space="preserve"> the positive contributions previous ambassador groups had made. We outlined the six sub-teams (see Figure </w:t>
      </w:r>
      <w:r w:rsidR="00614B7B">
        <w:rPr>
          <w:rFonts w:ascii="Arial" w:hAnsi="Arial" w:cs="Arial"/>
          <w:sz w:val="24"/>
          <w:szCs w:val="24"/>
        </w:rPr>
        <w:t>4</w:t>
      </w:r>
      <w:r w:rsidR="00310378">
        <w:rPr>
          <w:rFonts w:ascii="Arial" w:hAnsi="Arial" w:cs="Arial"/>
          <w:sz w:val="24"/>
          <w:szCs w:val="24"/>
        </w:rPr>
        <w:t xml:space="preserve">), including the events team and communications team and allocated each student based on their preferences. </w:t>
      </w:r>
    </w:p>
    <w:p w14:paraId="10756651" w14:textId="2F523FBB" w:rsidR="00CD6760" w:rsidRPr="00CD6760" w:rsidRDefault="00CD6760" w:rsidP="00CD6760">
      <w:pPr>
        <w:spacing w:line="360" w:lineRule="auto"/>
        <w:jc w:val="center"/>
        <w:outlineLvl w:val="1"/>
        <w:rPr>
          <w:rFonts w:ascii="Arial" w:hAnsi="Arial" w:cs="Arial"/>
          <w:sz w:val="24"/>
          <w:szCs w:val="24"/>
          <w:u w:val="single"/>
        </w:rPr>
      </w:pPr>
      <w:r w:rsidRPr="00CD6760">
        <w:rPr>
          <w:rFonts w:ascii="Arial" w:hAnsi="Arial" w:cs="Arial"/>
          <w:sz w:val="24"/>
          <w:szCs w:val="24"/>
          <w:u w:val="single"/>
        </w:rPr>
        <w:t>Figure 4: Ambassador Teams</w:t>
      </w:r>
    </w:p>
    <w:p w14:paraId="39468628" w14:textId="4C71768F" w:rsidR="000B07E2" w:rsidRDefault="00B72459" w:rsidP="00242EF2">
      <w:pPr>
        <w:spacing w:line="360" w:lineRule="auto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While</w:t>
      </w:r>
      <w:r w:rsidR="00EB0BE5" w:rsidRPr="45F2336C">
        <w:rPr>
          <w:rFonts w:ascii="Arial" w:hAnsi="Arial" w:cs="Arial"/>
          <w:sz w:val="24"/>
          <w:szCs w:val="24"/>
        </w:rPr>
        <w:t xml:space="preserve"> </w:t>
      </w:r>
      <w:r w:rsidR="00310378" w:rsidRPr="45F2336C">
        <w:rPr>
          <w:rFonts w:ascii="Arial" w:hAnsi="Arial" w:cs="Arial"/>
          <w:sz w:val="24"/>
          <w:szCs w:val="24"/>
        </w:rPr>
        <w:t xml:space="preserve">some students </w:t>
      </w:r>
      <w:r w:rsidR="00F9184C">
        <w:rPr>
          <w:rFonts w:ascii="Arial" w:hAnsi="Arial" w:cs="Arial"/>
          <w:sz w:val="24"/>
          <w:szCs w:val="24"/>
        </w:rPr>
        <w:t>selected</w:t>
      </w:r>
      <w:r w:rsidR="00767522" w:rsidRPr="45F233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team based on </w:t>
      </w:r>
      <w:r w:rsidR="00767522" w:rsidRPr="45F2336C">
        <w:rPr>
          <w:rFonts w:ascii="Arial" w:hAnsi="Arial" w:cs="Arial"/>
          <w:sz w:val="24"/>
          <w:szCs w:val="24"/>
        </w:rPr>
        <w:t xml:space="preserve">what they </w:t>
      </w:r>
      <w:r w:rsidR="000B3D6C">
        <w:rPr>
          <w:rFonts w:ascii="Arial" w:hAnsi="Arial" w:cs="Arial"/>
          <w:sz w:val="24"/>
          <w:szCs w:val="24"/>
        </w:rPr>
        <w:t>enjoyed</w:t>
      </w:r>
      <w:r>
        <w:rPr>
          <w:rFonts w:ascii="Arial" w:hAnsi="Arial" w:cs="Arial"/>
          <w:sz w:val="24"/>
          <w:szCs w:val="24"/>
        </w:rPr>
        <w:t xml:space="preserve"> or </w:t>
      </w:r>
      <w:r w:rsidR="00767522" w:rsidRPr="45F2336C">
        <w:rPr>
          <w:rFonts w:ascii="Arial" w:hAnsi="Arial" w:cs="Arial"/>
          <w:sz w:val="24"/>
          <w:szCs w:val="24"/>
        </w:rPr>
        <w:t xml:space="preserve">to </w:t>
      </w:r>
      <w:r w:rsidR="00F60771" w:rsidRPr="45F2336C">
        <w:rPr>
          <w:rFonts w:ascii="Arial" w:hAnsi="Arial" w:cs="Arial"/>
          <w:sz w:val="24"/>
          <w:szCs w:val="24"/>
        </w:rPr>
        <w:t xml:space="preserve">enhance </w:t>
      </w:r>
      <w:r w:rsidR="009F43B0" w:rsidRPr="45F2336C">
        <w:rPr>
          <w:rFonts w:ascii="Arial" w:hAnsi="Arial" w:cs="Arial"/>
          <w:sz w:val="24"/>
          <w:szCs w:val="24"/>
        </w:rPr>
        <w:t>their</w:t>
      </w:r>
      <w:r w:rsidR="00B467C9">
        <w:rPr>
          <w:rFonts w:ascii="Arial" w:hAnsi="Arial" w:cs="Arial"/>
          <w:sz w:val="24"/>
          <w:szCs w:val="24"/>
        </w:rPr>
        <w:t xml:space="preserve"> own</w:t>
      </w:r>
      <w:r w:rsidR="009F43B0" w:rsidRPr="45F2336C">
        <w:rPr>
          <w:rFonts w:ascii="Arial" w:hAnsi="Arial" w:cs="Arial"/>
          <w:sz w:val="24"/>
          <w:szCs w:val="24"/>
        </w:rPr>
        <w:t xml:space="preserve"> CV,</w:t>
      </w:r>
      <w:r w:rsidR="00767522" w:rsidRPr="45F2336C">
        <w:rPr>
          <w:rFonts w:ascii="Arial" w:hAnsi="Arial" w:cs="Arial"/>
          <w:sz w:val="24"/>
          <w:szCs w:val="24"/>
        </w:rPr>
        <w:t xml:space="preserve"> others </w:t>
      </w:r>
      <w:r w:rsidR="00E72993" w:rsidRPr="45F2336C">
        <w:rPr>
          <w:rFonts w:ascii="Arial" w:hAnsi="Arial" w:cs="Arial"/>
          <w:sz w:val="24"/>
          <w:szCs w:val="24"/>
        </w:rPr>
        <w:t>wanted</w:t>
      </w:r>
      <w:r w:rsidR="00767522" w:rsidRPr="45F2336C">
        <w:rPr>
          <w:rFonts w:ascii="Arial" w:hAnsi="Arial" w:cs="Arial"/>
          <w:sz w:val="24"/>
          <w:szCs w:val="24"/>
        </w:rPr>
        <w:t xml:space="preserve"> to try something new or </w:t>
      </w:r>
      <w:r w:rsidR="00310378" w:rsidRPr="45F2336C">
        <w:rPr>
          <w:rFonts w:ascii="Arial" w:hAnsi="Arial" w:cs="Arial"/>
          <w:sz w:val="24"/>
          <w:szCs w:val="24"/>
        </w:rPr>
        <w:t xml:space="preserve">develop specific skills such as planning or </w:t>
      </w:r>
      <w:r w:rsidR="00767522" w:rsidRPr="45F2336C">
        <w:rPr>
          <w:rFonts w:ascii="Arial" w:hAnsi="Arial" w:cs="Arial"/>
          <w:sz w:val="24"/>
          <w:szCs w:val="24"/>
        </w:rPr>
        <w:t>analy</w:t>
      </w:r>
      <w:r w:rsidR="00CE55E1" w:rsidRPr="45F2336C">
        <w:rPr>
          <w:rFonts w:ascii="Arial" w:hAnsi="Arial" w:cs="Arial"/>
          <w:sz w:val="24"/>
          <w:szCs w:val="24"/>
        </w:rPr>
        <w:t>tical skills</w:t>
      </w:r>
      <w:r w:rsidR="00767522" w:rsidRPr="45F2336C">
        <w:rPr>
          <w:rFonts w:ascii="Arial" w:hAnsi="Arial" w:cs="Arial"/>
          <w:sz w:val="24"/>
          <w:szCs w:val="24"/>
        </w:rPr>
        <w:t xml:space="preserve">. Each week, there </w:t>
      </w:r>
      <w:r w:rsidR="00E72993" w:rsidRPr="45F2336C">
        <w:rPr>
          <w:rFonts w:ascii="Arial" w:hAnsi="Arial" w:cs="Arial"/>
          <w:sz w:val="24"/>
          <w:szCs w:val="24"/>
        </w:rPr>
        <w:t>was</w:t>
      </w:r>
      <w:r w:rsidR="00767522" w:rsidRPr="45F2336C">
        <w:rPr>
          <w:rFonts w:ascii="Arial" w:hAnsi="Arial" w:cs="Arial"/>
          <w:sz w:val="24"/>
          <w:szCs w:val="24"/>
        </w:rPr>
        <w:t xml:space="preserve"> a timetabled session dedicated to </w:t>
      </w:r>
      <w:r w:rsidR="007C1EF7" w:rsidRPr="45F2336C">
        <w:rPr>
          <w:rFonts w:ascii="Arial" w:hAnsi="Arial" w:cs="Arial"/>
          <w:sz w:val="24"/>
          <w:szCs w:val="24"/>
        </w:rPr>
        <w:t xml:space="preserve">team </w:t>
      </w:r>
      <w:r w:rsidR="002F4A50">
        <w:rPr>
          <w:rFonts w:ascii="Arial" w:hAnsi="Arial" w:cs="Arial"/>
          <w:sz w:val="24"/>
          <w:szCs w:val="24"/>
        </w:rPr>
        <w:t xml:space="preserve">progress </w:t>
      </w:r>
      <w:r w:rsidR="00767522" w:rsidRPr="45F2336C">
        <w:rPr>
          <w:rFonts w:ascii="Arial" w:hAnsi="Arial" w:cs="Arial"/>
          <w:sz w:val="24"/>
          <w:szCs w:val="24"/>
        </w:rPr>
        <w:t xml:space="preserve">updates. </w:t>
      </w:r>
      <w:r w:rsidR="00F9184C">
        <w:rPr>
          <w:rFonts w:ascii="Arial" w:hAnsi="Arial" w:cs="Arial"/>
          <w:sz w:val="24"/>
          <w:szCs w:val="24"/>
        </w:rPr>
        <w:t>M</w:t>
      </w:r>
      <w:r w:rsidR="00767522" w:rsidRPr="45F2336C">
        <w:rPr>
          <w:rFonts w:ascii="Arial" w:hAnsi="Arial" w:cs="Arial"/>
          <w:sz w:val="24"/>
          <w:szCs w:val="24"/>
        </w:rPr>
        <w:t xml:space="preserve">eetings </w:t>
      </w:r>
      <w:r w:rsidR="00310378" w:rsidRPr="45F2336C">
        <w:rPr>
          <w:rFonts w:ascii="Arial" w:hAnsi="Arial" w:cs="Arial"/>
          <w:sz w:val="24"/>
          <w:szCs w:val="24"/>
        </w:rPr>
        <w:t xml:space="preserve">were </w:t>
      </w:r>
      <w:r w:rsidR="00767522" w:rsidRPr="45F2336C">
        <w:rPr>
          <w:rFonts w:ascii="Arial" w:hAnsi="Arial" w:cs="Arial"/>
          <w:sz w:val="24"/>
          <w:szCs w:val="24"/>
        </w:rPr>
        <w:t xml:space="preserve">student-led </w:t>
      </w:r>
      <w:r w:rsidR="002F4A50">
        <w:rPr>
          <w:rFonts w:ascii="Arial" w:hAnsi="Arial" w:cs="Arial"/>
          <w:sz w:val="24"/>
          <w:szCs w:val="24"/>
        </w:rPr>
        <w:t>and</w:t>
      </w:r>
      <w:r w:rsidR="002F4A50" w:rsidRPr="45F2336C">
        <w:rPr>
          <w:rFonts w:ascii="Arial" w:hAnsi="Arial" w:cs="Arial"/>
          <w:sz w:val="24"/>
          <w:szCs w:val="24"/>
        </w:rPr>
        <w:t xml:space="preserve"> </w:t>
      </w:r>
      <w:r w:rsidR="00310378" w:rsidRPr="45F2336C">
        <w:rPr>
          <w:rFonts w:ascii="Arial" w:hAnsi="Arial" w:cs="Arial"/>
          <w:sz w:val="24"/>
          <w:szCs w:val="24"/>
        </w:rPr>
        <w:t xml:space="preserve">agendas sent in advance, </w:t>
      </w:r>
      <w:r w:rsidR="002F4A50">
        <w:rPr>
          <w:rFonts w:ascii="Arial" w:hAnsi="Arial" w:cs="Arial"/>
          <w:sz w:val="24"/>
          <w:szCs w:val="24"/>
        </w:rPr>
        <w:t>with</w:t>
      </w:r>
      <w:r w:rsidR="002F4A50" w:rsidRPr="45F2336C">
        <w:rPr>
          <w:rFonts w:ascii="Arial" w:hAnsi="Arial" w:cs="Arial"/>
          <w:sz w:val="24"/>
          <w:szCs w:val="24"/>
        </w:rPr>
        <w:t xml:space="preserve"> </w:t>
      </w:r>
      <w:r w:rsidR="00310378" w:rsidRPr="45F2336C">
        <w:rPr>
          <w:rFonts w:ascii="Arial" w:hAnsi="Arial" w:cs="Arial"/>
          <w:sz w:val="24"/>
          <w:szCs w:val="24"/>
        </w:rPr>
        <w:t>minutes and next actions captured and circulated by members of the organisation team.</w:t>
      </w:r>
      <w:r>
        <w:rPr>
          <w:rFonts w:ascii="Arial" w:hAnsi="Arial" w:cs="Arial"/>
          <w:sz w:val="24"/>
          <w:szCs w:val="24"/>
        </w:rPr>
        <w:t xml:space="preserve"> </w:t>
      </w:r>
      <w:r w:rsidR="00AA6BC1">
        <w:rPr>
          <w:rFonts w:ascii="Arial" w:hAnsi="Arial" w:cs="Arial"/>
          <w:sz w:val="24"/>
          <w:szCs w:val="24"/>
        </w:rPr>
        <w:t>During</w:t>
      </w:r>
      <w:r w:rsidR="00310378" w:rsidRPr="45F2336C">
        <w:rPr>
          <w:rFonts w:ascii="Arial" w:hAnsi="Arial" w:cs="Arial"/>
          <w:sz w:val="24"/>
          <w:szCs w:val="24"/>
        </w:rPr>
        <w:t xml:space="preserve"> the first few weeks </w:t>
      </w:r>
      <w:r>
        <w:rPr>
          <w:rFonts w:ascii="Arial" w:hAnsi="Arial" w:cs="Arial"/>
          <w:sz w:val="24"/>
          <w:szCs w:val="24"/>
        </w:rPr>
        <w:t>the teams</w:t>
      </w:r>
      <w:r w:rsidRPr="45F2336C">
        <w:rPr>
          <w:rFonts w:ascii="Arial" w:hAnsi="Arial" w:cs="Arial"/>
          <w:sz w:val="24"/>
          <w:szCs w:val="24"/>
        </w:rPr>
        <w:t xml:space="preserve"> </w:t>
      </w:r>
      <w:r w:rsidR="00310378" w:rsidRPr="45F2336C">
        <w:rPr>
          <w:rFonts w:ascii="Arial" w:hAnsi="Arial" w:cs="Arial"/>
          <w:sz w:val="24"/>
          <w:szCs w:val="24"/>
        </w:rPr>
        <w:t xml:space="preserve">agreed on logical goals, </w:t>
      </w:r>
      <w:r w:rsidR="00E8544D" w:rsidRPr="45F2336C">
        <w:rPr>
          <w:rFonts w:ascii="Arial" w:hAnsi="Arial" w:cs="Arial"/>
          <w:sz w:val="24"/>
          <w:szCs w:val="24"/>
        </w:rPr>
        <w:t>projects,</w:t>
      </w:r>
      <w:r w:rsidR="00310378" w:rsidRPr="45F2336C">
        <w:rPr>
          <w:rFonts w:ascii="Arial" w:hAnsi="Arial" w:cs="Arial"/>
          <w:sz w:val="24"/>
          <w:szCs w:val="24"/>
        </w:rPr>
        <w:t xml:space="preserve"> and </w:t>
      </w:r>
      <w:r w:rsidR="00B12B81" w:rsidRPr="45F2336C">
        <w:rPr>
          <w:rFonts w:ascii="Arial" w:hAnsi="Arial" w:cs="Arial"/>
          <w:sz w:val="24"/>
          <w:szCs w:val="24"/>
        </w:rPr>
        <w:t>initiatives</w:t>
      </w:r>
      <w:r w:rsidR="00310378" w:rsidRPr="45F2336C">
        <w:rPr>
          <w:rFonts w:ascii="Arial" w:hAnsi="Arial" w:cs="Arial"/>
          <w:sz w:val="24"/>
          <w:szCs w:val="24"/>
        </w:rPr>
        <w:t xml:space="preserve"> and each team </w:t>
      </w:r>
      <w:r w:rsidR="00015650">
        <w:rPr>
          <w:rFonts w:ascii="Arial" w:hAnsi="Arial" w:cs="Arial"/>
          <w:sz w:val="24"/>
          <w:szCs w:val="24"/>
        </w:rPr>
        <w:t xml:space="preserve">then </w:t>
      </w:r>
      <w:r w:rsidR="00310378" w:rsidRPr="45F2336C">
        <w:rPr>
          <w:rFonts w:ascii="Arial" w:hAnsi="Arial" w:cs="Arial"/>
          <w:sz w:val="24"/>
          <w:szCs w:val="24"/>
        </w:rPr>
        <w:t xml:space="preserve">worked </w:t>
      </w:r>
      <w:r w:rsidR="00B12B81" w:rsidRPr="45F2336C">
        <w:rPr>
          <w:rFonts w:ascii="Arial" w:hAnsi="Arial" w:cs="Arial"/>
          <w:sz w:val="24"/>
          <w:szCs w:val="24"/>
        </w:rPr>
        <w:t>towards the</w:t>
      </w:r>
      <w:r w:rsidR="00C060CE">
        <w:rPr>
          <w:rFonts w:ascii="Arial" w:hAnsi="Arial" w:cs="Arial"/>
          <w:sz w:val="24"/>
          <w:szCs w:val="24"/>
        </w:rPr>
        <w:t>se</w:t>
      </w:r>
      <w:r w:rsidR="00B12B81" w:rsidRPr="45F2336C">
        <w:rPr>
          <w:rFonts w:ascii="Arial" w:hAnsi="Arial" w:cs="Arial"/>
          <w:sz w:val="24"/>
          <w:szCs w:val="24"/>
        </w:rPr>
        <w:t>. For example</w:t>
      </w:r>
      <w:r w:rsidR="00F60771" w:rsidRPr="45F2336C">
        <w:rPr>
          <w:rFonts w:ascii="Arial" w:hAnsi="Arial" w:cs="Arial"/>
          <w:sz w:val="24"/>
          <w:szCs w:val="24"/>
        </w:rPr>
        <w:t>,</w:t>
      </w:r>
      <w:r w:rsidR="00B12B81" w:rsidRPr="45F2336C">
        <w:rPr>
          <w:rFonts w:ascii="Arial" w:hAnsi="Arial" w:cs="Arial"/>
          <w:sz w:val="24"/>
          <w:szCs w:val="24"/>
        </w:rPr>
        <w:t xml:space="preserve"> while the events team would develop and schedule a </w:t>
      </w:r>
      <w:r w:rsidR="00595B38" w:rsidRPr="45F2336C">
        <w:rPr>
          <w:rFonts w:ascii="Arial" w:hAnsi="Arial" w:cs="Arial"/>
          <w:sz w:val="24"/>
          <w:szCs w:val="24"/>
        </w:rPr>
        <w:t>programme</w:t>
      </w:r>
      <w:r w:rsidR="00B12B81" w:rsidRPr="45F2336C">
        <w:rPr>
          <w:rFonts w:ascii="Arial" w:hAnsi="Arial" w:cs="Arial"/>
          <w:sz w:val="24"/>
          <w:szCs w:val="24"/>
        </w:rPr>
        <w:t xml:space="preserve"> of events, </w:t>
      </w:r>
      <w:r w:rsidR="00FA7472" w:rsidRPr="45F2336C">
        <w:rPr>
          <w:rFonts w:ascii="Arial" w:hAnsi="Arial" w:cs="Arial"/>
          <w:sz w:val="24"/>
          <w:szCs w:val="24"/>
        </w:rPr>
        <w:t xml:space="preserve">the communications team would </w:t>
      </w:r>
      <w:r w:rsidR="00B12B81" w:rsidRPr="45F2336C">
        <w:rPr>
          <w:rFonts w:ascii="Arial" w:hAnsi="Arial" w:cs="Arial"/>
          <w:sz w:val="24"/>
          <w:szCs w:val="24"/>
        </w:rPr>
        <w:t>promote those events</w:t>
      </w:r>
      <w:r w:rsidR="00FA7472" w:rsidRPr="45F2336C">
        <w:rPr>
          <w:rFonts w:ascii="Arial" w:hAnsi="Arial" w:cs="Arial"/>
          <w:sz w:val="24"/>
          <w:szCs w:val="24"/>
        </w:rPr>
        <w:t>, experimenting with different channels</w:t>
      </w:r>
      <w:r w:rsidR="00B12B81" w:rsidRPr="45F2336C">
        <w:rPr>
          <w:rFonts w:ascii="Arial" w:hAnsi="Arial" w:cs="Arial"/>
          <w:sz w:val="24"/>
          <w:szCs w:val="24"/>
        </w:rPr>
        <w:t xml:space="preserve"> </w:t>
      </w:r>
      <w:r w:rsidR="00FA7472" w:rsidRPr="45F2336C">
        <w:rPr>
          <w:rFonts w:ascii="Arial" w:hAnsi="Arial" w:cs="Arial"/>
          <w:sz w:val="24"/>
          <w:szCs w:val="24"/>
        </w:rPr>
        <w:t xml:space="preserve">and methods of communication to maximise impact. </w:t>
      </w:r>
      <w:r w:rsidR="00C060CE">
        <w:rPr>
          <w:rFonts w:ascii="Arial" w:hAnsi="Arial" w:cs="Arial"/>
          <w:sz w:val="24"/>
          <w:szCs w:val="24"/>
        </w:rPr>
        <w:t>Their</w:t>
      </w:r>
      <w:r w:rsidR="00C060CE" w:rsidRPr="45F2336C">
        <w:rPr>
          <w:rFonts w:ascii="Arial" w:hAnsi="Arial" w:cs="Arial"/>
          <w:sz w:val="24"/>
          <w:szCs w:val="24"/>
        </w:rPr>
        <w:t xml:space="preserve"> </w:t>
      </w:r>
      <w:r w:rsidR="00B12B81" w:rsidRPr="45F2336C">
        <w:rPr>
          <w:rFonts w:ascii="Arial" w:hAnsi="Arial" w:cs="Arial"/>
          <w:sz w:val="24"/>
          <w:szCs w:val="24"/>
        </w:rPr>
        <w:t>Instagram account</w:t>
      </w:r>
      <w:r w:rsidR="00242EF2" w:rsidRPr="45F2336C">
        <w:rPr>
          <w:rFonts w:ascii="Arial" w:hAnsi="Arial" w:cs="Arial"/>
          <w:sz w:val="24"/>
          <w:szCs w:val="24"/>
        </w:rPr>
        <w:t xml:space="preserve">, for example, </w:t>
      </w:r>
      <w:r w:rsidR="00B12B81" w:rsidRPr="45F2336C">
        <w:rPr>
          <w:rFonts w:ascii="Arial" w:hAnsi="Arial" w:cs="Arial"/>
          <w:sz w:val="24"/>
          <w:szCs w:val="24"/>
        </w:rPr>
        <w:t xml:space="preserve">attracted followers across the </w:t>
      </w:r>
      <w:r w:rsidR="00F60771" w:rsidRPr="45F2336C">
        <w:rPr>
          <w:rFonts w:ascii="Arial" w:hAnsi="Arial" w:cs="Arial"/>
          <w:sz w:val="24"/>
          <w:szCs w:val="24"/>
        </w:rPr>
        <w:t>department</w:t>
      </w:r>
      <w:r w:rsidR="00242EF2" w:rsidRPr="45F2336C">
        <w:rPr>
          <w:rFonts w:ascii="Arial" w:hAnsi="Arial" w:cs="Arial"/>
          <w:sz w:val="24"/>
          <w:szCs w:val="24"/>
        </w:rPr>
        <w:t xml:space="preserve"> and</w:t>
      </w:r>
      <w:r w:rsidR="00B12B81" w:rsidRPr="45F2336C">
        <w:rPr>
          <w:rFonts w:ascii="Arial" w:hAnsi="Arial" w:cs="Arial"/>
          <w:sz w:val="24"/>
          <w:szCs w:val="24"/>
        </w:rPr>
        <w:t xml:space="preserve"> </w:t>
      </w:r>
      <w:r w:rsidR="002A6DB9" w:rsidRPr="45F2336C">
        <w:rPr>
          <w:rFonts w:ascii="Arial" w:hAnsi="Arial" w:cs="Arial"/>
          <w:sz w:val="24"/>
          <w:szCs w:val="24"/>
        </w:rPr>
        <w:t xml:space="preserve">was highly effective </w:t>
      </w:r>
      <w:r w:rsidR="00484B13" w:rsidRPr="45F2336C">
        <w:rPr>
          <w:rFonts w:ascii="Arial" w:hAnsi="Arial" w:cs="Arial"/>
          <w:sz w:val="24"/>
          <w:szCs w:val="24"/>
        </w:rPr>
        <w:t>in</w:t>
      </w:r>
      <w:r w:rsidR="002A6DB9" w:rsidRPr="45F2336C">
        <w:rPr>
          <w:rFonts w:ascii="Arial" w:hAnsi="Arial" w:cs="Arial"/>
          <w:sz w:val="24"/>
          <w:szCs w:val="24"/>
        </w:rPr>
        <w:t xml:space="preserve"> promoting </w:t>
      </w:r>
      <w:r w:rsidR="00F60771" w:rsidRPr="45F2336C">
        <w:rPr>
          <w:rFonts w:ascii="Arial" w:hAnsi="Arial" w:cs="Arial"/>
          <w:sz w:val="24"/>
          <w:szCs w:val="24"/>
        </w:rPr>
        <w:t>events, supports, resources and opportunities</w:t>
      </w:r>
      <w:r w:rsidR="00B82EA5">
        <w:rPr>
          <w:rFonts w:ascii="Arial" w:hAnsi="Arial" w:cs="Arial"/>
          <w:sz w:val="24"/>
          <w:szCs w:val="24"/>
        </w:rPr>
        <w:t xml:space="preserve">. For example, </w:t>
      </w:r>
      <w:r w:rsidR="00B82EA5">
        <w:rPr>
          <w:rFonts w:ascii="Arial" w:hAnsi="Arial" w:cs="Arial"/>
          <w:sz w:val="24"/>
          <w:szCs w:val="24"/>
        </w:rPr>
        <w:lastRenderedPageBreak/>
        <w:t xml:space="preserve">during the semester the account attracted 552 followers, reached 1684 accounts and achieved 52,049 views. </w:t>
      </w:r>
      <w:r w:rsidR="00FA7472" w:rsidRPr="45F2336C">
        <w:rPr>
          <w:rFonts w:ascii="Arial" w:hAnsi="Arial" w:cs="Arial"/>
          <w:sz w:val="24"/>
          <w:szCs w:val="24"/>
        </w:rPr>
        <w:t>The e</w:t>
      </w:r>
      <w:r w:rsidR="00216544" w:rsidRPr="45F2336C">
        <w:rPr>
          <w:rFonts w:ascii="Arial" w:hAnsi="Arial" w:cs="Arial"/>
          <w:sz w:val="24"/>
          <w:szCs w:val="24"/>
        </w:rPr>
        <w:t xml:space="preserve">ngagement team </w:t>
      </w:r>
      <w:r w:rsidR="00F60771" w:rsidRPr="45F2336C">
        <w:rPr>
          <w:rFonts w:ascii="Arial" w:hAnsi="Arial" w:cs="Arial"/>
          <w:sz w:val="24"/>
          <w:szCs w:val="24"/>
        </w:rPr>
        <w:t xml:space="preserve">interreacted with students across the department to ensure events and speakers were relevant. They </w:t>
      </w:r>
      <w:r w:rsidR="00704639" w:rsidRPr="45F2336C">
        <w:rPr>
          <w:rFonts w:ascii="Arial" w:hAnsi="Arial" w:cs="Arial"/>
          <w:sz w:val="24"/>
          <w:szCs w:val="24"/>
        </w:rPr>
        <w:t>implement</w:t>
      </w:r>
      <w:r w:rsidR="00F60771" w:rsidRPr="45F2336C">
        <w:rPr>
          <w:rFonts w:ascii="Arial" w:hAnsi="Arial" w:cs="Arial"/>
          <w:sz w:val="24"/>
          <w:szCs w:val="24"/>
        </w:rPr>
        <w:t>ed</w:t>
      </w:r>
      <w:r w:rsidR="00B21EC3" w:rsidRPr="45F2336C">
        <w:rPr>
          <w:rFonts w:ascii="Arial" w:hAnsi="Arial" w:cs="Arial"/>
          <w:sz w:val="24"/>
          <w:szCs w:val="24"/>
        </w:rPr>
        <w:t xml:space="preserve"> innovative ways </w:t>
      </w:r>
      <w:r w:rsidR="00CC629F" w:rsidRPr="45F2336C">
        <w:rPr>
          <w:rFonts w:ascii="Arial" w:hAnsi="Arial" w:cs="Arial"/>
          <w:sz w:val="24"/>
          <w:szCs w:val="24"/>
        </w:rPr>
        <w:t xml:space="preserve">to ensure </w:t>
      </w:r>
      <w:r w:rsidR="00242EF2" w:rsidRPr="45F2336C">
        <w:rPr>
          <w:rFonts w:ascii="Arial" w:hAnsi="Arial" w:cs="Arial"/>
          <w:sz w:val="24"/>
          <w:szCs w:val="24"/>
        </w:rPr>
        <w:t xml:space="preserve">strong student </w:t>
      </w:r>
      <w:r w:rsidR="00CC629F" w:rsidRPr="45F2336C">
        <w:rPr>
          <w:rFonts w:ascii="Arial" w:hAnsi="Arial" w:cs="Arial"/>
          <w:sz w:val="24"/>
          <w:szCs w:val="24"/>
        </w:rPr>
        <w:t>attendance</w:t>
      </w:r>
      <w:r w:rsidR="008A0483">
        <w:rPr>
          <w:rFonts w:ascii="Arial" w:hAnsi="Arial" w:cs="Arial"/>
          <w:sz w:val="24"/>
          <w:szCs w:val="24"/>
        </w:rPr>
        <w:t xml:space="preserve"> levels</w:t>
      </w:r>
      <w:r w:rsidR="00CC629F" w:rsidRPr="45F2336C">
        <w:rPr>
          <w:rFonts w:ascii="Arial" w:hAnsi="Arial" w:cs="Arial"/>
          <w:sz w:val="24"/>
          <w:szCs w:val="24"/>
        </w:rPr>
        <w:t xml:space="preserve"> at employer sessions</w:t>
      </w:r>
      <w:r w:rsidR="00C47A61">
        <w:rPr>
          <w:rFonts w:ascii="Arial" w:hAnsi="Arial" w:cs="Arial"/>
          <w:sz w:val="24"/>
          <w:szCs w:val="24"/>
        </w:rPr>
        <w:t xml:space="preserve">, </w:t>
      </w:r>
      <w:r w:rsidR="007B1A36" w:rsidRPr="45F2336C">
        <w:rPr>
          <w:rFonts w:ascii="Arial" w:hAnsi="Arial" w:cs="Arial"/>
          <w:sz w:val="24"/>
          <w:szCs w:val="24"/>
        </w:rPr>
        <w:t>for example, entry into a prize raffle</w:t>
      </w:r>
      <w:r w:rsidR="00CC629F" w:rsidRPr="45F2336C">
        <w:rPr>
          <w:rFonts w:ascii="Arial" w:hAnsi="Arial" w:cs="Arial"/>
          <w:sz w:val="24"/>
          <w:szCs w:val="24"/>
        </w:rPr>
        <w:t>.</w:t>
      </w:r>
      <w:r w:rsidR="00D06BDE" w:rsidRPr="45F2336C">
        <w:rPr>
          <w:rFonts w:ascii="Arial" w:hAnsi="Arial" w:cs="Arial"/>
          <w:sz w:val="24"/>
          <w:szCs w:val="24"/>
        </w:rPr>
        <w:t xml:space="preserve"> </w:t>
      </w:r>
      <w:r w:rsidR="00F60771" w:rsidRPr="45F2336C">
        <w:rPr>
          <w:rFonts w:ascii="Arial" w:hAnsi="Arial" w:cs="Arial"/>
          <w:sz w:val="24"/>
          <w:szCs w:val="24"/>
        </w:rPr>
        <w:t>Members of the engagement team encouraged</w:t>
      </w:r>
      <w:r w:rsidR="000B07E2" w:rsidRPr="45F2336C">
        <w:rPr>
          <w:rFonts w:ascii="Arial" w:hAnsi="Arial" w:cs="Arial"/>
          <w:sz w:val="24"/>
          <w:szCs w:val="24"/>
        </w:rPr>
        <w:t xml:space="preserve"> peers to </w:t>
      </w:r>
      <w:r w:rsidR="00F60771" w:rsidRPr="45F2336C">
        <w:rPr>
          <w:rFonts w:ascii="Arial" w:hAnsi="Arial" w:cs="Arial"/>
          <w:sz w:val="24"/>
          <w:szCs w:val="24"/>
        </w:rPr>
        <w:t xml:space="preserve">take advantage of supports provided by the </w:t>
      </w:r>
      <w:r w:rsidR="000B07E2" w:rsidRPr="45F2336C">
        <w:rPr>
          <w:rFonts w:ascii="Arial" w:hAnsi="Arial" w:cs="Arial"/>
          <w:sz w:val="24"/>
          <w:szCs w:val="24"/>
        </w:rPr>
        <w:t>central careers service</w:t>
      </w:r>
      <w:r w:rsidR="00F60771" w:rsidRPr="45F2336C">
        <w:rPr>
          <w:rFonts w:ascii="Arial" w:hAnsi="Arial" w:cs="Arial"/>
          <w:sz w:val="24"/>
          <w:szCs w:val="24"/>
        </w:rPr>
        <w:t xml:space="preserve">, for example, </w:t>
      </w:r>
      <w:r w:rsidR="00E0396A">
        <w:rPr>
          <w:rFonts w:ascii="Arial" w:hAnsi="Arial" w:cs="Arial"/>
          <w:sz w:val="24"/>
          <w:szCs w:val="24"/>
        </w:rPr>
        <w:t xml:space="preserve">by </w:t>
      </w:r>
      <w:r w:rsidR="007B1A36" w:rsidRPr="45F2336C">
        <w:rPr>
          <w:rFonts w:ascii="Arial" w:hAnsi="Arial" w:cs="Arial"/>
          <w:sz w:val="24"/>
          <w:szCs w:val="24"/>
        </w:rPr>
        <w:t>produc</w:t>
      </w:r>
      <w:r w:rsidR="00F60771" w:rsidRPr="45F2336C">
        <w:rPr>
          <w:rFonts w:ascii="Arial" w:hAnsi="Arial" w:cs="Arial"/>
          <w:sz w:val="24"/>
          <w:szCs w:val="24"/>
        </w:rPr>
        <w:t xml:space="preserve">ing </w:t>
      </w:r>
      <w:r w:rsidR="000B07E2" w:rsidRPr="45F2336C">
        <w:rPr>
          <w:rFonts w:ascii="Arial" w:hAnsi="Arial" w:cs="Arial"/>
          <w:sz w:val="24"/>
          <w:szCs w:val="24"/>
        </w:rPr>
        <w:t xml:space="preserve">short video-based </w:t>
      </w:r>
      <w:r w:rsidR="001656F8" w:rsidRPr="45F2336C">
        <w:rPr>
          <w:rFonts w:ascii="Arial" w:hAnsi="Arial" w:cs="Arial"/>
          <w:sz w:val="24"/>
          <w:szCs w:val="24"/>
        </w:rPr>
        <w:t xml:space="preserve">promotional </w:t>
      </w:r>
      <w:r w:rsidR="000B07E2" w:rsidRPr="45F2336C">
        <w:rPr>
          <w:rFonts w:ascii="Arial" w:hAnsi="Arial" w:cs="Arial"/>
          <w:sz w:val="24"/>
          <w:szCs w:val="24"/>
        </w:rPr>
        <w:t>content</w:t>
      </w:r>
      <w:r w:rsidR="00E71749" w:rsidRPr="45F2336C">
        <w:rPr>
          <w:rFonts w:ascii="Arial" w:hAnsi="Arial" w:cs="Arial"/>
          <w:sz w:val="24"/>
          <w:szCs w:val="24"/>
        </w:rPr>
        <w:t xml:space="preserve"> posted </w:t>
      </w:r>
      <w:r w:rsidR="000B07E2" w:rsidRPr="45F2336C">
        <w:rPr>
          <w:rFonts w:ascii="Arial" w:hAnsi="Arial" w:cs="Arial"/>
          <w:sz w:val="24"/>
          <w:szCs w:val="24"/>
        </w:rPr>
        <w:t>via Instagram</w:t>
      </w:r>
      <w:r w:rsidR="00F60771" w:rsidRPr="45F2336C">
        <w:rPr>
          <w:rFonts w:ascii="Arial" w:hAnsi="Arial" w:cs="Arial"/>
          <w:sz w:val="24"/>
          <w:szCs w:val="24"/>
        </w:rPr>
        <w:t>. This</w:t>
      </w:r>
      <w:r w:rsidR="000B07E2" w:rsidRPr="45F2336C">
        <w:rPr>
          <w:rFonts w:ascii="Arial" w:hAnsi="Arial" w:cs="Arial"/>
          <w:sz w:val="24"/>
          <w:szCs w:val="24"/>
        </w:rPr>
        <w:t xml:space="preserve"> </w:t>
      </w:r>
      <w:r w:rsidR="00E0396A">
        <w:rPr>
          <w:rFonts w:ascii="Arial" w:hAnsi="Arial" w:cs="Arial"/>
          <w:sz w:val="24"/>
          <w:szCs w:val="24"/>
        </w:rPr>
        <w:t>saw</w:t>
      </w:r>
      <w:r w:rsidR="000B07E2" w:rsidRPr="45F2336C">
        <w:rPr>
          <w:rFonts w:ascii="Arial" w:hAnsi="Arial" w:cs="Arial"/>
          <w:sz w:val="24"/>
          <w:szCs w:val="24"/>
        </w:rPr>
        <w:t xml:space="preserve"> a </w:t>
      </w:r>
      <w:r w:rsidR="006609B3">
        <w:rPr>
          <w:rFonts w:ascii="Arial" w:hAnsi="Arial" w:cs="Arial"/>
          <w:sz w:val="24"/>
          <w:szCs w:val="24"/>
        </w:rPr>
        <w:t>28</w:t>
      </w:r>
      <w:r w:rsidR="009A0121">
        <w:rPr>
          <w:rFonts w:ascii="Arial" w:hAnsi="Arial" w:cs="Arial"/>
          <w:sz w:val="24"/>
          <w:szCs w:val="24"/>
        </w:rPr>
        <w:t xml:space="preserve">% </w:t>
      </w:r>
      <w:r w:rsidR="000B07E2" w:rsidRPr="45F2336C">
        <w:rPr>
          <w:rFonts w:ascii="Arial" w:hAnsi="Arial" w:cs="Arial"/>
          <w:sz w:val="24"/>
          <w:szCs w:val="24"/>
        </w:rPr>
        <w:t xml:space="preserve">increase in students from the wider </w:t>
      </w:r>
      <w:r w:rsidR="00F60771" w:rsidRPr="45F2336C">
        <w:rPr>
          <w:rFonts w:ascii="Arial" w:hAnsi="Arial" w:cs="Arial"/>
          <w:sz w:val="24"/>
          <w:szCs w:val="24"/>
        </w:rPr>
        <w:t>department</w:t>
      </w:r>
      <w:r w:rsidR="00B12B81" w:rsidRPr="45F2336C">
        <w:rPr>
          <w:rFonts w:ascii="Arial" w:hAnsi="Arial" w:cs="Arial"/>
          <w:sz w:val="24"/>
          <w:szCs w:val="24"/>
        </w:rPr>
        <w:t xml:space="preserve"> </w:t>
      </w:r>
      <w:r w:rsidR="000B07E2" w:rsidRPr="45F2336C">
        <w:rPr>
          <w:rFonts w:ascii="Arial" w:hAnsi="Arial" w:cs="Arial"/>
          <w:sz w:val="24"/>
          <w:szCs w:val="24"/>
        </w:rPr>
        <w:t>asking for individual career guidance and support, plus increas</w:t>
      </w:r>
      <w:r w:rsidR="00E0396A">
        <w:rPr>
          <w:rFonts w:ascii="Arial" w:hAnsi="Arial" w:cs="Arial"/>
          <w:sz w:val="24"/>
          <w:szCs w:val="24"/>
        </w:rPr>
        <w:t>ed</w:t>
      </w:r>
      <w:r w:rsidR="000B07E2" w:rsidRPr="45F2336C">
        <w:rPr>
          <w:rFonts w:ascii="Arial" w:hAnsi="Arial" w:cs="Arial"/>
          <w:sz w:val="24"/>
          <w:szCs w:val="24"/>
        </w:rPr>
        <w:t xml:space="preserve"> attendance at </w:t>
      </w:r>
      <w:r w:rsidR="00D06BDE" w:rsidRPr="45F2336C">
        <w:rPr>
          <w:rFonts w:ascii="Arial" w:hAnsi="Arial" w:cs="Arial"/>
          <w:sz w:val="24"/>
          <w:szCs w:val="24"/>
        </w:rPr>
        <w:t xml:space="preserve">both departmental and </w:t>
      </w:r>
      <w:r w:rsidR="000B07E2" w:rsidRPr="45F2336C">
        <w:rPr>
          <w:rFonts w:ascii="Arial" w:hAnsi="Arial" w:cs="Arial"/>
          <w:sz w:val="24"/>
          <w:szCs w:val="24"/>
        </w:rPr>
        <w:t xml:space="preserve">central </w:t>
      </w:r>
      <w:r w:rsidR="00D06BDE" w:rsidRPr="45F2336C">
        <w:rPr>
          <w:rFonts w:ascii="Arial" w:hAnsi="Arial" w:cs="Arial"/>
          <w:sz w:val="24"/>
          <w:szCs w:val="24"/>
        </w:rPr>
        <w:t xml:space="preserve">career </w:t>
      </w:r>
      <w:r w:rsidR="000B07E2" w:rsidRPr="45F2336C">
        <w:rPr>
          <w:rFonts w:ascii="Arial" w:hAnsi="Arial" w:cs="Arial"/>
          <w:sz w:val="24"/>
          <w:szCs w:val="24"/>
        </w:rPr>
        <w:t>events.</w:t>
      </w:r>
    </w:p>
    <w:p w14:paraId="461A8587" w14:textId="50EFE2CE" w:rsidR="00EB537F" w:rsidRDefault="008A0483" w:rsidP="00477E7E">
      <w:pPr>
        <w:spacing w:line="360" w:lineRule="auto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with</w:t>
      </w:r>
      <w:r w:rsidR="003074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module </w:t>
      </w:r>
      <w:r w:rsidR="00307480">
        <w:rPr>
          <w:rFonts w:ascii="Arial" w:hAnsi="Arial" w:cs="Arial"/>
          <w:sz w:val="24"/>
          <w:szCs w:val="24"/>
        </w:rPr>
        <w:t xml:space="preserve">homework tasks, the ambassador role </w:t>
      </w:r>
      <w:r w:rsidR="000C5BC3">
        <w:rPr>
          <w:rFonts w:ascii="Arial" w:hAnsi="Arial" w:cs="Arial"/>
          <w:sz w:val="24"/>
          <w:szCs w:val="24"/>
        </w:rPr>
        <w:t>was designed</w:t>
      </w:r>
      <w:r w:rsidR="00B12B81">
        <w:rPr>
          <w:rFonts w:ascii="Arial" w:hAnsi="Arial" w:cs="Arial"/>
          <w:sz w:val="24"/>
          <w:szCs w:val="24"/>
        </w:rPr>
        <w:t xml:space="preserve"> </w:t>
      </w:r>
      <w:r w:rsidR="00F60771">
        <w:rPr>
          <w:rFonts w:ascii="Arial" w:hAnsi="Arial" w:cs="Arial"/>
          <w:sz w:val="24"/>
          <w:szCs w:val="24"/>
        </w:rPr>
        <w:t xml:space="preserve">to </w:t>
      </w:r>
      <w:r w:rsidR="00B12B81">
        <w:rPr>
          <w:rFonts w:ascii="Arial" w:hAnsi="Arial" w:cs="Arial"/>
          <w:sz w:val="24"/>
          <w:szCs w:val="24"/>
        </w:rPr>
        <w:t>model professional environments and</w:t>
      </w:r>
      <w:r w:rsidR="00307480">
        <w:rPr>
          <w:rFonts w:ascii="Arial" w:hAnsi="Arial" w:cs="Arial"/>
          <w:sz w:val="24"/>
          <w:szCs w:val="24"/>
        </w:rPr>
        <w:t xml:space="preserve"> </w:t>
      </w:r>
      <w:r w:rsidR="00D60D88">
        <w:rPr>
          <w:rFonts w:ascii="Arial" w:hAnsi="Arial" w:cs="Arial"/>
          <w:sz w:val="24"/>
          <w:szCs w:val="24"/>
        </w:rPr>
        <w:t>foster</w:t>
      </w:r>
      <w:r w:rsidR="000C5BC3">
        <w:rPr>
          <w:rFonts w:ascii="Arial" w:hAnsi="Arial" w:cs="Arial"/>
          <w:sz w:val="24"/>
          <w:szCs w:val="24"/>
        </w:rPr>
        <w:t xml:space="preserve"> </w:t>
      </w:r>
      <w:r w:rsidR="00D60D88">
        <w:rPr>
          <w:rFonts w:ascii="Arial" w:hAnsi="Arial" w:cs="Arial"/>
          <w:sz w:val="24"/>
          <w:szCs w:val="24"/>
        </w:rPr>
        <w:t xml:space="preserve">effective </w:t>
      </w:r>
      <w:r w:rsidR="00307480">
        <w:rPr>
          <w:rFonts w:ascii="Arial" w:hAnsi="Arial" w:cs="Arial"/>
          <w:sz w:val="24"/>
          <w:szCs w:val="24"/>
        </w:rPr>
        <w:t xml:space="preserve">peer </w:t>
      </w:r>
      <w:r w:rsidR="00B23C56">
        <w:rPr>
          <w:rFonts w:ascii="Arial" w:hAnsi="Arial" w:cs="Arial"/>
          <w:sz w:val="24"/>
          <w:szCs w:val="24"/>
        </w:rPr>
        <w:t>teamworking</w:t>
      </w:r>
      <w:r w:rsidR="00B12B81">
        <w:rPr>
          <w:rFonts w:ascii="Arial" w:hAnsi="Arial" w:cs="Arial"/>
          <w:sz w:val="24"/>
          <w:szCs w:val="24"/>
        </w:rPr>
        <w:t xml:space="preserve">. While many </w:t>
      </w:r>
      <w:r>
        <w:rPr>
          <w:rFonts w:ascii="Arial" w:hAnsi="Arial" w:cs="Arial"/>
          <w:sz w:val="24"/>
          <w:szCs w:val="24"/>
        </w:rPr>
        <w:t xml:space="preserve">students </w:t>
      </w:r>
      <w:r w:rsidR="00B12B81">
        <w:rPr>
          <w:rFonts w:ascii="Arial" w:hAnsi="Arial" w:cs="Arial"/>
          <w:sz w:val="24"/>
          <w:szCs w:val="24"/>
        </w:rPr>
        <w:t xml:space="preserve">were eager to share and discuss their work, others were motivated by not letting their team down </w:t>
      </w:r>
      <w:r w:rsidR="002B6DD0">
        <w:rPr>
          <w:rFonts w:ascii="Arial" w:hAnsi="Arial" w:cs="Arial"/>
          <w:sz w:val="24"/>
          <w:szCs w:val="24"/>
        </w:rPr>
        <w:t>as</w:t>
      </w:r>
      <w:r w:rsidR="00675541">
        <w:rPr>
          <w:rFonts w:ascii="Arial" w:hAnsi="Arial" w:cs="Arial"/>
          <w:sz w:val="24"/>
          <w:szCs w:val="24"/>
        </w:rPr>
        <w:t xml:space="preserve"> </w:t>
      </w:r>
      <w:r w:rsidR="00B12B81">
        <w:rPr>
          <w:rFonts w:ascii="Arial" w:hAnsi="Arial" w:cs="Arial"/>
          <w:sz w:val="24"/>
          <w:szCs w:val="24"/>
        </w:rPr>
        <w:t xml:space="preserve">this would be obvious to all during the weekly </w:t>
      </w:r>
      <w:r w:rsidR="00477E7E">
        <w:rPr>
          <w:rFonts w:ascii="Arial" w:hAnsi="Arial" w:cs="Arial"/>
          <w:sz w:val="24"/>
          <w:szCs w:val="24"/>
        </w:rPr>
        <w:t>meetings</w:t>
      </w:r>
      <w:r w:rsidR="00B12B81">
        <w:rPr>
          <w:rFonts w:ascii="Arial" w:hAnsi="Arial" w:cs="Arial"/>
          <w:sz w:val="24"/>
          <w:szCs w:val="24"/>
        </w:rPr>
        <w:t xml:space="preserve">. </w:t>
      </w:r>
      <w:r w:rsidR="00307480" w:rsidRPr="45F2336C">
        <w:rPr>
          <w:rFonts w:ascii="Arial" w:hAnsi="Arial" w:cs="Arial"/>
          <w:sz w:val="24"/>
          <w:szCs w:val="24"/>
        </w:rPr>
        <w:t xml:space="preserve">A key benefit </w:t>
      </w:r>
      <w:r w:rsidR="00F60771" w:rsidRPr="45F2336C">
        <w:rPr>
          <w:rFonts w:ascii="Arial" w:hAnsi="Arial" w:cs="Arial"/>
          <w:sz w:val="24"/>
          <w:szCs w:val="24"/>
        </w:rPr>
        <w:t xml:space="preserve">to </w:t>
      </w:r>
      <w:r w:rsidR="00307480" w:rsidRPr="45F2336C">
        <w:rPr>
          <w:rFonts w:ascii="Arial" w:hAnsi="Arial" w:cs="Arial"/>
          <w:sz w:val="24"/>
          <w:szCs w:val="24"/>
        </w:rPr>
        <w:t xml:space="preserve">students of working within </w:t>
      </w:r>
      <w:r w:rsidR="00242EF2" w:rsidRPr="45F2336C">
        <w:rPr>
          <w:rFonts w:ascii="Arial" w:hAnsi="Arial" w:cs="Arial"/>
          <w:sz w:val="24"/>
          <w:szCs w:val="24"/>
        </w:rPr>
        <w:t>the</w:t>
      </w:r>
      <w:r w:rsidR="006B4788">
        <w:rPr>
          <w:rFonts w:ascii="Arial" w:hAnsi="Arial" w:cs="Arial"/>
          <w:sz w:val="24"/>
          <w:szCs w:val="24"/>
        </w:rPr>
        <w:t>ir</w:t>
      </w:r>
      <w:r w:rsidR="00242EF2" w:rsidRPr="45F2336C">
        <w:rPr>
          <w:rFonts w:ascii="Arial" w:hAnsi="Arial" w:cs="Arial"/>
          <w:sz w:val="24"/>
          <w:szCs w:val="24"/>
        </w:rPr>
        <w:t xml:space="preserve"> </w:t>
      </w:r>
      <w:r w:rsidR="00307480" w:rsidRPr="45F2336C">
        <w:rPr>
          <w:rFonts w:ascii="Arial" w:hAnsi="Arial" w:cs="Arial"/>
          <w:sz w:val="24"/>
          <w:szCs w:val="24"/>
        </w:rPr>
        <w:t xml:space="preserve">sub-teams was </w:t>
      </w:r>
      <w:r w:rsidR="00B96EFD">
        <w:rPr>
          <w:rFonts w:ascii="Arial" w:hAnsi="Arial" w:cs="Arial"/>
          <w:sz w:val="24"/>
          <w:szCs w:val="24"/>
        </w:rPr>
        <w:t>developing</w:t>
      </w:r>
      <w:r w:rsidR="00307480" w:rsidRPr="45F2336C">
        <w:rPr>
          <w:rFonts w:ascii="Arial" w:hAnsi="Arial" w:cs="Arial"/>
          <w:sz w:val="24"/>
          <w:szCs w:val="24"/>
        </w:rPr>
        <w:t xml:space="preserve"> effective teamwork skills. To facilitate the ambassador role and effective communication between the </w:t>
      </w:r>
      <w:r w:rsidR="00B12B81" w:rsidRPr="45F2336C">
        <w:rPr>
          <w:rFonts w:ascii="Arial" w:hAnsi="Arial" w:cs="Arial"/>
          <w:sz w:val="24"/>
          <w:szCs w:val="24"/>
        </w:rPr>
        <w:t xml:space="preserve">six </w:t>
      </w:r>
      <w:r w:rsidR="00307480" w:rsidRPr="45F2336C">
        <w:rPr>
          <w:rFonts w:ascii="Arial" w:hAnsi="Arial" w:cs="Arial"/>
          <w:sz w:val="24"/>
          <w:szCs w:val="24"/>
        </w:rPr>
        <w:t xml:space="preserve">sub-teams, </w:t>
      </w:r>
      <w:r w:rsidR="002B6DD0">
        <w:rPr>
          <w:rFonts w:ascii="Arial" w:hAnsi="Arial" w:cs="Arial"/>
          <w:sz w:val="24"/>
          <w:szCs w:val="24"/>
        </w:rPr>
        <w:t xml:space="preserve">we had </w:t>
      </w:r>
      <w:r w:rsidR="00B96EFD">
        <w:rPr>
          <w:rFonts w:ascii="Arial" w:hAnsi="Arial" w:cs="Arial"/>
          <w:sz w:val="24"/>
          <w:szCs w:val="24"/>
        </w:rPr>
        <w:t xml:space="preserve">students </w:t>
      </w:r>
      <w:r w:rsidR="00477E7E">
        <w:rPr>
          <w:rFonts w:ascii="Arial" w:hAnsi="Arial" w:cs="Arial"/>
          <w:sz w:val="24"/>
          <w:szCs w:val="24"/>
        </w:rPr>
        <w:t>use</w:t>
      </w:r>
      <w:r w:rsidR="00B96EFD">
        <w:rPr>
          <w:rFonts w:ascii="Arial" w:hAnsi="Arial" w:cs="Arial"/>
          <w:sz w:val="24"/>
          <w:szCs w:val="24"/>
        </w:rPr>
        <w:t xml:space="preserve"> the</w:t>
      </w:r>
      <w:r w:rsidR="00D46A96" w:rsidRPr="45F2336C">
        <w:rPr>
          <w:rFonts w:ascii="Arial" w:hAnsi="Arial" w:cs="Arial"/>
          <w:sz w:val="24"/>
          <w:szCs w:val="24"/>
        </w:rPr>
        <w:t xml:space="preserve"> messaging platform Slack</w:t>
      </w:r>
      <w:r w:rsidR="006B4788">
        <w:rPr>
          <w:rFonts w:ascii="Arial" w:hAnsi="Arial" w:cs="Arial"/>
          <w:sz w:val="24"/>
          <w:szCs w:val="24"/>
        </w:rPr>
        <w:t>,</w:t>
      </w:r>
      <w:r w:rsidR="00D46A96" w:rsidRPr="45F2336C">
        <w:rPr>
          <w:rFonts w:ascii="Arial" w:hAnsi="Arial" w:cs="Arial"/>
          <w:sz w:val="24"/>
          <w:szCs w:val="24"/>
        </w:rPr>
        <w:t xml:space="preserve"> commonly used in</w:t>
      </w:r>
      <w:r w:rsidR="00D47949" w:rsidRPr="45F2336C">
        <w:rPr>
          <w:rFonts w:ascii="Arial" w:hAnsi="Arial" w:cs="Arial"/>
          <w:sz w:val="24"/>
          <w:szCs w:val="24"/>
        </w:rPr>
        <w:t xml:space="preserve"> </w:t>
      </w:r>
      <w:r w:rsidR="00B96EFD">
        <w:rPr>
          <w:rFonts w:ascii="Arial" w:hAnsi="Arial" w:cs="Arial"/>
          <w:sz w:val="24"/>
          <w:szCs w:val="24"/>
        </w:rPr>
        <w:t xml:space="preserve">external </w:t>
      </w:r>
      <w:r w:rsidR="00D46A96" w:rsidRPr="45F2336C">
        <w:rPr>
          <w:rFonts w:ascii="Arial" w:hAnsi="Arial" w:cs="Arial"/>
          <w:sz w:val="24"/>
          <w:szCs w:val="24"/>
        </w:rPr>
        <w:t xml:space="preserve">organisations. </w:t>
      </w:r>
      <w:r w:rsidR="00307480" w:rsidRPr="45F2336C">
        <w:rPr>
          <w:rFonts w:ascii="Arial" w:hAnsi="Arial" w:cs="Arial"/>
          <w:sz w:val="24"/>
          <w:szCs w:val="24"/>
        </w:rPr>
        <w:t xml:space="preserve">Utilising </w:t>
      </w:r>
      <w:r w:rsidR="00D46A96" w:rsidRPr="45F2336C">
        <w:rPr>
          <w:rFonts w:ascii="Arial" w:hAnsi="Arial" w:cs="Arial"/>
          <w:sz w:val="24"/>
          <w:szCs w:val="24"/>
        </w:rPr>
        <w:t>Slack</w:t>
      </w:r>
      <w:r w:rsidR="00307480" w:rsidRPr="45F2336C">
        <w:rPr>
          <w:rFonts w:ascii="Arial" w:hAnsi="Arial" w:cs="Arial"/>
          <w:sz w:val="24"/>
          <w:szCs w:val="24"/>
        </w:rPr>
        <w:t xml:space="preserve"> assisted modelling real world</w:t>
      </w:r>
      <w:r w:rsidR="00B41AAE" w:rsidRPr="45F2336C">
        <w:rPr>
          <w:rFonts w:ascii="Arial" w:hAnsi="Arial" w:cs="Arial"/>
          <w:sz w:val="24"/>
          <w:szCs w:val="24"/>
        </w:rPr>
        <w:t>, real-time</w:t>
      </w:r>
      <w:r w:rsidR="00265D91" w:rsidRPr="45F2336C">
        <w:rPr>
          <w:rFonts w:ascii="Arial" w:hAnsi="Arial" w:cs="Arial"/>
          <w:sz w:val="24"/>
          <w:szCs w:val="24"/>
        </w:rPr>
        <w:t xml:space="preserve"> work</w:t>
      </w:r>
      <w:r w:rsidR="00307480" w:rsidRPr="45F2336C">
        <w:rPr>
          <w:rFonts w:ascii="Arial" w:hAnsi="Arial" w:cs="Arial"/>
          <w:sz w:val="24"/>
          <w:szCs w:val="24"/>
        </w:rPr>
        <w:t xml:space="preserve"> interactions. Teamwork skills are crucial within the world of work, yet </w:t>
      </w:r>
      <w:r w:rsidR="1DD3950E" w:rsidRPr="45F2336C">
        <w:rPr>
          <w:rFonts w:ascii="Arial" w:hAnsi="Arial" w:cs="Arial"/>
          <w:sz w:val="24"/>
          <w:szCs w:val="24"/>
        </w:rPr>
        <w:t xml:space="preserve">personal </w:t>
      </w:r>
      <w:r w:rsidR="00307480" w:rsidRPr="45F2336C">
        <w:rPr>
          <w:rFonts w:ascii="Arial" w:hAnsi="Arial" w:cs="Arial"/>
          <w:sz w:val="24"/>
          <w:szCs w:val="24"/>
        </w:rPr>
        <w:t xml:space="preserve">experience has repeatedly shown </w:t>
      </w:r>
      <w:r w:rsidR="006F7428" w:rsidRPr="45F2336C">
        <w:rPr>
          <w:rFonts w:ascii="Arial" w:hAnsi="Arial" w:cs="Arial"/>
          <w:sz w:val="24"/>
          <w:szCs w:val="24"/>
        </w:rPr>
        <w:t xml:space="preserve">us </w:t>
      </w:r>
      <w:r w:rsidR="00307480" w:rsidRPr="45F2336C">
        <w:rPr>
          <w:rFonts w:ascii="Arial" w:hAnsi="Arial" w:cs="Arial"/>
          <w:sz w:val="24"/>
          <w:szCs w:val="24"/>
        </w:rPr>
        <w:t xml:space="preserve">that students generally do not like group assessment. This is driven by mainly instrumental concerns, </w:t>
      </w:r>
      <w:r w:rsidR="002E3C09" w:rsidRPr="45F2336C">
        <w:rPr>
          <w:rFonts w:ascii="Arial" w:hAnsi="Arial" w:cs="Arial"/>
          <w:sz w:val="24"/>
          <w:szCs w:val="24"/>
        </w:rPr>
        <w:t>that</w:t>
      </w:r>
      <w:r w:rsidR="00307480" w:rsidRPr="45F2336C">
        <w:rPr>
          <w:rFonts w:ascii="Arial" w:hAnsi="Arial" w:cs="Arial"/>
          <w:sz w:val="24"/>
          <w:szCs w:val="24"/>
        </w:rPr>
        <w:t xml:space="preserve"> their individual awarded mark will be adversely affected by the contribution (or lack </w:t>
      </w:r>
      <w:r>
        <w:rPr>
          <w:rFonts w:ascii="Arial" w:hAnsi="Arial" w:cs="Arial"/>
          <w:sz w:val="24"/>
          <w:szCs w:val="24"/>
        </w:rPr>
        <w:t>thereo</w:t>
      </w:r>
      <w:r w:rsidRPr="45F2336C">
        <w:rPr>
          <w:rFonts w:ascii="Arial" w:hAnsi="Arial" w:cs="Arial"/>
          <w:sz w:val="24"/>
          <w:szCs w:val="24"/>
        </w:rPr>
        <w:t>f</w:t>
      </w:r>
      <w:r w:rsidR="00307480" w:rsidRPr="45F2336C">
        <w:rPr>
          <w:rFonts w:ascii="Arial" w:hAnsi="Arial" w:cs="Arial"/>
          <w:sz w:val="24"/>
          <w:szCs w:val="24"/>
        </w:rPr>
        <w:t xml:space="preserve">) </w:t>
      </w:r>
      <w:r w:rsidR="002B6DD0">
        <w:rPr>
          <w:rFonts w:ascii="Arial" w:hAnsi="Arial" w:cs="Arial"/>
          <w:sz w:val="24"/>
          <w:szCs w:val="24"/>
        </w:rPr>
        <w:t xml:space="preserve">of </w:t>
      </w:r>
      <w:r w:rsidR="00307480" w:rsidRPr="45F2336C">
        <w:rPr>
          <w:rFonts w:ascii="Arial" w:hAnsi="Arial" w:cs="Arial"/>
          <w:sz w:val="24"/>
          <w:szCs w:val="24"/>
        </w:rPr>
        <w:t xml:space="preserve">their fellow team members. </w:t>
      </w:r>
      <w:r w:rsidR="00F60771" w:rsidRPr="45F2336C">
        <w:rPr>
          <w:rFonts w:ascii="Arial" w:hAnsi="Arial" w:cs="Arial"/>
          <w:sz w:val="24"/>
          <w:szCs w:val="24"/>
        </w:rPr>
        <w:t xml:space="preserve">To address these </w:t>
      </w:r>
      <w:r w:rsidR="00067B3D" w:rsidRPr="45F2336C">
        <w:rPr>
          <w:rFonts w:ascii="Arial" w:hAnsi="Arial" w:cs="Arial"/>
          <w:sz w:val="24"/>
          <w:szCs w:val="24"/>
        </w:rPr>
        <w:t>concerns,</w:t>
      </w:r>
      <w:r w:rsidR="00F60771" w:rsidRPr="45F2336C">
        <w:rPr>
          <w:rFonts w:ascii="Arial" w:hAnsi="Arial" w:cs="Arial"/>
          <w:sz w:val="24"/>
          <w:szCs w:val="24"/>
        </w:rPr>
        <w:t xml:space="preserve"> we asked each team to produce a joint final report </w:t>
      </w:r>
      <w:r w:rsidR="00067B3D" w:rsidRPr="45F2336C">
        <w:rPr>
          <w:rFonts w:ascii="Arial" w:hAnsi="Arial" w:cs="Arial"/>
          <w:sz w:val="24"/>
          <w:szCs w:val="24"/>
        </w:rPr>
        <w:t>outlining</w:t>
      </w:r>
      <w:r w:rsidR="00F60771" w:rsidRPr="45F233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both</w:t>
      </w:r>
      <w:r w:rsidR="00F60771" w:rsidRPr="45F2336C">
        <w:rPr>
          <w:rFonts w:ascii="Arial" w:hAnsi="Arial" w:cs="Arial"/>
          <w:sz w:val="24"/>
          <w:szCs w:val="24"/>
        </w:rPr>
        <w:t xml:space="preserve"> what they had collectively achieved but also summaris</w:t>
      </w:r>
      <w:r w:rsidR="00067B3D" w:rsidRPr="45F2336C">
        <w:rPr>
          <w:rFonts w:ascii="Arial" w:hAnsi="Arial" w:cs="Arial"/>
          <w:sz w:val="24"/>
          <w:szCs w:val="24"/>
        </w:rPr>
        <w:t>ing</w:t>
      </w:r>
      <w:r w:rsidR="00F60771" w:rsidRPr="45F2336C">
        <w:rPr>
          <w:rFonts w:ascii="Arial" w:hAnsi="Arial" w:cs="Arial"/>
          <w:sz w:val="24"/>
          <w:szCs w:val="24"/>
        </w:rPr>
        <w:t xml:space="preserve"> individual contributions. </w:t>
      </w:r>
      <w:r w:rsidR="00DB74A7" w:rsidRPr="00B82EA5">
        <w:rPr>
          <w:rFonts w:ascii="Arial" w:hAnsi="Arial" w:cs="Arial"/>
          <w:sz w:val="24"/>
          <w:szCs w:val="24"/>
        </w:rPr>
        <w:t>This report enhanced transparency and fairness in awarding marks</w:t>
      </w:r>
      <w:r w:rsidR="00EB537F">
        <w:rPr>
          <w:rFonts w:ascii="Arial" w:hAnsi="Arial" w:cs="Arial"/>
          <w:sz w:val="24"/>
          <w:szCs w:val="24"/>
        </w:rPr>
        <w:t>,</w:t>
      </w:r>
      <w:r w:rsidR="00B82EA5" w:rsidRPr="00B82EA5">
        <w:rPr>
          <w:rFonts w:ascii="Arial" w:hAnsi="Arial" w:cs="Arial"/>
          <w:sz w:val="24"/>
          <w:szCs w:val="24"/>
        </w:rPr>
        <w:t xml:space="preserve"> which the students appreciated: </w:t>
      </w:r>
    </w:p>
    <w:p w14:paraId="70374D2C" w14:textId="400E2E82" w:rsidR="00DB74A7" w:rsidRPr="005913AF" w:rsidRDefault="00BF2019" w:rsidP="005913AF">
      <w:pPr>
        <w:spacing w:line="360" w:lineRule="auto"/>
        <w:ind w:firstLine="720"/>
        <w:outlineLvl w:val="1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kern w:val="0"/>
          <w:sz w:val="24"/>
          <w:szCs w:val="24"/>
        </w:rPr>
        <w:t>‘</w:t>
      </w:r>
      <w:r w:rsidR="00B82EA5" w:rsidRPr="005913AF">
        <w:rPr>
          <w:rFonts w:ascii="Arial" w:hAnsi="Arial" w:cs="Arial"/>
          <w:i/>
          <w:iCs/>
          <w:kern w:val="0"/>
          <w:sz w:val="24"/>
          <w:szCs w:val="24"/>
        </w:rPr>
        <w:t>I liked getting credit for my contributions as this is rare in other modules.</w:t>
      </w:r>
      <w:r>
        <w:rPr>
          <w:rFonts w:ascii="Arial" w:hAnsi="Arial" w:cs="Arial"/>
          <w:i/>
          <w:iCs/>
          <w:kern w:val="0"/>
          <w:sz w:val="24"/>
          <w:szCs w:val="24"/>
        </w:rPr>
        <w:t>’</w:t>
      </w:r>
    </w:p>
    <w:p w14:paraId="29FD182E" w14:textId="38A07C20" w:rsidR="00D46A96" w:rsidRDefault="00E91CF8" w:rsidP="00E91CF8">
      <w:pPr>
        <w:spacing w:line="360" w:lineRule="auto"/>
        <w:outlineLvl w:val="1"/>
        <w:rPr>
          <w:rFonts w:ascii="Arial" w:hAnsi="Arial" w:cs="Arial"/>
          <w:sz w:val="24"/>
          <w:szCs w:val="24"/>
        </w:rPr>
      </w:pPr>
      <w:r w:rsidRPr="45F2336C">
        <w:rPr>
          <w:rFonts w:ascii="Arial" w:hAnsi="Arial" w:cs="Arial"/>
          <w:sz w:val="24"/>
          <w:szCs w:val="24"/>
        </w:rPr>
        <w:t xml:space="preserve">Students </w:t>
      </w:r>
      <w:r w:rsidR="00D46A96" w:rsidRPr="45F2336C">
        <w:rPr>
          <w:rFonts w:ascii="Arial" w:hAnsi="Arial" w:cs="Arial"/>
          <w:sz w:val="24"/>
          <w:szCs w:val="24"/>
        </w:rPr>
        <w:t xml:space="preserve">reported that they enjoyed the creative and real-world nature of the ambassador role. </w:t>
      </w:r>
      <w:r w:rsidR="008A0483">
        <w:rPr>
          <w:rFonts w:ascii="Arial" w:hAnsi="Arial" w:cs="Arial"/>
          <w:sz w:val="24"/>
          <w:szCs w:val="24"/>
        </w:rPr>
        <w:t>W</w:t>
      </w:r>
      <w:r w:rsidRPr="45F2336C">
        <w:rPr>
          <w:rFonts w:ascii="Arial" w:hAnsi="Arial" w:cs="Arial"/>
          <w:sz w:val="24"/>
          <w:szCs w:val="24"/>
        </w:rPr>
        <w:t xml:space="preserve">eekly meetings meant </w:t>
      </w:r>
      <w:r w:rsidR="00353A3A" w:rsidRPr="45F2336C">
        <w:rPr>
          <w:rFonts w:ascii="Arial" w:hAnsi="Arial" w:cs="Arial"/>
          <w:sz w:val="24"/>
          <w:szCs w:val="24"/>
        </w:rPr>
        <w:t>they</w:t>
      </w:r>
      <w:r w:rsidR="00AD2DF5" w:rsidRPr="45F2336C">
        <w:rPr>
          <w:rFonts w:ascii="Arial" w:hAnsi="Arial" w:cs="Arial"/>
          <w:sz w:val="24"/>
          <w:szCs w:val="24"/>
        </w:rPr>
        <w:t xml:space="preserve"> </w:t>
      </w:r>
      <w:r w:rsidR="008114A7" w:rsidRPr="45F2336C">
        <w:rPr>
          <w:rFonts w:ascii="Arial" w:hAnsi="Arial" w:cs="Arial"/>
          <w:sz w:val="24"/>
          <w:szCs w:val="24"/>
        </w:rPr>
        <w:t>felt</w:t>
      </w:r>
      <w:r w:rsidRPr="45F2336C">
        <w:rPr>
          <w:rFonts w:ascii="Arial" w:hAnsi="Arial" w:cs="Arial"/>
          <w:sz w:val="24"/>
          <w:szCs w:val="24"/>
        </w:rPr>
        <w:t xml:space="preserve"> supported in fulfilling </w:t>
      </w:r>
      <w:r w:rsidR="008A0483">
        <w:rPr>
          <w:rFonts w:ascii="Arial" w:hAnsi="Arial" w:cs="Arial"/>
          <w:sz w:val="24"/>
          <w:szCs w:val="24"/>
        </w:rPr>
        <w:t xml:space="preserve">the </w:t>
      </w:r>
      <w:r w:rsidR="00F314C7">
        <w:rPr>
          <w:rFonts w:ascii="Arial" w:hAnsi="Arial" w:cs="Arial"/>
          <w:sz w:val="24"/>
          <w:szCs w:val="24"/>
        </w:rPr>
        <w:t>role</w:t>
      </w:r>
      <w:r w:rsidR="008A0483">
        <w:rPr>
          <w:rFonts w:ascii="Arial" w:hAnsi="Arial" w:cs="Arial"/>
          <w:sz w:val="24"/>
          <w:szCs w:val="24"/>
        </w:rPr>
        <w:t>’s</w:t>
      </w:r>
      <w:r w:rsidRPr="45F2336C">
        <w:rPr>
          <w:rFonts w:ascii="Arial" w:hAnsi="Arial" w:cs="Arial"/>
          <w:sz w:val="24"/>
          <w:szCs w:val="24"/>
        </w:rPr>
        <w:t xml:space="preserve"> requirements</w:t>
      </w:r>
      <w:r w:rsidR="00A85E0D">
        <w:rPr>
          <w:rFonts w:ascii="Arial" w:hAnsi="Arial" w:cs="Arial"/>
          <w:sz w:val="24"/>
          <w:szCs w:val="24"/>
        </w:rPr>
        <w:t xml:space="preserve">, </w:t>
      </w:r>
      <w:r w:rsidR="008A0483">
        <w:rPr>
          <w:rFonts w:ascii="Arial" w:hAnsi="Arial" w:cs="Arial"/>
          <w:sz w:val="24"/>
          <w:szCs w:val="24"/>
        </w:rPr>
        <w:t>and</w:t>
      </w:r>
      <w:r w:rsidR="00A85E0D">
        <w:rPr>
          <w:rFonts w:ascii="Arial" w:hAnsi="Arial" w:cs="Arial"/>
          <w:sz w:val="24"/>
          <w:szCs w:val="24"/>
        </w:rPr>
        <w:t xml:space="preserve"> </w:t>
      </w:r>
      <w:r w:rsidR="00F314C7">
        <w:rPr>
          <w:rFonts w:ascii="Arial" w:hAnsi="Arial" w:cs="Arial"/>
          <w:sz w:val="24"/>
          <w:szCs w:val="24"/>
        </w:rPr>
        <w:t xml:space="preserve">they </w:t>
      </w:r>
      <w:r w:rsidR="002C56DC">
        <w:rPr>
          <w:rFonts w:ascii="Arial" w:hAnsi="Arial" w:cs="Arial"/>
          <w:sz w:val="24"/>
          <w:szCs w:val="24"/>
        </w:rPr>
        <w:t xml:space="preserve">appreciated </w:t>
      </w:r>
      <w:r w:rsidR="001A4C2B">
        <w:rPr>
          <w:rFonts w:ascii="Arial" w:hAnsi="Arial" w:cs="Arial"/>
          <w:sz w:val="24"/>
          <w:szCs w:val="24"/>
        </w:rPr>
        <w:t>regular</w:t>
      </w:r>
      <w:r w:rsidR="002C56DC">
        <w:rPr>
          <w:rFonts w:ascii="Arial" w:hAnsi="Arial" w:cs="Arial"/>
          <w:sz w:val="24"/>
          <w:szCs w:val="24"/>
        </w:rPr>
        <w:t xml:space="preserve"> in-person contact with friends and peers</w:t>
      </w:r>
      <w:r w:rsidR="00C31959">
        <w:rPr>
          <w:rFonts w:ascii="Arial" w:hAnsi="Arial" w:cs="Arial"/>
          <w:sz w:val="24"/>
          <w:szCs w:val="24"/>
        </w:rPr>
        <w:t xml:space="preserve"> (</w:t>
      </w:r>
      <w:r w:rsidR="008A0483">
        <w:rPr>
          <w:rFonts w:ascii="Arial" w:hAnsi="Arial" w:cs="Arial"/>
          <w:sz w:val="24"/>
          <w:szCs w:val="24"/>
        </w:rPr>
        <w:t xml:space="preserve">especially </w:t>
      </w:r>
      <w:r w:rsidR="009C7EA5">
        <w:rPr>
          <w:rFonts w:ascii="Arial" w:hAnsi="Arial" w:cs="Arial"/>
          <w:sz w:val="24"/>
          <w:szCs w:val="24"/>
        </w:rPr>
        <w:t>following the</w:t>
      </w:r>
      <w:r w:rsidR="00C31959">
        <w:rPr>
          <w:rFonts w:ascii="Arial" w:hAnsi="Arial" w:cs="Arial"/>
          <w:sz w:val="24"/>
          <w:szCs w:val="24"/>
        </w:rPr>
        <w:t xml:space="preserve"> </w:t>
      </w:r>
      <w:r w:rsidR="00E9360D">
        <w:rPr>
          <w:rFonts w:ascii="Arial" w:hAnsi="Arial" w:cs="Arial"/>
          <w:sz w:val="24"/>
          <w:szCs w:val="24"/>
        </w:rPr>
        <w:t xml:space="preserve">relatively recent </w:t>
      </w:r>
      <w:r w:rsidR="00C31959">
        <w:rPr>
          <w:rFonts w:ascii="Arial" w:hAnsi="Arial" w:cs="Arial"/>
          <w:sz w:val="24"/>
          <w:szCs w:val="24"/>
        </w:rPr>
        <w:t>aftermath</w:t>
      </w:r>
      <w:r w:rsidR="00E9360D">
        <w:rPr>
          <w:rFonts w:ascii="Arial" w:hAnsi="Arial" w:cs="Arial"/>
          <w:sz w:val="24"/>
          <w:szCs w:val="24"/>
        </w:rPr>
        <w:t xml:space="preserve"> of Covid isolation)</w:t>
      </w:r>
      <w:r w:rsidR="002C56DC">
        <w:rPr>
          <w:rFonts w:ascii="Arial" w:hAnsi="Arial" w:cs="Arial"/>
          <w:sz w:val="24"/>
          <w:szCs w:val="24"/>
        </w:rPr>
        <w:t>,</w:t>
      </w:r>
      <w:r w:rsidR="00E9360D">
        <w:rPr>
          <w:rFonts w:ascii="Arial" w:hAnsi="Arial" w:cs="Arial"/>
          <w:sz w:val="24"/>
          <w:szCs w:val="24"/>
        </w:rPr>
        <w:t xml:space="preserve"> </w:t>
      </w:r>
      <w:r w:rsidR="001A4C2B">
        <w:rPr>
          <w:rFonts w:ascii="Arial" w:hAnsi="Arial" w:cs="Arial"/>
          <w:sz w:val="24"/>
          <w:szCs w:val="24"/>
        </w:rPr>
        <w:t>plus</w:t>
      </w:r>
      <w:r w:rsidR="008A0483">
        <w:rPr>
          <w:rFonts w:ascii="Arial" w:hAnsi="Arial" w:cs="Arial"/>
          <w:sz w:val="24"/>
          <w:szCs w:val="24"/>
        </w:rPr>
        <w:t xml:space="preserve"> </w:t>
      </w:r>
      <w:r w:rsidR="00E9360D">
        <w:rPr>
          <w:rFonts w:ascii="Arial" w:hAnsi="Arial" w:cs="Arial"/>
          <w:sz w:val="24"/>
          <w:szCs w:val="24"/>
        </w:rPr>
        <w:t xml:space="preserve">that </w:t>
      </w:r>
      <w:r w:rsidR="00614A63">
        <w:rPr>
          <w:rFonts w:ascii="Arial" w:hAnsi="Arial" w:cs="Arial"/>
          <w:sz w:val="24"/>
          <w:szCs w:val="24"/>
        </w:rPr>
        <w:lastRenderedPageBreak/>
        <w:t xml:space="preserve">attendance </w:t>
      </w:r>
      <w:r w:rsidR="00E9360D">
        <w:rPr>
          <w:rFonts w:ascii="Arial" w:hAnsi="Arial" w:cs="Arial"/>
          <w:sz w:val="24"/>
          <w:szCs w:val="24"/>
        </w:rPr>
        <w:t xml:space="preserve">was </w:t>
      </w:r>
      <w:r w:rsidR="00614A63">
        <w:rPr>
          <w:rFonts w:ascii="Arial" w:hAnsi="Arial" w:cs="Arial"/>
          <w:sz w:val="24"/>
          <w:szCs w:val="24"/>
        </w:rPr>
        <w:t xml:space="preserve">formally </w:t>
      </w:r>
      <w:r w:rsidR="00E9360D">
        <w:rPr>
          <w:rFonts w:ascii="Arial" w:hAnsi="Arial" w:cs="Arial"/>
          <w:sz w:val="24"/>
          <w:szCs w:val="24"/>
        </w:rPr>
        <w:t>recognised</w:t>
      </w:r>
      <w:r w:rsidR="00614A63">
        <w:rPr>
          <w:rFonts w:ascii="Arial" w:hAnsi="Arial" w:cs="Arial"/>
          <w:sz w:val="24"/>
          <w:szCs w:val="24"/>
        </w:rPr>
        <w:t xml:space="preserve">. </w:t>
      </w:r>
      <w:r w:rsidRPr="45F2336C">
        <w:rPr>
          <w:rFonts w:ascii="Arial" w:hAnsi="Arial" w:cs="Arial"/>
          <w:sz w:val="24"/>
          <w:szCs w:val="24"/>
        </w:rPr>
        <w:t xml:space="preserve"> </w:t>
      </w:r>
      <w:r w:rsidR="00D46A96" w:rsidRPr="45F2336C">
        <w:rPr>
          <w:rFonts w:ascii="Arial" w:hAnsi="Arial" w:cs="Arial"/>
          <w:sz w:val="24"/>
          <w:szCs w:val="24"/>
        </w:rPr>
        <w:t xml:space="preserve">Students </w:t>
      </w:r>
      <w:r w:rsidR="00A67C0F">
        <w:rPr>
          <w:rFonts w:ascii="Arial" w:hAnsi="Arial" w:cs="Arial"/>
          <w:sz w:val="24"/>
          <w:szCs w:val="24"/>
        </w:rPr>
        <w:t>commented</w:t>
      </w:r>
      <w:r w:rsidR="008A0483">
        <w:rPr>
          <w:rFonts w:ascii="Arial" w:hAnsi="Arial" w:cs="Arial"/>
          <w:sz w:val="24"/>
          <w:szCs w:val="24"/>
        </w:rPr>
        <w:t xml:space="preserve"> </w:t>
      </w:r>
      <w:r w:rsidR="002B6DD0">
        <w:rPr>
          <w:rFonts w:ascii="Arial" w:hAnsi="Arial" w:cs="Arial"/>
          <w:sz w:val="24"/>
          <w:szCs w:val="24"/>
        </w:rPr>
        <w:t xml:space="preserve">that </w:t>
      </w:r>
      <w:r w:rsidR="008A0483">
        <w:rPr>
          <w:rFonts w:ascii="Arial" w:hAnsi="Arial" w:cs="Arial"/>
          <w:sz w:val="24"/>
          <w:szCs w:val="24"/>
        </w:rPr>
        <w:t>they</w:t>
      </w:r>
      <w:r w:rsidR="00D46A96" w:rsidRPr="45F2336C">
        <w:rPr>
          <w:rFonts w:ascii="Arial" w:hAnsi="Arial" w:cs="Arial"/>
          <w:sz w:val="24"/>
          <w:szCs w:val="24"/>
        </w:rPr>
        <w:t xml:space="preserve"> valued gaining practical experience and tangible examples to add to their applications packages</w:t>
      </w:r>
      <w:r w:rsidR="00A67C0F">
        <w:rPr>
          <w:rFonts w:ascii="Arial" w:hAnsi="Arial" w:cs="Arial"/>
          <w:sz w:val="24"/>
          <w:szCs w:val="24"/>
        </w:rPr>
        <w:t>:</w:t>
      </w:r>
      <w:r w:rsidR="00D46A96" w:rsidRPr="45F2336C">
        <w:rPr>
          <w:rFonts w:ascii="Arial" w:hAnsi="Arial" w:cs="Arial"/>
          <w:sz w:val="24"/>
          <w:szCs w:val="24"/>
        </w:rPr>
        <w:t xml:space="preserve"> </w:t>
      </w:r>
    </w:p>
    <w:p w14:paraId="6EF83915" w14:textId="053F6C26" w:rsidR="00D46A96" w:rsidRDefault="00D46A96" w:rsidP="00A806FE">
      <w:pPr>
        <w:spacing w:line="360" w:lineRule="auto"/>
        <w:ind w:left="720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[The ambassador role] </w:t>
      </w:r>
      <w:r w:rsidR="00E91CF8">
        <w:rPr>
          <w:rFonts w:ascii="Arial" w:hAnsi="Arial" w:cs="Arial"/>
          <w:i/>
          <w:iCs/>
          <w:sz w:val="24"/>
          <w:szCs w:val="24"/>
        </w:rPr>
        <w:t>‘</w:t>
      </w:r>
      <w:r w:rsidR="00E91CF8" w:rsidRPr="00602171">
        <w:rPr>
          <w:rFonts w:ascii="Arial" w:hAnsi="Arial" w:cs="Arial"/>
          <w:i/>
          <w:iCs/>
          <w:sz w:val="24"/>
          <w:szCs w:val="24"/>
        </w:rPr>
        <w:t>gave me something ‘solid’ to say I have done in interviews, rather than just essays</w:t>
      </w:r>
      <w:r w:rsidR="002A2F9A">
        <w:rPr>
          <w:rFonts w:ascii="Arial" w:hAnsi="Arial" w:cs="Arial"/>
          <w:i/>
          <w:iCs/>
          <w:sz w:val="24"/>
          <w:szCs w:val="24"/>
        </w:rPr>
        <w:t>.’</w:t>
      </w:r>
      <w:r w:rsidR="00E91CF8">
        <w:rPr>
          <w:rFonts w:ascii="Arial" w:hAnsi="Arial" w:cs="Arial"/>
          <w:sz w:val="24"/>
          <w:szCs w:val="24"/>
        </w:rPr>
        <w:t xml:space="preserve">  </w:t>
      </w:r>
    </w:p>
    <w:p w14:paraId="589A5E7D" w14:textId="5F915FEB" w:rsidR="00A3554C" w:rsidRDefault="00D46A96" w:rsidP="00E272B4">
      <w:pPr>
        <w:spacing w:line="360" w:lineRule="auto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Ultimately, formalising the ambassador scheme within the module proved successful </w:t>
      </w:r>
      <w:r w:rsidR="001938AA">
        <w:rPr>
          <w:rFonts w:ascii="Arial" w:hAnsi="Arial" w:cs="Arial"/>
          <w:sz w:val="24"/>
          <w:szCs w:val="24"/>
        </w:rPr>
        <w:t xml:space="preserve">with </w:t>
      </w:r>
      <w:r>
        <w:rPr>
          <w:rFonts w:ascii="Arial" w:hAnsi="Arial" w:cs="Arial"/>
          <w:sz w:val="24"/>
          <w:szCs w:val="24"/>
        </w:rPr>
        <w:t xml:space="preserve">consistently high engagement driven by </w:t>
      </w:r>
      <w:r w:rsidR="00763A16">
        <w:rPr>
          <w:rFonts w:ascii="Arial" w:hAnsi="Arial" w:cs="Arial"/>
          <w:sz w:val="24"/>
          <w:szCs w:val="24"/>
        </w:rPr>
        <w:t xml:space="preserve">both </w:t>
      </w:r>
      <w:r>
        <w:rPr>
          <w:rFonts w:ascii="Arial" w:hAnsi="Arial" w:cs="Arial"/>
          <w:sz w:val="24"/>
          <w:szCs w:val="24"/>
        </w:rPr>
        <w:t xml:space="preserve">carrots and sticks. </w:t>
      </w:r>
    </w:p>
    <w:p w14:paraId="4DA90FC5" w14:textId="01C7E393" w:rsidR="00E272B4" w:rsidRDefault="00E272B4" w:rsidP="00E272B4">
      <w:pPr>
        <w:spacing w:line="360" w:lineRule="auto"/>
        <w:outlineLvl w:val="0"/>
        <w:rPr>
          <w:rFonts w:ascii="Arial" w:hAnsi="Arial" w:cs="Arial"/>
          <w:b/>
          <w:sz w:val="24"/>
          <w:szCs w:val="24"/>
        </w:rPr>
      </w:pPr>
      <w:r w:rsidRPr="00CC1D6D">
        <w:rPr>
          <w:rFonts w:ascii="Arial" w:hAnsi="Arial" w:cs="Arial"/>
          <w:b/>
          <w:sz w:val="24"/>
          <w:szCs w:val="24"/>
        </w:rPr>
        <w:t>Conclusion</w:t>
      </w:r>
    </w:p>
    <w:p w14:paraId="315F6E83" w14:textId="68B7E948" w:rsidR="00AA7747" w:rsidRDefault="00214D7F" w:rsidP="00E272B4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  <w:r w:rsidRPr="45F2336C">
        <w:rPr>
          <w:rFonts w:ascii="Arial" w:hAnsi="Arial" w:cs="Arial"/>
          <w:sz w:val="24"/>
          <w:szCs w:val="24"/>
        </w:rPr>
        <w:t xml:space="preserve">Although </w:t>
      </w:r>
      <w:r w:rsidR="00081F4F" w:rsidRPr="45F2336C">
        <w:rPr>
          <w:rFonts w:ascii="Arial" w:hAnsi="Arial" w:cs="Arial"/>
          <w:sz w:val="24"/>
          <w:szCs w:val="24"/>
        </w:rPr>
        <w:t>students</w:t>
      </w:r>
      <w:r w:rsidR="00081F4F">
        <w:rPr>
          <w:rStyle w:val="CommentReference"/>
        </w:rPr>
        <w:t xml:space="preserve"> </w:t>
      </w:r>
      <w:r w:rsidR="00081F4F" w:rsidRPr="45F2336C">
        <w:rPr>
          <w:rFonts w:ascii="Arial" w:hAnsi="Arial" w:cs="Arial"/>
          <w:sz w:val="24"/>
          <w:szCs w:val="24"/>
        </w:rPr>
        <w:t>and</w:t>
      </w:r>
      <w:r w:rsidRPr="45F2336C">
        <w:rPr>
          <w:rFonts w:ascii="Arial" w:hAnsi="Arial" w:cs="Arial"/>
          <w:sz w:val="24"/>
          <w:szCs w:val="24"/>
        </w:rPr>
        <w:t xml:space="preserve"> universities are increasingly concerned about employability</w:t>
      </w:r>
      <w:r w:rsidR="00DB74A7" w:rsidRPr="45F2336C">
        <w:rPr>
          <w:rFonts w:ascii="Arial" w:hAnsi="Arial" w:cs="Arial"/>
          <w:sz w:val="24"/>
          <w:szCs w:val="24"/>
        </w:rPr>
        <w:t>,</w:t>
      </w:r>
      <w:r w:rsidRPr="45F2336C">
        <w:rPr>
          <w:rFonts w:ascii="Arial" w:hAnsi="Arial" w:cs="Arial"/>
          <w:sz w:val="24"/>
          <w:szCs w:val="24"/>
        </w:rPr>
        <w:t xml:space="preserve"> student engagement with specific supports, events and developmental activities remains low. This paper </w:t>
      </w:r>
      <w:r w:rsidR="002B6DD0">
        <w:rPr>
          <w:rFonts w:ascii="Arial" w:hAnsi="Arial" w:cs="Arial"/>
          <w:sz w:val="24"/>
          <w:szCs w:val="24"/>
        </w:rPr>
        <w:t xml:space="preserve">considered why and </w:t>
      </w:r>
      <w:r w:rsidRPr="45F2336C">
        <w:rPr>
          <w:rFonts w:ascii="Arial" w:hAnsi="Arial" w:cs="Arial"/>
          <w:sz w:val="24"/>
          <w:szCs w:val="24"/>
        </w:rPr>
        <w:t>what can be done</w:t>
      </w:r>
      <w:r w:rsidR="00DB74A7" w:rsidRPr="45F2336C">
        <w:rPr>
          <w:rFonts w:ascii="Arial" w:hAnsi="Arial" w:cs="Arial"/>
          <w:sz w:val="24"/>
          <w:szCs w:val="24"/>
        </w:rPr>
        <w:t>. It</w:t>
      </w:r>
      <w:r w:rsidRPr="45F2336C">
        <w:rPr>
          <w:rFonts w:ascii="Arial" w:hAnsi="Arial" w:cs="Arial"/>
          <w:sz w:val="24"/>
          <w:szCs w:val="24"/>
        </w:rPr>
        <w:t xml:space="preserve"> reflect</w:t>
      </w:r>
      <w:r w:rsidR="00685AA3" w:rsidRPr="45F2336C">
        <w:rPr>
          <w:rFonts w:ascii="Arial" w:hAnsi="Arial" w:cs="Arial"/>
          <w:sz w:val="24"/>
          <w:szCs w:val="24"/>
        </w:rPr>
        <w:t>ed</w:t>
      </w:r>
      <w:r w:rsidRPr="45F2336C">
        <w:rPr>
          <w:rFonts w:ascii="Arial" w:hAnsi="Arial" w:cs="Arial"/>
          <w:sz w:val="24"/>
          <w:szCs w:val="24"/>
        </w:rPr>
        <w:t xml:space="preserve"> </w:t>
      </w:r>
      <w:r w:rsidR="008A0483">
        <w:rPr>
          <w:rFonts w:ascii="Arial" w:hAnsi="Arial" w:cs="Arial"/>
          <w:sz w:val="24"/>
          <w:szCs w:val="24"/>
        </w:rPr>
        <w:t>up</w:t>
      </w:r>
      <w:r w:rsidRPr="45F2336C">
        <w:rPr>
          <w:rFonts w:ascii="Arial" w:hAnsi="Arial" w:cs="Arial"/>
          <w:sz w:val="24"/>
          <w:szCs w:val="24"/>
        </w:rPr>
        <w:t xml:space="preserve">on the </w:t>
      </w:r>
      <w:r w:rsidR="008A0483">
        <w:rPr>
          <w:rFonts w:ascii="Arial" w:hAnsi="Arial" w:cs="Arial"/>
          <w:sz w:val="24"/>
          <w:szCs w:val="24"/>
        </w:rPr>
        <w:t>design and delivery of</w:t>
      </w:r>
      <w:r w:rsidRPr="45F2336C">
        <w:rPr>
          <w:rFonts w:ascii="Arial" w:hAnsi="Arial" w:cs="Arial"/>
          <w:sz w:val="24"/>
          <w:szCs w:val="24"/>
        </w:rPr>
        <w:t xml:space="preserve"> a dedicated credit-bearing employability module for third year geography students. It highlight</w:t>
      </w:r>
      <w:r w:rsidR="002B6DD0">
        <w:rPr>
          <w:rFonts w:ascii="Arial" w:hAnsi="Arial" w:cs="Arial"/>
          <w:sz w:val="24"/>
          <w:szCs w:val="24"/>
        </w:rPr>
        <w:t>ed</w:t>
      </w:r>
      <w:r w:rsidRPr="45F2336C">
        <w:rPr>
          <w:rFonts w:ascii="Arial" w:hAnsi="Arial" w:cs="Arial"/>
          <w:sz w:val="24"/>
          <w:szCs w:val="24"/>
        </w:rPr>
        <w:t xml:space="preserve"> some effective transferable and scalable solutions </w:t>
      </w:r>
      <w:r w:rsidR="00363FC5" w:rsidRPr="45F2336C">
        <w:rPr>
          <w:rFonts w:ascii="Arial" w:hAnsi="Arial" w:cs="Arial"/>
          <w:sz w:val="24"/>
          <w:szCs w:val="24"/>
        </w:rPr>
        <w:t xml:space="preserve">to challenges </w:t>
      </w:r>
      <w:r w:rsidR="00AA7747" w:rsidRPr="45F2336C">
        <w:rPr>
          <w:rFonts w:ascii="Arial" w:hAnsi="Arial" w:cs="Arial"/>
          <w:sz w:val="24"/>
          <w:szCs w:val="24"/>
        </w:rPr>
        <w:t xml:space="preserve">facing </w:t>
      </w:r>
      <w:r w:rsidR="00363FC5" w:rsidRPr="45F2336C">
        <w:rPr>
          <w:rFonts w:ascii="Arial" w:hAnsi="Arial" w:cs="Arial"/>
          <w:sz w:val="24"/>
          <w:szCs w:val="24"/>
        </w:rPr>
        <w:t xml:space="preserve">careers professionals, </w:t>
      </w:r>
      <w:r w:rsidR="00D75B07" w:rsidRPr="45F2336C">
        <w:rPr>
          <w:rFonts w:ascii="Arial" w:hAnsi="Arial" w:cs="Arial"/>
          <w:sz w:val="24"/>
          <w:szCs w:val="24"/>
        </w:rPr>
        <w:t>academics,</w:t>
      </w:r>
      <w:r w:rsidR="00363FC5" w:rsidRPr="45F2336C">
        <w:rPr>
          <w:rFonts w:ascii="Arial" w:hAnsi="Arial" w:cs="Arial"/>
          <w:sz w:val="24"/>
          <w:szCs w:val="24"/>
        </w:rPr>
        <w:t xml:space="preserve"> and higher education institutions. </w:t>
      </w:r>
      <w:r w:rsidR="00E7155A" w:rsidRPr="45F2336C">
        <w:rPr>
          <w:rFonts w:ascii="Arial" w:hAnsi="Arial" w:cs="Arial"/>
          <w:sz w:val="24"/>
          <w:szCs w:val="24"/>
        </w:rPr>
        <w:t xml:space="preserve">These solutions </w:t>
      </w:r>
      <w:r w:rsidR="00972BE2" w:rsidRPr="45F2336C">
        <w:rPr>
          <w:rFonts w:ascii="Arial" w:hAnsi="Arial" w:cs="Arial"/>
          <w:sz w:val="24"/>
          <w:szCs w:val="24"/>
        </w:rPr>
        <w:t xml:space="preserve">are </w:t>
      </w:r>
      <w:r w:rsidR="00A43A2E" w:rsidRPr="45F2336C">
        <w:rPr>
          <w:rFonts w:ascii="Arial" w:hAnsi="Arial" w:cs="Arial"/>
          <w:sz w:val="24"/>
          <w:szCs w:val="24"/>
        </w:rPr>
        <w:t>pragmatic and</w:t>
      </w:r>
      <w:r w:rsidR="008A0483">
        <w:rPr>
          <w:rFonts w:ascii="Arial" w:hAnsi="Arial" w:cs="Arial"/>
          <w:sz w:val="24"/>
          <w:szCs w:val="24"/>
        </w:rPr>
        <w:t xml:space="preserve"> </w:t>
      </w:r>
      <w:r w:rsidR="00AA7747" w:rsidRPr="45F2336C">
        <w:rPr>
          <w:rFonts w:ascii="Arial" w:hAnsi="Arial" w:cs="Arial"/>
          <w:sz w:val="24"/>
          <w:szCs w:val="24"/>
        </w:rPr>
        <w:t>demonstra</w:t>
      </w:r>
      <w:r w:rsidR="00E174AE" w:rsidRPr="45F2336C">
        <w:rPr>
          <w:rFonts w:ascii="Arial" w:hAnsi="Arial" w:cs="Arial"/>
          <w:sz w:val="24"/>
          <w:szCs w:val="24"/>
        </w:rPr>
        <w:t>t</w:t>
      </w:r>
      <w:r w:rsidR="008A0483">
        <w:rPr>
          <w:rFonts w:ascii="Arial" w:hAnsi="Arial" w:cs="Arial"/>
          <w:sz w:val="24"/>
          <w:szCs w:val="24"/>
        </w:rPr>
        <w:t>e</w:t>
      </w:r>
      <w:r w:rsidR="00AA7747" w:rsidRPr="45F2336C">
        <w:rPr>
          <w:rFonts w:ascii="Arial" w:hAnsi="Arial" w:cs="Arial"/>
          <w:sz w:val="24"/>
          <w:szCs w:val="24"/>
        </w:rPr>
        <w:t xml:space="preserve"> </w:t>
      </w:r>
      <w:r w:rsidR="00F74DA7" w:rsidRPr="45F2336C">
        <w:rPr>
          <w:rFonts w:ascii="Arial" w:hAnsi="Arial" w:cs="Arial"/>
          <w:sz w:val="24"/>
          <w:szCs w:val="24"/>
        </w:rPr>
        <w:t>the powerful role</w:t>
      </w:r>
      <w:r w:rsidR="00243A43">
        <w:rPr>
          <w:rFonts w:ascii="Arial" w:hAnsi="Arial" w:cs="Arial"/>
          <w:sz w:val="24"/>
          <w:szCs w:val="24"/>
        </w:rPr>
        <w:t xml:space="preserve"> </w:t>
      </w:r>
      <w:r w:rsidR="00DB74A7" w:rsidRPr="45F2336C">
        <w:rPr>
          <w:rFonts w:ascii="Arial" w:hAnsi="Arial" w:cs="Arial"/>
          <w:sz w:val="24"/>
          <w:szCs w:val="24"/>
        </w:rPr>
        <w:t>of</w:t>
      </w:r>
      <w:r w:rsidR="00AA7747" w:rsidRPr="45F2336C">
        <w:rPr>
          <w:rFonts w:ascii="Arial" w:hAnsi="Arial" w:cs="Arial"/>
          <w:sz w:val="24"/>
          <w:szCs w:val="24"/>
        </w:rPr>
        <w:t xml:space="preserve"> </w:t>
      </w:r>
      <w:r w:rsidR="00F74DA7" w:rsidRPr="45F2336C">
        <w:rPr>
          <w:rFonts w:ascii="Arial" w:hAnsi="Arial" w:cs="Arial"/>
          <w:sz w:val="24"/>
          <w:szCs w:val="24"/>
        </w:rPr>
        <w:t>‘</w:t>
      </w:r>
      <w:r w:rsidR="00187404" w:rsidRPr="45F2336C">
        <w:rPr>
          <w:rFonts w:ascii="Arial" w:hAnsi="Arial" w:cs="Arial"/>
          <w:sz w:val="24"/>
          <w:szCs w:val="24"/>
        </w:rPr>
        <w:t>carrots and sticks</w:t>
      </w:r>
      <w:r w:rsidR="00A75B29" w:rsidRPr="45F2336C">
        <w:rPr>
          <w:rFonts w:ascii="Arial" w:hAnsi="Arial" w:cs="Arial"/>
          <w:sz w:val="24"/>
          <w:szCs w:val="24"/>
        </w:rPr>
        <w:t>’</w:t>
      </w:r>
      <w:r w:rsidR="00187404" w:rsidRPr="45F2336C">
        <w:rPr>
          <w:rFonts w:ascii="Arial" w:hAnsi="Arial" w:cs="Arial"/>
          <w:sz w:val="24"/>
          <w:szCs w:val="24"/>
        </w:rPr>
        <w:t xml:space="preserve"> </w:t>
      </w:r>
      <w:r w:rsidR="008A0483">
        <w:rPr>
          <w:rFonts w:ascii="Arial" w:hAnsi="Arial" w:cs="Arial"/>
          <w:sz w:val="24"/>
          <w:szCs w:val="24"/>
        </w:rPr>
        <w:t>up</w:t>
      </w:r>
      <w:r w:rsidR="00DB74A7" w:rsidRPr="45F2336C">
        <w:rPr>
          <w:rFonts w:ascii="Arial" w:hAnsi="Arial" w:cs="Arial"/>
          <w:sz w:val="24"/>
          <w:szCs w:val="24"/>
        </w:rPr>
        <w:t>on</w:t>
      </w:r>
      <w:r w:rsidR="007E294D" w:rsidRPr="45F2336C">
        <w:rPr>
          <w:rFonts w:ascii="Arial" w:hAnsi="Arial" w:cs="Arial"/>
          <w:sz w:val="24"/>
          <w:szCs w:val="24"/>
        </w:rPr>
        <w:t xml:space="preserve"> </w:t>
      </w:r>
      <w:r w:rsidR="00E73BFF" w:rsidRPr="45F2336C">
        <w:rPr>
          <w:rFonts w:ascii="Arial" w:hAnsi="Arial" w:cs="Arial"/>
          <w:sz w:val="24"/>
          <w:szCs w:val="24"/>
        </w:rPr>
        <w:t xml:space="preserve">the design of </w:t>
      </w:r>
      <w:r w:rsidR="00A75B29" w:rsidRPr="45F2336C">
        <w:rPr>
          <w:rFonts w:ascii="Arial" w:hAnsi="Arial" w:cs="Arial"/>
          <w:sz w:val="24"/>
          <w:szCs w:val="24"/>
        </w:rPr>
        <w:t xml:space="preserve">teaching content, </w:t>
      </w:r>
      <w:r w:rsidR="00455646" w:rsidRPr="45F2336C">
        <w:rPr>
          <w:rFonts w:ascii="Arial" w:hAnsi="Arial" w:cs="Arial"/>
          <w:sz w:val="24"/>
          <w:szCs w:val="24"/>
        </w:rPr>
        <w:t>delivery,</w:t>
      </w:r>
      <w:r w:rsidR="00A75B29" w:rsidRPr="45F2336C">
        <w:rPr>
          <w:rFonts w:ascii="Arial" w:hAnsi="Arial" w:cs="Arial"/>
          <w:sz w:val="24"/>
          <w:szCs w:val="24"/>
        </w:rPr>
        <w:t xml:space="preserve"> and assessment</w:t>
      </w:r>
      <w:r w:rsidR="00DB74A7" w:rsidRPr="45F2336C">
        <w:rPr>
          <w:rFonts w:ascii="Arial" w:hAnsi="Arial" w:cs="Arial"/>
          <w:sz w:val="24"/>
          <w:szCs w:val="24"/>
        </w:rPr>
        <w:t xml:space="preserve"> and</w:t>
      </w:r>
      <w:r w:rsidR="00187404" w:rsidRPr="45F2336C">
        <w:rPr>
          <w:rFonts w:ascii="Arial" w:hAnsi="Arial" w:cs="Arial"/>
          <w:sz w:val="24"/>
          <w:szCs w:val="24"/>
        </w:rPr>
        <w:t xml:space="preserve"> </w:t>
      </w:r>
      <w:r w:rsidR="008A0483">
        <w:rPr>
          <w:rFonts w:ascii="Arial" w:hAnsi="Arial" w:cs="Arial"/>
          <w:sz w:val="24"/>
          <w:szCs w:val="24"/>
        </w:rPr>
        <w:t xml:space="preserve">in </w:t>
      </w:r>
      <w:r w:rsidR="00187404" w:rsidRPr="45F2336C">
        <w:rPr>
          <w:rFonts w:ascii="Arial" w:hAnsi="Arial" w:cs="Arial"/>
          <w:sz w:val="24"/>
          <w:szCs w:val="24"/>
        </w:rPr>
        <w:t>enhanc</w:t>
      </w:r>
      <w:r w:rsidR="00AA7747" w:rsidRPr="45F2336C">
        <w:rPr>
          <w:rFonts w:ascii="Arial" w:hAnsi="Arial" w:cs="Arial"/>
          <w:sz w:val="24"/>
          <w:szCs w:val="24"/>
        </w:rPr>
        <w:t>ing</w:t>
      </w:r>
      <w:r w:rsidR="00187404" w:rsidRPr="45F2336C">
        <w:rPr>
          <w:rFonts w:ascii="Arial" w:hAnsi="Arial" w:cs="Arial"/>
          <w:sz w:val="24"/>
          <w:szCs w:val="24"/>
        </w:rPr>
        <w:t xml:space="preserve"> </w:t>
      </w:r>
      <w:r w:rsidR="00E73BFF" w:rsidRPr="45F2336C">
        <w:rPr>
          <w:rFonts w:ascii="Arial" w:hAnsi="Arial" w:cs="Arial"/>
          <w:sz w:val="24"/>
          <w:szCs w:val="24"/>
        </w:rPr>
        <w:t xml:space="preserve">student </w:t>
      </w:r>
      <w:r w:rsidR="00A75B29" w:rsidRPr="45F2336C">
        <w:rPr>
          <w:rFonts w:ascii="Arial" w:hAnsi="Arial" w:cs="Arial"/>
          <w:sz w:val="24"/>
          <w:szCs w:val="24"/>
        </w:rPr>
        <w:t xml:space="preserve">motivation, </w:t>
      </w:r>
      <w:r w:rsidR="00A01878" w:rsidRPr="45F2336C">
        <w:rPr>
          <w:rFonts w:ascii="Arial" w:hAnsi="Arial" w:cs="Arial"/>
          <w:sz w:val="24"/>
          <w:szCs w:val="24"/>
        </w:rPr>
        <w:t>engagement,</w:t>
      </w:r>
      <w:r w:rsidR="00A75B29" w:rsidRPr="45F2336C">
        <w:rPr>
          <w:rFonts w:ascii="Arial" w:hAnsi="Arial" w:cs="Arial"/>
          <w:sz w:val="24"/>
          <w:szCs w:val="24"/>
        </w:rPr>
        <w:t xml:space="preserve"> and learning.</w:t>
      </w:r>
    </w:p>
    <w:p w14:paraId="5C8ADCB0" w14:textId="68C91C98" w:rsidR="00621EB3" w:rsidRDefault="00C866E4" w:rsidP="00E272B4">
      <w:pPr>
        <w:spacing w:line="360" w:lineRule="auto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Our experience resulted in a number of key lessons. </w:t>
      </w:r>
      <w:r w:rsidR="00891E1B">
        <w:rPr>
          <w:rFonts w:ascii="Arial" w:hAnsi="Arial" w:cs="Arial"/>
          <w:bCs/>
          <w:sz w:val="24"/>
          <w:szCs w:val="24"/>
        </w:rPr>
        <w:t>To enhance levels of student engagement and deliver meaningful impact</w:t>
      </w:r>
      <w:r w:rsidR="006D4373">
        <w:rPr>
          <w:rFonts w:ascii="Arial" w:hAnsi="Arial" w:cs="Arial"/>
          <w:bCs/>
          <w:sz w:val="24"/>
          <w:szCs w:val="24"/>
        </w:rPr>
        <w:t>,</w:t>
      </w:r>
      <w:r w:rsidR="00891E1B">
        <w:rPr>
          <w:rFonts w:ascii="Arial" w:hAnsi="Arial" w:cs="Arial"/>
          <w:bCs/>
          <w:sz w:val="24"/>
          <w:szCs w:val="24"/>
        </w:rPr>
        <w:t xml:space="preserve"> it is crucial to capture and incorporate the student voice. </w:t>
      </w:r>
      <w:r w:rsidR="00EA309D">
        <w:rPr>
          <w:rFonts w:ascii="Arial" w:hAnsi="Arial" w:cs="Arial"/>
          <w:bCs/>
          <w:sz w:val="24"/>
          <w:szCs w:val="24"/>
        </w:rPr>
        <w:t>We need to u</w:t>
      </w:r>
      <w:r w:rsidR="00891E1B">
        <w:rPr>
          <w:rFonts w:ascii="Arial" w:hAnsi="Arial" w:cs="Arial"/>
          <w:bCs/>
          <w:sz w:val="24"/>
          <w:szCs w:val="24"/>
        </w:rPr>
        <w:t xml:space="preserve">nderstand what motivates students and align content, </w:t>
      </w:r>
      <w:r w:rsidR="00E8544D">
        <w:rPr>
          <w:rFonts w:ascii="Arial" w:hAnsi="Arial" w:cs="Arial"/>
          <w:bCs/>
          <w:sz w:val="24"/>
          <w:szCs w:val="24"/>
        </w:rPr>
        <w:t>formats,</w:t>
      </w:r>
      <w:r w:rsidR="00891E1B">
        <w:rPr>
          <w:rFonts w:ascii="Arial" w:hAnsi="Arial" w:cs="Arial"/>
          <w:bCs/>
          <w:sz w:val="24"/>
          <w:szCs w:val="24"/>
        </w:rPr>
        <w:t xml:space="preserve"> and incentives accordingly. Throughout this paper</w:t>
      </w:r>
      <w:r w:rsidR="006D4373">
        <w:rPr>
          <w:rFonts w:ascii="Arial" w:hAnsi="Arial" w:cs="Arial"/>
          <w:bCs/>
          <w:sz w:val="24"/>
          <w:szCs w:val="24"/>
        </w:rPr>
        <w:t>,</w:t>
      </w:r>
      <w:r w:rsidR="00891E1B">
        <w:rPr>
          <w:rFonts w:ascii="Arial" w:hAnsi="Arial" w:cs="Arial"/>
          <w:bCs/>
          <w:sz w:val="24"/>
          <w:szCs w:val="24"/>
        </w:rPr>
        <w:t xml:space="preserve"> we </w:t>
      </w:r>
      <w:r w:rsidR="006D4373">
        <w:rPr>
          <w:rFonts w:ascii="Arial" w:hAnsi="Arial" w:cs="Arial"/>
          <w:bCs/>
          <w:sz w:val="24"/>
          <w:szCs w:val="24"/>
        </w:rPr>
        <w:t xml:space="preserve">have </w:t>
      </w:r>
      <w:r w:rsidR="00891E1B">
        <w:rPr>
          <w:rFonts w:ascii="Arial" w:hAnsi="Arial" w:cs="Arial"/>
          <w:bCs/>
          <w:sz w:val="24"/>
          <w:szCs w:val="24"/>
        </w:rPr>
        <w:t>demonstrate</w:t>
      </w:r>
      <w:r w:rsidR="00685AA3">
        <w:rPr>
          <w:rFonts w:ascii="Arial" w:hAnsi="Arial" w:cs="Arial"/>
          <w:bCs/>
          <w:sz w:val="24"/>
          <w:szCs w:val="24"/>
        </w:rPr>
        <w:t>d</w:t>
      </w:r>
      <w:r w:rsidR="00891E1B">
        <w:rPr>
          <w:rFonts w:ascii="Arial" w:hAnsi="Arial" w:cs="Arial"/>
          <w:bCs/>
          <w:sz w:val="24"/>
          <w:szCs w:val="24"/>
        </w:rPr>
        <w:t xml:space="preserve"> the role of effectively deploying carrots and sticks (intrinsic and extrinsic motivators) which students </w:t>
      </w:r>
      <w:r w:rsidR="002B6DD0">
        <w:rPr>
          <w:rFonts w:ascii="Arial" w:hAnsi="Arial" w:cs="Arial"/>
          <w:bCs/>
          <w:sz w:val="24"/>
          <w:szCs w:val="24"/>
        </w:rPr>
        <w:t xml:space="preserve">regard </w:t>
      </w:r>
      <w:r w:rsidR="006C6884">
        <w:rPr>
          <w:rFonts w:ascii="Arial" w:hAnsi="Arial" w:cs="Arial"/>
          <w:bCs/>
          <w:sz w:val="24"/>
          <w:szCs w:val="24"/>
        </w:rPr>
        <w:t xml:space="preserve">as </w:t>
      </w:r>
      <w:r w:rsidR="00891E1B">
        <w:rPr>
          <w:rFonts w:ascii="Arial" w:hAnsi="Arial" w:cs="Arial"/>
          <w:bCs/>
          <w:sz w:val="24"/>
          <w:szCs w:val="24"/>
        </w:rPr>
        <w:t xml:space="preserve">desirable and necessary. </w:t>
      </w:r>
      <w:r w:rsidR="007238B6">
        <w:rPr>
          <w:rFonts w:ascii="Arial" w:hAnsi="Arial" w:cs="Arial"/>
          <w:bCs/>
          <w:sz w:val="24"/>
          <w:szCs w:val="24"/>
        </w:rPr>
        <w:t xml:space="preserve">One student notably </w:t>
      </w:r>
      <w:r w:rsidR="00685AA3">
        <w:rPr>
          <w:rFonts w:ascii="Arial" w:hAnsi="Arial" w:cs="Arial"/>
          <w:bCs/>
          <w:sz w:val="24"/>
          <w:szCs w:val="24"/>
        </w:rPr>
        <w:t>reported</w:t>
      </w:r>
      <w:r w:rsidR="00807344">
        <w:rPr>
          <w:rFonts w:ascii="Arial" w:hAnsi="Arial" w:cs="Arial"/>
          <w:bCs/>
          <w:sz w:val="24"/>
          <w:szCs w:val="24"/>
        </w:rPr>
        <w:t xml:space="preserve"> at the end of the module</w:t>
      </w:r>
      <w:r w:rsidR="00891E1B">
        <w:rPr>
          <w:rFonts w:ascii="Arial" w:hAnsi="Arial" w:cs="Arial"/>
          <w:bCs/>
          <w:sz w:val="24"/>
          <w:szCs w:val="24"/>
        </w:rPr>
        <w:t>:</w:t>
      </w:r>
    </w:p>
    <w:p w14:paraId="4003FF9F" w14:textId="0F345990" w:rsidR="007238B6" w:rsidRDefault="007238B6" w:rsidP="00A806FE">
      <w:pPr>
        <w:spacing w:line="360" w:lineRule="auto"/>
        <w:ind w:left="720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‘</w:t>
      </w:r>
      <w:r w:rsidR="002A2F9A" w:rsidRPr="00602171">
        <w:rPr>
          <w:rFonts w:ascii="Arial" w:hAnsi="Arial" w:cs="Arial"/>
          <w:i/>
          <w:iCs/>
          <w:sz w:val="24"/>
          <w:szCs w:val="24"/>
        </w:rPr>
        <w:t>It</w:t>
      </w:r>
      <w:r w:rsidRPr="00602171">
        <w:rPr>
          <w:rFonts w:ascii="Arial" w:hAnsi="Arial" w:cs="Arial"/>
          <w:i/>
          <w:iCs/>
          <w:sz w:val="24"/>
          <w:szCs w:val="24"/>
        </w:rPr>
        <w:t xml:space="preserve"> has ‘forced’ me to do something that’s employed me with some valuable skills</w:t>
      </w:r>
      <w:r w:rsidR="00191D85">
        <w:rPr>
          <w:rFonts w:ascii="Arial" w:hAnsi="Arial" w:cs="Arial"/>
          <w:sz w:val="24"/>
          <w:szCs w:val="24"/>
        </w:rPr>
        <w:t>.’</w:t>
      </w:r>
    </w:p>
    <w:p w14:paraId="65E3DCB0" w14:textId="79A8EB1B" w:rsidR="00A43A2E" w:rsidRDefault="00A43A2E" w:rsidP="00A43A2E">
      <w:pPr>
        <w:spacing w:line="360" w:lineRule="auto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Although the module was capped at thirty students to facilitate effective interaction</w:t>
      </w:r>
      <w:r w:rsidR="003625E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 limited to third-year undergraduate students, we achieved our goal of creating meaningful </w:t>
      </w:r>
      <w:r>
        <w:rPr>
          <w:rFonts w:ascii="Arial" w:hAnsi="Arial" w:cs="Arial"/>
          <w:bCs/>
          <w:sz w:val="24"/>
          <w:szCs w:val="24"/>
        </w:rPr>
        <w:t xml:space="preserve">impact for both </w:t>
      </w:r>
      <w:r w:rsidR="003625E0">
        <w:rPr>
          <w:rFonts w:ascii="Arial" w:hAnsi="Arial" w:cs="Arial"/>
          <w:bCs/>
          <w:sz w:val="24"/>
          <w:szCs w:val="24"/>
        </w:rPr>
        <w:t xml:space="preserve">module </w:t>
      </w:r>
      <w:r>
        <w:rPr>
          <w:rFonts w:ascii="Arial" w:hAnsi="Arial" w:cs="Arial"/>
          <w:bCs/>
          <w:sz w:val="24"/>
          <w:szCs w:val="24"/>
        </w:rPr>
        <w:t>students and those in the wider department</w:t>
      </w:r>
      <w:r w:rsidR="00036E0C">
        <w:rPr>
          <w:rFonts w:ascii="Arial" w:hAnsi="Arial" w:cs="Arial"/>
          <w:bCs/>
          <w:sz w:val="24"/>
          <w:szCs w:val="24"/>
        </w:rPr>
        <w:t>, notably creating</w:t>
      </w:r>
      <w:r>
        <w:rPr>
          <w:rFonts w:ascii="Arial" w:hAnsi="Arial" w:cs="Arial"/>
          <w:bCs/>
          <w:sz w:val="24"/>
          <w:szCs w:val="24"/>
        </w:rPr>
        <w:t xml:space="preserve"> a programme of </w:t>
      </w:r>
      <w:r w:rsidR="00036E0C">
        <w:rPr>
          <w:rFonts w:ascii="Arial" w:hAnsi="Arial" w:cs="Arial"/>
          <w:bCs/>
          <w:sz w:val="24"/>
          <w:szCs w:val="24"/>
        </w:rPr>
        <w:t xml:space="preserve">student-led </w:t>
      </w:r>
      <w:r w:rsidR="002B6DD0">
        <w:rPr>
          <w:rFonts w:ascii="Arial" w:hAnsi="Arial" w:cs="Arial"/>
          <w:bCs/>
          <w:sz w:val="24"/>
          <w:szCs w:val="24"/>
        </w:rPr>
        <w:t xml:space="preserve">and </w:t>
      </w:r>
      <w:r w:rsidR="00036E0C">
        <w:rPr>
          <w:rFonts w:ascii="Arial" w:hAnsi="Arial" w:cs="Arial"/>
          <w:bCs/>
          <w:sz w:val="24"/>
          <w:szCs w:val="24"/>
        </w:rPr>
        <w:t xml:space="preserve">tailored </w:t>
      </w:r>
      <w:r>
        <w:rPr>
          <w:rFonts w:ascii="Arial" w:hAnsi="Arial" w:cs="Arial"/>
          <w:bCs/>
          <w:sz w:val="24"/>
          <w:szCs w:val="24"/>
        </w:rPr>
        <w:t>career learning activities</w:t>
      </w:r>
      <w:r w:rsidR="002A2F9A">
        <w:rPr>
          <w:rFonts w:ascii="Arial" w:hAnsi="Arial" w:cs="Arial"/>
          <w:bCs/>
          <w:sz w:val="24"/>
          <w:szCs w:val="24"/>
        </w:rPr>
        <w:t xml:space="preserve">, resources </w:t>
      </w:r>
      <w:r>
        <w:rPr>
          <w:rFonts w:ascii="Arial" w:hAnsi="Arial" w:cs="Arial"/>
          <w:bCs/>
          <w:sz w:val="24"/>
          <w:szCs w:val="24"/>
        </w:rPr>
        <w:t xml:space="preserve">and events. </w:t>
      </w:r>
    </w:p>
    <w:p w14:paraId="0FE88285" w14:textId="77777777" w:rsidR="00A43A2E" w:rsidRDefault="00A43A2E" w:rsidP="00A806FE">
      <w:pPr>
        <w:spacing w:line="360" w:lineRule="auto"/>
        <w:ind w:left="720"/>
        <w:outlineLvl w:val="1"/>
        <w:rPr>
          <w:rFonts w:ascii="Arial" w:hAnsi="Arial" w:cs="Arial"/>
          <w:sz w:val="24"/>
          <w:szCs w:val="24"/>
        </w:rPr>
      </w:pPr>
    </w:p>
    <w:p w14:paraId="0B624F19" w14:textId="62717839" w:rsidR="00650256" w:rsidRDefault="0080641A" w:rsidP="00650256">
      <w:pPr>
        <w:spacing w:line="360" w:lineRule="auto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1C0CD0">
        <w:rPr>
          <w:rFonts w:ascii="Arial" w:hAnsi="Arial" w:cs="Arial"/>
          <w:sz w:val="24"/>
          <w:szCs w:val="24"/>
        </w:rPr>
        <w:t>he module</w:t>
      </w:r>
      <w:r w:rsidR="00C87C6F">
        <w:rPr>
          <w:rFonts w:ascii="Arial" w:hAnsi="Arial" w:cs="Arial"/>
          <w:sz w:val="24"/>
          <w:szCs w:val="24"/>
        </w:rPr>
        <w:t xml:space="preserve"> </w:t>
      </w:r>
      <w:r w:rsidR="001C0CD0">
        <w:rPr>
          <w:rFonts w:ascii="Arial" w:hAnsi="Arial" w:cs="Arial"/>
          <w:sz w:val="24"/>
          <w:szCs w:val="24"/>
        </w:rPr>
        <w:t>received a</w:t>
      </w:r>
      <w:r w:rsidR="00C87C6F">
        <w:rPr>
          <w:rFonts w:ascii="Arial" w:hAnsi="Arial" w:cs="Arial"/>
          <w:sz w:val="24"/>
          <w:szCs w:val="24"/>
        </w:rPr>
        <w:t>n overall</w:t>
      </w:r>
      <w:r w:rsidR="001C0CD0">
        <w:rPr>
          <w:rFonts w:ascii="Arial" w:hAnsi="Arial" w:cs="Arial"/>
          <w:sz w:val="24"/>
          <w:szCs w:val="24"/>
        </w:rPr>
        <w:t xml:space="preserve"> student satisfaction score of 4.5/5</w:t>
      </w:r>
      <w:r w:rsidR="00F704CA">
        <w:rPr>
          <w:rFonts w:ascii="Arial" w:hAnsi="Arial" w:cs="Arial"/>
          <w:sz w:val="24"/>
          <w:szCs w:val="24"/>
        </w:rPr>
        <w:t xml:space="preserve">, </w:t>
      </w:r>
      <w:r w:rsidR="00C92CB5">
        <w:rPr>
          <w:rFonts w:ascii="Arial" w:hAnsi="Arial" w:cs="Arial"/>
          <w:sz w:val="24"/>
          <w:szCs w:val="24"/>
        </w:rPr>
        <w:t>demonstrating</w:t>
      </w:r>
      <w:r w:rsidR="00F704CA">
        <w:rPr>
          <w:rFonts w:ascii="Arial" w:hAnsi="Arial" w:cs="Arial"/>
          <w:sz w:val="24"/>
          <w:szCs w:val="24"/>
        </w:rPr>
        <w:t xml:space="preserve"> that despite challenges, it proved successful </w:t>
      </w:r>
      <w:r w:rsidR="00C92CB5">
        <w:rPr>
          <w:rFonts w:ascii="Arial" w:hAnsi="Arial" w:cs="Arial"/>
          <w:sz w:val="24"/>
          <w:szCs w:val="24"/>
        </w:rPr>
        <w:t xml:space="preserve">in </w:t>
      </w:r>
      <w:r w:rsidR="00685AA3">
        <w:rPr>
          <w:rFonts w:ascii="Arial" w:hAnsi="Arial" w:cs="Arial"/>
          <w:sz w:val="24"/>
          <w:szCs w:val="24"/>
        </w:rPr>
        <w:t>engaging</w:t>
      </w:r>
      <w:r w:rsidR="00A27A06">
        <w:rPr>
          <w:rFonts w:ascii="Arial" w:hAnsi="Arial" w:cs="Arial"/>
          <w:sz w:val="24"/>
          <w:szCs w:val="24"/>
        </w:rPr>
        <w:t xml:space="preserve"> </w:t>
      </w:r>
      <w:r w:rsidR="00C92CB5">
        <w:rPr>
          <w:rFonts w:ascii="Arial" w:hAnsi="Arial" w:cs="Arial"/>
          <w:sz w:val="24"/>
          <w:szCs w:val="24"/>
        </w:rPr>
        <w:t>students</w:t>
      </w:r>
      <w:r w:rsidR="00F704CA">
        <w:rPr>
          <w:rFonts w:ascii="Arial" w:hAnsi="Arial" w:cs="Arial"/>
          <w:sz w:val="24"/>
          <w:szCs w:val="24"/>
        </w:rPr>
        <w:t xml:space="preserve"> </w:t>
      </w:r>
      <w:r w:rsidR="004F6A9F">
        <w:rPr>
          <w:rFonts w:ascii="Arial" w:hAnsi="Arial" w:cs="Arial"/>
          <w:sz w:val="24"/>
          <w:szCs w:val="24"/>
        </w:rPr>
        <w:t xml:space="preserve">and </w:t>
      </w:r>
      <w:r w:rsidR="00A27A06">
        <w:rPr>
          <w:rFonts w:ascii="Arial" w:hAnsi="Arial" w:cs="Arial"/>
          <w:sz w:val="24"/>
          <w:szCs w:val="24"/>
        </w:rPr>
        <w:t>develop</w:t>
      </w:r>
      <w:r w:rsidR="00685AA3">
        <w:rPr>
          <w:rFonts w:ascii="Arial" w:hAnsi="Arial" w:cs="Arial"/>
          <w:sz w:val="24"/>
          <w:szCs w:val="24"/>
        </w:rPr>
        <w:t>ing</w:t>
      </w:r>
      <w:r w:rsidR="00455646">
        <w:rPr>
          <w:rFonts w:ascii="Arial" w:hAnsi="Arial" w:cs="Arial"/>
          <w:sz w:val="24"/>
          <w:szCs w:val="24"/>
        </w:rPr>
        <w:t xml:space="preserve"> </w:t>
      </w:r>
      <w:r w:rsidR="00F704CA">
        <w:rPr>
          <w:rFonts w:ascii="Arial" w:hAnsi="Arial" w:cs="Arial"/>
          <w:sz w:val="24"/>
          <w:szCs w:val="24"/>
        </w:rPr>
        <w:t xml:space="preserve">their career learning and employability. </w:t>
      </w:r>
      <w:r w:rsidR="00650256">
        <w:rPr>
          <w:rFonts w:ascii="Arial" w:hAnsi="Arial" w:cs="Arial"/>
          <w:bCs/>
          <w:sz w:val="24"/>
          <w:szCs w:val="24"/>
        </w:rPr>
        <w:t>N</w:t>
      </w:r>
      <w:r w:rsidR="00650256" w:rsidRPr="00C7133A">
        <w:rPr>
          <w:rFonts w:ascii="Arial" w:hAnsi="Arial" w:cs="Arial"/>
          <w:bCs/>
          <w:sz w:val="24"/>
          <w:szCs w:val="24"/>
        </w:rPr>
        <w:t>otable student comments received include:</w:t>
      </w:r>
      <w:r w:rsidR="00650256">
        <w:rPr>
          <w:rFonts w:ascii="Arial" w:hAnsi="Arial" w:cs="Arial"/>
          <w:bCs/>
          <w:sz w:val="24"/>
          <w:szCs w:val="24"/>
        </w:rPr>
        <w:t xml:space="preserve"> </w:t>
      </w:r>
    </w:p>
    <w:p w14:paraId="73A3C82D" w14:textId="60506E28" w:rsidR="00650256" w:rsidRPr="00895B36" w:rsidRDefault="00650256" w:rsidP="6C781E5E">
      <w:pPr>
        <w:spacing w:line="360" w:lineRule="auto"/>
        <w:ind w:left="720"/>
        <w:outlineLvl w:val="0"/>
        <w:rPr>
          <w:rFonts w:ascii="Arial" w:hAnsi="Arial" w:cs="Arial"/>
          <w:sz w:val="24"/>
          <w:szCs w:val="24"/>
        </w:rPr>
      </w:pPr>
      <w:r w:rsidRPr="00895B36">
        <w:rPr>
          <w:rFonts w:ascii="Arial" w:hAnsi="Arial" w:cs="Arial"/>
          <w:bCs/>
          <w:i/>
          <w:iCs/>
          <w:sz w:val="24"/>
          <w:szCs w:val="24"/>
        </w:rPr>
        <w:t>‘</w:t>
      </w:r>
      <w:r w:rsidR="00BF2019" w:rsidRPr="00895B36">
        <w:rPr>
          <w:rFonts w:ascii="Arial" w:hAnsi="Arial" w:cs="Arial"/>
          <w:bCs/>
          <w:i/>
          <w:iCs/>
          <w:sz w:val="24"/>
          <w:szCs w:val="24"/>
        </w:rPr>
        <w:t>The</w:t>
      </w:r>
      <w:r w:rsidRPr="00895B36">
        <w:rPr>
          <w:rFonts w:ascii="Arial" w:hAnsi="Arial" w:cs="Arial"/>
          <w:bCs/>
          <w:i/>
          <w:iCs/>
          <w:sz w:val="24"/>
          <w:szCs w:val="24"/>
        </w:rPr>
        <w:t xml:space="preserve"> most practical and genuinely useful module I have ever taken’</w:t>
      </w:r>
    </w:p>
    <w:p w14:paraId="5581209D" w14:textId="51C70882" w:rsidR="00650256" w:rsidRPr="00895B36" w:rsidRDefault="00650256" w:rsidP="00A806FE">
      <w:pPr>
        <w:spacing w:line="360" w:lineRule="auto"/>
        <w:ind w:left="720"/>
        <w:outlineLvl w:val="0"/>
        <w:rPr>
          <w:rFonts w:ascii="Arial" w:hAnsi="Arial" w:cs="Arial"/>
          <w:bCs/>
          <w:sz w:val="24"/>
          <w:szCs w:val="24"/>
        </w:rPr>
      </w:pPr>
      <w:r w:rsidRPr="00895B36">
        <w:rPr>
          <w:rFonts w:ascii="Arial" w:hAnsi="Arial" w:cs="Arial"/>
          <w:bCs/>
          <w:i/>
          <w:iCs/>
          <w:sz w:val="24"/>
          <w:szCs w:val="24"/>
        </w:rPr>
        <w:t>‘Favourite module to date’</w:t>
      </w:r>
      <w:r w:rsidRPr="00895B36">
        <w:rPr>
          <w:rFonts w:ascii="Arial" w:hAnsi="Arial" w:cs="Arial"/>
          <w:bCs/>
          <w:sz w:val="24"/>
          <w:szCs w:val="24"/>
        </w:rPr>
        <w:t xml:space="preserve"> </w:t>
      </w:r>
    </w:p>
    <w:p w14:paraId="68CBBA9A" w14:textId="7CD70C38" w:rsidR="001C0CD0" w:rsidRPr="00895B36" w:rsidRDefault="00650256" w:rsidP="00A806FE">
      <w:pPr>
        <w:spacing w:line="360" w:lineRule="auto"/>
        <w:ind w:left="720"/>
        <w:outlineLvl w:val="0"/>
        <w:rPr>
          <w:rFonts w:ascii="Arial" w:hAnsi="Arial" w:cs="Arial"/>
          <w:bCs/>
          <w:sz w:val="24"/>
          <w:szCs w:val="24"/>
        </w:rPr>
      </w:pPr>
      <w:r w:rsidRPr="00895B36">
        <w:rPr>
          <w:rFonts w:ascii="Arial" w:hAnsi="Arial" w:cs="Arial"/>
          <w:bCs/>
          <w:i/>
          <w:iCs/>
          <w:sz w:val="24"/>
          <w:szCs w:val="24"/>
        </w:rPr>
        <w:t>‘I have gained more knowledge and skills from this module than any module I have ever take</w:t>
      </w:r>
      <w:r w:rsidR="00EC04E4" w:rsidRPr="00895B36">
        <w:rPr>
          <w:rFonts w:ascii="Arial" w:hAnsi="Arial" w:cs="Arial"/>
          <w:bCs/>
          <w:i/>
          <w:iCs/>
          <w:sz w:val="24"/>
          <w:szCs w:val="24"/>
        </w:rPr>
        <w:t>n</w:t>
      </w:r>
      <w:r w:rsidR="00191D85">
        <w:rPr>
          <w:rFonts w:ascii="Arial" w:hAnsi="Arial" w:cs="Arial"/>
          <w:bCs/>
          <w:i/>
          <w:iCs/>
          <w:sz w:val="24"/>
          <w:szCs w:val="24"/>
        </w:rPr>
        <w:t>.’</w:t>
      </w:r>
    </w:p>
    <w:p w14:paraId="3DCAF34D" w14:textId="39281B3B" w:rsidR="004C6D28" w:rsidRDefault="00A43A2E" w:rsidP="00E272B4">
      <w:pPr>
        <w:spacing w:line="360" w:lineRule="auto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</w:t>
      </w:r>
      <w:r w:rsidR="0080641A">
        <w:rPr>
          <w:rFonts w:ascii="Arial" w:hAnsi="Arial" w:cs="Arial"/>
          <w:bCs/>
          <w:sz w:val="24"/>
          <w:szCs w:val="24"/>
        </w:rPr>
        <w:t xml:space="preserve">hile </w:t>
      </w:r>
      <w:r>
        <w:rPr>
          <w:rFonts w:ascii="Arial" w:hAnsi="Arial" w:cs="Arial"/>
          <w:bCs/>
          <w:sz w:val="24"/>
          <w:szCs w:val="24"/>
        </w:rPr>
        <w:t xml:space="preserve">the </w:t>
      </w:r>
      <w:r w:rsidR="0080641A">
        <w:rPr>
          <w:rFonts w:ascii="Arial" w:hAnsi="Arial" w:cs="Arial"/>
          <w:bCs/>
          <w:sz w:val="24"/>
          <w:szCs w:val="24"/>
        </w:rPr>
        <w:t xml:space="preserve">individual components and solutions within this module are </w:t>
      </w:r>
      <w:r w:rsidR="00E2574D">
        <w:rPr>
          <w:rFonts w:ascii="Arial" w:hAnsi="Arial" w:cs="Arial"/>
          <w:bCs/>
          <w:sz w:val="24"/>
          <w:szCs w:val="24"/>
        </w:rPr>
        <w:t xml:space="preserve">not intrinsically </w:t>
      </w:r>
      <w:r w:rsidR="0080641A">
        <w:rPr>
          <w:rFonts w:ascii="Arial" w:hAnsi="Arial" w:cs="Arial"/>
          <w:bCs/>
          <w:sz w:val="24"/>
          <w:szCs w:val="24"/>
        </w:rPr>
        <w:t xml:space="preserve">radical, </w:t>
      </w:r>
      <w:r w:rsidR="004F7F57">
        <w:rPr>
          <w:rFonts w:ascii="Arial" w:hAnsi="Arial" w:cs="Arial"/>
          <w:bCs/>
          <w:sz w:val="24"/>
          <w:szCs w:val="24"/>
        </w:rPr>
        <w:t>we have</w:t>
      </w:r>
      <w:r w:rsidR="0080641A">
        <w:rPr>
          <w:rFonts w:ascii="Arial" w:hAnsi="Arial" w:cs="Arial"/>
          <w:bCs/>
          <w:sz w:val="24"/>
          <w:szCs w:val="24"/>
        </w:rPr>
        <w:t xml:space="preserve"> demonstrated that if </w:t>
      </w:r>
      <w:r w:rsidR="00E2574D">
        <w:rPr>
          <w:rFonts w:ascii="Arial" w:hAnsi="Arial" w:cs="Arial"/>
          <w:bCs/>
          <w:sz w:val="24"/>
          <w:szCs w:val="24"/>
        </w:rPr>
        <w:t xml:space="preserve">carefully </w:t>
      </w:r>
      <w:r w:rsidR="0080641A">
        <w:rPr>
          <w:rFonts w:ascii="Arial" w:hAnsi="Arial" w:cs="Arial"/>
          <w:bCs/>
          <w:sz w:val="24"/>
          <w:szCs w:val="24"/>
        </w:rPr>
        <w:t>combined and applied</w:t>
      </w:r>
      <w:r w:rsidR="004F7F57">
        <w:rPr>
          <w:rFonts w:ascii="Arial" w:hAnsi="Arial" w:cs="Arial"/>
          <w:bCs/>
          <w:sz w:val="24"/>
          <w:szCs w:val="24"/>
        </w:rPr>
        <w:t>,</w:t>
      </w:r>
      <w:r w:rsidR="0080641A">
        <w:rPr>
          <w:rFonts w:ascii="Arial" w:hAnsi="Arial" w:cs="Arial"/>
          <w:bCs/>
          <w:sz w:val="24"/>
          <w:szCs w:val="24"/>
        </w:rPr>
        <w:t xml:space="preserve"> they can be highly effective in enhancing student engagement</w:t>
      </w:r>
      <w:r w:rsidR="00685AA3">
        <w:rPr>
          <w:rFonts w:ascii="Arial" w:hAnsi="Arial" w:cs="Arial"/>
          <w:bCs/>
          <w:sz w:val="24"/>
          <w:szCs w:val="24"/>
        </w:rPr>
        <w:t>, learning</w:t>
      </w:r>
      <w:r w:rsidR="0080641A">
        <w:rPr>
          <w:rFonts w:ascii="Arial" w:hAnsi="Arial" w:cs="Arial"/>
          <w:bCs/>
          <w:sz w:val="24"/>
          <w:szCs w:val="24"/>
        </w:rPr>
        <w:t xml:space="preserve"> and satisfaction. </w:t>
      </w:r>
      <w:r w:rsidR="002B6DD0">
        <w:rPr>
          <w:rFonts w:ascii="Arial" w:hAnsi="Arial" w:cs="Arial"/>
          <w:bCs/>
          <w:sz w:val="24"/>
          <w:szCs w:val="24"/>
        </w:rPr>
        <w:t xml:space="preserve">Although the module may seem </w:t>
      </w:r>
      <w:r w:rsidR="005519D1">
        <w:rPr>
          <w:rFonts w:ascii="Arial" w:hAnsi="Arial" w:cs="Arial"/>
          <w:bCs/>
          <w:sz w:val="24"/>
          <w:szCs w:val="24"/>
        </w:rPr>
        <w:t>resource-intensive</w:t>
      </w:r>
      <w:r w:rsidR="00D855A8">
        <w:rPr>
          <w:rFonts w:ascii="Arial" w:hAnsi="Arial" w:cs="Arial"/>
          <w:bCs/>
          <w:sz w:val="24"/>
          <w:szCs w:val="24"/>
        </w:rPr>
        <w:t xml:space="preserve"> to those working in leaner </w:t>
      </w:r>
      <w:r w:rsidR="00FF00A2">
        <w:rPr>
          <w:rFonts w:ascii="Arial" w:hAnsi="Arial" w:cs="Arial"/>
          <w:bCs/>
          <w:sz w:val="24"/>
          <w:szCs w:val="24"/>
        </w:rPr>
        <w:t>environments, we</w:t>
      </w:r>
      <w:r w:rsidR="002B6DD0">
        <w:rPr>
          <w:rFonts w:ascii="Arial" w:hAnsi="Arial" w:cs="Arial"/>
          <w:bCs/>
          <w:sz w:val="24"/>
          <w:szCs w:val="24"/>
        </w:rPr>
        <w:t xml:space="preserve"> feel</w:t>
      </w:r>
      <w:r w:rsidR="00502747">
        <w:rPr>
          <w:rFonts w:ascii="Arial" w:hAnsi="Arial" w:cs="Arial"/>
          <w:bCs/>
          <w:sz w:val="24"/>
          <w:szCs w:val="24"/>
        </w:rPr>
        <w:t xml:space="preserve"> that </w:t>
      </w:r>
      <w:r>
        <w:rPr>
          <w:rFonts w:ascii="Arial" w:hAnsi="Arial" w:cs="Arial"/>
          <w:bCs/>
          <w:sz w:val="24"/>
          <w:szCs w:val="24"/>
        </w:rPr>
        <w:t>there are opportunities to be</w:t>
      </w:r>
      <w:r w:rsidR="00502747">
        <w:rPr>
          <w:rFonts w:ascii="Arial" w:hAnsi="Arial" w:cs="Arial"/>
          <w:bCs/>
          <w:sz w:val="24"/>
          <w:szCs w:val="24"/>
        </w:rPr>
        <w:t xml:space="preserve"> </w:t>
      </w:r>
      <w:r w:rsidR="00756610">
        <w:rPr>
          <w:rFonts w:ascii="Arial" w:hAnsi="Arial" w:cs="Arial"/>
          <w:bCs/>
          <w:sz w:val="24"/>
          <w:szCs w:val="24"/>
        </w:rPr>
        <w:t>strategically</w:t>
      </w:r>
      <w:r w:rsidR="00F0610C">
        <w:rPr>
          <w:rFonts w:ascii="Arial" w:hAnsi="Arial" w:cs="Arial"/>
          <w:bCs/>
          <w:sz w:val="24"/>
          <w:szCs w:val="24"/>
        </w:rPr>
        <w:t xml:space="preserve"> </w:t>
      </w:r>
      <w:r w:rsidR="00F44C43">
        <w:rPr>
          <w:rFonts w:ascii="Arial" w:hAnsi="Arial" w:cs="Arial"/>
          <w:bCs/>
          <w:sz w:val="24"/>
          <w:szCs w:val="24"/>
        </w:rPr>
        <w:t>selective</w:t>
      </w:r>
      <w:r w:rsidR="00F0610C">
        <w:rPr>
          <w:rFonts w:ascii="Arial" w:hAnsi="Arial" w:cs="Arial"/>
          <w:bCs/>
          <w:sz w:val="24"/>
          <w:szCs w:val="24"/>
        </w:rPr>
        <w:t xml:space="preserve"> for your own context</w:t>
      </w:r>
      <w:r w:rsidR="00756610">
        <w:rPr>
          <w:rFonts w:ascii="Arial" w:hAnsi="Arial" w:cs="Arial"/>
          <w:bCs/>
          <w:sz w:val="24"/>
          <w:szCs w:val="24"/>
        </w:rPr>
        <w:t>, for example,</w:t>
      </w:r>
      <w:r w:rsidR="000B08E9">
        <w:rPr>
          <w:rFonts w:ascii="Arial" w:hAnsi="Arial" w:cs="Arial"/>
          <w:bCs/>
          <w:sz w:val="24"/>
          <w:szCs w:val="24"/>
        </w:rPr>
        <w:t xml:space="preserve"> </w:t>
      </w:r>
      <w:r w:rsidR="00756610">
        <w:rPr>
          <w:rFonts w:ascii="Arial" w:hAnsi="Arial" w:cs="Arial"/>
          <w:bCs/>
          <w:sz w:val="24"/>
          <w:szCs w:val="24"/>
        </w:rPr>
        <w:t xml:space="preserve">involving students </w:t>
      </w:r>
      <w:r w:rsidR="00A47B22">
        <w:rPr>
          <w:rFonts w:ascii="Arial" w:hAnsi="Arial" w:cs="Arial"/>
          <w:bCs/>
          <w:sz w:val="24"/>
          <w:szCs w:val="24"/>
        </w:rPr>
        <w:t xml:space="preserve">as effective resource-creators, </w:t>
      </w:r>
      <w:r>
        <w:rPr>
          <w:rFonts w:ascii="Arial" w:hAnsi="Arial" w:cs="Arial"/>
          <w:bCs/>
          <w:sz w:val="24"/>
          <w:szCs w:val="24"/>
        </w:rPr>
        <w:t>(</w:t>
      </w:r>
      <w:r w:rsidR="00A47B22">
        <w:rPr>
          <w:rFonts w:ascii="Arial" w:hAnsi="Arial" w:cs="Arial"/>
          <w:bCs/>
          <w:sz w:val="24"/>
          <w:szCs w:val="24"/>
        </w:rPr>
        <w:t>as in our ambassador concept</w:t>
      </w:r>
      <w:r>
        <w:rPr>
          <w:rFonts w:ascii="Arial" w:hAnsi="Arial" w:cs="Arial"/>
          <w:bCs/>
          <w:sz w:val="24"/>
          <w:szCs w:val="24"/>
        </w:rPr>
        <w:t>)</w:t>
      </w:r>
      <w:r w:rsidR="00A51C40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to create scalable resource to deliver change.</w:t>
      </w:r>
      <w:r w:rsidR="008B0B5A">
        <w:rPr>
          <w:rFonts w:ascii="Arial" w:hAnsi="Arial" w:cs="Arial"/>
          <w:bCs/>
          <w:sz w:val="24"/>
          <w:szCs w:val="24"/>
        </w:rPr>
        <w:t xml:space="preserve"> </w:t>
      </w:r>
      <w:r w:rsidR="002B6DD0">
        <w:rPr>
          <w:rFonts w:ascii="Arial" w:hAnsi="Arial" w:cs="Arial"/>
          <w:bCs/>
          <w:sz w:val="24"/>
          <w:szCs w:val="24"/>
        </w:rPr>
        <w:t xml:space="preserve">Moreover, despite our focus </w:t>
      </w:r>
      <w:r w:rsidR="0080641A">
        <w:rPr>
          <w:rFonts w:ascii="Arial" w:hAnsi="Arial" w:cs="Arial"/>
          <w:bCs/>
          <w:sz w:val="24"/>
          <w:szCs w:val="24"/>
        </w:rPr>
        <w:t xml:space="preserve">on a geography </w:t>
      </w:r>
      <w:r w:rsidR="005C570C">
        <w:rPr>
          <w:rFonts w:ascii="Arial" w:hAnsi="Arial" w:cs="Arial"/>
          <w:bCs/>
          <w:sz w:val="24"/>
          <w:szCs w:val="24"/>
        </w:rPr>
        <w:t>module,</w:t>
      </w:r>
      <w:r w:rsidR="0080641A">
        <w:rPr>
          <w:rFonts w:ascii="Arial" w:hAnsi="Arial" w:cs="Arial"/>
          <w:bCs/>
          <w:sz w:val="24"/>
          <w:szCs w:val="24"/>
        </w:rPr>
        <w:t xml:space="preserve"> we believe </w:t>
      </w:r>
      <w:r w:rsidR="00001246">
        <w:rPr>
          <w:rFonts w:ascii="Arial" w:hAnsi="Arial" w:cs="Arial"/>
          <w:bCs/>
          <w:sz w:val="24"/>
          <w:szCs w:val="24"/>
        </w:rPr>
        <w:t xml:space="preserve">that </w:t>
      </w:r>
      <w:r w:rsidR="0080641A">
        <w:rPr>
          <w:rFonts w:ascii="Arial" w:hAnsi="Arial" w:cs="Arial"/>
          <w:bCs/>
          <w:sz w:val="24"/>
          <w:szCs w:val="24"/>
        </w:rPr>
        <w:t xml:space="preserve">these solutions </w:t>
      </w:r>
      <w:r w:rsidR="00DD05AC">
        <w:rPr>
          <w:rFonts w:ascii="Arial" w:hAnsi="Arial" w:cs="Arial"/>
          <w:bCs/>
          <w:sz w:val="24"/>
          <w:szCs w:val="24"/>
        </w:rPr>
        <w:t>can successfully be</w:t>
      </w:r>
      <w:r w:rsidR="0080641A">
        <w:rPr>
          <w:rFonts w:ascii="Arial" w:hAnsi="Arial" w:cs="Arial"/>
          <w:bCs/>
          <w:sz w:val="24"/>
          <w:szCs w:val="24"/>
        </w:rPr>
        <w:t xml:space="preserve"> scaled and transferred across disciplines, institutions and learning contexts. </w:t>
      </w:r>
    </w:p>
    <w:p w14:paraId="6BA61120" w14:textId="4AA112FF" w:rsidR="002A2F9A" w:rsidRPr="005913AF" w:rsidRDefault="002A2F9A" w:rsidP="00E272B4">
      <w:pPr>
        <w:spacing w:line="360" w:lineRule="auto"/>
        <w:outlineLvl w:val="0"/>
        <w:rPr>
          <w:rFonts w:ascii="Arial" w:hAnsi="Arial" w:cs="Arial"/>
          <w:b/>
          <w:sz w:val="24"/>
          <w:szCs w:val="24"/>
        </w:rPr>
      </w:pPr>
      <w:r w:rsidRPr="005913AF">
        <w:rPr>
          <w:rFonts w:ascii="Arial" w:hAnsi="Arial" w:cs="Arial"/>
          <w:b/>
          <w:sz w:val="24"/>
          <w:szCs w:val="24"/>
        </w:rPr>
        <w:t>Word count: 5971</w:t>
      </w:r>
    </w:p>
    <w:p w14:paraId="266B077B" w14:textId="13F63186" w:rsidR="009F0E32" w:rsidRDefault="009F0E32" w:rsidP="00E272B4">
      <w:pPr>
        <w:spacing w:line="360" w:lineRule="auto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References</w:t>
      </w:r>
    </w:p>
    <w:p w14:paraId="26D73173" w14:textId="467CE388" w:rsidR="00C36BBB" w:rsidRDefault="002759D0" w:rsidP="00E272B4">
      <w:pPr>
        <w:spacing w:line="360" w:lineRule="auto"/>
        <w:outlineLvl w:val="0"/>
        <w:rPr>
          <w:rFonts w:ascii="Arial" w:hAnsi="Arial" w:cs="Arial"/>
          <w:bCs/>
          <w:sz w:val="24"/>
          <w:szCs w:val="24"/>
        </w:rPr>
      </w:pPr>
      <w:r w:rsidRPr="002759D0">
        <w:rPr>
          <w:rFonts w:ascii="Arial" w:hAnsi="Arial" w:cs="Arial"/>
          <w:bCs/>
          <w:sz w:val="24"/>
          <w:szCs w:val="24"/>
        </w:rPr>
        <w:t>AGCAS(2022) The opportunities and challenges of student engagement in careers and employability provision</w:t>
      </w:r>
      <w:r w:rsidR="004905CF">
        <w:rPr>
          <w:rFonts w:ascii="Arial" w:hAnsi="Arial" w:cs="Arial"/>
          <w:bCs/>
          <w:sz w:val="24"/>
          <w:szCs w:val="24"/>
        </w:rPr>
        <w:t xml:space="preserve"> </w:t>
      </w:r>
      <w:hyperlink r:id="rId8" w:history="1">
        <w:r w:rsidR="00EC1C6A" w:rsidRPr="00E03C19">
          <w:rPr>
            <w:rStyle w:val="Hyperlink"/>
            <w:rFonts w:ascii="Arial" w:hAnsi="Arial" w:cs="Arial"/>
            <w:bCs/>
            <w:sz w:val="24"/>
            <w:szCs w:val="24"/>
          </w:rPr>
          <w:t>https://www.agcas.org.uk/write/MediaUploads/Resources/Research%20and%20knowledge/Symp_22_Student_Engagement_Report_Final.pdf - accessed 2/1/25</w:t>
        </w:r>
      </w:hyperlink>
    </w:p>
    <w:p w14:paraId="2A3EA25C" w14:textId="25D37C01" w:rsidR="00EC1C6A" w:rsidRDefault="00F20230" w:rsidP="00E272B4">
      <w:pPr>
        <w:spacing w:line="360" w:lineRule="auto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Allcott, G (2016), </w:t>
      </w:r>
      <w:r w:rsidR="002C7B8A" w:rsidRPr="002C7B8A">
        <w:rPr>
          <w:rFonts w:ascii="Arial" w:hAnsi="Arial" w:cs="Arial"/>
          <w:bCs/>
          <w:sz w:val="24"/>
          <w:szCs w:val="24"/>
        </w:rPr>
        <w:t>How to Be a Productivity Ninja: Worry Less, Achieve More and Love What You Do</w:t>
      </w:r>
      <w:r w:rsidR="00B25CF5">
        <w:rPr>
          <w:rFonts w:ascii="Arial" w:hAnsi="Arial" w:cs="Arial"/>
          <w:bCs/>
          <w:sz w:val="24"/>
          <w:szCs w:val="24"/>
        </w:rPr>
        <w:t xml:space="preserve">, </w:t>
      </w:r>
      <w:r w:rsidR="00B25CF5" w:rsidRPr="00B25CF5">
        <w:rPr>
          <w:rFonts w:ascii="Arial" w:hAnsi="Arial" w:cs="Arial"/>
          <w:bCs/>
          <w:sz w:val="24"/>
          <w:szCs w:val="24"/>
        </w:rPr>
        <w:t>Icon Books, Limited</w:t>
      </w:r>
    </w:p>
    <w:p w14:paraId="0841898B" w14:textId="59B90ECA" w:rsidR="00135C05" w:rsidRPr="002759D0" w:rsidRDefault="00135C05" w:rsidP="00E272B4">
      <w:pPr>
        <w:spacing w:line="360" w:lineRule="auto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Allen</w:t>
      </w:r>
      <w:r w:rsidR="00F979A3">
        <w:rPr>
          <w:rFonts w:ascii="Arial" w:hAnsi="Arial" w:cs="Arial"/>
          <w:bCs/>
          <w:sz w:val="24"/>
          <w:szCs w:val="24"/>
        </w:rPr>
        <w:t xml:space="preserve">, D (2015), </w:t>
      </w:r>
      <w:r w:rsidR="00F979A3" w:rsidRPr="00F979A3">
        <w:rPr>
          <w:rFonts w:ascii="Arial" w:hAnsi="Arial" w:cs="Arial"/>
          <w:bCs/>
          <w:sz w:val="24"/>
          <w:szCs w:val="24"/>
        </w:rPr>
        <w:t>Getting Things Done: The Art of Stress-free Productivity</w:t>
      </w:r>
      <w:r w:rsidR="00F979A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820D6E" w:rsidRPr="00820D6E">
        <w:rPr>
          <w:rFonts w:ascii="Arial" w:hAnsi="Arial" w:cs="Arial"/>
          <w:bCs/>
          <w:sz w:val="24"/>
          <w:szCs w:val="24"/>
        </w:rPr>
        <w:t>Piatkus</w:t>
      </w:r>
      <w:proofErr w:type="spellEnd"/>
    </w:p>
    <w:p w14:paraId="4397925E" w14:textId="680E8EE9" w:rsidR="009F0E32" w:rsidRDefault="009F0E32" w:rsidP="000E7F1C">
      <w:p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CC3AC8">
        <w:rPr>
          <w:rFonts w:ascii="Arial" w:hAnsi="Arial" w:cs="Arial"/>
          <w:sz w:val="24"/>
          <w:szCs w:val="24"/>
        </w:rPr>
        <w:lastRenderedPageBreak/>
        <w:t xml:space="preserve">Bergmann, J., </w:t>
      </w:r>
      <w:r w:rsidR="00D052B8">
        <w:rPr>
          <w:rFonts w:ascii="Arial" w:hAnsi="Arial" w:cs="Arial"/>
          <w:sz w:val="24"/>
          <w:szCs w:val="24"/>
        </w:rPr>
        <w:t>and</w:t>
      </w:r>
      <w:r w:rsidRPr="00CC3AC8">
        <w:rPr>
          <w:rFonts w:ascii="Arial" w:hAnsi="Arial" w:cs="Arial"/>
          <w:sz w:val="24"/>
          <w:szCs w:val="24"/>
        </w:rPr>
        <w:t xml:space="preserve"> Sams, A. (2012). Flip Your Classroom: Reach Every Student in Every Class Every Day (pp. 120-190). Washington DC: International Society for Technology in Education.</w:t>
      </w:r>
    </w:p>
    <w:p w14:paraId="28D6F33F" w14:textId="77777777" w:rsidR="009F0E32" w:rsidRDefault="009F0E32" w:rsidP="000E7F1C">
      <w:p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5506D4">
        <w:rPr>
          <w:rFonts w:ascii="Arial" w:hAnsi="Arial" w:cs="Arial"/>
          <w:sz w:val="24"/>
          <w:szCs w:val="24"/>
        </w:rPr>
        <w:t xml:space="preserve">Biggs, J. Enhancing teaching through constructive alignment. High </w:t>
      </w:r>
      <w:proofErr w:type="spellStart"/>
      <w:r w:rsidRPr="005506D4">
        <w:rPr>
          <w:rFonts w:ascii="Arial" w:hAnsi="Arial" w:cs="Arial"/>
          <w:sz w:val="24"/>
          <w:szCs w:val="24"/>
        </w:rPr>
        <w:t>Educ</w:t>
      </w:r>
      <w:proofErr w:type="spellEnd"/>
      <w:r w:rsidRPr="005506D4">
        <w:rPr>
          <w:rFonts w:ascii="Arial" w:hAnsi="Arial" w:cs="Arial"/>
          <w:sz w:val="24"/>
          <w:szCs w:val="24"/>
        </w:rPr>
        <w:t xml:space="preserve"> 32, 347–364 (1996). </w:t>
      </w:r>
      <w:hyperlink r:id="rId9" w:history="1">
        <w:r w:rsidRPr="00DD3A36">
          <w:rPr>
            <w:rStyle w:val="Hyperlink"/>
            <w:rFonts w:ascii="Arial" w:hAnsi="Arial" w:cs="Arial"/>
            <w:sz w:val="24"/>
            <w:szCs w:val="24"/>
          </w:rPr>
          <w:t>https://doi.org/10.1007/BF00138871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0433EC9" w14:textId="118D77C9" w:rsidR="008013C5" w:rsidRDefault="008013C5" w:rsidP="000E7F1C">
      <w:p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8013C5">
        <w:rPr>
          <w:rFonts w:ascii="Arial" w:hAnsi="Arial" w:cs="Arial"/>
          <w:sz w:val="24"/>
          <w:szCs w:val="24"/>
        </w:rPr>
        <w:t xml:space="preserve">Biggs, J. </w:t>
      </w:r>
      <w:r w:rsidR="00D052B8">
        <w:rPr>
          <w:rFonts w:ascii="Arial" w:hAnsi="Arial" w:cs="Arial"/>
          <w:sz w:val="24"/>
          <w:szCs w:val="24"/>
        </w:rPr>
        <w:t>and</w:t>
      </w:r>
      <w:r w:rsidRPr="008013C5">
        <w:rPr>
          <w:rFonts w:ascii="Arial" w:hAnsi="Arial" w:cs="Arial"/>
          <w:sz w:val="24"/>
          <w:szCs w:val="24"/>
        </w:rPr>
        <w:t xml:space="preserve"> Tang, C. (2007) Teaching for Quality Learning at University Maidenhead: Open University Press/McGraw Hill.</w:t>
      </w:r>
    </w:p>
    <w:p w14:paraId="1451C24E" w14:textId="7B390626" w:rsidR="00F8158D" w:rsidRPr="00F8158D" w:rsidRDefault="00F8158D" w:rsidP="000E7F1C">
      <w:p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F8158D">
        <w:rPr>
          <w:rFonts w:ascii="Arial" w:hAnsi="Arial" w:cs="Arial"/>
          <w:sz w:val="24"/>
          <w:szCs w:val="24"/>
        </w:rPr>
        <w:t xml:space="preserve">Boden, R., </w:t>
      </w:r>
      <w:r w:rsidR="00D052B8">
        <w:rPr>
          <w:rFonts w:ascii="Arial" w:hAnsi="Arial" w:cs="Arial"/>
          <w:sz w:val="24"/>
          <w:szCs w:val="24"/>
        </w:rPr>
        <w:t>and</w:t>
      </w:r>
      <w:r w:rsidRPr="00F815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158D">
        <w:rPr>
          <w:rFonts w:ascii="Arial" w:hAnsi="Arial" w:cs="Arial"/>
          <w:sz w:val="24"/>
          <w:szCs w:val="24"/>
        </w:rPr>
        <w:t>Nedeva</w:t>
      </w:r>
      <w:proofErr w:type="spellEnd"/>
      <w:r w:rsidRPr="00F8158D">
        <w:rPr>
          <w:rFonts w:ascii="Arial" w:hAnsi="Arial" w:cs="Arial"/>
          <w:sz w:val="24"/>
          <w:szCs w:val="24"/>
        </w:rPr>
        <w:t xml:space="preserve">, M. (2010). Employing discourse: universities and graduate ‘employability.’ Journal of Education Policy, 25(1), 37–54. </w:t>
      </w:r>
      <w:hyperlink r:id="rId10" w:history="1">
        <w:r w:rsidRPr="001D696D">
          <w:rPr>
            <w:rStyle w:val="Hyperlink"/>
            <w:rFonts w:ascii="Arial" w:hAnsi="Arial" w:cs="Arial"/>
            <w:sz w:val="24"/>
            <w:szCs w:val="24"/>
          </w:rPr>
          <w:t>https://doi.org/10.1080/02680930903349489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03D1BF5" w14:textId="55ADDF7B" w:rsidR="00013B8F" w:rsidRPr="00522824" w:rsidRDefault="00013B8F" w:rsidP="000E7F1C">
      <w:p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13B8F">
        <w:rPr>
          <w:rFonts w:ascii="Arial" w:hAnsi="Arial" w:cs="Arial"/>
          <w:sz w:val="24"/>
          <w:szCs w:val="24"/>
        </w:rPr>
        <w:t xml:space="preserve">Bradley, A., Priego-Hernández, J., </w:t>
      </w:r>
      <w:r w:rsidR="00D052B8">
        <w:rPr>
          <w:rFonts w:ascii="Arial" w:hAnsi="Arial" w:cs="Arial"/>
          <w:sz w:val="24"/>
          <w:szCs w:val="24"/>
        </w:rPr>
        <w:t>and</w:t>
      </w:r>
      <w:r w:rsidRPr="00013B8F">
        <w:rPr>
          <w:rFonts w:ascii="Arial" w:hAnsi="Arial" w:cs="Arial"/>
          <w:sz w:val="24"/>
          <w:szCs w:val="24"/>
        </w:rPr>
        <w:t xml:space="preserve"> Quigley, M. (2021). Evaluating the efficacy of embedding employability into a second-year undergraduate module. </w:t>
      </w:r>
      <w:r w:rsidRPr="00013B8F">
        <w:rPr>
          <w:rFonts w:ascii="Arial" w:hAnsi="Arial" w:cs="Arial"/>
          <w:i/>
          <w:iCs/>
          <w:sz w:val="24"/>
          <w:szCs w:val="24"/>
        </w:rPr>
        <w:t>Studies in Higher Education</w:t>
      </w:r>
      <w:r w:rsidRPr="00013B8F">
        <w:rPr>
          <w:rFonts w:ascii="Arial" w:hAnsi="Arial" w:cs="Arial"/>
          <w:sz w:val="24"/>
          <w:szCs w:val="24"/>
        </w:rPr>
        <w:t>, </w:t>
      </w:r>
      <w:r w:rsidRPr="00013B8F">
        <w:rPr>
          <w:rFonts w:ascii="Arial" w:hAnsi="Arial" w:cs="Arial"/>
          <w:i/>
          <w:iCs/>
          <w:sz w:val="24"/>
          <w:szCs w:val="24"/>
        </w:rPr>
        <w:t>47</w:t>
      </w:r>
      <w:r w:rsidRPr="00013B8F">
        <w:rPr>
          <w:rFonts w:ascii="Arial" w:hAnsi="Arial" w:cs="Arial"/>
          <w:sz w:val="24"/>
          <w:szCs w:val="24"/>
        </w:rPr>
        <w:t xml:space="preserve">(11), 2161–2173. </w:t>
      </w:r>
      <w:hyperlink r:id="rId11" w:history="1">
        <w:r w:rsidRPr="00B723DD">
          <w:rPr>
            <w:rStyle w:val="Hyperlink"/>
            <w:rFonts w:ascii="Arial" w:hAnsi="Arial" w:cs="Arial"/>
            <w:sz w:val="24"/>
            <w:szCs w:val="24"/>
          </w:rPr>
          <w:t>https://doi.org/10.1080/03075079.2021.2020748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4D30635C" w14:textId="77777777" w:rsidR="009F0E32" w:rsidRDefault="009F0E32" w:rsidP="000E7F1C">
      <w:p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522824">
        <w:rPr>
          <w:rFonts w:ascii="Arial" w:hAnsi="Arial" w:cs="Arial"/>
          <w:sz w:val="24"/>
          <w:szCs w:val="24"/>
        </w:rPr>
        <w:t>Bonwell, C. C., and Eison, J.A. (1991). Active learning: creating excitement in the classroom. ASH#-ERIC Higher Education Report No. 1, Washington, D.C.: The George Washington University, School of Education and Human Development</w:t>
      </w:r>
    </w:p>
    <w:p w14:paraId="79DC97C6" w14:textId="71E76FA1" w:rsidR="006D07EB" w:rsidRPr="00522824" w:rsidRDefault="005A2897" w:rsidP="000E7F1C">
      <w:p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5A2897">
        <w:rPr>
          <w:rFonts w:ascii="Arial" w:hAnsi="Arial" w:cs="Arial"/>
          <w:sz w:val="24"/>
          <w:szCs w:val="24"/>
        </w:rPr>
        <w:t xml:space="preserve">Browne, John, Department for Business, Innovation and Skills (BIS), </w:t>
      </w:r>
      <w:proofErr w:type="spellStart"/>
      <w:r w:rsidRPr="005A2897">
        <w:rPr>
          <w:rFonts w:ascii="Arial" w:hAnsi="Arial" w:cs="Arial"/>
          <w:sz w:val="24"/>
          <w:szCs w:val="24"/>
        </w:rPr>
        <w:t>corp</w:t>
      </w:r>
      <w:proofErr w:type="spellEnd"/>
      <w:r w:rsidRPr="005A2897">
        <w:rPr>
          <w:rFonts w:ascii="Arial" w:hAnsi="Arial" w:cs="Arial"/>
          <w:sz w:val="24"/>
          <w:szCs w:val="24"/>
        </w:rPr>
        <w:t xml:space="preserve"> creator. (2010) Securing a sustainable future for higher education : an independent review of higher education funding and student finance</w:t>
      </w:r>
      <w:r w:rsidR="00BD6487">
        <w:rPr>
          <w:rFonts w:ascii="Arial" w:hAnsi="Arial" w:cs="Arial"/>
          <w:sz w:val="24"/>
          <w:szCs w:val="24"/>
        </w:rPr>
        <w:t xml:space="preserve"> - </w:t>
      </w:r>
      <w:hyperlink r:id="rId12" w:history="1">
        <w:r w:rsidR="00BD6487" w:rsidRPr="00E03C19">
          <w:rPr>
            <w:rStyle w:val="Hyperlink"/>
            <w:rFonts w:ascii="Arial" w:hAnsi="Arial" w:cs="Arial"/>
            <w:sz w:val="24"/>
            <w:szCs w:val="24"/>
          </w:rPr>
          <w:t>https://www.gov.uk/government/publications/the-browne-report-higher-education-funding-and-student-finance</w:t>
        </w:r>
      </w:hyperlink>
      <w:r w:rsidR="00BD6487">
        <w:rPr>
          <w:rFonts w:ascii="Arial" w:hAnsi="Arial" w:cs="Arial"/>
          <w:sz w:val="24"/>
          <w:szCs w:val="24"/>
        </w:rPr>
        <w:t xml:space="preserve"> - accessed 6/1/25</w:t>
      </w:r>
    </w:p>
    <w:p w14:paraId="5460934B" w14:textId="77777777" w:rsidR="009F0E32" w:rsidRDefault="009F0E32" w:rsidP="000E7F1C">
      <w:p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proofErr w:type="spellStart"/>
      <w:r w:rsidRPr="00522824">
        <w:rPr>
          <w:rFonts w:ascii="Arial" w:hAnsi="Arial" w:cs="Arial"/>
          <w:sz w:val="24"/>
          <w:szCs w:val="24"/>
        </w:rPr>
        <w:t>Clouder</w:t>
      </w:r>
      <w:proofErr w:type="spellEnd"/>
      <w:r w:rsidRPr="00522824">
        <w:rPr>
          <w:rFonts w:ascii="Arial" w:hAnsi="Arial" w:cs="Arial"/>
          <w:sz w:val="24"/>
          <w:szCs w:val="24"/>
        </w:rPr>
        <w:t>, L, Broughan, C, Jewell, S, Steventon, G (2012) Improving Student Engagement and Development through Assessment, Routledge</w:t>
      </w:r>
    </w:p>
    <w:p w14:paraId="6F833E0F" w14:textId="52071DC8" w:rsidR="001861BF" w:rsidRDefault="009F0E32" w:rsidP="000E7F1C">
      <w:p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Dearing, R. (1997) Higher Education in the Learning Society. The National Committee of Enquiry into Higher Education </w:t>
      </w:r>
    </w:p>
    <w:p w14:paraId="0B14740E" w14:textId="77777777" w:rsidR="009F0E32" w:rsidRDefault="009F0E32" w:rsidP="000E7F1C">
      <w:p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396A7E">
        <w:rPr>
          <w:rFonts w:ascii="Arial" w:hAnsi="Arial" w:cs="Arial"/>
          <w:sz w:val="24"/>
          <w:szCs w:val="24"/>
        </w:rPr>
        <w:t xml:space="preserve">Department of Business Innovation and Skills (2016), “Success as a knowledge economy: teaching excellence, social mobility and student choice”, available at: </w:t>
      </w:r>
      <w:hyperlink r:id="rId13" w:history="1">
        <w:r w:rsidRPr="00396A7E">
          <w:rPr>
            <w:rStyle w:val="Hyperlink"/>
            <w:rFonts w:ascii="Arial" w:hAnsi="Arial" w:cs="Arial"/>
            <w:sz w:val="24"/>
            <w:szCs w:val="24"/>
          </w:rPr>
          <w:t>https://www.gov.uk/government/uploads/system/uploads/attachment_data/file/523396/bis-16-265-success-as-a-knowledgeeconomy.pdf</w:t>
        </w:r>
      </w:hyperlink>
      <w:r w:rsidRPr="00396A7E">
        <w:rPr>
          <w:rFonts w:ascii="Arial" w:hAnsi="Arial" w:cs="Arial"/>
          <w:sz w:val="24"/>
          <w:szCs w:val="24"/>
        </w:rPr>
        <w:t>.</w:t>
      </w:r>
    </w:p>
    <w:p w14:paraId="79B00D3C" w14:textId="6D474FB2" w:rsidR="004F3AEA" w:rsidRDefault="00C43B18" w:rsidP="000E7F1C">
      <w:p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C43B18">
        <w:rPr>
          <w:rFonts w:ascii="Arial" w:hAnsi="Arial" w:cs="Arial"/>
          <w:sz w:val="24"/>
          <w:szCs w:val="24"/>
        </w:rPr>
        <w:t>Donald, William, Baruch, Yehuda and Ashleigh, Melanie (2019) The undergraduate self-perception of employability: human capital, careers advice, and career ownership. </w:t>
      </w:r>
      <w:r w:rsidRPr="00C43B18">
        <w:rPr>
          <w:rFonts w:ascii="Arial" w:hAnsi="Arial" w:cs="Arial"/>
          <w:i/>
          <w:iCs/>
          <w:sz w:val="24"/>
          <w:szCs w:val="24"/>
        </w:rPr>
        <w:t>Studies in Higher Education</w:t>
      </w:r>
      <w:r w:rsidRPr="00C43B18">
        <w:rPr>
          <w:rFonts w:ascii="Arial" w:hAnsi="Arial" w:cs="Arial"/>
          <w:sz w:val="24"/>
          <w:szCs w:val="24"/>
        </w:rPr>
        <w:t>, 44 (4), 599-614. (</w:t>
      </w:r>
      <w:hyperlink r:id="rId14" w:history="1">
        <w:r w:rsidRPr="00C43B18">
          <w:rPr>
            <w:rStyle w:val="Hyperlink"/>
            <w:rFonts w:ascii="Arial" w:hAnsi="Arial" w:cs="Arial"/>
            <w:sz w:val="24"/>
            <w:szCs w:val="24"/>
          </w:rPr>
          <w:t>doi:10.1080/03075079.2017.1387107</w:t>
        </w:r>
      </w:hyperlink>
      <w:r w:rsidRPr="00C43B18">
        <w:rPr>
          <w:rFonts w:ascii="Arial" w:hAnsi="Arial" w:cs="Arial"/>
          <w:sz w:val="24"/>
          <w:szCs w:val="24"/>
        </w:rPr>
        <w:t>).</w:t>
      </w:r>
    </w:p>
    <w:p w14:paraId="2D45B00E" w14:textId="53614662" w:rsidR="009F0E32" w:rsidRDefault="009F0E32" w:rsidP="000E7F1C">
      <w:p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396A7E">
        <w:rPr>
          <w:rFonts w:ascii="Arial" w:hAnsi="Arial" w:cs="Arial"/>
          <w:sz w:val="24"/>
          <w:szCs w:val="24"/>
        </w:rPr>
        <w:lastRenderedPageBreak/>
        <w:t>Fallows, S. and Steven, C. (2000), “Building employability skills into the higher education curriculum: a university-wide initiative”, Education þ Training, Vol. 42 No. 2, pp. 75-83.</w:t>
      </w:r>
    </w:p>
    <w:p w14:paraId="273C707F" w14:textId="49F7C2A3" w:rsidR="00B40E50" w:rsidRDefault="00B40E50" w:rsidP="00DE35E5">
      <w:p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B40E50">
        <w:rPr>
          <w:rFonts w:ascii="Arial" w:hAnsi="Arial" w:cs="Arial"/>
          <w:sz w:val="24"/>
          <w:szCs w:val="24"/>
        </w:rPr>
        <w:t xml:space="preserve">Fleming, N. D. and Mills, C. (1992), Not Another Inventory, </w:t>
      </w:r>
      <w:proofErr w:type="gramStart"/>
      <w:r w:rsidRPr="00B40E50">
        <w:rPr>
          <w:rFonts w:ascii="Arial" w:hAnsi="Arial" w:cs="Arial"/>
          <w:sz w:val="24"/>
          <w:szCs w:val="24"/>
        </w:rPr>
        <w:t>Rather</w:t>
      </w:r>
      <w:proofErr w:type="gramEnd"/>
      <w:r w:rsidRPr="00B40E50">
        <w:rPr>
          <w:rFonts w:ascii="Arial" w:hAnsi="Arial" w:cs="Arial"/>
          <w:sz w:val="24"/>
          <w:szCs w:val="24"/>
        </w:rPr>
        <w:t xml:space="preserve"> a Catalyst for Reflection</w:t>
      </w:r>
      <w:r w:rsidR="00DE35E5">
        <w:rPr>
          <w:rFonts w:ascii="Arial" w:hAnsi="Arial" w:cs="Arial"/>
          <w:sz w:val="24"/>
          <w:szCs w:val="24"/>
        </w:rPr>
        <w:t xml:space="preserve">, </w:t>
      </w:r>
      <w:r w:rsidRPr="00B40E50">
        <w:rPr>
          <w:rFonts w:ascii="Arial" w:hAnsi="Arial" w:cs="Arial"/>
          <w:sz w:val="24"/>
          <w:szCs w:val="24"/>
        </w:rPr>
        <w:t>From To Improve the Academy, Vol. 11, 1992. page 137.</w:t>
      </w:r>
    </w:p>
    <w:p w14:paraId="6162C8C2" w14:textId="39D91C62" w:rsidR="001D657B" w:rsidRDefault="0017370A" w:rsidP="000E7F1C">
      <w:p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1F681F">
        <w:rPr>
          <w:rFonts w:ascii="Arial" w:hAnsi="Arial" w:cs="Arial"/>
          <w:sz w:val="24"/>
          <w:szCs w:val="24"/>
        </w:rPr>
        <w:t xml:space="preserve">The Guardian </w:t>
      </w:r>
      <w:r w:rsidR="003A6209">
        <w:rPr>
          <w:rFonts w:ascii="Arial" w:hAnsi="Arial" w:cs="Arial"/>
          <w:sz w:val="24"/>
          <w:szCs w:val="24"/>
        </w:rPr>
        <w:t>(2024)</w:t>
      </w:r>
      <w:r w:rsidR="006D6011">
        <w:rPr>
          <w:rFonts w:ascii="Arial" w:hAnsi="Arial" w:cs="Arial"/>
          <w:sz w:val="24"/>
          <w:szCs w:val="24"/>
        </w:rPr>
        <w:t xml:space="preserve"> </w:t>
      </w:r>
      <w:r w:rsidRPr="001F681F">
        <w:rPr>
          <w:rFonts w:ascii="Arial" w:hAnsi="Arial" w:cs="Arial"/>
          <w:sz w:val="24"/>
          <w:szCs w:val="24"/>
        </w:rPr>
        <w:t xml:space="preserve">“More than </w:t>
      </w:r>
      <w:r w:rsidR="00A06CCE" w:rsidRPr="001F681F">
        <w:rPr>
          <w:rFonts w:ascii="Arial" w:hAnsi="Arial" w:cs="Arial"/>
          <w:sz w:val="24"/>
          <w:szCs w:val="24"/>
        </w:rPr>
        <w:t xml:space="preserve">half of UK students working long hours in paid jobs” </w:t>
      </w:r>
      <w:hyperlink r:id="rId15" w:history="1">
        <w:r w:rsidR="00B26159" w:rsidRPr="00B26159">
          <w:rPr>
            <w:rStyle w:val="Hyperlink"/>
            <w:rFonts w:ascii="Arial" w:hAnsi="Arial" w:cs="Arial"/>
            <w:sz w:val="24"/>
            <w:szCs w:val="24"/>
          </w:rPr>
          <w:t>https://www.theguardian.com/education/article/2024/jun/13/more-than-half-of-uk-students-working-long-hours-in-paid-jobs</w:t>
        </w:r>
        <w:r w:rsidR="00B26159" w:rsidRPr="00B723DD">
          <w:rPr>
            <w:rStyle w:val="Hyperlink"/>
            <w:rFonts w:ascii="Arial" w:hAnsi="Arial" w:cs="Arial"/>
            <w:sz w:val="24"/>
            <w:szCs w:val="24"/>
          </w:rPr>
          <w:t xml:space="preserve"> - accessed 28/8/2024</w:t>
        </w:r>
      </w:hyperlink>
    </w:p>
    <w:p w14:paraId="77A1F5A1" w14:textId="79CB4DF8" w:rsidR="00B26159" w:rsidRPr="008D576B" w:rsidRDefault="00B26159" w:rsidP="000E7F1C">
      <w:p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Higher Education Policy Institute </w:t>
      </w:r>
      <w:r w:rsidR="003C2C16">
        <w:rPr>
          <w:rFonts w:ascii="Arial" w:hAnsi="Arial" w:cs="Arial"/>
          <w:sz w:val="24"/>
          <w:szCs w:val="24"/>
        </w:rPr>
        <w:t xml:space="preserve">(2020) </w:t>
      </w:r>
      <w:r w:rsidR="003C2C16" w:rsidRPr="003C2C16">
        <w:rPr>
          <w:rFonts w:ascii="Arial" w:hAnsi="Arial" w:cs="Arial"/>
          <w:sz w:val="24"/>
          <w:szCs w:val="24"/>
        </w:rPr>
        <w:t>Getting on: graduate employment and its influence on UK higher education</w:t>
      </w:r>
      <w:r w:rsidR="003C2C16">
        <w:rPr>
          <w:rFonts w:ascii="Arial" w:hAnsi="Arial" w:cs="Arial"/>
          <w:sz w:val="24"/>
          <w:szCs w:val="24"/>
        </w:rPr>
        <w:t xml:space="preserve"> </w:t>
      </w:r>
      <w:hyperlink r:id="rId16" w:history="1">
        <w:r w:rsidR="00EA0C66" w:rsidRPr="00B723DD">
          <w:rPr>
            <w:rStyle w:val="Hyperlink"/>
            <w:rFonts w:ascii="Arial" w:hAnsi="Arial" w:cs="Arial"/>
            <w:sz w:val="24"/>
            <w:szCs w:val="24"/>
          </w:rPr>
          <w:t>https://www.hepi.ac.uk/2020/03/05/getting-on-graduate-employment-and-its-influence-on-uk-higher-education/</w:t>
        </w:r>
      </w:hyperlink>
      <w:r w:rsidR="00EA0C66">
        <w:rPr>
          <w:rFonts w:ascii="Arial" w:hAnsi="Arial" w:cs="Arial"/>
          <w:sz w:val="24"/>
          <w:szCs w:val="24"/>
        </w:rPr>
        <w:t xml:space="preserve"> - accessed 2/1/25</w:t>
      </w:r>
    </w:p>
    <w:p w14:paraId="657FD55C" w14:textId="0A635F4F" w:rsidR="009F0E32" w:rsidRDefault="009F0E32" w:rsidP="000E7F1C">
      <w:p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B10AC">
        <w:rPr>
          <w:rFonts w:ascii="Arial" w:hAnsi="Arial" w:cs="Arial"/>
          <w:sz w:val="24"/>
          <w:szCs w:val="24"/>
        </w:rPr>
        <w:t xml:space="preserve">Jackson, D., Lambert, C., Sibson, R., </w:t>
      </w:r>
      <w:proofErr w:type="spellStart"/>
      <w:r w:rsidRPr="006B10AC">
        <w:rPr>
          <w:rFonts w:ascii="Arial" w:hAnsi="Arial" w:cs="Arial"/>
          <w:sz w:val="24"/>
          <w:szCs w:val="24"/>
        </w:rPr>
        <w:t>Bridgstock</w:t>
      </w:r>
      <w:proofErr w:type="spellEnd"/>
      <w:r w:rsidRPr="006B10AC">
        <w:rPr>
          <w:rFonts w:ascii="Arial" w:hAnsi="Arial" w:cs="Arial"/>
          <w:sz w:val="24"/>
          <w:szCs w:val="24"/>
        </w:rPr>
        <w:t xml:space="preserve">, R., </w:t>
      </w:r>
      <w:r w:rsidR="00F77E6F">
        <w:rPr>
          <w:rFonts w:ascii="Arial" w:hAnsi="Arial" w:cs="Arial"/>
          <w:sz w:val="24"/>
          <w:szCs w:val="24"/>
        </w:rPr>
        <w:t>and</w:t>
      </w:r>
      <w:r w:rsidRPr="006B10AC">
        <w:rPr>
          <w:rFonts w:ascii="Arial" w:hAnsi="Arial" w:cs="Arial"/>
          <w:sz w:val="24"/>
          <w:szCs w:val="24"/>
        </w:rPr>
        <w:t xml:space="preserve"> Tofa, M. (2024). Student employability-building activities: participation and contribution to graduate outcomes. Higher Education Research &amp; Development, 43(6), 1308–1324. </w:t>
      </w:r>
      <w:hyperlink r:id="rId17" w:history="1">
        <w:r w:rsidRPr="00F93349">
          <w:rPr>
            <w:rStyle w:val="Hyperlink"/>
            <w:rFonts w:ascii="Arial" w:hAnsi="Arial" w:cs="Arial"/>
            <w:sz w:val="24"/>
            <w:szCs w:val="24"/>
          </w:rPr>
          <w:t>https://doi.org/10.1080/07294360.2024.2325154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2815922E" w14:textId="214C0336" w:rsidR="00284DED" w:rsidRDefault="00284DED" w:rsidP="000E7F1C">
      <w:p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284DED">
        <w:rPr>
          <w:rFonts w:ascii="Arial" w:hAnsi="Arial" w:cs="Arial"/>
          <w:sz w:val="24"/>
          <w:szCs w:val="24"/>
        </w:rPr>
        <w:t xml:space="preserve">Jorre de St Jorre, T., </w:t>
      </w:r>
      <w:r w:rsidR="00D052B8">
        <w:rPr>
          <w:rFonts w:ascii="Arial" w:hAnsi="Arial" w:cs="Arial"/>
          <w:sz w:val="24"/>
          <w:szCs w:val="24"/>
        </w:rPr>
        <w:t>and</w:t>
      </w:r>
      <w:r w:rsidRPr="00284DED">
        <w:rPr>
          <w:rFonts w:ascii="Arial" w:hAnsi="Arial" w:cs="Arial"/>
          <w:sz w:val="24"/>
          <w:szCs w:val="24"/>
        </w:rPr>
        <w:t xml:space="preserve"> Oliver, B. (2017). Want students to engage? Contextualise graduate learning outcomes and assess for employability. </w:t>
      </w:r>
      <w:r w:rsidRPr="00284DED">
        <w:rPr>
          <w:rFonts w:ascii="Arial" w:hAnsi="Arial" w:cs="Arial"/>
          <w:i/>
          <w:iCs/>
          <w:sz w:val="24"/>
          <w:szCs w:val="24"/>
        </w:rPr>
        <w:t>Higher Education Research &amp; Development</w:t>
      </w:r>
      <w:r w:rsidRPr="00284DED">
        <w:rPr>
          <w:rFonts w:ascii="Arial" w:hAnsi="Arial" w:cs="Arial"/>
          <w:sz w:val="24"/>
          <w:szCs w:val="24"/>
        </w:rPr>
        <w:t>, </w:t>
      </w:r>
      <w:r w:rsidRPr="00284DED">
        <w:rPr>
          <w:rFonts w:ascii="Arial" w:hAnsi="Arial" w:cs="Arial"/>
          <w:i/>
          <w:iCs/>
          <w:sz w:val="24"/>
          <w:szCs w:val="24"/>
        </w:rPr>
        <w:t>37</w:t>
      </w:r>
      <w:r w:rsidRPr="00284DED">
        <w:rPr>
          <w:rFonts w:ascii="Arial" w:hAnsi="Arial" w:cs="Arial"/>
          <w:sz w:val="24"/>
          <w:szCs w:val="24"/>
        </w:rPr>
        <w:t xml:space="preserve">(1), 44–57. </w:t>
      </w:r>
      <w:hyperlink r:id="rId18" w:history="1">
        <w:r w:rsidR="004A3C34" w:rsidRPr="00135A9C">
          <w:rPr>
            <w:rStyle w:val="Hyperlink"/>
            <w:rFonts w:ascii="Arial" w:hAnsi="Arial" w:cs="Arial"/>
            <w:sz w:val="24"/>
            <w:szCs w:val="24"/>
          </w:rPr>
          <w:t>https://doi.org/10.1080/07294360.2017.1339183</w:t>
        </w:r>
      </w:hyperlink>
      <w:r w:rsidR="004A3C34">
        <w:rPr>
          <w:rFonts w:ascii="Arial" w:hAnsi="Arial" w:cs="Arial"/>
          <w:sz w:val="24"/>
          <w:szCs w:val="24"/>
        </w:rPr>
        <w:t xml:space="preserve"> </w:t>
      </w:r>
    </w:p>
    <w:p w14:paraId="0B581D88" w14:textId="7C23FA37" w:rsidR="009F0E32" w:rsidRDefault="009F0E32" w:rsidP="000E7F1C">
      <w:pPr>
        <w:spacing w:after="0" w:line="360" w:lineRule="auto"/>
        <w:ind w:left="567" w:hanging="567"/>
        <w:rPr>
          <w:rStyle w:val="Hyperlink"/>
          <w:rFonts w:ascii="Arial" w:hAnsi="Arial" w:cs="Arial"/>
          <w:sz w:val="24"/>
          <w:szCs w:val="24"/>
        </w:rPr>
      </w:pPr>
      <w:r w:rsidRPr="6408D7D1">
        <w:rPr>
          <w:rFonts w:ascii="Arial" w:hAnsi="Arial" w:cs="Arial"/>
          <w:sz w:val="24"/>
          <w:szCs w:val="24"/>
        </w:rPr>
        <w:t>Osborne, R, Dunne, L, Farrand, P.A. (2013) Integrating technologies into “authentic” assessment design: an affordances approach, Research in Learning Technology 21(2), DOI:</w:t>
      </w:r>
      <w:hyperlink r:id="rId19">
        <w:r w:rsidRPr="6408D7D1">
          <w:rPr>
            <w:rStyle w:val="Hyperlink"/>
            <w:rFonts w:ascii="Arial" w:hAnsi="Arial" w:cs="Arial"/>
            <w:sz w:val="24"/>
            <w:szCs w:val="24"/>
          </w:rPr>
          <w:t>10.3402/rlt.v21i2.21986</w:t>
        </w:r>
      </w:hyperlink>
    </w:p>
    <w:p w14:paraId="05390628" w14:textId="07585452" w:rsidR="008F517A" w:rsidRDefault="00FC29D5" w:rsidP="00FC29D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C29D5">
        <w:rPr>
          <w:rFonts w:ascii="Arial" w:hAnsi="Arial" w:cs="Arial"/>
          <w:sz w:val="24"/>
          <w:szCs w:val="24"/>
        </w:rPr>
        <w:t xml:space="preserve">MLA. Piaget, Jean, 1896-1980. The Origins of Intelligence in Children. New </w:t>
      </w:r>
      <w:proofErr w:type="gramStart"/>
      <w:r w:rsidRPr="00FC29D5">
        <w:rPr>
          <w:rFonts w:ascii="Arial" w:hAnsi="Arial" w:cs="Arial"/>
          <w:sz w:val="24"/>
          <w:szCs w:val="24"/>
        </w:rPr>
        <w:t>York :International</w:t>
      </w:r>
      <w:proofErr w:type="gramEnd"/>
      <w:r w:rsidRPr="00FC29D5">
        <w:rPr>
          <w:rFonts w:ascii="Arial" w:hAnsi="Arial" w:cs="Arial"/>
          <w:sz w:val="24"/>
          <w:szCs w:val="24"/>
        </w:rPr>
        <w:t xml:space="preserve"> Universities Press, 1952.</w:t>
      </w:r>
    </w:p>
    <w:p w14:paraId="41C6EF38" w14:textId="7EB39FE5" w:rsidR="007C7737" w:rsidRDefault="007C7737" w:rsidP="00FC29D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Painter, S.R.</w:t>
      </w:r>
      <w:r>
        <w:rPr>
          <w:rFonts w:ascii="Arial" w:hAnsi="Arial" w:cs="Arial"/>
          <w:sz w:val="24"/>
          <w:szCs w:val="24"/>
        </w:rPr>
        <w:tab/>
      </w:r>
      <w:r w:rsidR="0005083C">
        <w:rPr>
          <w:rFonts w:ascii="Arial" w:hAnsi="Arial" w:cs="Arial"/>
          <w:sz w:val="24"/>
          <w:szCs w:val="24"/>
        </w:rPr>
        <w:t xml:space="preserve">(2021) </w:t>
      </w:r>
      <w:r w:rsidR="0005083C" w:rsidRPr="0005083C">
        <w:rPr>
          <w:rFonts w:ascii="Arial" w:hAnsi="Arial" w:cs="Arial"/>
          <w:sz w:val="24"/>
          <w:szCs w:val="24"/>
        </w:rPr>
        <w:t>Start Writing: How to Overcome Fear, Self-Doubt and Procrastination</w:t>
      </w:r>
      <w:r w:rsidR="0005083C">
        <w:rPr>
          <w:rFonts w:ascii="Arial" w:hAnsi="Arial" w:cs="Arial"/>
          <w:sz w:val="24"/>
          <w:szCs w:val="24"/>
        </w:rPr>
        <w:t xml:space="preserve">, </w:t>
      </w:r>
      <w:r w:rsidR="005D46C2" w:rsidRPr="005D46C2">
        <w:rPr>
          <w:rFonts w:ascii="Arial" w:hAnsi="Arial" w:cs="Arial"/>
          <w:sz w:val="24"/>
          <w:szCs w:val="24"/>
        </w:rPr>
        <w:t>Siskin Press Limited; 2nd ed. edition </w:t>
      </w:r>
    </w:p>
    <w:p w14:paraId="4E71A766" w14:textId="77777777" w:rsidR="009F0E32" w:rsidRDefault="009F0E32" w:rsidP="000E7F1C">
      <w:p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522824">
        <w:rPr>
          <w:rFonts w:ascii="Arial" w:hAnsi="Arial" w:cs="Arial"/>
          <w:sz w:val="24"/>
          <w:szCs w:val="24"/>
        </w:rPr>
        <w:t xml:space="preserve">Senior RM, Bartholomew P, </w:t>
      </w:r>
      <w:proofErr w:type="spellStart"/>
      <w:r w:rsidRPr="00522824">
        <w:rPr>
          <w:rFonts w:ascii="Arial" w:hAnsi="Arial" w:cs="Arial"/>
          <w:sz w:val="24"/>
          <w:szCs w:val="24"/>
        </w:rPr>
        <w:t>Soor</w:t>
      </w:r>
      <w:proofErr w:type="spellEnd"/>
      <w:r w:rsidRPr="00522824">
        <w:rPr>
          <w:rFonts w:ascii="Arial" w:hAnsi="Arial" w:cs="Arial"/>
          <w:sz w:val="24"/>
          <w:szCs w:val="24"/>
        </w:rPr>
        <w:t xml:space="preserve"> A, Shepperd D, Bartholomew N and Senior C (2018) “The Rules of Engagement”: Student Engagement and Motivation to Improve the Quality of Undergraduate Learning. Front. Educ. 3:32</w:t>
      </w:r>
      <w:proofErr w:type="gramStart"/>
      <w:r w:rsidRPr="0052282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2824">
        <w:rPr>
          <w:rFonts w:ascii="Arial" w:hAnsi="Arial" w:cs="Arial"/>
          <w:sz w:val="24"/>
          <w:szCs w:val="24"/>
        </w:rPr>
        <w:t>doi</w:t>
      </w:r>
      <w:proofErr w:type="spellEnd"/>
      <w:proofErr w:type="gramEnd"/>
      <w:r w:rsidRPr="00522824">
        <w:rPr>
          <w:rFonts w:ascii="Arial" w:hAnsi="Arial" w:cs="Arial"/>
          <w:sz w:val="24"/>
          <w:szCs w:val="24"/>
        </w:rPr>
        <w:t>: 10.3389/feduc.2018.00032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F352A8C" w14:textId="0B431AC0" w:rsidR="003C1F8C" w:rsidRDefault="003C1F8C" w:rsidP="000E7F1C">
      <w:p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3C1F8C">
        <w:rPr>
          <w:rFonts w:ascii="Arial" w:hAnsi="Arial" w:cs="Arial"/>
          <w:sz w:val="24"/>
          <w:szCs w:val="24"/>
        </w:rPr>
        <w:t xml:space="preserve">Taylor, A. R., </w:t>
      </w:r>
      <w:r w:rsidR="00D052B8">
        <w:rPr>
          <w:rFonts w:ascii="Arial" w:hAnsi="Arial" w:cs="Arial"/>
          <w:sz w:val="24"/>
          <w:szCs w:val="24"/>
        </w:rPr>
        <w:t>and</w:t>
      </w:r>
      <w:r w:rsidRPr="003C1F8C">
        <w:rPr>
          <w:rFonts w:ascii="Arial" w:hAnsi="Arial" w:cs="Arial"/>
          <w:sz w:val="24"/>
          <w:szCs w:val="24"/>
        </w:rPr>
        <w:t xml:space="preserve"> Hooley, T. (2014). Evaluating the impact of career management skills module and internship programme within a university business </w:t>
      </w:r>
      <w:r w:rsidRPr="003C1F8C">
        <w:rPr>
          <w:rFonts w:ascii="Arial" w:hAnsi="Arial" w:cs="Arial"/>
          <w:sz w:val="24"/>
          <w:szCs w:val="24"/>
        </w:rPr>
        <w:lastRenderedPageBreak/>
        <w:t>school. </w:t>
      </w:r>
      <w:r w:rsidRPr="003C1F8C">
        <w:rPr>
          <w:rFonts w:ascii="Arial" w:hAnsi="Arial" w:cs="Arial"/>
          <w:i/>
          <w:iCs/>
          <w:sz w:val="24"/>
          <w:szCs w:val="24"/>
        </w:rPr>
        <w:t>British Journal of Guidance &amp; Counselling</w:t>
      </w:r>
      <w:r w:rsidRPr="003C1F8C">
        <w:rPr>
          <w:rFonts w:ascii="Arial" w:hAnsi="Arial" w:cs="Arial"/>
          <w:sz w:val="24"/>
          <w:szCs w:val="24"/>
        </w:rPr>
        <w:t>, </w:t>
      </w:r>
      <w:r w:rsidRPr="003C1F8C">
        <w:rPr>
          <w:rFonts w:ascii="Arial" w:hAnsi="Arial" w:cs="Arial"/>
          <w:i/>
          <w:iCs/>
          <w:sz w:val="24"/>
          <w:szCs w:val="24"/>
        </w:rPr>
        <w:t>42</w:t>
      </w:r>
      <w:r w:rsidRPr="003C1F8C">
        <w:rPr>
          <w:rFonts w:ascii="Arial" w:hAnsi="Arial" w:cs="Arial"/>
          <w:sz w:val="24"/>
          <w:szCs w:val="24"/>
        </w:rPr>
        <w:t>(5), 487–499. https://doi.org/10.1080/03069885.2014.918934</w:t>
      </w:r>
    </w:p>
    <w:p w14:paraId="792FC859" w14:textId="2865FA83" w:rsidR="009F0E32" w:rsidRDefault="009F0E32" w:rsidP="000E7F1C">
      <w:pPr>
        <w:spacing w:after="0" w:line="360" w:lineRule="auto"/>
        <w:ind w:left="567" w:hanging="567"/>
        <w:rPr>
          <w:rStyle w:val="Hyperlink"/>
          <w:rFonts w:ascii="Arial" w:hAnsi="Arial" w:cs="Arial"/>
          <w:sz w:val="24"/>
          <w:szCs w:val="24"/>
        </w:rPr>
      </w:pPr>
      <w:r w:rsidRPr="00522824">
        <w:rPr>
          <w:rFonts w:ascii="Arial" w:hAnsi="Arial" w:cs="Arial"/>
          <w:sz w:val="24"/>
          <w:szCs w:val="24"/>
        </w:rPr>
        <w:t xml:space="preserve">Taylor, L. </w:t>
      </w:r>
      <w:r w:rsidR="00D052B8">
        <w:rPr>
          <w:rFonts w:ascii="Arial" w:hAnsi="Arial" w:cs="Arial"/>
          <w:sz w:val="24"/>
          <w:szCs w:val="24"/>
        </w:rPr>
        <w:t>and</w:t>
      </w:r>
      <w:r w:rsidRPr="00522824">
        <w:rPr>
          <w:rFonts w:ascii="Arial" w:hAnsi="Arial" w:cs="Arial"/>
          <w:sz w:val="24"/>
          <w:szCs w:val="24"/>
        </w:rPr>
        <w:t xml:space="preserve"> Parsons, J. (2011) Improving Student Engagement. Current Issues in Education, 14(1). Retrieved from </w:t>
      </w:r>
      <w:hyperlink r:id="rId20" w:history="1">
        <w:r w:rsidRPr="00FE172B">
          <w:rPr>
            <w:rStyle w:val="Hyperlink"/>
            <w:rFonts w:ascii="Arial" w:hAnsi="Arial" w:cs="Arial"/>
            <w:sz w:val="24"/>
            <w:szCs w:val="24"/>
          </w:rPr>
          <w:t>http://cie.asu.edu/</w:t>
        </w:r>
      </w:hyperlink>
    </w:p>
    <w:p w14:paraId="6B702CE6" w14:textId="01F9D568" w:rsidR="003C1F8C" w:rsidRDefault="003C1F8C" w:rsidP="003C1F8C">
      <w:pPr>
        <w:spacing w:after="0" w:line="360" w:lineRule="auto"/>
        <w:ind w:left="567" w:hanging="567"/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Times Higher Education (2017), </w:t>
      </w:r>
      <w:r w:rsidRPr="006A25AF">
        <w:rPr>
          <w:rFonts w:ascii="Arial" w:hAnsi="Arial" w:cs="Arial"/>
          <w:sz w:val="24"/>
          <w:szCs w:val="24"/>
        </w:rPr>
        <w:t>Why do students go to university and how do they choose which one?</w:t>
      </w:r>
      <w:r>
        <w:rPr>
          <w:rFonts w:ascii="Arial" w:hAnsi="Arial" w:cs="Arial"/>
          <w:sz w:val="24"/>
          <w:szCs w:val="24"/>
        </w:rPr>
        <w:t xml:space="preserve"> </w:t>
      </w:r>
      <w:hyperlink r:id="rId21" w:history="1">
        <w:r w:rsidRPr="00D47047">
          <w:rPr>
            <w:rStyle w:val="Hyperlink"/>
            <w:rFonts w:ascii="Arial" w:hAnsi="Arial" w:cs="Arial"/>
            <w:sz w:val="24"/>
            <w:szCs w:val="24"/>
          </w:rPr>
          <w:t>https://www.timeshighereducation.com/student/news/why-do-students-go-university-and-how-do-they-choose-which-one - accessed 2/1/25</w:t>
        </w:r>
      </w:hyperlink>
    </w:p>
    <w:p w14:paraId="3EED1034" w14:textId="2CC021E4" w:rsidR="00A43A2E" w:rsidRDefault="00A43A2E" w:rsidP="003C1F8C">
      <w:p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A43A2E">
        <w:rPr>
          <w:rFonts w:ascii="Arial" w:hAnsi="Arial" w:cs="Arial"/>
          <w:sz w:val="24"/>
          <w:szCs w:val="24"/>
        </w:rPr>
        <w:t>Tomlinson, M. (2017), "Forms of graduate capital and their relationship to graduate employability", </w:t>
      </w:r>
      <w:r w:rsidRPr="00A43A2E">
        <w:rPr>
          <w:rFonts w:ascii="Arial" w:hAnsi="Arial" w:cs="Arial"/>
          <w:i/>
          <w:iCs/>
          <w:sz w:val="24"/>
          <w:szCs w:val="24"/>
        </w:rPr>
        <w:t>Education + Training</w:t>
      </w:r>
      <w:r w:rsidRPr="00A43A2E">
        <w:rPr>
          <w:rFonts w:ascii="Arial" w:hAnsi="Arial" w:cs="Arial"/>
          <w:sz w:val="24"/>
          <w:szCs w:val="24"/>
        </w:rPr>
        <w:t>, Vol. 59 No. 4, pp. 338-352. </w:t>
      </w:r>
      <w:hyperlink r:id="rId22" w:tooltip="DOI: https://doi.org/10.1108/ET-05-2016-0090" w:history="1">
        <w:r w:rsidRPr="00A43A2E">
          <w:rPr>
            <w:rStyle w:val="Hyperlink"/>
            <w:rFonts w:ascii="Arial" w:hAnsi="Arial" w:cs="Arial"/>
            <w:sz w:val="24"/>
            <w:szCs w:val="24"/>
          </w:rPr>
          <w:t>https://doi.org/10.1108/ET-05-2016-0090</w:t>
        </w:r>
      </w:hyperlink>
    </w:p>
    <w:p w14:paraId="1BEDC859" w14:textId="4D04C5C1" w:rsidR="00B37C7B" w:rsidRPr="00B37C7B" w:rsidRDefault="009F0E32" w:rsidP="008939B5">
      <w:pPr>
        <w:spacing w:after="0" w:line="360" w:lineRule="auto"/>
        <w:ind w:left="567" w:hanging="567"/>
        <w:rPr>
          <w:rFonts w:ascii="Arial" w:hAnsi="Arial" w:cs="Arial"/>
          <w:color w:val="0563C1" w:themeColor="hyperlink"/>
          <w:sz w:val="24"/>
          <w:szCs w:val="24"/>
          <w:u w:val="single"/>
        </w:rPr>
      </w:pPr>
      <w:r w:rsidRPr="005B0CC2">
        <w:rPr>
          <w:rFonts w:ascii="Arial" w:hAnsi="Arial" w:cs="Arial"/>
          <w:sz w:val="24"/>
          <w:szCs w:val="24"/>
        </w:rPr>
        <w:t>Tomlinson, M. (2012)</w:t>
      </w:r>
      <w:r>
        <w:rPr>
          <w:rFonts w:ascii="Arial" w:hAnsi="Arial" w:cs="Arial"/>
          <w:sz w:val="24"/>
          <w:szCs w:val="24"/>
        </w:rPr>
        <w:t xml:space="preserve"> </w:t>
      </w:r>
      <w:r w:rsidRPr="005B0CC2">
        <w:rPr>
          <w:rFonts w:ascii="Arial" w:hAnsi="Arial" w:cs="Arial"/>
          <w:sz w:val="24"/>
          <w:szCs w:val="24"/>
        </w:rPr>
        <w:t>Graduate Employability: A Review of Conceptual and Empirical Themes. </w:t>
      </w:r>
      <w:r w:rsidRPr="005B0CC2">
        <w:rPr>
          <w:rFonts w:ascii="Arial" w:hAnsi="Arial" w:cs="Arial"/>
          <w:i/>
          <w:iCs/>
          <w:sz w:val="24"/>
          <w:szCs w:val="24"/>
        </w:rPr>
        <w:t>High</w:t>
      </w:r>
      <w:r>
        <w:rPr>
          <w:rFonts w:ascii="Arial" w:hAnsi="Arial" w:cs="Arial"/>
          <w:i/>
          <w:iCs/>
          <w:sz w:val="24"/>
          <w:szCs w:val="24"/>
        </w:rPr>
        <w:t>er</w:t>
      </w:r>
      <w:r w:rsidRPr="005B0CC2">
        <w:rPr>
          <w:rFonts w:ascii="Arial" w:hAnsi="Arial" w:cs="Arial"/>
          <w:i/>
          <w:iCs/>
          <w:sz w:val="24"/>
          <w:szCs w:val="24"/>
        </w:rPr>
        <w:t xml:space="preserve"> Educ</w:t>
      </w:r>
      <w:r>
        <w:rPr>
          <w:rFonts w:ascii="Arial" w:hAnsi="Arial" w:cs="Arial"/>
          <w:i/>
          <w:iCs/>
          <w:sz w:val="24"/>
          <w:szCs w:val="24"/>
        </w:rPr>
        <w:t>ation</w:t>
      </w:r>
      <w:r w:rsidRPr="005B0CC2">
        <w:rPr>
          <w:rFonts w:ascii="Arial" w:hAnsi="Arial" w:cs="Arial"/>
          <w:i/>
          <w:iCs/>
          <w:sz w:val="24"/>
          <w:szCs w:val="24"/>
        </w:rPr>
        <w:t xml:space="preserve"> Policy</w:t>
      </w:r>
      <w:r w:rsidRPr="005B0CC2">
        <w:rPr>
          <w:rFonts w:ascii="Arial" w:hAnsi="Arial" w:cs="Arial"/>
          <w:sz w:val="24"/>
          <w:szCs w:val="24"/>
        </w:rPr>
        <w:t> </w:t>
      </w:r>
      <w:r w:rsidRPr="005B0CC2">
        <w:rPr>
          <w:rFonts w:ascii="Arial" w:hAnsi="Arial" w:cs="Arial"/>
          <w:b/>
          <w:bCs/>
          <w:sz w:val="24"/>
          <w:szCs w:val="24"/>
        </w:rPr>
        <w:t>25</w:t>
      </w:r>
      <w:r w:rsidRPr="005B0CC2">
        <w:rPr>
          <w:rFonts w:ascii="Arial" w:hAnsi="Arial" w:cs="Arial"/>
          <w:sz w:val="24"/>
          <w:szCs w:val="24"/>
        </w:rPr>
        <w:t xml:space="preserve">, 407–431. </w:t>
      </w:r>
      <w:hyperlink r:id="rId23" w:history="1">
        <w:r w:rsidR="00D21C17" w:rsidRPr="00E03C19">
          <w:rPr>
            <w:rStyle w:val="Hyperlink"/>
            <w:rFonts w:ascii="Arial" w:hAnsi="Arial" w:cs="Arial"/>
            <w:sz w:val="24"/>
            <w:szCs w:val="24"/>
          </w:rPr>
          <w:t>https://doi.org/10.1057/hep.2011.26</w:t>
        </w:r>
      </w:hyperlink>
    </w:p>
    <w:p w14:paraId="350E09B7" w14:textId="6B48475B" w:rsidR="00B37C7B" w:rsidRDefault="00B37C7B" w:rsidP="008939B5">
      <w:p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B37C7B">
        <w:rPr>
          <w:rFonts w:ascii="Arial" w:hAnsi="Arial" w:cs="Arial"/>
          <w:sz w:val="24"/>
          <w:szCs w:val="24"/>
        </w:rPr>
        <w:t>Tomlinson, M., McCafferty, H., Port, A., Maguire, N., Zabelski, A.E., Butnaru, A., Charles, M. and Kirby, S. (202</w:t>
      </w:r>
      <w:r w:rsidR="00542127">
        <w:rPr>
          <w:rFonts w:ascii="Arial" w:hAnsi="Arial" w:cs="Arial"/>
          <w:sz w:val="24"/>
          <w:szCs w:val="24"/>
        </w:rPr>
        <w:t>1</w:t>
      </w:r>
      <w:r w:rsidRPr="00B37C7B">
        <w:rPr>
          <w:rFonts w:ascii="Arial" w:hAnsi="Arial" w:cs="Arial"/>
          <w:sz w:val="24"/>
          <w:szCs w:val="24"/>
        </w:rPr>
        <w:t>), "Developing graduate employability for a challenging labour market: the validation of the graduate capital scale", </w:t>
      </w:r>
      <w:hyperlink r:id="rId24" w:history="1">
        <w:r w:rsidRPr="00B37C7B">
          <w:rPr>
            <w:rStyle w:val="Hyperlink"/>
            <w:rFonts w:ascii="Arial" w:hAnsi="Arial" w:cs="Arial"/>
            <w:i/>
            <w:iCs/>
            <w:sz w:val="24"/>
            <w:szCs w:val="24"/>
          </w:rPr>
          <w:t>Journal of Applied Research in Higher Education</w:t>
        </w:r>
      </w:hyperlink>
      <w:r w:rsidRPr="00B37C7B">
        <w:rPr>
          <w:rFonts w:ascii="Arial" w:hAnsi="Arial" w:cs="Arial"/>
          <w:sz w:val="24"/>
          <w:szCs w:val="24"/>
        </w:rPr>
        <w:t>, Vol. 14 No. 3, pp. 1193-1209. </w:t>
      </w:r>
      <w:hyperlink r:id="rId25" w:tooltip="DOI: https://doi.org/10.1108/JARHE-04-2021-0151" w:history="1">
        <w:r w:rsidRPr="00B37C7B">
          <w:rPr>
            <w:rStyle w:val="Hyperlink"/>
            <w:rFonts w:ascii="Arial" w:hAnsi="Arial" w:cs="Arial"/>
            <w:sz w:val="24"/>
            <w:szCs w:val="24"/>
          </w:rPr>
          <w:t>https://doi.org/10.1108/JARHE-04-2021-0151</w:t>
        </w:r>
      </w:hyperlink>
    </w:p>
    <w:p w14:paraId="01CFF710" w14:textId="4A79D98D" w:rsidR="000711F0" w:rsidRDefault="000711F0" w:rsidP="000E7F1C">
      <w:p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Tymon, A (2013)</w:t>
      </w:r>
      <w:r w:rsidR="009B4A54">
        <w:rPr>
          <w:rFonts w:ascii="Arial" w:hAnsi="Arial" w:cs="Arial"/>
          <w:sz w:val="24"/>
          <w:szCs w:val="24"/>
        </w:rPr>
        <w:t xml:space="preserve">, </w:t>
      </w:r>
      <w:r w:rsidR="009B4A54" w:rsidRPr="009B4A54">
        <w:rPr>
          <w:rFonts w:ascii="Arial" w:hAnsi="Arial" w:cs="Arial"/>
          <w:sz w:val="24"/>
          <w:szCs w:val="24"/>
        </w:rPr>
        <w:t xml:space="preserve">Studies in Higher Education, 2013Vol. 38, No. 6, 841– 856, </w:t>
      </w:r>
      <w:hyperlink r:id="rId26" w:history="1">
        <w:r w:rsidR="009B4A54" w:rsidRPr="00E03C19">
          <w:rPr>
            <w:rStyle w:val="Hyperlink"/>
            <w:rFonts w:ascii="Arial" w:hAnsi="Arial" w:cs="Arial"/>
            <w:sz w:val="24"/>
            <w:szCs w:val="24"/>
          </w:rPr>
          <w:t>http://dx.doi.org/10.1080/03075079.2011.604408</w:t>
        </w:r>
      </w:hyperlink>
      <w:r w:rsidR="009B4A54">
        <w:rPr>
          <w:rFonts w:ascii="Arial" w:hAnsi="Arial" w:cs="Arial"/>
          <w:sz w:val="24"/>
          <w:szCs w:val="24"/>
        </w:rPr>
        <w:t xml:space="preserve"> </w:t>
      </w:r>
    </w:p>
    <w:p w14:paraId="2516F4B2" w14:textId="1C25334B" w:rsidR="00D21C17" w:rsidRDefault="00D21C17" w:rsidP="000E7F1C">
      <w:p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UCAS (2024) </w:t>
      </w:r>
      <w:hyperlink r:id="rId27" w:history="1">
        <w:r w:rsidRPr="00E03C19">
          <w:rPr>
            <w:rStyle w:val="Hyperlink"/>
            <w:rFonts w:ascii="Arial" w:hAnsi="Arial" w:cs="Arial"/>
            <w:sz w:val="24"/>
            <w:szCs w:val="24"/>
          </w:rPr>
          <w:t>https://www.ucas.com/file/130381/download?token=zX_vZu_9</w:t>
        </w:r>
      </w:hyperlink>
      <w:r>
        <w:rPr>
          <w:rFonts w:ascii="Arial" w:hAnsi="Arial" w:cs="Arial"/>
          <w:sz w:val="24"/>
          <w:szCs w:val="24"/>
        </w:rPr>
        <w:t xml:space="preserve"> – accessed </w:t>
      </w:r>
      <w:r w:rsidR="00636730">
        <w:rPr>
          <w:rFonts w:ascii="Arial" w:hAnsi="Arial" w:cs="Arial"/>
          <w:sz w:val="24"/>
          <w:szCs w:val="24"/>
        </w:rPr>
        <w:t>6/1/25</w:t>
      </w:r>
    </w:p>
    <w:p w14:paraId="08A6FA12" w14:textId="77777777" w:rsidR="009F0E32" w:rsidRDefault="009F0E32" w:rsidP="000E7F1C">
      <w:p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UK Commission for Employment and Skills (2009), The Employability Challenge, </w:t>
      </w:r>
      <w:hyperlink r:id="rId28" w:history="1">
        <w:r w:rsidRPr="00D92ACF">
          <w:rPr>
            <w:rStyle w:val="Hyperlink"/>
            <w:rFonts w:ascii="Arial" w:hAnsi="Arial" w:cs="Arial"/>
            <w:sz w:val="24"/>
            <w:szCs w:val="24"/>
          </w:rPr>
          <w:t>https://www.educationandemployers.org/wp-content/uploads/2014/06/the-employability-challenge-ukces.pdf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08D4485A" w14:textId="4EE6711C" w:rsidR="009F0E32" w:rsidRDefault="009F0E32" w:rsidP="000E7F1C">
      <w:p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CA2F99">
        <w:rPr>
          <w:rFonts w:ascii="Arial" w:hAnsi="Arial" w:cs="Arial"/>
          <w:sz w:val="24"/>
          <w:szCs w:val="24"/>
        </w:rPr>
        <w:t xml:space="preserve">Wiggins, G. P., </w:t>
      </w:r>
      <w:r w:rsidR="00D052B8">
        <w:rPr>
          <w:rFonts w:ascii="Arial" w:hAnsi="Arial" w:cs="Arial"/>
          <w:sz w:val="24"/>
          <w:szCs w:val="24"/>
        </w:rPr>
        <w:t>and</w:t>
      </w:r>
      <w:r w:rsidRPr="00CA2F99">
        <w:rPr>
          <w:rFonts w:ascii="Arial" w:hAnsi="Arial" w:cs="Arial"/>
          <w:sz w:val="24"/>
          <w:szCs w:val="24"/>
        </w:rPr>
        <w:t xml:space="preserve"> McTighe, J. (2005). </w:t>
      </w:r>
      <w:r w:rsidRPr="00CA2F99">
        <w:rPr>
          <w:rFonts w:ascii="Arial" w:hAnsi="Arial" w:cs="Arial"/>
          <w:i/>
          <w:iCs/>
          <w:sz w:val="24"/>
          <w:szCs w:val="24"/>
        </w:rPr>
        <w:t>Understanding by design</w:t>
      </w:r>
      <w:r w:rsidRPr="00CA2F99">
        <w:rPr>
          <w:rFonts w:ascii="Arial" w:hAnsi="Arial" w:cs="Arial"/>
          <w:sz w:val="24"/>
          <w:szCs w:val="24"/>
        </w:rPr>
        <w:t> (2nd ed.). Pearson.</w:t>
      </w:r>
    </w:p>
    <w:p w14:paraId="52E866EE" w14:textId="798E0D2B" w:rsidR="009F0E32" w:rsidRDefault="009F0E32" w:rsidP="000E7F1C">
      <w:p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Zepke</w:t>
      </w:r>
      <w:proofErr w:type="spellEnd"/>
      <w:r>
        <w:rPr>
          <w:rFonts w:ascii="Arial" w:hAnsi="Arial" w:cs="Arial"/>
          <w:sz w:val="24"/>
          <w:szCs w:val="24"/>
        </w:rPr>
        <w:t xml:space="preserve">, N </w:t>
      </w:r>
      <w:r w:rsidR="00D052B8">
        <w:rPr>
          <w:rFonts w:ascii="Arial" w:hAnsi="Arial" w:cs="Arial"/>
          <w:sz w:val="24"/>
          <w:szCs w:val="24"/>
        </w:rPr>
        <w:t>and</w:t>
      </w:r>
      <w:r>
        <w:rPr>
          <w:rFonts w:ascii="Arial" w:hAnsi="Arial" w:cs="Arial"/>
          <w:sz w:val="24"/>
          <w:szCs w:val="24"/>
        </w:rPr>
        <w:t xml:space="preserve"> Leach, L (2010) </w:t>
      </w:r>
      <w:r w:rsidRPr="00CC3AC8">
        <w:rPr>
          <w:rFonts w:ascii="Arial" w:hAnsi="Arial" w:cs="Arial"/>
          <w:sz w:val="24"/>
          <w:szCs w:val="24"/>
        </w:rPr>
        <w:t>Improving student engagement: Ten proposals for action</w:t>
      </w:r>
      <w:r>
        <w:rPr>
          <w:rFonts w:ascii="Arial" w:hAnsi="Arial" w:cs="Arial"/>
          <w:sz w:val="24"/>
          <w:szCs w:val="24"/>
        </w:rPr>
        <w:t xml:space="preserve">, </w:t>
      </w:r>
      <w:r w:rsidRPr="00CC3AC8">
        <w:rPr>
          <w:rFonts w:ascii="Arial" w:hAnsi="Arial" w:cs="Arial"/>
          <w:sz w:val="24"/>
          <w:szCs w:val="24"/>
        </w:rPr>
        <w:t>Active Learning in Higher Education 11(3) 167–177</w:t>
      </w:r>
      <w:r>
        <w:rPr>
          <w:rFonts w:ascii="Arial" w:hAnsi="Arial" w:cs="Arial"/>
          <w:sz w:val="24"/>
          <w:szCs w:val="24"/>
        </w:rPr>
        <w:t xml:space="preserve">, </w:t>
      </w:r>
      <w:r w:rsidRPr="00CC3AC8">
        <w:rPr>
          <w:rFonts w:ascii="Arial" w:hAnsi="Arial" w:cs="Arial"/>
          <w:sz w:val="24"/>
          <w:szCs w:val="24"/>
        </w:rPr>
        <w:t>DOI: 10.1177/1469787410379680</w:t>
      </w:r>
    </w:p>
    <w:p w14:paraId="7E7BFD1A" w14:textId="77777777" w:rsidR="009F0E32" w:rsidRPr="00CC1D6D" w:rsidRDefault="009F0E32" w:rsidP="00E272B4">
      <w:pPr>
        <w:spacing w:line="36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0811C4E2" w14:textId="5BBBED7D" w:rsidR="0092499C" w:rsidRDefault="0092499C" w:rsidP="0092499C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</w:p>
    <w:p w14:paraId="034E7331" w14:textId="77777777" w:rsidR="00E272B4" w:rsidRPr="00DB6A95" w:rsidRDefault="00E272B4" w:rsidP="0092499C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</w:p>
    <w:p w14:paraId="73926EF2" w14:textId="77777777" w:rsidR="000773E3" w:rsidRPr="00914612" w:rsidRDefault="000773E3" w:rsidP="001C6FEC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</w:p>
    <w:p w14:paraId="15462893" w14:textId="77777777" w:rsidR="00145C53" w:rsidRPr="00661F8C" w:rsidRDefault="00145C53" w:rsidP="001C6FEC">
      <w:pPr>
        <w:spacing w:line="360" w:lineRule="auto"/>
        <w:outlineLvl w:val="0"/>
        <w:rPr>
          <w:rFonts w:ascii="Arial" w:hAnsi="Arial" w:cs="Arial"/>
          <w:bCs/>
          <w:sz w:val="24"/>
          <w:szCs w:val="24"/>
        </w:rPr>
      </w:pPr>
    </w:p>
    <w:p w14:paraId="6DA1BA74" w14:textId="77777777" w:rsidR="003A20C9" w:rsidRDefault="003A20C9" w:rsidP="001C6FEC">
      <w:pPr>
        <w:spacing w:line="36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236318F2" w14:textId="77777777" w:rsidR="003A20C9" w:rsidRPr="003A20C9" w:rsidRDefault="003A20C9" w:rsidP="001C6FEC">
      <w:pPr>
        <w:spacing w:line="36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53B6B174" w14:textId="77777777" w:rsidR="00DE617B" w:rsidRPr="00446CB6" w:rsidRDefault="00DE617B">
      <w:pPr>
        <w:rPr>
          <w:rFonts w:ascii="Arial" w:hAnsi="Arial" w:cs="Arial"/>
          <w:sz w:val="24"/>
          <w:szCs w:val="24"/>
        </w:rPr>
      </w:pPr>
    </w:p>
    <w:sectPr w:rsidR="00DE617B" w:rsidRPr="00446C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1217F"/>
    <w:multiLevelType w:val="multilevel"/>
    <w:tmpl w:val="914C8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A827F8"/>
    <w:multiLevelType w:val="hybridMultilevel"/>
    <w:tmpl w:val="9034C080"/>
    <w:lvl w:ilvl="0" w:tplc="B124667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888722">
    <w:abstractNumId w:val="1"/>
  </w:num>
  <w:num w:numId="2" w16cid:durableId="182276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85"/>
    <w:rsid w:val="000010B0"/>
    <w:rsid w:val="00001246"/>
    <w:rsid w:val="000020A0"/>
    <w:rsid w:val="00002EAA"/>
    <w:rsid w:val="00003D06"/>
    <w:rsid w:val="000060C7"/>
    <w:rsid w:val="000079E9"/>
    <w:rsid w:val="00007FFC"/>
    <w:rsid w:val="00011952"/>
    <w:rsid w:val="00012064"/>
    <w:rsid w:val="00012345"/>
    <w:rsid w:val="00013B8F"/>
    <w:rsid w:val="00013E91"/>
    <w:rsid w:val="0001449B"/>
    <w:rsid w:val="00015036"/>
    <w:rsid w:val="000155EE"/>
    <w:rsid w:val="00015650"/>
    <w:rsid w:val="000166AB"/>
    <w:rsid w:val="000177BF"/>
    <w:rsid w:val="000177C8"/>
    <w:rsid w:val="00020E29"/>
    <w:rsid w:val="00020E58"/>
    <w:rsid w:val="00021C3B"/>
    <w:rsid w:val="000234FB"/>
    <w:rsid w:val="00025756"/>
    <w:rsid w:val="00025A55"/>
    <w:rsid w:val="000267B1"/>
    <w:rsid w:val="00027E37"/>
    <w:rsid w:val="000319BF"/>
    <w:rsid w:val="000332C9"/>
    <w:rsid w:val="00033D70"/>
    <w:rsid w:val="00036E0C"/>
    <w:rsid w:val="00037E6C"/>
    <w:rsid w:val="0004293B"/>
    <w:rsid w:val="00042FAC"/>
    <w:rsid w:val="00043504"/>
    <w:rsid w:val="000448B7"/>
    <w:rsid w:val="0004531D"/>
    <w:rsid w:val="000454DE"/>
    <w:rsid w:val="0004697D"/>
    <w:rsid w:val="0005079D"/>
    <w:rsid w:val="0005083C"/>
    <w:rsid w:val="0005091E"/>
    <w:rsid w:val="00051443"/>
    <w:rsid w:val="00052306"/>
    <w:rsid w:val="000523C1"/>
    <w:rsid w:val="00052A5C"/>
    <w:rsid w:val="00054017"/>
    <w:rsid w:val="00061D58"/>
    <w:rsid w:val="00063442"/>
    <w:rsid w:val="00065BE3"/>
    <w:rsid w:val="0006615F"/>
    <w:rsid w:val="00067B1A"/>
    <w:rsid w:val="00067B3D"/>
    <w:rsid w:val="00070A2B"/>
    <w:rsid w:val="000711F0"/>
    <w:rsid w:val="00071334"/>
    <w:rsid w:val="000715CA"/>
    <w:rsid w:val="0007277D"/>
    <w:rsid w:val="00072CBB"/>
    <w:rsid w:val="000737A6"/>
    <w:rsid w:val="00073E06"/>
    <w:rsid w:val="00075E4D"/>
    <w:rsid w:val="000764CF"/>
    <w:rsid w:val="000773E3"/>
    <w:rsid w:val="00077AAE"/>
    <w:rsid w:val="00081F4F"/>
    <w:rsid w:val="00082422"/>
    <w:rsid w:val="00082730"/>
    <w:rsid w:val="00083AA1"/>
    <w:rsid w:val="00084B63"/>
    <w:rsid w:val="00087395"/>
    <w:rsid w:val="00087735"/>
    <w:rsid w:val="00087E82"/>
    <w:rsid w:val="00087F14"/>
    <w:rsid w:val="0009039E"/>
    <w:rsid w:val="0009142A"/>
    <w:rsid w:val="000944F4"/>
    <w:rsid w:val="000947D3"/>
    <w:rsid w:val="00095E6E"/>
    <w:rsid w:val="00097619"/>
    <w:rsid w:val="00097DC3"/>
    <w:rsid w:val="000A0579"/>
    <w:rsid w:val="000A0B3D"/>
    <w:rsid w:val="000A16D4"/>
    <w:rsid w:val="000A2607"/>
    <w:rsid w:val="000A26C5"/>
    <w:rsid w:val="000A39B1"/>
    <w:rsid w:val="000A5098"/>
    <w:rsid w:val="000A578A"/>
    <w:rsid w:val="000A5DDB"/>
    <w:rsid w:val="000B07E2"/>
    <w:rsid w:val="000B08E9"/>
    <w:rsid w:val="000B21F0"/>
    <w:rsid w:val="000B3BBB"/>
    <w:rsid w:val="000B3D6C"/>
    <w:rsid w:val="000B56A0"/>
    <w:rsid w:val="000B7E47"/>
    <w:rsid w:val="000C00A9"/>
    <w:rsid w:val="000C0A84"/>
    <w:rsid w:val="000C0BD8"/>
    <w:rsid w:val="000C28B1"/>
    <w:rsid w:val="000C29AB"/>
    <w:rsid w:val="000C44DB"/>
    <w:rsid w:val="000C476B"/>
    <w:rsid w:val="000C5BC3"/>
    <w:rsid w:val="000C6CFF"/>
    <w:rsid w:val="000C7960"/>
    <w:rsid w:val="000D02D1"/>
    <w:rsid w:val="000D0B38"/>
    <w:rsid w:val="000D2D76"/>
    <w:rsid w:val="000D658A"/>
    <w:rsid w:val="000D6EA4"/>
    <w:rsid w:val="000D778C"/>
    <w:rsid w:val="000E64E6"/>
    <w:rsid w:val="000E7724"/>
    <w:rsid w:val="000E7F1C"/>
    <w:rsid w:val="000F0DED"/>
    <w:rsid w:val="000F1FD4"/>
    <w:rsid w:val="000F335D"/>
    <w:rsid w:val="000F3F27"/>
    <w:rsid w:val="000F6CAA"/>
    <w:rsid w:val="00100D66"/>
    <w:rsid w:val="00101DB7"/>
    <w:rsid w:val="0010380C"/>
    <w:rsid w:val="001041B2"/>
    <w:rsid w:val="00104E6E"/>
    <w:rsid w:val="0011107B"/>
    <w:rsid w:val="00111600"/>
    <w:rsid w:val="00113228"/>
    <w:rsid w:val="00113F0D"/>
    <w:rsid w:val="0011425B"/>
    <w:rsid w:val="001201B5"/>
    <w:rsid w:val="00121EC2"/>
    <w:rsid w:val="001232B4"/>
    <w:rsid w:val="0012623C"/>
    <w:rsid w:val="001269D2"/>
    <w:rsid w:val="00126F82"/>
    <w:rsid w:val="00131CBB"/>
    <w:rsid w:val="00132190"/>
    <w:rsid w:val="001336C4"/>
    <w:rsid w:val="001338B2"/>
    <w:rsid w:val="00134434"/>
    <w:rsid w:val="001344D2"/>
    <w:rsid w:val="0013521E"/>
    <w:rsid w:val="00135C05"/>
    <w:rsid w:val="001370B5"/>
    <w:rsid w:val="00140D4E"/>
    <w:rsid w:val="00141E86"/>
    <w:rsid w:val="00143BFD"/>
    <w:rsid w:val="00145C53"/>
    <w:rsid w:val="00150281"/>
    <w:rsid w:val="00150486"/>
    <w:rsid w:val="00150978"/>
    <w:rsid w:val="001522B3"/>
    <w:rsid w:val="001522B7"/>
    <w:rsid w:val="001532D5"/>
    <w:rsid w:val="001539DB"/>
    <w:rsid w:val="00153D66"/>
    <w:rsid w:val="00154436"/>
    <w:rsid w:val="001562A7"/>
    <w:rsid w:val="00160A7D"/>
    <w:rsid w:val="00161DBE"/>
    <w:rsid w:val="00162529"/>
    <w:rsid w:val="00163B10"/>
    <w:rsid w:val="00164786"/>
    <w:rsid w:val="001656F8"/>
    <w:rsid w:val="00166268"/>
    <w:rsid w:val="001705F3"/>
    <w:rsid w:val="00171975"/>
    <w:rsid w:val="00171D5B"/>
    <w:rsid w:val="00171F07"/>
    <w:rsid w:val="00173393"/>
    <w:rsid w:val="0017370A"/>
    <w:rsid w:val="00173A35"/>
    <w:rsid w:val="00173FE3"/>
    <w:rsid w:val="001741D2"/>
    <w:rsid w:val="00175689"/>
    <w:rsid w:val="00176F39"/>
    <w:rsid w:val="0018357A"/>
    <w:rsid w:val="0018445D"/>
    <w:rsid w:val="001861BF"/>
    <w:rsid w:val="001865C9"/>
    <w:rsid w:val="00187404"/>
    <w:rsid w:val="001876E7"/>
    <w:rsid w:val="00191D85"/>
    <w:rsid w:val="00192FF9"/>
    <w:rsid w:val="001938AA"/>
    <w:rsid w:val="00193A64"/>
    <w:rsid w:val="001942BE"/>
    <w:rsid w:val="0019563E"/>
    <w:rsid w:val="00195C9D"/>
    <w:rsid w:val="00197A33"/>
    <w:rsid w:val="00197CFF"/>
    <w:rsid w:val="001A0205"/>
    <w:rsid w:val="001A2831"/>
    <w:rsid w:val="001A2894"/>
    <w:rsid w:val="001A396D"/>
    <w:rsid w:val="001A4A4B"/>
    <w:rsid w:val="001A4C2B"/>
    <w:rsid w:val="001A4CAB"/>
    <w:rsid w:val="001A7447"/>
    <w:rsid w:val="001A7AC7"/>
    <w:rsid w:val="001B0B31"/>
    <w:rsid w:val="001B0D91"/>
    <w:rsid w:val="001B2985"/>
    <w:rsid w:val="001B3001"/>
    <w:rsid w:val="001B34AD"/>
    <w:rsid w:val="001B5F39"/>
    <w:rsid w:val="001B61B4"/>
    <w:rsid w:val="001B71DA"/>
    <w:rsid w:val="001B7258"/>
    <w:rsid w:val="001B7AD4"/>
    <w:rsid w:val="001C0CD0"/>
    <w:rsid w:val="001C13D1"/>
    <w:rsid w:val="001C6FEC"/>
    <w:rsid w:val="001D0C71"/>
    <w:rsid w:val="001D0C8D"/>
    <w:rsid w:val="001D0CD0"/>
    <w:rsid w:val="001D521F"/>
    <w:rsid w:val="001D57B0"/>
    <w:rsid w:val="001D5D60"/>
    <w:rsid w:val="001D657B"/>
    <w:rsid w:val="001D7B0B"/>
    <w:rsid w:val="001D7FAC"/>
    <w:rsid w:val="001E15F6"/>
    <w:rsid w:val="001E29BD"/>
    <w:rsid w:val="001E3545"/>
    <w:rsid w:val="001E4484"/>
    <w:rsid w:val="001E5F84"/>
    <w:rsid w:val="001F04FF"/>
    <w:rsid w:val="001F079B"/>
    <w:rsid w:val="001F4B7A"/>
    <w:rsid w:val="001F4BB3"/>
    <w:rsid w:val="001F681F"/>
    <w:rsid w:val="001F7326"/>
    <w:rsid w:val="001F760C"/>
    <w:rsid w:val="001F7CB1"/>
    <w:rsid w:val="0020143C"/>
    <w:rsid w:val="0020181D"/>
    <w:rsid w:val="00204935"/>
    <w:rsid w:val="0020541A"/>
    <w:rsid w:val="00205993"/>
    <w:rsid w:val="00206621"/>
    <w:rsid w:val="002067F9"/>
    <w:rsid w:val="0021038C"/>
    <w:rsid w:val="002110B6"/>
    <w:rsid w:val="0021185A"/>
    <w:rsid w:val="0021195D"/>
    <w:rsid w:val="002121F1"/>
    <w:rsid w:val="002135C5"/>
    <w:rsid w:val="00213C62"/>
    <w:rsid w:val="00214D7F"/>
    <w:rsid w:val="00216185"/>
    <w:rsid w:val="002161C1"/>
    <w:rsid w:val="00216544"/>
    <w:rsid w:val="00217430"/>
    <w:rsid w:val="002206F1"/>
    <w:rsid w:val="002216EE"/>
    <w:rsid w:val="00222BDA"/>
    <w:rsid w:val="002267AA"/>
    <w:rsid w:val="00234762"/>
    <w:rsid w:val="00234D40"/>
    <w:rsid w:val="0024053A"/>
    <w:rsid w:val="0024131E"/>
    <w:rsid w:val="00241478"/>
    <w:rsid w:val="00242EF2"/>
    <w:rsid w:val="00243A43"/>
    <w:rsid w:val="00244864"/>
    <w:rsid w:val="0024497A"/>
    <w:rsid w:val="00244DE0"/>
    <w:rsid w:val="002453A2"/>
    <w:rsid w:val="00246456"/>
    <w:rsid w:val="0024731D"/>
    <w:rsid w:val="0025087B"/>
    <w:rsid w:val="0025237B"/>
    <w:rsid w:val="00253F3E"/>
    <w:rsid w:val="002546B5"/>
    <w:rsid w:val="00256D3F"/>
    <w:rsid w:val="0025742E"/>
    <w:rsid w:val="002574AD"/>
    <w:rsid w:val="00261A1C"/>
    <w:rsid w:val="00263BAA"/>
    <w:rsid w:val="00263D49"/>
    <w:rsid w:val="0026557A"/>
    <w:rsid w:val="00265D91"/>
    <w:rsid w:val="00266C8D"/>
    <w:rsid w:val="0026765B"/>
    <w:rsid w:val="00267DA8"/>
    <w:rsid w:val="00270DAE"/>
    <w:rsid w:val="00270F2B"/>
    <w:rsid w:val="00271329"/>
    <w:rsid w:val="00272F6F"/>
    <w:rsid w:val="00274E17"/>
    <w:rsid w:val="002759D0"/>
    <w:rsid w:val="00281384"/>
    <w:rsid w:val="0028387B"/>
    <w:rsid w:val="00284DED"/>
    <w:rsid w:val="00285348"/>
    <w:rsid w:val="00286E89"/>
    <w:rsid w:val="00290851"/>
    <w:rsid w:val="00290D3E"/>
    <w:rsid w:val="002915A9"/>
    <w:rsid w:val="002920BE"/>
    <w:rsid w:val="00292975"/>
    <w:rsid w:val="00294CB8"/>
    <w:rsid w:val="00294FD5"/>
    <w:rsid w:val="00295BAE"/>
    <w:rsid w:val="002967DF"/>
    <w:rsid w:val="002A2F9A"/>
    <w:rsid w:val="002A39C7"/>
    <w:rsid w:val="002A502C"/>
    <w:rsid w:val="002A5E35"/>
    <w:rsid w:val="002A6DB9"/>
    <w:rsid w:val="002B11C5"/>
    <w:rsid w:val="002B6B83"/>
    <w:rsid w:val="002B6DD0"/>
    <w:rsid w:val="002B7B3E"/>
    <w:rsid w:val="002B7C5B"/>
    <w:rsid w:val="002C0ECC"/>
    <w:rsid w:val="002C127E"/>
    <w:rsid w:val="002C1993"/>
    <w:rsid w:val="002C2584"/>
    <w:rsid w:val="002C322D"/>
    <w:rsid w:val="002C328C"/>
    <w:rsid w:val="002C4C5C"/>
    <w:rsid w:val="002C56DC"/>
    <w:rsid w:val="002C5D51"/>
    <w:rsid w:val="002C67BF"/>
    <w:rsid w:val="002C6E17"/>
    <w:rsid w:val="002C7B8A"/>
    <w:rsid w:val="002C7F80"/>
    <w:rsid w:val="002D0F00"/>
    <w:rsid w:val="002D2BAE"/>
    <w:rsid w:val="002D50F7"/>
    <w:rsid w:val="002D6029"/>
    <w:rsid w:val="002D7886"/>
    <w:rsid w:val="002E0581"/>
    <w:rsid w:val="002E3C09"/>
    <w:rsid w:val="002E439B"/>
    <w:rsid w:val="002E48EB"/>
    <w:rsid w:val="002E4FC1"/>
    <w:rsid w:val="002E546B"/>
    <w:rsid w:val="002F0CFC"/>
    <w:rsid w:val="002F1393"/>
    <w:rsid w:val="002F19FA"/>
    <w:rsid w:val="002F2505"/>
    <w:rsid w:val="002F2B30"/>
    <w:rsid w:val="002F2D4F"/>
    <w:rsid w:val="002F4A50"/>
    <w:rsid w:val="002F63DE"/>
    <w:rsid w:val="00302F4A"/>
    <w:rsid w:val="003032EA"/>
    <w:rsid w:val="00307480"/>
    <w:rsid w:val="00310378"/>
    <w:rsid w:val="0031489A"/>
    <w:rsid w:val="00315A3B"/>
    <w:rsid w:val="00315F09"/>
    <w:rsid w:val="00316E15"/>
    <w:rsid w:val="003213AC"/>
    <w:rsid w:val="00322580"/>
    <w:rsid w:val="00322982"/>
    <w:rsid w:val="00322BE7"/>
    <w:rsid w:val="00325C85"/>
    <w:rsid w:val="003271E0"/>
    <w:rsid w:val="00327E9D"/>
    <w:rsid w:val="00330BE3"/>
    <w:rsid w:val="0033124C"/>
    <w:rsid w:val="00331BE0"/>
    <w:rsid w:val="003328D6"/>
    <w:rsid w:val="003334E1"/>
    <w:rsid w:val="00333994"/>
    <w:rsid w:val="00334BAE"/>
    <w:rsid w:val="00334F1F"/>
    <w:rsid w:val="003351E2"/>
    <w:rsid w:val="0033773D"/>
    <w:rsid w:val="0033783F"/>
    <w:rsid w:val="00337C08"/>
    <w:rsid w:val="00337D8B"/>
    <w:rsid w:val="00340C39"/>
    <w:rsid w:val="00341D04"/>
    <w:rsid w:val="0034233C"/>
    <w:rsid w:val="00342DA0"/>
    <w:rsid w:val="0034586A"/>
    <w:rsid w:val="00345AC6"/>
    <w:rsid w:val="00347662"/>
    <w:rsid w:val="00350026"/>
    <w:rsid w:val="003518BD"/>
    <w:rsid w:val="003520FA"/>
    <w:rsid w:val="00353699"/>
    <w:rsid w:val="00353A3A"/>
    <w:rsid w:val="00353BC5"/>
    <w:rsid w:val="00354FAB"/>
    <w:rsid w:val="00355952"/>
    <w:rsid w:val="00360D22"/>
    <w:rsid w:val="003617CB"/>
    <w:rsid w:val="003625E0"/>
    <w:rsid w:val="0036356A"/>
    <w:rsid w:val="00363FC5"/>
    <w:rsid w:val="00364F79"/>
    <w:rsid w:val="00365FF8"/>
    <w:rsid w:val="00366C36"/>
    <w:rsid w:val="00366F68"/>
    <w:rsid w:val="00367A93"/>
    <w:rsid w:val="00370236"/>
    <w:rsid w:val="00371671"/>
    <w:rsid w:val="00371A6C"/>
    <w:rsid w:val="00371A73"/>
    <w:rsid w:val="00371FC4"/>
    <w:rsid w:val="00372908"/>
    <w:rsid w:val="00374C66"/>
    <w:rsid w:val="00380728"/>
    <w:rsid w:val="00380996"/>
    <w:rsid w:val="0038099C"/>
    <w:rsid w:val="00381D7F"/>
    <w:rsid w:val="0038227D"/>
    <w:rsid w:val="00382CB2"/>
    <w:rsid w:val="003842D1"/>
    <w:rsid w:val="00384306"/>
    <w:rsid w:val="00385499"/>
    <w:rsid w:val="00387E5C"/>
    <w:rsid w:val="00390D39"/>
    <w:rsid w:val="0039101F"/>
    <w:rsid w:val="003919A4"/>
    <w:rsid w:val="00393101"/>
    <w:rsid w:val="003942E2"/>
    <w:rsid w:val="0039531D"/>
    <w:rsid w:val="0039619B"/>
    <w:rsid w:val="003A002C"/>
    <w:rsid w:val="003A0F71"/>
    <w:rsid w:val="003A1E62"/>
    <w:rsid w:val="003A20C9"/>
    <w:rsid w:val="003A48E4"/>
    <w:rsid w:val="003A50E2"/>
    <w:rsid w:val="003A6209"/>
    <w:rsid w:val="003A67C5"/>
    <w:rsid w:val="003A7B3E"/>
    <w:rsid w:val="003B20EA"/>
    <w:rsid w:val="003B2D57"/>
    <w:rsid w:val="003B3B26"/>
    <w:rsid w:val="003B4A33"/>
    <w:rsid w:val="003B4E51"/>
    <w:rsid w:val="003B5BAB"/>
    <w:rsid w:val="003B7AD0"/>
    <w:rsid w:val="003C00BA"/>
    <w:rsid w:val="003C036D"/>
    <w:rsid w:val="003C13BE"/>
    <w:rsid w:val="003C1F8C"/>
    <w:rsid w:val="003C2C16"/>
    <w:rsid w:val="003C347D"/>
    <w:rsid w:val="003C3562"/>
    <w:rsid w:val="003D0307"/>
    <w:rsid w:val="003D121B"/>
    <w:rsid w:val="003D249B"/>
    <w:rsid w:val="003D2B92"/>
    <w:rsid w:val="003D403F"/>
    <w:rsid w:val="003D4BB9"/>
    <w:rsid w:val="003D4D38"/>
    <w:rsid w:val="003D4DDC"/>
    <w:rsid w:val="003D547B"/>
    <w:rsid w:val="003D59B3"/>
    <w:rsid w:val="003D73D3"/>
    <w:rsid w:val="003D773C"/>
    <w:rsid w:val="003E00AF"/>
    <w:rsid w:val="003E0212"/>
    <w:rsid w:val="003E469D"/>
    <w:rsid w:val="003E49CE"/>
    <w:rsid w:val="003E6B71"/>
    <w:rsid w:val="003F297F"/>
    <w:rsid w:val="003F2DBF"/>
    <w:rsid w:val="003F39FE"/>
    <w:rsid w:val="003F421F"/>
    <w:rsid w:val="003F46C0"/>
    <w:rsid w:val="003F715D"/>
    <w:rsid w:val="00400449"/>
    <w:rsid w:val="00401143"/>
    <w:rsid w:val="00401278"/>
    <w:rsid w:val="00401747"/>
    <w:rsid w:val="004018BE"/>
    <w:rsid w:val="00403E0E"/>
    <w:rsid w:val="004046B2"/>
    <w:rsid w:val="00404EBB"/>
    <w:rsid w:val="0040567E"/>
    <w:rsid w:val="0041013B"/>
    <w:rsid w:val="00411C9D"/>
    <w:rsid w:val="0041201B"/>
    <w:rsid w:val="00415022"/>
    <w:rsid w:val="00415E89"/>
    <w:rsid w:val="00416A20"/>
    <w:rsid w:val="00417FA6"/>
    <w:rsid w:val="00421A55"/>
    <w:rsid w:val="00422245"/>
    <w:rsid w:val="004224B7"/>
    <w:rsid w:val="004255E1"/>
    <w:rsid w:val="0042593A"/>
    <w:rsid w:val="00427ABC"/>
    <w:rsid w:val="004321F4"/>
    <w:rsid w:val="004326FE"/>
    <w:rsid w:val="0043295D"/>
    <w:rsid w:val="00432B88"/>
    <w:rsid w:val="004333DF"/>
    <w:rsid w:val="00434271"/>
    <w:rsid w:val="00435B88"/>
    <w:rsid w:val="00436027"/>
    <w:rsid w:val="00437C59"/>
    <w:rsid w:val="00440548"/>
    <w:rsid w:val="00440E9E"/>
    <w:rsid w:val="00445204"/>
    <w:rsid w:val="00445AF8"/>
    <w:rsid w:val="00445CD6"/>
    <w:rsid w:val="0044628F"/>
    <w:rsid w:val="00446CB6"/>
    <w:rsid w:val="004473B2"/>
    <w:rsid w:val="004479A8"/>
    <w:rsid w:val="00451CE0"/>
    <w:rsid w:val="00452FA1"/>
    <w:rsid w:val="004535C4"/>
    <w:rsid w:val="00455646"/>
    <w:rsid w:val="004567A4"/>
    <w:rsid w:val="004567FE"/>
    <w:rsid w:val="00456B19"/>
    <w:rsid w:val="00457561"/>
    <w:rsid w:val="00457C81"/>
    <w:rsid w:val="00461FD4"/>
    <w:rsid w:val="00462F90"/>
    <w:rsid w:val="004646A2"/>
    <w:rsid w:val="00464EF7"/>
    <w:rsid w:val="004658CC"/>
    <w:rsid w:val="0046787B"/>
    <w:rsid w:val="0047029F"/>
    <w:rsid w:val="00473DEE"/>
    <w:rsid w:val="00474B8B"/>
    <w:rsid w:val="00474F4E"/>
    <w:rsid w:val="00475703"/>
    <w:rsid w:val="00475D1A"/>
    <w:rsid w:val="00476DB9"/>
    <w:rsid w:val="00477E7E"/>
    <w:rsid w:val="004821E3"/>
    <w:rsid w:val="00484B13"/>
    <w:rsid w:val="00484D70"/>
    <w:rsid w:val="0048513C"/>
    <w:rsid w:val="00485C54"/>
    <w:rsid w:val="00485E07"/>
    <w:rsid w:val="00485F9B"/>
    <w:rsid w:val="00487349"/>
    <w:rsid w:val="004905CF"/>
    <w:rsid w:val="00490CBE"/>
    <w:rsid w:val="004928EF"/>
    <w:rsid w:val="00493C9C"/>
    <w:rsid w:val="004957DA"/>
    <w:rsid w:val="00497DCA"/>
    <w:rsid w:val="004A0887"/>
    <w:rsid w:val="004A0F06"/>
    <w:rsid w:val="004A211F"/>
    <w:rsid w:val="004A3C34"/>
    <w:rsid w:val="004B20D3"/>
    <w:rsid w:val="004B26C6"/>
    <w:rsid w:val="004B3423"/>
    <w:rsid w:val="004B650D"/>
    <w:rsid w:val="004B73A2"/>
    <w:rsid w:val="004C1FA1"/>
    <w:rsid w:val="004C35C6"/>
    <w:rsid w:val="004C4CD4"/>
    <w:rsid w:val="004C5010"/>
    <w:rsid w:val="004C699E"/>
    <w:rsid w:val="004C6D28"/>
    <w:rsid w:val="004C6DF9"/>
    <w:rsid w:val="004C73AB"/>
    <w:rsid w:val="004C7881"/>
    <w:rsid w:val="004D56A3"/>
    <w:rsid w:val="004D5B56"/>
    <w:rsid w:val="004D7C53"/>
    <w:rsid w:val="004E10D4"/>
    <w:rsid w:val="004E2A6A"/>
    <w:rsid w:val="004E2AC3"/>
    <w:rsid w:val="004E3727"/>
    <w:rsid w:val="004E50D0"/>
    <w:rsid w:val="004E5410"/>
    <w:rsid w:val="004E65B9"/>
    <w:rsid w:val="004F068F"/>
    <w:rsid w:val="004F1BC1"/>
    <w:rsid w:val="004F28D5"/>
    <w:rsid w:val="004F37DB"/>
    <w:rsid w:val="004F3AEA"/>
    <w:rsid w:val="004F4255"/>
    <w:rsid w:val="004F4294"/>
    <w:rsid w:val="004F42A1"/>
    <w:rsid w:val="004F4A47"/>
    <w:rsid w:val="004F672B"/>
    <w:rsid w:val="004F6A9F"/>
    <w:rsid w:val="004F774D"/>
    <w:rsid w:val="004F7F57"/>
    <w:rsid w:val="005019DF"/>
    <w:rsid w:val="00501D27"/>
    <w:rsid w:val="00502461"/>
    <w:rsid w:val="00502747"/>
    <w:rsid w:val="00503171"/>
    <w:rsid w:val="005035F1"/>
    <w:rsid w:val="005066EA"/>
    <w:rsid w:val="00506764"/>
    <w:rsid w:val="00510035"/>
    <w:rsid w:val="00513314"/>
    <w:rsid w:val="005136CA"/>
    <w:rsid w:val="00514ABE"/>
    <w:rsid w:val="00515A6D"/>
    <w:rsid w:val="00517D16"/>
    <w:rsid w:val="00522192"/>
    <w:rsid w:val="005239FC"/>
    <w:rsid w:val="0052548F"/>
    <w:rsid w:val="0052681E"/>
    <w:rsid w:val="005318DD"/>
    <w:rsid w:val="0053265C"/>
    <w:rsid w:val="0053281C"/>
    <w:rsid w:val="00535911"/>
    <w:rsid w:val="005366B9"/>
    <w:rsid w:val="005371C2"/>
    <w:rsid w:val="00537559"/>
    <w:rsid w:val="0053764A"/>
    <w:rsid w:val="005402F7"/>
    <w:rsid w:val="00540931"/>
    <w:rsid w:val="005412EF"/>
    <w:rsid w:val="00541419"/>
    <w:rsid w:val="00541665"/>
    <w:rsid w:val="00542127"/>
    <w:rsid w:val="00542D04"/>
    <w:rsid w:val="00544EB4"/>
    <w:rsid w:val="0054548F"/>
    <w:rsid w:val="0055009C"/>
    <w:rsid w:val="005504CC"/>
    <w:rsid w:val="005517CC"/>
    <w:rsid w:val="005519D1"/>
    <w:rsid w:val="00552085"/>
    <w:rsid w:val="00554BF5"/>
    <w:rsid w:val="00554E99"/>
    <w:rsid w:val="005571FE"/>
    <w:rsid w:val="00557482"/>
    <w:rsid w:val="00557EAA"/>
    <w:rsid w:val="00560262"/>
    <w:rsid w:val="00564197"/>
    <w:rsid w:val="00564541"/>
    <w:rsid w:val="00564729"/>
    <w:rsid w:val="00565403"/>
    <w:rsid w:val="005674AA"/>
    <w:rsid w:val="00567BBA"/>
    <w:rsid w:val="00570DE2"/>
    <w:rsid w:val="00570E8E"/>
    <w:rsid w:val="00570FDB"/>
    <w:rsid w:val="005710C7"/>
    <w:rsid w:val="00574F7E"/>
    <w:rsid w:val="005752E9"/>
    <w:rsid w:val="00575420"/>
    <w:rsid w:val="005757C1"/>
    <w:rsid w:val="005761C7"/>
    <w:rsid w:val="00577ADE"/>
    <w:rsid w:val="00581DC9"/>
    <w:rsid w:val="00581F98"/>
    <w:rsid w:val="00582058"/>
    <w:rsid w:val="00583F4C"/>
    <w:rsid w:val="00584F73"/>
    <w:rsid w:val="00585C57"/>
    <w:rsid w:val="00587778"/>
    <w:rsid w:val="005913AF"/>
    <w:rsid w:val="00591414"/>
    <w:rsid w:val="005925E2"/>
    <w:rsid w:val="00595B38"/>
    <w:rsid w:val="00595F00"/>
    <w:rsid w:val="00596C6A"/>
    <w:rsid w:val="00597232"/>
    <w:rsid w:val="005A1CCE"/>
    <w:rsid w:val="005A2897"/>
    <w:rsid w:val="005A406D"/>
    <w:rsid w:val="005A5998"/>
    <w:rsid w:val="005A7199"/>
    <w:rsid w:val="005A71A1"/>
    <w:rsid w:val="005A7575"/>
    <w:rsid w:val="005B0280"/>
    <w:rsid w:val="005B44ED"/>
    <w:rsid w:val="005B47B3"/>
    <w:rsid w:val="005B5177"/>
    <w:rsid w:val="005B560D"/>
    <w:rsid w:val="005B6797"/>
    <w:rsid w:val="005C14A8"/>
    <w:rsid w:val="005C1C69"/>
    <w:rsid w:val="005C2677"/>
    <w:rsid w:val="005C55CF"/>
    <w:rsid w:val="005C570C"/>
    <w:rsid w:val="005C6C86"/>
    <w:rsid w:val="005C714D"/>
    <w:rsid w:val="005D0233"/>
    <w:rsid w:val="005D46C2"/>
    <w:rsid w:val="005E1FB8"/>
    <w:rsid w:val="005E2114"/>
    <w:rsid w:val="005E224C"/>
    <w:rsid w:val="005E2252"/>
    <w:rsid w:val="005E2D01"/>
    <w:rsid w:val="005E368D"/>
    <w:rsid w:val="005E4D23"/>
    <w:rsid w:val="005E7AE8"/>
    <w:rsid w:val="005F10EF"/>
    <w:rsid w:val="005F186F"/>
    <w:rsid w:val="005F297D"/>
    <w:rsid w:val="005F2D83"/>
    <w:rsid w:val="00601BB5"/>
    <w:rsid w:val="00603250"/>
    <w:rsid w:val="00603361"/>
    <w:rsid w:val="00605767"/>
    <w:rsid w:val="00610505"/>
    <w:rsid w:val="00610E04"/>
    <w:rsid w:val="0061123A"/>
    <w:rsid w:val="00611ECD"/>
    <w:rsid w:val="0061264E"/>
    <w:rsid w:val="00612B87"/>
    <w:rsid w:val="00613096"/>
    <w:rsid w:val="0061399D"/>
    <w:rsid w:val="006146E5"/>
    <w:rsid w:val="006149B7"/>
    <w:rsid w:val="00614A63"/>
    <w:rsid w:val="00614B7B"/>
    <w:rsid w:val="0061503B"/>
    <w:rsid w:val="0061597F"/>
    <w:rsid w:val="006168C3"/>
    <w:rsid w:val="00617C97"/>
    <w:rsid w:val="00621EB3"/>
    <w:rsid w:val="00622BBF"/>
    <w:rsid w:val="00622C33"/>
    <w:rsid w:val="00622DBA"/>
    <w:rsid w:val="0062349D"/>
    <w:rsid w:val="006240B8"/>
    <w:rsid w:val="006240E4"/>
    <w:rsid w:val="006245E6"/>
    <w:rsid w:val="00625B50"/>
    <w:rsid w:val="00625C9D"/>
    <w:rsid w:val="006308AB"/>
    <w:rsid w:val="00634AB9"/>
    <w:rsid w:val="006354E2"/>
    <w:rsid w:val="00635A74"/>
    <w:rsid w:val="00635D0B"/>
    <w:rsid w:val="00635ED5"/>
    <w:rsid w:val="00636600"/>
    <w:rsid w:val="00636730"/>
    <w:rsid w:val="0063702A"/>
    <w:rsid w:val="00640124"/>
    <w:rsid w:val="006437E3"/>
    <w:rsid w:val="00644A1B"/>
    <w:rsid w:val="00644A6E"/>
    <w:rsid w:val="00645435"/>
    <w:rsid w:val="00645A52"/>
    <w:rsid w:val="0064733A"/>
    <w:rsid w:val="0064783C"/>
    <w:rsid w:val="00650256"/>
    <w:rsid w:val="00650952"/>
    <w:rsid w:val="00652CF3"/>
    <w:rsid w:val="006537E1"/>
    <w:rsid w:val="0065426F"/>
    <w:rsid w:val="00654D91"/>
    <w:rsid w:val="00655161"/>
    <w:rsid w:val="00656067"/>
    <w:rsid w:val="00656784"/>
    <w:rsid w:val="00656D04"/>
    <w:rsid w:val="00660079"/>
    <w:rsid w:val="00660857"/>
    <w:rsid w:val="006609B3"/>
    <w:rsid w:val="006612F7"/>
    <w:rsid w:val="0066182B"/>
    <w:rsid w:val="00661EE2"/>
    <w:rsid w:val="00661F8C"/>
    <w:rsid w:val="00662B38"/>
    <w:rsid w:val="00662DF3"/>
    <w:rsid w:val="006642DC"/>
    <w:rsid w:val="00664387"/>
    <w:rsid w:val="006656E9"/>
    <w:rsid w:val="0066783B"/>
    <w:rsid w:val="00670683"/>
    <w:rsid w:val="00670CB0"/>
    <w:rsid w:val="00671492"/>
    <w:rsid w:val="00672B1C"/>
    <w:rsid w:val="00675541"/>
    <w:rsid w:val="0068083A"/>
    <w:rsid w:val="00682127"/>
    <w:rsid w:val="0068223F"/>
    <w:rsid w:val="00685AA3"/>
    <w:rsid w:val="00686421"/>
    <w:rsid w:val="006928A3"/>
    <w:rsid w:val="006933A9"/>
    <w:rsid w:val="006937E1"/>
    <w:rsid w:val="00693E9C"/>
    <w:rsid w:val="0069458F"/>
    <w:rsid w:val="00694AEA"/>
    <w:rsid w:val="00695DE1"/>
    <w:rsid w:val="0069745A"/>
    <w:rsid w:val="006A07EE"/>
    <w:rsid w:val="006A0BE5"/>
    <w:rsid w:val="006A25AF"/>
    <w:rsid w:val="006A267D"/>
    <w:rsid w:val="006A28F4"/>
    <w:rsid w:val="006A308E"/>
    <w:rsid w:val="006A499C"/>
    <w:rsid w:val="006A7A25"/>
    <w:rsid w:val="006B06A0"/>
    <w:rsid w:val="006B1946"/>
    <w:rsid w:val="006B1E05"/>
    <w:rsid w:val="006B35F3"/>
    <w:rsid w:val="006B3DE5"/>
    <w:rsid w:val="006B4671"/>
    <w:rsid w:val="006B4788"/>
    <w:rsid w:val="006B4801"/>
    <w:rsid w:val="006B4D8F"/>
    <w:rsid w:val="006B6796"/>
    <w:rsid w:val="006B74DF"/>
    <w:rsid w:val="006C214A"/>
    <w:rsid w:val="006C2647"/>
    <w:rsid w:val="006C26FA"/>
    <w:rsid w:val="006C2A69"/>
    <w:rsid w:val="006C6884"/>
    <w:rsid w:val="006C758D"/>
    <w:rsid w:val="006D07EB"/>
    <w:rsid w:val="006D3D03"/>
    <w:rsid w:val="006D4373"/>
    <w:rsid w:val="006D5530"/>
    <w:rsid w:val="006D5BA4"/>
    <w:rsid w:val="006D6011"/>
    <w:rsid w:val="006D6CC9"/>
    <w:rsid w:val="006E02F3"/>
    <w:rsid w:val="006E0B94"/>
    <w:rsid w:val="006E16BA"/>
    <w:rsid w:val="006E1969"/>
    <w:rsid w:val="006E1A02"/>
    <w:rsid w:val="006E3C73"/>
    <w:rsid w:val="006E3D9D"/>
    <w:rsid w:val="006E4A7D"/>
    <w:rsid w:val="006E60F2"/>
    <w:rsid w:val="006E6DD2"/>
    <w:rsid w:val="006E74DA"/>
    <w:rsid w:val="006F081F"/>
    <w:rsid w:val="006F1643"/>
    <w:rsid w:val="006F19A9"/>
    <w:rsid w:val="006F2210"/>
    <w:rsid w:val="006F224A"/>
    <w:rsid w:val="006F372B"/>
    <w:rsid w:val="006F5F7D"/>
    <w:rsid w:val="006F6253"/>
    <w:rsid w:val="006F7428"/>
    <w:rsid w:val="00700B86"/>
    <w:rsid w:val="0070135B"/>
    <w:rsid w:val="00702FEB"/>
    <w:rsid w:val="00703142"/>
    <w:rsid w:val="0070419B"/>
    <w:rsid w:val="00704639"/>
    <w:rsid w:val="00704CBE"/>
    <w:rsid w:val="007050FF"/>
    <w:rsid w:val="00707463"/>
    <w:rsid w:val="007107FE"/>
    <w:rsid w:val="007115FC"/>
    <w:rsid w:val="00711E9B"/>
    <w:rsid w:val="007159D1"/>
    <w:rsid w:val="00715CC7"/>
    <w:rsid w:val="00716385"/>
    <w:rsid w:val="00716A7D"/>
    <w:rsid w:val="00721CA0"/>
    <w:rsid w:val="007238B6"/>
    <w:rsid w:val="00723BEF"/>
    <w:rsid w:val="00724B27"/>
    <w:rsid w:val="0072572E"/>
    <w:rsid w:val="00725F7F"/>
    <w:rsid w:val="00727D1C"/>
    <w:rsid w:val="00730683"/>
    <w:rsid w:val="007310B4"/>
    <w:rsid w:val="00732195"/>
    <w:rsid w:val="00732196"/>
    <w:rsid w:val="00732246"/>
    <w:rsid w:val="007324C1"/>
    <w:rsid w:val="007325D8"/>
    <w:rsid w:val="00734F67"/>
    <w:rsid w:val="00734F8C"/>
    <w:rsid w:val="0074357A"/>
    <w:rsid w:val="0074401D"/>
    <w:rsid w:val="007445CF"/>
    <w:rsid w:val="00750971"/>
    <w:rsid w:val="007530F5"/>
    <w:rsid w:val="0075441F"/>
    <w:rsid w:val="00755447"/>
    <w:rsid w:val="00755B91"/>
    <w:rsid w:val="00755E64"/>
    <w:rsid w:val="00756610"/>
    <w:rsid w:val="0075668C"/>
    <w:rsid w:val="00756B66"/>
    <w:rsid w:val="00757283"/>
    <w:rsid w:val="00761CAF"/>
    <w:rsid w:val="007630FF"/>
    <w:rsid w:val="00763A16"/>
    <w:rsid w:val="00766947"/>
    <w:rsid w:val="00767522"/>
    <w:rsid w:val="0076794B"/>
    <w:rsid w:val="00770EA5"/>
    <w:rsid w:val="007713D4"/>
    <w:rsid w:val="00771521"/>
    <w:rsid w:val="0077195A"/>
    <w:rsid w:val="00773329"/>
    <w:rsid w:val="00774E83"/>
    <w:rsid w:val="007755ED"/>
    <w:rsid w:val="00777044"/>
    <w:rsid w:val="007810A8"/>
    <w:rsid w:val="00781AF5"/>
    <w:rsid w:val="00783A8E"/>
    <w:rsid w:val="007845A0"/>
    <w:rsid w:val="0078472B"/>
    <w:rsid w:val="00786D43"/>
    <w:rsid w:val="00786D7E"/>
    <w:rsid w:val="007877D6"/>
    <w:rsid w:val="00793291"/>
    <w:rsid w:val="007936A2"/>
    <w:rsid w:val="00795054"/>
    <w:rsid w:val="00795A1C"/>
    <w:rsid w:val="007969D3"/>
    <w:rsid w:val="00796A5A"/>
    <w:rsid w:val="00796E73"/>
    <w:rsid w:val="00797823"/>
    <w:rsid w:val="00797FC3"/>
    <w:rsid w:val="007A059B"/>
    <w:rsid w:val="007A0A99"/>
    <w:rsid w:val="007A24D6"/>
    <w:rsid w:val="007A2D83"/>
    <w:rsid w:val="007A345B"/>
    <w:rsid w:val="007A4529"/>
    <w:rsid w:val="007A49A2"/>
    <w:rsid w:val="007A53E0"/>
    <w:rsid w:val="007A5CE5"/>
    <w:rsid w:val="007A735A"/>
    <w:rsid w:val="007B05D5"/>
    <w:rsid w:val="007B1A36"/>
    <w:rsid w:val="007B41DE"/>
    <w:rsid w:val="007B4646"/>
    <w:rsid w:val="007B59F0"/>
    <w:rsid w:val="007B719E"/>
    <w:rsid w:val="007C0BD3"/>
    <w:rsid w:val="007C1EF7"/>
    <w:rsid w:val="007C2396"/>
    <w:rsid w:val="007C5C78"/>
    <w:rsid w:val="007C5D99"/>
    <w:rsid w:val="007C6F4E"/>
    <w:rsid w:val="007C7737"/>
    <w:rsid w:val="007D05D3"/>
    <w:rsid w:val="007D4E2B"/>
    <w:rsid w:val="007D692C"/>
    <w:rsid w:val="007D6AFC"/>
    <w:rsid w:val="007D721B"/>
    <w:rsid w:val="007D7720"/>
    <w:rsid w:val="007D7761"/>
    <w:rsid w:val="007E294D"/>
    <w:rsid w:val="007E42DF"/>
    <w:rsid w:val="007E49C0"/>
    <w:rsid w:val="007E4F61"/>
    <w:rsid w:val="007F13A5"/>
    <w:rsid w:val="007F1579"/>
    <w:rsid w:val="007F1B77"/>
    <w:rsid w:val="007F1EED"/>
    <w:rsid w:val="007F46CC"/>
    <w:rsid w:val="007F51C3"/>
    <w:rsid w:val="007F5A5A"/>
    <w:rsid w:val="007F69EB"/>
    <w:rsid w:val="008008CC"/>
    <w:rsid w:val="008013C5"/>
    <w:rsid w:val="00801858"/>
    <w:rsid w:val="00801A49"/>
    <w:rsid w:val="00802CF4"/>
    <w:rsid w:val="008046A8"/>
    <w:rsid w:val="00804F39"/>
    <w:rsid w:val="00805CCD"/>
    <w:rsid w:val="0080641A"/>
    <w:rsid w:val="00807344"/>
    <w:rsid w:val="00807CFA"/>
    <w:rsid w:val="008109F0"/>
    <w:rsid w:val="00810E27"/>
    <w:rsid w:val="00811090"/>
    <w:rsid w:val="00811400"/>
    <w:rsid w:val="008114A7"/>
    <w:rsid w:val="00812CFA"/>
    <w:rsid w:val="0081473C"/>
    <w:rsid w:val="00814782"/>
    <w:rsid w:val="00815B60"/>
    <w:rsid w:val="00817600"/>
    <w:rsid w:val="0082012C"/>
    <w:rsid w:val="00820421"/>
    <w:rsid w:val="00820D6E"/>
    <w:rsid w:val="00821D0E"/>
    <w:rsid w:val="00823C08"/>
    <w:rsid w:val="0082503E"/>
    <w:rsid w:val="008278ED"/>
    <w:rsid w:val="00830B18"/>
    <w:rsid w:val="00830BDF"/>
    <w:rsid w:val="008326DA"/>
    <w:rsid w:val="00833AE6"/>
    <w:rsid w:val="00833BE7"/>
    <w:rsid w:val="00835524"/>
    <w:rsid w:val="00837888"/>
    <w:rsid w:val="00840A78"/>
    <w:rsid w:val="00844FC4"/>
    <w:rsid w:val="00846AD7"/>
    <w:rsid w:val="00850C85"/>
    <w:rsid w:val="0085165A"/>
    <w:rsid w:val="00852225"/>
    <w:rsid w:val="00855182"/>
    <w:rsid w:val="0085669B"/>
    <w:rsid w:val="00861AA3"/>
    <w:rsid w:val="008623CD"/>
    <w:rsid w:val="00862DF1"/>
    <w:rsid w:val="0086575E"/>
    <w:rsid w:val="0087139A"/>
    <w:rsid w:val="00871561"/>
    <w:rsid w:val="0087213C"/>
    <w:rsid w:val="0087394D"/>
    <w:rsid w:val="0087410A"/>
    <w:rsid w:val="008755BF"/>
    <w:rsid w:val="008756EB"/>
    <w:rsid w:val="008757F7"/>
    <w:rsid w:val="00876434"/>
    <w:rsid w:val="00877795"/>
    <w:rsid w:val="00877E37"/>
    <w:rsid w:val="00880ECD"/>
    <w:rsid w:val="0088221B"/>
    <w:rsid w:val="00883BD4"/>
    <w:rsid w:val="00884764"/>
    <w:rsid w:val="00885CEC"/>
    <w:rsid w:val="00886192"/>
    <w:rsid w:val="00890FEA"/>
    <w:rsid w:val="00891E1B"/>
    <w:rsid w:val="00891EF4"/>
    <w:rsid w:val="00892BFC"/>
    <w:rsid w:val="008932B5"/>
    <w:rsid w:val="008939B5"/>
    <w:rsid w:val="00895B36"/>
    <w:rsid w:val="0089640E"/>
    <w:rsid w:val="0089731E"/>
    <w:rsid w:val="008A0483"/>
    <w:rsid w:val="008A1F43"/>
    <w:rsid w:val="008A2192"/>
    <w:rsid w:val="008A22A5"/>
    <w:rsid w:val="008A24C3"/>
    <w:rsid w:val="008A2E49"/>
    <w:rsid w:val="008A3014"/>
    <w:rsid w:val="008A4FDA"/>
    <w:rsid w:val="008A63D8"/>
    <w:rsid w:val="008A784E"/>
    <w:rsid w:val="008A7CCF"/>
    <w:rsid w:val="008B0B5A"/>
    <w:rsid w:val="008B188E"/>
    <w:rsid w:val="008B2502"/>
    <w:rsid w:val="008B2EE7"/>
    <w:rsid w:val="008B582C"/>
    <w:rsid w:val="008B644D"/>
    <w:rsid w:val="008B6980"/>
    <w:rsid w:val="008C0411"/>
    <w:rsid w:val="008C2179"/>
    <w:rsid w:val="008C2BF6"/>
    <w:rsid w:val="008C32F0"/>
    <w:rsid w:val="008C3445"/>
    <w:rsid w:val="008C354B"/>
    <w:rsid w:val="008C4B40"/>
    <w:rsid w:val="008C4CC6"/>
    <w:rsid w:val="008C62FD"/>
    <w:rsid w:val="008C6A69"/>
    <w:rsid w:val="008C7CAA"/>
    <w:rsid w:val="008D2009"/>
    <w:rsid w:val="008D4172"/>
    <w:rsid w:val="008D576B"/>
    <w:rsid w:val="008D6388"/>
    <w:rsid w:val="008D670C"/>
    <w:rsid w:val="008E032E"/>
    <w:rsid w:val="008E14D8"/>
    <w:rsid w:val="008E4831"/>
    <w:rsid w:val="008E5CCC"/>
    <w:rsid w:val="008E678D"/>
    <w:rsid w:val="008E715F"/>
    <w:rsid w:val="008E767B"/>
    <w:rsid w:val="008E7F7C"/>
    <w:rsid w:val="008F001C"/>
    <w:rsid w:val="008F0E94"/>
    <w:rsid w:val="008F1295"/>
    <w:rsid w:val="008F517A"/>
    <w:rsid w:val="008F6082"/>
    <w:rsid w:val="008F620C"/>
    <w:rsid w:val="009002EA"/>
    <w:rsid w:val="009005CC"/>
    <w:rsid w:val="00900812"/>
    <w:rsid w:val="00900848"/>
    <w:rsid w:val="00903AD5"/>
    <w:rsid w:val="00904F07"/>
    <w:rsid w:val="00907930"/>
    <w:rsid w:val="00910697"/>
    <w:rsid w:val="009109D2"/>
    <w:rsid w:val="00913228"/>
    <w:rsid w:val="00914612"/>
    <w:rsid w:val="009146D0"/>
    <w:rsid w:val="00914CF2"/>
    <w:rsid w:val="00915008"/>
    <w:rsid w:val="009161DC"/>
    <w:rsid w:val="00917864"/>
    <w:rsid w:val="00917D72"/>
    <w:rsid w:val="00923E6C"/>
    <w:rsid w:val="0092499C"/>
    <w:rsid w:val="009249E9"/>
    <w:rsid w:val="00925238"/>
    <w:rsid w:val="00925E5B"/>
    <w:rsid w:val="009260ED"/>
    <w:rsid w:val="009262C1"/>
    <w:rsid w:val="00926B03"/>
    <w:rsid w:val="0092781C"/>
    <w:rsid w:val="009323E7"/>
    <w:rsid w:val="0093275C"/>
    <w:rsid w:val="00933558"/>
    <w:rsid w:val="00933C51"/>
    <w:rsid w:val="0093423E"/>
    <w:rsid w:val="00934240"/>
    <w:rsid w:val="009348D9"/>
    <w:rsid w:val="009348F4"/>
    <w:rsid w:val="00934C74"/>
    <w:rsid w:val="00934F4D"/>
    <w:rsid w:val="00935739"/>
    <w:rsid w:val="00936D99"/>
    <w:rsid w:val="009452F8"/>
    <w:rsid w:val="0094603C"/>
    <w:rsid w:val="0094652B"/>
    <w:rsid w:val="00946C71"/>
    <w:rsid w:val="009505A0"/>
    <w:rsid w:val="009523E9"/>
    <w:rsid w:val="009578E4"/>
    <w:rsid w:val="00961806"/>
    <w:rsid w:val="00961979"/>
    <w:rsid w:val="00962C35"/>
    <w:rsid w:val="00962E43"/>
    <w:rsid w:val="00964588"/>
    <w:rsid w:val="00964E79"/>
    <w:rsid w:val="00964FBD"/>
    <w:rsid w:val="00970EEB"/>
    <w:rsid w:val="00972BE2"/>
    <w:rsid w:val="00974054"/>
    <w:rsid w:val="0097457E"/>
    <w:rsid w:val="00974A6D"/>
    <w:rsid w:val="009753F5"/>
    <w:rsid w:val="00976DA4"/>
    <w:rsid w:val="0097721D"/>
    <w:rsid w:val="009800BB"/>
    <w:rsid w:val="00981516"/>
    <w:rsid w:val="0098161F"/>
    <w:rsid w:val="00981CE9"/>
    <w:rsid w:val="00982E9F"/>
    <w:rsid w:val="00983C0E"/>
    <w:rsid w:val="00985093"/>
    <w:rsid w:val="00986943"/>
    <w:rsid w:val="009903FB"/>
    <w:rsid w:val="009904FE"/>
    <w:rsid w:val="00991720"/>
    <w:rsid w:val="009946F2"/>
    <w:rsid w:val="00994893"/>
    <w:rsid w:val="00994E87"/>
    <w:rsid w:val="0099718D"/>
    <w:rsid w:val="00997650"/>
    <w:rsid w:val="009977E0"/>
    <w:rsid w:val="009A0121"/>
    <w:rsid w:val="009A01FD"/>
    <w:rsid w:val="009A094E"/>
    <w:rsid w:val="009A095B"/>
    <w:rsid w:val="009A155A"/>
    <w:rsid w:val="009A17B3"/>
    <w:rsid w:val="009A2C48"/>
    <w:rsid w:val="009A316A"/>
    <w:rsid w:val="009A3BE8"/>
    <w:rsid w:val="009A4700"/>
    <w:rsid w:val="009A5070"/>
    <w:rsid w:val="009A5530"/>
    <w:rsid w:val="009A72D4"/>
    <w:rsid w:val="009A78C7"/>
    <w:rsid w:val="009B14A5"/>
    <w:rsid w:val="009B1637"/>
    <w:rsid w:val="009B21CC"/>
    <w:rsid w:val="009B33C3"/>
    <w:rsid w:val="009B3532"/>
    <w:rsid w:val="009B3EEA"/>
    <w:rsid w:val="009B4A54"/>
    <w:rsid w:val="009B5341"/>
    <w:rsid w:val="009B622B"/>
    <w:rsid w:val="009C1B70"/>
    <w:rsid w:val="009C232A"/>
    <w:rsid w:val="009C2C3E"/>
    <w:rsid w:val="009C61AA"/>
    <w:rsid w:val="009C63FC"/>
    <w:rsid w:val="009C6F61"/>
    <w:rsid w:val="009C7EA5"/>
    <w:rsid w:val="009D24A6"/>
    <w:rsid w:val="009D28F7"/>
    <w:rsid w:val="009D2F02"/>
    <w:rsid w:val="009D4878"/>
    <w:rsid w:val="009D6A44"/>
    <w:rsid w:val="009E0EF3"/>
    <w:rsid w:val="009E12D0"/>
    <w:rsid w:val="009E2149"/>
    <w:rsid w:val="009E28B1"/>
    <w:rsid w:val="009E29DF"/>
    <w:rsid w:val="009E2F20"/>
    <w:rsid w:val="009E3C72"/>
    <w:rsid w:val="009E526D"/>
    <w:rsid w:val="009E65D8"/>
    <w:rsid w:val="009F0E32"/>
    <w:rsid w:val="009F43B0"/>
    <w:rsid w:val="009F589B"/>
    <w:rsid w:val="009F6214"/>
    <w:rsid w:val="009F6633"/>
    <w:rsid w:val="009F75BD"/>
    <w:rsid w:val="009F798E"/>
    <w:rsid w:val="00A01878"/>
    <w:rsid w:val="00A01C37"/>
    <w:rsid w:val="00A0224E"/>
    <w:rsid w:val="00A030AF"/>
    <w:rsid w:val="00A032A6"/>
    <w:rsid w:val="00A03B9A"/>
    <w:rsid w:val="00A03CB8"/>
    <w:rsid w:val="00A03E30"/>
    <w:rsid w:val="00A045DB"/>
    <w:rsid w:val="00A04BC2"/>
    <w:rsid w:val="00A05625"/>
    <w:rsid w:val="00A05922"/>
    <w:rsid w:val="00A06CCE"/>
    <w:rsid w:val="00A06D47"/>
    <w:rsid w:val="00A06D53"/>
    <w:rsid w:val="00A0771C"/>
    <w:rsid w:val="00A07EF5"/>
    <w:rsid w:val="00A10A30"/>
    <w:rsid w:val="00A11828"/>
    <w:rsid w:val="00A11DB6"/>
    <w:rsid w:val="00A1211C"/>
    <w:rsid w:val="00A12AC0"/>
    <w:rsid w:val="00A1512A"/>
    <w:rsid w:val="00A15861"/>
    <w:rsid w:val="00A17712"/>
    <w:rsid w:val="00A2033B"/>
    <w:rsid w:val="00A21BBB"/>
    <w:rsid w:val="00A21FF9"/>
    <w:rsid w:val="00A22F36"/>
    <w:rsid w:val="00A23400"/>
    <w:rsid w:val="00A2391A"/>
    <w:rsid w:val="00A239DD"/>
    <w:rsid w:val="00A24157"/>
    <w:rsid w:val="00A26028"/>
    <w:rsid w:val="00A27A06"/>
    <w:rsid w:val="00A300CD"/>
    <w:rsid w:val="00A30CEC"/>
    <w:rsid w:val="00A30E52"/>
    <w:rsid w:val="00A3478C"/>
    <w:rsid w:val="00A3554C"/>
    <w:rsid w:val="00A3603E"/>
    <w:rsid w:val="00A36810"/>
    <w:rsid w:val="00A369E3"/>
    <w:rsid w:val="00A4015D"/>
    <w:rsid w:val="00A402F1"/>
    <w:rsid w:val="00A41B5E"/>
    <w:rsid w:val="00A43A2E"/>
    <w:rsid w:val="00A444D7"/>
    <w:rsid w:val="00A4521B"/>
    <w:rsid w:val="00A45732"/>
    <w:rsid w:val="00A46834"/>
    <w:rsid w:val="00A46F5A"/>
    <w:rsid w:val="00A47B22"/>
    <w:rsid w:val="00A517ED"/>
    <w:rsid w:val="00A51C40"/>
    <w:rsid w:val="00A51EE5"/>
    <w:rsid w:val="00A52E72"/>
    <w:rsid w:val="00A55891"/>
    <w:rsid w:val="00A576CC"/>
    <w:rsid w:val="00A57F44"/>
    <w:rsid w:val="00A630E5"/>
    <w:rsid w:val="00A631C6"/>
    <w:rsid w:val="00A655CF"/>
    <w:rsid w:val="00A66B73"/>
    <w:rsid w:val="00A67C0F"/>
    <w:rsid w:val="00A72A86"/>
    <w:rsid w:val="00A75B29"/>
    <w:rsid w:val="00A775AC"/>
    <w:rsid w:val="00A806FE"/>
    <w:rsid w:val="00A80C98"/>
    <w:rsid w:val="00A830ED"/>
    <w:rsid w:val="00A830EE"/>
    <w:rsid w:val="00A839A5"/>
    <w:rsid w:val="00A83DC6"/>
    <w:rsid w:val="00A85E0D"/>
    <w:rsid w:val="00A914CF"/>
    <w:rsid w:val="00A91E34"/>
    <w:rsid w:val="00A91ECC"/>
    <w:rsid w:val="00A91F0E"/>
    <w:rsid w:val="00A91F13"/>
    <w:rsid w:val="00A92889"/>
    <w:rsid w:val="00A9341D"/>
    <w:rsid w:val="00A949EE"/>
    <w:rsid w:val="00A94B7C"/>
    <w:rsid w:val="00A95A54"/>
    <w:rsid w:val="00A9605D"/>
    <w:rsid w:val="00A96336"/>
    <w:rsid w:val="00A97E62"/>
    <w:rsid w:val="00AA08C8"/>
    <w:rsid w:val="00AA34E3"/>
    <w:rsid w:val="00AA4117"/>
    <w:rsid w:val="00AA41F6"/>
    <w:rsid w:val="00AA6BC1"/>
    <w:rsid w:val="00AA6C4B"/>
    <w:rsid w:val="00AA6F03"/>
    <w:rsid w:val="00AA7747"/>
    <w:rsid w:val="00AA7CE0"/>
    <w:rsid w:val="00AB141C"/>
    <w:rsid w:val="00AB268F"/>
    <w:rsid w:val="00AB6618"/>
    <w:rsid w:val="00AB6AB3"/>
    <w:rsid w:val="00AC0BF4"/>
    <w:rsid w:val="00AC179D"/>
    <w:rsid w:val="00AC204B"/>
    <w:rsid w:val="00AC3BBF"/>
    <w:rsid w:val="00AC3D66"/>
    <w:rsid w:val="00AC402B"/>
    <w:rsid w:val="00AC5C0A"/>
    <w:rsid w:val="00AC6943"/>
    <w:rsid w:val="00AC7560"/>
    <w:rsid w:val="00AD1073"/>
    <w:rsid w:val="00AD11D1"/>
    <w:rsid w:val="00AD1FF6"/>
    <w:rsid w:val="00AD2DF5"/>
    <w:rsid w:val="00AD5118"/>
    <w:rsid w:val="00AD69BA"/>
    <w:rsid w:val="00AD79D2"/>
    <w:rsid w:val="00AE0B77"/>
    <w:rsid w:val="00AE1B4B"/>
    <w:rsid w:val="00AE365C"/>
    <w:rsid w:val="00AE4BD6"/>
    <w:rsid w:val="00AE517F"/>
    <w:rsid w:val="00AE6087"/>
    <w:rsid w:val="00AF05F4"/>
    <w:rsid w:val="00AF0C77"/>
    <w:rsid w:val="00AF212F"/>
    <w:rsid w:val="00AF3198"/>
    <w:rsid w:val="00AF40F9"/>
    <w:rsid w:val="00AF4C14"/>
    <w:rsid w:val="00AF5FF3"/>
    <w:rsid w:val="00AF6580"/>
    <w:rsid w:val="00AF6AAC"/>
    <w:rsid w:val="00B0012F"/>
    <w:rsid w:val="00B004E8"/>
    <w:rsid w:val="00B05180"/>
    <w:rsid w:val="00B0644F"/>
    <w:rsid w:val="00B079CB"/>
    <w:rsid w:val="00B07D37"/>
    <w:rsid w:val="00B12B81"/>
    <w:rsid w:val="00B12C9A"/>
    <w:rsid w:val="00B136E8"/>
    <w:rsid w:val="00B13823"/>
    <w:rsid w:val="00B1390C"/>
    <w:rsid w:val="00B143A5"/>
    <w:rsid w:val="00B14C02"/>
    <w:rsid w:val="00B15A7A"/>
    <w:rsid w:val="00B165AB"/>
    <w:rsid w:val="00B17341"/>
    <w:rsid w:val="00B17BEA"/>
    <w:rsid w:val="00B20D16"/>
    <w:rsid w:val="00B21113"/>
    <w:rsid w:val="00B2189A"/>
    <w:rsid w:val="00B21EC3"/>
    <w:rsid w:val="00B2213F"/>
    <w:rsid w:val="00B227C9"/>
    <w:rsid w:val="00B23C56"/>
    <w:rsid w:val="00B251D2"/>
    <w:rsid w:val="00B25CF5"/>
    <w:rsid w:val="00B26159"/>
    <w:rsid w:val="00B30451"/>
    <w:rsid w:val="00B32955"/>
    <w:rsid w:val="00B3414C"/>
    <w:rsid w:val="00B35019"/>
    <w:rsid w:val="00B37C7B"/>
    <w:rsid w:val="00B401B4"/>
    <w:rsid w:val="00B401BB"/>
    <w:rsid w:val="00B40D5D"/>
    <w:rsid w:val="00B40E50"/>
    <w:rsid w:val="00B40F27"/>
    <w:rsid w:val="00B41AAE"/>
    <w:rsid w:val="00B44281"/>
    <w:rsid w:val="00B44B5F"/>
    <w:rsid w:val="00B45BAD"/>
    <w:rsid w:val="00B465E6"/>
    <w:rsid w:val="00B467C9"/>
    <w:rsid w:val="00B51E77"/>
    <w:rsid w:val="00B521D5"/>
    <w:rsid w:val="00B53393"/>
    <w:rsid w:val="00B5351D"/>
    <w:rsid w:val="00B536B2"/>
    <w:rsid w:val="00B562D5"/>
    <w:rsid w:val="00B5641F"/>
    <w:rsid w:val="00B60A98"/>
    <w:rsid w:val="00B6126D"/>
    <w:rsid w:val="00B62088"/>
    <w:rsid w:val="00B62C54"/>
    <w:rsid w:val="00B65A2D"/>
    <w:rsid w:val="00B66A61"/>
    <w:rsid w:val="00B67DFD"/>
    <w:rsid w:val="00B67FDB"/>
    <w:rsid w:val="00B70E88"/>
    <w:rsid w:val="00B72459"/>
    <w:rsid w:val="00B74A48"/>
    <w:rsid w:val="00B74BF6"/>
    <w:rsid w:val="00B754CC"/>
    <w:rsid w:val="00B75703"/>
    <w:rsid w:val="00B76490"/>
    <w:rsid w:val="00B813EF"/>
    <w:rsid w:val="00B81814"/>
    <w:rsid w:val="00B8218C"/>
    <w:rsid w:val="00B82EA5"/>
    <w:rsid w:val="00B83D5E"/>
    <w:rsid w:val="00B83F55"/>
    <w:rsid w:val="00B850C3"/>
    <w:rsid w:val="00B851E1"/>
    <w:rsid w:val="00B858CF"/>
    <w:rsid w:val="00B859A7"/>
    <w:rsid w:val="00B870A5"/>
    <w:rsid w:val="00B87322"/>
    <w:rsid w:val="00B93ADD"/>
    <w:rsid w:val="00B94740"/>
    <w:rsid w:val="00B947DF"/>
    <w:rsid w:val="00B94896"/>
    <w:rsid w:val="00B95095"/>
    <w:rsid w:val="00B95149"/>
    <w:rsid w:val="00B96EF6"/>
    <w:rsid w:val="00B96EFD"/>
    <w:rsid w:val="00BA1289"/>
    <w:rsid w:val="00BA2118"/>
    <w:rsid w:val="00BA25FD"/>
    <w:rsid w:val="00BA2CC9"/>
    <w:rsid w:val="00BA32BE"/>
    <w:rsid w:val="00BA32C6"/>
    <w:rsid w:val="00BA3C13"/>
    <w:rsid w:val="00BA6F7B"/>
    <w:rsid w:val="00BB00FA"/>
    <w:rsid w:val="00BB0171"/>
    <w:rsid w:val="00BB1E56"/>
    <w:rsid w:val="00BB2AF5"/>
    <w:rsid w:val="00BB3116"/>
    <w:rsid w:val="00BB6336"/>
    <w:rsid w:val="00BB7678"/>
    <w:rsid w:val="00BC1153"/>
    <w:rsid w:val="00BC1D38"/>
    <w:rsid w:val="00BC2140"/>
    <w:rsid w:val="00BC256B"/>
    <w:rsid w:val="00BC6E37"/>
    <w:rsid w:val="00BD23AE"/>
    <w:rsid w:val="00BD26E8"/>
    <w:rsid w:val="00BD6487"/>
    <w:rsid w:val="00BD6E07"/>
    <w:rsid w:val="00BE627B"/>
    <w:rsid w:val="00BE7214"/>
    <w:rsid w:val="00BE7ECF"/>
    <w:rsid w:val="00BF15DE"/>
    <w:rsid w:val="00BF2019"/>
    <w:rsid w:val="00BF49C6"/>
    <w:rsid w:val="00BF4F3F"/>
    <w:rsid w:val="00BF58BA"/>
    <w:rsid w:val="00BF5B27"/>
    <w:rsid w:val="00BF5E0F"/>
    <w:rsid w:val="00BF5ED6"/>
    <w:rsid w:val="00BF7C8F"/>
    <w:rsid w:val="00C01513"/>
    <w:rsid w:val="00C03752"/>
    <w:rsid w:val="00C03B01"/>
    <w:rsid w:val="00C060CE"/>
    <w:rsid w:val="00C06D48"/>
    <w:rsid w:val="00C10D5F"/>
    <w:rsid w:val="00C11888"/>
    <w:rsid w:val="00C11D72"/>
    <w:rsid w:val="00C12812"/>
    <w:rsid w:val="00C1396C"/>
    <w:rsid w:val="00C153FF"/>
    <w:rsid w:val="00C15508"/>
    <w:rsid w:val="00C16001"/>
    <w:rsid w:val="00C17059"/>
    <w:rsid w:val="00C17377"/>
    <w:rsid w:val="00C17640"/>
    <w:rsid w:val="00C20280"/>
    <w:rsid w:val="00C21AA5"/>
    <w:rsid w:val="00C26CFE"/>
    <w:rsid w:val="00C270E0"/>
    <w:rsid w:val="00C27909"/>
    <w:rsid w:val="00C30E68"/>
    <w:rsid w:val="00C31959"/>
    <w:rsid w:val="00C31D01"/>
    <w:rsid w:val="00C3352D"/>
    <w:rsid w:val="00C33689"/>
    <w:rsid w:val="00C34575"/>
    <w:rsid w:val="00C35447"/>
    <w:rsid w:val="00C35684"/>
    <w:rsid w:val="00C35C30"/>
    <w:rsid w:val="00C35F6E"/>
    <w:rsid w:val="00C360F4"/>
    <w:rsid w:val="00C36BBB"/>
    <w:rsid w:val="00C36E0C"/>
    <w:rsid w:val="00C406A3"/>
    <w:rsid w:val="00C413F1"/>
    <w:rsid w:val="00C42A8C"/>
    <w:rsid w:val="00C43274"/>
    <w:rsid w:val="00C43B18"/>
    <w:rsid w:val="00C45468"/>
    <w:rsid w:val="00C45543"/>
    <w:rsid w:val="00C46380"/>
    <w:rsid w:val="00C47811"/>
    <w:rsid w:val="00C47A61"/>
    <w:rsid w:val="00C50E1A"/>
    <w:rsid w:val="00C50FD0"/>
    <w:rsid w:val="00C5141A"/>
    <w:rsid w:val="00C53E21"/>
    <w:rsid w:val="00C560FD"/>
    <w:rsid w:val="00C56463"/>
    <w:rsid w:val="00C56C16"/>
    <w:rsid w:val="00C56F04"/>
    <w:rsid w:val="00C57600"/>
    <w:rsid w:val="00C60881"/>
    <w:rsid w:val="00C611B5"/>
    <w:rsid w:val="00C61208"/>
    <w:rsid w:val="00C620B8"/>
    <w:rsid w:val="00C624A7"/>
    <w:rsid w:val="00C62D91"/>
    <w:rsid w:val="00C634D2"/>
    <w:rsid w:val="00C65844"/>
    <w:rsid w:val="00C7385F"/>
    <w:rsid w:val="00C739B2"/>
    <w:rsid w:val="00C74496"/>
    <w:rsid w:val="00C74543"/>
    <w:rsid w:val="00C753D6"/>
    <w:rsid w:val="00C77C5C"/>
    <w:rsid w:val="00C81656"/>
    <w:rsid w:val="00C82C5F"/>
    <w:rsid w:val="00C847F6"/>
    <w:rsid w:val="00C84D89"/>
    <w:rsid w:val="00C866E4"/>
    <w:rsid w:val="00C87533"/>
    <w:rsid w:val="00C87C6F"/>
    <w:rsid w:val="00C925EF"/>
    <w:rsid w:val="00C92CB5"/>
    <w:rsid w:val="00C93B99"/>
    <w:rsid w:val="00C94332"/>
    <w:rsid w:val="00C94ACE"/>
    <w:rsid w:val="00C9574E"/>
    <w:rsid w:val="00C9649B"/>
    <w:rsid w:val="00CA052A"/>
    <w:rsid w:val="00CA16D5"/>
    <w:rsid w:val="00CA3AA5"/>
    <w:rsid w:val="00CA3DF7"/>
    <w:rsid w:val="00CA4ACE"/>
    <w:rsid w:val="00CA507A"/>
    <w:rsid w:val="00CA588E"/>
    <w:rsid w:val="00CB0F39"/>
    <w:rsid w:val="00CB1ABF"/>
    <w:rsid w:val="00CB1BB7"/>
    <w:rsid w:val="00CB3F8D"/>
    <w:rsid w:val="00CB40F0"/>
    <w:rsid w:val="00CB5AD0"/>
    <w:rsid w:val="00CB79BA"/>
    <w:rsid w:val="00CC004E"/>
    <w:rsid w:val="00CC1150"/>
    <w:rsid w:val="00CC1B9F"/>
    <w:rsid w:val="00CC58A8"/>
    <w:rsid w:val="00CC5CC3"/>
    <w:rsid w:val="00CC5F5F"/>
    <w:rsid w:val="00CC629F"/>
    <w:rsid w:val="00CC6684"/>
    <w:rsid w:val="00CC789C"/>
    <w:rsid w:val="00CD0613"/>
    <w:rsid w:val="00CD0E65"/>
    <w:rsid w:val="00CD16AA"/>
    <w:rsid w:val="00CD2AEC"/>
    <w:rsid w:val="00CD5DC8"/>
    <w:rsid w:val="00CD6760"/>
    <w:rsid w:val="00CE03EE"/>
    <w:rsid w:val="00CE23F4"/>
    <w:rsid w:val="00CE4219"/>
    <w:rsid w:val="00CE4382"/>
    <w:rsid w:val="00CE55E1"/>
    <w:rsid w:val="00CE58BD"/>
    <w:rsid w:val="00CE5A14"/>
    <w:rsid w:val="00CE5CEB"/>
    <w:rsid w:val="00CF1680"/>
    <w:rsid w:val="00CF248D"/>
    <w:rsid w:val="00CF36B3"/>
    <w:rsid w:val="00CF3771"/>
    <w:rsid w:val="00CF57F3"/>
    <w:rsid w:val="00CF75A1"/>
    <w:rsid w:val="00D00273"/>
    <w:rsid w:val="00D00A19"/>
    <w:rsid w:val="00D018EA"/>
    <w:rsid w:val="00D027B6"/>
    <w:rsid w:val="00D04940"/>
    <w:rsid w:val="00D052B8"/>
    <w:rsid w:val="00D05E48"/>
    <w:rsid w:val="00D06BDE"/>
    <w:rsid w:val="00D078F8"/>
    <w:rsid w:val="00D10895"/>
    <w:rsid w:val="00D108A9"/>
    <w:rsid w:val="00D12DFF"/>
    <w:rsid w:val="00D13E95"/>
    <w:rsid w:val="00D13FB3"/>
    <w:rsid w:val="00D141F7"/>
    <w:rsid w:val="00D201EB"/>
    <w:rsid w:val="00D21C17"/>
    <w:rsid w:val="00D22140"/>
    <w:rsid w:val="00D22DE5"/>
    <w:rsid w:val="00D25DBC"/>
    <w:rsid w:val="00D265B6"/>
    <w:rsid w:val="00D32235"/>
    <w:rsid w:val="00D33D6A"/>
    <w:rsid w:val="00D40BAD"/>
    <w:rsid w:val="00D42525"/>
    <w:rsid w:val="00D43381"/>
    <w:rsid w:val="00D44CC2"/>
    <w:rsid w:val="00D453F2"/>
    <w:rsid w:val="00D455DB"/>
    <w:rsid w:val="00D46A96"/>
    <w:rsid w:val="00D47699"/>
    <w:rsid w:val="00D47949"/>
    <w:rsid w:val="00D505BD"/>
    <w:rsid w:val="00D51BB5"/>
    <w:rsid w:val="00D51E0D"/>
    <w:rsid w:val="00D55337"/>
    <w:rsid w:val="00D603E1"/>
    <w:rsid w:val="00D60519"/>
    <w:rsid w:val="00D60D88"/>
    <w:rsid w:val="00D610A8"/>
    <w:rsid w:val="00D631DC"/>
    <w:rsid w:val="00D64380"/>
    <w:rsid w:val="00D66270"/>
    <w:rsid w:val="00D67C98"/>
    <w:rsid w:val="00D72CF0"/>
    <w:rsid w:val="00D75390"/>
    <w:rsid w:val="00D75B07"/>
    <w:rsid w:val="00D82AF1"/>
    <w:rsid w:val="00D82D1E"/>
    <w:rsid w:val="00D849B1"/>
    <w:rsid w:val="00D855A8"/>
    <w:rsid w:val="00D867DA"/>
    <w:rsid w:val="00D8697F"/>
    <w:rsid w:val="00D87704"/>
    <w:rsid w:val="00D9127A"/>
    <w:rsid w:val="00D915B6"/>
    <w:rsid w:val="00D92346"/>
    <w:rsid w:val="00D952E3"/>
    <w:rsid w:val="00D955D9"/>
    <w:rsid w:val="00D9624B"/>
    <w:rsid w:val="00DA19AC"/>
    <w:rsid w:val="00DA289E"/>
    <w:rsid w:val="00DA3C65"/>
    <w:rsid w:val="00DA60BB"/>
    <w:rsid w:val="00DA7579"/>
    <w:rsid w:val="00DA78B4"/>
    <w:rsid w:val="00DA7D18"/>
    <w:rsid w:val="00DB0784"/>
    <w:rsid w:val="00DB08E0"/>
    <w:rsid w:val="00DB0970"/>
    <w:rsid w:val="00DB3B48"/>
    <w:rsid w:val="00DB4643"/>
    <w:rsid w:val="00DB5922"/>
    <w:rsid w:val="00DB682C"/>
    <w:rsid w:val="00DB6A95"/>
    <w:rsid w:val="00DB6C09"/>
    <w:rsid w:val="00DB7150"/>
    <w:rsid w:val="00DB74A7"/>
    <w:rsid w:val="00DC21B7"/>
    <w:rsid w:val="00DC2C00"/>
    <w:rsid w:val="00DC2EB6"/>
    <w:rsid w:val="00DC3E7C"/>
    <w:rsid w:val="00DC4382"/>
    <w:rsid w:val="00DC44BF"/>
    <w:rsid w:val="00DC64D4"/>
    <w:rsid w:val="00DC71E6"/>
    <w:rsid w:val="00DD05AC"/>
    <w:rsid w:val="00DD0BF4"/>
    <w:rsid w:val="00DD0DF3"/>
    <w:rsid w:val="00DD3376"/>
    <w:rsid w:val="00DD567D"/>
    <w:rsid w:val="00DD5B25"/>
    <w:rsid w:val="00DE0902"/>
    <w:rsid w:val="00DE18BE"/>
    <w:rsid w:val="00DE1A2C"/>
    <w:rsid w:val="00DE35E5"/>
    <w:rsid w:val="00DE3FD9"/>
    <w:rsid w:val="00DE4831"/>
    <w:rsid w:val="00DE4EA3"/>
    <w:rsid w:val="00DE617B"/>
    <w:rsid w:val="00DE6916"/>
    <w:rsid w:val="00DE6A1E"/>
    <w:rsid w:val="00DE7129"/>
    <w:rsid w:val="00DE7140"/>
    <w:rsid w:val="00DE71FF"/>
    <w:rsid w:val="00DF12CE"/>
    <w:rsid w:val="00DF43DF"/>
    <w:rsid w:val="00DF5440"/>
    <w:rsid w:val="00DF5C48"/>
    <w:rsid w:val="00E00AEE"/>
    <w:rsid w:val="00E021B1"/>
    <w:rsid w:val="00E02B4C"/>
    <w:rsid w:val="00E035A6"/>
    <w:rsid w:val="00E0396A"/>
    <w:rsid w:val="00E03C86"/>
    <w:rsid w:val="00E03F16"/>
    <w:rsid w:val="00E05C20"/>
    <w:rsid w:val="00E0600A"/>
    <w:rsid w:val="00E06114"/>
    <w:rsid w:val="00E062A4"/>
    <w:rsid w:val="00E12303"/>
    <w:rsid w:val="00E12766"/>
    <w:rsid w:val="00E129E8"/>
    <w:rsid w:val="00E13805"/>
    <w:rsid w:val="00E14123"/>
    <w:rsid w:val="00E17485"/>
    <w:rsid w:val="00E174AE"/>
    <w:rsid w:val="00E21112"/>
    <w:rsid w:val="00E21B94"/>
    <w:rsid w:val="00E21D8A"/>
    <w:rsid w:val="00E234C3"/>
    <w:rsid w:val="00E240DD"/>
    <w:rsid w:val="00E2469B"/>
    <w:rsid w:val="00E24E55"/>
    <w:rsid w:val="00E2574D"/>
    <w:rsid w:val="00E2602E"/>
    <w:rsid w:val="00E2642F"/>
    <w:rsid w:val="00E272B4"/>
    <w:rsid w:val="00E33869"/>
    <w:rsid w:val="00E33FCF"/>
    <w:rsid w:val="00E36B96"/>
    <w:rsid w:val="00E40416"/>
    <w:rsid w:val="00E40A24"/>
    <w:rsid w:val="00E41C1E"/>
    <w:rsid w:val="00E45F30"/>
    <w:rsid w:val="00E466DE"/>
    <w:rsid w:val="00E478B0"/>
    <w:rsid w:val="00E47EA8"/>
    <w:rsid w:val="00E53208"/>
    <w:rsid w:val="00E539F3"/>
    <w:rsid w:val="00E54251"/>
    <w:rsid w:val="00E54805"/>
    <w:rsid w:val="00E54F39"/>
    <w:rsid w:val="00E555F9"/>
    <w:rsid w:val="00E5732E"/>
    <w:rsid w:val="00E609F9"/>
    <w:rsid w:val="00E61D7A"/>
    <w:rsid w:val="00E6783A"/>
    <w:rsid w:val="00E7029A"/>
    <w:rsid w:val="00E71336"/>
    <w:rsid w:val="00E7155A"/>
    <w:rsid w:val="00E71576"/>
    <w:rsid w:val="00E71749"/>
    <w:rsid w:val="00E72993"/>
    <w:rsid w:val="00E73BFF"/>
    <w:rsid w:val="00E74067"/>
    <w:rsid w:val="00E745E4"/>
    <w:rsid w:val="00E74C05"/>
    <w:rsid w:val="00E81222"/>
    <w:rsid w:val="00E83B93"/>
    <w:rsid w:val="00E84788"/>
    <w:rsid w:val="00E8544D"/>
    <w:rsid w:val="00E8713C"/>
    <w:rsid w:val="00E87C64"/>
    <w:rsid w:val="00E90AB2"/>
    <w:rsid w:val="00E91CF8"/>
    <w:rsid w:val="00E9360D"/>
    <w:rsid w:val="00E93F61"/>
    <w:rsid w:val="00E93F86"/>
    <w:rsid w:val="00E95C05"/>
    <w:rsid w:val="00E96368"/>
    <w:rsid w:val="00E97B52"/>
    <w:rsid w:val="00EA0C66"/>
    <w:rsid w:val="00EA1909"/>
    <w:rsid w:val="00EA1CF7"/>
    <w:rsid w:val="00EA1D1F"/>
    <w:rsid w:val="00EA309D"/>
    <w:rsid w:val="00EA3123"/>
    <w:rsid w:val="00EA3A9E"/>
    <w:rsid w:val="00EA5572"/>
    <w:rsid w:val="00EA755F"/>
    <w:rsid w:val="00EB0BE5"/>
    <w:rsid w:val="00EB29FC"/>
    <w:rsid w:val="00EB4983"/>
    <w:rsid w:val="00EB537F"/>
    <w:rsid w:val="00EB6355"/>
    <w:rsid w:val="00EC04E4"/>
    <w:rsid w:val="00EC1923"/>
    <w:rsid w:val="00EC1C6A"/>
    <w:rsid w:val="00ED00C8"/>
    <w:rsid w:val="00ED0AF8"/>
    <w:rsid w:val="00ED21EB"/>
    <w:rsid w:val="00ED2DAF"/>
    <w:rsid w:val="00ED42D2"/>
    <w:rsid w:val="00ED47DC"/>
    <w:rsid w:val="00ED6330"/>
    <w:rsid w:val="00ED7919"/>
    <w:rsid w:val="00ED7E8F"/>
    <w:rsid w:val="00EE3AE2"/>
    <w:rsid w:val="00EE4503"/>
    <w:rsid w:val="00EF0D74"/>
    <w:rsid w:val="00EF121B"/>
    <w:rsid w:val="00EF47B4"/>
    <w:rsid w:val="00EF4974"/>
    <w:rsid w:val="00EF6BD7"/>
    <w:rsid w:val="00EF7B53"/>
    <w:rsid w:val="00F013AF"/>
    <w:rsid w:val="00F02020"/>
    <w:rsid w:val="00F03B99"/>
    <w:rsid w:val="00F0610C"/>
    <w:rsid w:val="00F0662B"/>
    <w:rsid w:val="00F06BC3"/>
    <w:rsid w:val="00F11753"/>
    <w:rsid w:val="00F13A46"/>
    <w:rsid w:val="00F14688"/>
    <w:rsid w:val="00F16205"/>
    <w:rsid w:val="00F171A4"/>
    <w:rsid w:val="00F1759A"/>
    <w:rsid w:val="00F177DA"/>
    <w:rsid w:val="00F20230"/>
    <w:rsid w:val="00F2083F"/>
    <w:rsid w:val="00F223B0"/>
    <w:rsid w:val="00F23B3B"/>
    <w:rsid w:val="00F23ED9"/>
    <w:rsid w:val="00F24045"/>
    <w:rsid w:val="00F2464B"/>
    <w:rsid w:val="00F24916"/>
    <w:rsid w:val="00F2598C"/>
    <w:rsid w:val="00F266D6"/>
    <w:rsid w:val="00F27564"/>
    <w:rsid w:val="00F314C7"/>
    <w:rsid w:val="00F3291D"/>
    <w:rsid w:val="00F3516A"/>
    <w:rsid w:val="00F35398"/>
    <w:rsid w:val="00F35E62"/>
    <w:rsid w:val="00F36D1B"/>
    <w:rsid w:val="00F404CF"/>
    <w:rsid w:val="00F40DF2"/>
    <w:rsid w:val="00F42B94"/>
    <w:rsid w:val="00F42D49"/>
    <w:rsid w:val="00F44C43"/>
    <w:rsid w:val="00F44DE7"/>
    <w:rsid w:val="00F4512C"/>
    <w:rsid w:val="00F45655"/>
    <w:rsid w:val="00F45A93"/>
    <w:rsid w:val="00F46133"/>
    <w:rsid w:val="00F47E2B"/>
    <w:rsid w:val="00F514D5"/>
    <w:rsid w:val="00F51585"/>
    <w:rsid w:val="00F528F2"/>
    <w:rsid w:val="00F538B0"/>
    <w:rsid w:val="00F54D74"/>
    <w:rsid w:val="00F57120"/>
    <w:rsid w:val="00F5747C"/>
    <w:rsid w:val="00F60771"/>
    <w:rsid w:val="00F60E90"/>
    <w:rsid w:val="00F6211B"/>
    <w:rsid w:val="00F64C7E"/>
    <w:rsid w:val="00F65CCE"/>
    <w:rsid w:val="00F66CB6"/>
    <w:rsid w:val="00F704CA"/>
    <w:rsid w:val="00F71B2E"/>
    <w:rsid w:val="00F72013"/>
    <w:rsid w:val="00F72E74"/>
    <w:rsid w:val="00F745CF"/>
    <w:rsid w:val="00F74DA7"/>
    <w:rsid w:val="00F750C0"/>
    <w:rsid w:val="00F75988"/>
    <w:rsid w:val="00F764B1"/>
    <w:rsid w:val="00F7750C"/>
    <w:rsid w:val="00F77A1F"/>
    <w:rsid w:val="00F77E6F"/>
    <w:rsid w:val="00F80C5A"/>
    <w:rsid w:val="00F8158D"/>
    <w:rsid w:val="00F82273"/>
    <w:rsid w:val="00F82D21"/>
    <w:rsid w:val="00F831D4"/>
    <w:rsid w:val="00F842B9"/>
    <w:rsid w:val="00F9095C"/>
    <w:rsid w:val="00F9170A"/>
    <w:rsid w:val="00F9184C"/>
    <w:rsid w:val="00F9249F"/>
    <w:rsid w:val="00F9302A"/>
    <w:rsid w:val="00F975EC"/>
    <w:rsid w:val="00F97954"/>
    <w:rsid w:val="00F979A3"/>
    <w:rsid w:val="00F979C2"/>
    <w:rsid w:val="00FA03B6"/>
    <w:rsid w:val="00FA04C4"/>
    <w:rsid w:val="00FA0A0B"/>
    <w:rsid w:val="00FA3B78"/>
    <w:rsid w:val="00FA4F25"/>
    <w:rsid w:val="00FA63ED"/>
    <w:rsid w:val="00FA7472"/>
    <w:rsid w:val="00FB16F4"/>
    <w:rsid w:val="00FB2580"/>
    <w:rsid w:val="00FB2680"/>
    <w:rsid w:val="00FB4A36"/>
    <w:rsid w:val="00FB6B56"/>
    <w:rsid w:val="00FB749C"/>
    <w:rsid w:val="00FC17B3"/>
    <w:rsid w:val="00FC1EAF"/>
    <w:rsid w:val="00FC29D5"/>
    <w:rsid w:val="00FC319D"/>
    <w:rsid w:val="00FC3993"/>
    <w:rsid w:val="00FC74A6"/>
    <w:rsid w:val="00FC7B8C"/>
    <w:rsid w:val="00FD0FD2"/>
    <w:rsid w:val="00FD29C0"/>
    <w:rsid w:val="00FD323B"/>
    <w:rsid w:val="00FD71CA"/>
    <w:rsid w:val="00FD7262"/>
    <w:rsid w:val="00FD7332"/>
    <w:rsid w:val="00FE0988"/>
    <w:rsid w:val="00FE0CB0"/>
    <w:rsid w:val="00FE1328"/>
    <w:rsid w:val="00FE194D"/>
    <w:rsid w:val="00FE1E4F"/>
    <w:rsid w:val="00FE2660"/>
    <w:rsid w:val="00FE343B"/>
    <w:rsid w:val="00FE3B65"/>
    <w:rsid w:val="00FE50F8"/>
    <w:rsid w:val="00FE54EB"/>
    <w:rsid w:val="00FE6EC8"/>
    <w:rsid w:val="00FE726B"/>
    <w:rsid w:val="00FF00A2"/>
    <w:rsid w:val="00FF14A5"/>
    <w:rsid w:val="00FF2007"/>
    <w:rsid w:val="00FF2FC1"/>
    <w:rsid w:val="00FF38CD"/>
    <w:rsid w:val="00FF5DDC"/>
    <w:rsid w:val="029125A2"/>
    <w:rsid w:val="046AF4B6"/>
    <w:rsid w:val="05409F11"/>
    <w:rsid w:val="05C84ADF"/>
    <w:rsid w:val="08A22592"/>
    <w:rsid w:val="08A5C637"/>
    <w:rsid w:val="0A0115DD"/>
    <w:rsid w:val="0A131244"/>
    <w:rsid w:val="0A17CC7C"/>
    <w:rsid w:val="0B50414B"/>
    <w:rsid w:val="0B8D99D6"/>
    <w:rsid w:val="0EC96106"/>
    <w:rsid w:val="0ED4DABD"/>
    <w:rsid w:val="0FDEFC3C"/>
    <w:rsid w:val="116EE1C5"/>
    <w:rsid w:val="11D8BCD1"/>
    <w:rsid w:val="161E848C"/>
    <w:rsid w:val="178DD4F1"/>
    <w:rsid w:val="18082A80"/>
    <w:rsid w:val="189362B5"/>
    <w:rsid w:val="1983A982"/>
    <w:rsid w:val="1A197D06"/>
    <w:rsid w:val="1A51E8F4"/>
    <w:rsid w:val="1A6D7768"/>
    <w:rsid w:val="1AD31D8F"/>
    <w:rsid w:val="1AD5CC47"/>
    <w:rsid w:val="1B861CC8"/>
    <w:rsid w:val="1BA51EE8"/>
    <w:rsid w:val="1C766AC6"/>
    <w:rsid w:val="1C84FBB4"/>
    <w:rsid w:val="1CBD9CC8"/>
    <w:rsid w:val="1D053A32"/>
    <w:rsid w:val="1D27DD4E"/>
    <w:rsid w:val="1DD3950E"/>
    <w:rsid w:val="1EBD7987"/>
    <w:rsid w:val="1ECBE7C3"/>
    <w:rsid w:val="1FF01058"/>
    <w:rsid w:val="21D8009B"/>
    <w:rsid w:val="22BF5554"/>
    <w:rsid w:val="22D0D12F"/>
    <w:rsid w:val="22DDA7CD"/>
    <w:rsid w:val="233819CA"/>
    <w:rsid w:val="2454B644"/>
    <w:rsid w:val="24FE46A2"/>
    <w:rsid w:val="25A2E394"/>
    <w:rsid w:val="25A3049C"/>
    <w:rsid w:val="27429FE7"/>
    <w:rsid w:val="278E4AD5"/>
    <w:rsid w:val="279375A6"/>
    <w:rsid w:val="2793DBFE"/>
    <w:rsid w:val="291327BE"/>
    <w:rsid w:val="296DC56F"/>
    <w:rsid w:val="2974B73A"/>
    <w:rsid w:val="29A93CC7"/>
    <w:rsid w:val="2CE25CEA"/>
    <w:rsid w:val="2CF787FD"/>
    <w:rsid w:val="2DE72D63"/>
    <w:rsid w:val="2FB73D67"/>
    <w:rsid w:val="32C59A6E"/>
    <w:rsid w:val="33C41709"/>
    <w:rsid w:val="347370D8"/>
    <w:rsid w:val="35A2B7BD"/>
    <w:rsid w:val="374F3774"/>
    <w:rsid w:val="38880DFA"/>
    <w:rsid w:val="38A0418C"/>
    <w:rsid w:val="39225379"/>
    <w:rsid w:val="3A1090D6"/>
    <w:rsid w:val="3AF58D61"/>
    <w:rsid w:val="3B6F8E5E"/>
    <w:rsid w:val="3BA05BC1"/>
    <w:rsid w:val="3C9CD0FD"/>
    <w:rsid w:val="3EB06914"/>
    <w:rsid w:val="3F94B694"/>
    <w:rsid w:val="408FC231"/>
    <w:rsid w:val="409D4851"/>
    <w:rsid w:val="411DF52A"/>
    <w:rsid w:val="4178721F"/>
    <w:rsid w:val="43E271F3"/>
    <w:rsid w:val="4521EDC5"/>
    <w:rsid w:val="45F2336C"/>
    <w:rsid w:val="46A3902B"/>
    <w:rsid w:val="46DA5FDA"/>
    <w:rsid w:val="47837FF8"/>
    <w:rsid w:val="47DAF460"/>
    <w:rsid w:val="47E6EB52"/>
    <w:rsid w:val="47EB19C3"/>
    <w:rsid w:val="4C10298A"/>
    <w:rsid w:val="4C6689B1"/>
    <w:rsid w:val="4C74D990"/>
    <w:rsid w:val="4E3E3BFC"/>
    <w:rsid w:val="522673A2"/>
    <w:rsid w:val="522E41A4"/>
    <w:rsid w:val="52C064AC"/>
    <w:rsid w:val="54556FE4"/>
    <w:rsid w:val="54C5C958"/>
    <w:rsid w:val="55FD4D58"/>
    <w:rsid w:val="5736D801"/>
    <w:rsid w:val="5751EE37"/>
    <w:rsid w:val="580D1245"/>
    <w:rsid w:val="58457BFC"/>
    <w:rsid w:val="5898FCF0"/>
    <w:rsid w:val="5A3F171D"/>
    <w:rsid w:val="5A4FF83E"/>
    <w:rsid w:val="5AA6D79F"/>
    <w:rsid w:val="5B1FCD46"/>
    <w:rsid w:val="5E9280CA"/>
    <w:rsid w:val="5EC59CAD"/>
    <w:rsid w:val="608609E2"/>
    <w:rsid w:val="6408D7D1"/>
    <w:rsid w:val="64C9A504"/>
    <w:rsid w:val="667E2F4D"/>
    <w:rsid w:val="66A6B76E"/>
    <w:rsid w:val="6708727E"/>
    <w:rsid w:val="675720B0"/>
    <w:rsid w:val="6820DD23"/>
    <w:rsid w:val="6912A767"/>
    <w:rsid w:val="697454CD"/>
    <w:rsid w:val="6B8361A5"/>
    <w:rsid w:val="6C781E5E"/>
    <w:rsid w:val="6CF0686C"/>
    <w:rsid w:val="6EA8EB01"/>
    <w:rsid w:val="7013E786"/>
    <w:rsid w:val="710C33A1"/>
    <w:rsid w:val="71267BBE"/>
    <w:rsid w:val="7227910C"/>
    <w:rsid w:val="730D0CCE"/>
    <w:rsid w:val="73637557"/>
    <w:rsid w:val="74535079"/>
    <w:rsid w:val="74A3F3E3"/>
    <w:rsid w:val="75188147"/>
    <w:rsid w:val="75ABDA85"/>
    <w:rsid w:val="75F81286"/>
    <w:rsid w:val="76CBA388"/>
    <w:rsid w:val="76F140C3"/>
    <w:rsid w:val="775933DD"/>
    <w:rsid w:val="7B91D289"/>
    <w:rsid w:val="7B9BD1DE"/>
    <w:rsid w:val="7D9C6E46"/>
    <w:rsid w:val="7DA850D6"/>
    <w:rsid w:val="7DED8287"/>
    <w:rsid w:val="7EDC739C"/>
    <w:rsid w:val="7F31C3FA"/>
    <w:rsid w:val="7FB8A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C03CDD"/>
  <w15:chartTrackingRefBased/>
  <w15:docId w15:val="{0B6BDDD2-BE11-4909-97BA-20FC698A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36B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0D5D"/>
    <w:pPr>
      <w:spacing w:after="0" w:line="240" w:lineRule="auto"/>
    </w:pPr>
    <w:rPr>
      <w:rFonts w:ascii="Helvetica Neue" w:eastAsia="Times New Roman" w:hAnsi="Helvetica Neue" w:cs="Times New Roman"/>
      <w:color w:val="000000"/>
      <w:kern w:val="0"/>
      <w:sz w:val="20"/>
      <w:szCs w:val="20"/>
      <w:lang w:eastAsia="en-GB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0D5D"/>
    <w:rPr>
      <w:rFonts w:ascii="Helvetica Neue" w:eastAsia="Times New Roman" w:hAnsi="Helvetica Neue" w:cs="Times New Roman"/>
      <w:color w:val="000000"/>
      <w:kern w:val="0"/>
      <w:sz w:val="20"/>
      <w:szCs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B40D5D"/>
    <w:rPr>
      <w:color w:val="0563C1" w:themeColor="hyperlink"/>
      <w:u w:val="single"/>
    </w:rPr>
  </w:style>
  <w:style w:type="character" w:customStyle="1" w:styleId="cf01">
    <w:name w:val="cf01"/>
    <w:basedOn w:val="DefaultParagraphFont"/>
    <w:rsid w:val="00C31D01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B94896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90C"/>
    <w:pPr>
      <w:spacing w:after="160"/>
    </w:pPr>
    <w:rPr>
      <w:rFonts w:asciiTheme="minorHAnsi" w:eastAsiaTheme="minorHAnsi" w:hAnsiTheme="minorHAnsi" w:cstheme="minorBidi"/>
      <w:b/>
      <w:bCs/>
      <w:color w:val="auto"/>
      <w:kern w:val="2"/>
      <w:lang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90C"/>
    <w:rPr>
      <w:rFonts w:ascii="Helvetica Neue" w:eastAsia="Times New Roman" w:hAnsi="Helvetica Neue" w:cs="Times New Roman"/>
      <w:b/>
      <w:bCs/>
      <w:color w:val="000000"/>
      <w:kern w:val="0"/>
      <w:sz w:val="20"/>
      <w:szCs w:val="2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44CC2"/>
    <w:rPr>
      <w:color w:val="605E5C"/>
      <w:shd w:val="clear" w:color="auto" w:fill="E1DFDD"/>
    </w:rPr>
  </w:style>
  <w:style w:type="character" w:customStyle="1" w:styleId="cf11">
    <w:name w:val="cf11"/>
    <w:basedOn w:val="DefaultParagraphFont"/>
    <w:rsid w:val="00BA25FD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764B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079E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E098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08405">
                      <w:marLeft w:val="0"/>
                      <w:marRight w:val="0"/>
                      <w:marTop w:val="6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2240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5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443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13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226997">
                              <w:marLeft w:val="-31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5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92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76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5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2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6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4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11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7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1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38593">
                      <w:marLeft w:val="0"/>
                      <w:marRight w:val="0"/>
                      <w:marTop w:val="6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967673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38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882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06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489803">
                              <w:marLeft w:val="-31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74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26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3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73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11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79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6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cas.org.uk/write/MediaUploads/Resources/Research%20and%20knowledge/Symp_22_Student_Engagement_Report_Final.pdf%20-%20accessed%202/1/25" TargetMode="External"/><Relationship Id="rId13" Type="http://schemas.openxmlformats.org/officeDocument/2006/relationships/hyperlink" Target="https://www.gov.uk/government/uploads/system/uploads/attachment_data/file/523396/bis-16-265-success-as-a-knowledgeeconomy.pdf" TargetMode="External"/><Relationship Id="rId18" Type="http://schemas.openxmlformats.org/officeDocument/2006/relationships/hyperlink" Target="https://doi.org/10.1080/07294360.2017.1339183" TargetMode="External"/><Relationship Id="rId26" Type="http://schemas.openxmlformats.org/officeDocument/2006/relationships/hyperlink" Target="http://dx.doi.org/10.1080/03075079.2011.604408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timeshighereducation.com/student/news/why-do-students-go-university-and-how-do-they-choose-which-one%20-%20accessed%202/1/25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gov.uk/government/publications/the-browne-report-higher-education-funding-and-student-finance" TargetMode="External"/><Relationship Id="rId17" Type="http://schemas.openxmlformats.org/officeDocument/2006/relationships/hyperlink" Target="https://doi.org/10.1080/07294360.2024.2325154" TargetMode="External"/><Relationship Id="rId25" Type="http://schemas.openxmlformats.org/officeDocument/2006/relationships/hyperlink" Target="https://doi.org/10.1108/JARHE-04-2021-015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epi.ac.uk/2020/03/05/getting-on-graduate-employment-and-its-influence-on-uk-higher-education/" TargetMode="External"/><Relationship Id="rId20" Type="http://schemas.openxmlformats.org/officeDocument/2006/relationships/hyperlink" Target="http://cie.asu.ed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1080/03075079.2021.2020748" TargetMode="External"/><Relationship Id="rId24" Type="http://schemas.openxmlformats.org/officeDocument/2006/relationships/hyperlink" Target="https://www.emerald.com/insight/publication/issn/2050-7003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theguardian.com/education/article/2024/jun/13/more-than-half-of-uk-students-working-long-hours-in-paid-jobs%20-%20accessed%2028/8/2024" TargetMode="External"/><Relationship Id="rId23" Type="http://schemas.openxmlformats.org/officeDocument/2006/relationships/hyperlink" Target="https://doi.org/10.1057/hep.2011.26" TargetMode="External"/><Relationship Id="rId28" Type="http://schemas.openxmlformats.org/officeDocument/2006/relationships/hyperlink" Target="https://www.educationandemployers.org/wp-content/uploads/2014/06/the-employability-challenge-ukces.pdf" TargetMode="External"/><Relationship Id="rId10" Type="http://schemas.openxmlformats.org/officeDocument/2006/relationships/hyperlink" Target="https://doi.org/10.1080/02680930903349489" TargetMode="External"/><Relationship Id="rId19" Type="http://schemas.openxmlformats.org/officeDocument/2006/relationships/hyperlink" Target="http://dx.doi.org/10.3402/rlt.v21i2.21986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oi.org/10.1007/BF00138871" TargetMode="External"/><Relationship Id="rId14" Type="http://schemas.openxmlformats.org/officeDocument/2006/relationships/hyperlink" Target="http://dx.doi.org/10.1080/03075079.2017.1387107" TargetMode="External"/><Relationship Id="rId22" Type="http://schemas.openxmlformats.org/officeDocument/2006/relationships/hyperlink" Target="https://doi.org/10.1108/ET-05-2016-0090" TargetMode="External"/><Relationship Id="rId27" Type="http://schemas.openxmlformats.org/officeDocument/2006/relationships/hyperlink" Target="https://www.ucas.com/file/130381/download?token=zX_vZu_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acaa64-ef26-4c7c-ae76-3429b19e32d3" xsi:nil="true"/>
    <lcf76f155ced4ddcb4097134ff3c332f xmlns="4f58c496-6548-4d59-95ca-a8a5f7620e06">
      <Terms xmlns="http://schemas.microsoft.com/office/infopath/2007/PartnerControls"/>
    </lcf76f155ced4ddcb4097134ff3c332f>
    <Notes xmlns="4f58c496-6548-4d59-95ca-a8a5f7620e0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2678F0A413845813466A913C86860" ma:contentTypeVersion="16" ma:contentTypeDescription="Create a new document." ma:contentTypeScope="" ma:versionID="8df502310ef46172ec947096ac3e3b94">
  <xsd:schema xmlns:xsd="http://www.w3.org/2001/XMLSchema" xmlns:xs="http://www.w3.org/2001/XMLSchema" xmlns:p="http://schemas.microsoft.com/office/2006/metadata/properties" xmlns:ns2="4f58c496-6548-4d59-95ca-a8a5f7620e06" xmlns:ns3="88acaa64-ef26-4c7c-ae76-3429b19e32d3" targetNamespace="http://schemas.microsoft.com/office/2006/metadata/properties" ma:root="true" ma:fieldsID="02a2eeeb8e2480f2a573a38959cdc9f2" ns2:_="" ns3:_="">
    <xsd:import namespace="4f58c496-6548-4d59-95ca-a8a5f7620e06"/>
    <xsd:import namespace="88acaa64-ef26-4c7c-ae76-3429b19e3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8c496-6548-4d59-95ca-a8a5f7620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3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caa64-ef26-4c7c-ae76-3429b19e32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5457b32-c3c2-49b3-b5c2-78d0b01b6f4d}" ma:internalName="TaxCatchAll" ma:showField="CatchAllData" ma:web="88acaa64-ef26-4c7c-ae76-3429b19e32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DAC78C-E388-4023-90DF-42DDD48C3E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A27FF1-B51B-433D-89AF-1A66337EE4E4}">
  <ds:schemaRefs>
    <ds:schemaRef ds:uri="http://schemas.microsoft.com/office/2006/metadata/properties"/>
    <ds:schemaRef ds:uri="http://schemas.microsoft.com/office/infopath/2007/PartnerControls"/>
    <ds:schemaRef ds:uri="88acaa64-ef26-4c7c-ae76-3429b19e32d3"/>
    <ds:schemaRef ds:uri="4f58c496-6548-4d59-95ca-a8a5f7620e06"/>
  </ds:schemaRefs>
</ds:datastoreItem>
</file>

<file path=customXml/itemProps3.xml><?xml version="1.0" encoding="utf-8"?>
<ds:datastoreItem xmlns:ds="http://schemas.openxmlformats.org/officeDocument/2006/customXml" ds:itemID="{395E152E-4326-4069-A66B-D60195B18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58c496-6548-4d59-95ca-a8a5f7620e06"/>
    <ds:schemaRef ds:uri="88acaa64-ef26-4c7c-ae76-3429b19e3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22</Pages>
  <Words>7429</Words>
  <Characters>42349</Characters>
  <Application>Microsoft Office Word</Application>
  <DocSecurity>0</DocSecurity>
  <Lines>352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49679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Port</dc:creator>
  <cp:keywords/>
  <dc:description/>
  <cp:lastModifiedBy>Andy Port</cp:lastModifiedBy>
  <cp:revision>12</cp:revision>
  <dcterms:created xsi:type="dcterms:W3CDTF">2025-01-26T15:27:00Z</dcterms:created>
  <dcterms:modified xsi:type="dcterms:W3CDTF">2025-01-28T10:40:00Z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0x0101007702678F0A413845813466A913C86860</vt:lpwstr>
  </property>
  <property fmtid="{D5CDD505-2E9C-101B-9397-08002B2CF9AE}" pid="3" name="MediaServiceImageTags">
    <vt:lpwstr/>
  </property>
  <property fmtid="{D5CDD505-2E9C-101B-9397-08002B2CF9AE}" pid="4" name="GrammarlyDocumentId">
    <vt:lpwstr>1fd81b64cecb2ec8963cb3d8d4f3fb849491abf5849a9d7b43383f0e826d1146</vt:lpwstr>
  </property>
</Properties>
</file>